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03F" w:rsidRDefault="004B303F" w:rsidP="004B303F">
      <w:pPr>
        <w:spacing w:after="0"/>
        <w:jc w:val="center"/>
        <w:rPr>
          <w:rFonts w:asciiTheme="majorBidi" w:hAnsiTheme="majorBidi" w:cstheme="majorBidi"/>
          <w:b/>
          <w:bCs/>
          <w:sz w:val="28"/>
          <w:szCs w:val="28"/>
        </w:rPr>
      </w:pPr>
      <w:r w:rsidRPr="007E6454">
        <w:rPr>
          <w:rFonts w:asciiTheme="majorBidi" w:hAnsiTheme="majorBidi" w:cstheme="majorBidi"/>
          <w:b/>
          <w:bCs/>
          <w:sz w:val="28"/>
          <w:szCs w:val="28"/>
        </w:rPr>
        <w:t xml:space="preserve">FATWA MAJELIS ULAMA INDONESIA </w:t>
      </w:r>
    </w:p>
    <w:p w:rsidR="004B303F" w:rsidRDefault="004B303F" w:rsidP="004B303F">
      <w:pPr>
        <w:spacing w:after="0"/>
        <w:jc w:val="center"/>
        <w:rPr>
          <w:rFonts w:asciiTheme="majorBidi" w:hAnsiTheme="majorBidi" w:cstheme="majorBidi"/>
          <w:sz w:val="28"/>
          <w:szCs w:val="28"/>
        </w:rPr>
      </w:pPr>
      <w:r>
        <w:rPr>
          <w:rFonts w:asciiTheme="majorBidi" w:hAnsiTheme="majorBidi" w:cstheme="majorBidi"/>
          <w:b/>
          <w:bCs/>
          <w:sz w:val="28"/>
          <w:szCs w:val="28"/>
        </w:rPr>
        <w:t>DAN PERANNYA DALAM PEMBA</w:t>
      </w:r>
      <w:r w:rsidRPr="007E6454">
        <w:rPr>
          <w:rFonts w:asciiTheme="majorBidi" w:hAnsiTheme="majorBidi" w:cstheme="majorBidi"/>
          <w:b/>
          <w:bCs/>
          <w:sz w:val="28"/>
          <w:szCs w:val="28"/>
        </w:rPr>
        <w:t xml:space="preserve">RUAN HUKUM KELUARGA ISLAM ( </w:t>
      </w:r>
      <w:r>
        <w:rPr>
          <w:rFonts w:asciiTheme="majorBidi" w:hAnsiTheme="majorBidi" w:cstheme="majorBidi"/>
          <w:b/>
          <w:bCs/>
          <w:sz w:val="28"/>
          <w:szCs w:val="28"/>
        </w:rPr>
        <w:t xml:space="preserve"> </w:t>
      </w:r>
      <w:r w:rsidRPr="007E6454">
        <w:rPr>
          <w:rFonts w:asciiTheme="majorBidi" w:hAnsiTheme="majorBidi" w:cstheme="majorBidi"/>
          <w:b/>
          <w:bCs/>
          <w:sz w:val="28"/>
          <w:szCs w:val="28"/>
        </w:rPr>
        <w:t xml:space="preserve">STUDI PERSPEKTIF SIYĀSAH </w:t>
      </w:r>
      <w:r>
        <w:rPr>
          <w:rFonts w:asciiTheme="majorBidi" w:hAnsiTheme="majorBidi" w:cstheme="majorBidi"/>
          <w:b/>
          <w:bCs/>
          <w:sz w:val="28"/>
          <w:szCs w:val="28"/>
        </w:rPr>
        <w:t xml:space="preserve">SYAR‘IYYAH  </w:t>
      </w:r>
      <w:r w:rsidRPr="007E6454">
        <w:rPr>
          <w:rFonts w:asciiTheme="majorBidi" w:hAnsiTheme="majorBidi" w:cstheme="majorBidi"/>
          <w:b/>
          <w:bCs/>
          <w:sz w:val="28"/>
          <w:szCs w:val="28"/>
        </w:rPr>
        <w:t>)</w:t>
      </w:r>
    </w:p>
    <w:p w:rsidR="004B303F" w:rsidRPr="004B303F" w:rsidRDefault="004B303F" w:rsidP="004B303F">
      <w:pPr>
        <w:spacing w:after="0"/>
        <w:jc w:val="center"/>
        <w:rPr>
          <w:rFonts w:asciiTheme="majorBidi" w:hAnsiTheme="majorBidi" w:cstheme="majorBidi"/>
          <w:sz w:val="28"/>
          <w:szCs w:val="28"/>
        </w:rPr>
      </w:pPr>
    </w:p>
    <w:p w:rsidR="004B303F" w:rsidRPr="00DF70E9" w:rsidRDefault="004B303F" w:rsidP="004B303F">
      <w:pPr>
        <w:tabs>
          <w:tab w:val="left" w:pos="2160"/>
        </w:tabs>
        <w:jc w:val="center"/>
        <w:rPr>
          <w:rFonts w:asciiTheme="minorBidi" w:hAnsiTheme="minorBidi" w:cstheme="minorBidi"/>
          <w:b/>
          <w:bCs/>
          <w:sz w:val="32"/>
          <w:szCs w:val="32"/>
        </w:rPr>
      </w:pPr>
      <w:r w:rsidRPr="00DF70E9">
        <w:rPr>
          <w:rFonts w:asciiTheme="minorBidi" w:hAnsiTheme="minorBidi" w:cstheme="minorBidi"/>
          <w:b/>
          <w:bCs/>
          <w:sz w:val="32"/>
          <w:szCs w:val="32"/>
        </w:rPr>
        <w:t>DISERTASI</w:t>
      </w:r>
    </w:p>
    <w:p w:rsidR="004B303F" w:rsidRPr="00BB0DA4" w:rsidRDefault="004B303F" w:rsidP="004B303F">
      <w:pPr>
        <w:tabs>
          <w:tab w:val="left" w:pos="2160"/>
        </w:tabs>
        <w:jc w:val="center"/>
        <w:rPr>
          <w:rFonts w:ascii="Estrangelo Edessa" w:hAnsi="Estrangelo Edessa" w:cs="Estrangelo Edessa"/>
          <w:bCs/>
          <w:sz w:val="26"/>
          <w:szCs w:val="26"/>
        </w:rPr>
      </w:pPr>
    </w:p>
    <w:p w:rsidR="004B303F" w:rsidRPr="0062798B" w:rsidRDefault="004B303F" w:rsidP="004B303F">
      <w:pPr>
        <w:tabs>
          <w:tab w:val="left" w:pos="2160"/>
        </w:tabs>
        <w:spacing w:after="0" w:line="240" w:lineRule="auto"/>
        <w:jc w:val="center"/>
        <w:rPr>
          <w:rFonts w:asciiTheme="minorBidi" w:hAnsiTheme="minorBidi" w:cstheme="minorBidi"/>
          <w:sz w:val="26"/>
          <w:szCs w:val="26"/>
        </w:rPr>
      </w:pPr>
      <w:r w:rsidRPr="0062798B">
        <w:rPr>
          <w:rFonts w:asciiTheme="minorBidi" w:hAnsiTheme="minorBidi" w:cstheme="minorBidi"/>
          <w:sz w:val="26"/>
          <w:szCs w:val="26"/>
        </w:rPr>
        <w:t>Diajukan Kepada Program Pascasarjana</w:t>
      </w:r>
    </w:p>
    <w:p w:rsidR="004B303F" w:rsidRPr="0062798B" w:rsidRDefault="004B303F" w:rsidP="004B303F">
      <w:pPr>
        <w:tabs>
          <w:tab w:val="left" w:pos="2160"/>
        </w:tabs>
        <w:spacing w:after="0" w:line="240" w:lineRule="auto"/>
        <w:jc w:val="center"/>
        <w:rPr>
          <w:rFonts w:asciiTheme="minorBidi" w:hAnsiTheme="minorBidi" w:cstheme="minorBidi"/>
          <w:sz w:val="26"/>
          <w:szCs w:val="26"/>
        </w:rPr>
      </w:pPr>
      <w:r w:rsidRPr="0062798B">
        <w:rPr>
          <w:rFonts w:asciiTheme="minorBidi" w:hAnsiTheme="minorBidi" w:cstheme="minorBidi"/>
          <w:sz w:val="26"/>
          <w:szCs w:val="26"/>
        </w:rPr>
        <w:t>Universitas Islam Negeri Raden Intan Lampung</w:t>
      </w:r>
    </w:p>
    <w:p w:rsidR="004B303F" w:rsidRPr="0062798B" w:rsidRDefault="004B303F" w:rsidP="004B303F">
      <w:pPr>
        <w:tabs>
          <w:tab w:val="left" w:pos="2160"/>
        </w:tabs>
        <w:spacing w:after="0" w:line="240" w:lineRule="auto"/>
        <w:jc w:val="center"/>
        <w:rPr>
          <w:rFonts w:asciiTheme="minorBidi" w:hAnsiTheme="minorBidi" w:cstheme="minorBidi"/>
          <w:sz w:val="26"/>
          <w:szCs w:val="26"/>
        </w:rPr>
      </w:pPr>
      <w:r w:rsidRPr="0062798B">
        <w:rPr>
          <w:rFonts w:asciiTheme="minorBidi" w:hAnsiTheme="minorBidi" w:cstheme="minorBidi"/>
          <w:sz w:val="26"/>
          <w:szCs w:val="26"/>
        </w:rPr>
        <w:t>Untuk Memenuhi Salah Satu Syarat Guna Memperoleh Gelar Doktor</w:t>
      </w:r>
    </w:p>
    <w:p w:rsidR="004B303F" w:rsidRPr="00661CBA" w:rsidRDefault="004B303F" w:rsidP="004B303F">
      <w:pPr>
        <w:spacing w:after="0" w:line="240" w:lineRule="auto"/>
        <w:jc w:val="center"/>
        <w:rPr>
          <w:rFonts w:asciiTheme="minorBidi" w:hAnsiTheme="minorBidi" w:cstheme="minorBidi"/>
          <w:sz w:val="26"/>
          <w:szCs w:val="26"/>
        </w:rPr>
      </w:pPr>
      <w:r w:rsidRPr="00661CBA">
        <w:rPr>
          <w:rFonts w:asciiTheme="minorBidi" w:hAnsiTheme="minorBidi" w:cstheme="minorBidi"/>
          <w:sz w:val="26"/>
          <w:szCs w:val="26"/>
        </w:rPr>
        <w:t>Dalam Ilmu Syarī‘ah</w:t>
      </w:r>
    </w:p>
    <w:p w:rsidR="004B303F" w:rsidRDefault="004B303F" w:rsidP="004B303F">
      <w:pPr>
        <w:tabs>
          <w:tab w:val="left" w:pos="2160"/>
        </w:tabs>
        <w:spacing w:after="0" w:line="240" w:lineRule="auto"/>
        <w:rPr>
          <w:b/>
          <w:bCs/>
        </w:rPr>
      </w:pPr>
    </w:p>
    <w:p w:rsidR="004B303F" w:rsidRPr="0062798B" w:rsidRDefault="004B303F" w:rsidP="004B303F">
      <w:pPr>
        <w:tabs>
          <w:tab w:val="left" w:pos="2160"/>
        </w:tabs>
        <w:spacing w:after="0"/>
        <w:jc w:val="center"/>
        <w:rPr>
          <w:rFonts w:asciiTheme="minorBidi" w:eastAsia="Batang" w:hAnsiTheme="minorBidi" w:cstheme="minorBidi"/>
          <w:sz w:val="28"/>
          <w:szCs w:val="28"/>
        </w:rPr>
      </w:pPr>
      <w:r w:rsidRPr="0062798B">
        <w:rPr>
          <w:rFonts w:asciiTheme="minorBidi" w:eastAsia="Batang" w:hAnsiTheme="minorBidi" w:cstheme="minorBidi"/>
          <w:sz w:val="28"/>
          <w:szCs w:val="28"/>
        </w:rPr>
        <w:t>Oleh :</w:t>
      </w:r>
    </w:p>
    <w:p w:rsidR="004B303F" w:rsidRPr="0062798B" w:rsidRDefault="004B303F" w:rsidP="004B303F">
      <w:pPr>
        <w:pStyle w:val="Heading8"/>
        <w:tabs>
          <w:tab w:val="left" w:pos="2160"/>
        </w:tabs>
        <w:rPr>
          <w:rFonts w:asciiTheme="minorBidi" w:eastAsia="Batang" w:hAnsiTheme="minorBidi" w:cstheme="minorBidi"/>
          <w:sz w:val="36"/>
          <w:szCs w:val="36"/>
        </w:rPr>
      </w:pPr>
      <w:r w:rsidRPr="0062798B">
        <w:rPr>
          <w:rFonts w:asciiTheme="minorBidi" w:eastAsia="Batang" w:hAnsiTheme="minorBidi" w:cstheme="minorBidi"/>
          <w:sz w:val="36"/>
          <w:szCs w:val="36"/>
        </w:rPr>
        <w:t>Fuad Muzakkar Siregar</w:t>
      </w:r>
    </w:p>
    <w:p w:rsidR="004B303F" w:rsidRPr="004B303F" w:rsidRDefault="004B303F" w:rsidP="004B303F">
      <w:pPr>
        <w:jc w:val="center"/>
        <w:rPr>
          <w:rFonts w:asciiTheme="minorBidi" w:eastAsia="Batang" w:hAnsiTheme="minorBidi" w:cstheme="minorBidi"/>
        </w:rPr>
      </w:pPr>
      <w:r w:rsidRPr="0062798B">
        <w:rPr>
          <w:rFonts w:asciiTheme="minorBidi" w:eastAsia="Batang" w:hAnsiTheme="minorBidi" w:cstheme="minorBidi"/>
        </w:rPr>
        <w:t>NIM: 1303010011</w:t>
      </w:r>
    </w:p>
    <w:p w:rsidR="004B303F" w:rsidRPr="002A69A5" w:rsidRDefault="004B303F" w:rsidP="004B303F">
      <w:pPr>
        <w:pStyle w:val="Heading8"/>
        <w:tabs>
          <w:tab w:val="left" w:pos="2160"/>
        </w:tabs>
        <w:ind w:left="720"/>
        <w:jc w:val="left"/>
        <w:rPr>
          <w:rFonts w:ascii="Estrangelo Edessa" w:eastAsia="Batang" w:hAnsi="Estrangelo Edessa" w:cs="Estrangelo Edessa"/>
          <w:b w:val="0"/>
          <w:bCs w:val="0"/>
          <w:sz w:val="32"/>
          <w:szCs w:val="32"/>
        </w:rPr>
      </w:pPr>
    </w:p>
    <w:p w:rsidR="004B303F" w:rsidRPr="0062798B" w:rsidRDefault="004B303F" w:rsidP="004B303F">
      <w:pPr>
        <w:pStyle w:val="Heading8"/>
        <w:tabs>
          <w:tab w:val="left" w:pos="2160"/>
        </w:tabs>
        <w:spacing w:after="240"/>
        <w:ind w:left="900"/>
        <w:jc w:val="left"/>
        <w:rPr>
          <w:rFonts w:asciiTheme="minorBidi" w:eastAsia="Batang" w:hAnsiTheme="minorBidi" w:cstheme="minorBidi"/>
          <w:b w:val="0"/>
          <w:bCs w:val="0"/>
        </w:rPr>
      </w:pPr>
      <w:r w:rsidRPr="0062798B">
        <w:rPr>
          <w:rFonts w:asciiTheme="minorBidi" w:eastAsia="Batang" w:hAnsiTheme="minorBidi" w:cstheme="minorBidi"/>
          <w:b w:val="0"/>
          <w:bCs w:val="0"/>
        </w:rPr>
        <w:t>Promotor</w:t>
      </w:r>
      <w:r>
        <w:rPr>
          <w:rFonts w:asciiTheme="minorBidi" w:eastAsia="Batang" w:hAnsiTheme="minorBidi" w:cstheme="minorBidi"/>
          <w:b w:val="0"/>
          <w:bCs w:val="0"/>
        </w:rPr>
        <w:tab/>
      </w:r>
      <w:r>
        <w:rPr>
          <w:rFonts w:asciiTheme="minorBidi" w:eastAsia="Batang" w:hAnsiTheme="minorBidi" w:cstheme="minorBidi"/>
          <w:b w:val="0"/>
          <w:bCs w:val="0"/>
        </w:rPr>
        <w:tab/>
      </w:r>
      <w:r>
        <w:rPr>
          <w:rFonts w:asciiTheme="minorBidi" w:eastAsia="Batang" w:hAnsiTheme="minorBidi" w:cstheme="minorBidi"/>
          <w:b w:val="0"/>
          <w:bCs w:val="0"/>
        </w:rPr>
        <w:tab/>
      </w:r>
      <w:r w:rsidRPr="0062798B">
        <w:rPr>
          <w:rFonts w:asciiTheme="minorBidi" w:eastAsia="Batang" w:hAnsiTheme="minorBidi" w:cstheme="minorBidi"/>
          <w:b w:val="0"/>
          <w:bCs w:val="0"/>
        </w:rPr>
        <w:t>:  Prof. Dr. H. Moh. Mukri, M.Ag</w:t>
      </w:r>
    </w:p>
    <w:p w:rsidR="004B303F" w:rsidRPr="0062798B" w:rsidRDefault="004B303F" w:rsidP="004B303F">
      <w:pPr>
        <w:spacing w:after="240" w:line="240" w:lineRule="auto"/>
        <w:ind w:left="720"/>
        <w:rPr>
          <w:rFonts w:asciiTheme="minorBidi" w:eastAsia="Batang" w:hAnsiTheme="minorBidi" w:cstheme="minorBidi"/>
          <w:sz w:val="28"/>
          <w:szCs w:val="28"/>
        </w:rPr>
      </w:pPr>
      <w:r>
        <w:rPr>
          <w:rFonts w:asciiTheme="minorBidi" w:eastAsia="Batang" w:hAnsiTheme="minorBidi" w:cstheme="minorBidi"/>
          <w:sz w:val="28"/>
          <w:szCs w:val="28"/>
        </w:rPr>
        <w:t xml:space="preserve">   Co- Promotor I</w:t>
      </w:r>
      <w:r>
        <w:rPr>
          <w:rFonts w:asciiTheme="minorBidi" w:eastAsia="Batang" w:hAnsiTheme="minorBidi" w:cstheme="minorBidi"/>
          <w:sz w:val="28"/>
          <w:szCs w:val="28"/>
        </w:rPr>
        <w:tab/>
      </w:r>
      <w:r>
        <w:rPr>
          <w:rFonts w:asciiTheme="minorBidi" w:eastAsia="Batang" w:hAnsiTheme="minorBidi" w:cstheme="minorBidi"/>
          <w:sz w:val="28"/>
          <w:szCs w:val="28"/>
        </w:rPr>
        <w:tab/>
      </w:r>
      <w:r w:rsidRPr="0062798B">
        <w:rPr>
          <w:rFonts w:asciiTheme="minorBidi" w:eastAsia="Batang" w:hAnsiTheme="minorBidi" w:cstheme="minorBidi"/>
          <w:sz w:val="28"/>
          <w:szCs w:val="28"/>
        </w:rPr>
        <w:t>:  Dr. Alamsyah, M.Ag</w:t>
      </w:r>
    </w:p>
    <w:p w:rsidR="004B303F" w:rsidRPr="004B303F" w:rsidRDefault="004B303F" w:rsidP="004B303F">
      <w:pPr>
        <w:spacing w:after="240" w:line="240" w:lineRule="auto"/>
        <w:ind w:left="720"/>
        <w:rPr>
          <w:rFonts w:asciiTheme="minorBidi" w:eastAsia="Batang" w:hAnsiTheme="minorBidi" w:cstheme="minorBidi"/>
          <w:sz w:val="28"/>
          <w:szCs w:val="28"/>
        </w:rPr>
      </w:pPr>
      <w:r w:rsidRPr="0062798B">
        <w:rPr>
          <w:rFonts w:asciiTheme="minorBidi" w:eastAsia="Batang" w:hAnsiTheme="minorBidi" w:cstheme="minorBidi"/>
          <w:sz w:val="28"/>
          <w:szCs w:val="28"/>
        </w:rPr>
        <w:t xml:space="preserve">   Co – Promotor II</w:t>
      </w:r>
      <w:r w:rsidRPr="0062798B">
        <w:rPr>
          <w:rFonts w:asciiTheme="minorBidi" w:eastAsia="Batang" w:hAnsiTheme="minorBidi" w:cstheme="minorBidi"/>
          <w:sz w:val="28"/>
          <w:szCs w:val="28"/>
        </w:rPr>
        <w:tab/>
        <w:t>:  Dr. H. Bunyana Solihin, MA</w:t>
      </w:r>
    </w:p>
    <w:p w:rsidR="004B303F" w:rsidRPr="00772DDD" w:rsidRDefault="004B303F" w:rsidP="004B303F">
      <w:pPr>
        <w:jc w:val="center"/>
        <w:rPr>
          <w:lang w:val="fi-FI"/>
        </w:rPr>
      </w:pPr>
    </w:p>
    <w:p w:rsidR="004B303F" w:rsidRPr="00772DDD" w:rsidRDefault="004B303F" w:rsidP="004B303F">
      <w:pPr>
        <w:jc w:val="center"/>
        <w:rPr>
          <w:lang w:val="fi-FI"/>
        </w:rPr>
      </w:pPr>
      <w:r>
        <w:rPr>
          <w:noProof/>
        </w:rPr>
        <w:drawing>
          <wp:inline distT="0" distB="0" distL="0" distR="0">
            <wp:extent cx="1359276" cy="958645"/>
            <wp:effectExtent l="19050" t="0" r="0" b="0"/>
            <wp:docPr id="1" name="Picture 1" descr="logo_uin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ril.png"/>
                    <pic:cNvPicPr/>
                  </pic:nvPicPr>
                  <pic:blipFill>
                    <a:blip r:embed="rId8"/>
                    <a:stretch>
                      <a:fillRect/>
                    </a:stretch>
                  </pic:blipFill>
                  <pic:spPr>
                    <a:xfrm>
                      <a:off x="0" y="0"/>
                      <a:ext cx="1361156" cy="959971"/>
                    </a:xfrm>
                    <a:prstGeom prst="rect">
                      <a:avLst/>
                    </a:prstGeom>
                  </pic:spPr>
                </pic:pic>
              </a:graphicData>
            </a:graphic>
          </wp:inline>
        </w:drawing>
      </w:r>
    </w:p>
    <w:p w:rsidR="004B303F" w:rsidRPr="00772DDD" w:rsidRDefault="004B303F" w:rsidP="004B303F">
      <w:pPr>
        <w:rPr>
          <w:lang w:val="fi-FI"/>
        </w:rPr>
      </w:pPr>
      <w:r>
        <w:rPr>
          <w:lang w:val="fi-FI"/>
        </w:rPr>
        <w:t xml:space="preserve"> </w:t>
      </w:r>
      <w:r>
        <w:rPr>
          <w:lang w:val="fi-FI"/>
        </w:rPr>
        <w:tab/>
      </w:r>
    </w:p>
    <w:p w:rsidR="004B303F" w:rsidRPr="0062798B" w:rsidRDefault="004B303F" w:rsidP="004B303F">
      <w:pPr>
        <w:tabs>
          <w:tab w:val="left" w:pos="2160"/>
        </w:tabs>
        <w:spacing w:after="0"/>
        <w:jc w:val="center"/>
        <w:rPr>
          <w:rFonts w:asciiTheme="minorBidi" w:hAnsiTheme="minorBidi" w:cstheme="minorBidi"/>
        </w:rPr>
      </w:pPr>
      <w:r w:rsidRPr="0062798B">
        <w:rPr>
          <w:rFonts w:asciiTheme="minorBidi" w:hAnsiTheme="minorBidi" w:cstheme="minorBidi"/>
        </w:rPr>
        <w:t>PROGRAM DOKTOR</w:t>
      </w:r>
    </w:p>
    <w:p w:rsidR="004B303F" w:rsidRPr="0062798B" w:rsidRDefault="004B303F" w:rsidP="004B303F">
      <w:pPr>
        <w:tabs>
          <w:tab w:val="left" w:pos="2160"/>
        </w:tabs>
        <w:spacing w:after="0"/>
        <w:jc w:val="center"/>
        <w:rPr>
          <w:rFonts w:asciiTheme="minorBidi" w:hAnsiTheme="minorBidi" w:cstheme="minorBidi"/>
        </w:rPr>
      </w:pPr>
      <w:r w:rsidRPr="0062798B">
        <w:rPr>
          <w:rFonts w:asciiTheme="minorBidi" w:hAnsiTheme="minorBidi" w:cstheme="minorBidi"/>
        </w:rPr>
        <w:t>PROGRAM PASCASARJANA ( PPs)</w:t>
      </w:r>
    </w:p>
    <w:p w:rsidR="004B303F" w:rsidRDefault="004B303F" w:rsidP="004B303F">
      <w:pPr>
        <w:tabs>
          <w:tab w:val="left" w:pos="2160"/>
        </w:tabs>
        <w:spacing w:after="0"/>
        <w:jc w:val="center"/>
        <w:rPr>
          <w:rFonts w:asciiTheme="minorBidi" w:hAnsiTheme="minorBidi" w:cstheme="minorBidi"/>
        </w:rPr>
      </w:pPr>
      <w:r w:rsidRPr="0062798B">
        <w:rPr>
          <w:rFonts w:asciiTheme="minorBidi" w:hAnsiTheme="minorBidi" w:cstheme="minorBidi"/>
        </w:rPr>
        <w:t xml:space="preserve">UNIVERSITAS ISLAM NEGERI ( UIN) RADEN INTAN </w:t>
      </w:r>
    </w:p>
    <w:p w:rsidR="004B303F" w:rsidRPr="0062798B" w:rsidRDefault="004B303F" w:rsidP="004B303F">
      <w:pPr>
        <w:tabs>
          <w:tab w:val="left" w:pos="2160"/>
        </w:tabs>
        <w:spacing w:after="0"/>
        <w:jc w:val="center"/>
        <w:rPr>
          <w:rFonts w:asciiTheme="minorBidi" w:hAnsiTheme="minorBidi" w:cstheme="minorBidi"/>
        </w:rPr>
      </w:pPr>
      <w:r w:rsidRPr="0062798B">
        <w:rPr>
          <w:rFonts w:asciiTheme="minorBidi" w:hAnsiTheme="minorBidi" w:cstheme="minorBidi"/>
        </w:rPr>
        <w:t>LAMPUNG</w:t>
      </w:r>
    </w:p>
    <w:p w:rsidR="004B303F" w:rsidRPr="0062798B" w:rsidRDefault="004B303F" w:rsidP="004B303F">
      <w:pPr>
        <w:tabs>
          <w:tab w:val="left" w:pos="2160"/>
        </w:tabs>
        <w:spacing w:after="0"/>
        <w:jc w:val="center"/>
        <w:rPr>
          <w:rFonts w:asciiTheme="minorBidi" w:hAnsiTheme="minorBidi" w:cstheme="minorBidi"/>
          <w:bCs/>
        </w:rPr>
      </w:pPr>
      <w:r>
        <w:rPr>
          <w:rFonts w:asciiTheme="minorBidi" w:hAnsiTheme="minorBidi" w:cstheme="minorBidi"/>
          <w:bCs/>
        </w:rPr>
        <w:t>1440</w:t>
      </w:r>
      <w:r w:rsidRPr="0062798B">
        <w:rPr>
          <w:rFonts w:asciiTheme="minorBidi" w:hAnsiTheme="minorBidi" w:cstheme="minorBidi"/>
          <w:bCs/>
        </w:rPr>
        <w:t xml:space="preserve"> H / 2018 M</w:t>
      </w:r>
    </w:p>
    <w:p w:rsidR="004B303F" w:rsidRDefault="004B303F" w:rsidP="004B303F">
      <w:pPr>
        <w:spacing w:after="0" w:line="360" w:lineRule="auto"/>
        <w:jc w:val="center"/>
        <w:rPr>
          <w:rFonts w:asciiTheme="majorBidi" w:hAnsiTheme="majorBidi" w:cstheme="majorBidi"/>
          <w:b/>
          <w:bCs/>
          <w:sz w:val="24"/>
          <w:szCs w:val="24"/>
        </w:rPr>
      </w:pPr>
    </w:p>
    <w:p w:rsidR="004B303F" w:rsidRDefault="004B303F" w:rsidP="004B303F">
      <w:pPr>
        <w:spacing w:after="0" w:line="360" w:lineRule="auto"/>
        <w:jc w:val="center"/>
        <w:rPr>
          <w:rFonts w:asciiTheme="majorBidi" w:hAnsiTheme="majorBidi" w:cstheme="majorBidi"/>
          <w:b/>
          <w:bCs/>
          <w:sz w:val="24"/>
          <w:szCs w:val="24"/>
        </w:rPr>
      </w:pPr>
    </w:p>
    <w:p w:rsidR="00A7689A" w:rsidRDefault="00A7689A" w:rsidP="00A33E46">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rsidR="00A7689A" w:rsidRDefault="00A7689A" w:rsidP="00A33E46">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A7689A" w:rsidRDefault="00A7689A" w:rsidP="00A33E46">
      <w:pPr>
        <w:spacing w:after="0" w:line="360" w:lineRule="auto"/>
        <w:jc w:val="center"/>
        <w:rPr>
          <w:rFonts w:asciiTheme="majorBidi" w:hAnsiTheme="majorBidi" w:cstheme="majorBidi"/>
          <w:b/>
          <w:bCs/>
          <w:sz w:val="24"/>
          <w:szCs w:val="24"/>
        </w:rPr>
      </w:pPr>
    </w:p>
    <w:p w:rsidR="00BC41DD" w:rsidRPr="00807A8B" w:rsidRDefault="00BC41DD" w:rsidP="00A33E46">
      <w:pPr>
        <w:pStyle w:val="ListParagraph"/>
        <w:numPr>
          <w:ilvl w:val="0"/>
          <w:numId w:val="9"/>
        </w:numPr>
        <w:tabs>
          <w:tab w:val="left" w:pos="360"/>
        </w:tabs>
        <w:spacing w:after="0" w:line="360" w:lineRule="auto"/>
        <w:ind w:hanging="720"/>
        <w:jc w:val="both"/>
        <w:rPr>
          <w:rFonts w:asciiTheme="majorBidi" w:hAnsiTheme="majorBidi" w:cstheme="majorBidi"/>
          <w:b/>
          <w:bCs/>
          <w:sz w:val="24"/>
          <w:szCs w:val="24"/>
        </w:rPr>
      </w:pPr>
      <w:r w:rsidRPr="00807A8B">
        <w:rPr>
          <w:rFonts w:asciiTheme="majorBidi" w:hAnsiTheme="majorBidi" w:cstheme="majorBidi"/>
          <w:b/>
          <w:bCs/>
          <w:sz w:val="24"/>
          <w:szCs w:val="24"/>
        </w:rPr>
        <w:t>Latar Belakang Masalah</w:t>
      </w:r>
    </w:p>
    <w:p w:rsidR="004C10C1" w:rsidRPr="004020A7" w:rsidRDefault="00972E98" w:rsidP="00A33E46">
      <w:pPr>
        <w:spacing w:after="0" w:line="360" w:lineRule="auto"/>
        <w:ind w:firstLine="720"/>
        <w:jc w:val="both"/>
        <w:rPr>
          <w:rFonts w:asciiTheme="majorBidi" w:hAnsiTheme="majorBidi" w:cstheme="majorBidi"/>
          <w:sz w:val="24"/>
          <w:szCs w:val="24"/>
        </w:rPr>
      </w:pPr>
      <w:r>
        <w:rPr>
          <w:rFonts w:ascii="Times New Roman" w:hAnsi="Times New Roman" w:cs="Times New Roman"/>
          <w:sz w:val="24"/>
          <w:szCs w:val="24"/>
        </w:rPr>
        <w:t>Al-Qur’ān</w:t>
      </w:r>
      <w:r w:rsidR="004C10C1" w:rsidRPr="004C10C1">
        <w:rPr>
          <w:rFonts w:ascii="Times New Roman" w:hAnsi="Times New Roman" w:cs="Times New Roman"/>
          <w:sz w:val="24"/>
          <w:szCs w:val="24"/>
        </w:rPr>
        <w:t xml:space="preserve"> dan As-Sunah yang</w:t>
      </w:r>
      <w:r w:rsidR="00860D90">
        <w:rPr>
          <w:rFonts w:ascii="Times New Roman" w:hAnsi="Times New Roman" w:cs="Times New Roman"/>
          <w:sz w:val="24"/>
          <w:szCs w:val="24"/>
        </w:rPr>
        <w:t xml:space="preserve"> merupakan sumber utama  syariat</w:t>
      </w:r>
      <w:r w:rsidR="00BC12A7">
        <w:rPr>
          <w:rFonts w:ascii="Times New Roman" w:hAnsi="Times New Roman" w:cs="Times New Roman"/>
          <w:sz w:val="24"/>
          <w:szCs w:val="24"/>
        </w:rPr>
        <w:t xml:space="preserve"> </w:t>
      </w:r>
      <w:r w:rsidR="004C10C1" w:rsidRPr="004C10C1">
        <w:rPr>
          <w:rFonts w:ascii="Times New Roman" w:hAnsi="Times New Roman" w:cs="Times New Roman"/>
          <w:sz w:val="24"/>
          <w:szCs w:val="24"/>
        </w:rPr>
        <w:t>Islam</w:t>
      </w:r>
      <w:r w:rsidR="00EE54F6">
        <w:rPr>
          <w:rFonts w:ascii="Times New Roman" w:hAnsi="Times New Roman" w:cs="Times New Roman"/>
          <w:sz w:val="24"/>
          <w:szCs w:val="24"/>
        </w:rPr>
        <w:t>,</w:t>
      </w:r>
      <w:r w:rsidR="00F96376">
        <w:rPr>
          <w:rFonts w:ascii="Times New Roman" w:hAnsi="Times New Roman" w:cs="Times New Roman"/>
          <w:sz w:val="24"/>
          <w:szCs w:val="24"/>
        </w:rPr>
        <w:t xml:space="preserve"> tak mungkin dip</w:t>
      </w:r>
      <w:r w:rsidR="004C10C1" w:rsidRPr="004C10C1">
        <w:rPr>
          <w:rFonts w:ascii="Times New Roman" w:hAnsi="Times New Roman" w:cs="Times New Roman"/>
          <w:sz w:val="24"/>
          <w:szCs w:val="24"/>
        </w:rPr>
        <w:t>ahami oleh semua golongan muslim kecuali mereka yang mengkaji secara mendalam tentang bidang ilmu agama. Karena itulah lantas para ulama mengambil peran. Peranannya amat penting dalam merealisasikan tuntutan agama guna memberi pemahaman yang jelas dan benar melalui fatwa.</w:t>
      </w:r>
      <w:r w:rsidR="004C10C1">
        <w:rPr>
          <w:rStyle w:val="FootnoteReference"/>
          <w:rFonts w:ascii="Times New Roman" w:hAnsi="Times New Roman" w:cs="Times New Roman"/>
          <w:sz w:val="24"/>
          <w:szCs w:val="24"/>
        </w:rPr>
        <w:footnoteReference w:id="2"/>
      </w:r>
    </w:p>
    <w:p w:rsidR="004C10C1" w:rsidRPr="007567FB" w:rsidRDefault="004C10C1" w:rsidP="00E11FC4">
      <w:pPr>
        <w:pStyle w:val="ListParagraph"/>
        <w:spacing w:after="0" w:line="360" w:lineRule="auto"/>
        <w:ind w:left="0" w:firstLine="720"/>
        <w:jc w:val="both"/>
        <w:rPr>
          <w:rFonts w:asciiTheme="majorBidi" w:hAnsiTheme="majorBidi" w:cstheme="majorBidi"/>
        </w:rPr>
      </w:pPr>
      <w:r w:rsidRPr="0079414F">
        <w:rPr>
          <w:rFonts w:ascii="Giovanni-Book" w:hAnsi="Giovanni-Book" w:cs="Giovanni-Book"/>
          <w:sz w:val="24"/>
          <w:szCs w:val="24"/>
          <w:lang w:val="it-IT"/>
        </w:rPr>
        <w:t>Fatwa secara bahasa berasal dari perkataan Arab yaitu</w:t>
      </w:r>
      <w:r w:rsidR="007567FB">
        <w:rPr>
          <w:rFonts w:ascii="Giovanni-Book" w:hAnsi="Giovanni-Book" w:cs="Giovanni-Book"/>
          <w:sz w:val="24"/>
          <w:szCs w:val="24"/>
          <w:lang w:val="it-IT"/>
        </w:rPr>
        <w:t xml:space="preserve"> </w:t>
      </w:r>
      <w:r w:rsidR="007567FB" w:rsidRPr="00ED6321">
        <w:rPr>
          <w:rFonts w:asciiTheme="majorBidi" w:hAnsiTheme="majorBidi" w:cstheme="majorBidi"/>
          <w:i/>
          <w:iCs/>
          <w:sz w:val="24"/>
          <w:szCs w:val="24"/>
          <w:lang w:val="sv-SE"/>
        </w:rPr>
        <w:t>fat</w:t>
      </w:r>
      <w:r w:rsidR="007567FB" w:rsidRPr="00ED6321">
        <w:rPr>
          <w:rFonts w:asciiTheme="majorBidi" w:hAnsiTheme="majorBidi" w:cstheme="majorBidi"/>
          <w:i/>
          <w:iCs/>
          <w:sz w:val="24"/>
          <w:szCs w:val="24"/>
        </w:rPr>
        <w:t>ā</w:t>
      </w:r>
      <w:r w:rsidR="00E619F9">
        <w:rPr>
          <w:rFonts w:ascii="Giovanni-BookItalic" w:hAnsi="Giovanni-BookItalic" w:cs="Giovanni-BookItalic" w:hint="cs"/>
          <w:sz w:val="24"/>
          <w:szCs w:val="24"/>
          <w:rtl/>
          <w:lang w:val="it-IT"/>
        </w:rPr>
        <w:t xml:space="preserve"> </w:t>
      </w:r>
      <w:r w:rsidR="007567FB" w:rsidRPr="007567FB">
        <w:rPr>
          <w:rFonts w:asciiTheme="majorBidi" w:hAnsiTheme="majorBidi" w:cstheme="majorBidi"/>
        </w:rPr>
        <w:t xml:space="preserve"> </w:t>
      </w:r>
      <w:r w:rsidR="007567FB">
        <w:rPr>
          <w:rFonts w:ascii="Giovanni-BookItalic" w:hAnsi="Giovanni-BookItalic" w:cs="Giovanni-BookItalic"/>
          <w:sz w:val="24"/>
          <w:szCs w:val="24"/>
          <w:lang w:val="it-IT"/>
        </w:rPr>
        <w:t>(</w:t>
      </w:r>
      <w:r w:rsidR="007567FB" w:rsidRPr="00E619F9">
        <w:rPr>
          <w:rFonts w:ascii="Giovanni-BookItalic" w:hAnsi="Giovanni-BookItalic" w:cs="Giovanni-BookItalic" w:hint="cs"/>
          <w:sz w:val="24"/>
          <w:szCs w:val="24"/>
          <w:rtl/>
          <w:lang w:val="it-IT"/>
        </w:rPr>
        <w:t xml:space="preserve"> (</w:t>
      </w:r>
      <w:r w:rsidR="007567FB">
        <w:rPr>
          <w:rFonts w:hint="cs"/>
          <w:rtl/>
        </w:rPr>
        <w:t>فتى</w:t>
      </w:r>
      <w:r w:rsidRPr="007567FB">
        <w:rPr>
          <w:rFonts w:ascii="Giovanni-BookItalic" w:hAnsi="Giovanni-BookItalic" w:cs="Giovanni-BookItalic"/>
          <w:i/>
          <w:iCs/>
          <w:sz w:val="24"/>
          <w:szCs w:val="24"/>
          <w:lang w:val="it-IT"/>
        </w:rPr>
        <w:t>yaft</w:t>
      </w:r>
      <w:r w:rsidR="007567FB" w:rsidRPr="007567FB">
        <w:rPr>
          <w:rFonts w:asciiTheme="majorBidi" w:hAnsiTheme="majorBidi" w:cstheme="majorBidi"/>
          <w:i/>
          <w:iCs/>
        </w:rPr>
        <w:t>ū</w:t>
      </w:r>
      <w:r w:rsidR="007567FB" w:rsidRPr="00E619F9">
        <w:rPr>
          <w:rFonts w:ascii="Giovanni-BookItalic" w:hAnsi="Giovanni-BookItalic" w:cs="Giovanni-BookItalic" w:hint="cs"/>
          <w:sz w:val="24"/>
          <w:szCs w:val="24"/>
          <w:rtl/>
          <w:lang w:val="it-IT"/>
        </w:rPr>
        <w:t xml:space="preserve"> (</w:t>
      </w:r>
      <w:r w:rsidR="007567FB">
        <w:rPr>
          <w:rFonts w:hint="cs"/>
          <w:rtl/>
        </w:rPr>
        <w:t>يفتو</w:t>
      </w:r>
      <w:r w:rsidR="007567FB" w:rsidRPr="00E619F9">
        <w:rPr>
          <w:rFonts w:ascii="Giovanni-BookItalic" w:hAnsi="Giovanni-BookItalic" w:cs="Giovanni-BookItalic" w:hint="cs"/>
          <w:sz w:val="24"/>
          <w:szCs w:val="24"/>
          <w:rtl/>
          <w:lang w:val="it-IT"/>
        </w:rPr>
        <w:t>)</w:t>
      </w:r>
      <w:r w:rsidRPr="0079414F">
        <w:rPr>
          <w:rFonts w:ascii="Giovanni-BookItalic" w:hAnsi="Giovanni-BookItalic" w:cs="Giovanni-BookItalic"/>
          <w:i/>
          <w:iCs/>
          <w:sz w:val="24"/>
          <w:szCs w:val="24"/>
          <w:lang w:val="it-IT"/>
        </w:rPr>
        <w:t xml:space="preserve"> fatwan </w:t>
      </w:r>
      <w:r w:rsidR="00E619F9">
        <w:rPr>
          <w:rFonts w:ascii="Giovanni-BookItalic" w:hAnsi="Giovanni-BookItalic" w:cs="Giovanni-BookItalic" w:hint="cs"/>
          <w:sz w:val="24"/>
          <w:szCs w:val="24"/>
          <w:rtl/>
          <w:lang w:val="it-IT"/>
        </w:rPr>
        <w:t>(</w:t>
      </w:r>
      <w:r w:rsidR="00E619F9">
        <w:rPr>
          <w:rFonts w:hint="cs"/>
          <w:rtl/>
        </w:rPr>
        <w:t>فتوا</w:t>
      </w:r>
      <w:r w:rsidR="00E619F9">
        <w:rPr>
          <w:rFonts w:ascii="Giovanni-BookItalic" w:hAnsi="Giovanni-BookItalic" w:cs="Giovanni-BookItalic" w:hint="cs"/>
          <w:sz w:val="24"/>
          <w:szCs w:val="24"/>
          <w:rtl/>
          <w:lang w:val="it-IT"/>
        </w:rPr>
        <w:t>)</w:t>
      </w:r>
      <w:r w:rsidR="00E619F9">
        <w:rPr>
          <w:rFonts w:ascii="Giovanni-BookItalic" w:hAnsi="Giovanni-BookItalic" w:cs="Giovanni-BookItalic"/>
          <w:sz w:val="24"/>
          <w:szCs w:val="24"/>
          <w:lang w:val="it-IT"/>
        </w:rPr>
        <w:t xml:space="preserve"> </w:t>
      </w:r>
      <w:r w:rsidRPr="0079414F">
        <w:rPr>
          <w:rFonts w:ascii="Giovanni-Book" w:hAnsi="Giovanni-Book" w:cs="Giovanni-Book"/>
          <w:sz w:val="24"/>
          <w:szCs w:val="24"/>
          <w:lang w:val="it-IT"/>
        </w:rPr>
        <w:t xml:space="preserve">atau </w:t>
      </w:r>
      <w:r w:rsidRPr="0079414F">
        <w:rPr>
          <w:rFonts w:ascii="Giovanni-BookItalic" w:hAnsi="Giovanni-BookItalic" w:cs="Giovanni-BookItalic"/>
          <w:i/>
          <w:iCs/>
          <w:sz w:val="24"/>
          <w:szCs w:val="24"/>
          <w:lang w:val="it-IT"/>
        </w:rPr>
        <w:t>futy</w:t>
      </w:r>
      <w:r w:rsidR="00A02D74" w:rsidRPr="00ED6321">
        <w:rPr>
          <w:rFonts w:asciiTheme="majorBidi" w:hAnsiTheme="majorBidi" w:cstheme="majorBidi"/>
          <w:i/>
          <w:iCs/>
          <w:sz w:val="24"/>
          <w:szCs w:val="24"/>
        </w:rPr>
        <w:t>ā</w:t>
      </w:r>
      <w:r w:rsidR="00E619F9" w:rsidRPr="00E619F9">
        <w:rPr>
          <w:rFonts w:ascii="Giovanni-BookItalic" w:hAnsi="Giovanni-BookItalic" w:cs="Giovanni-BookItalic" w:hint="cs"/>
          <w:sz w:val="24"/>
          <w:szCs w:val="24"/>
          <w:rtl/>
          <w:lang w:val="it-IT"/>
        </w:rPr>
        <w:t xml:space="preserve"> (</w:t>
      </w:r>
      <w:r w:rsidR="00E619F9">
        <w:rPr>
          <w:rFonts w:hint="cs"/>
          <w:rtl/>
        </w:rPr>
        <w:t>فتيا</w:t>
      </w:r>
      <w:r w:rsidR="00E619F9" w:rsidRPr="00E619F9">
        <w:rPr>
          <w:rFonts w:ascii="Giovanni-BookItalic" w:hAnsi="Giovanni-BookItalic" w:cs="Giovanni-BookItalic" w:hint="cs"/>
          <w:sz w:val="24"/>
          <w:szCs w:val="24"/>
          <w:rtl/>
          <w:lang w:val="it-IT"/>
        </w:rPr>
        <w:t>)</w:t>
      </w:r>
      <w:r w:rsidR="00E619F9">
        <w:rPr>
          <w:rFonts w:ascii="Giovanni-BookItalic" w:hAnsi="Giovanni-BookItalic" w:cs="Giovanni-BookItalic" w:hint="cs"/>
          <w:sz w:val="24"/>
          <w:szCs w:val="24"/>
          <w:rtl/>
          <w:lang w:val="it-IT"/>
        </w:rPr>
        <w:t xml:space="preserve"> </w:t>
      </w:r>
      <w:r w:rsidRPr="0079414F">
        <w:rPr>
          <w:rFonts w:ascii="Giovanni-Book" w:hAnsi="Giovanni-Book" w:cs="Giovanni-Book"/>
          <w:sz w:val="24"/>
          <w:szCs w:val="24"/>
          <w:lang w:val="it-IT"/>
        </w:rPr>
        <w:t xml:space="preserve">artinya </w:t>
      </w:r>
      <w:r>
        <w:rPr>
          <w:rFonts w:ascii="Giovanni-Book" w:hAnsi="Giovanni-Book" w:cs="Giovanni-Book"/>
          <w:sz w:val="24"/>
          <w:szCs w:val="24"/>
          <w:lang w:val="it-IT"/>
        </w:rPr>
        <w:t>a</w:t>
      </w:r>
      <w:r w:rsidRPr="0079414F">
        <w:rPr>
          <w:rFonts w:ascii="Giovanni-Book" w:hAnsi="Giovanni-Book" w:cs="Giovanni-Book"/>
          <w:sz w:val="24"/>
          <w:szCs w:val="24"/>
          <w:lang w:val="it-IT"/>
        </w:rPr>
        <w:t>dalah menjawab pertanyaan-pertanyaan yang menjadi permasa</w:t>
      </w:r>
      <w:r w:rsidR="00AE6EFF">
        <w:rPr>
          <w:rFonts w:ascii="Giovanni-Book" w:hAnsi="Giovanni-Book" w:cs="Giovanni-Book"/>
          <w:sz w:val="24"/>
          <w:szCs w:val="24"/>
          <w:lang w:val="it-IT"/>
        </w:rPr>
        <w:t>lahan, seperti seorang berkata,</w:t>
      </w:r>
      <w:r w:rsidRPr="0079414F">
        <w:rPr>
          <w:rFonts w:ascii="Giovanni-Book" w:hAnsi="Giovanni-Book" w:cs="Giovanni-Book"/>
          <w:sz w:val="24"/>
          <w:szCs w:val="24"/>
          <w:lang w:val="it-IT"/>
        </w:rPr>
        <w:t>“Aku meminta fatwa dari pa</w:t>
      </w:r>
      <w:r w:rsidR="004020A7">
        <w:rPr>
          <w:rFonts w:ascii="Giovanni-Book" w:hAnsi="Giovanni-Book" w:cs="Giovanni-Book"/>
          <w:sz w:val="24"/>
          <w:szCs w:val="24"/>
          <w:lang w:val="it-IT"/>
        </w:rPr>
        <w:t>danya, maka iapun memberi fatwa.</w:t>
      </w:r>
      <w:r w:rsidRPr="0079414F">
        <w:rPr>
          <w:rFonts w:ascii="Giovanni-Book" w:hAnsi="Giovanni-Book" w:cs="Giovanni-Book"/>
          <w:sz w:val="24"/>
          <w:szCs w:val="24"/>
          <w:lang w:val="it-IT"/>
        </w:rPr>
        <w:t>”</w:t>
      </w:r>
      <w:r w:rsidRPr="00054C5D">
        <w:rPr>
          <w:rStyle w:val="FootnoteReference"/>
          <w:rFonts w:ascii="Giovanni-Book" w:hAnsi="Giovanni-Book" w:cs="Giovanni-Book"/>
          <w:sz w:val="24"/>
          <w:szCs w:val="24"/>
        </w:rPr>
        <w:footnoteReference w:id="3"/>
      </w:r>
      <w:r w:rsidRPr="0079414F">
        <w:rPr>
          <w:rFonts w:ascii="Giovanni-Book" w:hAnsi="Giovanni-Book" w:cs="Giovanni-Book"/>
          <w:sz w:val="24"/>
          <w:szCs w:val="24"/>
          <w:lang w:val="it-IT"/>
        </w:rPr>
        <w:t xml:space="preserve"> </w:t>
      </w:r>
      <w:r w:rsidRPr="00054C5D">
        <w:rPr>
          <w:rFonts w:ascii="Giovanni-Book" w:hAnsi="Giovanni-Book" w:cs="Giovanni-Book"/>
          <w:sz w:val="24"/>
          <w:szCs w:val="24"/>
        </w:rPr>
        <w:t>Fatwa juga dikatakan</w:t>
      </w:r>
      <w:r w:rsidR="004020A7">
        <w:rPr>
          <w:rFonts w:ascii="Giovanni-Book" w:hAnsi="Giovanni-Book" w:cs="Giovanni-Book"/>
          <w:sz w:val="24"/>
          <w:szCs w:val="24"/>
        </w:rPr>
        <w:t xml:space="preserve"> sebagai</w:t>
      </w:r>
      <w:r w:rsidRPr="00054C5D">
        <w:rPr>
          <w:rFonts w:ascii="Giovanni-Book" w:hAnsi="Giovanni-Book" w:cs="Giovanni-Book"/>
          <w:sz w:val="24"/>
          <w:szCs w:val="24"/>
        </w:rPr>
        <w:t xml:space="preserve"> pendapat yang dikeluarkan oleh orang alim berhubungan dengan hukum-hukum yang berkaitan dengan syari’ah.</w:t>
      </w:r>
      <w:r w:rsidRPr="00054C5D">
        <w:rPr>
          <w:rStyle w:val="FootnoteReference"/>
          <w:rFonts w:ascii="Giovanni-Book" w:hAnsi="Giovanni-Book" w:cs="Giovanni-Book"/>
          <w:sz w:val="24"/>
          <w:szCs w:val="24"/>
        </w:rPr>
        <w:footnoteReference w:id="4"/>
      </w:r>
      <w:r w:rsidR="004020A7">
        <w:rPr>
          <w:rFonts w:ascii="Giovanni-Book" w:hAnsi="Giovanni-Book" w:cs="Giovanni-Book"/>
          <w:sz w:val="24"/>
          <w:szCs w:val="24"/>
        </w:rPr>
        <w:t xml:space="preserve"> </w:t>
      </w:r>
      <w:r w:rsidR="00AE6EFF" w:rsidRPr="00AE6EFF">
        <w:rPr>
          <w:rFonts w:ascii="Times New Roman" w:hAnsi="Times New Roman" w:cs="Times New Roman"/>
          <w:sz w:val="24"/>
          <w:szCs w:val="24"/>
          <w:lang w:val="it-IT"/>
        </w:rPr>
        <w:t>Al-Qara</w:t>
      </w:r>
      <w:r w:rsidR="002B4C98" w:rsidRPr="00AE6EFF">
        <w:rPr>
          <w:rFonts w:ascii="Times New Roman" w:hAnsi="Times New Roman" w:cs="Times New Roman"/>
          <w:sz w:val="24"/>
          <w:szCs w:val="24"/>
          <w:lang w:val="it-IT"/>
        </w:rPr>
        <w:t>dhāwī</w:t>
      </w:r>
      <w:r w:rsidR="00AE6EFF" w:rsidRPr="00AE6EFF">
        <w:rPr>
          <w:rFonts w:ascii="Times New Roman" w:hAnsi="Times New Roman" w:cs="Times New Roman"/>
          <w:sz w:val="24"/>
          <w:szCs w:val="24"/>
          <w:lang w:val="it-IT"/>
        </w:rPr>
        <w:t xml:space="preserve"> (L.1926 M)</w:t>
      </w:r>
      <w:r w:rsidR="004020A7">
        <w:rPr>
          <w:rFonts w:ascii="Times New Roman" w:hAnsi="Times New Roman" w:cs="Times New Roman"/>
          <w:sz w:val="24"/>
          <w:szCs w:val="24"/>
          <w:lang w:val="it-IT"/>
        </w:rPr>
        <w:t xml:space="preserve"> mendefinisikan fatwa sebagai</w:t>
      </w:r>
      <w:r w:rsidR="00BC12A7">
        <w:rPr>
          <w:rFonts w:ascii="Times New Roman" w:hAnsi="Times New Roman" w:cs="Times New Roman"/>
          <w:sz w:val="24"/>
          <w:szCs w:val="24"/>
          <w:lang w:val="it-IT"/>
        </w:rPr>
        <w:t xml:space="preserve"> </w:t>
      </w:r>
      <w:r w:rsidRPr="0079414F">
        <w:rPr>
          <w:rFonts w:ascii="Times New Roman" w:hAnsi="Times New Roman" w:cs="Times New Roman"/>
          <w:sz w:val="24"/>
          <w:szCs w:val="24"/>
          <w:lang w:val="it-IT"/>
        </w:rPr>
        <w:t>“menjelaskan hukum syariat tentang s</w:t>
      </w:r>
      <w:r>
        <w:rPr>
          <w:rFonts w:ascii="Times New Roman" w:hAnsi="Times New Roman" w:cs="Times New Roman"/>
          <w:sz w:val="24"/>
          <w:szCs w:val="24"/>
          <w:lang w:val="it-IT"/>
        </w:rPr>
        <w:t>u</w:t>
      </w:r>
      <w:r w:rsidRPr="0079414F">
        <w:rPr>
          <w:rFonts w:ascii="Times New Roman" w:hAnsi="Times New Roman" w:cs="Times New Roman"/>
          <w:sz w:val="24"/>
          <w:szCs w:val="24"/>
          <w:lang w:val="it-IT"/>
        </w:rPr>
        <w:t xml:space="preserve">atu persoalan sebagai jawaban terhadap </w:t>
      </w:r>
      <w:r w:rsidRPr="0079414F">
        <w:rPr>
          <w:rFonts w:ascii="Times New Roman" w:hAnsi="Times New Roman" w:cs="Times New Roman"/>
          <w:sz w:val="24"/>
          <w:szCs w:val="24"/>
          <w:lang w:val="it-IT"/>
        </w:rPr>
        <w:lastRenderedPageBreak/>
        <w:t>pertanyaan seorang penanya, baik yang jelas maupun samar, individual maupun kolektif”</w:t>
      </w:r>
      <w:r w:rsidRPr="00054C5D">
        <w:rPr>
          <w:rStyle w:val="FootnoteReference"/>
          <w:rFonts w:ascii="Times New Roman" w:hAnsi="Times New Roman" w:cs="Times New Roman"/>
          <w:sz w:val="24"/>
          <w:szCs w:val="24"/>
        </w:rPr>
        <w:footnoteReference w:id="5"/>
      </w:r>
      <w:r w:rsidRPr="0079414F">
        <w:rPr>
          <w:rFonts w:ascii="Times New Roman" w:hAnsi="Times New Roman" w:cs="Times New Roman"/>
          <w:sz w:val="24"/>
          <w:szCs w:val="24"/>
          <w:lang w:val="it-IT"/>
        </w:rPr>
        <w:t xml:space="preserve">. </w:t>
      </w:r>
    </w:p>
    <w:p w:rsidR="004020A7" w:rsidRPr="00702F44" w:rsidRDefault="004020A7" w:rsidP="00E11FC4">
      <w:pPr>
        <w:autoSpaceDE w:val="0"/>
        <w:autoSpaceDN w:val="0"/>
        <w:adjustRightInd w:val="0"/>
        <w:spacing w:after="0" w:line="360" w:lineRule="auto"/>
        <w:ind w:firstLine="720"/>
        <w:jc w:val="both"/>
        <w:rPr>
          <w:rFonts w:ascii="Times New Roman" w:hAnsi="Times New Roman" w:cs="Times New Roman"/>
          <w:sz w:val="24"/>
          <w:szCs w:val="24"/>
          <w:lang w:val="it-IT"/>
        </w:rPr>
      </w:pPr>
      <w:r w:rsidRPr="00702F44">
        <w:rPr>
          <w:rFonts w:ascii="Times New Roman" w:hAnsi="Times New Roman" w:cs="Times New Roman"/>
          <w:sz w:val="24"/>
          <w:szCs w:val="24"/>
          <w:lang w:val="it-IT"/>
        </w:rPr>
        <w:t xml:space="preserve">Dalam </w:t>
      </w:r>
      <w:r w:rsidR="00972E98">
        <w:rPr>
          <w:rFonts w:ascii="Times New Roman" w:hAnsi="Times New Roman" w:cs="Times New Roman"/>
          <w:sz w:val="24"/>
          <w:szCs w:val="24"/>
          <w:lang w:val="it-IT"/>
        </w:rPr>
        <w:t>Al-Qur’ān</w:t>
      </w:r>
      <w:r w:rsidRPr="00702F44">
        <w:rPr>
          <w:rFonts w:ascii="Times New Roman" w:hAnsi="Times New Roman" w:cs="Times New Roman"/>
          <w:sz w:val="24"/>
          <w:szCs w:val="24"/>
          <w:lang w:val="it-IT"/>
        </w:rPr>
        <w:t xml:space="preserve">, Allah SWT menyuruh orang yang tidak memahami suatu permasalahan untuk bertanya kepada ahlinya atau orang yang paham, dalam hal agama tentu ahlinya adalah para ulama, </w:t>
      </w:r>
      <w:r w:rsidR="00E0249C">
        <w:rPr>
          <w:rFonts w:ascii="Times New Roman" w:hAnsi="Times New Roman" w:cs="Times New Roman"/>
          <w:sz w:val="24"/>
          <w:szCs w:val="24"/>
          <w:lang w:val="it-IT"/>
        </w:rPr>
        <w:t>hal itu dijelaskan dalam</w:t>
      </w:r>
      <w:r w:rsidR="003D3043">
        <w:rPr>
          <w:rFonts w:ascii="Times New Roman" w:hAnsi="Times New Roman" w:cs="Times New Roman"/>
          <w:sz w:val="24"/>
          <w:szCs w:val="24"/>
          <w:lang w:val="it-IT"/>
        </w:rPr>
        <w:t xml:space="preserve"> </w:t>
      </w:r>
      <w:r w:rsidRPr="00702F44">
        <w:rPr>
          <w:rFonts w:ascii="Times New Roman" w:hAnsi="Times New Roman" w:cs="Times New Roman"/>
          <w:sz w:val="24"/>
          <w:szCs w:val="24"/>
          <w:lang w:val="it-IT"/>
        </w:rPr>
        <w:t>firman</w:t>
      </w:r>
      <w:r w:rsidR="00E0249C">
        <w:rPr>
          <w:rFonts w:ascii="Times New Roman" w:hAnsi="Times New Roman" w:cs="Times New Roman"/>
          <w:sz w:val="24"/>
          <w:szCs w:val="24"/>
          <w:lang w:val="it-IT"/>
        </w:rPr>
        <w:t xml:space="preserve"> Allah SWT </w:t>
      </w:r>
      <w:r w:rsidR="00DF3AAB">
        <w:rPr>
          <w:rFonts w:ascii="Times New Roman" w:hAnsi="Times New Roman" w:cs="Times New Roman"/>
          <w:sz w:val="24"/>
          <w:szCs w:val="24"/>
          <w:lang w:val="it-IT"/>
        </w:rPr>
        <w:t>s</w:t>
      </w:r>
      <w:r w:rsidR="00153802">
        <w:rPr>
          <w:rFonts w:ascii="Times New Roman" w:hAnsi="Times New Roman" w:cs="Times New Roman"/>
          <w:sz w:val="24"/>
          <w:szCs w:val="24"/>
          <w:lang w:val="it-IT"/>
        </w:rPr>
        <w:t xml:space="preserve">urat </w:t>
      </w:r>
      <w:r w:rsidR="007C6C3C" w:rsidRPr="007C6C3C">
        <w:rPr>
          <w:rStyle w:val="gen"/>
          <w:rFonts w:asciiTheme="majorBidi" w:hAnsiTheme="majorBidi" w:cstheme="majorBidi"/>
          <w:sz w:val="24"/>
          <w:szCs w:val="24"/>
          <w:lang w:val="it-IT"/>
        </w:rPr>
        <w:t>Al-Na</w:t>
      </w:r>
      <w:r w:rsidR="007C6C3C" w:rsidRPr="007C6C3C">
        <w:rPr>
          <w:rFonts w:asciiTheme="majorBidi" w:hAnsiTheme="majorBidi" w:cstheme="majorBidi"/>
          <w:sz w:val="24"/>
          <w:szCs w:val="24"/>
          <w:u w:val="single"/>
        </w:rPr>
        <w:t>h</w:t>
      </w:r>
      <w:r w:rsidR="007C6C3C">
        <w:rPr>
          <w:rStyle w:val="gen"/>
          <w:rFonts w:asciiTheme="majorBidi" w:hAnsiTheme="majorBidi" w:cstheme="majorBidi"/>
          <w:sz w:val="24"/>
          <w:szCs w:val="24"/>
          <w:lang w:val="it-IT"/>
        </w:rPr>
        <w:t xml:space="preserve">l </w:t>
      </w:r>
      <w:r w:rsidR="00DF3AAB">
        <w:rPr>
          <w:rStyle w:val="gen"/>
          <w:rFonts w:asciiTheme="majorBidi" w:hAnsiTheme="majorBidi" w:cstheme="majorBidi"/>
          <w:sz w:val="24"/>
          <w:szCs w:val="24"/>
          <w:lang w:val="it-IT"/>
        </w:rPr>
        <w:t>[16] ayat</w:t>
      </w:r>
      <w:r w:rsidR="00153802" w:rsidRPr="008B1E45">
        <w:rPr>
          <w:rStyle w:val="gen"/>
          <w:rFonts w:asciiTheme="majorBidi" w:hAnsiTheme="majorBidi" w:cstheme="majorBidi"/>
          <w:sz w:val="24"/>
          <w:szCs w:val="24"/>
          <w:lang w:val="it-IT"/>
        </w:rPr>
        <w:t xml:space="preserve"> 43</w:t>
      </w:r>
      <w:r w:rsidR="00153802">
        <w:rPr>
          <w:rStyle w:val="gen"/>
          <w:rFonts w:asciiTheme="majorBidi" w:hAnsiTheme="majorBidi" w:cstheme="majorBidi"/>
          <w:sz w:val="24"/>
          <w:szCs w:val="24"/>
          <w:lang w:val="it-IT"/>
        </w:rPr>
        <w:t xml:space="preserve"> </w:t>
      </w:r>
      <w:r w:rsidR="00E0249C">
        <w:rPr>
          <w:rFonts w:ascii="Times New Roman" w:hAnsi="Times New Roman" w:cs="Times New Roman"/>
          <w:sz w:val="24"/>
          <w:szCs w:val="24"/>
          <w:lang w:val="it-IT"/>
        </w:rPr>
        <w:t xml:space="preserve">yang berbunyi </w:t>
      </w:r>
      <w:r w:rsidRPr="00702F44">
        <w:rPr>
          <w:rFonts w:ascii="Times New Roman" w:hAnsi="Times New Roman" w:cs="Times New Roman"/>
          <w:sz w:val="24"/>
          <w:szCs w:val="24"/>
          <w:lang w:val="it-IT"/>
        </w:rPr>
        <w:t>:</w:t>
      </w:r>
    </w:p>
    <w:p w:rsidR="00784868" w:rsidRPr="008B1E45" w:rsidRDefault="00784868" w:rsidP="00E11FC4">
      <w:pPr>
        <w:autoSpaceDE w:val="0"/>
        <w:autoSpaceDN w:val="0"/>
        <w:bidi/>
        <w:adjustRightInd w:val="0"/>
        <w:spacing w:after="0" w:line="240" w:lineRule="auto"/>
        <w:ind w:right="720" w:firstLine="17"/>
        <w:jc w:val="both"/>
        <w:rPr>
          <w:rFonts w:ascii="(normal text)" w:hAnsi="(normal text)"/>
          <w:lang w:val="it-IT"/>
        </w:rPr>
      </w:pP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A1"/>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9F"/>
      </w:r>
      <w:r>
        <w:rPr>
          <w:sz w:val="28"/>
          <w:szCs w:val="28"/>
        </w:rPr>
        <w:sym w:font="HQPB2" w:char="F040"/>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8"/>
      </w:r>
      <w:r>
        <w:rPr>
          <w:sz w:val="28"/>
          <w:szCs w:val="28"/>
        </w:rPr>
        <w:sym w:font="HQPB2" w:char="F02E"/>
      </w:r>
      <w:r>
        <w:rPr>
          <w:sz w:val="28"/>
          <w:szCs w:val="28"/>
        </w:rPr>
        <w:sym w:font="HQPB4" w:char="F0CF"/>
      </w:r>
      <w:r>
        <w:rPr>
          <w:sz w:val="28"/>
          <w:szCs w:val="28"/>
        </w:rPr>
        <w:sym w:font="HQPB4" w:char="F065"/>
      </w:r>
      <w:r>
        <w:rPr>
          <w:sz w:val="28"/>
          <w:szCs w:val="28"/>
        </w:rPr>
        <w:sym w:font="HQPB3" w:char="F025"/>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7"/>
      </w:r>
      <w:r>
        <w:rPr>
          <w:sz w:val="28"/>
          <w:szCs w:val="28"/>
        </w:rPr>
        <w:sym w:font="HQPB1" w:char="F047"/>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7"/>
      </w:r>
      <w:r>
        <w:rPr>
          <w:sz w:val="28"/>
          <w:szCs w:val="28"/>
        </w:rPr>
        <w:sym w:font="HQPB2" w:char="F048"/>
      </w:r>
      <w:r>
        <w:rPr>
          <w:sz w:val="28"/>
          <w:szCs w:val="28"/>
        </w:rPr>
        <w:sym w:font="HQPB5" w:char="F073"/>
      </w:r>
      <w:r>
        <w:rPr>
          <w:sz w:val="28"/>
          <w:szCs w:val="28"/>
        </w:rPr>
        <w:sym w:font="HQPB2" w:char="F03E"/>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CC"/>
      </w:r>
      <w:r>
        <w:rPr>
          <w:sz w:val="28"/>
          <w:szCs w:val="28"/>
        </w:rPr>
        <w:sym w:font="HQPB2" w:char="F0C8"/>
      </w:r>
      <w:r>
        <w:rPr>
          <w:rFonts w:ascii="(normal text)" w:hAnsi="(normal text)"/>
          <w:rtl/>
        </w:rPr>
        <w:t xml:space="preserve">   </w:t>
      </w:r>
      <w:r w:rsidR="002168A2">
        <w:rPr>
          <w:rFonts w:ascii="(normal text)" w:hAnsi="(normal text)" w:hint="cs"/>
          <w:rtl/>
        </w:rPr>
        <w:t>(</w:t>
      </w:r>
      <w:r w:rsidR="00FC7187">
        <w:rPr>
          <w:rFonts w:ascii="(normal text)" w:hAnsi="(normal text)" w:hint="cs"/>
          <w:rtl/>
        </w:rPr>
        <w:t>ق.سورة</w:t>
      </w:r>
      <w:r w:rsidR="002168A2">
        <w:rPr>
          <w:rFonts w:ascii="(normal text)" w:hAnsi="(normal text)" w:hint="cs"/>
          <w:rtl/>
        </w:rPr>
        <w:t xml:space="preserve"> النحل :</w:t>
      </w:r>
      <w:r w:rsidR="00FC7187">
        <w:rPr>
          <w:rFonts w:ascii="(normal text)" w:hAnsi="(normal text)" w:hint="cs"/>
          <w:rtl/>
        </w:rPr>
        <w:t>16/</w:t>
      </w:r>
      <w:r w:rsidR="002168A2">
        <w:rPr>
          <w:rFonts w:ascii="(normal text)" w:hAnsi="(normal text)" w:hint="cs"/>
          <w:rtl/>
        </w:rPr>
        <w:t xml:space="preserve"> 43 )</w:t>
      </w:r>
    </w:p>
    <w:p w:rsidR="004020A7" w:rsidRDefault="00784868" w:rsidP="00AE6EFF">
      <w:pPr>
        <w:autoSpaceDE w:val="0"/>
        <w:autoSpaceDN w:val="0"/>
        <w:adjustRightInd w:val="0"/>
        <w:spacing w:after="0" w:line="240" w:lineRule="auto"/>
        <w:ind w:left="720"/>
        <w:jc w:val="both"/>
        <w:rPr>
          <w:rStyle w:val="gen"/>
          <w:rFonts w:asciiTheme="majorBidi" w:hAnsiTheme="majorBidi" w:cstheme="majorBidi"/>
          <w:i/>
          <w:iCs/>
          <w:sz w:val="24"/>
          <w:szCs w:val="24"/>
          <w:lang w:val="it-IT"/>
        </w:rPr>
      </w:pPr>
      <w:r w:rsidRPr="008B1E45">
        <w:rPr>
          <w:rFonts w:asciiTheme="majorBidi" w:hAnsiTheme="majorBidi" w:cstheme="majorBidi"/>
          <w:i/>
          <w:iCs/>
          <w:sz w:val="24"/>
          <w:szCs w:val="24"/>
          <w:lang w:val="it-IT"/>
        </w:rPr>
        <w:t>“</w:t>
      </w:r>
      <w:r w:rsidR="00D45AEE">
        <w:rPr>
          <w:rFonts w:asciiTheme="majorBidi" w:hAnsiTheme="majorBidi" w:cstheme="majorBidi"/>
          <w:i/>
          <w:iCs/>
          <w:sz w:val="24"/>
          <w:szCs w:val="24"/>
          <w:lang w:val="it-IT"/>
        </w:rPr>
        <w:t>..</w:t>
      </w:r>
      <w:r w:rsidRPr="008B1E45">
        <w:rPr>
          <w:rFonts w:asciiTheme="majorBidi" w:hAnsiTheme="majorBidi" w:cstheme="majorBidi"/>
          <w:i/>
          <w:iCs/>
          <w:sz w:val="24"/>
          <w:szCs w:val="24"/>
          <w:lang w:val="it-IT"/>
        </w:rPr>
        <w:t>Maka bertanyalah kepada orang yang mempunyai pengetahuan jika kamu tidak mengetahui</w:t>
      </w:r>
      <w:r w:rsidR="00D45AEE">
        <w:rPr>
          <w:rFonts w:asciiTheme="majorBidi" w:hAnsiTheme="majorBidi" w:cstheme="majorBidi"/>
          <w:i/>
          <w:iCs/>
          <w:sz w:val="24"/>
          <w:szCs w:val="24"/>
          <w:lang w:val="it-IT"/>
        </w:rPr>
        <w:t>”</w:t>
      </w:r>
      <w:r w:rsidRPr="008B1E45">
        <w:rPr>
          <w:rStyle w:val="gen"/>
          <w:rFonts w:asciiTheme="majorBidi" w:hAnsiTheme="majorBidi" w:cstheme="majorBidi"/>
          <w:sz w:val="24"/>
          <w:szCs w:val="24"/>
          <w:lang w:val="it-IT"/>
        </w:rPr>
        <w:t xml:space="preserve"> ( QS. </w:t>
      </w:r>
      <w:r w:rsidR="007C6C3C" w:rsidRPr="007C6C3C">
        <w:rPr>
          <w:rStyle w:val="gen"/>
          <w:rFonts w:asciiTheme="majorBidi" w:hAnsiTheme="majorBidi" w:cstheme="majorBidi"/>
          <w:sz w:val="24"/>
          <w:szCs w:val="24"/>
          <w:lang w:val="it-IT"/>
        </w:rPr>
        <w:t>Al-Na</w:t>
      </w:r>
      <w:r w:rsidR="007C6C3C" w:rsidRPr="00D45AEE">
        <w:rPr>
          <w:rFonts w:asciiTheme="majorBidi" w:hAnsiTheme="majorBidi" w:cstheme="majorBidi"/>
          <w:sz w:val="24"/>
          <w:szCs w:val="24"/>
          <w:u w:val="single"/>
          <w:lang w:val="it-IT"/>
        </w:rPr>
        <w:t>h</w:t>
      </w:r>
      <w:r w:rsidR="007C6C3C">
        <w:rPr>
          <w:rStyle w:val="gen"/>
          <w:rFonts w:asciiTheme="majorBidi" w:hAnsiTheme="majorBidi" w:cstheme="majorBidi"/>
          <w:sz w:val="24"/>
          <w:szCs w:val="24"/>
          <w:lang w:val="it-IT"/>
        </w:rPr>
        <w:t xml:space="preserve">l </w:t>
      </w:r>
      <w:r w:rsidR="002168A2" w:rsidRPr="008B1E45">
        <w:rPr>
          <w:rStyle w:val="gen"/>
          <w:rFonts w:asciiTheme="majorBidi" w:hAnsiTheme="majorBidi" w:cstheme="majorBidi"/>
          <w:sz w:val="24"/>
          <w:szCs w:val="24"/>
          <w:lang w:val="it-IT"/>
        </w:rPr>
        <w:t xml:space="preserve">[16] : </w:t>
      </w:r>
      <w:r w:rsidR="004020A7" w:rsidRPr="008B1E45">
        <w:rPr>
          <w:rStyle w:val="gen"/>
          <w:rFonts w:asciiTheme="majorBidi" w:hAnsiTheme="majorBidi" w:cstheme="majorBidi"/>
          <w:sz w:val="24"/>
          <w:szCs w:val="24"/>
          <w:lang w:val="it-IT"/>
        </w:rPr>
        <w:t>43)</w:t>
      </w:r>
      <w:r w:rsidR="004020A7">
        <w:rPr>
          <w:rStyle w:val="FootnoteReference"/>
          <w:rFonts w:asciiTheme="majorBidi" w:hAnsiTheme="majorBidi" w:cstheme="majorBidi"/>
          <w:sz w:val="24"/>
          <w:szCs w:val="24"/>
        </w:rPr>
        <w:footnoteReference w:id="6"/>
      </w:r>
    </w:p>
    <w:p w:rsidR="00AE6EFF" w:rsidRPr="00AE6EFF" w:rsidRDefault="00AE6EFF" w:rsidP="00AE6EFF">
      <w:pPr>
        <w:autoSpaceDE w:val="0"/>
        <w:autoSpaceDN w:val="0"/>
        <w:adjustRightInd w:val="0"/>
        <w:spacing w:after="0" w:line="240" w:lineRule="auto"/>
        <w:ind w:left="720"/>
        <w:jc w:val="both"/>
        <w:rPr>
          <w:rStyle w:val="gen"/>
          <w:rFonts w:asciiTheme="majorBidi" w:hAnsiTheme="majorBidi" w:cstheme="majorBidi"/>
          <w:i/>
          <w:iCs/>
          <w:sz w:val="24"/>
          <w:szCs w:val="24"/>
          <w:lang w:val="it-IT"/>
        </w:rPr>
      </w:pPr>
    </w:p>
    <w:p w:rsidR="004020A7" w:rsidRPr="008B1E45" w:rsidRDefault="00F15564" w:rsidP="00AE6EFF">
      <w:pPr>
        <w:autoSpaceDE w:val="0"/>
        <w:autoSpaceDN w:val="0"/>
        <w:adjustRightInd w:val="0"/>
        <w:spacing w:after="0" w:line="360" w:lineRule="auto"/>
        <w:ind w:firstLine="720"/>
        <w:jc w:val="both"/>
        <w:rPr>
          <w:rStyle w:val="gen"/>
          <w:rFonts w:asciiTheme="majorBidi" w:hAnsiTheme="majorBidi" w:cstheme="majorBidi"/>
          <w:color w:val="000000" w:themeColor="text1"/>
          <w:sz w:val="24"/>
          <w:szCs w:val="24"/>
          <w:lang w:val="it-IT"/>
        </w:rPr>
      </w:pPr>
      <w:r w:rsidRPr="00DB1EC9">
        <w:rPr>
          <w:rStyle w:val="gen"/>
          <w:rFonts w:asciiTheme="majorBidi" w:hAnsiTheme="majorBidi" w:cstheme="majorBidi"/>
          <w:sz w:val="24"/>
          <w:szCs w:val="24"/>
          <w:lang w:val="it-IT"/>
        </w:rPr>
        <w:t>Al-Mar</w:t>
      </w:r>
      <w:r w:rsidR="00AE6EFF" w:rsidRPr="00DB1EC9">
        <w:rPr>
          <w:rFonts w:asciiTheme="majorBidi" w:hAnsiTheme="majorBidi" w:cstheme="majorBidi"/>
          <w:sz w:val="24"/>
          <w:szCs w:val="24"/>
          <w:lang w:val="it-IT"/>
        </w:rPr>
        <w:t>ā</w:t>
      </w:r>
      <w:r w:rsidRPr="00DB1EC9">
        <w:rPr>
          <w:rStyle w:val="gen"/>
          <w:rFonts w:asciiTheme="majorBidi" w:hAnsiTheme="majorBidi" w:cstheme="majorBidi"/>
          <w:sz w:val="24"/>
          <w:szCs w:val="24"/>
          <w:lang w:val="it-IT"/>
        </w:rPr>
        <w:t>ghi</w:t>
      </w:r>
      <w:r w:rsidR="00DB1EC9">
        <w:rPr>
          <w:rStyle w:val="gen"/>
          <w:rFonts w:asciiTheme="majorBidi" w:hAnsiTheme="majorBidi" w:cstheme="majorBidi"/>
          <w:sz w:val="24"/>
          <w:szCs w:val="24"/>
          <w:lang w:val="it-IT"/>
        </w:rPr>
        <w:t xml:space="preserve"> (</w:t>
      </w:r>
      <w:r w:rsidR="00DB1EC9" w:rsidRPr="00DB1EC9">
        <w:rPr>
          <w:rStyle w:val="gen"/>
          <w:rFonts w:asciiTheme="majorBidi" w:hAnsiTheme="majorBidi" w:cstheme="majorBidi"/>
          <w:sz w:val="24"/>
          <w:szCs w:val="24"/>
          <w:lang w:val="it-IT"/>
        </w:rPr>
        <w:t>w.</w:t>
      </w:r>
      <w:r w:rsidR="00DB1EC9">
        <w:rPr>
          <w:rStyle w:val="gen"/>
          <w:rFonts w:asciiTheme="majorBidi" w:hAnsiTheme="majorBidi" w:cstheme="majorBidi"/>
          <w:sz w:val="24"/>
          <w:szCs w:val="24"/>
          <w:lang w:val="it-IT"/>
        </w:rPr>
        <w:t xml:space="preserve"> </w:t>
      </w:r>
      <w:r w:rsidR="00DB1EC9" w:rsidRPr="00DB1EC9">
        <w:rPr>
          <w:rStyle w:val="gen"/>
          <w:rFonts w:asciiTheme="majorBidi" w:hAnsiTheme="majorBidi" w:cstheme="majorBidi"/>
          <w:sz w:val="24"/>
          <w:szCs w:val="24"/>
          <w:lang w:val="it-IT"/>
        </w:rPr>
        <w:t>1364 H)</w:t>
      </w:r>
      <w:r w:rsidRPr="008B1E45">
        <w:rPr>
          <w:rStyle w:val="gen"/>
          <w:rFonts w:asciiTheme="majorBidi" w:hAnsiTheme="majorBidi" w:cstheme="majorBidi"/>
          <w:color w:val="000000" w:themeColor="text1"/>
          <w:sz w:val="24"/>
          <w:szCs w:val="24"/>
          <w:lang w:val="it-IT"/>
        </w:rPr>
        <w:t xml:space="preserve"> </w:t>
      </w:r>
      <w:r w:rsidR="00905DA3" w:rsidRPr="008B1E45">
        <w:rPr>
          <w:rStyle w:val="gen"/>
          <w:rFonts w:asciiTheme="majorBidi" w:hAnsiTheme="majorBidi" w:cstheme="majorBidi"/>
          <w:color w:val="000000" w:themeColor="text1"/>
          <w:sz w:val="24"/>
          <w:szCs w:val="24"/>
          <w:lang w:val="it-IT"/>
        </w:rPr>
        <w:t>saat menafsirkan ayat di</w:t>
      </w:r>
      <w:r w:rsidR="00D45AEE">
        <w:rPr>
          <w:rStyle w:val="gen"/>
          <w:rFonts w:asciiTheme="majorBidi" w:hAnsiTheme="majorBidi" w:cstheme="majorBidi"/>
          <w:color w:val="000000" w:themeColor="text1"/>
          <w:sz w:val="24"/>
          <w:szCs w:val="24"/>
          <w:lang w:val="it-IT"/>
        </w:rPr>
        <w:t xml:space="preserve"> </w:t>
      </w:r>
      <w:r w:rsidR="00905DA3" w:rsidRPr="008B1E45">
        <w:rPr>
          <w:rStyle w:val="gen"/>
          <w:rFonts w:asciiTheme="majorBidi" w:hAnsiTheme="majorBidi" w:cstheme="majorBidi"/>
          <w:color w:val="000000" w:themeColor="text1"/>
          <w:sz w:val="24"/>
          <w:szCs w:val="24"/>
          <w:lang w:val="it-IT"/>
        </w:rPr>
        <w:t xml:space="preserve">atas </w:t>
      </w:r>
      <w:r w:rsidRPr="008B1E45">
        <w:rPr>
          <w:rStyle w:val="gen"/>
          <w:rFonts w:asciiTheme="majorBidi" w:hAnsiTheme="majorBidi" w:cstheme="majorBidi"/>
          <w:color w:val="000000" w:themeColor="text1"/>
          <w:sz w:val="24"/>
          <w:szCs w:val="24"/>
          <w:lang w:val="it-IT"/>
        </w:rPr>
        <w:t>berkata:</w:t>
      </w:r>
      <w:r w:rsidR="00D45AEE">
        <w:rPr>
          <w:rStyle w:val="gen"/>
          <w:rFonts w:asciiTheme="majorBidi" w:hAnsiTheme="majorBidi" w:cstheme="majorBidi"/>
          <w:color w:val="000000" w:themeColor="text1"/>
          <w:sz w:val="24"/>
          <w:szCs w:val="24"/>
          <w:lang w:val="it-IT"/>
        </w:rPr>
        <w:t>“</w:t>
      </w:r>
      <w:r w:rsidR="004020A7" w:rsidRPr="008B1E45">
        <w:rPr>
          <w:rStyle w:val="gen"/>
          <w:rFonts w:asciiTheme="majorBidi" w:hAnsiTheme="majorBidi" w:cstheme="majorBidi"/>
          <w:color w:val="000000" w:themeColor="text1"/>
          <w:sz w:val="24"/>
          <w:szCs w:val="24"/>
          <w:lang w:val="it-IT"/>
        </w:rPr>
        <w:t xml:space="preserve">Jika seseorang mengikuti orang lain dalam hal agama, </w:t>
      </w:r>
      <w:r w:rsidRPr="008B1E45">
        <w:rPr>
          <w:rStyle w:val="gen"/>
          <w:rFonts w:asciiTheme="majorBidi" w:hAnsiTheme="majorBidi" w:cstheme="majorBidi"/>
          <w:color w:val="000000" w:themeColor="text1"/>
          <w:sz w:val="24"/>
          <w:szCs w:val="24"/>
          <w:lang w:val="it-IT"/>
        </w:rPr>
        <w:t>dan</w:t>
      </w:r>
      <w:r w:rsidR="004020A7" w:rsidRPr="008B1E45">
        <w:rPr>
          <w:rStyle w:val="gen"/>
          <w:rFonts w:asciiTheme="majorBidi" w:hAnsiTheme="majorBidi" w:cstheme="majorBidi"/>
          <w:color w:val="000000" w:themeColor="text1"/>
          <w:sz w:val="24"/>
          <w:szCs w:val="24"/>
          <w:lang w:val="it-IT"/>
        </w:rPr>
        <w:t xml:space="preserve"> yang jadi ikutan itu telah diyakini kebenarannya, maka h</w:t>
      </w:r>
      <w:r w:rsidR="00D45AEE">
        <w:rPr>
          <w:rStyle w:val="gen"/>
          <w:rFonts w:asciiTheme="majorBidi" w:hAnsiTheme="majorBidi" w:cstheme="majorBidi"/>
          <w:color w:val="000000" w:themeColor="text1"/>
          <w:sz w:val="24"/>
          <w:szCs w:val="24"/>
          <w:lang w:val="it-IT"/>
        </w:rPr>
        <w:t>al seperti ini tidak di katakan</w:t>
      </w:r>
      <w:r w:rsidR="004020A7" w:rsidRPr="008B1E45">
        <w:rPr>
          <w:rStyle w:val="gen"/>
          <w:rFonts w:asciiTheme="majorBidi" w:hAnsiTheme="majorBidi" w:cstheme="majorBidi"/>
          <w:color w:val="000000" w:themeColor="text1"/>
          <w:sz w:val="24"/>
          <w:szCs w:val="24"/>
          <w:lang w:val="it-IT"/>
        </w:rPr>
        <w:t xml:space="preserve"> </w:t>
      </w:r>
      <w:r w:rsidR="00230DE7" w:rsidRPr="008B1E45">
        <w:rPr>
          <w:rStyle w:val="gen"/>
          <w:rFonts w:asciiTheme="majorBidi" w:hAnsiTheme="majorBidi" w:cstheme="majorBidi"/>
          <w:i/>
          <w:iCs/>
          <w:color w:val="000000" w:themeColor="text1"/>
          <w:sz w:val="24"/>
          <w:szCs w:val="24"/>
          <w:lang w:val="it-IT"/>
        </w:rPr>
        <w:t>taql</w:t>
      </w:r>
      <w:r w:rsidR="00230DE7" w:rsidRPr="009F12EA">
        <w:rPr>
          <w:rFonts w:asciiTheme="majorBidi" w:hAnsiTheme="majorBidi" w:cstheme="majorBidi"/>
          <w:i/>
          <w:iCs/>
          <w:lang w:val="it-IT"/>
        </w:rPr>
        <w:t>ī</w:t>
      </w:r>
      <w:r w:rsidR="00230DE7" w:rsidRPr="008B1E45">
        <w:rPr>
          <w:rStyle w:val="gen"/>
          <w:rFonts w:asciiTheme="majorBidi" w:hAnsiTheme="majorBidi" w:cstheme="majorBidi"/>
          <w:i/>
          <w:iCs/>
          <w:color w:val="000000" w:themeColor="text1"/>
          <w:sz w:val="24"/>
          <w:szCs w:val="24"/>
          <w:lang w:val="it-IT"/>
        </w:rPr>
        <w:t>d</w:t>
      </w:r>
      <w:r w:rsidR="004020A7" w:rsidRPr="008B1E45">
        <w:rPr>
          <w:rStyle w:val="gen"/>
          <w:rFonts w:asciiTheme="majorBidi" w:hAnsiTheme="majorBidi" w:cstheme="majorBidi"/>
          <w:color w:val="000000" w:themeColor="text1"/>
          <w:sz w:val="24"/>
          <w:szCs w:val="24"/>
          <w:lang w:val="it-IT"/>
        </w:rPr>
        <w:t>, tetapi masuk dalam kategori mengikuti perintah Allah untuk bertanya kepada yang mengetahui, ataupun ahlinya”</w:t>
      </w:r>
      <w:r w:rsidR="004020A7" w:rsidRPr="007C44D9">
        <w:rPr>
          <w:rStyle w:val="FootnoteReference"/>
          <w:rFonts w:asciiTheme="majorBidi" w:hAnsiTheme="majorBidi" w:cstheme="majorBidi"/>
          <w:color w:val="000000" w:themeColor="text1"/>
          <w:sz w:val="24"/>
          <w:szCs w:val="24"/>
        </w:rPr>
        <w:footnoteReference w:id="7"/>
      </w:r>
    </w:p>
    <w:p w:rsidR="004C10C1" w:rsidRPr="009F12EA" w:rsidRDefault="009352A5" w:rsidP="009F12EA">
      <w:pPr>
        <w:pStyle w:val="ListParagraph"/>
        <w:spacing w:line="360" w:lineRule="auto"/>
        <w:ind w:left="0" w:firstLine="720"/>
        <w:jc w:val="both"/>
        <w:rPr>
          <w:rFonts w:asciiTheme="majorBidi" w:hAnsiTheme="majorBidi" w:cstheme="majorBidi"/>
          <w:i/>
          <w:iCs/>
          <w:lang w:val="it-IT"/>
        </w:rPr>
      </w:pPr>
      <w:r>
        <w:rPr>
          <w:rFonts w:ascii="Times New Roman" w:hAnsi="Times New Roman" w:cs="Times New Roman"/>
          <w:sz w:val="24"/>
          <w:szCs w:val="24"/>
          <w:lang w:val="it-IT"/>
        </w:rPr>
        <w:t xml:space="preserve">Dalam beberapa </w:t>
      </w:r>
      <w:r w:rsidR="004C10C1" w:rsidRPr="008B1E45">
        <w:rPr>
          <w:rFonts w:ascii="Times New Roman" w:hAnsi="Times New Roman" w:cs="Times New Roman"/>
          <w:sz w:val="24"/>
          <w:szCs w:val="24"/>
          <w:lang w:val="it-IT"/>
        </w:rPr>
        <w:t xml:space="preserve">ayat </w:t>
      </w:r>
      <w:r w:rsidR="00972E98">
        <w:rPr>
          <w:rFonts w:ascii="Times New Roman" w:hAnsi="Times New Roman" w:cs="Times New Roman"/>
          <w:sz w:val="24"/>
          <w:szCs w:val="24"/>
          <w:lang w:val="it-IT"/>
        </w:rPr>
        <w:t>Al-Qur’ān</w:t>
      </w:r>
      <w:r>
        <w:rPr>
          <w:rFonts w:ascii="Times New Roman" w:hAnsi="Times New Roman" w:cs="Times New Roman"/>
          <w:sz w:val="24"/>
          <w:szCs w:val="24"/>
          <w:lang w:val="it-IT"/>
        </w:rPr>
        <w:t xml:space="preserve"> banyak ditemui kata</w:t>
      </w:r>
      <w:r w:rsidR="00247DF8" w:rsidRPr="008B1E45">
        <w:rPr>
          <w:rFonts w:ascii="Times New Roman" w:hAnsi="Times New Roman" w:cs="Times New Roman"/>
          <w:sz w:val="24"/>
          <w:szCs w:val="24"/>
          <w:lang w:val="it-IT"/>
        </w:rPr>
        <w:t>“</w:t>
      </w:r>
      <w:r w:rsidR="00247DF8">
        <w:rPr>
          <w:rFonts w:ascii="Times New Roman" w:hAnsi="Times New Roman" w:cs="Times New Roman" w:hint="cs"/>
          <w:sz w:val="24"/>
          <w:szCs w:val="24"/>
          <w:rtl/>
        </w:rPr>
        <w:t>يسئلونك</w:t>
      </w:r>
      <w:r w:rsidR="00247DF8" w:rsidRPr="008B1E45">
        <w:rPr>
          <w:sz w:val="14"/>
          <w:szCs w:val="14"/>
          <w:lang w:val="it-IT"/>
        </w:rPr>
        <w:t xml:space="preserve"> </w:t>
      </w:r>
      <w:r w:rsidR="00247DF8" w:rsidRPr="008B1E45">
        <w:rPr>
          <w:rFonts w:ascii="Times New Roman" w:hAnsi="Times New Roman" w:cs="Times New Roman"/>
          <w:sz w:val="24"/>
          <w:szCs w:val="24"/>
          <w:lang w:val="it-IT"/>
        </w:rPr>
        <w:t xml:space="preserve">/ </w:t>
      </w:r>
      <w:r w:rsidR="004C10C1" w:rsidRPr="008B1E45">
        <w:rPr>
          <w:rFonts w:ascii="Times New Roman" w:hAnsi="Times New Roman" w:cs="Times New Roman"/>
          <w:i/>
          <w:iCs/>
          <w:sz w:val="24"/>
          <w:szCs w:val="24"/>
          <w:lang w:val="it-IT"/>
        </w:rPr>
        <w:t>yas</w:t>
      </w:r>
      <w:r w:rsidR="009F12EA" w:rsidRPr="009F12EA">
        <w:rPr>
          <w:rFonts w:cstheme="minorHAnsi"/>
          <w:lang w:val="it-IT"/>
        </w:rPr>
        <w:t>’</w:t>
      </w:r>
      <w:r w:rsidR="004C10C1" w:rsidRPr="008B1E45">
        <w:rPr>
          <w:rFonts w:ascii="Times New Roman" w:hAnsi="Times New Roman" w:cs="Times New Roman"/>
          <w:i/>
          <w:iCs/>
          <w:sz w:val="24"/>
          <w:szCs w:val="24"/>
          <w:lang w:val="it-IT"/>
        </w:rPr>
        <w:t>al</w:t>
      </w:r>
      <w:r w:rsidR="009F12EA" w:rsidRPr="009F12EA">
        <w:rPr>
          <w:rFonts w:asciiTheme="majorBidi" w:hAnsiTheme="majorBidi" w:cstheme="majorBidi"/>
          <w:i/>
          <w:iCs/>
          <w:lang w:val="it-IT"/>
        </w:rPr>
        <w:t>ū</w:t>
      </w:r>
      <w:r w:rsidR="004C10C1" w:rsidRPr="008B1E45">
        <w:rPr>
          <w:rFonts w:ascii="Times New Roman" w:hAnsi="Times New Roman" w:cs="Times New Roman"/>
          <w:i/>
          <w:iCs/>
          <w:sz w:val="24"/>
          <w:szCs w:val="24"/>
          <w:lang w:val="it-IT"/>
        </w:rPr>
        <w:t xml:space="preserve">naka” </w:t>
      </w:r>
      <w:r w:rsidR="004020A7" w:rsidRPr="008B1E45">
        <w:rPr>
          <w:rFonts w:ascii="Times New Roman" w:hAnsi="Times New Roman" w:cs="Times New Roman"/>
          <w:sz w:val="24"/>
          <w:szCs w:val="24"/>
          <w:lang w:val="it-IT"/>
        </w:rPr>
        <w:t xml:space="preserve">yang </w:t>
      </w:r>
      <w:r w:rsidR="004C10C1" w:rsidRPr="008B1E45">
        <w:rPr>
          <w:rFonts w:ascii="Times New Roman" w:hAnsi="Times New Roman" w:cs="Times New Roman"/>
          <w:sz w:val="24"/>
          <w:szCs w:val="24"/>
          <w:lang w:val="it-IT"/>
        </w:rPr>
        <w:t>artinya mereka menanyakan sesuatu kepadamu Muhammad saw (</w:t>
      </w:r>
      <w:r w:rsidR="004020A7" w:rsidRPr="008B1E45">
        <w:rPr>
          <w:rFonts w:ascii="Times New Roman" w:hAnsi="Times New Roman" w:cs="Times New Roman"/>
          <w:sz w:val="24"/>
          <w:szCs w:val="24"/>
          <w:lang w:val="it-IT"/>
        </w:rPr>
        <w:t>me</w:t>
      </w:r>
      <w:r w:rsidR="004C10C1" w:rsidRPr="008B1E45">
        <w:rPr>
          <w:rFonts w:ascii="Times New Roman" w:hAnsi="Times New Roman" w:cs="Times New Roman"/>
          <w:sz w:val="24"/>
          <w:szCs w:val="24"/>
          <w:lang w:val="it-IT"/>
        </w:rPr>
        <w:t>minta fatwa).</w:t>
      </w:r>
      <w:r w:rsidR="004C10C1" w:rsidRPr="008B1E45">
        <w:rPr>
          <w:rFonts w:ascii="Times New Roman" w:hAnsi="Times New Roman" w:cs="Times New Roman"/>
          <w:i/>
          <w:iCs/>
          <w:sz w:val="24"/>
          <w:szCs w:val="24"/>
          <w:lang w:val="it-IT"/>
        </w:rPr>
        <w:t xml:space="preserve"> </w:t>
      </w:r>
      <w:r w:rsidR="004C10C1" w:rsidRPr="008B1E45">
        <w:rPr>
          <w:rFonts w:ascii="Times New Roman" w:hAnsi="Times New Roman" w:cs="Times New Roman"/>
          <w:sz w:val="24"/>
          <w:szCs w:val="24"/>
          <w:lang w:val="it-IT"/>
        </w:rPr>
        <w:t xml:space="preserve">Beberapa contoh pertanyaan yang diajukan dalam </w:t>
      </w:r>
      <w:r w:rsidR="00972E98">
        <w:rPr>
          <w:rFonts w:ascii="Times New Roman" w:hAnsi="Times New Roman" w:cs="Times New Roman"/>
          <w:sz w:val="24"/>
          <w:szCs w:val="24"/>
          <w:lang w:val="it-IT"/>
        </w:rPr>
        <w:t>al-Qur’ān</w:t>
      </w:r>
      <w:r w:rsidR="004C10C1" w:rsidRPr="008B1E45">
        <w:rPr>
          <w:rFonts w:ascii="Times New Roman" w:hAnsi="Times New Roman" w:cs="Times New Roman"/>
          <w:i/>
          <w:iCs/>
          <w:sz w:val="24"/>
          <w:szCs w:val="24"/>
          <w:lang w:val="it-IT"/>
        </w:rPr>
        <w:t xml:space="preserve"> </w:t>
      </w:r>
      <w:r w:rsidR="004C10C1" w:rsidRPr="008B1E45">
        <w:rPr>
          <w:rFonts w:ascii="Times New Roman" w:hAnsi="Times New Roman" w:cs="Times New Roman"/>
          <w:sz w:val="24"/>
          <w:szCs w:val="24"/>
          <w:lang w:val="it-IT"/>
        </w:rPr>
        <w:t xml:space="preserve">menggunakan kata </w:t>
      </w:r>
      <w:r w:rsidR="00247DF8" w:rsidRPr="008B1E45">
        <w:rPr>
          <w:rFonts w:ascii="Times New Roman" w:hAnsi="Times New Roman" w:cs="Times New Roman"/>
          <w:sz w:val="24"/>
          <w:szCs w:val="24"/>
          <w:lang w:val="it-IT"/>
        </w:rPr>
        <w:t xml:space="preserve">“ </w:t>
      </w:r>
      <w:r w:rsidR="00247DF8">
        <w:rPr>
          <w:rFonts w:ascii="Times New Roman" w:hAnsi="Times New Roman" w:cs="Times New Roman" w:hint="cs"/>
          <w:sz w:val="24"/>
          <w:szCs w:val="24"/>
          <w:rtl/>
        </w:rPr>
        <w:t>يسئلونك</w:t>
      </w:r>
      <w:r w:rsidR="00247DF8" w:rsidRPr="008B1E45">
        <w:rPr>
          <w:sz w:val="14"/>
          <w:szCs w:val="14"/>
          <w:lang w:val="it-IT"/>
        </w:rPr>
        <w:t xml:space="preserve"> </w:t>
      </w:r>
      <w:r w:rsidR="00247DF8" w:rsidRPr="008B1E45">
        <w:rPr>
          <w:rFonts w:ascii="Times New Roman" w:hAnsi="Times New Roman" w:cs="Times New Roman"/>
          <w:sz w:val="24"/>
          <w:szCs w:val="24"/>
          <w:lang w:val="it-IT"/>
        </w:rPr>
        <w:t xml:space="preserve">/ </w:t>
      </w:r>
      <w:r w:rsidR="009F12EA" w:rsidRPr="008B1E45">
        <w:rPr>
          <w:rFonts w:ascii="Times New Roman" w:hAnsi="Times New Roman" w:cs="Times New Roman"/>
          <w:i/>
          <w:iCs/>
          <w:sz w:val="24"/>
          <w:szCs w:val="24"/>
          <w:lang w:val="it-IT"/>
        </w:rPr>
        <w:t>yas</w:t>
      </w:r>
      <w:r w:rsidR="009F12EA" w:rsidRPr="009F12EA">
        <w:rPr>
          <w:rFonts w:cstheme="minorHAnsi"/>
          <w:lang w:val="it-IT"/>
        </w:rPr>
        <w:t>’</w:t>
      </w:r>
      <w:r w:rsidR="009F12EA" w:rsidRPr="008B1E45">
        <w:rPr>
          <w:rFonts w:ascii="Times New Roman" w:hAnsi="Times New Roman" w:cs="Times New Roman"/>
          <w:i/>
          <w:iCs/>
          <w:sz w:val="24"/>
          <w:szCs w:val="24"/>
          <w:lang w:val="it-IT"/>
        </w:rPr>
        <w:t>al</w:t>
      </w:r>
      <w:r w:rsidR="009F12EA" w:rsidRPr="009F12EA">
        <w:rPr>
          <w:rFonts w:asciiTheme="majorBidi" w:hAnsiTheme="majorBidi" w:cstheme="majorBidi"/>
          <w:i/>
          <w:iCs/>
          <w:lang w:val="it-IT"/>
        </w:rPr>
        <w:t>ū</w:t>
      </w:r>
      <w:r w:rsidR="009F12EA" w:rsidRPr="008B1E45">
        <w:rPr>
          <w:rFonts w:ascii="Times New Roman" w:hAnsi="Times New Roman" w:cs="Times New Roman"/>
          <w:i/>
          <w:iCs/>
          <w:sz w:val="24"/>
          <w:szCs w:val="24"/>
          <w:lang w:val="it-IT"/>
        </w:rPr>
        <w:t>naka</w:t>
      </w:r>
      <w:r w:rsidR="00247DF8" w:rsidRPr="008B1E45">
        <w:rPr>
          <w:rFonts w:ascii="Times New Roman" w:hAnsi="Times New Roman" w:cs="Times New Roman"/>
          <w:i/>
          <w:iCs/>
          <w:sz w:val="24"/>
          <w:szCs w:val="24"/>
          <w:lang w:val="it-IT"/>
        </w:rPr>
        <w:t>”</w:t>
      </w:r>
      <w:r w:rsidR="004C10C1" w:rsidRPr="008B1E45">
        <w:rPr>
          <w:rFonts w:ascii="Times New Roman" w:hAnsi="Times New Roman" w:cs="Times New Roman"/>
          <w:i/>
          <w:iCs/>
          <w:sz w:val="24"/>
          <w:szCs w:val="24"/>
          <w:lang w:val="it-IT"/>
        </w:rPr>
        <w:t xml:space="preserve"> </w:t>
      </w:r>
      <w:r w:rsidR="004C10C1" w:rsidRPr="008B1E45">
        <w:rPr>
          <w:rFonts w:ascii="Times New Roman" w:hAnsi="Times New Roman" w:cs="Times New Roman"/>
          <w:sz w:val="24"/>
          <w:szCs w:val="24"/>
          <w:lang w:val="it-IT"/>
        </w:rPr>
        <w:t>yang memerlukan jawaban konkret,</w:t>
      </w:r>
      <w:r w:rsidR="004C10C1" w:rsidRPr="008B1E45">
        <w:rPr>
          <w:rFonts w:ascii="Times New Roman" w:hAnsi="Times New Roman" w:cs="Times New Roman"/>
          <w:i/>
          <w:iCs/>
          <w:sz w:val="24"/>
          <w:szCs w:val="24"/>
          <w:lang w:val="it-IT"/>
        </w:rPr>
        <w:t xml:space="preserve"> </w:t>
      </w:r>
      <w:r w:rsidR="004C10C1" w:rsidRPr="008B1E45">
        <w:rPr>
          <w:rFonts w:ascii="Times New Roman" w:hAnsi="Times New Roman" w:cs="Times New Roman"/>
          <w:sz w:val="24"/>
          <w:szCs w:val="24"/>
          <w:lang w:val="it-IT"/>
        </w:rPr>
        <w:t>antara lain:</w:t>
      </w:r>
    </w:p>
    <w:p w:rsidR="004C10C1" w:rsidRDefault="004C10C1" w:rsidP="00A33E46">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D03B2">
        <w:rPr>
          <w:rFonts w:ascii="Times New Roman" w:hAnsi="Times New Roman" w:cs="Times New Roman"/>
          <w:sz w:val="24"/>
          <w:szCs w:val="24"/>
        </w:rPr>
        <w:t>Surat Al-Baqarah ayat 189, pertanyaan tentang bulan sabit,</w:t>
      </w:r>
      <w:r w:rsidR="00D45AEE">
        <w:rPr>
          <w:rFonts w:ascii="Times New Roman" w:hAnsi="Times New Roman" w:cs="Times New Roman"/>
          <w:sz w:val="24"/>
          <w:szCs w:val="24"/>
        </w:rPr>
        <w:t xml:space="preserve"> yang</w:t>
      </w:r>
      <w:r w:rsidRPr="00ED03B2">
        <w:rPr>
          <w:rFonts w:ascii="Times New Roman" w:hAnsi="Times New Roman" w:cs="Times New Roman"/>
          <w:sz w:val="24"/>
          <w:szCs w:val="24"/>
        </w:rPr>
        <w:t xml:space="preserve"> jawaban</w:t>
      </w:r>
      <w:r>
        <w:rPr>
          <w:rFonts w:ascii="Times New Roman" w:hAnsi="Times New Roman" w:cs="Times New Roman"/>
          <w:sz w:val="24"/>
          <w:szCs w:val="24"/>
        </w:rPr>
        <w:t>nya adalah</w:t>
      </w:r>
      <w:r w:rsidRPr="00ED03B2">
        <w:rPr>
          <w:rFonts w:ascii="Times New Roman" w:hAnsi="Times New Roman" w:cs="Times New Roman"/>
          <w:sz w:val="24"/>
          <w:szCs w:val="24"/>
        </w:rPr>
        <w:t xml:space="preserve"> sebagai tanda waktu untuk melaksanakan haji:</w:t>
      </w:r>
    </w:p>
    <w:p w:rsidR="004C10C1" w:rsidRPr="000B496A" w:rsidRDefault="004C10C1" w:rsidP="00A11774">
      <w:pPr>
        <w:bidi/>
        <w:spacing w:after="0" w:line="240" w:lineRule="auto"/>
        <w:ind w:right="360"/>
        <w:jc w:val="both"/>
        <w:rPr>
          <w:rFonts w:ascii="Adobe نسخ Medium" w:hAnsi="Adobe نسخ Medium" w:cs="Traditional Arabic"/>
          <w:sz w:val="28"/>
          <w:szCs w:val="28"/>
          <w:rtl/>
        </w:rPr>
      </w:pPr>
      <w:r w:rsidRPr="000B496A">
        <w:rPr>
          <w:rFonts w:ascii="Adobe نسخ Medium" w:hAnsi="Adobe نسخ Medium" w:cs="Traditional Arabic"/>
          <w:sz w:val="28"/>
          <w:szCs w:val="28"/>
        </w:rPr>
        <w:sym w:font="HQPB4" w:char="F02A"/>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9A"/>
      </w:r>
      <w:r w:rsidRPr="000B496A">
        <w:rPr>
          <w:rFonts w:ascii="Adobe نسخ Medium" w:hAnsi="Adobe نسخ Medium" w:cs="Traditional Arabic"/>
          <w:sz w:val="28"/>
          <w:szCs w:val="28"/>
        </w:rPr>
        <w:sym w:font="HQPB3" w:char="F081"/>
      </w:r>
      <w:r w:rsidRPr="000B496A">
        <w:rPr>
          <w:rFonts w:ascii="Adobe نسخ Medium" w:hAnsi="Adobe نسخ Medium" w:cs="Traditional Arabic"/>
          <w:sz w:val="28"/>
          <w:szCs w:val="28"/>
        </w:rPr>
        <w:sym w:font="HQPB5" w:char="F074"/>
      </w:r>
      <w:r w:rsidRPr="000B496A">
        <w:rPr>
          <w:rFonts w:ascii="Adobe نسخ Medium" w:hAnsi="Adobe نسخ Medium" w:cs="Traditional Arabic"/>
          <w:sz w:val="28"/>
          <w:szCs w:val="28"/>
        </w:rPr>
        <w:sym w:font="HQPB2" w:char="F052"/>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8"/>
      </w:r>
      <w:r w:rsidRPr="000B496A">
        <w:rPr>
          <w:rFonts w:ascii="Adobe نسخ Medium" w:hAnsi="Adobe نسخ Medium" w:cs="Traditional Arabic"/>
          <w:sz w:val="28"/>
          <w:szCs w:val="28"/>
        </w:rPr>
        <w:sym w:font="HQPB2" w:char="F03D"/>
      </w:r>
      <w:r w:rsidRPr="000B496A">
        <w:rPr>
          <w:rFonts w:ascii="Adobe نسخ Medium" w:hAnsi="Adobe نسخ Medium" w:cs="Traditional Arabic"/>
          <w:sz w:val="28"/>
          <w:szCs w:val="28"/>
        </w:rPr>
        <w:sym w:font="HQPB5" w:char="F074"/>
      </w:r>
      <w:r w:rsidRPr="000B496A">
        <w:rPr>
          <w:rFonts w:ascii="Adobe نسخ Medium" w:hAnsi="Adobe نسخ Medium" w:cs="Traditional Arabic"/>
          <w:sz w:val="28"/>
          <w:szCs w:val="28"/>
        </w:rPr>
        <w:sym w:font="HQPB2" w:char="F0AB"/>
      </w:r>
      <w:r w:rsidRPr="000B496A">
        <w:rPr>
          <w:rFonts w:ascii="Adobe نسخ Medium" w:hAnsi="Adobe نسخ Medium" w:cs="Traditional Arabic"/>
          <w:sz w:val="28"/>
          <w:szCs w:val="28"/>
        </w:rPr>
        <w:sym w:font="HQPB4" w:char="F0F3"/>
      </w:r>
      <w:r w:rsidRPr="000B496A">
        <w:rPr>
          <w:rFonts w:ascii="Adobe نسخ Medium" w:hAnsi="Adobe نسخ Medium" w:cs="Traditional Arabic"/>
          <w:sz w:val="28"/>
          <w:szCs w:val="28"/>
        </w:rPr>
        <w:sym w:font="HQPB1" w:char="F0A1"/>
      </w:r>
      <w:r w:rsidRPr="000B496A">
        <w:rPr>
          <w:rFonts w:ascii="Adobe نسخ Medium" w:hAnsi="Adobe نسخ Medium" w:cs="Traditional Arabic"/>
          <w:sz w:val="28"/>
          <w:szCs w:val="28"/>
        </w:rPr>
        <w:sym w:font="HQPB5" w:char="F06F"/>
      </w:r>
      <w:r w:rsidRPr="000B496A">
        <w:rPr>
          <w:rFonts w:ascii="Adobe نسخ Medium" w:hAnsi="Adobe نسخ Medium" w:cs="Traditional Arabic"/>
          <w:sz w:val="28"/>
          <w:szCs w:val="28"/>
        </w:rPr>
        <w:sym w:font="HQPB2" w:char="F084"/>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C7"/>
      </w:r>
      <w:r w:rsidRPr="000B496A">
        <w:rPr>
          <w:rFonts w:ascii="Adobe نسخ Medium" w:hAnsi="Adobe نسخ Medium" w:cs="Traditional Arabic"/>
          <w:sz w:val="28"/>
          <w:szCs w:val="28"/>
        </w:rPr>
        <w:sym w:font="HQPB2" w:char="F060"/>
      </w:r>
      <w:r w:rsidRPr="000B496A">
        <w:rPr>
          <w:rFonts w:ascii="Adobe نسخ Medium" w:hAnsi="Adobe نسخ Medium" w:cs="Traditional Arabic"/>
          <w:sz w:val="28"/>
          <w:szCs w:val="28"/>
        </w:rPr>
        <w:sym w:font="HQPB5" w:char="F074"/>
      </w:r>
      <w:r w:rsidRPr="000B496A">
        <w:rPr>
          <w:rFonts w:ascii="Adobe نسخ Medium" w:hAnsi="Adobe نسخ Medium" w:cs="Traditional Arabic"/>
          <w:sz w:val="28"/>
          <w:szCs w:val="28"/>
        </w:rPr>
        <w:sym w:font="HQPB1" w:char="F0E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3" w:char="F027"/>
      </w:r>
      <w:r w:rsidRPr="000B496A">
        <w:rPr>
          <w:rFonts w:ascii="Adobe نسخ Medium" w:hAnsi="Adobe نسخ Medium" w:cs="Traditional Arabic"/>
          <w:sz w:val="28"/>
          <w:szCs w:val="28"/>
        </w:rPr>
        <w:sym w:font="HQPB4" w:char="F0A9"/>
      </w:r>
      <w:r w:rsidRPr="000B496A">
        <w:rPr>
          <w:rFonts w:ascii="Adobe نسخ Medium" w:hAnsi="Adobe نسخ Medium" w:cs="Traditional Arabic"/>
          <w:sz w:val="28"/>
          <w:szCs w:val="28"/>
        </w:rPr>
        <w:sym w:font="HQPB3" w:char="F023"/>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64"/>
      </w:r>
      <w:r w:rsidRPr="000B496A">
        <w:rPr>
          <w:rFonts w:ascii="Adobe نسخ Medium" w:hAnsi="Adobe نسخ Medium" w:cs="Traditional Arabic"/>
          <w:sz w:val="28"/>
          <w:szCs w:val="28"/>
        </w:rPr>
        <w:sym w:font="HQPB5" w:char="F046"/>
      </w:r>
      <w:r w:rsidRPr="000B496A">
        <w:rPr>
          <w:rFonts w:ascii="Adobe نسخ Medium" w:hAnsi="Adobe نسخ Medium" w:cs="Traditional Arabic"/>
          <w:sz w:val="28"/>
          <w:szCs w:val="28"/>
        </w:rPr>
        <w:sym w:font="HQPB2" w:char="F07B"/>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28"/>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F6"/>
      </w:r>
      <w:r w:rsidRPr="000B496A">
        <w:rPr>
          <w:rFonts w:ascii="Adobe نسخ Medium" w:hAnsi="Adobe نسخ Medium" w:cs="Traditional Arabic"/>
          <w:sz w:val="28"/>
          <w:szCs w:val="28"/>
        </w:rPr>
        <w:sym w:font="HQPB2" w:char="F040"/>
      </w:r>
      <w:r w:rsidRPr="000B496A">
        <w:rPr>
          <w:rFonts w:ascii="Adobe نسخ Medium" w:hAnsi="Adobe نسخ Medium" w:cs="Traditional Arabic"/>
          <w:sz w:val="28"/>
          <w:szCs w:val="28"/>
        </w:rPr>
        <w:sym w:font="HQPB4" w:char="F0E8"/>
      </w:r>
      <w:r w:rsidRPr="000B496A">
        <w:rPr>
          <w:rFonts w:ascii="Adobe نسخ Medium" w:hAnsi="Adobe نسخ Medium" w:cs="Traditional Arabic"/>
          <w:sz w:val="28"/>
          <w:szCs w:val="28"/>
        </w:rPr>
        <w:sym w:font="HQPB2" w:char="F025"/>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7D"/>
      </w:r>
      <w:r w:rsidRPr="000B496A">
        <w:rPr>
          <w:rFonts w:ascii="Adobe نسخ Medium" w:hAnsi="Adobe نسخ Medium" w:cs="Traditional Arabic"/>
          <w:sz w:val="28"/>
          <w:szCs w:val="28"/>
        </w:rPr>
        <w:sym w:font="HQPB2" w:char="F091"/>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64"/>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E0"/>
      </w:r>
      <w:r w:rsidRPr="000B496A">
        <w:rPr>
          <w:rFonts w:ascii="Adobe نسخ Medium" w:hAnsi="Adobe نسخ Medium" w:cs="Traditional Arabic"/>
          <w:sz w:val="28"/>
          <w:szCs w:val="28"/>
        </w:rPr>
        <w:sym w:font="HQPB1" w:char="F04D"/>
      </w:r>
      <w:r w:rsidRPr="000B496A">
        <w:rPr>
          <w:rFonts w:ascii="Adobe نسخ Medium" w:hAnsi="Adobe نسخ Medium" w:cs="Traditional Arabic"/>
          <w:sz w:val="28"/>
          <w:szCs w:val="28"/>
        </w:rPr>
        <w:sym w:font="HQPB2" w:char="F08B"/>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25"/>
      </w:r>
      <w:r w:rsidRPr="000B496A">
        <w:rPr>
          <w:rFonts w:ascii="Adobe نسخ Medium" w:hAnsi="Adobe نسخ Medium" w:cs="Traditional Arabic"/>
          <w:sz w:val="28"/>
          <w:szCs w:val="28"/>
        </w:rPr>
        <w:sym w:font="HQPB2" w:char="F0BA"/>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5" w:char="F074"/>
      </w:r>
      <w:r w:rsidRPr="000B496A">
        <w:rPr>
          <w:rFonts w:ascii="Adobe نسخ Medium" w:hAnsi="Adobe نسخ Medium" w:cs="Traditional Arabic"/>
          <w:sz w:val="28"/>
          <w:szCs w:val="28"/>
        </w:rPr>
        <w:sym w:font="HQPB2" w:char="F04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C4"/>
      </w:r>
      <w:r w:rsidRPr="000B496A">
        <w:rPr>
          <w:rFonts w:ascii="Adobe نسخ Medium" w:hAnsi="Adobe نسخ Medium" w:cs="Traditional Arabic"/>
          <w:sz w:val="28"/>
          <w:szCs w:val="28"/>
        </w:rPr>
        <w:sym w:font="HQPB1" w:char="F0A8"/>
      </w:r>
      <w:r w:rsidRPr="000B496A">
        <w:rPr>
          <w:rFonts w:ascii="Adobe نسخ Medium" w:hAnsi="Adobe نسخ Medium" w:cs="Traditional Arabic"/>
          <w:sz w:val="28"/>
          <w:szCs w:val="28"/>
        </w:rPr>
        <w:sym w:font="HQPB1" w:char="F024"/>
      </w:r>
      <w:r w:rsidRPr="000B496A">
        <w:rPr>
          <w:rFonts w:ascii="Adobe نسخ Medium" w:hAnsi="Adobe نسخ Medium" w:cs="Traditional Arabic"/>
          <w:sz w:val="28"/>
          <w:szCs w:val="28"/>
        </w:rPr>
        <w:sym w:font="HQPB4" w:char="F0A8"/>
      </w:r>
      <w:r w:rsidRPr="000B496A">
        <w:rPr>
          <w:rFonts w:ascii="Adobe نسخ Medium" w:hAnsi="Adobe نسخ Medium" w:cs="Traditional Arabic"/>
          <w:sz w:val="28"/>
          <w:szCs w:val="28"/>
        </w:rPr>
        <w:sym w:font="HQPB2" w:char="F059"/>
      </w:r>
      <w:r w:rsidRPr="000B496A">
        <w:rPr>
          <w:rFonts w:ascii="Adobe نسخ Medium" w:hAnsi="Adobe نسخ Medium" w:cs="Traditional Arabic"/>
          <w:sz w:val="28"/>
          <w:szCs w:val="28"/>
        </w:rPr>
        <w:sym w:font="HQPB2" w:char="F03D"/>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C6"/>
      </w:r>
      <w:r w:rsidRPr="000B496A">
        <w:rPr>
          <w:rFonts w:ascii="Adobe نسخ Medium" w:hAnsi="Adobe نسخ Medium" w:cs="Traditional Arabic"/>
          <w:sz w:val="28"/>
          <w:szCs w:val="28"/>
        </w:rPr>
        <w:sym w:font="HQPB4" w:char="F064"/>
      </w:r>
      <w:r w:rsidRPr="000B496A">
        <w:rPr>
          <w:rFonts w:ascii="Adobe نسخ Medium" w:hAnsi="Adobe نسخ Medium" w:cs="Traditional Arabic"/>
          <w:sz w:val="28"/>
          <w:szCs w:val="28"/>
        </w:rPr>
        <w:sym w:font="HQPB1" w:char="F06B"/>
      </w:r>
      <w:r w:rsidRPr="000B496A">
        <w:rPr>
          <w:rFonts w:ascii="Adobe نسخ Medium" w:hAnsi="Adobe نسخ Medium" w:cs="Traditional Arabic"/>
          <w:sz w:val="28"/>
          <w:szCs w:val="28"/>
        </w:rPr>
        <w:sym w:font="HQPB5" w:char="F079"/>
      </w:r>
      <w:r w:rsidRPr="000B496A">
        <w:rPr>
          <w:rFonts w:ascii="Adobe نسخ Medium" w:hAnsi="Adobe نسخ Medium" w:cs="Traditional Arabic"/>
          <w:sz w:val="28"/>
          <w:szCs w:val="28"/>
        </w:rPr>
        <w:sym w:font="HQPB1" w:char="F073"/>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3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7D"/>
      </w:r>
      <w:r w:rsidRPr="000B496A">
        <w:rPr>
          <w:rFonts w:ascii="Adobe نسخ Medium" w:hAnsi="Adobe نسخ Medium" w:cs="Traditional Arabic"/>
          <w:sz w:val="28"/>
          <w:szCs w:val="28"/>
        </w:rPr>
        <w:sym w:font="HQPB1" w:char="F0A7"/>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8A"/>
      </w:r>
      <w:r w:rsidRPr="000B496A">
        <w:rPr>
          <w:rFonts w:ascii="Adobe نسخ Medium" w:hAnsi="Adobe نسخ Medium" w:cs="Traditional Arabic"/>
          <w:sz w:val="28"/>
          <w:szCs w:val="28"/>
        </w:rPr>
        <w:sym w:font="HQPB5" w:char="F073"/>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95"/>
      </w:r>
      <w:r w:rsidRPr="000B496A">
        <w:rPr>
          <w:rFonts w:ascii="Adobe نسخ Medium" w:hAnsi="Adobe نسخ Medium" w:cs="Traditional Arabic"/>
          <w:sz w:val="28"/>
          <w:szCs w:val="28"/>
        </w:rPr>
        <w:sym w:font="HQPB1" w:char="F08E"/>
      </w:r>
      <w:r w:rsidRPr="000B496A">
        <w:rPr>
          <w:rFonts w:ascii="Adobe نسخ Medium" w:hAnsi="Adobe نسخ Medium" w:cs="Traditional Arabic"/>
          <w:sz w:val="28"/>
          <w:szCs w:val="28"/>
        </w:rPr>
        <w:sym w:font="HQPB4" w:char="F0C9"/>
      </w:r>
      <w:r w:rsidRPr="000B496A">
        <w:rPr>
          <w:rFonts w:ascii="Adobe نسخ Medium" w:hAnsi="Adobe نسخ Medium" w:cs="Traditional Arabic"/>
          <w:sz w:val="28"/>
          <w:szCs w:val="28"/>
        </w:rPr>
        <w:sym w:font="HQPB1" w:char="F039"/>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2" w:char="F062"/>
      </w:r>
      <w:r w:rsidRPr="000B496A">
        <w:rPr>
          <w:rFonts w:ascii="Adobe نسخ Medium" w:hAnsi="Adobe نسخ Medium" w:cs="Traditional Arabic"/>
          <w:sz w:val="28"/>
          <w:szCs w:val="28"/>
        </w:rPr>
        <w:sym w:font="HQPB5" w:char="F072"/>
      </w:r>
      <w:r w:rsidRPr="000B496A">
        <w:rPr>
          <w:rFonts w:ascii="Adobe نسخ Medium" w:hAnsi="Adobe نسخ Medium" w:cs="Traditional Arabic"/>
          <w:sz w:val="28"/>
          <w:szCs w:val="28"/>
        </w:rPr>
        <w:sym w:font="HQPB1" w:char="F027"/>
      </w:r>
      <w:r w:rsidRPr="000B496A">
        <w:rPr>
          <w:rFonts w:ascii="Adobe نسخ Medium" w:hAnsi="Adobe نسخ Medium" w:cs="Traditional Arabic"/>
          <w:sz w:val="28"/>
          <w:szCs w:val="28"/>
        </w:rPr>
        <w:sym w:font="HQPB4" w:char="F0CE"/>
      </w:r>
      <w:r w:rsidRPr="000B496A">
        <w:rPr>
          <w:rFonts w:ascii="Adobe نسخ Medium" w:hAnsi="Adobe نسخ Medium" w:cs="Traditional Arabic"/>
          <w:sz w:val="28"/>
          <w:szCs w:val="28"/>
        </w:rPr>
        <w:sym w:font="HQPB1" w:char="F02F"/>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28"/>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8"/>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Pr>
        <w:sym w:font="HQPB4" w:char="F0F9"/>
      </w:r>
      <w:r w:rsidRPr="000B496A">
        <w:rPr>
          <w:rFonts w:ascii="Adobe نسخ Medium" w:hAnsi="Adobe نسخ Medium" w:cs="Traditional Arabic"/>
          <w:sz w:val="28"/>
          <w:szCs w:val="28"/>
        </w:rPr>
        <w:sym w:font="HQPB1" w:char="F027"/>
      </w:r>
      <w:r w:rsidRPr="000B496A">
        <w:rPr>
          <w:rFonts w:ascii="Adobe نسخ Medium" w:hAnsi="Adobe نسخ Medium" w:cs="Traditional Arabic"/>
          <w:sz w:val="28"/>
          <w:szCs w:val="28"/>
        </w:rPr>
        <w:sym w:font="HQPB5" w:char="F073"/>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9A"/>
      </w:r>
      <w:r w:rsidRPr="000B496A">
        <w:rPr>
          <w:rFonts w:ascii="Adobe نسخ Medium" w:hAnsi="Adobe نسخ Medium" w:cs="Traditional Arabic"/>
          <w:sz w:val="28"/>
          <w:szCs w:val="28"/>
        </w:rPr>
        <w:sym w:font="HQPB3" w:char="F056"/>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3"/>
      </w:r>
      <w:r w:rsidRPr="000B496A">
        <w:rPr>
          <w:rFonts w:ascii="Adobe نسخ Medium" w:hAnsi="Adobe نسخ Medium" w:cs="Traditional Arabic"/>
          <w:sz w:val="28"/>
          <w:szCs w:val="28"/>
        </w:rPr>
        <w:sym w:font="HQPB2" w:char="F08A"/>
      </w:r>
      <w:r w:rsidRPr="000B496A">
        <w:rPr>
          <w:rFonts w:ascii="Adobe نسخ Medium" w:hAnsi="Adobe نسخ Medium" w:cs="Traditional Arabic"/>
          <w:sz w:val="28"/>
          <w:szCs w:val="28"/>
        </w:rPr>
        <w:sym w:font="HQPB4" w:char="F0E7"/>
      </w:r>
      <w:r w:rsidRPr="000B496A">
        <w:rPr>
          <w:rFonts w:ascii="Adobe نسخ Medium" w:hAnsi="Adobe نسخ Medium" w:cs="Traditional Arabic"/>
          <w:sz w:val="28"/>
          <w:szCs w:val="28"/>
        </w:rPr>
        <w:sym w:font="HQPB1" w:char="F036"/>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2" w:char="F060"/>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4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1" w:char="F024"/>
      </w:r>
      <w:r w:rsidRPr="000B496A">
        <w:rPr>
          <w:rFonts w:ascii="Adobe نسخ Medium" w:hAnsi="Adobe نسخ Medium" w:cs="Traditional Arabic"/>
          <w:sz w:val="28"/>
          <w:szCs w:val="28"/>
        </w:rPr>
        <w:sym w:font="HQPB5" w:char="F079"/>
      </w:r>
      <w:r w:rsidRPr="000B496A">
        <w:rPr>
          <w:rFonts w:ascii="Adobe نسخ Medium" w:hAnsi="Adobe نسخ Medium" w:cs="Traditional Arabic"/>
          <w:sz w:val="28"/>
          <w:szCs w:val="28"/>
        </w:rPr>
        <w:sym w:font="HQPB2" w:char="F064"/>
      </w:r>
      <w:r w:rsidRPr="000B496A">
        <w:rPr>
          <w:rFonts w:ascii="Adobe نسخ Medium" w:hAnsi="Adobe نسخ Medium" w:cs="Traditional Arabic"/>
          <w:sz w:val="28"/>
          <w:szCs w:val="28"/>
        </w:rPr>
        <w:sym w:font="HQPB4" w:char="F0CD"/>
      </w:r>
      <w:r w:rsidRPr="000B496A">
        <w:rPr>
          <w:rFonts w:ascii="Adobe نسخ Medium" w:hAnsi="Adobe نسخ Medium" w:cs="Traditional Arabic"/>
          <w:sz w:val="28"/>
          <w:szCs w:val="28"/>
        </w:rPr>
        <w:sym w:font="HQPB1" w:char="F091"/>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DF"/>
      </w:r>
      <w:r w:rsidRPr="000B496A">
        <w:rPr>
          <w:rFonts w:ascii="Adobe نسخ Medium" w:hAnsi="Adobe نسخ Medium" w:cs="Traditional Arabic"/>
          <w:sz w:val="28"/>
          <w:szCs w:val="28"/>
        </w:rPr>
        <w:sym w:font="HQPB2" w:char="F067"/>
      </w:r>
      <w:r w:rsidRPr="000B496A">
        <w:rPr>
          <w:rFonts w:ascii="Adobe نسخ Medium" w:hAnsi="Adobe نسخ Medium" w:cs="Traditional Arabic"/>
          <w:sz w:val="28"/>
          <w:szCs w:val="28"/>
        </w:rPr>
        <w:sym w:font="HQPB4" w:char="F0E0"/>
      </w:r>
      <w:r w:rsidRPr="000B496A">
        <w:rPr>
          <w:rFonts w:ascii="Adobe نسخ Medium" w:hAnsi="Adobe نسخ Medium" w:cs="Traditional Arabic"/>
          <w:sz w:val="28"/>
          <w:szCs w:val="28"/>
        </w:rPr>
        <w:sym w:font="HQPB1" w:char="F0DF"/>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A3"/>
      </w:r>
      <w:r w:rsidRPr="000B496A">
        <w:rPr>
          <w:rFonts w:ascii="Adobe نسخ Medium" w:hAnsi="Adobe نسخ Medium" w:cs="Traditional Arabic"/>
          <w:sz w:val="28"/>
          <w:szCs w:val="28"/>
        </w:rPr>
        <w:sym w:font="HQPB2" w:char="F060"/>
      </w:r>
      <w:r w:rsidRPr="000B496A">
        <w:rPr>
          <w:rFonts w:ascii="Adobe نسخ Medium" w:hAnsi="Adobe نسخ Medium" w:cs="Traditional Arabic"/>
          <w:sz w:val="28"/>
          <w:szCs w:val="28"/>
        </w:rPr>
        <w:sym w:font="HQPB4" w:char="F0C5"/>
      </w:r>
      <w:r w:rsidRPr="000B496A">
        <w:rPr>
          <w:rFonts w:ascii="Adobe نسخ Medium" w:hAnsi="Adobe نسخ Medium" w:cs="Traditional Arabic"/>
          <w:sz w:val="28"/>
          <w:szCs w:val="28"/>
        </w:rPr>
        <w:sym w:font="HQPB2" w:char="F033"/>
      </w:r>
      <w:r w:rsidRPr="000B496A">
        <w:rPr>
          <w:rFonts w:ascii="Adobe نسخ Medium" w:hAnsi="Adobe نسخ Medium" w:cs="Traditional Arabic"/>
          <w:sz w:val="28"/>
          <w:szCs w:val="28"/>
        </w:rPr>
        <w:sym w:font="HQPB2" w:char="F0BB"/>
      </w:r>
      <w:r w:rsidRPr="000B496A">
        <w:rPr>
          <w:rFonts w:ascii="Adobe نسخ Medium" w:hAnsi="Adobe نسخ Medium" w:cs="Traditional Arabic"/>
          <w:sz w:val="28"/>
          <w:szCs w:val="28"/>
        </w:rPr>
        <w:sym w:font="HQPB5" w:char="F073"/>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A7"/>
      </w:r>
      <w:r w:rsidRPr="000B496A">
        <w:rPr>
          <w:rFonts w:ascii="Adobe نسخ Medium" w:hAnsi="Adobe نسخ Medium" w:cs="Traditional Arabic"/>
          <w:sz w:val="28"/>
          <w:szCs w:val="28"/>
        </w:rPr>
        <w:sym w:font="HQPB1" w:char="F08E"/>
      </w:r>
      <w:r w:rsidRPr="000B496A">
        <w:rPr>
          <w:rFonts w:ascii="Adobe نسخ Medium" w:hAnsi="Adobe نسخ Medium" w:cs="Traditional Arabic"/>
          <w:sz w:val="28"/>
          <w:szCs w:val="28"/>
        </w:rPr>
        <w:sym w:font="HQPB4" w:char="F0C9"/>
      </w:r>
      <w:r w:rsidRPr="000B496A">
        <w:rPr>
          <w:rFonts w:ascii="Adobe نسخ Medium" w:hAnsi="Adobe نسخ Medium" w:cs="Traditional Arabic"/>
          <w:sz w:val="28"/>
          <w:szCs w:val="28"/>
        </w:rPr>
        <w:sym w:font="HQPB1" w:char="F039"/>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C7"/>
      </w:r>
      <w:r w:rsidRPr="000B496A">
        <w:rPr>
          <w:rFonts w:ascii="Adobe نسخ Medium" w:hAnsi="Adobe نسخ Medium" w:cs="Traditional Arabic"/>
          <w:sz w:val="28"/>
          <w:szCs w:val="28"/>
        </w:rPr>
        <w:sym w:font="HQPB2" w:char="F060"/>
      </w:r>
      <w:r w:rsidRPr="000B496A">
        <w:rPr>
          <w:rFonts w:ascii="Adobe نسخ Medium" w:hAnsi="Adobe نسخ Medium" w:cs="Traditional Arabic"/>
          <w:sz w:val="28"/>
          <w:szCs w:val="28"/>
        </w:rPr>
        <w:sym w:font="HQPB5" w:char="F074"/>
      </w:r>
      <w:r w:rsidRPr="000B496A">
        <w:rPr>
          <w:rFonts w:ascii="Adobe نسخ Medium" w:hAnsi="Adobe نسخ Medium" w:cs="Traditional Arabic"/>
          <w:sz w:val="28"/>
          <w:szCs w:val="28"/>
        </w:rPr>
        <w:sym w:font="HQPB2" w:char="F04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34"/>
      </w:r>
      <w:r w:rsidRPr="000B496A">
        <w:rPr>
          <w:rFonts w:ascii="Adobe نسخ Medium" w:hAnsi="Adobe نسخ Medium" w:cs="Traditional Arabic"/>
          <w:sz w:val="28"/>
          <w:szCs w:val="28"/>
        </w:rPr>
        <w:sym w:font="HQPB3" w:char="F086"/>
      </w:r>
      <w:r w:rsidRPr="000B496A">
        <w:rPr>
          <w:rFonts w:ascii="Adobe نسخ Medium" w:hAnsi="Adobe نسخ Medium" w:cs="Traditional Arabic"/>
          <w:sz w:val="28"/>
          <w:szCs w:val="28"/>
        </w:rPr>
        <w:sym w:font="HQPB5" w:char="F073"/>
      </w:r>
      <w:r w:rsidRPr="000B496A">
        <w:rPr>
          <w:rFonts w:ascii="Adobe نسخ Medium" w:hAnsi="Adobe نسخ Medium" w:cs="Traditional Arabic"/>
          <w:sz w:val="28"/>
          <w:szCs w:val="28"/>
        </w:rPr>
        <w:sym w:font="HQPB2" w:char="F02B"/>
      </w:r>
      <w:r w:rsidRPr="000B496A">
        <w:rPr>
          <w:rFonts w:ascii="Adobe نسخ Medium" w:hAnsi="Adobe نسخ Medium" w:cs="Traditional Arabic"/>
          <w:sz w:val="28"/>
          <w:szCs w:val="28"/>
        </w:rPr>
        <w:sym w:font="HQPB4" w:char="F0A8"/>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3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28"/>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8"/>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Pr>
        <w:sym w:font="HQPB4" w:char="F0F9"/>
      </w:r>
      <w:r w:rsidRPr="000B496A">
        <w:rPr>
          <w:rFonts w:ascii="Adobe نسخ Medium" w:hAnsi="Adobe نسخ Medium" w:cs="Traditional Arabic"/>
          <w:sz w:val="28"/>
          <w:szCs w:val="28"/>
        </w:rPr>
        <w:sym w:font="HQPB1" w:char="F026"/>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9A"/>
      </w:r>
      <w:r w:rsidRPr="000B496A">
        <w:rPr>
          <w:rFonts w:ascii="Adobe نسخ Medium" w:hAnsi="Adobe نسخ Medium" w:cs="Traditional Arabic"/>
          <w:sz w:val="28"/>
          <w:szCs w:val="28"/>
        </w:rPr>
        <w:sym w:font="HQPB3" w:char="F056"/>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3"/>
      </w:r>
      <w:r w:rsidRPr="000B496A">
        <w:rPr>
          <w:rFonts w:ascii="Adobe نسخ Medium" w:hAnsi="Adobe نسخ Medium" w:cs="Traditional Arabic"/>
          <w:sz w:val="28"/>
          <w:szCs w:val="28"/>
        </w:rPr>
        <w:sym w:font="HQPB2" w:char="F08B"/>
      </w:r>
      <w:r w:rsidRPr="000B496A">
        <w:rPr>
          <w:rFonts w:ascii="Adobe نسخ Medium" w:hAnsi="Adobe نسخ Medium" w:cs="Traditional Arabic"/>
          <w:sz w:val="28"/>
          <w:szCs w:val="28"/>
        </w:rPr>
        <w:sym w:font="HQPB4" w:char="F0E7"/>
      </w:r>
      <w:r w:rsidRPr="000B496A">
        <w:rPr>
          <w:rFonts w:ascii="Adobe نسخ Medium" w:hAnsi="Adobe نسخ Medium" w:cs="Traditional Arabic"/>
          <w:sz w:val="28"/>
          <w:szCs w:val="28"/>
        </w:rPr>
        <w:sym w:font="HQPB1" w:char="F037"/>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F4"/>
      </w:r>
      <w:r w:rsidRPr="000B496A">
        <w:rPr>
          <w:rFonts w:ascii="Adobe نسخ Medium" w:hAnsi="Adobe نسخ Medium" w:cs="Traditional Arabic"/>
          <w:sz w:val="28"/>
          <w:szCs w:val="28"/>
        </w:rPr>
        <w:sym w:font="HQPB2" w:char="F060"/>
      </w:r>
      <w:r w:rsidRPr="000B496A">
        <w:rPr>
          <w:rFonts w:ascii="Adobe نسخ Medium" w:hAnsi="Adobe نسخ Medium" w:cs="Traditional Arabic"/>
          <w:sz w:val="28"/>
          <w:szCs w:val="28"/>
        </w:rPr>
        <w:sym w:font="HQPB4" w:char="F0CF"/>
      </w:r>
      <w:r w:rsidRPr="000B496A">
        <w:rPr>
          <w:rFonts w:ascii="Adobe نسخ Medium" w:hAnsi="Adobe نسخ Medium" w:cs="Traditional Arabic"/>
          <w:sz w:val="28"/>
          <w:szCs w:val="28"/>
        </w:rPr>
        <w:sym w:font="HQPB2" w:char="F042"/>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1" w:char="F024"/>
      </w:r>
      <w:r w:rsidRPr="000B496A">
        <w:rPr>
          <w:rFonts w:ascii="Adobe نسخ Medium" w:hAnsi="Adobe نسخ Medium" w:cs="Traditional Arabic"/>
          <w:sz w:val="28"/>
          <w:szCs w:val="28"/>
        </w:rPr>
        <w:sym w:font="HQPB5" w:char="F079"/>
      </w:r>
      <w:r w:rsidRPr="000B496A">
        <w:rPr>
          <w:rFonts w:ascii="Adobe نسخ Medium" w:hAnsi="Adobe نسخ Medium" w:cs="Traditional Arabic"/>
          <w:sz w:val="28"/>
          <w:szCs w:val="28"/>
        </w:rPr>
        <w:sym w:font="HQPB2" w:char="F067"/>
      </w:r>
      <w:r w:rsidRPr="000B496A">
        <w:rPr>
          <w:rFonts w:ascii="Adobe نسخ Medium" w:hAnsi="Adobe نسخ Medium" w:cs="Traditional Arabic"/>
          <w:sz w:val="28"/>
          <w:szCs w:val="28"/>
        </w:rPr>
        <w:sym w:font="HQPB4" w:char="F0CE"/>
      </w:r>
      <w:r w:rsidRPr="000B496A">
        <w:rPr>
          <w:rFonts w:ascii="Adobe نسخ Medium" w:hAnsi="Adobe نسخ Medium" w:cs="Traditional Arabic"/>
          <w:sz w:val="28"/>
          <w:szCs w:val="28"/>
        </w:rPr>
        <w:sym w:font="HQPB1" w:char="F02F"/>
      </w:r>
      <w:r w:rsidRPr="000B496A">
        <w:rPr>
          <w:rFonts w:ascii="Adobe نسخ Medium" w:hAnsi="Adobe نسخ Medium" w:cs="Traditional Arabic"/>
          <w:sz w:val="28"/>
          <w:szCs w:val="28"/>
        </w:rPr>
        <w:sym w:font="HQPB2" w:char="F0BA"/>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F6"/>
      </w:r>
      <w:r w:rsidRPr="000B496A">
        <w:rPr>
          <w:rFonts w:ascii="Adobe نسخ Medium" w:hAnsi="Adobe نسخ Medium" w:cs="Traditional Arabic"/>
          <w:sz w:val="28"/>
          <w:szCs w:val="28"/>
        </w:rPr>
        <w:sym w:font="HQPB1" w:char="F02F"/>
      </w:r>
      <w:r w:rsidRPr="000B496A">
        <w:rPr>
          <w:rFonts w:ascii="Adobe نسخ Medium" w:hAnsi="Adobe نسخ Medium" w:cs="Traditional Arabic"/>
          <w:sz w:val="28"/>
          <w:szCs w:val="28"/>
        </w:rPr>
        <w:sym w:font="HQPB5" w:char="F072"/>
      </w:r>
      <w:r w:rsidRPr="000B496A">
        <w:rPr>
          <w:rFonts w:ascii="Adobe نسخ Medium" w:hAnsi="Adobe نسخ Medium" w:cs="Traditional Arabic"/>
          <w:sz w:val="28"/>
          <w:szCs w:val="28"/>
        </w:rPr>
        <w:sym w:font="HQPB1" w:char="F026"/>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4" w:char="F034"/>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28"/>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E0"/>
      </w:r>
      <w:r w:rsidRPr="000B496A">
        <w:rPr>
          <w:rFonts w:ascii="Adobe نسخ Medium" w:hAnsi="Adobe نسخ Medium" w:cs="Traditional Arabic"/>
          <w:sz w:val="28"/>
          <w:szCs w:val="28"/>
        </w:rPr>
        <w:sym w:font="HQPB2" w:char="F029"/>
      </w:r>
      <w:r w:rsidRPr="000B496A">
        <w:rPr>
          <w:rFonts w:ascii="Adobe نسخ Medium" w:hAnsi="Adobe نسخ Medium" w:cs="Traditional Arabic"/>
          <w:sz w:val="28"/>
          <w:szCs w:val="28"/>
        </w:rPr>
        <w:sym w:font="HQPB4" w:char="F0A8"/>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Pr>
        <w:sym w:font="HQPB5" w:char="F024"/>
      </w:r>
      <w:r w:rsidRPr="000B496A">
        <w:rPr>
          <w:rFonts w:ascii="Adobe نسخ Medium" w:hAnsi="Adobe نسخ Medium" w:cs="Traditional Arabic"/>
          <w:sz w:val="28"/>
          <w:szCs w:val="28"/>
        </w:rPr>
        <w:sym w:font="HQPB1" w:char="F023"/>
      </w:r>
      <w:r w:rsidRPr="000B496A">
        <w:rPr>
          <w:rFonts w:ascii="Adobe نسخ Medium" w:hAnsi="Adobe نسخ Medium" w:cs="Traditional Arabic"/>
          <w:sz w:val="28"/>
          <w:szCs w:val="28"/>
        </w:rPr>
        <w:sym w:font="HQPB5" w:char="F075"/>
      </w:r>
      <w:r w:rsidRPr="000B496A">
        <w:rPr>
          <w:rFonts w:ascii="Adobe نسخ Medium" w:hAnsi="Adobe نسخ Medium" w:cs="Traditional Arabic"/>
          <w:sz w:val="28"/>
          <w:szCs w:val="28"/>
        </w:rPr>
        <w:sym w:font="HQPB2" w:char="F072"/>
      </w:r>
      <w:r w:rsidRPr="000B496A">
        <w:rPr>
          <w:rFonts w:ascii="Adobe نسخ Medium" w:hAnsi="Adobe نسخ Medium" w:cs="Traditional Arabic"/>
          <w:sz w:val="28"/>
          <w:szCs w:val="28"/>
          <w:rtl/>
        </w:rPr>
        <w:t xml:space="preserve"> </w:t>
      </w:r>
      <w:r w:rsidR="00990AB8" w:rsidRPr="000B496A">
        <w:rPr>
          <w:rFonts w:ascii="Adobe نسخ Medium" w:hAnsi="Adobe نسخ Medium" w:cs="Traditional Arabic"/>
          <w:sz w:val="28"/>
          <w:szCs w:val="28"/>
          <w:rtl/>
        </w:rPr>
        <w:t xml:space="preserve"> اللهَ </w:t>
      </w:r>
      <w:r w:rsidRPr="000B496A">
        <w:rPr>
          <w:rFonts w:ascii="Adobe نسخ Medium" w:hAnsi="Adobe نسخ Medium" w:cs="Traditional Arabic"/>
          <w:sz w:val="28"/>
          <w:szCs w:val="28"/>
        </w:rPr>
        <w:sym w:font="HQPB4" w:char="F0F6"/>
      </w:r>
      <w:r w:rsidRPr="000B496A">
        <w:rPr>
          <w:rFonts w:ascii="Adobe نسخ Medium" w:hAnsi="Adobe نسخ Medium" w:cs="Traditional Arabic"/>
          <w:sz w:val="28"/>
          <w:szCs w:val="28"/>
        </w:rPr>
        <w:sym w:font="HQPB2" w:char="F04E"/>
      </w:r>
      <w:r w:rsidRPr="000B496A">
        <w:rPr>
          <w:rFonts w:ascii="Adobe نسخ Medium" w:hAnsi="Adobe نسخ Medium" w:cs="Traditional Arabic"/>
          <w:sz w:val="28"/>
          <w:szCs w:val="28"/>
        </w:rPr>
        <w:sym w:font="HQPB4" w:char="F0E0"/>
      </w:r>
      <w:r w:rsidRPr="000B496A">
        <w:rPr>
          <w:rFonts w:ascii="Adobe نسخ Medium" w:hAnsi="Adobe نسخ Medium" w:cs="Traditional Arabic"/>
          <w:sz w:val="28"/>
          <w:szCs w:val="28"/>
        </w:rPr>
        <w:sym w:font="HQPB2" w:char="F036"/>
      </w:r>
      <w:r w:rsidRPr="000B496A">
        <w:rPr>
          <w:rFonts w:ascii="Adobe نسخ Medium" w:hAnsi="Adobe نسخ Medium" w:cs="Traditional Arabic"/>
          <w:sz w:val="28"/>
          <w:szCs w:val="28"/>
        </w:rPr>
        <w:sym w:font="HQPB4" w:char="F0AF"/>
      </w:r>
      <w:r w:rsidRPr="000B496A">
        <w:rPr>
          <w:rFonts w:ascii="Adobe نسخ Medium" w:hAnsi="Adobe نسخ Medium" w:cs="Traditional Arabic"/>
          <w:sz w:val="28"/>
          <w:szCs w:val="28"/>
        </w:rPr>
        <w:sym w:font="HQPB2" w:char="F03D"/>
      </w:r>
      <w:r w:rsidRPr="000B496A">
        <w:rPr>
          <w:rFonts w:ascii="Adobe نسخ Medium" w:hAnsi="Adobe نسخ Medium" w:cs="Traditional Arabic"/>
          <w:sz w:val="28"/>
          <w:szCs w:val="28"/>
        </w:rPr>
        <w:sym w:font="HQPB5" w:char="F079"/>
      </w:r>
      <w:r w:rsidRPr="000B496A">
        <w:rPr>
          <w:rFonts w:ascii="Adobe نسخ Medium" w:hAnsi="Adobe نسخ Medium" w:cs="Traditional Arabic"/>
          <w:sz w:val="28"/>
          <w:szCs w:val="28"/>
        </w:rPr>
        <w:sym w:font="HQPB1" w:char="F0E8"/>
      </w:r>
      <w:r w:rsidRPr="000B496A">
        <w:rPr>
          <w:rFonts w:ascii="Adobe نسخ Medium" w:hAnsi="Adobe نسخ Medium" w:cs="Traditional Arabic"/>
          <w:sz w:val="28"/>
          <w:szCs w:val="28"/>
        </w:rPr>
        <w:sym w:font="HQPB5" w:char="F073"/>
      </w:r>
      <w:r w:rsidRPr="000B496A">
        <w:rPr>
          <w:rFonts w:ascii="Adobe نسخ Medium" w:hAnsi="Adobe نسخ Medium" w:cs="Traditional Arabic"/>
          <w:sz w:val="28"/>
          <w:szCs w:val="28"/>
        </w:rPr>
        <w:sym w:font="HQPB2" w:char="F039"/>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5" w:char="F09A"/>
      </w:r>
      <w:r w:rsidRPr="000B496A">
        <w:rPr>
          <w:rFonts w:ascii="Adobe نسخ Medium" w:hAnsi="Adobe نسخ Medium" w:cs="Traditional Arabic"/>
          <w:sz w:val="28"/>
          <w:szCs w:val="28"/>
        </w:rPr>
        <w:sym w:font="HQPB2" w:char="F063"/>
      </w:r>
      <w:r w:rsidRPr="000B496A">
        <w:rPr>
          <w:rFonts w:ascii="Adobe نسخ Medium" w:hAnsi="Adobe نسخ Medium" w:cs="Traditional Arabic"/>
          <w:sz w:val="28"/>
          <w:szCs w:val="28"/>
        </w:rPr>
        <w:sym w:font="HQPB2" w:char="F071"/>
      </w:r>
      <w:r w:rsidRPr="000B496A">
        <w:rPr>
          <w:rFonts w:ascii="Adobe نسخ Medium" w:hAnsi="Adobe نسخ Medium" w:cs="Traditional Arabic"/>
          <w:sz w:val="28"/>
          <w:szCs w:val="28"/>
        </w:rPr>
        <w:sym w:font="HQPB4" w:char="F0DF"/>
      </w:r>
      <w:r w:rsidRPr="000B496A">
        <w:rPr>
          <w:rFonts w:ascii="Adobe نسخ Medium" w:hAnsi="Adobe نسخ Medium" w:cs="Traditional Arabic"/>
          <w:sz w:val="28"/>
          <w:szCs w:val="28"/>
        </w:rPr>
        <w:sym w:font="HQPB1" w:char="F073"/>
      </w:r>
      <w:r w:rsidRPr="000B496A">
        <w:rPr>
          <w:rFonts w:ascii="Adobe نسخ Medium" w:hAnsi="Adobe نسخ Medium" w:cs="Traditional Arabic"/>
          <w:sz w:val="28"/>
          <w:szCs w:val="28"/>
        </w:rPr>
        <w:sym w:font="HQPB4" w:char="F0CE"/>
      </w:r>
      <w:r w:rsidRPr="000B496A">
        <w:rPr>
          <w:rFonts w:ascii="Adobe نسخ Medium" w:hAnsi="Adobe نسخ Medium" w:cs="Traditional Arabic"/>
          <w:sz w:val="28"/>
          <w:szCs w:val="28"/>
        </w:rPr>
        <w:sym w:font="HQPB2" w:char="F03D"/>
      </w:r>
      <w:r w:rsidRPr="000B496A">
        <w:rPr>
          <w:rFonts w:ascii="Adobe نسخ Medium" w:hAnsi="Adobe نسخ Medium" w:cs="Traditional Arabic"/>
          <w:sz w:val="28"/>
          <w:szCs w:val="28"/>
        </w:rPr>
        <w:sym w:font="HQPB4" w:char="F0F8"/>
      </w:r>
      <w:r w:rsidRPr="000B496A">
        <w:rPr>
          <w:rFonts w:ascii="Adobe نسخ Medium" w:hAnsi="Adobe نسخ Medium" w:cs="Traditional Arabic"/>
          <w:sz w:val="28"/>
          <w:szCs w:val="28"/>
        </w:rPr>
        <w:sym w:font="HQPB1" w:char="F0FF"/>
      </w:r>
      <w:r w:rsidRPr="000B496A">
        <w:rPr>
          <w:rFonts w:ascii="Adobe نسخ Medium" w:hAnsi="Adobe نسخ Medium" w:cs="Traditional Arabic"/>
          <w:sz w:val="28"/>
          <w:szCs w:val="28"/>
        </w:rPr>
        <w:sym w:font="HQPB4" w:char="F0E8"/>
      </w:r>
      <w:r w:rsidRPr="000B496A">
        <w:rPr>
          <w:rFonts w:ascii="Adobe نسخ Medium" w:hAnsi="Adobe نسخ Medium" w:cs="Traditional Arabic"/>
          <w:sz w:val="28"/>
          <w:szCs w:val="28"/>
        </w:rPr>
        <w:sym w:font="HQPB1" w:char="F03F"/>
      </w:r>
      <w:r w:rsidRPr="000B496A">
        <w:rPr>
          <w:rFonts w:ascii="Adobe نسخ Medium" w:hAnsi="Adobe نسخ Medium" w:cs="Traditional Arabic"/>
          <w:sz w:val="28"/>
          <w:szCs w:val="28"/>
          <w:rtl/>
        </w:rPr>
        <w:t xml:space="preserve"> </w:t>
      </w:r>
      <w:r w:rsidRPr="000B496A">
        <w:rPr>
          <w:rFonts w:ascii="Adobe نسخ Medium" w:hAnsi="Adobe نسخ Medium" w:cs="Traditional Arabic"/>
          <w:sz w:val="28"/>
          <w:szCs w:val="28"/>
        </w:rPr>
        <w:sym w:font="HQPB2" w:char="F0C7"/>
      </w:r>
      <w:r w:rsidRPr="000B496A">
        <w:rPr>
          <w:rFonts w:ascii="Adobe نسخ Medium" w:hAnsi="Adobe نسخ Medium" w:cs="Traditional Arabic"/>
          <w:sz w:val="28"/>
          <w:szCs w:val="28"/>
        </w:rPr>
        <w:sym w:font="HQPB2" w:char="F0CA"/>
      </w:r>
      <w:r w:rsidRPr="000B496A">
        <w:rPr>
          <w:rFonts w:ascii="Adobe نسخ Medium" w:hAnsi="Adobe نسخ Medium" w:cs="Traditional Arabic"/>
          <w:sz w:val="28"/>
          <w:szCs w:val="28"/>
        </w:rPr>
        <w:sym w:font="HQPB2" w:char="F0D1"/>
      </w:r>
      <w:r w:rsidRPr="000B496A">
        <w:rPr>
          <w:rFonts w:ascii="Adobe نسخ Medium" w:hAnsi="Adobe نسخ Medium" w:cs="Traditional Arabic"/>
          <w:sz w:val="28"/>
          <w:szCs w:val="28"/>
        </w:rPr>
        <w:sym w:font="HQPB2" w:char="F0D2"/>
      </w:r>
      <w:r w:rsidRPr="000B496A">
        <w:rPr>
          <w:rFonts w:ascii="Adobe نسخ Medium" w:hAnsi="Adobe نسخ Medium" w:cs="Traditional Arabic"/>
          <w:sz w:val="28"/>
          <w:szCs w:val="28"/>
        </w:rPr>
        <w:sym w:font="HQPB2" w:char="F0C8"/>
      </w:r>
      <w:r w:rsidRPr="000B496A">
        <w:rPr>
          <w:rFonts w:ascii="Adobe نسخ Medium" w:hAnsi="Adobe نسخ Medium" w:cs="Traditional Arabic"/>
          <w:sz w:val="28"/>
          <w:szCs w:val="28"/>
          <w:rtl/>
        </w:rPr>
        <w:t xml:space="preserve">   </w:t>
      </w:r>
      <w:r w:rsidR="002168A2" w:rsidRPr="000B496A">
        <w:rPr>
          <w:rFonts w:ascii="Adobe نسخ Medium" w:hAnsi="Adobe نسخ Medium" w:cs="Traditional Arabic"/>
          <w:sz w:val="28"/>
          <w:szCs w:val="28"/>
          <w:rtl/>
        </w:rPr>
        <w:t>(</w:t>
      </w:r>
      <w:r w:rsidR="000B496A">
        <w:rPr>
          <w:rFonts w:ascii="(normal text)" w:hAnsi="(normal text)" w:hint="cs"/>
          <w:rtl/>
        </w:rPr>
        <w:t>ق.سورة</w:t>
      </w:r>
      <w:r w:rsidR="002168A2" w:rsidRPr="000B496A">
        <w:rPr>
          <w:rFonts w:ascii="Adobe نسخ Medium" w:hAnsi="Adobe نسخ Medium" w:cs="Traditional Arabic"/>
          <w:sz w:val="28"/>
          <w:szCs w:val="28"/>
          <w:rtl/>
        </w:rPr>
        <w:t xml:space="preserve"> البقرة :</w:t>
      </w:r>
      <w:r w:rsidR="000B496A">
        <w:rPr>
          <w:rFonts w:ascii="Adobe نسخ Medium" w:hAnsi="Adobe نسخ Medium" w:cs="Traditional Arabic" w:hint="cs"/>
          <w:sz w:val="28"/>
          <w:szCs w:val="28"/>
          <w:rtl/>
        </w:rPr>
        <w:t>2/</w:t>
      </w:r>
      <w:r w:rsidR="002168A2" w:rsidRPr="000B496A">
        <w:rPr>
          <w:rFonts w:ascii="Adobe نسخ Medium" w:hAnsi="Adobe نسخ Medium" w:cs="Traditional Arabic"/>
          <w:sz w:val="28"/>
          <w:szCs w:val="28"/>
          <w:rtl/>
        </w:rPr>
        <w:t xml:space="preserve"> </w:t>
      </w:r>
      <w:r w:rsidR="002168A2" w:rsidRPr="000B496A">
        <w:rPr>
          <w:rFonts w:ascii="Adobe نسخ Medium" w:hAnsi="Adobe نسخ Medium" w:cs="Traditional Arabic"/>
          <w:sz w:val="28"/>
          <w:szCs w:val="28"/>
        </w:rPr>
        <w:t>189</w:t>
      </w:r>
      <w:r w:rsidR="002168A2" w:rsidRPr="000B496A">
        <w:rPr>
          <w:rFonts w:ascii="Adobe نسخ Medium" w:hAnsi="Adobe نسخ Medium" w:cs="Traditional Arabic"/>
          <w:sz w:val="28"/>
          <w:szCs w:val="28"/>
          <w:rtl/>
        </w:rPr>
        <w:t xml:space="preserve"> )</w:t>
      </w:r>
    </w:p>
    <w:p w:rsidR="004C10C1" w:rsidRDefault="004C10C1" w:rsidP="00A11774">
      <w:pPr>
        <w:pStyle w:val="ListParagraph"/>
        <w:autoSpaceDE w:val="0"/>
        <w:autoSpaceDN w:val="0"/>
        <w:adjustRightInd w:val="0"/>
        <w:spacing w:after="0" w:line="240" w:lineRule="auto"/>
        <w:jc w:val="both"/>
        <w:rPr>
          <w:rFonts w:asciiTheme="majorBidi" w:hAnsiTheme="majorBidi" w:cstheme="majorBidi"/>
          <w:sz w:val="24"/>
          <w:szCs w:val="24"/>
        </w:rPr>
      </w:pPr>
      <w:r w:rsidRPr="00E26921">
        <w:rPr>
          <w:rFonts w:asciiTheme="majorBidi" w:hAnsiTheme="majorBidi" w:cstheme="majorBidi"/>
          <w:sz w:val="24"/>
          <w:szCs w:val="24"/>
        </w:rPr>
        <w:t>“</w:t>
      </w:r>
      <w:r w:rsidR="005D60B4" w:rsidRPr="001F2D8D">
        <w:rPr>
          <w:rFonts w:asciiTheme="majorBidi" w:hAnsiTheme="majorBidi" w:cstheme="majorBidi"/>
          <w:i/>
          <w:iCs/>
          <w:sz w:val="24"/>
          <w:szCs w:val="24"/>
        </w:rPr>
        <w:t>M</w:t>
      </w:r>
      <w:r w:rsidRPr="001F2D8D">
        <w:rPr>
          <w:rFonts w:asciiTheme="majorBidi" w:hAnsiTheme="majorBidi" w:cstheme="majorBidi"/>
          <w:i/>
          <w:iCs/>
          <w:sz w:val="24"/>
          <w:szCs w:val="24"/>
        </w:rPr>
        <w:t>ereka bertanya kepadamu tentang bulan sabit. Katakanlah: "Bulan sabit itu adalah tanda-tanda waktu bagi manusia dan (bagi ibadat) haji; dan bukanlah kebajikan memasuki rumah-rumah dari belakangnya, akan tetapi kebajikan itu ialah kebajikan orang yang bertakwa. dan masuklah ke rumah-rumah itu dari pintu-pintunya; dan bertakwalah kepada Allah agar kamu beruntung</w:t>
      </w:r>
      <w:r w:rsidRPr="00E26921">
        <w:rPr>
          <w:rFonts w:asciiTheme="majorBidi" w:hAnsiTheme="majorBidi" w:cstheme="majorBidi"/>
          <w:sz w:val="24"/>
          <w:szCs w:val="24"/>
        </w:rPr>
        <w:t>.</w:t>
      </w:r>
      <w:r>
        <w:rPr>
          <w:rStyle w:val="FootnoteReference"/>
          <w:rFonts w:asciiTheme="majorBidi" w:hAnsiTheme="majorBidi" w:cstheme="majorBidi"/>
          <w:sz w:val="24"/>
          <w:szCs w:val="24"/>
        </w:rPr>
        <w:footnoteReference w:id="8"/>
      </w:r>
      <w:r w:rsidRPr="00E26921">
        <w:rPr>
          <w:rFonts w:asciiTheme="majorBidi" w:hAnsiTheme="majorBidi" w:cstheme="majorBidi"/>
          <w:sz w:val="24"/>
          <w:szCs w:val="24"/>
        </w:rPr>
        <w:t>”</w:t>
      </w:r>
      <w:r w:rsidRPr="00D81317">
        <w:rPr>
          <w:rFonts w:asciiTheme="majorBidi" w:hAnsiTheme="majorBidi" w:cstheme="majorBidi"/>
          <w:sz w:val="24"/>
          <w:szCs w:val="24"/>
        </w:rPr>
        <w:t xml:space="preserve"> </w:t>
      </w:r>
      <w:r>
        <w:rPr>
          <w:rFonts w:asciiTheme="majorBidi" w:hAnsiTheme="majorBidi" w:cstheme="majorBidi"/>
          <w:sz w:val="24"/>
          <w:szCs w:val="24"/>
        </w:rPr>
        <w:t>( QS. Al-Baqarah:[2]: 189).</w:t>
      </w:r>
    </w:p>
    <w:p w:rsidR="00D45AEE" w:rsidRPr="00D81317" w:rsidRDefault="00D45AEE" w:rsidP="00A11774">
      <w:pPr>
        <w:pStyle w:val="ListParagraph"/>
        <w:autoSpaceDE w:val="0"/>
        <w:autoSpaceDN w:val="0"/>
        <w:adjustRightInd w:val="0"/>
        <w:spacing w:after="0" w:line="240" w:lineRule="auto"/>
        <w:jc w:val="both"/>
        <w:rPr>
          <w:rFonts w:asciiTheme="majorBidi" w:hAnsiTheme="majorBidi" w:cstheme="majorBidi"/>
          <w:sz w:val="24"/>
          <w:szCs w:val="24"/>
        </w:rPr>
      </w:pPr>
    </w:p>
    <w:p w:rsidR="004C10C1" w:rsidRDefault="00DB1EC9" w:rsidP="00A33E46">
      <w:pPr>
        <w:pStyle w:val="ListParagraph"/>
        <w:numPr>
          <w:ilvl w:val="0"/>
          <w:numId w:val="8"/>
        </w:numPr>
        <w:autoSpaceDE w:val="0"/>
        <w:autoSpaceDN w:val="0"/>
        <w:adjustRightInd w:val="0"/>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Surat </w:t>
      </w:r>
      <w:r w:rsidR="004C10C1" w:rsidRPr="00ED03B2">
        <w:rPr>
          <w:rFonts w:ascii="Times New Roman" w:hAnsi="Times New Roman" w:cs="Times New Roman"/>
          <w:sz w:val="24"/>
          <w:szCs w:val="24"/>
        </w:rPr>
        <w:t xml:space="preserve">Al-Baqarah ayat 219, pertanyaan tentang khamar dan judi, </w:t>
      </w:r>
      <w:r w:rsidR="000C3F45">
        <w:rPr>
          <w:rFonts w:ascii="Times New Roman" w:hAnsi="Times New Roman" w:cs="Times New Roman"/>
          <w:sz w:val="24"/>
          <w:szCs w:val="24"/>
        </w:rPr>
        <w:t>dan jawabannya adalah kha</w:t>
      </w:r>
      <w:r w:rsidR="004C10C1">
        <w:rPr>
          <w:rFonts w:ascii="Times New Roman" w:hAnsi="Times New Roman" w:cs="Times New Roman"/>
          <w:sz w:val="24"/>
          <w:szCs w:val="24"/>
        </w:rPr>
        <w:t xml:space="preserve">mar dan judi merupakan </w:t>
      </w:r>
      <w:r w:rsidR="004C10C1" w:rsidRPr="00ED03B2">
        <w:rPr>
          <w:rFonts w:ascii="Times New Roman" w:hAnsi="Times New Roman" w:cs="Times New Roman"/>
          <w:sz w:val="24"/>
          <w:szCs w:val="24"/>
        </w:rPr>
        <w:t>dosa besar.</w:t>
      </w:r>
    </w:p>
    <w:p w:rsidR="004C10C1" w:rsidRPr="00437949" w:rsidRDefault="004C10C1" w:rsidP="00366753">
      <w:pPr>
        <w:bidi/>
        <w:spacing w:line="240" w:lineRule="auto"/>
        <w:ind w:right="180"/>
        <w:jc w:val="both"/>
        <w:rPr>
          <w:rFonts w:ascii="Adobe نسخ Medium" w:hAnsi="Adobe نسخ Medium" w:cs="Adobe نسخ Medium"/>
          <w:sz w:val="28"/>
          <w:szCs w:val="28"/>
          <w:rtl/>
        </w:rPr>
      </w:pPr>
      <w:r w:rsidRPr="00437949">
        <w:rPr>
          <w:sz w:val="28"/>
          <w:szCs w:val="28"/>
        </w:rPr>
        <w:sym w:font="HQPB4" w:char="F02A"/>
      </w:r>
      <w:r w:rsidRPr="00437949">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2" w:char="F037"/>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52"/>
      </w:r>
      <w:r w:rsidRPr="00E11FC4">
        <w:rPr>
          <w:rFonts w:ascii="Adobe نسخ Medium" w:hAnsi="Adobe نسخ Medium" w:cs="Adobe نسخ Medium"/>
          <w:sz w:val="28"/>
          <w:szCs w:val="28"/>
        </w:rPr>
        <w:sym w:font="HQPB2" w:char="F071"/>
      </w:r>
      <w:r w:rsidRPr="00E11FC4">
        <w:rPr>
          <w:rFonts w:ascii="Adobe نسخ Medium" w:hAnsi="Adobe نسخ Medium" w:cs="Adobe نسخ Medium"/>
          <w:sz w:val="28"/>
          <w:szCs w:val="28"/>
        </w:rPr>
        <w:sym w:font="HQPB4" w:char="F0E8"/>
      </w:r>
      <w:r w:rsidRPr="00E11FC4">
        <w:rPr>
          <w:rFonts w:ascii="Adobe نسخ Medium" w:hAnsi="Adobe نسخ Medium" w:cs="Adobe نسخ Medium"/>
          <w:sz w:val="28"/>
          <w:szCs w:val="28"/>
        </w:rPr>
        <w:sym w:font="HQPB2" w:char="F03D"/>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AB"/>
      </w:r>
      <w:r w:rsidRPr="00E11FC4">
        <w:rPr>
          <w:rFonts w:ascii="Adobe نسخ Medium" w:hAnsi="Adobe نسخ Medium" w:cs="Adobe نسخ Medium"/>
          <w:sz w:val="28"/>
          <w:szCs w:val="28"/>
        </w:rPr>
        <w:sym w:font="HQPB4" w:char="F0F3"/>
      </w:r>
      <w:r w:rsidRPr="00E11FC4">
        <w:rPr>
          <w:rFonts w:ascii="Adobe نسخ Medium" w:hAnsi="Adobe نسخ Medium" w:cs="Adobe نسخ Medium"/>
          <w:sz w:val="28"/>
          <w:szCs w:val="28"/>
        </w:rPr>
        <w:sym w:font="HQPB1" w:char="F0A1"/>
      </w:r>
      <w:r w:rsidRPr="00E11FC4">
        <w:rPr>
          <w:rFonts w:ascii="Adobe نسخ Medium" w:hAnsi="Adobe نسخ Medium" w:cs="Adobe نسخ Medium"/>
          <w:sz w:val="28"/>
          <w:szCs w:val="28"/>
        </w:rPr>
        <w:sym w:font="HQPB5" w:char="F06F"/>
      </w:r>
      <w:r w:rsidRPr="00E11FC4">
        <w:rPr>
          <w:rFonts w:ascii="Adobe نسخ Medium" w:hAnsi="Adobe نسخ Medium" w:cs="Adobe نسخ Medium"/>
          <w:sz w:val="28"/>
          <w:szCs w:val="28"/>
        </w:rPr>
        <w:sym w:font="HQPB2" w:char="F084"/>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7"/>
      </w:r>
      <w:r w:rsidRPr="00E11FC4">
        <w:rPr>
          <w:rFonts w:ascii="Adobe نسخ Medium" w:hAnsi="Adobe نسخ Medium" w:cs="Adobe نسخ Medium"/>
          <w:sz w:val="28"/>
          <w:szCs w:val="28"/>
        </w:rPr>
        <w:sym w:font="HQPB2" w:char="F0C6"/>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1" w:char="F0E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C"/>
      </w:r>
      <w:r w:rsidRPr="00E11FC4">
        <w:rPr>
          <w:rFonts w:ascii="Adobe نسخ Medium" w:hAnsi="Adobe نسخ Medium" w:cs="Adobe نسخ Medium"/>
          <w:sz w:val="28"/>
          <w:szCs w:val="28"/>
        </w:rPr>
        <w:sym w:font="HQPB1" w:char="F08D"/>
      </w:r>
      <w:r w:rsidRPr="00E11FC4">
        <w:rPr>
          <w:rFonts w:ascii="Adobe نسخ Medium" w:hAnsi="Adobe نسخ Medium" w:cs="Adobe نسخ Medium"/>
          <w:sz w:val="28"/>
          <w:szCs w:val="28"/>
        </w:rPr>
        <w:sym w:font="HQPB4" w:char="F0F4"/>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1" w:char="F082"/>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Pr>
        <w:sym w:font="HQPB5" w:char="F024"/>
      </w:r>
      <w:r w:rsidRPr="00E11FC4">
        <w:rPr>
          <w:rFonts w:ascii="Adobe نسخ Medium" w:hAnsi="Adobe نسخ Medium" w:cs="Adobe نسخ Medium"/>
          <w:sz w:val="28"/>
          <w:szCs w:val="28"/>
        </w:rPr>
        <w:sym w:font="HQPB1" w:char="F02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1" w:char="F08E"/>
      </w:r>
      <w:r w:rsidRPr="00E11FC4">
        <w:rPr>
          <w:rFonts w:ascii="Adobe نسخ Medium" w:hAnsi="Adobe نسخ Medium" w:cs="Adobe نسخ Medium"/>
          <w:sz w:val="28"/>
          <w:szCs w:val="28"/>
        </w:rPr>
        <w:sym w:font="HQPB4" w:char="F0C5"/>
      </w:r>
      <w:r w:rsidRPr="00E11FC4">
        <w:rPr>
          <w:rFonts w:ascii="Adobe نسخ Medium" w:hAnsi="Adobe نسخ Medium" w:cs="Adobe نسخ Medium"/>
          <w:sz w:val="28"/>
          <w:szCs w:val="28"/>
        </w:rPr>
        <w:sym w:font="HQPB1" w:char="F0A3"/>
      </w:r>
      <w:r w:rsidRPr="00E11FC4">
        <w:rPr>
          <w:rFonts w:ascii="Adobe نسخ Medium" w:hAnsi="Adobe نسخ Medium" w:cs="Adobe نسخ Medium"/>
          <w:sz w:val="28"/>
          <w:szCs w:val="28"/>
        </w:rPr>
        <w:sym w:font="HQPB4" w:char="F0F7"/>
      </w:r>
      <w:r w:rsidRPr="00E11FC4">
        <w:rPr>
          <w:rFonts w:ascii="Adobe نسخ Medium" w:hAnsi="Adobe نسخ Medium" w:cs="Adobe نسخ Medium"/>
          <w:sz w:val="28"/>
          <w:szCs w:val="28"/>
        </w:rPr>
        <w:sym w:font="HQPB2" w:char="F08F"/>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Pr>
        <w:sym w:font="HQPB5" w:char="F024"/>
      </w:r>
      <w:r w:rsidRPr="00E11FC4">
        <w:rPr>
          <w:rFonts w:ascii="Adobe نسخ Medium" w:hAnsi="Adobe نسخ Medium" w:cs="Adobe نسخ Medium"/>
          <w:sz w:val="28"/>
          <w:szCs w:val="28"/>
        </w:rPr>
        <w:sym w:font="HQPB1" w:char="F023"/>
      </w:r>
      <w:r w:rsidRPr="00E11FC4">
        <w:rPr>
          <w:rFonts w:ascii="Adobe نسخ Medium" w:hAnsi="Adobe نسخ Medium" w:cs="Adobe نسخ Medium"/>
          <w:sz w:val="28"/>
          <w:szCs w:val="28"/>
        </w:rPr>
        <w:sym w:font="HQPB5" w:char="F075"/>
      </w:r>
      <w:r w:rsidRPr="00E11FC4">
        <w:rPr>
          <w:rFonts w:ascii="Adobe نسخ Medium" w:hAnsi="Adobe نسخ Medium" w:cs="Adobe نسخ Medium"/>
          <w:sz w:val="28"/>
          <w:szCs w:val="28"/>
        </w:rPr>
        <w:sym w:font="HQPB2" w:char="F07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28"/>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F6"/>
      </w:r>
      <w:r w:rsidRPr="00E11FC4">
        <w:rPr>
          <w:rFonts w:ascii="Adobe نسخ Medium" w:hAnsi="Adobe نسخ Medium" w:cs="Adobe نسخ Medium"/>
          <w:sz w:val="28"/>
          <w:szCs w:val="28"/>
        </w:rPr>
        <w:sym w:font="HQPB2" w:char="F040"/>
      </w:r>
      <w:r w:rsidRPr="00E11FC4">
        <w:rPr>
          <w:rFonts w:ascii="Adobe نسخ Medium" w:hAnsi="Adobe نسخ Medium" w:cs="Adobe نسخ Medium"/>
          <w:sz w:val="28"/>
          <w:szCs w:val="28"/>
        </w:rPr>
        <w:sym w:font="HQPB4" w:char="F0E8"/>
      </w:r>
      <w:r w:rsidRPr="00E11FC4">
        <w:rPr>
          <w:rFonts w:ascii="Adobe نسخ Medium" w:hAnsi="Adobe نسخ Medium" w:cs="Adobe نسخ Medium"/>
          <w:sz w:val="28"/>
          <w:szCs w:val="28"/>
        </w:rPr>
        <w:sym w:font="HQPB2" w:char="F025"/>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21"/>
      </w:r>
      <w:r w:rsidRPr="00E11FC4">
        <w:rPr>
          <w:rFonts w:ascii="Adobe نسخ Medium" w:hAnsi="Adobe نسخ Medium" w:cs="Adobe نسخ Medium"/>
          <w:sz w:val="28"/>
          <w:szCs w:val="28"/>
        </w:rPr>
        <w:sym w:font="HQPB1" w:char="F024"/>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2" w:char="F067"/>
      </w:r>
      <w:r w:rsidRPr="00E11FC4">
        <w:rPr>
          <w:rFonts w:ascii="Adobe نسخ Medium" w:hAnsi="Adobe نسخ Medium" w:cs="Adobe نسخ Medium"/>
          <w:sz w:val="28"/>
          <w:szCs w:val="28"/>
        </w:rPr>
        <w:sym w:font="HQPB2" w:char="F08A"/>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1" w:char="F0F9"/>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D6"/>
      </w:r>
      <w:r w:rsidRPr="00E11FC4">
        <w:rPr>
          <w:rFonts w:ascii="Adobe نسخ Medium" w:hAnsi="Adobe نسخ Medium" w:cs="Adobe نسخ Medium"/>
          <w:sz w:val="28"/>
          <w:szCs w:val="28"/>
        </w:rPr>
        <w:sym w:font="HQPB2" w:char="F04E"/>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1" w:char="F04F"/>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1" w:char="F029"/>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D7"/>
      </w:r>
      <w:r w:rsidRPr="00E11FC4">
        <w:rPr>
          <w:rFonts w:ascii="Adobe نسخ Medium" w:hAnsi="Adobe نسخ Medium" w:cs="Adobe نسخ Medium"/>
          <w:sz w:val="28"/>
          <w:szCs w:val="28"/>
        </w:rPr>
        <w:sym w:font="HQPB1" w:char="F08E"/>
      </w:r>
      <w:r w:rsidRPr="00E11FC4">
        <w:rPr>
          <w:rFonts w:ascii="Adobe نسخ Medium" w:hAnsi="Adobe نسخ Medium" w:cs="Adobe نسخ Medium"/>
          <w:sz w:val="28"/>
          <w:szCs w:val="28"/>
        </w:rPr>
        <w:sym w:font="HQPB2" w:char="F08D"/>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1" w:char="F037"/>
      </w:r>
      <w:r w:rsidRPr="00E11FC4">
        <w:rPr>
          <w:rFonts w:ascii="Adobe نسخ Medium" w:hAnsi="Adobe نسخ Medium" w:cs="Adobe نسخ Medium"/>
          <w:sz w:val="28"/>
          <w:szCs w:val="28"/>
        </w:rPr>
        <w:sym w:font="HQPB5" w:char="F09F"/>
      </w:r>
      <w:r w:rsidRPr="00E11FC4">
        <w:rPr>
          <w:rFonts w:ascii="Adobe نسخ Medium" w:hAnsi="Adobe نسخ Medium" w:cs="Adobe نسخ Medium"/>
          <w:sz w:val="28"/>
          <w:szCs w:val="28"/>
        </w:rPr>
        <w:sym w:font="HQPB2" w:char="F03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DF"/>
      </w:r>
      <w:r w:rsidRPr="00E11FC4">
        <w:rPr>
          <w:rFonts w:ascii="Adobe نسخ Medium" w:hAnsi="Adobe نسخ Medium" w:cs="Adobe نسخ Medium"/>
          <w:sz w:val="28"/>
          <w:szCs w:val="28"/>
        </w:rPr>
        <w:sym w:font="HQPB1" w:char="F0EC"/>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1" w:char="F0FF"/>
      </w:r>
      <w:r w:rsidRPr="00E11FC4">
        <w:rPr>
          <w:rFonts w:ascii="Adobe نسخ Medium" w:hAnsi="Adobe نسخ Medium" w:cs="Adobe نسخ Medium"/>
          <w:sz w:val="28"/>
          <w:szCs w:val="28"/>
        </w:rPr>
        <w:sym w:font="HQPB2" w:char="F0BB"/>
      </w:r>
      <w:r w:rsidRPr="00E11FC4">
        <w:rPr>
          <w:rFonts w:ascii="Adobe نسخ Medium" w:hAnsi="Adobe نسخ Medium" w:cs="Adobe نسخ Medium"/>
          <w:sz w:val="28"/>
          <w:szCs w:val="28"/>
        </w:rPr>
        <w:sym w:font="HQPB5" w:char="F06F"/>
      </w:r>
      <w:r w:rsidRPr="00E11FC4">
        <w:rPr>
          <w:rFonts w:ascii="Adobe نسخ Medium" w:hAnsi="Adobe نسخ Medium" w:cs="Adobe نسخ Medium"/>
          <w:sz w:val="28"/>
          <w:szCs w:val="28"/>
        </w:rPr>
        <w:sym w:font="HQPB2" w:char="F059"/>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42"/>
      </w:r>
      <w:r w:rsidRPr="00E11FC4">
        <w:rPr>
          <w:rFonts w:ascii="Adobe نسخ Medium" w:hAnsi="Adobe نسخ Medium" w:cs="Adobe نسخ Medium"/>
          <w:sz w:val="28"/>
          <w:szCs w:val="28"/>
        </w:rPr>
        <w:sym w:font="HQPB5" w:char="F075"/>
      </w:r>
      <w:r w:rsidRPr="00E11FC4">
        <w:rPr>
          <w:rFonts w:ascii="Adobe نسخ Medium" w:hAnsi="Adobe نسخ Medium" w:cs="Adobe نسخ Medium"/>
          <w:sz w:val="28"/>
          <w:szCs w:val="28"/>
        </w:rPr>
        <w:sym w:font="HQPB2" w:char="F07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4"/>
      </w:r>
      <w:r w:rsidRPr="00E11FC4">
        <w:rPr>
          <w:rFonts w:ascii="Adobe نسخ Medium" w:hAnsi="Adobe نسخ Medium" w:cs="Adobe نسخ Medium"/>
          <w:sz w:val="28"/>
          <w:szCs w:val="28"/>
        </w:rPr>
        <w:sym w:font="HQPB1" w:char="F0A8"/>
      </w:r>
      <w:r w:rsidRPr="00E11FC4">
        <w:rPr>
          <w:rFonts w:ascii="Adobe نسخ Medium" w:hAnsi="Adobe نسخ Medium" w:cs="Adobe نسخ Medium"/>
          <w:sz w:val="28"/>
          <w:szCs w:val="28"/>
        </w:rPr>
        <w:sym w:font="HQPB1" w:char="F024"/>
      </w:r>
      <w:r w:rsidRPr="00E11FC4">
        <w:rPr>
          <w:rFonts w:ascii="Adobe نسخ Medium" w:hAnsi="Adobe نسخ Medium" w:cs="Adobe نسخ Medium"/>
          <w:sz w:val="28"/>
          <w:szCs w:val="28"/>
        </w:rPr>
        <w:sym w:font="HQPB4" w:char="F0A8"/>
      </w:r>
      <w:r w:rsidRPr="00E11FC4">
        <w:rPr>
          <w:rFonts w:ascii="Adobe نسخ Medium" w:hAnsi="Adobe نسخ Medium" w:cs="Adobe نسخ Medium"/>
          <w:sz w:val="28"/>
          <w:szCs w:val="28"/>
        </w:rPr>
        <w:sym w:font="HQPB2" w:char="F05A"/>
      </w:r>
      <w:r w:rsidRPr="00E11FC4">
        <w:rPr>
          <w:rFonts w:ascii="Adobe نسخ Medium" w:hAnsi="Adobe نسخ Medium" w:cs="Adobe نسخ Medium"/>
          <w:sz w:val="28"/>
          <w:szCs w:val="28"/>
        </w:rPr>
        <w:sym w:font="HQPB2" w:char="F03D"/>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21"/>
      </w:r>
      <w:r w:rsidRPr="00E11FC4">
        <w:rPr>
          <w:rFonts w:ascii="Adobe نسخ Medium" w:hAnsi="Adobe نسخ Medium" w:cs="Adobe نسخ Medium"/>
          <w:sz w:val="28"/>
          <w:szCs w:val="28"/>
        </w:rPr>
        <w:sym w:font="HQPB1" w:char="F024"/>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4" w:char="F0DF"/>
      </w:r>
      <w:r w:rsidRPr="00E11FC4">
        <w:rPr>
          <w:rFonts w:ascii="Adobe نسخ Medium" w:hAnsi="Adobe نسخ Medium" w:cs="Adobe نسخ Medium"/>
          <w:sz w:val="28"/>
          <w:szCs w:val="28"/>
        </w:rPr>
        <w:sym w:font="HQPB2" w:char="F067"/>
      </w:r>
      <w:r w:rsidRPr="00E11FC4">
        <w:rPr>
          <w:rFonts w:ascii="Adobe نسخ Medium" w:hAnsi="Adobe نسخ Medium" w:cs="Adobe نسخ Medium"/>
          <w:sz w:val="28"/>
          <w:szCs w:val="28"/>
        </w:rPr>
        <w:sym w:font="HQPB4" w:char="F0DF"/>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1" w:char="F04F"/>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1" w:char="F029"/>
      </w:r>
      <w:r w:rsidRPr="00E11FC4">
        <w:rPr>
          <w:rFonts w:ascii="Adobe نسخ Medium" w:hAnsi="Adobe نسخ Medium" w:cs="Adobe نسخ Medium"/>
          <w:sz w:val="28"/>
          <w:szCs w:val="28"/>
        </w:rPr>
        <w:sym w:font="HQPB5" w:char="F075"/>
      </w:r>
      <w:r w:rsidRPr="00E11FC4">
        <w:rPr>
          <w:rFonts w:ascii="Adobe نسخ Medium" w:hAnsi="Adobe نسخ Medium" w:cs="Adobe نسخ Medium"/>
          <w:sz w:val="28"/>
          <w:szCs w:val="28"/>
        </w:rPr>
        <w:sym w:font="HQPB2" w:char="F07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E7"/>
      </w:r>
      <w:r w:rsidRPr="00E11FC4">
        <w:rPr>
          <w:rFonts w:ascii="Adobe نسخ Medium" w:hAnsi="Adobe نسخ Medium" w:cs="Adobe نسخ Medium"/>
          <w:sz w:val="28"/>
          <w:szCs w:val="28"/>
        </w:rPr>
        <w:sym w:font="HQPB1" w:char="F08E"/>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1" w:char="F039"/>
      </w:r>
      <w:r w:rsidRPr="00E11FC4">
        <w:rPr>
          <w:rFonts w:ascii="Adobe نسخ Medium" w:hAnsi="Adobe نسخ Medium" w:cs="Adobe نسخ Medium"/>
          <w:sz w:val="28"/>
          <w:szCs w:val="28"/>
        </w:rPr>
        <w:sym w:font="HQPB4" w:char="F0F2"/>
      </w:r>
      <w:r w:rsidRPr="00E11FC4">
        <w:rPr>
          <w:rFonts w:ascii="Adobe نسخ Medium" w:hAnsi="Adobe نسخ Medium" w:cs="Adobe نسخ Medium"/>
          <w:sz w:val="28"/>
          <w:szCs w:val="28"/>
        </w:rPr>
        <w:sym w:font="HQPB2" w:char="F032"/>
      </w:r>
      <w:r w:rsidRPr="00E11FC4">
        <w:rPr>
          <w:rFonts w:ascii="Adobe نسخ Medium" w:hAnsi="Adobe نسخ Medium" w:cs="Adobe نسخ Medium"/>
          <w:sz w:val="28"/>
          <w:szCs w:val="28"/>
        </w:rPr>
        <w:sym w:font="HQPB5" w:char="F072"/>
      </w:r>
      <w:r w:rsidRPr="00E11FC4">
        <w:rPr>
          <w:rFonts w:ascii="Adobe نسخ Medium" w:hAnsi="Adobe نسخ Medium" w:cs="Adobe نسخ Medium"/>
          <w:sz w:val="28"/>
          <w:szCs w:val="28"/>
        </w:rPr>
        <w:sym w:font="HQPB1" w:char="F026"/>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2" w:char="F060"/>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2" w:char="F04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1" w:char="F024"/>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2" w:char="F04A"/>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2" w:char="F067"/>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1" w:char="F0E8"/>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1" w:char="F0FF"/>
      </w:r>
      <w:r w:rsidRPr="00E11FC4">
        <w:rPr>
          <w:rFonts w:ascii="Adobe نسخ Medium" w:hAnsi="Adobe نسخ Medium" w:cs="Adobe نسخ Medium"/>
          <w:sz w:val="28"/>
          <w:szCs w:val="28"/>
        </w:rPr>
        <w:sym w:font="HQPB4" w:char="F0AF"/>
      </w:r>
      <w:r w:rsidRPr="00E11FC4">
        <w:rPr>
          <w:rFonts w:ascii="Adobe نسخ Medium" w:hAnsi="Adobe نسخ Medium" w:cs="Adobe نسخ Medium"/>
          <w:sz w:val="28"/>
          <w:szCs w:val="28"/>
        </w:rPr>
        <w:sym w:font="HQPB2" w:char="F05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3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9A"/>
      </w:r>
      <w:r w:rsidRPr="00E11FC4">
        <w:rPr>
          <w:rFonts w:ascii="Adobe نسخ Medium" w:hAnsi="Adobe نسخ Medium" w:cs="Adobe نسخ Medium"/>
          <w:sz w:val="28"/>
          <w:szCs w:val="28"/>
        </w:rPr>
        <w:sym w:font="HQPB3" w:char="F081"/>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52"/>
      </w:r>
      <w:r w:rsidRPr="00E11FC4">
        <w:rPr>
          <w:rFonts w:ascii="Adobe نسخ Medium" w:hAnsi="Adobe نسخ Medium" w:cs="Adobe نسخ Medium"/>
          <w:sz w:val="28"/>
          <w:szCs w:val="28"/>
        </w:rPr>
        <w:sym w:font="HQPB2" w:char="F071"/>
      </w:r>
      <w:r w:rsidRPr="00E11FC4">
        <w:rPr>
          <w:rFonts w:ascii="Adobe نسخ Medium" w:hAnsi="Adobe نسخ Medium" w:cs="Adobe نسخ Medium"/>
          <w:sz w:val="28"/>
          <w:szCs w:val="28"/>
        </w:rPr>
        <w:sym w:font="HQPB4" w:char="F0E8"/>
      </w:r>
      <w:r w:rsidRPr="00E11FC4">
        <w:rPr>
          <w:rFonts w:ascii="Adobe نسخ Medium" w:hAnsi="Adobe نسخ Medium" w:cs="Adobe نسخ Medium"/>
          <w:sz w:val="28"/>
          <w:szCs w:val="28"/>
        </w:rPr>
        <w:sym w:font="HQPB2" w:char="F03D"/>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AB"/>
      </w:r>
      <w:r w:rsidRPr="00E11FC4">
        <w:rPr>
          <w:rFonts w:ascii="Adobe نسخ Medium" w:hAnsi="Adobe نسخ Medium" w:cs="Adobe نسخ Medium"/>
          <w:sz w:val="28"/>
          <w:szCs w:val="28"/>
        </w:rPr>
        <w:sym w:font="HQPB4" w:char="F0F3"/>
      </w:r>
      <w:r w:rsidRPr="00E11FC4">
        <w:rPr>
          <w:rFonts w:ascii="Adobe نسخ Medium" w:hAnsi="Adobe نسخ Medium" w:cs="Adobe نسخ Medium"/>
          <w:sz w:val="28"/>
          <w:szCs w:val="28"/>
        </w:rPr>
        <w:sym w:font="HQPB1" w:char="F0A1"/>
      </w:r>
      <w:r w:rsidRPr="00E11FC4">
        <w:rPr>
          <w:rFonts w:ascii="Adobe نسخ Medium" w:hAnsi="Adobe نسخ Medium" w:cs="Adobe نسخ Medium"/>
          <w:sz w:val="28"/>
          <w:szCs w:val="28"/>
        </w:rPr>
        <w:sym w:font="HQPB5" w:char="F06F"/>
      </w:r>
      <w:r w:rsidRPr="00E11FC4">
        <w:rPr>
          <w:rFonts w:ascii="Adobe نسخ Medium" w:hAnsi="Adobe نسخ Medium" w:cs="Adobe نسخ Medium"/>
          <w:sz w:val="28"/>
          <w:szCs w:val="28"/>
        </w:rPr>
        <w:sym w:font="HQPB2" w:char="F084"/>
      </w:r>
      <w:r w:rsidRPr="00E11FC4">
        <w:rPr>
          <w:rFonts w:ascii="Adobe نسخ Medium" w:hAnsi="Adobe نسخ Medium" w:cs="Adobe نسخ Medium"/>
          <w:sz w:val="28"/>
          <w:szCs w:val="28"/>
        </w:rPr>
        <w:sym w:font="HQPB5" w:char="F075"/>
      </w:r>
      <w:r w:rsidRPr="00E11FC4">
        <w:rPr>
          <w:rFonts w:ascii="Adobe نسخ Medium" w:hAnsi="Adobe نسخ Medium" w:cs="Adobe نسخ Medium"/>
          <w:sz w:val="28"/>
          <w:szCs w:val="28"/>
        </w:rPr>
        <w:sym w:font="HQPB2" w:char="F07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1" w:char="F023"/>
      </w:r>
      <w:r w:rsidRPr="00E11FC4">
        <w:rPr>
          <w:rFonts w:ascii="Adobe نسخ Medium" w:hAnsi="Adobe نسخ Medium" w:cs="Adobe نسخ Medium"/>
          <w:sz w:val="28"/>
          <w:szCs w:val="28"/>
        </w:rPr>
        <w:sym w:font="HQPB5" w:char="F073"/>
      </w:r>
      <w:r w:rsidRPr="00E11FC4">
        <w:rPr>
          <w:rFonts w:ascii="Adobe نسخ Medium" w:hAnsi="Adobe نسخ Medium" w:cs="Adobe نسخ Medium"/>
          <w:sz w:val="28"/>
          <w:szCs w:val="28"/>
        </w:rPr>
        <w:sym w:font="HQPB1" w:char="F08C"/>
      </w:r>
      <w:r w:rsidRPr="00E11FC4">
        <w:rPr>
          <w:rFonts w:ascii="Adobe نسخ Medium" w:hAnsi="Adobe نسخ Medium" w:cs="Adobe نسخ Medium"/>
          <w:sz w:val="28"/>
          <w:szCs w:val="28"/>
        </w:rPr>
        <w:sym w:font="HQPB1" w:char="F024"/>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42"/>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62"/>
      </w:r>
      <w:r w:rsidRPr="00E11FC4">
        <w:rPr>
          <w:rFonts w:ascii="Adobe نسخ Medium" w:hAnsi="Adobe نسخ Medium" w:cs="Adobe نسخ Medium"/>
          <w:sz w:val="28"/>
          <w:szCs w:val="28"/>
        </w:rPr>
        <w:sym w:font="HQPB2" w:char="F071"/>
      </w:r>
      <w:r w:rsidRPr="00E11FC4">
        <w:rPr>
          <w:rFonts w:ascii="Adobe نسخ Medium" w:hAnsi="Adobe نسخ Medium" w:cs="Adobe نسخ Medium"/>
          <w:sz w:val="28"/>
          <w:szCs w:val="28"/>
        </w:rPr>
        <w:sym w:font="HQPB4" w:char="F0E0"/>
      </w:r>
      <w:r w:rsidRPr="00E11FC4">
        <w:rPr>
          <w:rFonts w:ascii="Adobe نسخ Medium" w:hAnsi="Adobe نسخ Medium" w:cs="Adobe نسخ Medium"/>
          <w:sz w:val="28"/>
          <w:szCs w:val="28"/>
        </w:rPr>
        <w:sym w:font="HQPB2" w:char="F029"/>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1" w:char="F0FF"/>
      </w:r>
      <w:r w:rsidRPr="00E11FC4">
        <w:rPr>
          <w:rFonts w:ascii="Adobe نسخ Medium" w:hAnsi="Adobe نسخ Medium" w:cs="Adobe نسخ Medium"/>
          <w:sz w:val="28"/>
          <w:szCs w:val="28"/>
        </w:rPr>
        <w:sym w:font="HQPB2" w:char="F05A"/>
      </w:r>
      <w:r w:rsidRPr="00E11FC4">
        <w:rPr>
          <w:rFonts w:ascii="Adobe نسخ Medium" w:hAnsi="Adobe نسخ Medium" w:cs="Adobe نسخ Medium"/>
          <w:sz w:val="28"/>
          <w:szCs w:val="28"/>
        </w:rPr>
        <w:sym w:font="HQPB4" w:char="F0E3"/>
      </w:r>
      <w:r w:rsidRPr="00E11FC4">
        <w:rPr>
          <w:rFonts w:ascii="Adobe نسخ Medium" w:hAnsi="Adobe نسخ Medium" w:cs="Adobe نسخ Medium"/>
          <w:sz w:val="28"/>
          <w:szCs w:val="28"/>
        </w:rPr>
        <w:sym w:font="HQPB2" w:char="F08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8"/>
      </w:r>
      <w:r w:rsidRPr="00E11FC4">
        <w:rPr>
          <w:rFonts w:ascii="Adobe نسخ Medium" w:hAnsi="Adobe نسخ Medium" w:cs="Adobe نسخ Medium"/>
          <w:sz w:val="28"/>
          <w:szCs w:val="28"/>
        </w:rPr>
        <w:sym w:font="HQPB2" w:char="F040"/>
      </w:r>
      <w:r w:rsidRPr="00E11FC4">
        <w:rPr>
          <w:rFonts w:ascii="Adobe نسخ Medium" w:hAnsi="Adobe نسخ Medium" w:cs="Adobe نسخ Medium"/>
          <w:sz w:val="28"/>
          <w:szCs w:val="28"/>
        </w:rPr>
        <w:sym w:font="HQPB4" w:char="F0E8"/>
      </w:r>
      <w:r w:rsidRPr="00E11FC4">
        <w:rPr>
          <w:rFonts w:ascii="Adobe نسخ Medium" w:hAnsi="Adobe نسخ Medium" w:cs="Adobe نسخ Medium"/>
          <w:sz w:val="28"/>
          <w:szCs w:val="28"/>
        </w:rPr>
        <w:sym w:font="HQPB2" w:char="F025"/>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75"/>
      </w:r>
      <w:r w:rsidRPr="00E11FC4">
        <w:rPr>
          <w:rFonts w:ascii="Adobe نسخ Medium" w:hAnsi="Adobe نسخ Medium" w:cs="Adobe نسخ Medium"/>
          <w:sz w:val="28"/>
          <w:szCs w:val="28"/>
        </w:rPr>
        <w:sym w:font="HQPB2" w:char="F071"/>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1" w:char="F0FF"/>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1" w:char="F0E8"/>
      </w:r>
      <w:r w:rsidRPr="00E11FC4">
        <w:rPr>
          <w:rFonts w:ascii="Adobe نسخ Medium" w:hAnsi="Adobe نسخ Medium" w:cs="Adobe نسخ Medium"/>
          <w:sz w:val="28"/>
          <w:szCs w:val="28"/>
        </w:rPr>
        <w:sym w:font="HQPB4" w:char="F0F8"/>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Pr>
        <w:sym w:font="HQPB5" w:char="F024"/>
      </w:r>
      <w:r w:rsidRPr="00E11FC4">
        <w:rPr>
          <w:rFonts w:ascii="Adobe نسخ Medium" w:hAnsi="Adobe نسخ Medium" w:cs="Adobe نسخ Medium"/>
          <w:sz w:val="28"/>
          <w:szCs w:val="28"/>
        </w:rPr>
        <w:sym w:font="HQPB1" w:char="F02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3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9A"/>
      </w:r>
      <w:r w:rsidRPr="00E11FC4">
        <w:rPr>
          <w:rFonts w:ascii="Adobe نسخ Medium" w:hAnsi="Adobe نسخ Medium" w:cs="Adobe نسخ Medium"/>
          <w:sz w:val="28"/>
          <w:szCs w:val="28"/>
        </w:rPr>
        <w:sym w:font="HQPB3" w:char="F081"/>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Pr>
        <w:sym w:font="HQPB2" w:char="F0BA"/>
      </w:r>
      <w:r w:rsidRPr="00E11FC4">
        <w:rPr>
          <w:rFonts w:ascii="Adobe نسخ Medium" w:hAnsi="Adobe نسخ Medium" w:cs="Adobe نسخ Medium"/>
          <w:sz w:val="28"/>
          <w:szCs w:val="28"/>
        </w:rPr>
        <w:sym w:font="HQPB5" w:char="F078"/>
      </w:r>
      <w:r w:rsidRPr="00E11FC4">
        <w:rPr>
          <w:rFonts w:ascii="Adobe نسخ Medium" w:hAnsi="Adobe نسخ Medium" w:cs="Adobe نسخ Medium"/>
          <w:sz w:val="28"/>
          <w:szCs w:val="28"/>
        </w:rPr>
        <w:sym w:font="HQPB1" w:char="F08B"/>
      </w:r>
      <w:r w:rsidRPr="00E11FC4">
        <w:rPr>
          <w:rFonts w:ascii="Adobe نسخ Medium" w:hAnsi="Adobe نسخ Medium" w:cs="Adobe نسخ Medium"/>
          <w:sz w:val="28"/>
          <w:szCs w:val="28"/>
        </w:rPr>
        <w:sym w:font="HQPB5" w:char="F078"/>
      </w:r>
      <w:r w:rsidRPr="00E11FC4">
        <w:rPr>
          <w:rFonts w:ascii="Adobe نسخ Medium" w:hAnsi="Adobe نسخ Medium" w:cs="Adobe نسخ Medium"/>
          <w:sz w:val="28"/>
          <w:szCs w:val="28"/>
        </w:rPr>
        <w:sym w:font="HQPB2" w:char="F02E"/>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DF"/>
      </w:r>
      <w:r w:rsidRPr="00E11FC4">
        <w:rPr>
          <w:rFonts w:ascii="Adobe نسخ Medium" w:hAnsi="Adobe نسخ Medium" w:cs="Adobe نسخ Medium"/>
          <w:sz w:val="28"/>
          <w:szCs w:val="28"/>
        </w:rPr>
        <w:sym w:font="HQPB2" w:char="F0FB"/>
      </w:r>
      <w:r w:rsidRPr="00E11FC4">
        <w:rPr>
          <w:rFonts w:ascii="Adobe نسخ Medium" w:hAnsi="Adobe نسخ Medium" w:cs="Adobe نسخ Medium"/>
          <w:sz w:val="28"/>
          <w:szCs w:val="28"/>
        </w:rPr>
        <w:sym w:font="HQPB4" w:char="F0CE"/>
      </w:r>
      <w:r w:rsidRPr="00E11FC4">
        <w:rPr>
          <w:rFonts w:ascii="Adobe نسخ Medium" w:hAnsi="Adobe نسخ Medium" w:cs="Adobe نسخ Medium"/>
          <w:sz w:val="28"/>
          <w:szCs w:val="28"/>
        </w:rPr>
        <w:sym w:font="HQPB4" w:char="F069"/>
      </w:r>
      <w:r w:rsidRPr="00E11FC4">
        <w:rPr>
          <w:rFonts w:ascii="Adobe نسخ Medium" w:hAnsi="Adobe نسخ Medium" w:cs="Adobe نسخ Medium"/>
          <w:sz w:val="28"/>
          <w:szCs w:val="28"/>
        </w:rPr>
        <w:sym w:font="HQPB2" w:char="F0FC"/>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1" w:char="F037"/>
      </w:r>
      <w:r w:rsidRPr="00E11FC4">
        <w:rPr>
          <w:rFonts w:ascii="Adobe نسخ Medium" w:hAnsi="Adobe نسخ Medium" w:cs="Adobe نسخ Medium"/>
          <w:sz w:val="28"/>
          <w:szCs w:val="28"/>
        </w:rPr>
        <w:sym w:font="HQPB4" w:char="F0E3"/>
      </w:r>
      <w:r w:rsidRPr="00E11FC4">
        <w:rPr>
          <w:rFonts w:ascii="Adobe نسخ Medium" w:hAnsi="Adobe نسخ Medium" w:cs="Adobe نسخ Medium"/>
          <w:sz w:val="28"/>
          <w:szCs w:val="28"/>
        </w:rPr>
        <w:sym w:font="HQPB2" w:char="F083"/>
      </w:r>
      <w:r w:rsidRPr="00E11FC4">
        <w:rPr>
          <w:rFonts w:ascii="Adobe نسخ Medium" w:hAnsi="Adobe نسخ Medium" w:cs="Adobe نسخ Medium"/>
          <w:sz w:val="28"/>
          <w:szCs w:val="28"/>
          <w:rtl/>
        </w:rPr>
        <w:t xml:space="preserve"> </w:t>
      </w:r>
      <w:r w:rsidR="00437949" w:rsidRPr="00E11FC4">
        <w:rPr>
          <w:rFonts w:ascii="Adobe نسخ Medium" w:hAnsi="Adobe نسخ Medium" w:cs="Adobe نسخ Medium"/>
          <w:sz w:val="28"/>
          <w:szCs w:val="28"/>
          <w:rtl/>
        </w:rPr>
        <w:t xml:space="preserve"> اللهُ</w:t>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E3"/>
      </w:r>
      <w:r w:rsidRPr="00E11FC4">
        <w:rPr>
          <w:rFonts w:ascii="Adobe نسخ Medium" w:hAnsi="Adobe نسخ Medium" w:cs="Adobe نسخ Medium"/>
          <w:sz w:val="28"/>
          <w:szCs w:val="28"/>
        </w:rPr>
        <w:sym w:font="HQPB2" w:char="F04E"/>
      </w:r>
      <w:r w:rsidRPr="00E11FC4">
        <w:rPr>
          <w:rFonts w:ascii="Adobe نسخ Medium" w:hAnsi="Adobe نسخ Medium" w:cs="Adobe نسخ Medium"/>
          <w:sz w:val="28"/>
          <w:szCs w:val="28"/>
        </w:rPr>
        <w:sym w:font="HQPB4" w:char="F0E4"/>
      </w:r>
      <w:r w:rsidRPr="00E11FC4">
        <w:rPr>
          <w:rFonts w:ascii="Adobe نسخ Medium" w:hAnsi="Adobe نسخ Medium" w:cs="Adobe نسخ Medium"/>
          <w:sz w:val="28"/>
          <w:szCs w:val="28"/>
        </w:rPr>
        <w:sym w:font="HQPB2" w:char="F033"/>
      </w:r>
      <w:r w:rsidRPr="00E11FC4">
        <w:rPr>
          <w:rFonts w:ascii="Adobe نسخ Medium" w:hAnsi="Adobe نسخ Medium" w:cs="Adobe نسخ Medium"/>
          <w:sz w:val="28"/>
          <w:szCs w:val="28"/>
        </w:rPr>
        <w:sym w:font="HQPB5" w:char="F073"/>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CF"/>
      </w:r>
      <w:r w:rsidRPr="00E11FC4">
        <w:rPr>
          <w:rFonts w:ascii="Adobe نسخ Medium" w:hAnsi="Adobe نسخ Medium" w:cs="Adobe نسخ Medium"/>
          <w:sz w:val="28"/>
          <w:szCs w:val="28"/>
        </w:rPr>
        <w:sym w:font="HQPB1" w:char="F04D"/>
      </w:r>
      <w:r w:rsidRPr="00E11FC4">
        <w:rPr>
          <w:rFonts w:ascii="Adobe نسخ Medium" w:hAnsi="Adobe نسخ Medium" w:cs="Adobe نسخ Medium"/>
          <w:sz w:val="28"/>
          <w:szCs w:val="28"/>
        </w:rPr>
        <w:sym w:font="HQPB2" w:char="F0BB"/>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83"/>
      </w:r>
      <w:r w:rsidRPr="00E11FC4">
        <w:rPr>
          <w:rFonts w:ascii="Adobe نسخ Medium" w:hAnsi="Adobe نسخ Medium" w:cs="Adobe نسخ Medium"/>
          <w:sz w:val="28"/>
          <w:szCs w:val="28"/>
        </w:rPr>
        <w:sym w:font="HQPB5" w:char="F046"/>
      </w:r>
      <w:r w:rsidRPr="00E11FC4">
        <w:rPr>
          <w:rFonts w:ascii="Adobe نسخ Medium" w:hAnsi="Adobe نسخ Medium" w:cs="Adobe نسخ Medium"/>
          <w:sz w:val="28"/>
          <w:szCs w:val="28"/>
        </w:rPr>
        <w:sym w:font="HQPB2" w:char="F079"/>
      </w:r>
      <w:r w:rsidRPr="00E11FC4">
        <w:rPr>
          <w:rFonts w:ascii="Adobe نسخ Medium" w:hAnsi="Adobe نسخ Medium" w:cs="Adobe نسخ Medium"/>
          <w:sz w:val="28"/>
          <w:szCs w:val="28"/>
        </w:rPr>
        <w:sym w:font="HQPB5" w:char="F024"/>
      </w:r>
      <w:r w:rsidRPr="00E11FC4">
        <w:rPr>
          <w:rFonts w:ascii="Adobe نسخ Medium" w:hAnsi="Adobe نسخ Medium" w:cs="Adobe نسخ Medium"/>
          <w:sz w:val="28"/>
          <w:szCs w:val="28"/>
        </w:rPr>
        <w:sym w:font="HQPB1" w:char="F023"/>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4" w:char="F0F6"/>
      </w:r>
      <w:r w:rsidRPr="00E11FC4">
        <w:rPr>
          <w:rFonts w:ascii="Adobe نسخ Medium" w:hAnsi="Adobe نسخ Medium" w:cs="Adobe نسخ Medium"/>
          <w:sz w:val="28"/>
          <w:szCs w:val="28"/>
        </w:rPr>
        <w:sym w:font="HQPB2" w:char="F04E"/>
      </w:r>
      <w:r w:rsidRPr="00E11FC4">
        <w:rPr>
          <w:rFonts w:ascii="Adobe نسخ Medium" w:hAnsi="Adobe نسخ Medium" w:cs="Adobe نسخ Medium"/>
          <w:sz w:val="28"/>
          <w:szCs w:val="28"/>
        </w:rPr>
        <w:sym w:font="HQPB4" w:char="F0E0"/>
      </w:r>
      <w:r w:rsidRPr="00E11FC4">
        <w:rPr>
          <w:rFonts w:ascii="Adobe نسخ Medium" w:hAnsi="Adobe نسخ Medium" w:cs="Adobe نسخ Medium"/>
          <w:sz w:val="28"/>
          <w:szCs w:val="28"/>
        </w:rPr>
        <w:sym w:font="HQPB2" w:char="F036"/>
      </w:r>
      <w:r w:rsidRPr="00E11FC4">
        <w:rPr>
          <w:rFonts w:ascii="Adobe نسخ Medium" w:hAnsi="Adobe نسخ Medium" w:cs="Adobe نسخ Medium"/>
          <w:sz w:val="28"/>
          <w:szCs w:val="28"/>
        </w:rPr>
        <w:sym w:font="HQPB4" w:char="F0AF"/>
      </w:r>
      <w:r w:rsidRPr="00E11FC4">
        <w:rPr>
          <w:rFonts w:ascii="Adobe نسخ Medium" w:hAnsi="Adobe نسخ Medium" w:cs="Adobe نسخ Medium"/>
          <w:sz w:val="28"/>
          <w:szCs w:val="28"/>
        </w:rPr>
        <w:sym w:font="HQPB2" w:char="F03D"/>
      </w:r>
      <w:r w:rsidRPr="00E11FC4">
        <w:rPr>
          <w:rFonts w:ascii="Adobe نسخ Medium" w:hAnsi="Adobe نسخ Medium" w:cs="Adobe نسخ Medium"/>
          <w:sz w:val="28"/>
          <w:szCs w:val="28"/>
        </w:rPr>
        <w:sym w:font="HQPB5" w:char="F079"/>
      </w:r>
      <w:r w:rsidRPr="00E11FC4">
        <w:rPr>
          <w:rFonts w:ascii="Adobe نسخ Medium" w:hAnsi="Adobe نسخ Medium" w:cs="Adobe نسخ Medium"/>
          <w:sz w:val="28"/>
          <w:szCs w:val="28"/>
        </w:rPr>
        <w:sym w:font="HQPB1" w:char="F0E8"/>
      </w:r>
      <w:r w:rsidRPr="00E11FC4">
        <w:rPr>
          <w:rFonts w:ascii="Adobe نسخ Medium" w:hAnsi="Adobe نسخ Medium" w:cs="Adobe نسخ Medium"/>
          <w:sz w:val="28"/>
          <w:szCs w:val="28"/>
        </w:rPr>
        <w:sym w:font="HQPB5" w:char="F073"/>
      </w:r>
      <w:r w:rsidRPr="00E11FC4">
        <w:rPr>
          <w:rFonts w:ascii="Adobe نسخ Medium" w:hAnsi="Adobe نسخ Medium" w:cs="Adobe نسخ Medium"/>
          <w:sz w:val="28"/>
          <w:szCs w:val="28"/>
        </w:rPr>
        <w:sym w:font="HQPB2" w:char="F039"/>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2" w:char="F062"/>
      </w:r>
      <w:r w:rsidRPr="00E11FC4">
        <w:rPr>
          <w:rFonts w:ascii="Adobe نسخ Medium" w:hAnsi="Adobe نسخ Medium" w:cs="Adobe نسخ Medium"/>
          <w:sz w:val="28"/>
          <w:szCs w:val="28"/>
        </w:rPr>
        <w:sym w:font="HQPB2" w:char="F072"/>
      </w:r>
      <w:r w:rsidRPr="00E11FC4">
        <w:rPr>
          <w:rFonts w:ascii="Adobe نسخ Medium" w:hAnsi="Adobe نسخ Medium" w:cs="Adobe نسخ Medium"/>
          <w:sz w:val="28"/>
          <w:szCs w:val="28"/>
        </w:rPr>
        <w:sym w:font="HQPB4" w:char="F0E3"/>
      </w:r>
      <w:r w:rsidRPr="00E11FC4">
        <w:rPr>
          <w:rFonts w:ascii="Adobe نسخ Medium" w:hAnsi="Adobe نسخ Medium" w:cs="Adobe نسخ Medium"/>
          <w:sz w:val="28"/>
          <w:szCs w:val="28"/>
        </w:rPr>
        <w:sym w:font="HQPB1" w:char="F08D"/>
      </w:r>
      <w:r w:rsidRPr="00E11FC4">
        <w:rPr>
          <w:rFonts w:ascii="Adobe نسخ Medium" w:hAnsi="Adobe نسخ Medium" w:cs="Adobe نسخ Medium"/>
          <w:sz w:val="28"/>
          <w:szCs w:val="28"/>
        </w:rPr>
        <w:sym w:font="HQPB4" w:char="F0A9"/>
      </w:r>
      <w:r w:rsidRPr="00E11FC4">
        <w:rPr>
          <w:rFonts w:ascii="Adobe نسخ Medium" w:hAnsi="Adobe نسخ Medium" w:cs="Adobe نسخ Medium"/>
          <w:sz w:val="28"/>
          <w:szCs w:val="28"/>
        </w:rPr>
        <w:sym w:font="HQPB2" w:char="F033"/>
      </w:r>
      <w:r w:rsidRPr="00E11FC4">
        <w:rPr>
          <w:rFonts w:ascii="Adobe نسخ Medium" w:hAnsi="Adobe نسخ Medium" w:cs="Adobe نسخ Medium"/>
          <w:sz w:val="28"/>
          <w:szCs w:val="28"/>
        </w:rPr>
        <w:sym w:font="HQPB5" w:char="F078"/>
      </w:r>
      <w:r w:rsidRPr="00E11FC4">
        <w:rPr>
          <w:rFonts w:ascii="Adobe نسخ Medium" w:hAnsi="Adobe نسخ Medium" w:cs="Adobe نسخ Medium"/>
          <w:sz w:val="28"/>
          <w:szCs w:val="28"/>
        </w:rPr>
        <w:sym w:font="HQPB1" w:char="F0FF"/>
      </w:r>
      <w:r w:rsidRPr="00E11FC4">
        <w:rPr>
          <w:rFonts w:ascii="Adobe نسخ Medium" w:hAnsi="Adobe نسخ Medium" w:cs="Adobe نسخ Medium"/>
          <w:sz w:val="28"/>
          <w:szCs w:val="28"/>
        </w:rPr>
        <w:sym w:font="HQPB5" w:char="F074"/>
      </w:r>
      <w:r w:rsidRPr="00E11FC4">
        <w:rPr>
          <w:rFonts w:ascii="Adobe نسخ Medium" w:hAnsi="Adobe نسخ Medium" w:cs="Adobe نسخ Medium"/>
          <w:sz w:val="28"/>
          <w:szCs w:val="28"/>
        </w:rPr>
        <w:sym w:font="HQPB1" w:char="F046"/>
      </w:r>
      <w:r w:rsidRPr="00E11FC4">
        <w:rPr>
          <w:rFonts w:ascii="Adobe نسخ Medium" w:hAnsi="Adobe نسخ Medium" w:cs="Adobe نسخ Medium"/>
          <w:sz w:val="28"/>
          <w:szCs w:val="28"/>
        </w:rPr>
        <w:sym w:font="HQPB5" w:char="F073"/>
      </w:r>
      <w:r w:rsidRPr="00E11FC4">
        <w:rPr>
          <w:rFonts w:ascii="Adobe نسخ Medium" w:hAnsi="Adobe نسخ Medium" w:cs="Adobe نسخ Medium"/>
          <w:sz w:val="28"/>
          <w:szCs w:val="28"/>
        </w:rPr>
        <w:sym w:font="HQPB1" w:char="F03F"/>
      </w:r>
      <w:r w:rsidRPr="00E11FC4">
        <w:rPr>
          <w:rFonts w:ascii="Adobe نسخ Medium" w:hAnsi="Adobe نسخ Medium" w:cs="Adobe نسخ Medium"/>
          <w:sz w:val="28"/>
          <w:szCs w:val="28"/>
          <w:rtl/>
        </w:rPr>
        <w:t xml:space="preserve"> </w:t>
      </w:r>
      <w:r w:rsidRPr="00E11FC4">
        <w:rPr>
          <w:rFonts w:ascii="Adobe نسخ Medium" w:hAnsi="Adobe نسخ Medium" w:cs="Adobe نسخ Medium"/>
          <w:sz w:val="28"/>
          <w:szCs w:val="28"/>
        </w:rPr>
        <w:sym w:font="HQPB2" w:char="F0C7"/>
      </w:r>
      <w:r w:rsidRPr="00E11FC4">
        <w:rPr>
          <w:rFonts w:ascii="Adobe نسخ Medium" w:hAnsi="Adobe نسخ Medium" w:cs="Adobe نسخ Medium"/>
          <w:sz w:val="28"/>
          <w:szCs w:val="28"/>
        </w:rPr>
        <w:sym w:font="HQPB2" w:char="F0CB"/>
      </w:r>
      <w:r w:rsidRPr="00E11FC4">
        <w:rPr>
          <w:rFonts w:ascii="Adobe نسخ Medium" w:hAnsi="Adobe نسخ Medium" w:cs="Adobe نسخ Medium"/>
          <w:sz w:val="28"/>
          <w:szCs w:val="28"/>
        </w:rPr>
        <w:sym w:font="HQPB2" w:char="F0CA"/>
      </w:r>
      <w:r w:rsidRPr="00E11FC4">
        <w:rPr>
          <w:rFonts w:ascii="Adobe نسخ Medium" w:hAnsi="Adobe نسخ Medium" w:cs="Adobe نسخ Medium"/>
          <w:sz w:val="28"/>
          <w:szCs w:val="28"/>
        </w:rPr>
        <w:sym w:font="HQPB2" w:char="F0D2"/>
      </w:r>
      <w:r w:rsidRPr="00E11FC4">
        <w:rPr>
          <w:rFonts w:ascii="Adobe نسخ Medium" w:hAnsi="Adobe نسخ Medium" w:cs="Adobe نسخ Medium"/>
          <w:sz w:val="28"/>
          <w:szCs w:val="28"/>
        </w:rPr>
        <w:sym w:font="HQPB2" w:char="F0C8"/>
      </w:r>
      <w:r w:rsidRPr="00E11FC4">
        <w:rPr>
          <w:rFonts w:ascii="Adobe نسخ Medium" w:hAnsi="Adobe نسخ Medium" w:cs="Adobe نسخ Medium"/>
          <w:sz w:val="28"/>
          <w:szCs w:val="28"/>
          <w:rtl/>
        </w:rPr>
        <w:t xml:space="preserve">   </w:t>
      </w:r>
      <w:r w:rsidR="005D60B4" w:rsidRPr="00E11FC4">
        <w:rPr>
          <w:rFonts w:ascii="Adobe نسخ Medium" w:hAnsi="Adobe نسخ Medium" w:cs="Adobe نسخ Medium"/>
          <w:sz w:val="28"/>
          <w:szCs w:val="28"/>
          <w:rtl/>
        </w:rPr>
        <w:t>( البقرة : 219 )</w:t>
      </w:r>
    </w:p>
    <w:p w:rsidR="004C10C1" w:rsidRDefault="004C10C1" w:rsidP="00366753">
      <w:pPr>
        <w:pStyle w:val="ListParagraph"/>
        <w:autoSpaceDE w:val="0"/>
        <w:autoSpaceDN w:val="0"/>
        <w:adjustRightInd w:val="0"/>
        <w:spacing w:after="0" w:line="240" w:lineRule="auto"/>
        <w:jc w:val="both"/>
        <w:rPr>
          <w:rFonts w:asciiTheme="majorBidi" w:hAnsiTheme="majorBidi" w:cstheme="majorBidi"/>
          <w:sz w:val="24"/>
          <w:szCs w:val="24"/>
        </w:rPr>
      </w:pPr>
      <w:r w:rsidRPr="00D81317">
        <w:rPr>
          <w:rFonts w:asciiTheme="majorBidi" w:hAnsiTheme="majorBidi" w:cstheme="majorBidi"/>
          <w:sz w:val="24"/>
          <w:szCs w:val="24"/>
        </w:rPr>
        <w:t>“</w:t>
      </w:r>
      <w:r w:rsidR="005D60B4" w:rsidRPr="001F2D8D">
        <w:rPr>
          <w:rFonts w:asciiTheme="majorBidi" w:hAnsiTheme="majorBidi" w:cstheme="majorBidi"/>
          <w:i/>
          <w:iCs/>
          <w:sz w:val="24"/>
          <w:szCs w:val="24"/>
        </w:rPr>
        <w:t>M</w:t>
      </w:r>
      <w:r w:rsidRPr="001F2D8D">
        <w:rPr>
          <w:rFonts w:asciiTheme="majorBidi" w:hAnsiTheme="majorBidi" w:cstheme="majorBidi"/>
          <w:i/>
          <w:iCs/>
          <w:sz w:val="24"/>
          <w:szCs w:val="24"/>
        </w:rPr>
        <w:t>ereka bertanya kepadamu tentang khamar  dan judi. Katakanlah: "Pada keduanya terdapat dosa yang besar dan beberapa manfaat bagi manusia, tetapi dosa keduanya lebih besar dari manfaatnya". dan mereka bertanya kepadamu apa yan</w:t>
      </w:r>
      <w:r w:rsidR="005D60B4">
        <w:rPr>
          <w:rFonts w:asciiTheme="majorBidi" w:hAnsiTheme="majorBidi" w:cstheme="majorBidi"/>
          <w:i/>
          <w:iCs/>
          <w:sz w:val="24"/>
          <w:szCs w:val="24"/>
        </w:rPr>
        <w:t xml:space="preserve">g mereka nafkahkan. Katakanlah:" yang lebih dari keperluan."Demikianlah Allah </w:t>
      </w:r>
      <w:r w:rsidRPr="001F2D8D">
        <w:rPr>
          <w:rFonts w:asciiTheme="majorBidi" w:hAnsiTheme="majorBidi" w:cstheme="majorBidi"/>
          <w:i/>
          <w:iCs/>
          <w:sz w:val="24"/>
          <w:szCs w:val="24"/>
        </w:rPr>
        <w:t>menerangkan ayat-ayat-Nya kepadamu supaya kamu berfikir</w:t>
      </w:r>
      <w:r w:rsidRPr="00D81317">
        <w:rPr>
          <w:rFonts w:asciiTheme="majorBidi" w:hAnsiTheme="majorBidi" w:cstheme="majorBidi"/>
          <w:sz w:val="24"/>
          <w:szCs w:val="24"/>
        </w:rPr>
        <w:t>,”</w:t>
      </w:r>
      <w:r>
        <w:rPr>
          <w:rStyle w:val="FootnoteReference"/>
          <w:rFonts w:asciiTheme="majorBidi" w:hAnsiTheme="majorBidi" w:cstheme="majorBidi"/>
          <w:sz w:val="24"/>
          <w:szCs w:val="24"/>
        </w:rPr>
        <w:footnoteReference w:id="9"/>
      </w:r>
      <w:r w:rsidR="000B1FC5">
        <w:rPr>
          <w:rFonts w:asciiTheme="majorBidi" w:hAnsiTheme="majorBidi" w:cstheme="majorBidi"/>
          <w:sz w:val="24"/>
          <w:szCs w:val="24"/>
        </w:rPr>
        <w:t xml:space="preserve"> ( QS. Al-Baqarah </w:t>
      </w:r>
      <w:r>
        <w:rPr>
          <w:rFonts w:asciiTheme="majorBidi" w:hAnsiTheme="majorBidi" w:cstheme="majorBidi"/>
          <w:sz w:val="24"/>
          <w:szCs w:val="24"/>
        </w:rPr>
        <w:t>[2]: 219).</w:t>
      </w:r>
    </w:p>
    <w:p w:rsidR="004C10C1" w:rsidRPr="00ED53B0" w:rsidRDefault="004C10C1" w:rsidP="00A33E46">
      <w:pPr>
        <w:pStyle w:val="ListParagraph"/>
        <w:autoSpaceDE w:val="0"/>
        <w:autoSpaceDN w:val="0"/>
        <w:adjustRightInd w:val="0"/>
        <w:spacing w:after="0" w:line="360" w:lineRule="auto"/>
        <w:ind w:left="0"/>
        <w:jc w:val="both"/>
        <w:rPr>
          <w:rFonts w:asciiTheme="majorBidi" w:hAnsiTheme="majorBidi" w:cstheme="majorBidi"/>
          <w:sz w:val="24"/>
          <w:szCs w:val="24"/>
        </w:rPr>
      </w:pPr>
    </w:p>
    <w:p w:rsidR="004C10C1" w:rsidRDefault="004C10C1" w:rsidP="00D45AEE">
      <w:pPr>
        <w:pStyle w:val="ListParagraph"/>
        <w:numPr>
          <w:ilvl w:val="0"/>
          <w:numId w:val="8"/>
        </w:numPr>
        <w:autoSpaceDE w:val="0"/>
        <w:autoSpaceDN w:val="0"/>
        <w:adjustRightInd w:val="0"/>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Dalam beberapa ayat </w:t>
      </w:r>
      <w:r w:rsidR="00972E98">
        <w:rPr>
          <w:rFonts w:ascii="Times New Roman" w:hAnsi="Times New Roman" w:cs="Times New Roman"/>
          <w:sz w:val="24"/>
          <w:szCs w:val="24"/>
        </w:rPr>
        <w:t>Al-Qur’ān</w:t>
      </w:r>
      <w:r>
        <w:rPr>
          <w:rFonts w:ascii="Times New Roman" w:hAnsi="Times New Roman" w:cs="Times New Roman"/>
          <w:sz w:val="24"/>
          <w:szCs w:val="24"/>
        </w:rPr>
        <w:t xml:space="preserve">, </w:t>
      </w:r>
      <w:r w:rsidRPr="00ED03B2">
        <w:rPr>
          <w:rFonts w:ascii="Times New Roman" w:hAnsi="Times New Roman" w:cs="Times New Roman"/>
          <w:sz w:val="24"/>
          <w:szCs w:val="24"/>
        </w:rPr>
        <w:t>Allah SWT sering menggunakan firman</w:t>
      </w:r>
      <w:r>
        <w:rPr>
          <w:rFonts w:ascii="Times New Roman" w:hAnsi="Times New Roman" w:cs="Times New Roman"/>
          <w:sz w:val="24"/>
          <w:szCs w:val="24"/>
        </w:rPr>
        <w:t xml:space="preserve">nya dalam bentuk </w:t>
      </w:r>
      <w:r w:rsidRPr="00D45AEE">
        <w:rPr>
          <w:rFonts w:ascii="Times New Roman" w:hAnsi="Times New Roman" w:cs="Times New Roman"/>
          <w:i/>
          <w:iCs/>
          <w:sz w:val="24"/>
          <w:szCs w:val="24"/>
        </w:rPr>
        <w:t>sighat</w:t>
      </w:r>
      <w:r>
        <w:rPr>
          <w:rFonts w:ascii="Times New Roman" w:hAnsi="Times New Roman" w:cs="Times New Roman"/>
          <w:sz w:val="24"/>
          <w:szCs w:val="24"/>
        </w:rPr>
        <w:t xml:space="preserve"> atau </w:t>
      </w:r>
      <w:r w:rsidRPr="00ED03B2">
        <w:rPr>
          <w:rFonts w:ascii="Times New Roman" w:hAnsi="Times New Roman" w:cs="Times New Roman"/>
          <w:sz w:val="24"/>
          <w:szCs w:val="24"/>
        </w:rPr>
        <w:t xml:space="preserve">ungkapan </w:t>
      </w:r>
      <w:r w:rsidR="000B1FC5" w:rsidRPr="00D45AEE">
        <w:rPr>
          <w:sz w:val="16"/>
          <w:szCs w:val="16"/>
        </w:rPr>
        <w:sym w:font="HQPB2" w:char="F037"/>
      </w:r>
      <w:r w:rsidR="000B1FC5" w:rsidRPr="00D45AEE">
        <w:rPr>
          <w:sz w:val="16"/>
          <w:szCs w:val="16"/>
        </w:rPr>
        <w:sym w:font="HQPB5" w:char="F074"/>
      </w:r>
      <w:r w:rsidR="000B1FC5" w:rsidRPr="00D45AEE">
        <w:rPr>
          <w:sz w:val="16"/>
          <w:szCs w:val="16"/>
        </w:rPr>
        <w:sym w:font="HQPB2" w:char="F052"/>
      </w:r>
      <w:r w:rsidR="000B1FC5" w:rsidRPr="00D45AEE">
        <w:rPr>
          <w:sz w:val="16"/>
          <w:szCs w:val="16"/>
        </w:rPr>
        <w:sym w:font="HQPB2" w:char="F071"/>
      </w:r>
      <w:r w:rsidR="000B1FC5" w:rsidRPr="00D45AEE">
        <w:rPr>
          <w:sz w:val="16"/>
          <w:szCs w:val="16"/>
        </w:rPr>
        <w:sym w:font="HQPB4" w:char="F0E7"/>
      </w:r>
      <w:r w:rsidR="000B1FC5" w:rsidRPr="00D45AEE">
        <w:rPr>
          <w:sz w:val="16"/>
          <w:szCs w:val="16"/>
        </w:rPr>
        <w:sym w:font="HQPB1" w:char="F046"/>
      </w:r>
      <w:r w:rsidR="000B1FC5" w:rsidRPr="00D45AEE">
        <w:rPr>
          <w:sz w:val="16"/>
          <w:szCs w:val="16"/>
        </w:rPr>
        <w:sym w:font="HQPB4" w:char="F0F8"/>
      </w:r>
      <w:r w:rsidR="000B1FC5" w:rsidRPr="00D45AEE">
        <w:rPr>
          <w:sz w:val="16"/>
          <w:szCs w:val="16"/>
        </w:rPr>
        <w:sym w:font="HQPB1" w:char="F0FF"/>
      </w:r>
      <w:r w:rsidR="000B1FC5" w:rsidRPr="00D45AEE">
        <w:rPr>
          <w:sz w:val="16"/>
          <w:szCs w:val="16"/>
        </w:rPr>
        <w:sym w:font="HQPB5" w:char="F074"/>
      </w:r>
      <w:r w:rsidR="000B1FC5" w:rsidRPr="00D45AEE">
        <w:rPr>
          <w:sz w:val="16"/>
          <w:szCs w:val="16"/>
        </w:rPr>
        <w:sym w:font="HQPB1" w:char="F047"/>
      </w:r>
      <w:r w:rsidR="000B1FC5" w:rsidRPr="00D45AEE">
        <w:rPr>
          <w:sz w:val="16"/>
          <w:szCs w:val="16"/>
        </w:rPr>
        <w:sym w:font="HQPB4" w:char="F0F3"/>
      </w:r>
      <w:r w:rsidR="000B1FC5" w:rsidRPr="00D45AEE">
        <w:rPr>
          <w:sz w:val="16"/>
          <w:szCs w:val="16"/>
        </w:rPr>
        <w:sym w:font="HQPB1" w:char="F0A1"/>
      </w:r>
      <w:r w:rsidR="000B1FC5" w:rsidRPr="00D45AEE">
        <w:rPr>
          <w:sz w:val="16"/>
          <w:szCs w:val="16"/>
        </w:rPr>
        <w:sym w:font="HQPB5" w:char="F06F"/>
      </w:r>
      <w:r w:rsidR="000B1FC5" w:rsidRPr="00D45AEE">
        <w:rPr>
          <w:sz w:val="16"/>
          <w:szCs w:val="16"/>
        </w:rPr>
        <w:sym w:font="HQPB2" w:char="F084"/>
      </w:r>
      <w:r w:rsidR="000B1FC5" w:rsidRPr="006932D0">
        <w:rPr>
          <w:rFonts w:ascii="Times New Roman" w:hAnsi="Times New Roman" w:cs="Times New Roman"/>
          <w:sz w:val="20"/>
          <w:szCs w:val="20"/>
        </w:rPr>
        <w:t xml:space="preserve"> </w:t>
      </w:r>
      <w:r w:rsidRPr="00ED03B2">
        <w:rPr>
          <w:rFonts w:ascii="Times New Roman" w:hAnsi="Times New Roman" w:cs="Times New Roman"/>
          <w:sz w:val="24"/>
          <w:szCs w:val="24"/>
        </w:rPr>
        <w:t>“</w:t>
      </w:r>
      <w:r w:rsidR="009F12EA" w:rsidRPr="004C2943">
        <w:rPr>
          <w:rFonts w:ascii="Times New Roman" w:hAnsi="Times New Roman" w:cs="Times New Roman"/>
          <w:i/>
          <w:iCs/>
          <w:sz w:val="24"/>
          <w:szCs w:val="24"/>
        </w:rPr>
        <w:t>yastaft</w:t>
      </w:r>
      <w:r w:rsidR="009F12EA" w:rsidRPr="0094142F">
        <w:rPr>
          <w:rFonts w:asciiTheme="majorBidi" w:hAnsiTheme="majorBidi" w:cstheme="majorBidi"/>
          <w:i/>
          <w:iCs/>
        </w:rPr>
        <w:t>ū</w:t>
      </w:r>
      <w:r w:rsidR="009F12EA" w:rsidRPr="004C2943">
        <w:rPr>
          <w:rFonts w:ascii="Times New Roman" w:hAnsi="Times New Roman" w:cs="Times New Roman"/>
          <w:i/>
          <w:iCs/>
          <w:sz w:val="24"/>
          <w:szCs w:val="24"/>
        </w:rPr>
        <w:t>naka</w:t>
      </w:r>
      <w:r w:rsidRPr="00ED03B2">
        <w:rPr>
          <w:rFonts w:ascii="Times New Roman" w:hAnsi="Times New Roman" w:cs="Times New Roman"/>
          <w:sz w:val="24"/>
          <w:szCs w:val="24"/>
        </w:rPr>
        <w:t>” artinya mereka meminta fatwa atau nasehat</w:t>
      </w:r>
      <w:r>
        <w:rPr>
          <w:rFonts w:ascii="Times New Roman" w:hAnsi="Times New Roman" w:cs="Times New Roman"/>
          <w:sz w:val="24"/>
          <w:szCs w:val="24"/>
        </w:rPr>
        <w:t xml:space="preserve"> </w:t>
      </w:r>
      <w:r w:rsidR="00D45AEE">
        <w:rPr>
          <w:rFonts w:ascii="Times New Roman" w:hAnsi="Times New Roman" w:cs="Times New Roman"/>
          <w:sz w:val="24"/>
          <w:szCs w:val="24"/>
        </w:rPr>
        <w:t xml:space="preserve">atau keterangan. Dalam surat </w:t>
      </w:r>
      <w:r w:rsidR="00D45AEE">
        <w:rPr>
          <w:rFonts w:asciiTheme="majorBidi" w:hAnsiTheme="majorBidi" w:cstheme="majorBidi"/>
          <w:sz w:val="24"/>
          <w:szCs w:val="24"/>
        </w:rPr>
        <w:t xml:space="preserve">Al-Nisā’ </w:t>
      </w:r>
      <w:r w:rsidRPr="00ED03B2">
        <w:rPr>
          <w:rFonts w:ascii="Times New Roman" w:hAnsi="Times New Roman" w:cs="Times New Roman"/>
          <w:sz w:val="24"/>
          <w:szCs w:val="24"/>
        </w:rPr>
        <w:t>ayat 176, Allah SWT</w:t>
      </w:r>
      <w:r>
        <w:rPr>
          <w:rFonts w:ascii="Times New Roman" w:hAnsi="Times New Roman" w:cs="Times New Roman"/>
          <w:sz w:val="24"/>
          <w:szCs w:val="24"/>
        </w:rPr>
        <w:t xml:space="preserve"> </w:t>
      </w:r>
      <w:r w:rsidRPr="00ED03B2">
        <w:rPr>
          <w:rFonts w:ascii="Times New Roman" w:hAnsi="Times New Roman" w:cs="Times New Roman"/>
          <w:sz w:val="24"/>
          <w:szCs w:val="24"/>
        </w:rPr>
        <w:t>berfirman:</w:t>
      </w:r>
      <w:r>
        <w:rPr>
          <w:rFonts w:ascii="Times New Roman" w:hAnsi="Times New Roman" w:cs="Times New Roman"/>
          <w:sz w:val="24"/>
          <w:szCs w:val="24"/>
        </w:rPr>
        <w:t xml:space="preserve"> </w:t>
      </w:r>
    </w:p>
    <w:p w:rsidR="004C10C1" w:rsidRPr="00E11FC4" w:rsidRDefault="004C10C1" w:rsidP="009A1C60">
      <w:pPr>
        <w:pStyle w:val="ListParagraph"/>
        <w:autoSpaceDE w:val="0"/>
        <w:autoSpaceDN w:val="0"/>
        <w:bidi/>
        <w:adjustRightInd w:val="0"/>
        <w:spacing w:after="0" w:line="240" w:lineRule="auto"/>
        <w:ind w:left="0" w:right="270"/>
        <w:jc w:val="both"/>
        <w:rPr>
          <w:rFonts w:ascii="(normal text)" w:hAnsi="(normal text)"/>
          <w:sz w:val="28"/>
          <w:szCs w:val="28"/>
          <w:rtl/>
        </w:rPr>
      </w:pPr>
      <w:r w:rsidRPr="00E11FC4">
        <w:rPr>
          <w:sz w:val="28"/>
          <w:szCs w:val="28"/>
        </w:rPr>
        <w:sym w:font="HQPB5" w:char="F079"/>
      </w:r>
      <w:r w:rsidRPr="00E11FC4">
        <w:rPr>
          <w:sz w:val="28"/>
          <w:szCs w:val="28"/>
        </w:rPr>
        <w:sym w:font="HQPB2" w:char="F037"/>
      </w:r>
      <w:r w:rsidRPr="00E11FC4">
        <w:rPr>
          <w:sz w:val="28"/>
          <w:szCs w:val="28"/>
        </w:rPr>
        <w:sym w:font="HQPB5" w:char="F074"/>
      </w:r>
      <w:r w:rsidRPr="00E11FC4">
        <w:rPr>
          <w:sz w:val="28"/>
          <w:szCs w:val="28"/>
        </w:rPr>
        <w:sym w:font="HQPB2" w:char="F052"/>
      </w:r>
      <w:r w:rsidRPr="00E11FC4">
        <w:rPr>
          <w:sz w:val="28"/>
          <w:szCs w:val="28"/>
        </w:rPr>
        <w:sym w:font="HQPB2" w:char="F071"/>
      </w:r>
      <w:r w:rsidRPr="00E11FC4">
        <w:rPr>
          <w:sz w:val="28"/>
          <w:szCs w:val="28"/>
        </w:rPr>
        <w:sym w:font="HQPB4" w:char="F0E7"/>
      </w:r>
      <w:r w:rsidRPr="00E11FC4">
        <w:rPr>
          <w:sz w:val="28"/>
          <w:szCs w:val="28"/>
        </w:rPr>
        <w:sym w:font="HQPB1" w:char="F046"/>
      </w:r>
      <w:r w:rsidRPr="00E11FC4">
        <w:rPr>
          <w:sz w:val="28"/>
          <w:szCs w:val="28"/>
        </w:rPr>
        <w:sym w:font="HQPB4" w:char="F0F8"/>
      </w:r>
      <w:r w:rsidRPr="00E11FC4">
        <w:rPr>
          <w:sz w:val="28"/>
          <w:szCs w:val="28"/>
        </w:rPr>
        <w:sym w:font="HQPB1" w:char="F0FF"/>
      </w:r>
      <w:r w:rsidRPr="00E11FC4">
        <w:rPr>
          <w:sz w:val="28"/>
          <w:szCs w:val="28"/>
        </w:rPr>
        <w:sym w:font="HQPB5" w:char="F074"/>
      </w:r>
      <w:r w:rsidRPr="00E11FC4">
        <w:rPr>
          <w:sz w:val="28"/>
          <w:szCs w:val="28"/>
        </w:rPr>
        <w:sym w:font="HQPB1" w:char="F047"/>
      </w:r>
      <w:r w:rsidRPr="00E11FC4">
        <w:rPr>
          <w:sz w:val="28"/>
          <w:szCs w:val="28"/>
        </w:rPr>
        <w:sym w:font="HQPB4" w:char="F0F3"/>
      </w:r>
      <w:r w:rsidRPr="00E11FC4">
        <w:rPr>
          <w:sz w:val="28"/>
          <w:szCs w:val="28"/>
        </w:rPr>
        <w:sym w:font="HQPB1" w:char="F0A1"/>
      </w:r>
      <w:r w:rsidRPr="00E11FC4">
        <w:rPr>
          <w:sz w:val="28"/>
          <w:szCs w:val="28"/>
        </w:rPr>
        <w:sym w:font="HQPB5" w:char="F06F"/>
      </w:r>
      <w:r w:rsidRPr="00E11FC4">
        <w:rPr>
          <w:sz w:val="28"/>
          <w:szCs w:val="28"/>
        </w:rPr>
        <w:sym w:font="HQPB2" w:char="F084"/>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2" w:char="F040"/>
      </w:r>
      <w:r w:rsidRPr="00E11FC4">
        <w:rPr>
          <w:sz w:val="28"/>
          <w:szCs w:val="28"/>
        </w:rPr>
        <w:sym w:font="HQPB4" w:char="F0E8"/>
      </w:r>
      <w:r w:rsidRPr="00E11FC4">
        <w:rPr>
          <w:sz w:val="28"/>
          <w:szCs w:val="28"/>
        </w:rPr>
        <w:sym w:font="HQPB2" w:char="F025"/>
      </w:r>
      <w:r w:rsidRPr="00E11FC4">
        <w:rPr>
          <w:rFonts w:ascii="(normal text)" w:hAnsi="(normal text)"/>
          <w:sz w:val="28"/>
          <w:szCs w:val="28"/>
          <w:rtl/>
        </w:rPr>
        <w:t xml:space="preserve"> </w:t>
      </w:r>
      <w:r w:rsidRPr="00E11FC4">
        <w:rPr>
          <w:sz w:val="28"/>
          <w:szCs w:val="28"/>
        </w:rPr>
        <w:sym w:font="HQPB5" w:char="F0AA"/>
      </w:r>
      <w:r w:rsidR="0040277B" w:rsidRPr="00E11FC4">
        <w:rPr>
          <w:rFonts w:ascii="Adobe نسخ Medium" w:hAnsi="Adobe نسخ Medium" w:cs="Adobe نسخ Medium"/>
          <w:sz w:val="28"/>
          <w:szCs w:val="28"/>
          <w:rtl/>
        </w:rPr>
        <w:t xml:space="preserve"> اللهُ</w:t>
      </w:r>
      <w:r w:rsidRPr="00E11FC4">
        <w:rPr>
          <w:rFonts w:ascii="(normal text)" w:hAnsi="(normal text)"/>
          <w:sz w:val="28"/>
          <w:szCs w:val="28"/>
          <w:rtl/>
        </w:rPr>
        <w:t xml:space="preserve"> </w:t>
      </w:r>
      <w:r w:rsidRPr="00E11FC4">
        <w:rPr>
          <w:sz w:val="28"/>
          <w:szCs w:val="28"/>
        </w:rPr>
        <w:sym w:font="HQPB4" w:char="F0F6"/>
      </w:r>
      <w:r w:rsidRPr="00E11FC4">
        <w:rPr>
          <w:sz w:val="28"/>
          <w:szCs w:val="28"/>
        </w:rPr>
        <w:sym w:font="HQPB2" w:char="F04E"/>
      </w:r>
      <w:r w:rsidRPr="00E11FC4">
        <w:rPr>
          <w:sz w:val="28"/>
          <w:szCs w:val="28"/>
        </w:rPr>
        <w:sym w:font="HQPB4" w:char="F0E0"/>
      </w:r>
      <w:r w:rsidRPr="00E11FC4">
        <w:rPr>
          <w:sz w:val="28"/>
          <w:szCs w:val="28"/>
        </w:rPr>
        <w:sym w:font="HQPB2" w:char="F036"/>
      </w:r>
      <w:r w:rsidRPr="00E11FC4">
        <w:rPr>
          <w:sz w:val="28"/>
          <w:szCs w:val="28"/>
        </w:rPr>
        <w:sym w:font="HQPB2" w:char="F08B"/>
      </w:r>
      <w:r w:rsidRPr="00E11FC4">
        <w:rPr>
          <w:sz w:val="28"/>
          <w:szCs w:val="28"/>
        </w:rPr>
        <w:sym w:font="HQPB4" w:char="F0CF"/>
      </w:r>
      <w:r w:rsidRPr="00E11FC4">
        <w:rPr>
          <w:sz w:val="28"/>
          <w:szCs w:val="28"/>
        </w:rPr>
        <w:sym w:font="HQPB1" w:char="F046"/>
      </w:r>
      <w:r w:rsidRPr="00E11FC4">
        <w:rPr>
          <w:sz w:val="28"/>
          <w:szCs w:val="28"/>
        </w:rPr>
        <w:sym w:font="HQPB4" w:char="F0F8"/>
      </w:r>
      <w:r w:rsidRPr="00E11FC4">
        <w:rPr>
          <w:sz w:val="28"/>
          <w:szCs w:val="28"/>
        </w:rPr>
        <w:sym w:font="HQPB1" w:char="F0FF"/>
      </w:r>
      <w:r w:rsidRPr="00E11FC4">
        <w:rPr>
          <w:sz w:val="28"/>
          <w:szCs w:val="28"/>
        </w:rPr>
        <w:sym w:font="HQPB4" w:char="F0E3"/>
      </w:r>
      <w:r w:rsidRPr="00E11FC4">
        <w:rPr>
          <w:sz w:val="28"/>
          <w:szCs w:val="28"/>
        </w:rPr>
        <w:sym w:font="HQPB2" w:char="F083"/>
      </w:r>
      <w:r w:rsidRPr="00E11FC4">
        <w:rPr>
          <w:rFonts w:ascii="(normal text)" w:hAnsi="(normal text)"/>
          <w:sz w:val="28"/>
          <w:szCs w:val="28"/>
          <w:rtl/>
        </w:rPr>
        <w:t xml:space="preserve"> </w:t>
      </w:r>
      <w:r w:rsidRPr="00E11FC4">
        <w:rPr>
          <w:sz w:val="28"/>
          <w:szCs w:val="28"/>
        </w:rPr>
        <w:sym w:font="HQPB2" w:char="F092"/>
      </w:r>
      <w:r w:rsidRPr="00E11FC4">
        <w:rPr>
          <w:sz w:val="28"/>
          <w:szCs w:val="28"/>
        </w:rPr>
        <w:sym w:font="HQPB4" w:char="F0CE"/>
      </w:r>
      <w:r w:rsidRPr="00E11FC4">
        <w:rPr>
          <w:sz w:val="28"/>
          <w:szCs w:val="28"/>
        </w:rPr>
        <w:sym w:font="HQPB1" w:char="F0FB"/>
      </w:r>
      <w:r w:rsidRPr="00E11FC4">
        <w:rPr>
          <w:rFonts w:ascii="(normal text)" w:hAnsi="(normal text)"/>
          <w:sz w:val="28"/>
          <w:szCs w:val="28"/>
          <w:rtl/>
        </w:rPr>
        <w:t xml:space="preserve"> </w:t>
      </w:r>
      <w:r w:rsidRPr="00E11FC4">
        <w:rPr>
          <w:sz w:val="28"/>
          <w:szCs w:val="28"/>
        </w:rPr>
        <w:sym w:font="HQPB4" w:char="F0CF"/>
      </w:r>
      <w:r w:rsidRPr="00E11FC4">
        <w:rPr>
          <w:sz w:val="28"/>
          <w:szCs w:val="28"/>
        </w:rPr>
        <w:sym w:font="HQPB3" w:char="F027"/>
      </w:r>
      <w:r w:rsidRPr="00E11FC4">
        <w:rPr>
          <w:sz w:val="28"/>
          <w:szCs w:val="28"/>
        </w:rPr>
        <w:sym w:font="HQPB5" w:char="F073"/>
      </w:r>
      <w:r w:rsidRPr="00E11FC4">
        <w:rPr>
          <w:sz w:val="28"/>
          <w:szCs w:val="28"/>
        </w:rPr>
        <w:sym w:font="HQPB3" w:char="F023"/>
      </w:r>
      <w:r w:rsidRPr="00E11FC4">
        <w:rPr>
          <w:sz w:val="28"/>
          <w:szCs w:val="28"/>
        </w:rPr>
        <w:sym w:font="HQPB2" w:char="F0BB"/>
      </w:r>
      <w:r w:rsidRPr="00E11FC4">
        <w:rPr>
          <w:sz w:val="28"/>
          <w:szCs w:val="28"/>
        </w:rPr>
        <w:sym w:font="HQPB5" w:char="F06E"/>
      </w:r>
      <w:r w:rsidRPr="00E11FC4">
        <w:rPr>
          <w:sz w:val="28"/>
          <w:szCs w:val="28"/>
        </w:rPr>
        <w:sym w:font="HQPB2" w:char="F03D"/>
      </w:r>
      <w:r w:rsidRPr="00E11FC4">
        <w:rPr>
          <w:sz w:val="28"/>
          <w:szCs w:val="28"/>
        </w:rPr>
        <w:sym w:font="HQPB5" w:char="F073"/>
      </w:r>
      <w:r w:rsidRPr="00E11FC4">
        <w:rPr>
          <w:sz w:val="28"/>
          <w:szCs w:val="28"/>
        </w:rPr>
        <w:sym w:font="HQPB2" w:char="F033"/>
      </w:r>
      <w:r w:rsidRPr="00E11FC4">
        <w:rPr>
          <w:sz w:val="28"/>
          <w:szCs w:val="28"/>
        </w:rPr>
        <w:sym w:font="HQPB4" w:char="F0F8"/>
      </w:r>
      <w:r w:rsidRPr="00E11FC4">
        <w:rPr>
          <w:sz w:val="28"/>
          <w:szCs w:val="28"/>
        </w:rPr>
        <w:sym w:font="HQPB2" w:char="F039"/>
      </w:r>
      <w:r w:rsidRPr="00E11FC4">
        <w:rPr>
          <w:sz w:val="28"/>
          <w:szCs w:val="28"/>
        </w:rPr>
        <w:sym w:font="HQPB5" w:char="F024"/>
      </w:r>
      <w:r w:rsidRPr="00E11FC4">
        <w:rPr>
          <w:sz w:val="28"/>
          <w:szCs w:val="28"/>
        </w:rPr>
        <w:sym w:font="HQPB1" w:char="F023"/>
      </w:r>
      <w:r w:rsidRPr="00E11FC4">
        <w:rPr>
          <w:rFonts w:ascii="(normal text)" w:hAnsi="(normal text)"/>
          <w:sz w:val="28"/>
          <w:szCs w:val="28"/>
          <w:rtl/>
        </w:rPr>
        <w:t xml:space="preserve"> </w:t>
      </w:r>
      <w:r w:rsidRPr="00E11FC4">
        <w:rPr>
          <w:sz w:val="28"/>
          <w:szCs w:val="28"/>
        </w:rPr>
        <w:sym w:font="HQPB4" w:char="F034"/>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2" w:char="F062"/>
      </w:r>
      <w:r w:rsidRPr="00E11FC4">
        <w:rPr>
          <w:sz w:val="28"/>
          <w:szCs w:val="28"/>
        </w:rPr>
        <w:sym w:font="HQPB4" w:char="F0CE"/>
      </w:r>
      <w:r w:rsidRPr="00E11FC4">
        <w:rPr>
          <w:sz w:val="28"/>
          <w:szCs w:val="28"/>
        </w:rPr>
        <w:sym w:font="HQPB1" w:char="F029"/>
      </w:r>
      <w:r w:rsidRPr="00E11FC4">
        <w:rPr>
          <w:rFonts w:ascii="(normal text)" w:hAnsi="(normal text)"/>
          <w:sz w:val="28"/>
          <w:szCs w:val="28"/>
          <w:rtl/>
        </w:rPr>
        <w:t xml:space="preserve"> </w:t>
      </w:r>
      <w:r w:rsidRPr="00E11FC4">
        <w:rPr>
          <w:sz w:val="28"/>
          <w:szCs w:val="28"/>
        </w:rPr>
        <w:sym w:font="HQPB5" w:char="F028"/>
      </w:r>
      <w:r w:rsidRPr="00E11FC4">
        <w:rPr>
          <w:sz w:val="28"/>
          <w:szCs w:val="28"/>
        </w:rPr>
        <w:sym w:font="HQPB1" w:char="F023"/>
      </w:r>
      <w:r w:rsidRPr="00E11FC4">
        <w:rPr>
          <w:sz w:val="28"/>
          <w:szCs w:val="28"/>
        </w:rPr>
        <w:sym w:font="HQPB4" w:char="F0EE"/>
      </w:r>
      <w:r w:rsidRPr="00E11FC4">
        <w:rPr>
          <w:sz w:val="28"/>
          <w:szCs w:val="28"/>
        </w:rPr>
        <w:sym w:font="HQPB2" w:char="F074"/>
      </w:r>
      <w:r w:rsidRPr="00E11FC4">
        <w:rPr>
          <w:sz w:val="28"/>
          <w:szCs w:val="28"/>
        </w:rPr>
        <w:sym w:font="HQPB4" w:char="F0E2"/>
      </w:r>
      <w:r w:rsidRPr="00E11FC4">
        <w:rPr>
          <w:sz w:val="28"/>
          <w:szCs w:val="28"/>
        </w:rPr>
        <w:sym w:font="HQPB1" w:char="F090"/>
      </w:r>
      <w:r w:rsidRPr="00E11FC4">
        <w:rPr>
          <w:sz w:val="28"/>
          <w:szCs w:val="28"/>
        </w:rPr>
        <w:sym w:font="HQPB4" w:char="F0F6"/>
      </w:r>
      <w:r w:rsidRPr="00E11FC4">
        <w:rPr>
          <w:sz w:val="28"/>
          <w:szCs w:val="28"/>
        </w:rPr>
        <w:sym w:font="HQPB2" w:char="F044"/>
      </w:r>
      <w:r w:rsidRPr="00E11FC4">
        <w:rPr>
          <w:sz w:val="28"/>
          <w:szCs w:val="28"/>
        </w:rPr>
        <w:sym w:font="HQPB5" w:char="F024"/>
      </w:r>
      <w:r w:rsidRPr="00E11FC4">
        <w:rPr>
          <w:sz w:val="28"/>
          <w:szCs w:val="28"/>
        </w:rPr>
        <w:sym w:font="HQPB1" w:char="F023"/>
      </w:r>
      <w:r w:rsidRPr="00E11FC4">
        <w:rPr>
          <w:rFonts w:ascii="(normal text)" w:hAnsi="(normal text)"/>
          <w:sz w:val="28"/>
          <w:szCs w:val="28"/>
          <w:rtl/>
        </w:rPr>
        <w:t xml:space="preserve"> </w:t>
      </w:r>
      <w:r w:rsidRPr="00E11FC4">
        <w:rPr>
          <w:sz w:val="28"/>
          <w:szCs w:val="28"/>
        </w:rPr>
        <w:sym w:font="HQPB5" w:char="F079"/>
      </w:r>
      <w:r w:rsidRPr="00E11FC4">
        <w:rPr>
          <w:sz w:val="28"/>
          <w:szCs w:val="28"/>
        </w:rPr>
        <w:sym w:font="HQPB2" w:char="F037"/>
      </w:r>
      <w:r w:rsidRPr="00E11FC4">
        <w:rPr>
          <w:sz w:val="28"/>
          <w:szCs w:val="28"/>
        </w:rPr>
        <w:sym w:font="HQPB5" w:char="F06E"/>
      </w:r>
      <w:r w:rsidRPr="00E11FC4">
        <w:rPr>
          <w:sz w:val="28"/>
          <w:szCs w:val="28"/>
        </w:rPr>
        <w:sym w:font="HQPB2" w:char="F03D"/>
      </w:r>
      <w:r w:rsidRPr="00E11FC4">
        <w:rPr>
          <w:sz w:val="28"/>
          <w:szCs w:val="28"/>
        </w:rPr>
        <w:sym w:font="HQPB5" w:char="F079"/>
      </w:r>
      <w:r w:rsidRPr="00E11FC4">
        <w:rPr>
          <w:sz w:val="28"/>
          <w:szCs w:val="28"/>
        </w:rPr>
        <w:sym w:font="HQPB2" w:char="F064"/>
      </w:r>
      <w:r w:rsidRPr="00E11FC4">
        <w:rPr>
          <w:rFonts w:ascii="(normal text)" w:hAnsi="(normal text)"/>
          <w:sz w:val="28"/>
          <w:szCs w:val="28"/>
          <w:rtl/>
        </w:rPr>
        <w:t xml:space="preserve"> </w:t>
      </w:r>
      <w:r w:rsidRPr="00E11FC4">
        <w:rPr>
          <w:sz w:val="28"/>
          <w:szCs w:val="28"/>
        </w:rPr>
        <w:sym w:font="HQPB5" w:char="F07D"/>
      </w:r>
      <w:r w:rsidRPr="00E11FC4">
        <w:rPr>
          <w:sz w:val="28"/>
          <w:szCs w:val="28"/>
        </w:rPr>
        <w:sym w:font="HQPB1" w:char="F0A7"/>
      </w:r>
      <w:r w:rsidRPr="00E11FC4">
        <w:rPr>
          <w:sz w:val="28"/>
          <w:szCs w:val="28"/>
        </w:rPr>
        <w:sym w:font="HQPB4" w:char="F0F8"/>
      </w:r>
      <w:r w:rsidRPr="00E11FC4">
        <w:rPr>
          <w:sz w:val="28"/>
          <w:szCs w:val="28"/>
        </w:rPr>
        <w:sym w:font="HQPB2" w:char="F08A"/>
      </w:r>
      <w:r w:rsidRPr="00E11FC4">
        <w:rPr>
          <w:sz w:val="28"/>
          <w:szCs w:val="28"/>
        </w:rPr>
        <w:sym w:font="HQPB5" w:char="F073"/>
      </w:r>
      <w:r w:rsidRPr="00E11FC4">
        <w:rPr>
          <w:sz w:val="28"/>
          <w:szCs w:val="28"/>
        </w:rPr>
        <w:sym w:font="HQPB2" w:char="F039"/>
      </w:r>
      <w:r w:rsidRPr="00E11FC4">
        <w:rPr>
          <w:rFonts w:ascii="(normal text)" w:hAnsi="(normal text)"/>
          <w:sz w:val="28"/>
          <w:szCs w:val="28"/>
          <w:rtl/>
        </w:rPr>
        <w:t xml:space="preserve"> </w:t>
      </w:r>
      <w:r w:rsidRPr="00E11FC4">
        <w:rPr>
          <w:sz w:val="28"/>
          <w:szCs w:val="28"/>
        </w:rPr>
        <w:sym w:font="HQPB2" w:char="F0BC"/>
      </w:r>
      <w:r w:rsidRPr="00E11FC4">
        <w:rPr>
          <w:sz w:val="28"/>
          <w:szCs w:val="28"/>
        </w:rPr>
        <w:sym w:font="HQPB4" w:char="F0E7"/>
      </w:r>
      <w:r w:rsidRPr="00E11FC4">
        <w:rPr>
          <w:sz w:val="28"/>
          <w:szCs w:val="28"/>
        </w:rPr>
        <w:sym w:font="HQPB2" w:char="F06D"/>
      </w:r>
      <w:r w:rsidRPr="00E11FC4">
        <w:rPr>
          <w:sz w:val="28"/>
          <w:szCs w:val="28"/>
        </w:rPr>
        <w:sym w:font="HQPB5" w:char="F073"/>
      </w:r>
      <w:r w:rsidRPr="00E11FC4">
        <w:rPr>
          <w:sz w:val="28"/>
          <w:szCs w:val="28"/>
        </w:rPr>
        <w:sym w:font="HQPB2" w:char="F039"/>
      </w:r>
      <w:r w:rsidRPr="00E11FC4">
        <w:rPr>
          <w:rFonts w:ascii="(normal text)" w:hAnsi="(normal text)"/>
          <w:sz w:val="28"/>
          <w:szCs w:val="28"/>
          <w:rtl/>
        </w:rPr>
        <w:t xml:space="preserve"> </w:t>
      </w:r>
      <w:r w:rsidRPr="00E11FC4">
        <w:rPr>
          <w:sz w:val="28"/>
          <w:szCs w:val="28"/>
        </w:rPr>
        <w:sym w:font="HQPB4" w:char="F0D3"/>
      </w:r>
      <w:r w:rsidRPr="00E11FC4">
        <w:rPr>
          <w:sz w:val="28"/>
          <w:szCs w:val="28"/>
        </w:rPr>
        <w:sym w:font="HQPB3" w:char="F024"/>
      </w:r>
      <w:r w:rsidRPr="00E11FC4">
        <w:rPr>
          <w:sz w:val="28"/>
          <w:szCs w:val="28"/>
        </w:rPr>
        <w:sym w:font="HQPB5" w:char="F073"/>
      </w:r>
      <w:r w:rsidRPr="00E11FC4">
        <w:rPr>
          <w:sz w:val="28"/>
          <w:szCs w:val="28"/>
        </w:rPr>
        <w:sym w:font="HQPB3" w:char="F021"/>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4" w:char="F0FF"/>
      </w:r>
      <w:r w:rsidRPr="00E11FC4">
        <w:rPr>
          <w:sz w:val="28"/>
          <w:szCs w:val="28"/>
        </w:rPr>
        <w:sym w:font="HQPB2" w:char="F0BC"/>
      </w:r>
      <w:r w:rsidRPr="00E11FC4">
        <w:rPr>
          <w:sz w:val="28"/>
          <w:szCs w:val="28"/>
        </w:rPr>
        <w:sym w:font="HQPB4" w:char="F0E3"/>
      </w:r>
      <w:r w:rsidRPr="00E11FC4">
        <w:rPr>
          <w:sz w:val="28"/>
          <w:szCs w:val="28"/>
        </w:rPr>
        <w:sym w:font="HQPB3" w:char="F026"/>
      </w:r>
      <w:r w:rsidRPr="00E11FC4">
        <w:rPr>
          <w:sz w:val="28"/>
          <w:szCs w:val="28"/>
        </w:rPr>
        <w:sym w:font="HQPB5" w:char="F073"/>
      </w:r>
      <w:r w:rsidRPr="00E11FC4">
        <w:rPr>
          <w:sz w:val="28"/>
          <w:szCs w:val="28"/>
        </w:rPr>
        <w:sym w:font="HQPB3" w:char="F021"/>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4" w:char="F0D7"/>
      </w:r>
      <w:r w:rsidRPr="00E11FC4">
        <w:rPr>
          <w:sz w:val="28"/>
          <w:szCs w:val="28"/>
        </w:rPr>
        <w:sym w:font="HQPB1" w:char="F04D"/>
      </w:r>
      <w:r w:rsidRPr="00E11FC4">
        <w:rPr>
          <w:sz w:val="28"/>
          <w:szCs w:val="28"/>
        </w:rPr>
        <w:sym w:font="HQPB4" w:char="F0F7"/>
      </w:r>
      <w:r w:rsidRPr="00E11FC4">
        <w:rPr>
          <w:sz w:val="28"/>
          <w:szCs w:val="28"/>
        </w:rPr>
        <w:sym w:font="HQPB1" w:char="F07A"/>
      </w:r>
      <w:r w:rsidRPr="00E11FC4">
        <w:rPr>
          <w:sz w:val="28"/>
          <w:szCs w:val="28"/>
        </w:rPr>
        <w:sym w:font="HQPB4" w:char="F0E9"/>
      </w:r>
      <w:r w:rsidRPr="00E11FC4">
        <w:rPr>
          <w:sz w:val="28"/>
          <w:szCs w:val="28"/>
        </w:rPr>
        <w:sym w:font="HQPB1" w:char="F026"/>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5" w:char="F079"/>
      </w:r>
      <w:r w:rsidRPr="00E11FC4">
        <w:rPr>
          <w:sz w:val="28"/>
          <w:szCs w:val="28"/>
        </w:rPr>
        <w:sym w:font="HQPB2" w:char="F067"/>
      </w:r>
      <w:r w:rsidRPr="00E11FC4">
        <w:rPr>
          <w:sz w:val="28"/>
          <w:szCs w:val="28"/>
        </w:rPr>
        <w:sym w:font="HQPB5" w:char="F06E"/>
      </w:r>
      <w:r w:rsidRPr="00E11FC4">
        <w:rPr>
          <w:sz w:val="28"/>
          <w:szCs w:val="28"/>
        </w:rPr>
        <w:sym w:font="HQPB2" w:char="F03D"/>
      </w:r>
      <w:r w:rsidRPr="00E11FC4">
        <w:rPr>
          <w:sz w:val="28"/>
          <w:szCs w:val="28"/>
        </w:rPr>
        <w:sym w:font="HQPB5" w:char="F073"/>
      </w:r>
      <w:r w:rsidRPr="00E11FC4">
        <w:rPr>
          <w:sz w:val="28"/>
          <w:szCs w:val="28"/>
        </w:rPr>
        <w:sym w:font="HQPB1" w:char="F0F9"/>
      </w:r>
      <w:r w:rsidRPr="00E11FC4">
        <w:rPr>
          <w:rFonts w:ascii="(normal text)" w:hAnsi="(normal text)"/>
          <w:sz w:val="28"/>
          <w:szCs w:val="28"/>
          <w:rtl/>
        </w:rPr>
        <w:t xml:space="preserve"> </w:t>
      </w:r>
      <w:r w:rsidRPr="00E11FC4">
        <w:rPr>
          <w:sz w:val="28"/>
          <w:szCs w:val="28"/>
        </w:rPr>
        <w:sym w:font="HQPB4" w:char="F0DF"/>
      </w:r>
      <w:r w:rsidRPr="00E11FC4">
        <w:rPr>
          <w:sz w:val="28"/>
          <w:szCs w:val="28"/>
        </w:rPr>
        <w:sym w:font="HQPB2" w:char="F023"/>
      </w:r>
      <w:r w:rsidRPr="00E11FC4">
        <w:rPr>
          <w:sz w:val="28"/>
          <w:szCs w:val="28"/>
        </w:rPr>
        <w:sym w:font="HQPB4" w:char="F0F3"/>
      </w:r>
      <w:r w:rsidRPr="00E11FC4">
        <w:rPr>
          <w:sz w:val="28"/>
          <w:szCs w:val="28"/>
        </w:rPr>
        <w:sym w:font="HQPB1" w:char="F0C1"/>
      </w:r>
      <w:r w:rsidRPr="00E11FC4">
        <w:rPr>
          <w:sz w:val="28"/>
          <w:szCs w:val="28"/>
        </w:rPr>
        <w:sym w:font="HQPB4" w:char="F0CF"/>
      </w:r>
      <w:r w:rsidRPr="00E11FC4">
        <w:rPr>
          <w:sz w:val="28"/>
          <w:szCs w:val="28"/>
        </w:rPr>
        <w:sym w:font="HQPB2" w:char="F052"/>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5" w:char="F074"/>
      </w:r>
      <w:r w:rsidRPr="00E11FC4">
        <w:rPr>
          <w:sz w:val="28"/>
          <w:szCs w:val="28"/>
        </w:rPr>
        <w:sym w:font="HQPB2" w:char="F042"/>
      </w:r>
      <w:r w:rsidRPr="00E11FC4">
        <w:rPr>
          <w:rFonts w:ascii="(normal text)" w:hAnsi="(normal text)"/>
          <w:sz w:val="28"/>
          <w:szCs w:val="28"/>
          <w:rtl/>
        </w:rPr>
        <w:t xml:space="preserve"> </w:t>
      </w:r>
      <w:r w:rsidRPr="00E11FC4">
        <w:rPr>
          <w:sz w:val="28"/>
          <w:szCs w:val="28"/>
        </w:rPr>
        <w:sym w:font="HQPB5" w:char="F078"/>
      </w:r>
      <w:r w:rsidRPr="00E11FC4">
        <w:rPr>
          <w:sz w:val="28"/>
          <w:szCs w:val="28"/>
        </w:rPr>
        <w:sym w:font="HQPB2" w:char="F038"/>
      </w:r>
      <w:r w:rsidRPr="00E11FC4">
        <w:rPr>
          <w:sz w:val="28"/>
          <w:szCs w:val="28"/>
        </w:rPr>
        <w:sym w:font="HQPB5" w:char="F074"/>
      </w:r>
      <w:r w:rsidRPr="00E11FC4">
        <w:rPr>
          <w:sz w:val="28"/>
          <w:szCs w:val="28"/>
        </w:rPr>
        <w:sym w:font="HQPB1" w:char="F08D"/>
      </w:r>
      <w:r w:rsidRPr="00E11FC4">
        <w:rPr>
          <w:sz w:val="28"/>
          <w:szCs w:val="28"/>
        </w:rPr>
        <w:sym w:font="HQPB5" w:char="F073"/>
      </w:r>
      <w:r w:rsidRPr="00E11FC4">
        <w:rPr>
          <w:sz w:val="28"/>
          <w:szCs w:val="28"/>
        </w:rPr>
        <w:sym w:font="HQPB1" w:char="F03F"/>
      </w:r>
      <w:r w:rsidRPr="00E11FC4">
        <w:rPr>
          <w:rFonts w:ascii="(normal text)" w:hAnsi="(normal text)"/>
          <w:sz w:val="28"/>
          <w:szCs w:val="28"/>
          <w:rtl/>
        </w:rPr>
        <w:t xml:space="preserve"> </w:t>
      </w:r>
      <w:r w:rsidRPr="00E11FC4">
        <w:rPr>
          <w:sz w:val="28"/>
          <w:szCs w:val="28"/>
        </w:rPr>
        <w:sym w:font="HQPB4" w:char="F034"/>
      </w:r>
      <w:r w:rsidRPr="00E11FC4">
        <w:rPr>
          <w:rFonts w:ascii="(normal text)" w:hAnsi="(normal text)"/>
          <w:sz w:val="28"/>
          <w:szCs w:val="28"/>
          <w:rtl/>
        </w:rPr>
        <w:t xml:space="preserve"> </w:t>
      </w:r>
      <w:r w:rsidRPr="00E11FC4">
        <w:rPr>
          <w:sz w:val="28"/>
          <w:szCs w:val="28"/>
        </w:rPr>
        <w:sym w:font="HQPB5" w:char="F075"/>
      </w:r>
      <w:r w:rsidRPr="00E11FC4">
        <w:rPr>
          <w:sz w:val="28"/>
          <w:szCs w:val="28"/>
        </w:rPr>
        <w:sym w:font="HQPB2" w:char="F071"/>
      </w:r>
      <w:r w:rsidRPr="00E11FC4">
        <w:rPr>
          <w:sz w:val="28"/>
          <w:szCs w:val="28"/>
        </w:rPr>
        <w:sym w:font="HQPB4" w:char="F0E8"/>
      </w:r>
      <w:r w:rsidRPr="00E11FC4">
        <w:rPr>
          <w:sz w:val="28"/>
          <w:szCs w:val="28"/>
        </w:rPr>
        <w:sym w:font="HQPB2" w:char="F064"/>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5" w:char="F021"/>
      </w:r>
      <w:r w:rsidRPr="00E11FC4">
        <w:rPr>
          <w:sz w:val="28"/>
          <w:szCs w:val="28"/>
        </w:rPr>
        <w:sym w:font="HQPB1" w:char="F024"/>
      </w:r>
      <w:r w:rsidRPr="00E11FC4">
        <w:rPr>
          <w:sz w:val="28"/>
          <w:szCs w:val="28"/>
        </w:rPr>
        <w:sym w:font="HQPB5" w:char="F079"/>
      </w:r>
      <w:r w:rsidRPr="00E11FC4">
        <w:rPr>
          <w:sz w:val="28"/>
          <w:szCs w:val="28"/>
        </w:rPr>
        <w:sym w:font="HQPB2" w:char="F067"/>
      </w:r>
      <w:r w:rsidRPr="00E11FC4">
        <w:rPr>
          <w:sz w:val="28"/>
          <w:szCs w:val="28"/>
        </w:rPr>
        <w:sym w:font="HQPB4" w:char="F0E8"/>
      </w:r>
      <w:r w:rsidRPr="00E11FC4">
        <w:rPr>
          <w:sz w:val="28"/>
          <w:szCs w:val="28"/>
        </w:rPr>
        <w:sym w:font="HQPB1" w:char="F04F"/>
      </w:r>
      <w:r w:rsidRPr="00E11FC4">
        <w:rPr>
          <w:sz w:val="28"/>
          <w:szCs w:val="28"/>
        </w:rPr>
        <w:sym w:font="HQPB4" w:char="F0CC"/>
      </w:r>
      <w:r w:rsidRPr="00E11FC4">
        <w:rPr>
          <w:sz w:val="28"/>
          <w:szCs w:val="28"/>
        </w:rPr>
        <w:sym w:font="HQPB1" w:char="F08D"/>
      </w:r>
      <w:r w:rsidRPr="00E11FC4">
        <w:rPr>
          <w:sz w:val="28"/>
          <w:szCs w:val="28"/>
        </w:rPr>
        <w:sym w:font="HQPB5" w:char="F074"/>
      </w:r>
      <w:r w:rsidRPr="00E11FC4">
        <w:rPr>
          <w:sz w:val="28"/>
          <w:szCs w:val="28"/>
        </w:rPr>
        <w:sym w:font="HQPB2" w:char="F083"/>
      </w:r>
      <w:r w:rsidRPr="00E11FC4">
        <w:rPr>
          <w:rFonts w:ascii="(normal text)" w:hAnsi="(normal text)"/>
          <w:sz w:val="28"/>
          <w:szCs w:val="28"/>
          <w:rtl/>
        </w:rPr>
        <w:t xml:space="preserve"> </w:t>
      </w:r>
      <w:r w:rsidRPr="00E11FC4">
        <w:rPr>
          <w:sz w:val="28"/>
          <w:szCs w:val="28"/>
        </w:rPr>
        <w:sym w:font="HQPB2" w:char="F062"/>
      </w:r>
      <w:r w:rsidRPr="00E11FC4">
        <w:rPr>
          <w:sz w:val="28"/>
          <w:szCs w:val="28"/>
        </w:rPr>
        <w:sym w:font="HQPB4" w:char="F0CE"/>
      </w:r>
      <w:r w:rsidRPr="00E11FC4">
        <w:rPr>
          <w:sz w:val="28"/>
          <w:szCs w:val="28"/>
        </w:rPr>
        <w:sym w:font="HQPB1" w:char="F029"/>
      </w:r>
      <w:r w:rsidRPr="00E11FC4">
        <w:rPr>
          <w:rFonts w:ascii="(normal text)" w:hAnsi="(normal text)"/>
          <w:sz w:val="28"/>
          <w:szCs w:val="28"/>
          <w:rtl/>
        </w:rPr>
        <w:t xml:space="preserve"> </w:t>
      </w:r>
      <w:r w:rsidRPr="00E11FC4">
        <w:rPr>
          <w:sz w:val="28"/>
          <w:szCs w:val="28"/>
        </w:rPr>
        <w:sym w:font="HQPB4" w:char="F0F6"/>
      </w:r>
      <w:r w:rsidRPr="00E11FC4">
        <w:rPr>
          <w:sz w:val="28"/>
          <w:szCs w:val="28"/>
        </w:rPr>
        <w:sym w:font="HQPB2" w:char="F04E"/>
      </w:r>
      <w:r w:rsidRPr="00E11FC4">
        <w:rPr>
          <w:sz w:val="28"/>
          <w:szCs w:val="28"/>
        </w:rPr>
        <w:sym w:font="HQPB4" w:char="F0A9"/>
      </w:r>
      <w:r w:rsidRPr="00E11FC4">
        <w:rPr>
          <w:sz w:val="28"/>
          <w:szCs w:val="28"/>
        </w:rPr>
        <w:sym w:font="HQPB2" w:char="F039"/>
      </w:r>
      <w:r w:rsidRPr="00E11FC4">
        <w:rPr>
          <w:rFonts w:ascii="(normal text)" w:hAnsi="(normal text)"/>
          <w:sz w:val="28"/>
          <w:szCs w:val="28"/>
          <w:rtl/>
        </w:rPr>
        <w:t xml:space="preserve"> </w:t>
      </w:r>
      <w:r w:rsidRPr="00E11FC4">
        <w:rPr>
          <w:sz w:val="28"/>
          <w:szCs w:val="28"/>
        </w:rPr>
        <w:sym w:font="HQPB2" w:char="F060"/>
      </w:r>
      <w:r w:rsidRPr="00E11FC4">
        <w:rPr>
          <w:sz w:val="28"/>
          <w:szCs w:val="28"/>
        </w:rPr>
        <w:sym w:font="HQPB4" w:char="F0E4"/>
      </w:r>
      <w:r w:rsidRPr="00E11FC4">
        <w:rPr>
          <w:sz w:val="28"/>
          <w:szCs w:val="28"/>
        </w:rPr>
        <w:sym w:font="HQPB2" w:char="F033"/>
      </w:r>
      <w:r w:rsidRPr="00E11FC4">
        <w:rPr>
          <w:sz w:val="28"/>
          <w:szCs w:val="28"/>
        </w:rPr>
        <w:sym w:font="HQPB5" w:char="F074"/>
      </w:r>
      <w:r w:rsidRPr="00E11FC4">
        <w:rPr>
          <w:sz w:val="28"/>
          <w:szCs w:val="28"/>
        </w:rPr>
        <w:sym w:font="HQPB2" w:char="F083"/>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5" w:char="F06F"/>
      </w:r>
      <w:r w:rsidRPr="00E11FC4">
        <w:rPr>
          <w:sz w:val="28"/>
          <w:szCs w:val="28"/>
        </w:rPr>
        <w:sym w:font="HQPB2" w:char="F06C"/>
      </w:r>
      <w:r w:rsidRPr="00E11FC4">
        <w:rPr>
          <w:sz w:val="28"/>
          <w:szCs w:val="28"/>
        </w:rPr>
        <w:sym w:font="HQPB4" w:char="F0B0"/>
      </w:r>
      <w:r w:rsidRPr="00E11FC4">
        <w:rPr>
          <w:sz w:val="28"/>
          <w:szCs w:val="28"/>
        </w:rPr>
        <w:sym w:font="HQPB2" w:char="F03B"/>
      </w:r>
      <w:r w:rsidRPr="00E11FC4">
        <w:rPr>
          <w:rFonts w:ascii="(normal text)" w:hAnsi="(normal text)"/>
          <w:sz w:val="28"/>
          <w:szCs w:val="28"/>
          <w:rtl/>
        </w:rPr>
        <w:t xml:space="preserve"> </w:t>
      </w:r>
      <w:r w:rsidRPr="00E11FC4">
        <w:rPr>
          <w:sz w:val="28"/>
          <w:szCs w:val="28"/>
        </w:rPr>
        <w:sym w:font="HQPB4" w:char="F0D3"/>
      </w:r>
      <w:r w:rsidRPr="00E11FC4">
        <w:rPr>
          <w:sz w:val="28"/>
          <w:szCs w:val="28"/>
        </w:rPr>
        <w:sym w:font="HQPB3" w:char="F024"/>
      </w:r>
      <w:r w:rsidRPr="00E11FC4">
        <w:rPr>
          <w:sz w:val="28"/>
          <w:szCs w:val="28"/>
        </w:rPr>
        <w:sym w:font="HQPB5" w:char="F073"/>
      </w:r>
      <w:r w:rsidRPr="00E11FC4">
        <w:rPr>
          <w:sz w:val="28"/>
          <w:szCs w:val="28"/>
        </w:rPr>
        <w:sym w:font="HQPB3" w:char="F021"/>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4" w:char="F034"/>
      </w:r>
      <w:r w:rsidRPr="00E11FC4">
        <w:rPr>
          <w:rFonts w:ascii="(normal text)" w:hAnsi="(normal text)"/>
          <w:sz w:val="28"/>
          <w:szCs w:val="28"/>
          <w:rtl/>
        </w:rPr>
        <w:t xml:space="preserve"> </w:t>
      </w:r>
      <w:r w:rsidRPr="00E11FC4">
        <w:rPr>
          <w:sz w:val="28"/>
          <w:szCs w:val="28"/>
        </w:rPr>
        <w:sym w:font="HQPB2" w:char="F062"/>
      </w:r>
      <w:r w:rsidRPr="00E11FC4">
        <w:rPr>
          <w:sz w:val="28"/>
          <w:szCs w:val="28"/>
        </w:rPr>
        <w:sym w:font="HQPB4" w:char="F0CE"/>
      </w:r>
      <w:r w:rsidRPr="00E11FC4">
        <w:rPr>
          <w:sz w:val="28"/>
          <w:szCs w:val="28"/>
        </w:rPr>
        <w:sym w:font="HQPB1" w:char="F02A"/>
      </w:r>
      <w:r w:rsidRPr="00E11FC4">
        <w:rPr>
          <w:sz w:val="28"/>
          <w:szCs w:val="28"/>
        </w:rPr>
        <w:sym w:font="HQPB5" w:char="F073"/>
      </w:r>
      <w:r w:rsidRPr="00E11FC4">
        <w:rPr>
          <w:sz w:val="28"/>
          <w:szCs w:val="28"/>
        </w:rPr>
        <w:sym w:font="HQPB1" w:char="F0F9"/>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5" w:char="F074"/>
      </w:r>
      <w:r w:rsidRPr="00E11FC4">
        <w:rPr>
          <w:sz w:val="28"/>
          <w:szCs w:val="28"/>
        </w:rPr>
        <w:sym w:font="HQPB1" w:char="F046"/>
      </w:r>
      <w:r w:rsidRPr="00E11FC4">
        <w:rPr>
          <w:sz w:val="28"/>
          <w:szCs w:val="28"/>
        </w:rPr>
        <w:sym w:font="HQPB5" w:char="F074"/>
      </w:r>
      <w:r w:rsidRPr="00E11FC4">
        <w:rPr>
          <w:sz w:val="28"/>
          <w:szCs w:val="28"/>
        </w:rPr>
        <w:sym w:font="HQPB2" w:char="F052"/>
      </w:r>
      <w:r w:rsidRPr="00E11FC4">
        <w:rPr>
          <w:sz w:val="28"/>
          <w:szCs w:val="28"/>
        </w:rPr>
        <w:sym w:font="HQPB1" w:char="F025"/>
      </w:r>
      <w:r w:rsidRPr="00E11FC4">
        <w:rPr>
          <w:sz w:val="28"/>
          <w:szCs w:val="28"/>
        </w:rPr>
        <w:sym w:font="HQPB5" w:char="F078"/>
      </w:r>
      <w:r w:rsidRPr="00E11FC4">
        <w:rPr>
          <w:sz w:val="28"/>
          <w:szCs w:val="28"/>
        </w:rPr>
        <w:sym w:font="HQPB2" w:char="F02E"/>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2" w:char="F0FB"/>
      </w:r>
      <w:r w:rsidRPr="00E11FC4">
        <w:rPr>
          <w:sz w:val="28"/>
          <w:szCs w:val="28"/>
        </w:rPr>
        <w:sym w:font="HQPB4" w:char="F0F7"/>
      </w:r>
      <w:r w:rsidRPr="00E11FC4">
        <w:rPr>
          <w:sz w:val="28"/>
          <w:szCs w:val="28"/>
        </w:rPr>
        <w:sym w:font="HQPB2" w:char="F0FC"/>
      </w:r>
      <w:r w:rsidRPr="00E11FC4">
        <w:rPr>
          <w:sz w:val="28"/>
          <w:szCs w:val="28"/>
        </w:rPr>
        <w:sym w:font="HQPB5" w:char="F074"/>
      </w:r>
      <w:r w:rsidRPr="00E11FC4">
        <w:rPr>
          <w:sz w:val="28"/>
          <w:szCs w:val="28"/>
        </w:rPr>
        <w:sym w:font="HQPB1" w:char="F046"/>
      </w:r>
      <w:r w:rsidRPr="00E11FC4">
        <w:rPr>
          <w:sz w:val="28"/>
          <w:szCs w:val="28"/>
        </w:rPr>
        <w:sym w:font="HQPB5" w:char="F075"/>
      </w:r>
      <w:r w:rsidRPr="00E11FC4">
        <w:rPr>
          <w:sz w:val="28"/>
          <w:szCs w:val="28"/>
        </w:rPr>
        <w:sym w:font="HQPB2" w:char="F05A"/>
      </w:r>
      <w:r w:rsidRPr="00E11FC4">
        <w:rPr>
          <w:sz w:val="28"/>
          <w:szCs w:val="28"/>
        </w:rPr>
        <w:sym w:font="HQPB4" w:char="F0F8"/>
      </w:r>
      <w:r w:rsidRPr="00E11FC4">
        <w:rPr>
          <w:sz w:val="28"/>
          <w:szCs w:val="28"/>
        </w:rPr>
        <w:sym w:font="HQPB1" w:char="F04F"/>
      </w:r>
      <w:r w:rsidRPr="00E11FC4">
        <w:rPr>
          <w:sz w:val="28"/>
          <w:szCs w:val="28"/>
        </w:rPr>
        <w:sym w:font="HQPB5" w:char="F024"/>
      </w:r>
      <w:r w:rsidRPr="00E11FC4">
        <w:rPr>
          <w:sz w:val="28"/>
          <w:szCs w:val="28"/>
        </w:rPr>
        <w:sym w:font="HQPB1" w:char="F023"/>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5" w:char="F079"/>
      </w:r>
      <w:r w:rsidRPr="00E11FC4">
        <w:rPr>
          <w:sz w:val="28"/>
          <w:szCs w:val="28"/>
        </w:rPr>
        <w:sym w:font="HQPB2" w:char="F04A"/>
      </w:r>
      <w:r w:rsidRPr="00E11FC4">
        <w:rPr>
          <w:sz w:val="28"/>
          <w:szCs w:val="28"/>
        </w:rPr>
        <w:sym w:font="HQPB4" w:char="F0DF"/>
      </w:r>
      <w:r w:rsidRPr="00E11FC4">
        <w:rPr>
          <w:sz w:val="28"/>
          <w:szCs w:val="28"/>
        </w:rPr>
        <w:sym w:font="HQPB2" w:char="F067"/>
      </w:r>
      <w:r w:rsidRPr="00E11FC4">
        <w:rPr>
          <w:sz w:val="28"/>
          <w:szCs w:val="28"/>
        </w:rPr>
        <w:sym w:font="HQPB5" w:char="F06E"/>
      </w:r>
      <w:r w:rsidRPr="00E11FC4">
        <w:rPr>
          <w:sz w:val="28"/>
          <w:szCs w:val="28"/>
        </w:rPr>
        <w:sym w:font="HQPB2" w:char="F03D"/>
      </w:r>
      <w:r w:rsidRPr="00E11FC4">
        <w:rPr>
          <w:sz w:val="28"/>
          <w:szCs w:val="28"/>
        </w:rPr>
        <w:sym w:font="HQPB5" w:char="F073"/>
      </w:r>
      <w:r w:rsidRPr="00E11FC4">
        <w:rPr>
          <w:sz w:val="28"/>
          <w:szCs w:val="28"/>
        </w:rPr>
        <w:sym w:font="HQPB1" w:char="F0F9"/>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2" w:char="F062"/>
      </w:r>
      <w:r w:rsidRPr="00E11FC4">
        <w:rPr>
          <w:sz w:val="28"/>
          <w:szCs w:val="28"/>
        </w:rPr>
        <w:sym w:font="HQPB1" w:char="F024"/>
      </w:r>
      <w:r w:rsidRPr="00E11FC4">
        <w:rPr>
          <w:sz w:val="28"/>
          <w:szCs w:val="28"/>
        </w:rPr>
        <w:sym w:font="HQPB5" w:char="F073"/>
      </w:r>
      <w:r w:rsidRPr="00E11FC4">
        <w:rPr>
          <w:sz w:val="28"/>
          <w:szCs w:val="28"/>
        </w:rPr>
        <w:sym w:font="HQPB1" w:char="F056"/>
      </w:r>
      <w:r w:rsidRPr="00E11FC4">
        <w:rPr>
          <w:sz w:val="28"/>
          <w:szCs w:val="28"/>
        </w:rPr>
        <w:sym w:font="HQPB4" w:char="F0E8"/>
      </w:r>
      <w:r w:rsidRPr="00E11FC4">
        <w:rPr>
          <w:sz w:val="28"/>
          <w:szCs w:val="28"/>
        </w:rPr>
        <w:sym w:font="HQPB2" w:char="F03D"/>
      </w:r>
      <w:r w:rsidRPr="00E11FC4">
        <w:rPr>
          <w:sz w:val="28"/>
          <w:szCs w:val="28"/>
        </w:rPr>
        <w:sym w:font="HQPB4" w:char="F09B"/>
      </w:r>
      <w:r w:rsidRPr="00E11FC4">
        <w:rPr>
          <w:sz w:val="28"/>
          <w:szCs w:val="28"/>
        </w:rPr>
        <w:sym w:font="HQPB1" w:char="F056"/>
      </w:r>
      <w:r w:rsidRPr="00E11FC4">
        <w:rPr>
          <w:sz w:val="28"/>
          <w:szCs w:val="28"/>
        </w:rPr>
        <w:sym w:font="HQPB2" w:char="F039"/>
      </w:r>
      <w:r w:rsidRPr="00E11FC4">
        <w:rPr>
          <w:sz w:val="28"/>
          <w:szCs w:val="28"/>
        </w:rPr>
        <w:sym w:font="HQPB5" w:char="F024"/>
      </w:r>
      <w:r w:rsidRPr="00E11FC4">
        <w:rPr>
          <w:sz w:val="28"/>
          <w:szCs w:val="28"/>
        </w:rPr>
        <w:sym w:font="HQPB1" w:char="F023"/>
      </w:r>
      <w:r w:rsidRPr="00E11FC4">
        <w:rPr>
          <w:rFonts w:ascii="(normal text)" w:hAnsi="(normal text)"/>
          <w:sz w:val="28"/>
          <w:szCs w:val="28"/>
          <w:rtl/>
        </w:rPr>
        <w:t xml:space="preserve"> </w:t>
      </w:r>
      <w:r w:rsidRPr="00E11FC4">
        <w:rPr>
          <w:sz w:val="28"/>
          <w:szCs w:val="28"/>
        </w:rPr>
        <w:sym w:font="HQPB1" w:char="F024"/>
      </w:r>
      <w:r w:rsidRPr="00E11FC4">
        <w:rPr>
          <w:sz w:val="28"/>
          <w:szCs w:val="28"/>
        </w:rPr>
        <w:sym w:font="HQPB4" w:char="F0AE"/>
      </w:r>
      <w:r w:rsidRPr="00E11FC4">
        <w:rPr>
          <w:sz w:val="28"/>
          <w:szCs w:val="28"/>
        </w:rPr>
        <w:sym w:font="HQPB2" w:char="F0FF"/>
      </w:r>
      <w:r w:rsidRPr="00E11FC4">
        <w:rPr>
          <w:sz w:val="28"/>
          <w:szCs w:val="28"/>
        </w:rPr>
        <w:sym w:font="HQPB4" w:char="F0CA"/>
      </w:r>
      <w:r w:rsidRPr="00E11FC4">
        <w:rPr>
          <w:sz w:val="28"/>
          <w:szCs w:val="28"/>
        </w:rPr>
        <w:sym w:font="HQPB2" w:char="F045"/>
      </w:r>
      <w:r w:rsidRPr="00E11FC4">
        <w:rPr>
          <w:rFonts w:ascii="(normal text)" w:hAnsi="(normal text)"/>
          <w:sz w:val="28"/>
          <w:szCs w:val="28"/>
          <w:rtl/>
        </w:rPr>
        <w:t xml:space="preserve"> </w:t>
      </w:r>
      <w:r w:rsidRPr="00E11FC4">
        <w:rPr>
          <w:sz w:val="28"/>
          <w:szCs w:val="28"/>
        </w:rPr>
        <w:sym w:font="HQPB5" w:char="F078"/>
      </w:r>
      <w:r w:rsidRPr="00E11FC4">
        <w:rPr>
          <w:sz w:val="28"/>
          <w:szCs w:val="28"/>
        </w:rPr>
        <w:sym w:font="HQPB2" w:char="F038"/>
      </w:r>
      <w:r w:rsidRPr="00E11FC4">
        <w:rPr>
          <w:sz w:val="28"/>
          <w:szCs w:val="28"/>
        </w:rPr>
        <w:sym w:font="HQPB5" w:char="F074"/>
      </w:r>
      <w:r w:rsidRPr="00E11FC4">
        <w:rPr>
          <w:sz w:val="28"/>
          <w:szCs w:val="28"/>
        </w:rPr>
        <w:sym w:font="HQPB1" w:char="F08D"/>
      </w:r>
      <w:r w:rsidRPr="00E11FC4">
        <w:rPr>
          <w:sz w:val="28"/>
          <w:szCs w:val="28"/>
        </w:rPr>
        <w:sym w:font="HQPB5" w:char="F073"/>
      </w:r>
      <w:r w:rsidRPr="00E11FC4">
        <w:rPr>
          <w:sz w:val="28"/>
          <w:szCs w:val="28"/>
        </w:rPr>
        <w:sym w:font="HQPB1" w:char="F03F"/>
      </w:r>
      <w:r w:rsidRPr="00E11FC4">
        <w:rPr>
          <w:rFonts w:ascii="(normal text)" w:hAnsi="(normal text)"/>
          <w:sz w:val="28"/>
          <w:szCs w:val="28"/>
          <w:rtl/>
        </w:rPr>
        <w:t xml:space="preserve"> </w:t>
      </w:r>
      <w:r w:rsidRPr="00E11FC4">
        <w:rPr>
          <w:sz w:val="28"/>
          <w:szCs w:val="28"/>
        </w:rPr>
        <w:sym w:font="HQPB4" w:char="F034"/>
      </w:r>
      <w:r w:rsidRPr="00E11FC4">
        <w:rPr>
          <w:rFonts w:ascii="(normal text)" w:hAnsi="(normal text)"/>
          <w:sz w:val="28"/>
          <w:szCs w:val="28"/>
          <w:rtl/>
        </w:rPr>
        <w:t xml:space="preserve"> </w:t>
      </w:r>
      <w:r w:rsidRPr="00E11FC4">
        <w:rPr>
          <w:sz w:val="28"/>
          <w:szCs w:val="28"/>
        </w:rPr>
        <w:sym w:font="HQPB2" w:char="F062"/>
      </w:r>
      <w:r w:rsidRPr="00E11FC4">
        <w:rPr>
          <w:sz w:val="28"/>
          <w:szCs w:val="28"/>
        </w:rPr>
        <w:sym w:font="HQPB4" w:char="F0CE"/>
      </w:r>
      <w:r w:rsidRPr="00E11FC4">
        <w:rPr>
          <w:sz w:val="28"/>
          <w:szCs w:val="28"/>
        </w:rPr>
        <w:sym w:font="HQPB1" w:char="F029"/>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5" w:char="F028"/>
      </w:r>
      <w:r w:rsidRPr="00E11FC4">
        <w:rPr>
          <w:sz w:val="28"/>
          <w:szCs w:val="28"/>
        </w:rPr>
        <w:sym w:font="HQPB1" w:char="F023"/>
      </w:r>
      <w:r w:rsidRPr="00E11FC4">
        <w:rPr>
          <w:sz w:val="28"/>
          <w:szCs w:val="28"/>
        </w:rPr>
        <w:sym w:font="HQPB4" w:char="F0FE"/>
      </w:r>
      <w:r w:rsidRPr="00E11FC4">
        <w:rPr>
          <w:sz w:val="28"/>
          <w:szCs w:val="28"/>
        </w:rPr>
        <w:sym w:font="HQPB2" w:char="F071"/>
      </w:r>
      <w:r w:rsidRPr="00E11FC4">
        <w:rPr>
          <w:sz w:val="28"/>
          <w:szCs w:val="28"/>
        </w:rPr>
        <w:sym w:font="HQPB4" w:char="F0E7"/>
      </w:r>
      <w:r w:rsidRPr="00E11FC4">
        <w:rPr>
          <w:sz w:val="28"/>
          <w:szCs w:val="28"/>
        </w:rPr>
        <w:sym w:font="HQPB2" w:char="F052"/>
      </w:r>
      <w:r w:rsidRPr="00E11FC4">
        <w:rPr>
          <w:sz w:val="28"/>
          <w:szCs w:val="28"/>
        </w:rPr>
        <w:sym w:font="HQPB1" w:char="F025"/>
      </w:r>
      <w:r w:rsidRPr="00E11FC4">
        <w:rPr>
          <w:sz w:val="28"/>
          <w:szCs w:val="28"/>
        </w:rPr>
        <w:sym w:font="HQPB5" w:char="F078"/>
      </w:r>
      <w:r w:rsidRPr="00E11FC4">
        <w:rPr>
          <w:sz w:val="28"/>
          <w:szCs w:val="28"/>
        </w:rPr>
        <w:sym w:font="HQPB2" w:char="F02E"/>
      </w:r>
      <w:r w:rsidRPr="00E11FC4">
        <w:rPr>
          <w:rFonts w:ascii="(normal text)" w:hAnsi="(normal text)"/>
          <w:sz w:val="28"/>
          <w:szCs w:val="28"/>
          <w:rtl/>
        </w:rPr>
        <w:t xml:space="preserve"> </w:t>
      </w:r>
      <w:r w:rsidRPr="00E11FC4">
        <w:rPr>
          <w:sz w:val="28"/>
          <w:szCs w:val="28"/>
        </w:rPr>
        <w:sym w:font="HQPB4" w:char="F05A"/>
      </w:r>
      <w:r w:rsidRPr="00E11FC4">
        <w:rPr>
          <w:sz w:val="28"/>
          <w:szCs w:val="28"/>
        </w:rPr>
        <w:sym w:font="HQPB2" w:char="F06F"/>
      </w:r>
      <w:r w:rsidRPr="00E11FC4">
        <w:rPr>
          <w:sz w:val="28"/>
          <w:szCs w:val="28"/>
        </w:rPr>
        <w:sym w:font="HQPB5" w:char="F075"/>
      </w:r>
      <w:r w:rsidRPr="00E11FC4">
        <w:rPr>
          <w:sz w:val="28"/>
          <w:szCs w:val="28"/>
        </w:rPr>
        <w:sym w:font="HQPB2" w:char="F071"/>
      </w:r>
      <w:r w:rsidRPr="00E11FC4">
        <w:rPr>
          <w:sz w:val="28"/>
          <w:szCs w:val="28"/>
        </w:rPr>
        <w:sym w:font="HQPB4" w:char="F0F7"/>
      </w:r>
      <w:r w:rsidRPr="00E11FC4">
        <w:rPr>
          <w:sz w:val="28"/>
          <w:szCs w:val="28"/>
        </w:rPr>
        <w:sym w:font="HQPB1" w:char="F07A"/>
      </w:r>
      <w:r w:rsidRPr="00E11FC4">
        <w:rPr>
          <w:sz w:val="28"/>
          <w:szCs w:val="28"/>
        </w:rPr>
        <w:sym w:font="HQPB4" w:char="F0CE"/>
      </w:r>
      <w:r w:rsidRPr="00E11FC4">
        <w:rPr>
          <w:sz w:val="28"/>
          <w:szCs w:val="28"/>
        </w:rPr>
        <w:sym w:font="HQPB1" w:char="F029"/>
      </w:r>
      <w:r w:rsidRPr="00E11FC4">
        <w:rPr>
          <w:rFonts w:ascii="(normal text)" w:hAnsi="(normal text)"/>
          <w:sz w:val="28"/>
          <w:szCs w:val="28"/>
          <w:rtl/>
        </w:rPr>
        <w:t xml:space="preserve"> </w:t>
      </w:r>
      <w:r w:rsidRPr="00E11FC4">
        <w:rPr>
          <w:sz w:val="28"/>
          <w:szCs w:val="28"/>
        </w:rPr>
        <w:sym w:font="HQPB4" w:char="F05A"/>
      </w:r>
      <w:r w:rsidRPr="00E11FC4">
        <w:rPr>
          <w:sz w:val="28"/>
          <w:szCs w:val="28"/>
        </w:rPr>
        <w:sym w:font="HQPB2" w:char="F077"/>
      </w:r>
      <w:r w:rsidRPr="00E11FC4">
        <w:rPr>
          <w:sz w:val="28"/>
          <w:szCs w:val="28"/>
        </w:rPr>
        <w:sym w:font="HQPB1" w:char="F025"/>
      </w:r>
      <w:r w:rsidRPr="00E11FC4">
        <w:rPr>
          <w:sz w:val="28"/>
          <w:szCs w:val="28"/>
        </w:rPr>
        <w:sym w:font="HQPB5" w:char="F079"/>
      </w:r>
      <w:r w:rsidRPr="00E11FC4">
        <w:rPr>
          <w:sz w:val="28"/>
          <w:szCs w:val="28"/>
        </w:rPr>
        <w:sym w:font="HQPB1" w:char="F060"/>
      </w:r>
      <w:r w:rsidRPr="00E11FC4">
        <w:rPr>
          <w:sz w:val="28"/>
          <w:szCs w:val="28"/>
        </w:rPr>
        <w:sym w:font="HQPB4" w:char="F0CD"/>
      </w:r>
      <w:r w:rsidRPr="00E11FC4">
        <w:rPr>
          <w:sz w:val="28"/>
          <w:szCs w:val="28"/>
        </w:rPr>
        <w:sym w:font="HQPB4" w:char="F068"/>
      </w:r>
      <w:r w:rsidRPr="00E11FC4">
        <w:rPr>
          <w:sz w:val="28"/>
          <w:szCs w:val="28"/>
        </w:rPr>
        <w:sym w:font="HQPB1" w:char="F091"/>
      </w:r>
      <w:r w:rsidRPr="00E11FC4">
        <w:rPr>
          <w:rFonts w:ascii="(normal text)" w:hAnsi="(normal text)"/>
          <w:sz w:val="28"/>
          <w:szCs w:val="28"/>
          <w:rtl/>
        </w:rPr>
        <w:t xml:space="preserve"> </w:t>
      </w:r>
      <w:r w:rsidRPr="00E11FC4">
        <w:rPr>
          <w:sz w:val="28"/>
          <w:szCs w:val="28"/>
        </w:rPr>
        <w:sym w:font="HQPB4" w:char="F05B"/>
      </w:r>
      <w:r w:rsidRPr="00E11FC4">
        <w:rPr>
          <w:sz w:val="28"/>
          <w:szCs w:val="28"/>
        </w:rPr>
        <w:sym w:font="HQPB2" w:char="F0E4"/>
      </w:r>
      <w:r w:rsidRPr="00E11FC4">
        <w:rPr>
          <w:sz w:val="28"/>
          <w:szCs w:val="28"/>
        </w:rPr>
        <w:sym w:font="HQPB5" w:char="F021"/>
      </w:r>
      <w:r w:rsidRPr="00E11FC4">
        <w:rPr>
          <w:sz w:val="28"/>
          <w:szCs w:val="28"/>
        </w:rPr>
        <w:sym w:font="HQPB1" w:char="F024"/>
      </w:r>
      <w:r w:rsidRPr="00E11FC4">
        <w:rPr>
          <w:sz w:val="28"/>
          <w:szCs w:val="28"/>
        </w:rPr>
        <w:sym w:font="HQPB5" w:char="F07C"/>
      </w:r>
      <w:r w:rsidRPr="00E11FC4">
        <w:rPr>
          <w:sz w:val="28"/>
          <w:szCs w:val="28"/>
        </w:rPr>
        <w:sym w:font="HQPB1" w:char="F0A1"/>
      </w:r>
      <w:r w:rsidRPr="00E11FC4">
        <w:rPr>
          <w:sz w:val="28"/>
          <w:szCs w:val="28"/>
        </w:rPr>
        <w:sym w:font="HQPB4" w:char="F0CE"/>
      </w:r>
      <w:r w:rsidRPr="00E11FC4">
        <w:rPr>
          <w:sz w:val="28"/>
          <w:szCs w:val="28"/>
        </w:rPr>
        <w:sym w:font="HQPB2" w:char="F053"/>
      </w:r>
      <w:r w:rsidRPr="00E11FC4">
        <w:rPr>
          <w:sz w:val="28"/>
          <w:szCs w:val="28"/>
        </w:rPr>
        <w:sym w:font="HQPB5" w:char="F075"/>
      </w:r>
      <w:r w:rsidRPr="00E11FC4">
        <w:rPr>
          <w:sz w:val="28"/>
          <w:szCs w:val="28"/>
        </w:rPr>
        <w:sym w:font="HQPB2" w:char="F072"/>
      </w:r>
      <w:r w:rsidRPr="00E11FC4">
        <w:rPr>
          <w:rFonts w:ascii="(normal text)" w:hAnsi="(normal text)"/>
          <w:sz w:val="28"/>
          <w:szCs w:val="28"/>
          <w:rtl/>
        </w:rPr>
        <w:t xml:space="preserve"> </w:t>
      </w:r>
      <w:r w:rsidRPr="00E11FC4">
        <w:rPr>
          <w:sz w:val="28"/>
          <w:szCs w:val="28"/>
        </w:rPr>
        <w:sym w:font="HQPB4" w:char="F0CC"/>
      </w:r>
      <w:r w:rsidRPr="00E11FC4">
        <w:rPr>
          <w:sz w:val="28"/>
          <w:szCs w:val="28"/>
        </w:rPr>
        <w:sym w:font="HQPB1" w:char="F08D"/>
      </w:r>
      <w:r w:rsidRPr="00E11FC4">
        <w:rPr>
          <w:sz w:val="28"/>
          <w:szCs w:val="28"/>
        </w:rPr>
        <w:sym w:font="HQPB5" w:char="F078"/>
      </w:r>
      <w:r w:rsidRPr="00E11FC4">
        <w:rPr>
          <w:sz w:val="28"/>
          <w:szCs w:val="28"/>
        </w:rPr>
        <w:sym w:font="HQPB2" w:char="F02E"/>
      </w:r>
      <w:r w:rsidRPr="00E11FC4">
        <w:rPr>
          <w:sz w:val="28"/>
          <w:szCs w:val="28"/>
        </w:rPr>
        <w:sym w:font="HQPB4" w:char="F0A9"/>
      </w:r>
      <w:r w:rsidRPr="00E11FC4">
        <w:rPr>
          <w:sz w:val="28"/>
          <w:szCs w:val="28"/>
        </w:rPr>
        <w:sym w:font="HQPB3" w:char="F025"/>
      </w:r>
      <w:r w:rsidRPr="00E11FC4">
        <w:rPr>
          <w:sz w:val="28"/>
          <w:szCs w:val="28"/>
        </w:rPr>
        <w:sym w:font="HQPB3" w:char="F023"/>
      </w:r>
      <w:r w:rsidRPr="00E11FC4">
        <w:rPr>
          <w:sz w:val="28"/>
          <w:szCs w:val="28"/>
        </w:rPr>
        <w:sym w:font="HQPB4" w:char="F0CE"/>
      </w:r>
      <w:r w:rsidRPr="00E11FC4">
        <w:rPr>
          <w:sz w:val="28"/>
          <w:szCs w:val="28"/>
        </w:rPr>
        <w:sym w:font="HQPB2" w:char="F03D"/>
      </w:r>
      <w:r w:rsidRPr="00E11FC4">
        <w:rPr>
          <w:sz w:val="28"/>
          <w:szCs w:val="28"/>
        </w:rPr>
        <w:sym w:font="HQPB5" w:char="F073"/>
      </w:r>
      <w:r w:rsidRPr="00E11FC4">
        <w:rPr>
          <w:sz w:val="28"/>
          <w:szCs w:val="28"/>
        </w:rPr>
        <w:sym w:font="HQPB1" w:char="F0F9"/>
      </w:r>
      <w:r w:rsidRPr="00E11FC4">
        <w:rPr>
          <w:rFonts w:ascii="(normal text)" w:hAnsi="(normal text)"/>
          <w:sz w:val="28"/>
          <w:szCs w:val="28"/>
          <w:rtl/>
        </w:rPr>
        <w:t xml:space="preserve"> </w:t>
      </w:r>
      <w:r w:rsidRPr="00E11FC4">
        <w:rPr>
          <w:sz w:val="28"/>
          <w:szCs w:val="28"/>
        </w:rPr>
        <w:sym w:font="HQPB4" w:char="F0E3"/>
      </w:r>
      <w:r w:rsidRPr="00E11FC4">
        <w:rPr>
          <w:sz w:val="28"/>
          <w:szCs w:val="28"/>
        </w:rPr>
        <w:sym w:font="HQPB2" w:char="F040"/>
      </w:r>
      <w:r w:rsidRPr="00E11FC4">
        <w:rPr>
          <w:sz w:val="28"/>
          <w:szCs w:val="28"/>
        </w:rPr>
        <w:sym w:font="HQPB4" w:char="F0F7"/>
      </w:r>
      <w:r w:rsidRPr="00E11FC4">
        <w:rPr>
          <w:sz w:val="28"/>
          <w:szCs w:val="28"/>
        </w:rPr>
        <w:sym w:font="HQPB1" w:char="F057"/>
      </w:r>
      <w:r w:rsidRPr="00E11FC4">
        <w:rPr>
          <w:sz w:val="28"/>
          <w:szCs w:val="28"/>
        </w:rPr>
        <w:sym w:font="HQPB4" w:char="F0CF"/>
      </w:r>
      <w:r w:rsidRPr="00E11FC4">
        <w:rPr>
          <w:sz w:val="28"/>
          <w:szCs w:val="28"/>
        </w:rPr>
        <w:sym w:font="HQPB2" w:char="F042"/>
      </w:r>
      <w:r w:rsidRPr="00E11FC4">
        <w:rPr>
          <w:rFonts w:ascii="(normal text)" w:hAnsi="(normal text)"/>
          <w:sz w:val="28"/>
          <w:szCs w:val="28"/>
          <w:rtl/>
        </w:rPr>
        <w:t xml:space="preserve"> </w:t>
      </w:r>
      <w:r w:rsidRPr="00E11FC4">
        <w:rPr>
          <w:sz w:val="28"/>
          <w:szCs w:val="28"/>
        </w:rPr>
        <w:sym w:font="HQPB4" w:char="F0C5"/>
      </w:r>
      <w:r w:rsidRPr="00E11FC4">
        <w:rPr>
          <w:sz w:val="28"/>
          <w:szCs w:val="28"/>
        </w:rPr>
        <w:sym w:font="HQPB4" w:char="F065"/>
      </w:r>
      <w:r w:rsidRPr="00E11FC4">
        <w:rPr>
          <w:sz w:val="28"/>
          <w:szCs w:val="28"/>
        </w:rPr>
        <w:sym w:font="HQPB1" w:char="F0E1"/>
      </w:r>
      <w:r w:rsidRPr="00E11FC4">
        <w:rPr>
          <w:sz w:val="28"/>
          <w:szCs w:val="28"/>
        </w:rPr>
        <w:sym w:font="HQPB5" w:char="F079"/>
      </w:r>
      <w:r w:rsidRPr="00E11FC4">
        <w:rPr>
          <w:sz w:val="28"/>
          <w:szCs w:val="28"/>
        </w:rPr>
        <w:sym w:font="HQPB1" w:char="F06D"/>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2" w:char="F0FB"/>
      </w:r>
      <w:r w:rsidRPr="00E11FC4">
        <w:rPr>
          <w:sz w:val="28"/>
          <w:szCs w:val="28"/>
        </w:rPr>
        <w:sym w:font="HQPB4" w:char="F0F7"/>
      </w:r>
      <w:r w:rsidRPr="00E11FC4">
        <w:rPr>
          <w:sz w:val="28"/>
          <w:szCs w:val="28"/>
        </w:rPr>
        <w:sym w:font="HQPB2" w:char="F0FC"/>
      </w:r>
      <w:r w:rsidRPr="00E11FC4">
        <w:rPr>
          <w:sz w:val="28"/>
          <w:szCs w:val="28"/>
        </w:rPr>
        <w:sym w:font="HQPB5" w:char="F075"/>
      </w:r>
      <w:r w:rsidRPr="00E11FC4">
        <w:rPr>
          <w:sz w:val="28"/>
          <w:szCs w:val="28"/>
        </w:rPr>
        <w:sym w:font="HQPB2" w:char="F08B"/>
      </w:r>
      <w:r w:rsidRPr="00E11FC4">
        <w:rPr>
          <w:sz w:val="28"/>
          <w:szCs w:val="28"/>
        </w:rPr>
        <w:sym w:font="HQPB5" w:char="F073"/>
      </w:r>
      <w:r w:rsidRPr="00E11FC4">
        <w:rPr>
          <w:sz w:val="28"/>
          <w:szCs w:val="28"/>
        </w:rPr>
        <w:sym w:font="HQPB1" w:char="F05B"/>
      </w:r>
      <w:r w:rsidRPr="00E11FC4">
        <w:rPr>
          <w:sz w:val="28"/>
          <w:szCs w:val="28"/>
        </w:rPr>
        <w:sym w:font="HQPB2" w:char="F052"/>
      </w:r>
      <w:r w:rsidRPr="00E11FC4">
        <w:rPr>
          <w:sz w:val="28"/>
          <w:szCs w:val="28"/>
        </w:rPr>
        <w:sym w:font="HQPB5" w:char="F057"/>
      </w:r>
      <w:r w:rsidRPr="00E11FC4">
        <w:rPr>
          <w:sz w:val="28"/>
          <w:szCs w:val="28"/>
        </w:rPr>
        <w:sym w:font="HQPB2" w:char="F07B"/>
      </w:r>
      <w:r w:rsidRPr="00E11FC4">
        <w:rPr>
          <w:sz w:val="28"/>
          <w:szCs w:val="28"/>
        </w:rPr>
        <w:sym w:font="HQPB5" w:char="F024"/>
      </w:r>
      <w:r w:rsidRPr="00E11FC4">
        <w:rPr>
          <w:sz w:val="28"/>
          <w:szCs w:val="28"/>
        </w:rPr>
        <w:sym w:font="HQPB1" w:char="F023"/>
      </w:r>
      <w:r w:rsidRPr="00E11FC4">
        <w:rPr>
          <w:rFonts w:ascii="(normal text)" w:hAnsi="(normal text)"/>
          <w:sz w:val="28"/>
          <w:szCs w:val="28"/>
          <w:rtl/>
        </w:rPr>
        <w:t xml:space="preserve"> </w:t>
      </w:r>
      <w:r w:rsidRPr="00E11FC4">
        <w:rPr>
          <w:sz w:val="28"/>
          <w:szCs w:val="28"/>
        </w:rPr>
        <w:sym w:font="HQPB4" w:char="F033"/>
      </w:r>
      <w:r w:rsidRPr="00E11FC4">
        <w:rPr>
          <w:rFonts w:ascii="(normal text)" w:hAnsi="(normal text)"/>
          <w:sz w:val="28"/>
          <w:szCs w:val="28"/>
          <w:rtl/>
        </w:rPr>
        <w:t xml:space="preserve"> </w:t>
      </w:r>
      <w:r w:rsidRPr="00E11FC4">
        <w:rPr>
          <w:sz w:val="28"/>
          <w:szCs w:val="28"/>
        </w:rPr>
        <w:sym w:font="HQPB4" w:char="F0DF"/>
      </w:r>
      <w:r w:rsidRPr="00E11FC4">
        <w:rPr>
          <w:sz w:val="28"/>
          <w:szCs w:val="28"/>
        </w:rPr>
        <w:sym w:font="HQPB2" w:char="F0FB"/>
      </w:r>
      <w:r w:rsidRPr="00E11FC4">
        <w:rPr>
          <w:sz w:val="28"/>
          <w:szCs w:val="28"/>
        </w:rPr>
        <w:sym w:font="HQPB4" w:char="F0CE"/>
      </w:r>
      <w:r w:rsidRPr="00E11FC4">
        <w:rPr>
          <w:sz w:val="28"/>
          <w:szCs w:val="28"/>
        </w:rPr>
        <w:sym w:font="HQPB4" w:char="F069"/>
      </w:r>
      <w:r w:rsidRPr="00E11FC4">
        <w:rPr>
          <w:sz w:val="28"/>
          <w:szCs w:val="28"/>
        </w:rPr>
        <w:sym w:font="HQPB2" w:char="F0FC"/>
      </w:r>
      <w:r w:rsidRPr="00E11FC4">
        <w:rPr>
          <w:sz w:val="28"/>
          <w:szCs w:val="28"/>
        </w:rPr>
        <w:sym w:font="HQPB5" w:char="F074"/>
      </w:r>
      <w:r w:rsidRPr="00E11FC4">
        <w:rPr>
          <w:sz w:val="28"/>
          <w:szCs w:val="28"/>
        </w:rPr>
        <w:sym w:font="HQPB1" w:char="F036"/>
      </w:r>
      <w:r w:rsidRPr="00E11FC4">
        <w:rPr>
          <w:sz w:val="28"/>
          <w:szCs w:val="28"/>
        </w:rPr>
        <w:sym w:font="HQPB4" w:char="F0E3"/>
      </w:r>
      <w:r w:rsidRPr="00E11FC4">
        <w:rPr>
          <w:sz w:val="28"/>
          <w:szCs w:val="28"/>
        </w:rPr>
        <w:sym w:font="HQPB2" w:char="F083"/>
      </w:r>
      <w:r w:rsidRPr="00E11FC4">
        <w:rPr>
          <w:rFonts w:ascii="(normal text)" w:hAnsi="(normal text)"/>
          <w:sz w:val="28"/>
          <w:szCs w:val="28"/>
          <w:rtl/>
        </w:rPr>
        <w:t xml:space="preserve"> </w:t>
      </w:r>
      <w:r w:rsidRPr="00E11FC4">
        <w:rPr>
          <w:sz w:val="28"/>
          <w:szCs w:val="28"/>
        </w:rPr>
        <w:sym w:font="HQPB5" w:char="F0AA"/>
      </w:r>
      <w:r w:rsidR="0040277B" w:rsidRPr="00E11FC4">
        <w:rPr>
          <w:rFonts w:ascii="Adobe نسخ Medium" w:hAnsi="Adobe نسخ Medium" w:cs="Adobe نسخ Medium"/>
          <w:sz w:val="28"/>
          <w:szCs w:val="28"/>
          <w:rtl/>
        </w:rPr>
        <w:t xml:space="preserve"> اللهُ</w:t>
      </w:r>
      <w:r w:rsidRPr="00E11FC4">
        <w:rPr>
          <w:rFonts w:ascii="(normal text)" w:hAnsi="(normal text)"/>
          <w:sz w:val="28"/>
          <w:szCs w:val="28"/>
          <w:rtl/>
        </w:rPr>
        <w:t xml:space="preserve"> </w:t>
      </w:r>
      <w:r w:rsidRPr="00E11FC4">
        <w:rPr>
          <w:sz w:val="28"/>
          <w:szCs w:val="28"/>
        </w:rPr>
        <w:sym w:font="HQPB4" w:char="F0F6"/>
      </w:r>
      <w:r w:rsidRPr="00E11FC4">
        <w:rPr>
          <w:sz w:val="28"/>
          <w:szCs w:val="28"/>
        </w:rPr>
        <w:sym w:font="HQPB2" w:char="F04E"/>
      </w:r>
      <w:r w:rsidRPr="00E11FC4">
        <w:rPr>
          <w:sz w:val="28"/>
          <w:szCs w:val="28"/>
        </w:rPr>
        <w:sym w:font="HQPB4" w:char="F0E0"/>
      </w:r>
      <w:r w:rsidRPr="00E11FC4">
        <w:rPr>
          <w:sz w:val="28"/>
          <w:szCs w:val="28"/>
        </w:rPr>
        <w:sym w:font="HQPB2" w:char="F036"/>
      </w:r>
      <w:r w:rsidRPr="00E11FC4">
        <w:rPr>
          <w:sz w:val="28"/>
          <w:szCs w:val="28"/>
        </w:rPr>
        <w:sym w:font="HQPB5" w:char="F073"/>
      </w:r>
      <w:r w:rsidRPr="00E11FC4">
        <w:rPr>
          <w:sz w:val="28"/>
          <w:szCs w:val="28"/>
        </w:rPr>
        <w:sym w:font="HQPB2" w:char="F039"/>
      </w:r>
      <w:r w:rsidRPr="00E11FC4">
        <w:rPr>
          <w:rFonts w:ascii="(normal text)" w:hAnsi="(normal text)"/>
          <w:sz w:val="28"/>
          <w:szCs w:val="28"/>
          <w:rtl/>
        </w:rPr>
        <w:t xml:space="preserve"> </w:t>
      </w:r>
      <w:r w:rsidRPr="00E11FC4">
        <w:rPr>
          <w:sz w:val="28"/>
          <w:szCs w:val="28"/>
        </w:rPr>
        <w:sym w:font="HQPB2" w:char="F062"/>
      </w:r>
      <w:r w:rsidRPr="00E11FC4">
        <w:rPr>
          <w:sz w:val="28"/>
          <w:szCs w:val="28"/>
        </w:rPr>
        <w:sym w:font="HQPB5" w:char="F072"/>
      </w:r>
      <w:r w:rsidRPr="00E11FC4">
        <w:rPr>
          <w:sz w:val="28"/>
          <w:szCs w:val="28"/>
        </w:rPr>
        <w:sym w:font="HQPB1" w:char="F026"/>
      </w:r>
      <w:r w:rsidRPr="00E11FC4">
        <w:rPr>
          <w:rFonts w:ascii="(normal text)" w:hAnsi="(normal text)"/>
          <w:sz w:val="28"/>
          <w:szCs w:val="28"/>
          <w:rtl/>
        </w:rPr>
        <w:t xml:space="preserve"> </w:t>
      </w:r>
      <w:r w:rsidRPr="00E11FC4">
        <w:rPr>
          <w:sz w:val="28"/>
          <w:szCs w:val="28"/>
        </w:rPr>
        <w:sym w:font="HQPB5" w:char="F028"/>
      </w:r>
      <w:r w:rsidRPr="00E11FC4">
        <w:rPr>
          <w:sz w:val="28"/>
          <w:szCs w:val="28"/>
        </w:rPr>
        <w:sym w:font="HQPB1" w:char="F023"/>
      </w:r>
      <w:r w:rsidRPr="00E11FC4">
        <w:rPr>
          <w:sz w:val="28"/>
          <w:szCs w:val="28"/>
        </w:rPr>
        <w:sym w:font="HQPB2" w:char="F071"/>
      </w:r>
      <w:r w:rsidRPr="00E11FC4">
        <w:rPr>
          <w:sz w:val="28"/>
          <w:szCs w:val="28"/>
        </w:rPr>
        <w:sym w:font="HQPB4" w:char="F09D"/>
      </w:r>
      <w:r w:rsidRPr="00E11FC4">
        <w:rPr>
          <w:sz w:val="28"/>
          <w:szCs w:val="28"/>
        </w:rPr>
        <w:sym w:font="HQPB2" w:char="F03D"/>
      </w:r>
      <w:r w:rsidRPr="00E11FC4">
        <w:rPr>
          <w:sz w:val="28"/>
          <w:szCs w:val="28"/>
        </w:rPr>
        <w:sym w:font="HQPB4" w:char="F0C5"/>
      </w:r>
      <w:r w:rsidRPr="00E11FC4">
        <w:rPr>
          <w:sz w:val="28"/>
          <w:szCs w:val="28"/>
        </w:rPr>
        <w:sym w:font="HQPB1" w:char="F0D2"/>
      </w:r>
      <w:r w:rsidRPr="00E11FC4">
        <w:rPr>
          <w:sz w:val="28"/>
          <w:szCs w:val="28"/>
        </w:rPr>
        <w:sym w:font="HQPB5" w:char="F073"/>
      </w:r>
      <w:r w:rsidRPr="00E11FC4">
        <w:rPr>
          <w:sz w:val="28"/>
          <w:szCs w:val="28"/>
        </w:rPr>
        <w:sym w:font="HQPB1" w:char="F03F"/>
      </w:r>
      <w:r w:rsidRPr="00E11FC4">
        <w:rPr>
          <w:rFonts w:ascii="(normal text)" w:hAnsi="(normal text)"/>
          <w:sz w:val="28"/>
          <w:szCs w:val="28"/>
          <w:rtl/>
        </w:rPr>
        <w:t xml:space="preserve"> </w:t>
      </w:r>
      <w:r w:rsidRPr="00E11FC4">
        <w:rPr>
          <w:sz w:val="28"/>
          <w:szCs w:val="28"/>
        </w:rPr>
        <w:sym w:font="HQPB4" w:char="F033"/>
      </w:r>
      <w:r w:rsidRPr="00E11FC4">
        <w:rPr>
          <w:rFonts w:ascii="(normal text)" w:hAnsi="(normal text)"/>
          <w:sz w:val="28"/>
          <w:szCs w:val="28"/>
          <w:rtl/>
        </w:rPr>
        <w:t xml:space="preserve"> </w:t>
      </w:r>
      <w:r w:rsidRPr="00E11FC4">
        <w:rPr>
          <w:sz w:val="28"/>
          <w:szCs w:val="28"/>
        </w:rPr>
        <w:sym w:font="HQPB5" w:char="F075"/>
      </w:r>
      <w:r w:rsidRPr="00E11FC4">
        <w:rPr>
          <w:sz w:val="28"/>
          <w:szCs w:val="28"/>
        </w:rPr>
        <w:sym w:font="HQPB2" w:char="F072"/>
      </w:r>
      <w:r w:rsidR="0040277B" w:rsidRPr="00E11FC4">
        <w:rPr>
          <w:rFonts w:ascii="Adobe نسخ Medium" w:hAnsi="Adobe نسخ Medium" w:cs="Adobe نسخ Medium"/>
          <w:sz w:val="28"/>
          <w:szCs w:val="28"/>
          <w:rtl/>
        </w:rPr>
        <w:t xml:space="preserve"> اللهُ</w:t>
      </w:r>
      <w:r w:rsidRPr="00E11FC4">
        <w:rPr>
          <w:rFonts w:ascii="(normal text)" w:hAnsi="(normal text)"/>
          <w:sz w:val="28"/>
          <w:szCs w:val="28"/>
          <w:rtl/>
        </w:rPr>
        <w:t xml:space="preserve"> </w:t>
      </w:r>
      <w:r w:rsidRPr="00E11FC4">
        <w:rPr>
          <w:sz w:val="28"/>
          <w:szCs w:val="28"/>
        </w:rPr>
        <w:sym w:font="HQPB4" w:char="F0C8"/>
      </w:r>
      <w:r w:rsidRPr="00E11FC4">
        <w:rPr>
          <w:sz w:val="28"/>
          <w:szCs w:val="28"/>
        </w:rPr>
        <w:sym w:font="HQPB4" w:char="F065"/>
      </w:r>
      <w:r w:rsidRPr="00E11FC4">
        <w:rPr>
          <w:sz w:val="28"/>
          <w:szCs w:val="28"/>
        </w:rPr>
        <w:sym w:font="HQPB2" w:char="F040"/>
      </w:r>
      <w:r w:rsidRPr="00E11FC4">
        <w:rPr>
          <w:sz w:val="28"/>
          <w:szCs w:val="28"/>
        </w:rPr>
        <w:sym w:font="HQPB4" w:char="F0E4"/>
      </w:r>
      <w:r w:rsidRPr="00E11FC4">
        <w:rPr>
          <w:sz w:val="28"/>
          <w:szCs w:val="28"/>
        </w:rPr>
        <w:sym w:font="HQPB2" w:char="F033"/>
      </w:r>
      <w:r w:rsidRPr="00E11FC4">
        <w:rPr>
          <w:sz w:val="28"/>
          <w:szCs w:val="28"/>
        </w:rPr>
        <w:sym w:font="HQPB4" w:char="F0CE"/>
      </w:r>
      <w:r w:rsidRPr="00E11FC4">
        <w:rPr>
          <w:sz w:val="28"/>
          <w:szCs w:val="28"/>
        </w:rPr>
        <w:sym w:font="HQPB1" w:char="F02F"/>
      </w:r>
      <w:r w:rsidRPr="00E11FC4">
        <w:rPr>
          <w:rFonts w:ascii="(normal text)" w:hAnsi="(normal text)"/>
          <w:sz w:val="28"/>
          <w:szCs w:val="28"/>
          <w:rtl/>
        </w:rPr>
        <w:t xml:space="preserve"> </w:t>
      </w:r>
      <w:r w:rsidRPr="00E11FC4">
        <w:rPr>
          <w:sz w:val="28"/>
          <w:szCs w:val="28"/>
        </w:rPr>
        <w:sym w:font="HQPB4" w:char="F03E"/>
      </w:r>
      <w:r w:rsidRPr="00E11FC4">
        <w:rPr>
          <w:sz w:val="28"/>
          <w:szCs w:val="28"/>
        </w:rPr>
        <w:sym w:font="HQPB2" w:char="F0E4"/>
      </w:r>
      <w:r w:rsidRPr="00E11FC4">
        <w:rPr>
          <w:sz w:val="28"/>
          <w:szCs w:val="28"/>
        </w:rPr>
        <w:sym w:font="HQPB4" w:char="F0F3"/>
      </w:r>
      <w:r w:rsidRPr="00E11FC4">
        <w:rPr>
          <w:sz w:val="28"/>
          <w:szCs w:val="28"/>
        </w:rPr>
        <w:sym w:font="HQPB2" w:char="F0D3"/>
      </w:r>
      <w:r w:rsidRPr="00E11FC4">
        <w:rPr>
          <w:sz w:val="28"/>
          <w:szCs w:val="28"/>
        </w:rPr>
        <w:sym w:font="HQPB5" w:char="F078"/>
      </w:r>
      <w:r w:rsidRPr="00E11FC4">
        <w:rPr>
          <w:sz w:val="28"/>
          <w:szCs w:val="28"/>
        </w:rPr>
        <w:sym w:font="HQPB1" w:char="F0AB"/>
      </w:r>
      <w:r w:rsidRPr="00E11FC4">
        <w:rPr>
          <w:rFonts w:ascii="(normal text)" w:hAnsi="(normal text)"/>
          <w:sz w:val="28"/>
          <w:szCs w:val="28"/>
          <w:rtl/>
        </w:rPr>
        <w:t xml:space="preserve"> </w:t>
      </w:r>
      <w:r w:rsidRPr="00E11FC4">
        <w:rPr>
          <w:sz w:val="28"/>
          <w:szCs w:val="28"/>
        </w:rPr>
        <w:sym w:font="HQPB5" w:char="F037"/>
      </w:r>
      <w:r w:rsidRPr="00E11FC4">
        <w:rPr>
          <w:sz w:val="28"/>
          <w:szCs w:val="28"/>
        </w:rPr>
        <w:sym w:font="HQPB2" w:char="F04F"/>
      </w:r>
      <w:r w:rsidRPr="00E11FC4">
        <w:rPr>
          <w:sz w:val="28"/>
          <w:szCs w:val="28"/>
        </w:rPr>
        <w:sym w:font="HQPB2" w:char="F08A"/>
      </w:r>
      <w:r w:rsidRPr="00E11FC4">
        <w:rPr>
          <w:sz w:val="28"/>
          <w:szCs w:val="28"/>
        </w:rPr>
        <w:sym w:font="HQPB4" w:char="F0CE"/>
      </w:r>
      <w:r w:rsidRPr="00E11FC4">
        <w:rPr>
          <w:sz w:val="28"/>
          <w:szCs w:val="28"/>
        </w:rPr>
        <w:sym w:font="HQPB2" w:char="F03D"/>
      </w:r>
      <w:r w:rsidRPr="00E11FC4">
        <w:rPr>
          <w:sz w:val="28"/>
          <w:szCs w:val="28"/>
        </w:rPr>
        <w:sym w:font="HQPB5" w:char="F074"/>
      </w:r>
      <w:r w:rsidRPr="00E11FC4">
        <w:rPr>
          <w:sz w:val="28"/>
          <w:szCs w:val="28"/>
        </w:rPr>
        <w:sym w:font="HQPB1" w:char="F0E6"/>
      </w:r>
      <w:r w:rsidRPr="00E11FC4">
        <w:rPr>
          <w:rFonts w:ascii="(normal text)" w:hAnsi="(normal text)"/>
          <w:sz w:val="28"/>
          <w:szCs w:val="28"/>
          <w:rtl/>
        </w:rPr>
        <w:t xml:space="preserve"> </w:t>
      </w:r>
      <w:r w:rsidRPr="00E11FC4">
        <w:rPr>
          <w:sz w:val="28"/>
          <w:szCs w:val="28"/>
        </w:rPr>
        <w:sym w:font="HQPB2" w:char="F0C7"/>
      </w:r>
      <w:r w:rsidRPr="00E11FC4">
        <w:rPr>
          <w:sz w:val="28"/>
          <w:szCs w:val="28"/>
        </w:rPr>
        <w:sym w:font="HQPB2" w:char="F0CA"/>
      </w:r>
      <w:r w:rsidRPr="00E11FC4">
        <w:rPr>
          <w:sz w:val="28"/>
          <w:szCs w:val="28"/>
        </w:rPr>
        <w:sym w:font="HQPB2" w:char="F0D0"/>
      </w:r>
      <w:r w:rsidRPr="00E11FC4">
        <w:rPr>
          <w:sz w:val="28"/>
          <w:szCs w:val="28"/>
        </w:rPr>
        <w:sym w:font="HQPB2" w:char="F0CF"/>
      </w:r>
      <w:r w:rsidRPr="00E11FC4">
        <w:rPr>
          <w:sz w:val="28"/>
          <w:szCs w:val="28"/>
        </w:rPr>
        <w:sym w:font="HQPB2" w:char="F0C8"/>
      </w:r>
      <w:r w:rsidRPr="00E11FC4">
        <w:rPr>
          <w:rFonts w:ascii="(normal text)" w:hAnsi="(normal text)"/>
          <w:sz w:val="28"/>
          <w:szCs w:val="28"/>
          <w:rtl/>
        </w:rPr>
        <w:t xml:space="preserve">   </w:t>
      </w:r>
    </w:p>
    <w:p w:rsidR="004C10C1" w:rsidRDefault="004C10C1" w:rsidP="009D028C">
      <w:pPr>
        <w:pStyle w:val="ListParagraph"/>
        <w:autoSpaceDE w:val="0"/>
        <w:autoSpaceDN w:val="0"/>
        <w:adjustRightInd w:val="0"/>
        <w:spacing w:after="0" w:line="240" w:lineRule="auto"/>
        <w:jc w:val="both"/>
        <w:rPr>
          <w:rFonts w:asciiTheme="majorBidi" w:hAnsiTheme="majorBidi" w:cstheme="majorBidi"/>
          <w:sz w:val="24"/>
          <w:szCs w:val="24"/>
        </w:rPr>
      </w:pPr>
      <w:r w:rsidRPr="009071D9">
        <w:rPr>
          <w:rFonts w:asciiTheme="majorBidi" w:hAnsiTheme="majorBidi" w:cstheme="majorBidi"/>
          <w:sz w:val="24"/>
          <w:szCs w:val="24"/>
        </w:rPr>
        <w:t>“</w:t>
      </w:r>
      <w:r w:rsidRPr="007C4FC9">
        <w:rPr>
          <w:rFonts w:asciiTheme="majorBidi" w:hAnsiTheme="majorBidi" w:cstheme="majorBidi"/>
          <w:i/>
          <w:iCs/>
          <w:sz w:val="24"/>
          <w:szCs w:val="24"/>
        </w:rPr>
        <w:t xml:space="preserve">mereka meminta fatwa kepadamu (tentang kalalah). Katakanlah: "Allah memberi fatwa kepadamu tentang kalalah (yaitu): jika seorang meninggal dunia, dan ia tidak mempunyai anak dan mempunyai saudara perempuan, Maka bagi saudaranya yang perempuan itu seperdua dari harta yang ditinggalkannya, dan saudaranya yang laki-laki mempusakai (seluruh harta saudara perempuan), jika ia tidak mempunyai anak; tetapi jika saudara perempuan itu dua orang, Maka bagi keduanya dua pertiga dari harta yang ditinggalkan oleh yang meninggal. dan jika mereka (ahli waris itu terdiri dari) saudara-saudara laki dan perempuan, Maka bahagian seorang saudara laki-laki sebanyak bahagian dua orang saudara </w:t>
      </w:r>
      <w:r w:rsidRPr="007C4FC9">
        <w:rPr>
          <w:rFonts w:asciiTheme="majorBidi" w:hAnsiTheme="majorBidi" w:cstheme="majorBidi"/>
          <w:i/>
          <w:iCs/>
          <w:sz w:val="24"/>
          <w:szCs w:val="24"/>
        </w:rPr>
        <w:lastRenderedPageBreak/>
        <w:t>perempuan. Allah menerangkan (hukum ini) kepadamu, supaya kamu tidak sesat. dan Allah Maha mengetahui segala sesuatu</w:t>
      </w:r>
      <w:r w:rsidRPr="009071D9">
        <w:rPr>
          <w:rFonts w:asciiTheme="majorBidi" w:hAnsiTheme="majorBidi" w:cstheme="majorBidi"/>
          <w:sz w:val="24"/>
          <w:szCs w:val="24"/>
        </w:rPr>
        <w:t>.</w:t>
      </w:r>
      <w:r>
        <w:rPr>
          <w:rStyle w:val="FootnoteReference"/>
          <w:rFonts w:asciiTheme="majorBidi" w:hAnsiTheme="majorBidi" w:cstheme="majorBidi"/>
          <w:sz w:val="24"/>
          <w:szCs w:val="24"/>
        </w:rPr>
        <w:footnoteReference w:id="10"/>
      </w:r>
      <w:r w:rsidRPr="009071D9">
        <w:rPr>
          <w:rFonts w:asciiTheme="majorBidi" w:hAnsiTheme="majorBidi" w:cstheme="majorBidi"/>
          <w:sz w:val="24"/>
          <w:szCs w:val="24"/>
        </w:rPr>
        <w:t xml:space="preserve"> ( QS. </w:t>
      </w:r>
      <w:r w:rsidR="00D45AEE">
        <w:rPr>
          <w:rFonts w:asciiTheme="majorBidi" w:hAnsiTheme="majorBidi" w:cstheme="majorBidi"/>
          <w:sz w:val="24"/>
          <w:szCs w:val="24"/>
        </w:rPr>
        <w:t>Al-Nisā’</w:t>
      </w:r>
      <w:r w:rsidRPr="009071D9">
        <w:rPr>
          <w:rFonts w:asciiTheme="majorBidi" w:hAnsiTheme="majorBidi" w:cstheme="majorBidi"/>
          <w:sz w:val="24"/>
          <w:szCs w:val="24"/>
        </w:rPr>
        <w:t>:[4]: 219).</w:t>
      </w:r>
    </w:p>
    <w:p w:rsidR="004020A7" w:rsidRDefault="004020A7" w:rsidP="009D028C">
      <w:pPr>
        <w:pStyle w:val="ListParagraph"/>
        <w:autoSpaceDE w:val="0"/>
        <w:autoSpaceDN w:val="0"/>
        <w:adjustRightInd w:val="0"/>
        <w:spacing w:after="0" w:line="240" w:lineRule="auto"/>
        <w:ind w:left="0"/>
        <w:jc w:val="both"/>
        <w:rPr>
          <w:rFonts w:asciiTheme="majorBidi" w:hAnsiTheme="majorBidi" w:cstheme="majorBidi"/>
          <w:sz w:val="24"/>
          <w:szCs w:val="24"/>
        </w:rPr>
      </w:pPr>
    </w:p>
    <w:p w:rsidR="004020A7" w:rsidRPr="00BD4EEB" w:rsidRDefault="00BD4EEB" w:rsidP="00A33E46">
      <w:pPr>
        <w:autoSpaceDE w:val="0"/>
        <w:autoSpaceDN w:val="0"/>
        <w:adjustRightInd w:val="0"/>
        <w:spacing w:after="0" w:line="360" w:lineRule="auto"/>
        <w:ind w:firstLine="720"/>
        <w:jc w:val="both"/>
        <w:rPr>
          <w:rStyle w:val="gen"/>
          <w:rFonts w:ascii="Giovanni-Book" w:hAnsi="Giovanni-Book" w:cs="Giovanni-Book"/>
          <w:sz w:val="24"/>
          <w:szCs w:val="24"/>
        </w:rPr>
      </w:pPr>
      <w:r w:rsidRPr="00054C5D">
        <w:rPr>
          <w:rFonts w:ascii="Giovanni-Book" w:hAnsi="Giovanni-Book" w:cs="Giovanni-Book"/>
          <w:sz w:val="24"/>
          <w:szCs w:val="24"/>
        </w:rPr>
        <w:t>Pada awalnya fatwa diberikan secara perseorangan. Rasulullah SAW selalu memberikan jawaban terhadap pertanyaan-pertanyaan yang diajukan sahabat. Jawaban-jawaban yang diberikan Rasul menjadi landasan hukum dan bersifat mengikat bagi kaum muslimin sebagai aturan syari’ah</w:t>
      </w:r>
      <w:r>
        <w:rPr>
          <w:rStyle w:val="FootnoteReference"/>
          <w:rFonts w:ascii="Giovanni-Book" w:hAnsi="Giovanni-Book" w:cs="Giovanni-Book"/>
          <w:sz w:val="24"/>
          <w:szCs w:val="24"/>
        </w:rPr>
        <w:footnoteReference w:id="11"/>
      </w:r>
      <w:r w:rsidRPr="00054C5D">
        <w:rPr>
          <w:rFonts w:ascii="Giovanni-Book" w:hAnsi="Giovanni-Book" w:cs="Giovanni-Book"/>
          <w:sz w:val="24"/>
          <w:szCs w:val="24"/>
        </w:rPr>
        <w:t>. Akan tetapi setelah beliau wafat, permasalahan tentang hukum ditanyakan kepada khalifah yang meng</w:t>
      </w:r>
      <w:r>
        <w:rPr>
          <w:rFonts w:ascii="Giovanni-Book" w:hAnsi="Giovanni-Book" w:cs="Giovanni-Book"/>
          <w:sz w:val="24"/>
          <w:szCs w:val="24"/>
        </w:rPr>
        <w:t>g</w:t>
      </w:r>
      <w:r w:rsidRPr="00054C5D">
        <w:rPr>
          <w:rFonts w:ascii="Giovanni-Book" w:hAnsi="Giovanni-Book" w:cs="Giovanni-Book"/>
          <w:sz w:val="24"/>
          <w:szCs w:val="24"/>
        </w:rPr>
        <w:t>antikan beliau atau para ulama kurun itu. Apabila mereka ti</w:t>
      </w:r>
      <w:r>
        <w:rPr>
          <w:rFonts w:ascii="Giovanni-Book" w:hAnsi="Giovanni-Book" w:cs="Giovanni-Book"/>
          <w:sz w:val="24"/>
          <w:szCs w:val="24"/>
        </w:rPr>
        <w:t xml:space="preserve">dak mendapatkan pedoman dari </w:t>
      </w:r>
      <w:r w:rsidR="00972E98">
        <w:rPr>
          <w:rFonts w:ascii="Giovanni-Book" w:hAnsi="Giovanni-Book" w:cs="Giovanni-Book"/>
          <w:sz w:val="24"/>
          <w:szCs w:val="24"/>
        </w:rPr>
        <w:t>Al-Qur’ān</w:t>
      </w:r>
      <w:r w:rsidRPr="00054C5D">
        <w:rPr>
          <w:rFonts w:ascii="Giovanni-Book" w:hAnsi="Giovanni-Book" w:cs="Giovanni-Book"/>
          <w:sz w:val="24"/>
          <w:szCs w:val="24"/>
        </w:rPr>
        <w:t xml:space="preserve"> dan Sunnah maka mereka berijtihad. Ijtihad yang diberikan sebagai sebuah keputusan perorangan disebut dengan fatwa. </w:t>
      </w:r>
      <w:r w:rsidR="005B5E88">
        <w:rPr>
          <w:rFonts w:ascii="Giovanni-Book" w:hAnsi="Giovanni-Book" w:cs="Giovanni-Book"/>
          <w:sz w:val="24"/>
          <w:szCs w:val="24"/>
        </w:rPr>
        <w:t xml:space="preserve">Ijtihad pada saat seperti itu dibenarkan dalam Islam. </w:t>
      </w:r>
      <w:r>
        <w:rPr>
          <w:rStyle w:val="gen"/>
          <w:rFonts w:asciiTheme="majorBidi" w:hAnsiTheme="majorBidi" w:cstheme="majorBidi"/>
          <w:sz w:val="24"/>
          <w:szCs w:val="24"/>
        </w:rPr>
        <w:t>S</w:t>
      </w:r>
      <w:r w:rsidR="004020A7">
        <w:rPr>
          <w:rStyle w:val="gen"/>
          <w:rFonts w:asciiTheme="majorBidi" w:hAnsiTheme="majorBidi" w:cstheme="majorBidi"/>
          <w:sz w:val="24"/>
          <w:szCs w:val="24"/>
        </w:rPr>
        <w:t xml:space="preserve">ebagaimana </w:t>
      </w:r>
      <w:r w:rsidR="00CA215D">
        <w:rPr>
          <w:rStyle w:val="gen"/>
          <w:rFonts w:asciiTheme="majorBidi" w:hAnsiTheme="majorBidi" w:cstheme="majorBidi"/>
          <w:sz w:val="24"/>
          <w:szCs w:val="24"/>
        </w:rPr>
        <w:t xml:space="preserve">sabda Nabi </w:t>
      </w:r>
      <w:r>
        <w:rPr>
          <w:rStyle w:val="gen"/>
          <w:rFonts w:asciiTheme="majorBidi" w:hAnsiTheme="majorBidi" w:cstheme="majorBidi"/>
          <w:sz w:val="24"/>
          <w:szCs w:val="24"/>
        </w:rPr>
        <w:t>SAW</w:t>
      </w:r>
      <w:r w:rsidR="00CA215D">
        <w:rPr>
          <w:rStyle w:val="gen"/>
          <w:rFonts w:asciiTheme="majorBidi" w:hAnsiTheme="majorBidi" w:cstheme="majorBidi"/>
          <w:sz w:val="24"/>
          <w:szCs w:val="24"/>
        </w:rPr>
        <w:t xml:space="preserve"> </w:t>
      </w:r>
      <w:r w:rsidR="005B5E88">
        <w:rPr>
          <w:rStyle w:val="gen"/>
          <w:rFonts w:asciiTheme="majorBidi" w:hAnsiTheme="majorBidi" w:cstheme="majorBidi"/>
          <w:sz w:val="24"/>
          <w:szCs w:val="24"/>
        </w:rPr>
        <w:t xml:space="preserve">kepada Mu’adz </w:t>
      </w:r>
      <w:r w:rsidR="00CA215D">
        <w:rPr>
          <w:rStyle w:val="gen"/>
          <w:rFonts w:asciiTheme="majorBidi" w:hAnsiTheme="majorBidi" w:cstheme="majorBidi"/>
          <w:sz w:val="24"/>
          <w:szCs w:val="24"/>
        </w:rPr>
        <w:t xml:space="preserve">yang </w:t>
      </w:r>
      <w:r w:rsidR="004020A7">
        <w:rPr>
          <w:rStyle w:val="gen"/>
          <w:rFonts w:asciiTheme="majorBidi" w:hAnsiTheme="majorBidi" w:cstheme="majorBidi"/>
          <w:sz w:val="24"/>
          <w:szCs w:val="24"/>
        </w:rPr>
        <w:t xml:space="preserve">dikutip oleh </w:t>
      </w:r>
      <w:r w:rsidR="00F853DA">
        <w:rPr>
          <w:rStyle w:val="gen"/>
          <w:rFonts w:asciiTheme="majorBidi" w:hAnsiTheme="majorBidi" w:cstheme="majorBidi"/>
          <w:sz w:val="24"/>
          <w:szCs w:val="24"/>
        </w:rPr>
        <w:t xml:space="preserve">Imam </w:t>
      </w:r>
      <w:r w:rsidR="00E9703A">
        <w:rPr>
          <w:rStyle w:val="gen"/>
          <w:rFonts w:asciiTheme="majorBidi" w:hAnsiTheme="majorBidi" w:cstheme="majorBidi"/>
          <w:sz w:val="24"/>
          <w:szCs w:val="24"/>
        </w:rPr>
        <w:t>Abū</w:t>
      </w:r>
      <w:r w:rsidR="004020A7">
        <w:rPr>
          <w:rStyle w:val="gen"/>
          <w:rFonts w:asciiTheme="majorBidi" w:hAnsiTheme="majorBidi" w:cstheme="majorBidi"/>
          <w:sz w:val="24"/>
          <w:szCs w:val="24"/>
        </w:rPr>
        <w:t>Daud</w:t>
      </w:r>
      <w:r w:rsidR="00F853DA">
        <w:rPr>
          <w:rStyle w:val="gen"/>
          <w:rFonts w:asciiTheme="majorBidi" w:hAnsiTheme="majorBidi" w:cstheme="majorBidi"/>
          <w:sz w:val="24"/>
          <w:szCs w:val="24"/>
        </w:rPr>
        <w:t xml:space="preserve"> </w:t>
      </w:r>
      <w:r w:rsidR="004020A7">
        <w:rPr>
          <w:rStyle w:val="gen"/>
          <w:rFonts w:asciiTheme="majorBidi" w:hAnsiTheme="majorBidi" w:cstheme="majorBidi"/>
          <w:sz w:val="24"/>
          <w:szCs w:val="24"/>
        </w:rPr>
        <w:t>dalam Musnadnya</w:t>
      </w:r>
      <w:r w:rsidR="00670FB1">
        <w:rPr>
          <w:rStyle w:val="gen"/>
          <w:rFonts w:asciiTheme="majorBidi" w:hAnsiTheme="majorBidi" w:cstheme="majorBidi"/>
          <w:sz w:val="24"/>
          <w:szCs w:val="24"/>
        </w:rPr>
        <w:t>:</w:t>
      </w:r>
    </w:p>
    <w:p w:rsidR="005A3960" w:rsidRPr="003A3BF8" w:rsidRDefault="005A3960" w:rsidP="009D028C">
      <w:pPr>
        <w:autoSpaceDE w:val="0"/>
        <w:autoSpaceDN w:val="0"/>
        <w:bidi/>
        <w:adjustRightInd w:val="0"/>
        <w:spacing w:after="0" w:line="240" w:lineRule="auto"/>
        <w:jc w:val="both"/>
        <w:rPr>
          <w:rFonts w:ascii="Adobe نسخ Medium" w:hAnsi="Adobe نسخ Medium" w:cs="Traditional Arabic"/>
          <w:sz w:val="32"/>
          <w:szCs w:val="32"/>
        </w:rPr>
      </w:pPr>
      <w:r w:rsidRPr="003A3BF8">
        <w:rPr>
          <w:rFonts w:ascii="Adobe نسخ Medium" w:hAnsi="Adobe نسخ Medium" w:cs="Traditional Arabic"/>
          <w:sz w:val="32"/>
          <w:szCs w:val="32"/>
          <w:rtl/>
        </w:rPr>
        <w:t>عَنْ أُنَاسٍ مِنْ أَهْلِ حِمْصٍ ، مِنْ أَصْحَابِ مُعَاذِ بْنِ جَبَلٍ ، أَنَّ رَسُولَ اللهِ صلى الله عليه وسلم لَمَّا أَرَادَ أَنْ يَبْعَثَ مُعَاذًا إِلَى الْيَمَنِ قَالَ : كَيْفَ تَقْضِي إِذَا عَرَضَ لَكَ قَضَاءٌ ؟ قَالَ : أَقْضِي بِكِتَابِ اللهِ ، قَالَ : فَإِنْ لَمْ تَجِدْ فِي كِتَابِ اللهِ ؟ قَالَ : فَبِسُنَّةِ رَسُولِ اللهِ صلى الله عليه وسلم ، قَالَ : فَإِنْ لَمْ تَجِدْ فِي سُنَّةِ رَسُولِ اللهِ صلى الله عليه وسلم ، وَلاَ فِي كِتَابِ اللهِ ؟ قَالَ : أَجْتَهِدُ رَأْيِي ، وَلاَ آلُو فَضَرَبَ رَسُولُ اللهِ صلى الله عليه وسلم صَدْرَهُ ، وَقَالَ : الْحَمْدُ لِلَّهِ الَّذِي وَفَّقَ رَسُولَ ، رَسُولِ اللهِ لِمَا يُرْضِي رَسُولَ اللَّهِ</w:t>
      </w:r>
      <w:r w:rsidR="0057513D" w:rsidRPr="003A3BF8">
        <w:rPr>
          <w:rFonts w:ascii="Adobe نسخ Medium" w:hAnsi="Adobe نسخ Medium" w:cs="Traditional Arabic"/>
          <w:sz w:val="32"/>
          <w:szCs w:val="32"/>
          <w:rtl/>
        </w:rPr>
        <w:t xml:space="preserve"> ( رواه أبو داود )</w:t>
      </w:r>
      <w:r w:rsidR="0057513D" w:rsidRPr="003A3BF8">
        <w:rPr>
          <w:rStyle w:val="FootnoteReference"/>
          <w:rFonts w:ascii="Adobe نسخ Medium" w:hAnsi="Adobe نسخ Medium" w:cs="Traditional Arabic"/>
          <w:sz w:val="32"/>
          <w:szCs w:val="32"/>
          <w:rtl/>
        </w:rPr>
        <w:footnoteReference w:id="12"/>
      </w:r>
    </w:p>
    <w:p w:rsidR="004020A7" w:rsidRPr="009C13D6" w:rsidRDefault="005A3960" w:rsidP="009D028C">
      <w:pPr>
        <w:autoSpaceDE w:val="0"/>
        <w:autoSpaceDN w:val="0"/>
        <w:adjustRightInd w:val="0"/>
        <w:spacing w:after="0" w:line="240" w:lineRule="auto"/>
        <w:ind w:left="720"/>
        <w:jc w:val="both"/>
        <w:rPr>
          <w:rStyle w:val="gen"/>
          <w:rFonts w:asciiTheme="majorBidi" w:hAnsiTheme="majorBidi" w:cstheme="majorBidi"/>
          <w:sz w:val="24"/>
          <w:szCs w:val="24"/>
        </w:rPr>
      </w:pPr>
      <w:r w:rsidRPr="009C13D6">
        <w:rPr>
          <w:rStyle w:val="gen"/>
          <w:rFonts w:asciiTheme="majorBidi" w:hAnsiTheme="majorBidi" w:cstheme="majorBidi"/>
          <w:sz w:val="24"/>
          <w:szCs w:val="24"/>
        </w:rPr>
        <w:t xml:space="preserve"> </w:t>
      </w:r>
      <w:r w:rsidR="004020A7" w:rsidRPr="009C13D6">
        <w:rPr>
          <w:rStyle w:val="gen"/>
          <w:rFonts w:asciiTheme="majorBidi" w:hAnsiTheme="majorBidi" w:cstheme="majorBidi"/>
          <w:sz w:val="24"/>
          <w:szCs w:val="24"/>
        </w:rPr>
        <w:t>“</w:t>
      </w:r>
      <w:r w:rsidR="004020A7" w:rsidRPr="00670FB1">
        <w:rPr>
          <w:rStyle w:val="gen"/>
          <w:rFonts w:asciiTheme="majorBidi" w:hAnsiTheme="majorBidi" w:cstheme="majorBidi"/>
          <w:i/>
          <w:iCs/>
          <w:sz w:val="24"/>
          <w:szCs w:val="24"/>
        </w:rPr>
        <w:t xml:space="preserve">Diriwayatkan dari sekelompok penduduk Homs, mereka termasuk sahabat </w:t>
      </w:r>
      <w:r w:rsidR="004020A7" w:rsidRPr="00670FB1">
        <w:rPr>
          <w:rFonts w:asciiTheme="majorBidi" w:hAnsiTheme="majorBidi" w:cstheme="majorBidi"/>
          <w:i/>
          <w:iCs/>
          <w:sz w:val="24"/>
          <w:szCs w:val="24"/>
        </w:rPr>
        <w:t xml:space="preserve">muadz bin jabal, bahwa Rasulullah Saw ketika bermaksud mengutus Muadz ke negeri Yaman. Nabi Saw  bertanya kepada Muadz,” bagaimana kamu akan menetapkan hukum kalau dihadapkan pada satu masalah yang memerlukan penetapan hukum?”, Muadz menjawab, “Saya akan menetapkan hukum berdasarkan </w:t>
      </w:r>
      <w:r w:rsidR="00972E98">
        <w:rPr>
          <w:rFonts w:asciiTheme="majorBidi" w:hAnsiTheme="majorBidi" w:cstheme="majorBidi"/>
          <w:i/>
          <w:iCs/>
          <w:sz w:val="24"/>
          <w:szCs w:val="24"/>
        </w:rPr>
        <w:t>Al-Qur’ān</w:t>
      </w:r>
      <w:r w:rsidR="004020A7" w:rsidRPr="00670FB1">
        <w:rPr>
          <w:rFonts w:asciiTheme="majorBidi" w:hAnsiTheme="majorBidi" w:cstheme="majorBidi"/>
          <w:i/>
          <w:iCs/>
          <w:sz w:val="24"/>
          <w:szCs w:val="24"/>
        </w:rPr>
        <w:t xml:space="preserve">. Rasul bertanya lagi, “Seandainya tidak ditemukan ketetapannya di dalam </w:t>
      </w:r>
      <w:r w:rsidR="00972E98">
        <w:rPr>
          <w:rFonts w:asciiTheme="majorBidi" w:hAnsiTheme="majorBidi" w:cstheme="majorBidi"/>
          <w:i/>
          <w:iCs/>
          <w:sz w:val="24"/>
          <w:szCs w:val="24"/>
        </w:rPr>
        <w:t>Al-Qur’ān</w:t>
      </w:r>
      <w:r w:rsidR="004020A7" w:rsidRPr="00670FB1">
        <w:rPr>
          <w:rFonts w:asciiTheme="majorBidi" w:hAnsiTheme="majorBidi" w:cstheme="majorBidi"/>
          <w:i/>
          <w:iCs/>
          <w:sz w:val="24"/>
          <w:szCs w:val="24"/>
        </w:rPr>
        <w:t xml:space="preserve">?” Muadz menjawab, “Saya akan tetapkan berdasarkan Hadits”. Rasul bertanya </w:t>
      </w:r>
      <w:r w:rsidR="004020A7" w:rsidRPr="00670FB1">
        <w:rPr>
          <w:rFonts w:asciiTheme="majorBidi" w:hAnsiTheme="majorBidi" w:cstheme="majorBidi"/>
          <w:i/>
          <w:iCs/>
          <w:sz w:val="24"/>
          <w:szCs w:val="24"/>
        </w:rPr>
        <w:lastRenderedPageBreak/>
        <w:t xml:space="preserve">lagi, “Seandainya tidak engkau temukan ketetapannya dalam </w:t>
      </w:r>
      <w:r w:rsidR="00972E98">
        <w:rPr>
          <w:rFonts w:asciiTheme="majorBidi" w:hAnsiTheme="majorBidi" w:cstheme="majorBidi"/>
          <w:i/>
          <w:iCs/>
          <w:sz w:val="24"/>
          <w:szCs w:val="24"/>
        </w:rPr>
        <w:t>Al-Qur’ān</w:t>
      </w:r>
      <w:r w:rsidR="004020A7" w:rsidRPr="00670FB1">
        <w:rPr>
          <w:rFonts w:asciiTheme="majorBidi" w:hAnsiTheme="majorBidi" w:cstheme="majorBidi"/>
          <w:i/>
          <w:iCs/>
          <w:sz w:val="24"/>
          <w:szCs w:val="24"/>
        </w:rPr>
        <w:t xml:space="preserve"> dan Hadits”, Muadz menjawab” saya akan berijtihad berdasarkan pendapat saya sendiri dengan seksama” kemudian, Rasulullah Saw menepuk dada Muadz bin Jabal, seraya berkata;” Segala puji bagi Allah yang telah memberikan petunjuk kepada utusan Rasulullah terhadap jalan yang diridhainya</w:t>
      </w:r>
      <w:r w:rsidR="004020A7" w:rsidRPr="009C13D6">
        <w:rPr>
          <w:rFonts w:asciiTheme="majorBidi" w:hAnsiTheme="majorBidi" w:cstheme="majorBidi"/>
          <w:sz w:val="24"/>
          <w:szCs w:val="24"/>
        </w:rPr>
        <w:t>”</w:t>
      </w:r>
      <w:r w:rsidR="0057513D">
        <w:rPr>
          <w:rFonts w:asciiTheme="majorBidi" w:hAnsiTheme="majorBidi" w:cstheme="majorBidi"/>
          <w:sz w:val="24"/>
          <w:szCs w:val="24"/>
        </w:rPr>
        <w:t>.</w:t>
      </w:r>
      <w:r w:rsidR="004020A7" w:rsidRPr="009C13D6">
        <w:rPr>
          <w:rFonts w:asciiTheme="majorBidi" w:hAnsiTheme="majorBidi" w:cstheme="majorBidi"/>
          <w:sz w:val="24"/>
          <w:szCs w:val="24"/>
        </w:rPr>
        <w:t xml:space="preserve"> ( HR. </w:t>
      </w:r>
      <w:r w:rsidR="00E9703A">
        <w:rPr>
          <w:rFonts w:asciiTheme="majorBidi" w:hAnsiTheme="majorBidi" w:cstheme="majorBidi"/>
          <w:sz w:val="24"/>
          <w:szCs w:val="24"/>
        </w:rPr>
        <w:t>Abū</w:t>
      </w:r>
      <w:r w:rsidR="004020A7" w:rsidRPr="009C13D6">
        <w:rPr>
          <w:rFonts w:asciiTheme="majorBidi" w:hAnsiTheme="majorBidi" w:cstheme="majorBidi"/>
          <w:sz w:val="24"/>
          <w:szCs w:val="24"/>
        </w:rPr>
        <w:t>Daud)</w:t>
      </w:r>
    </w:p>
    <w:p w:rsidR="004C10C1" w:rsidRDefault="004C10C1" w:rsidP="00A33E46">
      <w:pPr>
        <w:pStyle w:val="ListParagraph"/>
        <w:autoSpaceDE w:val="0"/>
        <w:autoSpaceDN w:val="0"/>
        <w:adjustRightInd w:val="0"/>
        <w:spacing w:after="0" w:line="360" w:lineRule="auto"/>
        <w:ind w:left="0"/>
        <w:jc w:val="both"/>
        <w:rPr>
          <w:rFonts w:asciiTheme="majorBidi" w:hAnsiTheme="majorBidi" w:cstheme="majorBidi"/>
          <w:sz w:val="24"/>
          <w:szCs w:val="24"/>
        </w:rPr>
      </w:pPr>
    </w:p>
    <w:p w:rsidR="004C10C1" w:rsidRDefault="004C10C1" w:rsidP="0004216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Fatwa menempati kedudukan strategis dan sangat penting, karena </w:t>
      </w:r>
      <w:r w:rsidR="009F12EA" w:rsidRPr="00757D82">
        <w:rPr>
          <w:rFonts w:ascii="Times New Roman" w:hAnsi="Times New Roman" w:cs="Times New Roman"/>
          <w:i/>
          <w:iCs/>
          <w:sz w:val="24"/>
          <w:szCs w:val="24"/>
          <w:lang w:val="id-ID"/>
        </w:rPr>
        <w:t>muf</w:t>
      </w:r>
      <w:r w:rsidR="009F12EA">
        <w:rPr>
          <w:rFonts w:ascii="Times New Roman" w:hAnsi="Times New Roman" w:cs="Times New Roman"/>
          <w:i/>
          <w:iCs/>
          <w:sz w:val="24"/>
          <w:szCs w:val="24"/>
        </w:rPr>
        <w:t>t</w:t>
      </w:r>
      <w:r w:rsidR="009F12EA" w:rsidRPr="0094142F">
        <w:rPr>
          <w:rFonts w:asciiTheme="majorBidi" w:hAnsiTheme="majorBidi" w:cstheme="majorBidi"/>
          <w:i/>
          <w:iCs/>
        </w:rPr>
        <w:t>ī</w:t>
      </w:r>
      <w:r>
        <w:rPr>
          <w:rFonts w:ascii="Times New Roman" w:hAnsi="Times New Roman" w:cs="Times New Roman"/>
          <w:i/>
          <w:iCs/>
          <w:sz w:val="24"/>
          <w:szCs w:val="24"/>
        </w:rPr>
        <w:t xml:space="preserve"> </w:t>
      </w:r>
      <w:r>
        <w:rPr>
          <w:rFonts w:ascii="Times New Roman" w:hAnsi="Times New Roman" w:cs="Times New Roman"/>
          <w:sz w:val="24"/>
          <w:szCs w:val="24"/>
        </w:rPr>
        <w:t>(pemberi fatwa), seb</w:t>
      </w:r>
      <w:r w:rsidR="005B5E88">
        <w:rPr>
          <w:rFonts w:ascii="Times New Roman" w:hAnsi="Times New Roman" w:cs="Times New Roman"/>
          <w:sz w:val="24"/>
          <w:szCs w:val="24"/>
        </w:rPr>
        <w:t xml:space="preserve">agaimana dikatakan oleh Imam </w:t>
      </w:r>
      <w:r w:rsidR="00B606BF">
        <w:rPr>
          <w:rFonts w:ascii="Times New Roman" w:hAnsi="Times New Roman" w:cs="Times New Roman"/>
          <w:sz w:val="24"/>
          <w:szCs w:val="24"/>
        </w:rPr>
        <w:t>Al- Syāthibī</w:t>
      </w:r>
      <w:r>
        <w:rPr>
          <w:rFonts w:ascii="Times New Roman" w:hAnsi="Times New Roman" w:cs="Times New Roman"/>
          <w:sz w:val="24"/>
          <w:szCs w:val="24"/>
        </w:rPr>
        <w:t xml:space="preserve">, berkedudukan sebagai khalifah dan ahli waris Nabi </w:t>
      </w:r>
      <w:r w:rsidR="00191023">
        <w:rPr>
          <w:rFonts w:ascii="Times New Roman" w:hAnsi="Times New Roman" w:cs="Times New Roman"/>
          <w:sz w:val="24"/>
          <w:szCs w:val="24"/>
        </w:rPr>
        <w:t>SAW</w:t>
      </w:r>
      <w:r>
        <w:rPr>
          <w:rFonts w:ascii="Times New Roman" w:hAnsi="Times New Roman" w:cs="Times New Roman"/>
          <w:sz w:val="24"/>
          <w:szCs w:val="24"/>
        </w:rPr>
        <w:t>. Sebagaimana hadis yang diriwayatkan oleh Abud Daud dan Tirmidzi bahwa</w:t>
      </w:r>
      <w:r w:rsidR="000B1FC5">
        <w:rPr>
          <w:rFonts w:ascii="Times New Roman" w:hAnsi="Times New Roman" w:cs="Times New Roman"/>
          <w:sz w:val="24"/>
          <w:szCs w:val="24"/>
        </w:rPr>
        <w:t xml:space="preserve"> Nabi bersabda: </w:t>
      </w:r>
      <w:r w:rsidR="00EF364B">
        <w:rPr>
          <w:rFonts w:ascii="Times New Roman" w:hAnsi="Times New Roman" w:cs="Times New Roman"/>
          <w:sz w:val="24"/>
          <w:szCs w:val="24"/>
        </w:rPr>
        <w:t xml:space="preserve"> </w:t>
      </w:r>
      <w:r w:rsidR="00EF364B">
        <w:rPr>
          <w:rStyle w:val="FootnoteReference"/>
          <w:rFonts w:ascii="Times New Roman" w:hAnsi="Times New Roman" w:cs="Times New Roman"/>
          <w:sz w:val="24"/>
          <w:szCs w:val="24"/>
        </w:rPr>
        <w:footnoteReference w:id="13"/>
      </w:r>
      <w:r w:rsidR="00EF364B" w:rsidRPr="00EF364B">
        <w:rPr>
          <w:rFonts w:ascii="Arial" w:hAnsi="Arial"/>
          <w:b/>
          <w:bCs/>
          <w:color w:val="FF0000"/>
          <w:sz w:val="44"/>
          <w:szCs w:val="44"/>
          <w:rtl/>
        </w:rPr>
        <w:t xml:space="preserve"> </w:t>
      </w:r>
      <w:r w:rsidR="00EF364B" w:rsidRPr="009D028C">
        <w:rPr>
          <w:rFonts w:ascii="Adobe نسخ Medium" w:hAnsi="Adobe نسخ Medium" w:cs="Adobe نسخ Medium"/>
          <w:sz w:val="24"/>
          <w:szCs w:val="24"/>
          <w:rtl/>
        </w:rPr>
        <w:t>الْعُلَمَاءَ وَرَثَةُ الأَنْبِيَاء</w:t>
      </w:r>
      <w:r>
        <w:rPr>
          <w:rFonts w:ascii="Times New Roman" w:hAnsi="Times New Roman" w:cs="Times New Roman"/>
          <w:sz w:val="24"/>
          <w:szCs w:val="24"/>
        </w:rPr>
        <w:t xml:space="preserve"> “</w:t>
      </w:r>
      <w:r>
        <w:rPr>
          <w:rFonts w:ascii="Times New Roman" w:hAnsi="Times New Roman" w:cs="Times New Roman"/>
          <w:i/>
          <w:iCs/>
          <w:sz w:val="24"/>
          <w:szCs w:val="24"/>
        </w:rPr>
        <w:t>ulama</w:t>
      </w:r>
      <w:r>
        <w:rPr>
          <w:rFonts w:ascii="Times New Roman" w:hAnsi="Times New Roman" w:cs="Times New Roman"/>
          <w:sz w:val="24"/>
          <w:szCs w:val="24"/>
        </w:rPr>
        <w:t xml:space="preserve"> </w:t>
      </w:r>
      <w:r>
        <w:rPr>
          <w:rFonts w:ascii="Times New Roman" w:hAnsi="Times New Roman" w:cs="Times New Roman"/>
          <w:i/>
          <w:iCs/>
          <w:sz w:val="24"/>
          <w:szCs w:val="24"/>
        </w:rPr>
        <w:t>merupakan ahli waris para Nabi</w:t>
      </w:r>
      <w:r w:rsidR="00EF364B">
        <w:rPr>
          <w:rFonts w:ascii="Times New Roman" w:hAnsi="Times New Roman" w:cs="Times New Roman"/>
          <w:sz w:val="24"/>
          <w:szCs w:val="24"/>
        </w:rPr>
        <w:t>”</w:t>
      </w:r>
      <w:r>
        <w:rPr>
          <w:rFonts w:ascii="Times New Roman" w:hAnsi="Times New Roman" w:cs="Times New Roman"/>
          <w:sz w:val="24"/>
          <w:szCs w:val="24"/>
        </w:rPr>
        <w:t xml:space="preserve"> dalam menyampaikan hukum syariat, mengajar manusia, dan memberi peringatan kepada mereka agar sadar dan berhati-hati.</w:t>
      </w:r>
      <w:r>
        <w:rPr>
          <w:rStyle w:val="FootnoteReference"/>
          <w:rFonts w:ascii="Times New Roman" w:hAnsi="Times New Roman" w:cs="Times New Roman"/>
          <w:sz w:val="24"/>
          <w:szCs w:val="24"/>
        </w:rPr>
        <w:footnoteReference w:id="14"/>
      </w:r>
    </w:p>
    <w:p w:rsidR="004C10C1" w:rsidRPr="00A654A3" w:rsidRDefault="00E9703A" w:rsidP="00E9703A">
      <w:pPr>
        <w:pStyle w:val="ListParagraph"/>
        <w:spacing w:line="360" w:lineRule="auto"/>
        <w:ind w:left="0" w:firstLine="720"/>
        <w:jc w:val="both"/>
      </w:pPr>
      <w:r>
        <w:rPr>
          <w:rFonts w:asciiTheme="majorBidi" w:hAnsiTheme="majorBidi" w:cstheme="majorBidi"/>
          <w:sz w:val="24"/>
          <w:szCs w:val="24"/>
        </w:rPr>
        <w:t xml:space="preserve">Menurut </w:t>
      </w:r>
      <w:r w:rsidRPr="00406F37">
        <w:rPr>
          <w:rFonts w:asciiTheme="majorBidi" w:hAnsiTheme="majorBidi" w:cstheme="majorBidi"/>
          <w:sz w:val="24"/>
          <w:szCs w:val="24"/>
          <w:lang w:val="sv-SE"/>
        </w:rPr>
        <w:t>a</w:t>
      </w:r>
      <w:r>
        <w:rPr>
          <w:rFonts w:asciiTheme="majorBidi" w:hAnsiTheme="majorBidi" w:cstheme="majorBidi"/>
          <w:sz w:val="24"/>
          <w:szCs w:val="24"/>
          <w:lang w:val="sv-SE"/>
        </w:rPr>
        <w:t>l-</w:t>
      </w:r>
      <w:r w:rsidRPr="00406F37">
        <w:rPr>
          <w:rFonts w:asciiTheme="majorBidi" w:hAnsiTheme="majorBidi" w:cstheme="majorBidi"/>
          <w:sz w:val="24"/>
          <w:szCs w:val="24"/>
          <w:lang w:val="sv-SE"/>
        </w:rPr>
        <w:t>Sy</w:t>
      </w:r>
      <w:r w:rsidRPr="00526D6C">
        <w:rPr>
          <w:rFonts w:asciiTheme="majorBidi" w:hAnsiTheme="majorBidi" w:cstheme="majorBidi"/>
          <w:sz w:val="24"/>
          <w:szCs w:val="24"/>
        </w:rPr>
        <w:t>ā</w:t>
      </w:r>
      <w:r w:rsidRPr="00406F37">
        <w:rPr>
          <w:rFonts w:asciiTheme="majorBidi" w:hAnsiTheme="majorBidi" w:cstheme="majorBidi"/>
          <w:sz w:val="24"/>
          <w:szCs w:val="24"/>
          <w:lang w:val="sv-SE"/>
        </w:rPr>
        <w:t>thib</w:t>
      </w:r>
      <w:r w:rsidRPr="00526D6C">
        <w:rPr>
          <w:rFonts w:asciiTheme="majorBidi" w:hAnsiTheme="majorBidi" w:cstheme="majorBidi"/>
          <w:sz w:val="24"/>
          <w:szCs w:val="24"/>
        </w:rPr>
        <w:t>ī</w:t>
      </w:r>
      <w:r w:rsidR="00E11FC4">
        <w:rPr>
          <w:rFonts w:asciiTheme="majorBidi" w:hAnsiTheme="majorBidi" w:cstheme="majorBidi"/>
          <w:sz w:val="24"/>
          <w:szCs w:val="24"/>
        </w:rPr>
        <w:t xml:space="preserve"> (w.790 H)</w:t>
      </w:r>
      <w:r w:rsidR="004C10C1" w:rsidRPr="00CD5632">
        <w:rPr>
          <w:rFonts w:asciiTheme="majorBidi" w:hAnsiTheme="majorBidi" w:cstheme="majorBidi"/>
          <w:sz w:val="24"/>
          <w:szCs w:val="24"/>
        </w:rPr>
        <w:t>,</w:t>
      </w:r>
      <w:r w:rsidR="004C10C1">
        <w:rPr>
          <w:rFonts w:asciiTheme="majorBidi" w:hAnsiTheme="majorBidi" w:cstheme="majorBidi"/>
          <w:sz w:val="24"/>
          <w:szCs w:val="24"/>
        </w:rPr>
        <w:t xml:space="preserve"> </w:t>
      </w:r>
      <w:r w:rsidR="004C10C1" w:rsidRPr="00CD5632">
        <w:rPr>
          <w:rFonts w:asciiTheme="majorBidi" w:hAnsiTheme="majorBidi" w:cstheme="majorBidi"/>
          <w:i/>
          <w:iCs/>
          <w:sz w:val="24"/>
          <w:szCs w:val="24"/>
        </w:rPr>
        <w:t>muft</w:t>
      </w:r>
      <w:r w:rsidRPr="00E9703A">
        <w:rPr>
          <w:rFonts w:asciiTheme="majorBidi" w:hAnsiTheme="majorBidi" w:cstheme="majorBidi"/>
          <w:i/>
          <w:iCs/>
          <w:sz w:val="24"/>
          <w:szCs w:val="24"/>
        </w:rPr>
        <w:t>ī</w:t>
      </w:r>
      <w:r>
        <w:rPr>
          <w:rFonts w:asciiTheme="majorBidi" w:hAnsiTheme="majorBidi" w:cstheme="majorBidi"/>
          <w:sz w:val="24"/>
          <w:szCs w:val="24"/>
        </w:rPr>
        <w:t xml:space="preserve"> </w:t>
      </w:r>
      <w:r w:rsidR="004C10C1" w:rsidRPr="00CD5632">
        <w:rPr>
          <w:rFonts w:asciiTheme="majorBidi" w:hAnsiTheme="majorBidi" w:cstheme="majorBidi"/>
          <w:sz w:val="24"/>
          <w:szCs w:val="24"/>
        </w:rPr>
        <w:t>itu menggantikan kedudukan Nabi dalam hubungannya dengan umat kar</w:t>
      </w:r>
      <w:r w:rsidR="004C10C1">
        <w:rPr>
          <w:rFonts w:asciiTheme="majorBidi" w:hAnsiTheme="majorBidi" w:cstheme="majorBidi"/>
          <w:sz w:val="24"/>
          <w:szCs w:val="24"/>
        </w:rPr>
        <w:t>ena tiga peran yang dilakukannya</w:t>
      </w:r>
      <w:r w:rsidR="004C10C1" w:rsidRPr="00CD5632">
        <w:rPr>
          <w:rFonts w:asciiTheme="majorBidi" w:hAnsiTheme="majorBidi" w:cstheme="majorBidi"/>
          <w:sz w:val="24"/>
          <w:szCs w:val="24"/>
        </w:rPr>
        <w:t>. Ia berperan sebagai ahli waris yang mewarisi ilmu-ilmu agama dari para nabi. Ia juga berperan sebagai muballigh yang menyampaikan (</w:t>
      </w:r>
      <w:r w:rsidR="004C10C1" w:rsidRPr="00220938">
        <w:rPr>
          <w:rFonts w:asciiTheme="majorBidi" w:hAnsiTheme="majorBidi" w:cstheme="majorBidi"/>
          <w:i/>
          <w:iCs/>
          <w:sz w:val="24"/>
          <w:szCs w:val="24"/>
        </w:rPr>
        <w:t>mukhbir</w:t>
      </w:r>
      <w:r w:rsidR="004C10C1" w:rsidRPr="00CD5632">
        <w:rPr>
          <w:rFonts w:asciiTheme="majorBidi" w:hAnsiTheme="majorBidi" w:cstheme="majorBidi"/>
          <w:sz w:val="24"/>
          <w:szCs w:val="24"/>
        </w:rPr>
        <w:t>) ajaran Islam kepada umat sebagaimana</w:t>
      </w:r>
      <w:r w:rsidR="00CA215D" w:rsidRPr="00CD5632">
        <w:rPr>
          <w:rFonts w:asciiTheme="majorBidi" w:hAnsiTheme="majorBidi" w:cstheme="majorBidi"/>
          <w:sz w:val="24"/>
          <w:szCs w:val="24"/>
        </w:rPr>
        <w:t xml:space="preserve"> Nabi</w:t>
      </w:r>
      <w:r w:rsidR="004C10C1" w:rsidRPr="00CD5632">
        <w:rPr>
          <w:rFonts w:asciiTheme="majorBidi" w:hAnsiTheme="majorBidi" w:cstheme="majorBidi"/>
          <w:sz w:val="24"/>
          <w:szCs w:val="24"/>
        </w:rPr>
        <w:t>, ia juga berperan sebagai sy</w:t>
      </w:r>
      <w:r w:rsidR="00A654A3" w:rsidRPr="00761324">
        <w:t>ā</w:t>
      </w:r>
      <w:r w:rsidR="004C10C1" w:rsidRPr="00CD5632">
        <w:rPr>
          <w:rFonts w:asciiTheme="majorBidi" w:hAnsiTheme="majorBidi" w:cstheme="majorBidi"/>
          <w:sz w:val="24"/>
          <w:szCs w:val="24"/>
        </w:rPr>
        <w:t>ri'</w:t>
      </w:r>
      <w:r w:rsidR="004C10C1">
        <w:rPr>
          <w:rFonts w:asciiTheme="majorBidi" w:hAnsiTheme="majorBidi" w:cstheme="majorBidi"/>
          <w:sz w:val="24"/>
          <w:szCs w:val="24"/>
        </w:rPr>
        <w:t xml:space="preserve"> </w:t>
      </w:r>
      <w:r w:rsidR="004C10C1" w:rsidRPr="00CD5632">
        <w:rPr>
          <w:rFonts w:asciiTheme="majorBidi" w:hAnsiTheme="majorBidi" w:cstheme="majorBidi"/>
          <w:sz w:val="24"/>
          <w:szCs w:val="24"/>
        </w:rPr>
        <w:t xml:space="preserve">dari satu sisi karena </w:t>
      </w:r>
      <w:r w:rsidR="004C10C1">
        <w:rPr>
          <w:rFonts w:asciiTheme="majorBidi" w:hAnsiTheme="majorBidi" w:cstheme="majorBidi"/>
          <w:sz w:val="24"/>
          <w:szCs w:val="24"/>
        </w:rPr>
        <w:t>hu</w:t>
      </w:r>
      <w:r w:rsidR="004C10C1" w:rsidRPr="00CD5632">
        <w:rPr>
          <w:rFonts w:asciiTheme="majorBidi" w:hAnsiTheme="majorBidi" w:cstheme="majorBidi"/>
          <w:sz w:val="24"/>
          <w:szCs w:val="24"/>
        </w:rPr>
        <w:t xml:space="preserve">kum Syara’, yang disampaikannya itu terkadang ia sampaikan secara </w:t>
      </w:r>
      <w:r w:rsidR="009F12EA" w:rsidRPr="009679F8">
        <w:rPr>
          <w:rFonts w:asciiTheme="majorBidi" w:hAnsiTheme="majorBidi" w:cstheme="majorBidi"/>
          <w:i/>
          <w:iCs/>
          <w:sz w:val="24"/>
          <w:szCs w:val="24"/>
        </w:rPr>
        <w:t>manq</w:t>
      </w:r>
      <w:r w:rsidR="009F12EA" w:rsidRPr="0094142F">
        <w:rPr>
          <w:rFonts w:asciiTheme="majorBidi" w:hAnsiTheme="majorBidi" w:cstheme="majorBidi"/>
          <w:i/>
          <w:iCs/>
        </w:rPr>
        <w:t>ū</w:t>
      </w:r>
      <w:r w:rsidR="009F12EA" w:rsidRPr="009679F8">
        <w:rPr>
          <w:rFonts w:asciiTheme="majorBidi" w:hAnsiTheme="majorBidi" w:cstheme="majorBidi"/>
          <w:i/>
          <w:iCs/>
          <w:sz w:val="24"/>
          <w:szCs w:val="24"/>
        </w:rPr>
        <w:t>l</w:t>
      </w:r>
      <w:r w:rsidR="004C10C1" w:rsidRPr="009679F8">
        <w:rPr>
          <w:rFonts w:asciiTheme="majorBidi" w:hAnsiTheme="majorBidi" w:cstheme="majorBidi"/>
          <w:i/>
          <w:iCs/>
          <w:sz w:val="24"/>
          <w:szCs w:val="24"/>
        </w:rPr>
        <w:t xml:space="preserve"> </w:t>
      </w:r>
      <w:r w:rsidR="004C10C1" w:rsidRPr="00CD5632">
        <w:rPr>
          <w:rFonts w:asciiTheme="majorBidi" w:hAnsiTheme="majorBidi" w:cstheme="majorBidi"/>
          <w:sz w:val="24"/>
          <w:szCs w:val="24"/>
        </w:rPr>
        <w:t xml:space="preserve">dari sumbernya dan terkadang juga ia sampaikan melalui proses </w:t>
      </w:r>
      <w:r w:rsidR="00A51D0B" w:rsidRPr="00DC7F46">
        <w:rPr>
          <w:rFonts w:asciiTheme="majorBidi" w:hAnsiTheme="majorBidi" w:cstheme="majorBidi"/>
          <w:i/>
          <w:iCs/>
        </w:rPr>
        <w:t>istinbāṭ</w:t>
      </w:r>
      <w:r w:rsidR="004C10C1" w:rsidRPr="00CD5632">
        <w:rPr>
          <w:rFonts w:asciiTheme="majorBidi" w:hAnsiTheme="majorBidi" w:cstheme="majorBidi"/>
          <w:sz w:val="24"/>
          <w:szCs w:val="24"/>
        </w:rPr>
        <w:t xml:space="preserve"> dari sumbernya</w:t>
      </w:r>
      <w:r w:rsidR="00CA215D">
        <w:rPr>
          <w:rStyle w:val="FootnoteReference"/>
          <w:rFonts w:asciiTheme="majorBidi" w:hAnsiTheme="majorBidi" w:cstheme="majorBidi"/>
          <w:sz w:val="24"/>
          <w:szCs w:val="24"/>
        </w:rPr>
        <w:footnoteReference w:id="15"/>
      </w:r>
      <w:r w:rsidR="004C10C1" w:rsidRPr="00CD5632">
        <w:rPr>
          <w:rFonts w:asciiTheme="majorBidi" w:hAnsiTheme="majorBidi" w:cstheme="majorBidi"/>
          <w:sz w:val="24"/>
          <w:szCs w:val="24"/>
        </w:rPr>
        <w:t>.</w:t>
      </w:r>
      <w:r w:rsidR="009679F8">
        <w:rPr>
          <w:rFonts w:asciiTheme="majorBidi" w:hAnsiTheme="majorBidi" w:cstheme="majorBidi"/>
          <w:sz w:val="24"/>
          <w:szCs w:val="24"/>
        </w:rPr>
        <w:t xml:space="preserve"> Berdasarkan kedudukan tersebut,</w:t>
      </w:r>
      <w:r w:rsidR="00374BD5">
        <w:rPr>
          <w:rFonts w:asciiTheme="majorBidi" w:hAnsiTheme="majorBidi" w:cstheme="majorBidi"/>
          <w:sz w:val="24"/>
          <w:szCs w:val="24"/>
        </w:rPr>
        <w:t xml:space="preserve"> </w:t>
      </w:r>
      <w:r w:rsidR="0004216A">
        <w:rPr>
          <w:rFonts w:asciiTheme="majorBidi" w:hAnsiTheme="majorBidi" w:cstheme="majorBidi"/>
          <w:sz w:val="24"/>
          <w:szCs w:val="24"/>
        </w:rPr>
        <w:t>m</w:t>
      </w:r>
      <w:r w:rsidR="004C10C1" w:rsidRPr="00CD5632">
        <w:rPr>
          <w:rFonts w:asciiTheme="majorBidi" w:hAnsiTheme="majorBidi" w:cstheme="majorBidi"/>
          <w:sz w:val="24"/>
          <w:szCs w:val="24"/>
        </w:rPr>
        <w:t xml:space="preserve">ufti itu merupakan </w:t>
      </w:r>
      <w:r w:rsidR="004C10C1" w:rsidRPr="009679F8">
        <w:rPr>
          <w:rFonts w:asciiTheme="majorBidi" w:hAnsiTheme="majorBidi" w:cstheme="majorBidi"/>
          <w:i/>
          <w:iCs/>
          <w:sz w:val="24"/>
          <w:szCs w:val="24"/>
        </w:rPr>
        <w:t>mukhbir</w:t>
      </w:r>
      <w:r w:rsidR="004C10C1" w:rsidRPr="00CD5632">
        <w:rPr>
          <w:rFonts w:asciiTheme="majorBidi" w:hAnsiTheme="majorBidi" w:cstheme="majorBidi"/>
          <w:sz w:val="24"/>
          <w:szCs w:val="24"/>
        </w:rPr>
        <w:t xml:space="preserve"> yang bertugas menyampaikan ajaran Allah sebagaimana </w:t>
      </w:r>
      <w:r w:rsidR="00CA215D" w:rsidRPr="00CD5632">
        <w:rPr>
          <w:rFonts w:asciiTheme="majorBidi" w:hAnsiTheme="majorBidi" w:cstheme="majorBidi"/>
          <w:sz w:val="24"/>
          <w:szCs w:val="24"/>
        </w:rPr>
        <w:t>Nabi</w:t>
      </w:r>
      <w:r w:rsidR="009679F8">
        <w:rPr>
          <w:rFonts w:asciiTheme="majorBidi" w:hAnsiTheme="majorBidi" w:cstheme="majorBidi"/>
          <w:sz w:val="24"/>
          <w:szCs w:val="24"/>
        </w:rPr>
        <w:t xml:space="preserve">, </w:t>
      </w:r>
      <w:r w:rsidR="009679F8" w:rsidRPr="00CD5632">
        <w:rPr>
          <w:rFonts w:asciiTheme="majorBidi" w:hAnsiTheme="majorBidi" w:cstheme="majorBidi"/>
          <w:sz w:val="24"/>
          <w:szCs w:val="24"/>
        </w:rPr>
        <w:t>j</w:t>
      </w:r>
      <w:r w:rsidR="004C10C1" w:rsidRPr="00CD5632">
        <w:rPr>
          <w:rFonts w:asciiTheme="majorBidi" w:hAnsiTheme="majorBidi" w:cstheme="majorBidi"/>
          <w:sz w:val="24"/>
          <w:szCs w:val="24"/>
        </w:rPr>
        <w:t xml:space="preserve">uga sebagai sumber datangnya hukum Allah atas perbuatan mukallaf berdasarkan hasil pemikirannya sebagaimana </w:t>
      </w:r>
      <w:r w:rsidR="00CA215D" w:rsidRPr="00CD5632">
        <w:rPr>
          <w:rFonts w:asciiTheme="majorBidi" w:hAnsiTheme="majorBidi" w:cstheme="majorBidi"/>
          <w:sz w:val="24"/>
          <w:szCs w:val="24"/>
        </w:rPr>
        <w:t>N</w:t>
      </w:r>
      <w:r w:rsidR="004C10C1" w:rsidRPr="00CD5632">
        <w:rPr>
          <w:rFonts w:asciiTheme="majorBidi" w:hAnsiTheme="majorBidi" w:cstheme="majorBidi"/>
          <w:sz w:val="24"/>
          <w:szCs w:val="24"/>
        </w:rPr>
        <w:t>abi. Juga sebagai</w:t>
      </w:r>
      <w:r w:rsidR="004C10C1">
        <w:rPr>
          <w:rFonts w:asciiTheme="majorBidi" w:hAnsiTheme="majorBidi" w:cstheme="majorBidi"/>
          <w:sz w:val="24"/>
          <w:szCs w:val="24"/>
        </w:rPr>
        <w:t xml:space="preserve"> pelaksana urusan umat sebagaima</w:t>
      </w:r>
      <w:r w:rsidR="004C10C1" w:rsidRPr="00CD5632">
        <w:rPr>
          <w:rFonts w:asciiTheme="majorBidi" w:hAnsiTheme="majorBidi" w:cstheme="majorBidi"/>
          <w:sz w:val="24"/>
          <w:szCs w:val="24"/>
        </w:rPr>
        <w:t xml:space="preserve">na </w:t>
      </w:r>
      <w:r w:rsidR="00CA215D" w:rsidRPr="00CD5632">
        <w:rPr>
          <w:rFonts w:asciiTheme="majorBidi" w:hAnsiTheme="majorBidi" w:cstheme="majorBidi"/>
          <w:sz w:val="24"/>
          <w:szCs w:val="24"/>
        </w:rPr>
        <w:t>Nabi</w:t>
      </w:r>
      <w:r w:rsidR="004C10C1" w:rsidRPr="00CD5632">
        <w:rPr>
          <w:rFonts w:asciiTheme="majorBidi" w:hAnsiTheme="majorBidi" w:cstheme="majorBidi"/>
          <w:sz w:val="24"/>
          <w:szCs w:val="24"/>
        </w:rPr>
        <w:t xml:space="preserve">. Oleh karena itu, </w:t>
      </w:r>
      <w:r w:rsidR="0004216A" w:rsidRPr="00CD5632">
        <w:rPr>
          <w:rFonts w:asciiTheme="majorBidi" w:hAnsiTheme="majorBidi" w:cstheme="majorBidi"/>
          <w:sz w:val="24"/>
          <w:szCs w:val="24"/>
        </w:rPr>
        <w:t>m</w:t>
      </w:r>
      <w:r w:rsidR="004C10C1" w:rsidRPr="00CD5632">
        <w:rPr>
          <w:rFonts w:asciiTheme="majorBidi" w:hAnsiTheme="majorBidi" w:cstheme="majorBidi"/>
          <w:sz w:val="24"/>
          <w:szCs w:val="24"/>
        </w:rPr>
        <w:t xml:space="preserve">ufti termasuk </w:t>
      </w:r>
      <w:r w:rsidR="00126744">
        <w:rPr>
          <w:rFonts w:asciiTheme="majorBidi" w:hAnsiTheme="majorBidi" w:cstheme="majorBidi"/>
          <w:i/>
          <w:iCs/>
          <w:sz w:val="24"/>
          <w:szCs w:val="24"/>
        </w:rPr>
        <w:t xml:space="preserve">ulil </w:t>
      </w:r>
      <w:r w:rsidR="00183FBF">
        <w:rPr>
          <w:rFonts w:asciiTheme="majorBidi" w:hAnsiTheme="majorBidi" w:cstheme="majorBidi"/>
          <w:i/>
          <w:iCs/>
          <w:sz w:val="24"/>
          <w:szCs w:val="24"/>
        </w:rPr>
        <w:t>amr</w:t>
      </w:r>
      <w:r w:rsidR="004C10C1" w:rsidRPr="00CD5632">
        <w:rPr>
          <w:rFonts w:asciiTheme="majorBidi" w:hAnsiTheme="majorBidi" w:cstheme="majorBidi"/>
          <w:sz w:val="24"/>
          <w:szCs w:val="24"/>
        </w:rPr>
        <w:t xml:space="preserve"> yang wajib ditaati.</w:t>
      </w:r>
      <w:r w:rsidR="004C10C1">
        <w:rPr>
          <w:rStyle w:val="FootnoteReference"/>
          <w:rFonts w:asciiTheme="majorBidi" w:hAnsiTheme="majorBidi" w:cstheme="majorBidi"/>
          <w:sz w:val="24"/>
          <w:szCs w:val="24"/>
        </w:rPr>
        <w:footnoteReference w:id="16"/>
      </w:r>
      <w:r w:rsidR="004C10C1" w:rsidRPr="00CD5632">
        <w:rPr>
          <w:rFonts w:asciiTheme="majorBidi" w:hAnsiTheme="majorBidi" w:cstheme="majorBidi"/>
          <w:sz w:val="24"/>
          <w:szCs w:val="24"/>
        </w:rPr>
        <w:t xml:space="preserve"> </w:t>
      </w:r>
      <w:r w:rsidR="004C10C1">
        <w:rPr>
          <w:rFonts w:asciiTheme="majorBidi" w:hAnsiTheme="majorBidi" w:cstheme="majorBidi"/>
          <w:sz w:val="24"/>
          <w:szCs w:val="24"/>
        </w:rPr>
        <w:t xml:space="preserve">Taat kepada meraka </w:t>
      </w:r>
      <w:r w:rsidR="004C10C1">
        <w:rPr>
          <w:rFonts w:asciiTheme="majorBidi" w:hAnsiTheme="majorBidi" w:cstheme="majorBidi"/>
          <w:sz w:val="24"/>
          <w:szCs w:val="24"/>
        </w:rPr>
        <w:lastRenderedPageBreak/>
        <w:t>berart</w:t>
      </w:r>
      <w:r w:rsidR="004C10C1" w:rsidRPr="00CD5632">
        <w:rPr>
          <w:rFonts w:asciiTheme="majorBidi" w:hAnsiTheme="majorBidi" w:cstheme="majorBidi"/>
          <w:sz w:val="24"/>
          <w:szCs w:val="24"/>
        </w:rPr>
        <w:t>i taat kepada Allah dan Rasulnya sebagaimana telah ditegaskan oleh Allah</w:t>
      </w:r>
      <w:r w:rsidR="00374BD5">
        <w:rPr>
          <w:rFonts w:asciiTheme="majorBidi" w:hAnsiTheme="majorBidi" w:cstheme="majorBidi"/>
          <w:sz w:val="24"/>
          <w:szCs w:val="24"/>
        </w:rPr>
        <w:t xml:space="preserve"> SWT</w:t>
      </w:r>
      <w:r w:rsidR="004C10C1" w:rsidRPr="00CD5632">
        <w:rPr>
          <w:rFonts w:asciiTheme="majorBidi" w:hAnsiTheme="majorBidi" w:cstheme="majorBidi"/>
          <w:sz w:val="24"/>
          <w:szCs w:val="24"/>
        </w:rPr>
        <w:t xml:space="preserve"> dalam </w:t>
      </w:r>
      <w:r w:rsidR="00972E98">
        <w:rPr>
          <w:rFonts w:asciiTheme="majorBidi" w:hAnsiTheme="majorBidi" w:cstheme="majorBidi"/>
          <w:sz w:val="24"/>
          <w:szCs w:val="24"/>
        </w:rPr>
        <w:t>Al-Qur’ān</w:t>
      </w:r>
      <w:r w:rsidR="004C10C1">
        <w:rPr>
          <w:rFonts w:asciiTheme="majorBidi" w:hAnsiTheme="majorBidi" w:cstheme="majorBidi"/>
          <w:sz w:val="24"/>
          <w:szCs w:val="24"/>
        </w:rPr>
        <w:t xml:space="preserve"> Surat </w:t>
      </w:r>
      <w:r w:rsidR="004C10C1" w:rsidRPr="00CD5632">
        <w:rPr>
          <w:rFonts w:asciiTheme="majorBidi" w:hAnsiTheme="majorBidi" w:cstheme="majorBidi"/>
          <w:sz w:val="24"/>
          <w:szCs w:val="24"/>
        </w:rPr>
        <w:t xml:space="preserve">al-Nisa </w:t>
      </w:r>
      <w:r w:rsidR="004C10C1">
        <w:rPr>
          <w:rFonts w:asciiTheme="majorBidi" w:hAnsiTheme="majorBidi" w:cstheme="majorBidi"/>
          <w:sz w:val="24"/>
          <w:szCs w:val="24"/>
        </w:rPr>
        <w:t xml:space="preserve">ayat </w:t>
      </w:r>
      <w:r w:rsidR="004C10C1" w:rsidRPr="00CD5632">
        <w:rPr>
          <w:rFonts w:asciiTheme="majorBidi" w:hAnsiTheme="majorBidi" w:cstheme="majorBidi"/>
          <w:sz w:val="24"/>
          <w:szCs w:val="24"/>
        </w:rPr>
        <w:t>59 berikut ini:</w:t>
      </w:r>
    </w:p>
    <w:p w:rsidR="004C10C1" w:rsidRPr="009B74A7" w:rsidRDefault="004C10C1" w:rsidP="009B74A7">
      <w:pPr>
        <w:bidi/>
        <w:spacing w:line="240" w:lineRule="auto"/>
        <w:jc w:val="both"/>
        <w:rPr>
          <w:rFonts w:ascii="Adobe نسخ Medium" w:hAnsi="Adobe نسخ Medium" w:cs="Adobe نسخ Medium"/>
          <w:sz w:val="28"/>
          <w:szCs w:val="28"/>
        </w:rPr>
      </w:pPr>
      <w:r w:rsidRPr="009B74A7">
        <w:rPr>
          <w:rFonts w:asciiTheme="majorBidi" w:hAnsiTheme="majorBidi" w:cstheme="majorBidi"/>
          <w:sz w:val="28"/>
          <w:szCs w:val="28"/>
        </w:rPr>
        <w:sym w:font="HQPB1" w:char="F024"/>
      </w:r>
      <w:r w:rsidRPr="009B74A7">
        <w:rPr>
          <w:rFonts w:asciiTheme="majorBidi" w:hAnsiTheme="majorBidi" w:cstheme="majorBidi"/>
          <w:sz w:val="28"/>
          <w:szCs w:val="28"/>
        </w:rPr>
        <w:sym w:font="HQPB5" w:char="F070"/>
      </w:r>
      <w:r w:rsidRPr="009B74A7">
        <w:rPr>
          <w:rFonts w:asciiTheme="majorBidi" w:hAnsiTheme="majorBidi" w:cstheme="majorBidi"/>
          <w:sz w:val="28"/>
          <w:szCs w:val="28"/>
        </w:rPr>
        <w:sym w:font="HQPB2" w:char="F06B"/>
      </w:r>
      <w:r w:rsidRPr="009B74A7">
        <w:rPr>
          <w:rFonts w:asciiTheme="majorBidi" w:hAnsiTheme="majorBidi" w:cstheme="majorBidi"/>
          <w:sz w:val="28"/>
          <w:szCs w:val="28"/>
        </w:rPr>
        <w:sym w:font="HQPB4" w:char="F09A"/>
      </w:r>
      <w:r w:rsidRPr="009B74A7">
        <w:rPr>
          <w:rFonts w:asciiTheme="majorBidi" w:hAnsiTheme="majorBidi" w:cstheme="majorBidi"/>
          <w:sz w:val="28"/>
          <w:szCs w:val="28"/>
        </w:rPr>
        <w:sym w:font="HQPB2" w:char="F089"/>
      </w:r>
      <w:r w:rsidRPr="009B74A7">
        <w:rPr>
          <w:rFonts w:asciiTheme="majorBidi" w:hAnsiTheme="majorBidi" w:cstheme="majorBidi"/>
          <w:sz w:val="28"/>
          <w:szCs w:val="28"/>
        </w:rPr>
        <w:sym w:font="HQPB5" w:char="F072"/>
      </w:r>
      <w:r w:rsidRPr="009B74A7">
        <w:rPr>
          <w:rFonts w:asciiTheme="majorBidi" w:hAnsiTheme="majorBidi" w:cstheme="majorBidi"/>
          <w:sz w:val="28"/>
          <w:szCs w:val="28"/>
        </w:rPr>
        <w:sym w:font="HQPB1" w:char="F027"/>
      </w:r>
      <w:r w:rsidRPr="009B74A7">
        <w:rPr>
          <w:rFonts w:asciiTheme="majorBidi" w:hAnsiTheme="majorBidi" w:cstheme="majorBidi"/>
          <w:sz w:val="28"/>
          <w:szCs w:val="28"/>
        </w:rPr>
        <w:sym w:font="HQPB5" w:char="F0AF"/>
      </w:r>
      <w:r w:rsidRPr="009B74A7">
        <w:rPr>
          <w:rFonts w:asciiTheme="majorBidi" w:hAnsiTheme="majorBidi" w:cstheme="majorBidi"/>
          <w:sz w:val="28"/>
          <w:szCs w:val="28"/>
        </w:rPr>
        <w:sym w:font="HQPB2" w:char="F0BB"/>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2" w:char="F083"/>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2" w:char="F0FB"/>
      </w:r>
      <w:r w:rsidRPr="009B74A7">
        <w:rPr>
          <w:rFonts w:asciiTheme="majorBidi" w:hAnsiTheme="majorBidi" w:cstheme="majorBidi"/>
          <w:sz w:val="28"/>
          <w:szCs w:val="28"/>
        </w:rPr>
        <w:sym w:font="HQPB2" w:char="F0EF"/>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3" w:char="F025"/>
      </w:r>
      <w:r w:rsidRPr="009B74A7">
        <w:rPr>
          <w:rFonts w:asciiTheme="majorBidi" w:hAnsiTheme="majorBidi" w:cstheme="majorBidi"/>
          <w:sz w:val="28"/>
          <w:szCs w:val="28"/>
        </w:rPr>
        <w:sym w:font="HQPB4" w:char="F0A9"/>
      </w:r>
      <w:r w:rsidRPr="009B74A7">
        <w:rPr>
          <w:rFonts w:asciiTheme="majorBidi" w:hAnsiTheme="majorBidi" w:cstheme="majorBidi"/>
          <w:sz w:val="28"/>
          <w:szCs w:val="28"/>
        </w:rPr>
        <w:sym w:font="HQPB3" w:char="F021"/>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28"/>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4" w:char="F0FE"/>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E3"/>
      </w:r>
      <w:r w:rsidRPr="009B74A7">
        <w:rPr>
          <w:rFonts w:asciiTheme="majorBidi" w:hAnsiTheme="majorBidi" w:cstheme="majorBidi"/>
          <w:sz w:val="28"/>
          <w:szCs w:val="28"/>
        </w:rPr>
        <w:sym w:font="HQPB2" w:char="F059"/>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2" w:char="F042"/>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E4"/>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28"/>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E3"/>
      </w:r>
      <w:r w:rsidRPr="009B74A7">
        <w:rPr>
          <w:rFonts w:asciiTheme="majorBidi" w:hAnsiTheme="majorBidi" w:cstheme="majorBidi"/>
          <w:sz w:val="28"/>
          <w:szCs w:val="28"/>
        </w:rPr>
        <w:sym w:font="HQPB1" w:char="F0E8"/>
      </w:r>
      <w:r w:rsidRPr="009B74A7">
        <w:rPr>
          <w:rFonts w:asciiTheme="majorBidi" w:hAnsiTheme="majorBidi" w:cstheme="majorBidi"/>
          <w:sz w:val="28"/>
          <w:szCs w:val="28"/>
        </w:rPr>
        <w:sym w:font="HQPB2" w:char="F08B"/>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1" w:char="F0DB"/>
      </w:r>
      <w:r w:rsidRPr="009B74A7">
        <w:rPr>
          <w:rFonts w:asciiTheme="majorBidi" w:hAnsiTheme="majorBidi" w:cstheme="majorBidi"/>
          <w:sz w:val="28"/>
          <w:szCs w:val="28"/>
        </w:rPr>
        <w:sym w:font="HQPB5" w:char="F072"/>
      </w:r>
      <w:r w:rsidRPr="009B74A7">
        <w:rPr>
          <w:rFonts w:asciiTheme="majorBidi" w:hAnsiTheme="majorBidi" w:cstheme="majorBidi"/>
          <w:sz w:val="28"/>
          <w:szCs w:val="28"/>
        </w:rPr>
        <w:sym w:font="HQPB1" w:char="F026"/>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A9"/>
      </w:r>
      <w:r w:rsidR="00966144" w:rsidRPr="009B74A7">
        <w:rPr>
          <w:rFonts w:ascii="Adobe نسخ Medium" w:hAnsi="Adobe نسخ Medium" w:cs="Adobe نسخ Medium"/>
          <w:sz w:val="28"/>
          <w:szCs w:val="28"/>
          <w:rtl/>
        </w:rPr>
        <w:t>اللهِ</w:t>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28"/>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E3"/>
      </w:r>
      <w:r w:rsidRPr="009B74A7">
        <w:rPr>
          <w:rFonts w:asciiTheme="majorBidi" w:hAnsiTheme="majorBidi" w:cstheme="majorBidi"/>
          <w:sz w:val="28"/>
          <w:szCs w:val="28"/>
        </w:rPr>
        <w:sym w:font="HQPB1" w:char="F0E8"/>
      </w:r>
      <w:r w:rsidRPr="009B74A7">
        <w:rPr>
          <w:rFonts w:asciiTheme="majorBidi" w:hAnsiTheme="majorBidi" w:cstheme="majorBidi"/>
          <w:sz w:val="28"/>
          <w:szCs w:val="28"/>
        </w:rPr>
        <w:sym w:font="HQPB2" w:char="F08B"/>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1" w:char="F0DB"/>
      </w:r>
      <w:r w:rsidRPr="009B74A7">
        <w:rPr>
          <w:rFonts w:asciiTheme="majorBidi" w:hAnsiTheme="majorBidi" w:cstheme="majorBidi"/>
          <w:sz w:val="28"/>
          <w:szCs w:val="28"/>
        </w:rPr>
        <w:sym w:font="HQPB5" w:char="F072"/>
      </w:r>
      <w:r w:rsidRPr="009B74A7">
        <w:rPr>
          <w:rFonts w:asciiTheme="majorBidi" w:hAnsiTheme="majorBidi" w:cstheme="majorBidi"/>
          <w:sz w:val="28"/>
          <w:szCs w:val="28"/>
        </w:rPr>
        <w:sym w:font="HQPB1" w:char="F026"/>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7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2" w:char="F041"/>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DF"/>
      </w:r>
      <w:r w:rsidRPr="009B74A7">
        <w:rPr>
          <w:rFonts w:asciiTheme="majorBidi" w:hAnsiTheme="majorBidi" w:cstheme="majorBidi"/>
          <w:sz w:val="28"/>
          <w:szCs w:val="28"/>
        </w:rPr>
        <w:sym w:font="HQPB1" w:char="F099"/>
      </w:r>
      <w:r w:rsidRPr="009B74A7">
        <w:rPr>
          <w:rFonts w:asciiTheme="majorBidi" w:hAnsiTheme="majorBidi" w:cstheme="majorBidi"/>
          <w:sz w:val="28"/>
          <w:szCs w:val="28"/>
        </w:rPr>
        <w:sym w:font="HQPB4" w:char="F0A7"/>
      </w:r>
      <w:r w:rsidRPr="009B74A7">
        <w:rPr>
          <w:rFonts w:asciiTheme="majorBidi" w:hAnsiTheme="majorBidi" w:cstheme="majorBidi"/>
          <w:sz w:val="28"/>
          <w:szCs w:val="28"/>
        </w:rPr>
        <w:sym w:font="HQPB1" w:char="F08D"/>
      </w:r>
      <w:r w:rsidRPr="009B74A7">
        <w:rPr>
          <w:rFonts w:asciiTheme="majorBidi" w:hAnsiTheme="majorBidi" w:cstheme="majorBidi"/>
          <w:sz w:val="28"/>
          <w:szCs w:val="28"/>
        </w:rPr>
        <w:sym w:font="HQPB2" w:char="F039"/>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2" w:char="F092"/>
      </w:r>
      <w:r w:rsidRPr="009B74A7">
        <w:rPr>
          <w:rFonts w:asciiTheme="majorBidi" w:hAnsiTheme="majorBidi" w:cstheme="majorBidi"/>
          <w:sz w:val="28"/>
          <w:szCs w:val="28"/>
        </w:rPr>
        <w:sym w:font="HQPB4" w:char="F0CD"/>
      </w:r>
      <w:r w:rsidRPr="009B74A7">
        <w:rPr>
          <w:rFonts w:asciiTheme="majorBidi" w:hAnsiTheme="majorBidi" w:cstheme="majorBidi"/>
          <w:sz w:val="28"/>
          <w:szCs w:val="28"/>
        </w:rPr>
        <w:sym w:font="HQPB2" w:char="F03C"/>
      </w:r>
      <w:r w:rsidRPr="009B74A7">
        <w:rPr>
          <w:rFonts w:asciiTheme="majorBidi" w:hAnsiTheme="majorBidi" w:cstheme="majorBidi"/>
          <w:sz w:val="28"/>
          <w:szCs w:val="28"/>
        </w:rPr>
        <w:sym w:font="HQPB5" w:char="F027"/>
      </w:r>
      <w:r w:rsidRPr="009B74A7">
        <w:rPr>
          <w:rFonts w:asciiTheme="majorBidi" w:hAnsiTheme="majorBidi" w:cstheme="majorBidi"/>
          <w:sz w:val="28"/>
          <w:szCs w:val="28"/>
        </w:rPr>
        <w:sym w:font="HQPB2" w:char="F072"/>
      </w:r>
      <w:r w:rsidRPr="009B74A7">
        <w:rPr>
          <w:rFonts w:asciiTheme="majorBidi" w:hAnsiTheme="majorBidi" w:cstheme="majorBidi"/>
          <w:sz w:val="28"/>
          <w:szCs w:val="28"/>
        </w:rPr>
        <w:sym w:font="HQPB4" w:char="F0E9"/>
      </w:r>
      <w:r w:rsidRPr="009B74A7">
        <w:rPr>
          <w:rFonts w:asciiTheme="majorBidi" w:hAnsiTheme="majorBidi" w:cstheme="majorBidi"/>
          <w:sz w:val="28"/>
          <w:szCs w:val="28"/>
        </w:rPr>
        <w:sym w:font="HQPB1" w:char="F026"/>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7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CD"/>
      </w:r>
      <w:r w:rsidRPr="009B74A7">
        <w:rPr>
          <w:rFonts w:asciiTheme="majorBidi" w:hAnsiTheme="majorBidi" w:cstheme="majorBidi"/>
          <w:sz w:val="28"/>
          <w:szCs w:val="28"/>
        </w:rPr>
        <w:sym w:font="HQPB1" w:char="F090"/>
      </w:r>
      <w:r w:rsidRPr="009B74A7">
        <w:rPr>
          <w:rFonts w:asciiTheme="majorBidi" w:hAnsiTheme="majorBidi" w:cstheme="majorBidi"/>
          <w:sz w:val="28"/>
          <w:szCs w:val="28"/>
        </w:rPr>
        <w:sym w:font="HQPB4" w:char="F0F6"/>
      </w:r>
      <w:r w:rsidRPr="009B74A7">
        <w:rPr>
          <w:rFonts w:asciiTheme="majorBidi" w:hAnsiTheme="majorBidi" w:cstheme="majorBidi"/>
          <w:sz w:val="28"/>
          <w:szCs w:val="28"/>
        </w:rPr>
        <w:sym w:font="HQPB2" w:char="F044"/>
      </w:r>
      <w:r w:rsidRPr="009B74A7">
        <w:rPr>
          <w:rFonts w:asciiTheme="majorBidi" w:hAnsiTheme="majorBidi" w:cstheme="majorBidi"/>
          <w:sz w:val="28"/>
          <w:szCs w:val="28"/>
        </w:rPr>
        <w:sym w:font="HQPB5" w:char="F046"/>
      </w:r>
      <w:r w:rsidRPr="009B74A7">
        <w:rPr>
          <w:rFonts w:asciiTheme="majorBidi" w:hAnsiTheme="majorBidi" w:cstheme="majorBidi"/>
          <w:sz w:val="28"/>
          <w:szCs w:val="28"/>
        </w:rPr>
        <w:sym w:font="HQPB2" w:char="F07B"/>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F3"/>
      </w:r>
      <w:r w:rsidRPr="009B74A7">
        <w:rPr>
          <w:rFonts w:asciiTheme="majorBidi" w:hAnsiTheme="majorBidi" w:cstheme="majorBidi"/>
          <w:sz w:val="28"/>
          <w:szCs w:val="28"/>
        </w:rPr>
        <w:sym w:font="HQPB2" w:char="F04F"/>
      </w:r>
      <w:r w:rsidRPr="009B74A7">
        <w:rPr>
          <w:rFonts w:asciiTheme="majorBidi" w:hAnsiTheme="majorBidi" w:cstheme="majorBidi"/>
          <w:sz w:val="28"/>
          <w:szCs w:val="28"/>
        </w:rPr>
        <w:sym w:font="HQPB4" w:char="F0E4"/>
      </w:r>
      <w:r w:rsidRPr="009B74A7">
        <w:rPr>
          <w:rFonts w:asciiTheme="majorBidi" w:hAnsiTheme="majorBidi" w:cstheme="majorBidi"/>
          <w:sz w:val="28"/>
          <w:szCs w:val="28"/>
        </w:rPr>
        <w:sym w:font="HQPB2" w:char="F033"/>
      </w:r>
      <w:r w:rsidRPr="009B74A7">
        <w:rPr>
          <w:rFonts w:asciiTheme="majorBidi" w:hAnsiTheme="majorBidi" w:cstheme="majorBidi"/>
          <w:sz w:val="28"/>
          <w:szCs w:val="28"/>
        </w:rPr>
        <w:sym w:font="HQPB2" w:char="F05A"/>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2" w:char="F04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28"/>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2" w:char="F062"/>
      </w:r>
      <w:r w:rsidRPr="009B74A7">
        <w:rPr>
          <w:rFonts w:asciiTheme="majorBidi" w:hAnsiTheme="majorBidi" w:cstheme="majorBidi"/>
          <w:sz w:val="28"/>
          <w:szCs w:val="28"/>
        </w:rPr>
        <w:sym w:font="HQPB4" w:char="F0CE"/>
      </w:r>
      <w:r w:rsidRPr="009B74A7">
        <w:rPr>
          <w:rFonts w:asciiTheme="majorBidi" w:hAnsiTheme="majorBidi" w:cstheme="majorBidi"/>
          <w:sz w:val="28"/>
          <w:szCs w:val="28"/>
        </w:rPr>
        <w:sym w:font="HQPB1" w:char="F02A"/>
      </w:r>
      <w:r w:rsidRPr="009B74A7">
        <w:rPr>
          <w:rFonts w:asciiTheme="majorBidi" w:hAnsiTheme="majorBidi" w:cstheme="majorBidi"/>
          <w:sz w:val="28"/>
          <w:szCs w:val="28"/>
        </w:rPr>
        <w:sym w:font="HQPB5" w:char="F073"/>
      </w:r>
      <w:r w:rsidRPr="009B74A7">
        <w:rPr>
          <w:rFonts w:asciiTheme="majorBidi" w:hAnsiTheme="majorBidi" w:cstheme="majorBidi"/>
          <w:sz w:val="28"/>
          <w:szCs w:val="28"/>
        </w:rPr>
        <w:sym w:font="HQPB1" w:char="F0F9"/>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F7"/>
      </w:r>
      <w:r w:rsidRPr="009B74A7">
        <w:rPr>
          <w:rFonts w:asciiTheme="majorBidi" w:hAnsiTheme="majorBidi" w:cstheme="majorBidi"/>
          <w:sz w:val="28"/>
          <w:szCs w:val="28"/>
        </w:rPr>
        <w:sym w:font="HQPB2" w:char="F04C"/>
      </w:r>
      <w:r w:rsidRPr="009B74A7">
        <w:rPr>
          <w:rFonts w:asciiTheme="majorBidi" w:hAnsiTheme="majorBidi" w:cstheme="majorBidi"/>
          <w:sz w:val="28"/>
          <w:szCs w:val="28"/>
        </w:rPr>
        <w:sym w:font="HQPB4" w:char="F0E4"/>
      </w:r>
      <w:r w:rsidRPr="009B74A7">
        <w:rPr>
          <w:rFonts w:asciiTheme="majorBidi" w:hAnsiTheme="majorBidi" w:cstheme="majorBidi"/>
          <w:sz w:val="28"/>
          <w:szCs w:val="28"/>
        </w:rPr>
        <w:sym w:font="HQPB2" w:char="F0EA"/>
      </w:r>
      <w:r w:rsidRPr="009B74A7">
        <w:rPr>
          <w:rFonts w:asciiTheme="majorBidi" w:hAnsiTheme="majorBidi" w:cstheme="majorBidi"/>
          <w:sz w:val="28"/>
          <w:szCs w:val="28"/>
        </w:rPr>
        <w:sym w:font="HQPB4" w:char="F0F4"/>
      </w:r>
      <w:r w:rsidRPr="009B74A7">
        <w:rPr>
          <w:rFonts w:asciiTheme="majorBidi" w:hAnsiTheme="majorBidi" w:cstheme="majorBidi"/>
          <w:sz w:val="28"/>
          <w:szCs w:val="28"/>
        </w:rPr>
        <w:sym w:font="HQPB1" w:char="F0E3"/>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1" w:char="F093"/>
      </w:r>
      <w:r w:rsidRPr="009B74A7">
        <w:rPr>
          <w:rFonts w:asciiTheme="majorBidi" w:hAnsiTheme="majorBidi" w:cstheme="majorBidi"/>
          <w:sz w:val="28"/>
          <w:szCs w:val="28"/>
        </w:rPr>
        <w:sym w:font="HQPB2" w:char="F0BB"/>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5A"/>
      </w:r>
      <w:r w:rsidRPr="009B74A7">
        <w:rPr>
          <w:rFonts w:asciiTheme="majorBidi" w:hAnsiTheme="majorBidi" w:cstheme="majorBidi"/>
          <w:sz w:val="28"/>
          <w:szCs w:val="28"/>
        </w:rPr>
        <w:sym w:font="HQPB5" w:char="F073"/>
      </w:r>
      <w:r w:rsidRPr="009B74A7">
        <w:rPr>
          <w:rFonts w:asciiTheme="majorBidi" w:hAnsiTheme="majorBidi" w:cstheme="majorBidi"/>
          <w:sz w:val="28"/>
          <w:szCs w:val="28"/>
        </w:rPr>
        <w:sym w:font="HQPB1" w:char="F03F"/>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2" w:char="F092"/>
      </w:r>
      <w:r w:rsidRPr="009B74A7">
        <w:rPr>
          <w:rFonts w:asciiTheme="majorBidi" w:hAnsiTheme="majorBidi" w:cstheme="majorBidi"/>
          <w:sz w:val="28"/>
          <w:szCs w:val="28"/>
        </w:rPr>
        <w:sym w:font="HQPB4" w:char="F0CE"/>
      </w:r>
      <w:r w:rsidRPr="009B74A7">
        <w:rPr>
          <w:rFonts w:asciiTheme="majorBidi" w:hAnsiTheme="majorBidi" w:cstheme="majorBidi"/>
          <w:sz w:val="28"/>
          <w:szCs w:val="28"/>
        </w:rPr>
        <w:sym w:font="HQPB1" w:char="F0FB"/>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26"/>
      </w:r>
      <w:r w:rsidRPr="009B74A7">
        <w:rPr>
          <w:rFonts w:asciiTheme="majorBidi" w:hAnsiTheme="majorBidi" w:cstheme="majorBidi"/>
          <w:sz w:val="28"/>
          <w:szCs w:val="28"/>
        </w:rPr>
        <w:sym w:font="HQPB2" w:char="F0E4"/>
      </w:r>
      <w:r w:rsidRPr="009B74A7">
        <w:rPr>
          <w:rFonts w:asciiTheme="majorBidi" w:hAnsiTheme="majorBidi" w:cstheme="majorBidi"/>
          <w:sz w:val="28"/>
          <w:szCs w:val="28"/>
        </w:rPr>
        <w:sym w:font="HQPB4" w:char="F0F3"/>
      </w:r>
      <w:r w:rsidRPr="009B74A7">
        <w:rPr>
          <w:rFonts w:asciiTheme="majorBidi" w:hAnsiTheme="majorBidi" w:cstheme="majorBidi"/>
          <w:sz w:val="28"/>
          <w:szCs w:val="28"/>
        </w:rPr>
        <w:sym w:font="HQPB2" w:char="F0D3"/>
      </w:r>
      <w:r w:rsidRPr="009B74A7">
        <w:rPr>
          <w:rFonts w:asciiTheme="majorBidi" w:hAnsiTheme="majorBidi" w:cstheme="majorBidi"/>
          <w:sz w:val="28"/>
          <w:szCs w:val="28"/>
        </w:rPr>
        <w:sym w:font="HQPB5" w:char="F078"/>
      </w:r>
      <w:r w:rsidRPr="009B74A7">
        <w:rPr>
          <w:rFonts w:asciiTheme="majorBidi" w:hAnsiTheme="majorBidi" w:cstheme="majorBidi"/>
          <w:sz w:val="28"/>
          <w:szCs w:val="28"/>
        </w:rPr>
        <w:sym w:font="HQPB1" w:char="F0AB"/>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E7"/>
      </w:r>
      <w:r w:rsidRPr="009B74A7">
        <w:rPr>
          <w:rFonts w:asciiTheme="majorBidi" w:hAnsiTheme="majorBidi" w:cstheme="majorBidi"/>
          <w:sz w:val="28"/>
          <w:szCs w:val="28"/>
        </w:rPr>
        <w:sym w:font="HQPB2" w:char="F06E"/>
      </w:r>
      <w:r w:rsidRPr="009B74A7">
        <w:rPr>
          <w:rFonts w:asciiTheme="majorBidi" w:hAnsiTheme="majorBidi" w:cstheme="majorBidi"/>
          <w:sz w:val="28"/>
          <w:szCs w:val="28"/>
        </w:rPr>
        <w:sym w:font="HQPB2" w:char="F072"/>
      </w:r>
      <w:r w:rsidRPr="009B74A7">
        <w:rPr>
          <w:rFonts w:asciiTheme="majorBidi" w:hAnsiTheme="majorBidi" w:cstheme="majorBidi"/>
          <w:sz w:val="28"/>
          <w:szCs w:val="28"/>
        </w:rPr>
        <w:sym w:font="HQPB4" w:char="F096"/>
      </w:r>
      <w:r w:rsidRPr="009B74A7">
        <w:rPr>
          <w:rFonts w:asciiTheme="majorBidi" w:hAnsiTheme="majorBidi" w:cstheme="majorBidi"/>
          <w:sz w:val="28"/>
          <w:szCs w:val="28"/>
        </w:rPr>
        <w:sym w:font="HQPB1" w:char="F08A"/>
      </w:r>
      <w:r w:rsidRPr="009B74A7">
        <w:rPr>
          <w:rFonts w:asciiTheme="majorBidi" w:hAnsiTheme="majorBidi" w:cstheme="majorBidi"/>
          <w:sz w:val="28"/>
          <w:szCs w:val="28"/>
        </w:rPr>
        <w:sym w:font="HQPB4" w:char="F0E3"/>
      </w:r>
      <w:r w:rsidRPr="009B74A7">
        <w:rPr>
          <w:rFonts w:asciiTheme="majorBidi" w:hAnsiTheme="majorBidi" w:cstheme="majorBidi"/>
          <w:sz w:val="28"/>
          <w:szCs w:val="28"/>
        </w:rPr>
        <w:sym w:font="HQPB1" w:char="F08D"/>
      </w:r>
      <w:r w:rsidRPr="009B74A7">
        <w:rPr>
          <w:rFonts w:asciiTheme="majorBidi" w:hAnsiTheme="majorBidi" w:cstheme="majorBidi"/>
          <w:sz w:val="28"/>
          <w:szCs w:val="28"/>
        </w:rPr>
        <w:sym w:font="HQPB5" w:char="F073"/>
      </w:r>
      <w:r w:rsidRPr="009B74A7">
        <w:rPr>
          <w:rFonts w:asciiTheme="majorBidi" w:hAnsiTheme="majorBidi" w:cstheme="majorBidi"/>
          <w:sz w:val="28"/>
          <w:szCs w:val="28"/>
        </w:rPr>
        <w:sym w:font="HQPB1" w:char="F0F9"/>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2" w:char="F092"/>
      </w:r>
      <w:r w:rsidRPr="009B74A7">
        <w:rPr>
          <w:rFonts w:asciiTheme="majorBidi" w:hAnsiTheme="majorBidi" w:cstheme="majorBidi"/>
          <w:sz w:val="28"/>
          <w:szCs w:val="28"/>
        </w:rPr>
        <w:sym w:font="HQPB5" w:char="F06E"/>
      </w:r>
      <w:r w:rsidRPr="009B74A7">
        <w:rPr>
          <w:rFonts w:asciiTheme="majorBidi" w:hAnsiTheme="majorBidi" w:cstheme="majorBidi"/>
          <w:sz w:val="28"/>
          <w:szCs w:val="28"/>
        </w:rPr>
        <w:sym w:font="HQPB2" w:char="F03C"/>
      </w:r>
      <w:r w:rsidRPr="009B74A7">
        <w:rPr>
          <w:rFonts w:asciiTheme="majorBidi" w:hAnsiTheme="majorBidi" w:cstheme="majorBidi"/>
          <w:sz w:val="28"/>
          <w:szCs w:val="28"/>
        </w:rPr>
        <w:sym w:font="HQPB4" w:char="F0CE"/>
      </w:r>
      <w:r w:rsidRPr="009B74A7">
        <w:rPr>
          <w:rFonts w:asciiTheme="majorBidi" w:hAnsiTheme="majorBidi" w:cstheme="majorBidi"/>
          <w:sz w:val="28"/>
          <w:szCs w:val="28"/>
        </w:rPr>
        <w:sym w:font="HQPB1" w:char="F029"/>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AB"/>
      </w:r>
      <w:r w:rsidR="009D028C" w:rsidRPr="009B74A7">
        <w:rPr>
          <w:rFonts w:asciiTheme="majorBidi" w:hAnsiTheme="majorBidi" w:cstheme="majorBidi"/>
          <w:sz w:val="28"/>
          <w:szCs w:val="28"/>
          <w:rtl/>
        </w:rPr>
        <w:t xml:space="preserve"> </w:t>
      </w:r>
      <w:r w:rsidR="00966144" w:rsidRPr="009B74A7">
        <w:rPr>
          <w:rFonts w:ascii="Adobe نسخ Medium" w:hAnsi="Adobe نسخ Medium" w:cs="Adobe نسخ Medium"/>
          <w:sz w:val="28"/>
          <w:szCs w:val="28"/>
          <w:rtl/>
        </w:rPr>
        <w:t>اللهِ</w:t>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C9"/>
      </w:r>
      <w:r w:rsidRPr="009B74A7">
        <w:rPr>
          <w:rFonts w:asciiTheme="majorBidi" w:hAnsiTheme="majorBidi" w:cstheme="majorBidi"/>
          <w:sz w:val="28"/>
          <w:szCs w:val="28"/>
        </w:rPr>
        <w:sym w:font="HQPB2" w:char="F041"/>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DF"/>
      </w:r>
      <w:r w:rsidRPr="009B74A7">
        <w:rPr>
          <w:rFonts w:asciiTheme="majorBidi" w:hAnsiTheme="majorBidi" w:cstheme="majorBidi"/>
          <w:sz w:val="28"/>
          <w:szCs w:val="28"/>
        </w:rPr>
        <w:sym w:font="HQPB1" w:char="F099"/>
      </w:r>
      <w:r w:rsidRPr="009B74A7">
        <w:rPr>
          <w:rFonts w:asciiTheme="majorBidi" w:hAnsiTheme="majorBidi" w:cstheme="majorBidi"/>
          <w:sz w:val="28"/>
          <w:szCs w:val="28"/>
        </w:rPr>
        <w:sym w:font="HQPB4" w:char="F0A7"/>
      </w:r>
      <w:r w:rsidRPr="009B74A7">
        <w:rPr>
          <w:rFonts w:asciiTheme="majorBidi" w:hAnsiTheme="majorBidi" w:cstheme="majorBidi"/>
          <w:sz w:val="28"/>
          <w:szCs w:val="28"/>
        </w:rPr>
        <w:sym w:font="HQPB1" w:char="F08D"/>
      </w:r>
      <w:r w:rsidRPr="009B74A7">
        <w:rPr>
          <w:rFonts w:asciiTheme="majorBidi" w:hAnsiTheme="majorBidi" w:cstheme="majorBidi"/>
          <w:sz w:val="28"/>
          <w:szCs w:val="28"/>
        </w:rPr>
        <w:sym w:font="HQPB2" w:char="F039"/>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7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2" w:char="F062"/>
      </w:r>
      <w:r w:rsidRPr="009B74A7">
        <w:rPr>
          <w:rFonts w:asciiTheme="majorBidi" w:hAnsiTheme="majorBidi" w:cstheme="majorBidi"/>
          <w:sz w:val="28"/>
          <w:szCs w:val="28"/>
        </w:rPr>
        <w:sym w:font="HQPB4" w:char="F0CE"/>
      </w:r>
      <w:r w:rsidRPr="009B74A7">
        <w:rPr>
          <w:rFonts w:asciiTheme="majorBidi" w:hAnsiTheme="majorBidi" w:cstheme="majorBidi"/>
          <w:sz w:val="28"/>
          <w:szCs w:val="28"/>
        </w:rPr>
        <w:sym w:font="HQPB1" w:char="F029"/>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F7"/>
      </w:r>
      <w:r w:rsidRPr="009B74A7">
        <w:rPr>
          <w:rFonts w:asciiTheme="majorBidi" w:hAnsiTheme="majorBidi" w:cstheme="majorBidi"/>
          <w:sz w:val="28"/>
          <w:szCs w:val="28"/>
        </w:rPr>
        <w:sym w:font="HQPB2" w:char="F04C"/>
      </w:r>
      <w:r w:rsidRPr="009B74A7">
        <w:rPr>
          <w:rFonts w:asciiTheme="majorBidi" w:hAnsiTheme="majorBidi" w:cstheme="majorBidi"/>
          <w:sz w:val="28"/>
          <w:szCs w:val="28"/>
        </w:rPr>
        <w:sym w:font="HQPB4" w:char="F0E4"/>
      </w:r>
      <w:r w:rsidRPr="009B74A7">
        <w:rPr>
          <w:rFonts w:asciiTheme="majorBidi" w:hAnsiTheme="majorBidi" w:cstheme="majorBidi"/>
          <w:sz w:val="28"/>
          <w:szCs w:val="28"/>
        </w:rPr>
        <w:sym w:font="HQPB2" w:char="F0EA"/>
      </w:r>
      <w:r w:rsidRPr="009B74A7">
        <w:rPr>
          <w:rFonts w:asciiTheme="majorBidi" w:hAnsiTheme="majorBidi" w:cstheme="majorBidi"/>
          <w:sz w:val="28"/>
          <w:szCs w:val="28"/>
        </w:rPr>
        <w:sym w:font="HQPB2" w:char="F059"/>
      </w:r>
      <w:r w:rsidRPr="009B74A7">
        <w:rPr>
          <w:rFonts w:asciiTheme="majorBidi" w:hAnsiTheme="majorBidi" w:cstheme="majorBidi"/>
          <w:sz w:val="28"/>
          <w:szCs w:val="28"/>
        </w:rPr>
        <w:sym w:font="HQPB4" w:char="F0E4"/>
      </w:r>
      <w:r w:rsidRPr="009B74A7">
        <w:rPr>
          <w:rFonts w:asciiTheme="majorBidi" w:hAnsiTheme="majorBidi" w:cstheme="majorBidi"/>
          <w:sz w:val="28"/>
          <w:szCs w:val="28"/>
        </w:rPr>
        <w:sym w:font="HQPB2" w:char="F02E"/>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74"/>
      </w:r>
      <w:r w:rsidRPr="009B74A7">
        <w:rPr>
          <w:rFonts w:asciiTheme="majorBidi" w:hAnsiTheme="majorBidi" w:cstheme="majorBidi"/>
          <w:sz w:val="28"/>
          <w:szCs w:val="28"/>
        </w:rPr>
        <w:sym w:font="HQPB2" w:char="F062"/>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4" w:char="F0E3"/>
      </w:r>
      <w:r w:rsidRPr="009B74A7">
        <w:rPr>
          <w:rFonts w:asciiTheme="majorBidi" w:hAnsiTheme="majorBidi" w:cstheme="majorBidi"/>
          <w:sz w:val="28"/>
          <w:szCs w:val="28"/>
        </w:rPr>
        <w:sym w:font="HQPB2" w:char="F05A"/>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2" w:char="F042"/>
      </w:r>
      <w:r w:rsidRPr="009B74A7">
        <w:rPr>
          <w:rFonts w:asciiTheme="majorBidi" w:hAnsiTheme="majorBidi" w:cstheme="majorBidi"/>
          <w:sz w:val="28"/>
          <w:szCs w:val="28"/>
        </w:rPr>
        <w:sym w:font="HQPB4" w:char="F0F7"/>
      </w:r>
      <w:r w:rsidRPr="009B74A7">
        <w:rPr>
          <w:rFonts w:asciiTheme="majorBidi" w:hAnsiTheme="majorBidi" w:cstheme="majorBidi"/>
          <w:sz w:val="28"/>
          <w:szCs w:val="28"/>
        </w:rPr>
        <w:sym w:font="HQPB2" w:char="F073"/>
      </w:r>
      <w:r w:rsidRPr="009B74A7">
        <w:rPr>
          <w:rFonts w:asciiTheme="majorBidi" w:hAnsiTheme="majorBidi" w:cstheme="majorBidi"/>
          <w:sz w:val="28"/>
          <w:szCs w:val="28"/>
        </w:rPr>
        <w:sym w:font="HQPB4" w:char="F0E8"/>
      </w:r>
      <w:r w:rsidRPr="009B74A7">
        <w:rPr>
          <w:rFonts w:asciiTheme="majorBidi" w:hAnsiTheme="majorBidi" w:cstheme="majorBidi"/>
          <w:sz w:val="28"/>
          <w:szCs w:val="28"/>
        </w:rPr>
        <w:sym w:font="HQPB1" w:char="F03F"/>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4"/>
      </w:r>
      <w:r w:rsidRPr="009B74A7">
        <w:rPr>
          <w:rFonts w:asciiTheme="majorBidi" w:hAnsiTheme="majorBidi" w:cstheme="majorBidi"/>
          <w:sz w:val="28"/>
          <w:szCs w:val="28"/>
        </w:rPr>
        <w:sym w:font="HQPB4" w:char="F0CE"/>
      </w:r>
      <w:r w:rsidRPr="009B74A7">
        <w:rPr>
          <w:rFonts w:asciiTheme="majorBidi" w:hAnsiTheme="majorBidi" w:cstheme="majorBidi"/>
          <w:sz w:val="28"/>
          <w:szCs w:val="28"/>
        </w:rPr>
        <w:sym w:font="HQPB1" w:char="F02F"/>
      </w:r>
      <w:r w:rsidR="00E0405C" w:rsidRPr="009B74A7">
        <w:rPr>
          <w:rFonts w:asciiTheme="majorBidi" w:hAnsiTheme="majorBidi" w:cstheme="majorBidi"/>
          <w:sz w:val="28"/>
          <w:szCs w:val="28"/>
          <w:rtl/>
        </w:rPr>
        <w:t xml:space="preserve">للهِ </w:t>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2" w:char="F051"/>
      </w:r>
      <w:r w:rsidRPr="009B74A7">
        <w:rPr>
          <w:rFonts w:asciiTheme="majorBidi" w:hAnsiTheme="majorBidi" w:cstheme="majorBidi"/>
          <w:sz w:val="28"/>
          <w:szCs w:val="28"/>
        </w:rPr>
        <w:sym w:font="HQPB4" w:char="F0F6"/>
      </w:r>
      <w:r w:rsidRPr="009B74A7">
        <w:rPr>
          <w:rFonts w:asciiTheme="majorBidi" w:hAnsiTheme="majorBidi" w:cstheme="majorBidi"/>
          <w:sz w:val="28"/>
          <w:szCs w:val="28"/>
        </w:rPr>
        <w:sym w:font="HQPB2" w:char="F071"/>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8B"/>
      </w:r>
      <w:r w:rsidRPr="009B74A7">
        <w:rPr>
          <w:rFonts w:asciiTheme="majorBidi" w:hAnsiTheme="majorBidi" w:cstheme="majorBidi"/>
          <w:sz w:val="28"/>
          <w:szCs w:val="28"/>
        </w:rPr>
        <w:sym w:font="HQPB4" w:char="F0F8"/>
      </w:r>
      <w:r w:rsidRPr="009B74A7">
        <w:rPr>
          <w:rFonts w:asciiTheme="majorBidi" w:hAnsiTheme="majorBidi" w:cstheme="majorBidi"/>
          <w:sz w:val="28"/>
          <w:szCs w:val="28"/>
        </w:rPr>
        <w:sym w:font="HQPB2" w:char="F039"/>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7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CC"/>
      </w:r>
      <w:r w:rsidRPr="009B74A7">
        <w:rPr>
          <w:rFonts w:asciiTheme="majorBidi" w:hAnsiTheme="majorBidi" w:cstheme="majorBidi"/>
          <w:sz w:val="28"/>
          <w:szCs w:val="28"/>
        </w:rPr>
        <w:sym w:font="HQPB1" w:char="F08D"/>
      </w:r>
      <w:r w:rsidRPr="009B74A7">
        <w:rPr>
          <w:rFonts w:asciiTheme="majorBidi" w:hAnsiTheme="majorBidi" w:cstheme="majorBidi"/>
          <w:sz w:val="28"/>
          <w:szCs w:val="28"/>
        </w:rPr>
        <w:sym w:font="HQPB4" w:char="F0C5"/>
      </w:r>
      <w:r w:rsidRPr="009B74A7">
        <w:rPr>
          <w:rFonts w:asciiTheme="majorBidi" w:hAnsiTheme="majorBidi" w:cstheme="majorBidi"/>
          <w:sz w:val="28"/>
          <w:szCs w:val="28"/>
        </w:rPr>
        <w:sym w:font="HQPB1" w:char="F07A"/>
      </w:r>
      <w:r w:rsidRPr="009B74A7">
        <w:rPr>
          <w:rFonts w:asciiTheme="majorBidi" w:hAnsiTheme="majorBidi" w:cstheme="majorBidi"/>
          <w:sz w:val="28"/>
          <w:szCs w:val="28"/>
        </w:rPr>
        <w:sym w:font="HQPB5" w:char="F046"/>
      </w:r>
      <w:r w:rsidRPr="009B74A7">
        <w:rPr>
          <w:rFonts w:asciiTheme="majorBidi" w:hAnsiTheme="majorBidi" w:cstheme="majorBidi"/>
          <w:sz w:val="28"/>
          <w:szCs w:val="28"/>
        </w:rPr>
        <w:sym w:font="HQPB2" w:char="F079"/>
      </w:r>
      <w:r w:rsidRPr="009B74A7">
        <w:rPr>
          <w:rFonts w:asciiTheme="majorBidi" w:hAnsiTheme="majorBidi" w:cstheme="majorBidi"/>
          <w:sz w:val="28"/>
          <w:szCs w:val="28"/>
        </w:rPr>
        <w:sym w:font="HQPB5" w:char="F024"/>
      </w:r>
      <w:r w:rsidRPr="009B74A7">
        <w:rPr>
          <w:rFonts w:asciiTheme="majorBidi" w:hAnsiTheme="majorBidi" w:cstheme="majorBidi"/>
          <w:sz w:val="28"/>
          <w:szCs w:val="28"/>
        </w:rPr>
        <w:sym w:font="HQPB1" w:char="F023"/>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34"/>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5" w:char="F079"/>
      </w:r>
      <w:r w:rsidRPr="009B74A7">
        <w:rPr>
          <w:rFonts w:asciiTheme="majorBidi" w:hAnsiTheme="majorBidi" w:cstheme="majorBidi"/>
          <w:sz w:val="28"/>
          <w:szCs w:val="28"/>
        </w:rPr>
        <w:sym w:font="HQPB2" w:char="F037"/>
      </w:r>
      <w:r w:rsidRPr="009B74A7">
        <w:rPr>
          <w:rFonts w:asciiTheme="majorBidi" w:hAnsiTheme="majorBidi" w:cstheme="majorBidi"/>
          <w:sz w:val="28"/>
          <w:szCs w:val="28"/>
        </w:rPr>
        <w:sym w:font="HQPB4" w:char="F0CF"/>
      </w:r>
      <w:r w:rsidRPr="009B74A7">
        <w:rPr>
          <w:rFonts w:asciiTheme="majorBidi" w:hAnsiTheme="majorBidi" w:cstheme="majorBidi"/>
          <w:sz w:val="28"/>
          <w:szCs w:val="28"/>
        </w:rPr>
        <w:sym w:font="HQPB2" w:char="F039"/>
      </w:r>
      <w:r w:rsidRPr="009B74A7">
        <w:rPr>
          <w:rFonts w:asciiTheme="majorBidi" w:hAnsiTheme="majorBidi" w:cstheme="majorBidi"/>
          <w:sz w:val="28"/>
          <w:szCs w:val="28"/>
        </w:rPr>
        <w:sym w:font="HQPB2" w:char="F0BA"/>
      </w:r>
      <w:r w:rsidRPr="009B74A7">
        <w:rPr>
          <w:rFonts w:asciiTheme="majorBidi" w:hAnsiTheme="majorBidi" w:cstheme="majorBidi"/>
          <w:sz w:val="28"/>
          <w:szCs w:val="28"/>
        </w:rPr>
        <w:sym w:font="HQPB5" w:char="F073"/>
      </w:r>
      <w:r w:rsidRPr="009B74A7">
        <w:rPr>
          <w:rFonts w:asciiTheme="majorBidi" w:hAnsiTheme="majorBidi" w:cstheme="majorBidi"/>
          <w:sz w:val="28"/>
          <w:szCs w:val="28"/>
        </w:rPr>
        <w:sym w:font="HQPB1" w:char="F08C"/>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D7"/>
      </w:r>
      <w:r w:rsidRPr="009B74A7">
        <w:rPr>
          <w:rFonts w:asciiTheme="majorBidi" w:hAnsiTheme="majorBidi" w:cstheme="majorBidi"/>
          <w:sz w:val="28"/>
          <w:szCs w:val="28"/>
        </w:rPr>
        <w:sym w:font="HQPB1" w:char="F08E"/>
      </w:r>
      <w:r w:rsidRPr="009B74A7">
        <w:rPr>
          <w:rFonts w:asciiTheme="majorBidi" w:hAnsiTheme="majorBidi" w:cstheme="majorBidi"/>
          <w:sz w:val="28"/>
          <w:szCs w:val="28"/>
        </w:rPr>
        <w:sym w:font="HQPB4" w:char="F0F6"/>
      </w:r>
      <w:r w:rsidRPr="009B74A7">
        <w:rPr>
          <w:rFonts w:asciiTheme="majorBidi" w:hAnsiTheme="majorBidi" w:cstheme="majorBidi"/>
          <w:sz w:val="28"/>
          <w:szCs w:val="28"/>
        </w:rPr>
        <w:sym w:font="HQPB2" w:char="F08D"/>
      </w:r>
      <w:r w:rsidRPr="009B74A7">
        <w:rPr>
          <w:rFonts w:asciiTheme="majorBidi" w:hAnsiTheme="majorBidi" w:cstheme="majorBidi"/>
          <w:sz w:val="28"/>
          <w:szCs w:val="28"/>
        </w:rPr>
        <w:sym w:font="HQPB5" w:char="F079"/>
      </w:r>
      <w:r w:rsidRPr="009B74A7">
        <w:rPr>
          <w:rFonts w:asciiTheme="majorBidi" w:hAnsiTheme="majorBidi" w:cstheme="majorBidi"/>
          <w:sz w:val="28"/>
          <w:szCs w:val="28"/>
        </w:rPr>
        <w:sym w:font="HQPB1" w:char="F07A"/>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DF"/>
      </w:r>
      <w:r w:rsidRPr="009B74A7">
        <w:rPr>
          <w:rFonts w:asciiTheme="majorBidi" w:hAnsiTheme="majorBidi" w:cstheme="majorBidi"/>
          <w:sz w:val="28"/>
          <w:szCs w:val="28"/>
        </w:rPr>
        <w:sym w:font="HQPB2" w:char="F060"/>
      </w:r>
      <w:r w:rsidRPr="009B74A7">
        <w:rPr>
          <w:rFonts w:asciiTheme="majorBidi" w:hAnsiTheme="majorBidi" w:cstheme="majorBidi"/>
          <w:sz w:val="28"/>
          <w:szCs w:val="28"/>
        </w:rPr>
        <w:sym w:font="HQPB5" w:char="F07C"/>
      </w:r>
      <w:r w:rsidRPr="009B74A7">
        <w:rPr>
          <w:rFonts w:asciiTheme="majorBidi" w:hAnsiTheme="majorBidi" w:cstheme="majorBidi"/>
          <w:sz w:val="28"/>
          <w:szCs w:val="28"/>
        </w:rPr>
        <w:sym w:font="HQPB1" w:char="F0A1"/>
      </w:r>
      <w:r w:rsidRPr="009B74A7">
        <w:rPr>
          <w:rFonts w:asciiTheme="majorBidi" w:hAnsiTheme="majorBidi" w:cstheme="majorBidi"/>
          <w:sz w:val="28"/>
          <w:szCs w:val="28"/>
        </w:rPr>
        <w:sym w:font="HQPB4" w:char="F0F4"/>
      </w:r>
      <w:r w:rsidRPr="009B74A7">
        <w:rPr>
          <w:rFonts w:asciiTheme="majorBidi" w:hAnsiTheme="majorBidi" w:cstheme="majorBidi"/>
          <w:sz w:val="28"/>
          <w:szCs w:val="28"/>
        </w:rPr>
        <w:sym w:font="HQPB1" w:char="F06D"/>
      </w:r>
      <w:r w:rsidRPr="009B74A7">
        <w:rPr>
          <w:rFonts w:asciiTheme="majorBidi" w:hAnsiTheme="majorBidi" w:cstheme="majorBidi"/>
          <w:sz w:val="28"/>
          <w:szCs w:val="28"/>
        </w:rPr>
        <w:sym w:font="HQPB5" w:char="F072"/>
      </w:r>
      <w:r w:rsidRPr="009B74A7">
        <w:rPr>
          <w:rFonts w:asciiTheme="majorBidi" w:hAnsiTheme="majorBidi" w:cstheme="majorBidi"/>
          <w:sz w:val="28"/>
          <w:szCs w:val="28"/>
        </w:rPr>
        <w:sym w:font="HQPB1" w:char="F026"/>
      </w:r>
      <w:r w:rsidRPr="009B74A7">
        <w:rPr>
          <w:rFonts w:asciiTheme="majorBidi" w:hAnsiTheme="majorBidi" w:cstheme="majorBidi"/>
          <w:sz w:val="28"/>
          <w:szCs w:val="28"/>
        </w:rPr>
        <w:sym w:font="HQPB5" w:char="F075"/>
      </w:r>
      <w:r w:rsidRPr="009B74A7">
        <w:rPr>
          <w:rFonts w:asciiTheme="majorBidi" w:hAnsiTheme="majorBidi" w:cstheme="majorBidi"/>
          <w:sz w:val="28"/>
          <w:szCs w:val="28"/>
        </w:rPr>
        <w:sym w:font="HQPB2" w:char="F072"/>
      </w:r>
      <w:r w:rsidRPr="009B74A7">
        <w:rPr>
          <w:rFonts w:asciiTheme="majorBidi" w:hAnsiTheme="majorBidi" w:cstheme="majorBidi"/>
          <w:sz w:val="28"/>
          <w:szCs w:val="28"/>
          <w:rtl/>
        </w:rPr>
        <w:t xml:space="preserve"> </w:t>
      </w:r>
      <w:r w:rsidRPr="009B74A7">
        <w:rPr>
          <w:rFonts w:asciiTheme="majorBidi" w:hAnsiTheme="majorBidi" w:cstheme="majorBidi"/>
          <w:sz w:val="28"/>
          <w:szCs w:val="28"/>
        </w:rPr>
        <w:sym w:font="HQPB4" w:char="F0B8"/>
      </w:r>
      <w:r w:rsidRPr="009B74A7">
        <w:rPr>
          <w:rFonts w:asciiTheme="majorBidi" w:hAnsiTheme="majorBidi" w:cstheme="majorBidi"/>
          <w:sz w:val="28"/>
          <w:szCs w:val="28"/>
        </w:rPr>
        <w:sym w:font="HQPB2" w:char="F078"/>
      </w:r>
      <w:r w:rsidRPr="009B74A7">
        <w:rPr>
          <w:rFonts w:asciiTheme="majorBidi" w:hAnsiTheme="majorBidi" w:cstheme="majorBidi"/>
          <w:sz w:val="28"/>
          <w:szCs w:val="28"/>
        </w:rPr>
        <w:sym w:font="HQPB2" w:char="F083"/>
      </w:r>
      <w:r w:rsidRPr="009B74A7">
        <w:rPr>
          <w:rFonts w:asciiTheme="majorBidi" w:hAnsiTheme="majorBidi" w:cstheme="majorBidi"/>
          <w:sz w:val="28"/>
          <w:szCs w:val="28"/>
        </w:rPr>
        <w:sym w:font="HQPB4" w:char="F0CD"/>
      </w:r>
      <w:r w:rsidRPr="009B74A7">
        <w:rPr>
          <w:rFonts w:asciiTheme="majorBidi" w:hAnsiTheme="majorBidi" w:cstheme="majorBidi"/>
          <w:sz w:val="28"/>
          <w:szCs w:val="28"/>
        </w:rPr>
        <w:sym w:font="HQPB2" w:char="F072"/>
      </w:r>
      <w:r w:rsidRPr="009B74A7">
        <w:rPr>
          <w:rFonts w:asciiTheme="majorBidi" w:hAnsiTheme="majorBidi" w:cstheme="majorBidi"/>
          <w:sz w:val="28"/>
          <w:szCs w:val="28"/>
        </w:rPr>
        <w:sym w:font="HQPB4" w:char="F0F9"/>
      </w:r>
      <w:r w:rsidRPr="009B74A7">
        <w:rPr>
          <w:rFonts w:asciiTheme="majorBidi" w:hAnsiTheme="majorBidi" w:cstheme="majorBidi"/>
          <w:sz w:val="28"/>
          <w:szCs w:val="28"/>
        </w:rPr>
        <w:sym w:font="HQPB1" w:char="F027"/>
      </w:r>
      <w:r w:rsidRPr="009B74A7">
        <w:rPr>
          <w:rFonts w:asciiTheme="majorBidi" w:hAnsiTheme="majorBidi" w:cstheme="majorBidi"/>
          <w:sz w:val="28"/>
          <w:szCs w:val="28"/>
        </w:rPr>
        <w:sym w:font="HQPB5" w:char="F073"/>
      </w:r>
      <w:r w:rsidRPr="009B74A7">
        <w:rPr>
          <w:rFonts w:asciiTheme="majorBidi" w:hAnsiTheme="majorBidi" w:cstheme="majorBidi"/>
          <w:sz w:val="28"/>
          <w:szCs w:val="28"/>
        </w:rPr>
        <w:sym w:font="HQPB1" w:char="F03F"/>
      </w:r>
      <w:r w:rsidRPr="009B74A7">
        <w:rPr>
          <w:rFonts w:asciiTheme="majorBidi" w:hAnsiTheme="majorBidi" w:cstheme="majorBidi"/>
          <w:sz w:val="28"/>
          <w:szCs w:val="28"/>
          <w:rtl/>
        </w:rPr>
        <w:t xml:space="preserve">   </w:t>
      </w:r>
    </w:p>
    <w:p w:rsidR="004C10C1" w:rsidRPr="00CA215D" w:rsidRDefault="004C10C1" w:rsidP="00E0405C">
      <w:pPr>
        <w:autoSpaceDE w:val="0"/>
        <w:autoSpaceDN w:val="0"/>
        <w:adjustRightInd w:val="0"/>
        <w:spacing w:after="0" w:line="240" w:lineRule="auto"/>
        <w:ind w:left="720"/>
        <w:jc w:val="both"/>
        <w:rPr>
          <w:rFonts w:asciiTheme="majorBidi" w:hAnsiTheme="majorBidi" w:cstheme="majorBidi"/>
          <w:sz w:val="24"/>
          <w:szCs w:val="24"/>
        </w:rPr>
      </w:pPr>
      <w:r w:rsidRPr="00CA215D">
        <w:rPr>
          <w:rFonts w:asciiTheme="majorBidi" w:hAnsiTheme="majorBidi" w:cstheme="majorBidi"/>
          <w:sz w:val="24"/>
          <w:szCs w:val="24"/>
        </w:rPr>
        <w:t xml:space="preserve"> “</w:t>
      </w:r>
      <w:r w:rsidRPr="00A654A3">
        <w:rPr>
          <w:rFonts w:asciiTheme="majorBidi" w:hAnsiTheme="majorBidi" w:cstheme="majorBidi"/>
          <w:i/>
          <w:iCs/>
          <w:sz w:val="24"/>
          <w:szCs w:val="24"/>
        </w:rPr>
        <w:t xml:space="preserve">Hai orang-orang yang beriman, taatilah Allah dan taatilah Rasul (Nya), dan </w:t>
      </w:r>
      <w:r w:rsidR="00183FBF">
        <w:rPr>
          <w:rFonts w:asciiTheme="majorBidi" w:hAnsiTheme="majorBidi" w:cstheme="majorBidi"/>
          <w:i/>
          <w:iCs/>
          <w:sz w:val="24"/>
          <w:szCs w:val="24"/>
        </w:rPr>
        <w:t>ulil amri</w:t>
      </w:r>
      <w:r w:rsidRPr="00A654A3">
        <w:rPr>
          <w:rFonts w:asciiTheme="majorBidi" w:hAnsiTheme="majorBidi" w:cstheme="majorBidi"/>
          <w:i/>
          <w:iCs/>
          <w:sz w:val="24"/>
          <w:szCs w:val="24"/>
        </w:rPr>
        <w:t>i di antara kamu. kemudian jika kamu berlainan Pendapat tentang sesuatu, Maka kembalikanlah ia kepada Allah (Al Quran) dan Rasul (sunnahnya), jika kamu benar-benar beriman kepada Allah dan hari kemudian. yang demikian itu lebih utama (bagimu) dan lebih baik akibatnya.</w:t>
      </w:r>
      <w:r w:rsidRPr="00CA215D">
        <w:rPr>
          <w:rFonts w:asciiTheme="majorBidi" w:hAnsiTheme="majorBidi" w:cstheme="majorBidi"/>
          <w:sz w:val="24"/>
          <w:szCs w:val="24"/>
        </w:rPr>
        <w:t>”</w:t>
      </w:r>
      <w:r w:rsidRPr="00CA215D">
        <w:rPr>
          <w:rStyle w:val="FootnoteReference"/>
          <w:rFonts w:asciiTheme="majorBidi" w:hAnsiTheme="majorBidi" w:cstheme="majorBidi"/>
          <w:sz w:val="24"/>
          <w:szCs w:val="24"/>
        </w:rPr>
        <w:footnoteReference w:id="17"/>
      </w:r>
      <w:r w:rsidRPr="00CA215D">
        <w:rPr>
          <w:rFonts w:asciiTheme="majorBidi" w:hAnsiTheme="majorBidi" w:cstheme="majorBidi"/>
          <w:sz w:val="24"/>
          <w:szCs w:val="24"/>
        </w:rPr>
        <w:t xml:space="preserve"> ( QS. Al-Nisa: 59)</w:t>
      </w:r>
    </w:p>
    <w:p w:rsidR="004C10C1" w:rsidRDefault="004C10C1" w:rsidP="00E0405C">
      <w:pPr>
        <w:autoSpaceDE w:val="0"/>
        <w:autoSpaceDN w:val="0"/>
        <w:adjustRightInd w:val="0"/>
        <w:spacing w:after="0" w:line="240" w:lineRule="auto"/>
        <w:jc w:val="both"/>
        <w:rPr>
          <w:rFonts w:ascii="(normal text)" w:hAnsi="(normal text)"/>
          <w:sz w:val="20"/>
        </w:rPr>
      </w:pPr>
    </w:p>
    <w:p w:rsidR="004C10C1" w:rsidRDefault="004C10C1" w:rsidP="00A33E46">
      <w:pPr>
        <w:pStyle w:val="ListParagraph"/>
        <w:spacing w:after="0" w:line="360" w:lineRule="auto"/>
        <w:ind w:left="0" w:firstLine="720"/>
        <w:jc w:val="both"/>
        <w:rPr>
          <w:rFonts w:ascii="Times New Roman" w:hAnsi="Times New Roman" w:cs="Times New Roman"/>
          <w:sz w:val="24"/>
          <w:szCs w:val="24"/>
        </w:rPr>
      </w:pPr>
      <w:r w:rsidRPr="00054C5D">
        <w:rPr>
          <w:rFonts w:ascii="Giovanni-Book" w:hAnsi="Giovanni-Book" w:cs="Giovanni-Book"/>
          <w:sz w:val="24"/>
          <w:szCs w:val="24"/>
        </w:rPr>
        <w:t>Perkembangan berikutnya fatwa tidak lag</w:t>
      </w:r>
      <w:r>
        <w:rPr>
          <w:rFonts w:ascii="Giovanni-Book" w:hAnsi="Giovanni-Book" w:cs="Giovanni-Book"/>
          <w:sz w:val="24"/>
          <w:szCs w:val="24"/>
        </w:rPr>
        <w:t>i diberikan secara persendirian, tapi bergeser kepada inst</w:t>
      </w:r>
      <w:r w:rsidRPr="00054C5D">
        <w:rPr>
          <w:rFonts w:ascii="Giovanni-Book" w:hAnsi="Giovanni-Book" w:cs="Giovanni-Book"/>
          <w:sz w:val="24"/>
          <w:szCs w:val="24"/>
        </w:rPr>
        <w:t>usi atau lembaga resmi yang di buat oleh pemerintahan untuk mendapat pertimbangan-pertimbangan dalam hukum Islam.</w:t>
      </w:r>
      <w:r w:rsidRPr="00054C5D">
        <w:rPr>
          <w:rStyle w:val="FootnoteReference"/>
          <w:rFonts w:ascii="Giovanni-Book" w:hAnsi="Giovanni-Book" w:cs="Giovanni-Book"/>
          <w:sz w:val="24"/>
          <w:szCs w:val="24"/>
        </w:rPr>
        <w:footnoteReference w:id="18"/>
      </w:r>
      <w:r>
        <w:rPr>
          <w:rFonts w:ascii="Times New Roman" w:hAnsi="Times New Roman" w:cs="Times New Roman"/>
          <w:sz w:val="24"/>
          <w:szCs w:val="24"/>
        </w:rPr>
        <w:t>Dalam konteks Indonesia, Majelis Ulama Indonesia (MUI) merupakan salah satu lembaga yang berwenang memberikan fatwa-fatwa keagamaan.</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rsidR="00ED5975" w:rsidRDefault="004C10C1" w:rsidP="00A33E4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Majelis Ulama Indonesia (MUI) sebagai salah satu instusi keagamaan yang mempunyai lembaga fatwa, telah menghasilkan berbagai fatwa hukum. Dari fatwa yang dikeluarkan banyak masalah yang sifatnya kontemporer yang belum ada preseden hukumnya dalam kajian fikih klasik. Sehingga mau tidak mau proses penetapan hukumnya membutuhkan suatu kajian yang mendalam. Salah satu yang </w:t>
      </w:r>
      <w:r>
        <w:rPr>
          <w:rFonts w:ascii="Times New Roman" w:hAnsi="Times New Roman" w:cs="Times New Roman"/>
          <w:sz w:val="24"/>
          <w:szCs w:val="24"/>
        </w:rPr>
        <w:lastRenderedPageBreak/>
        <w:t xml:space="preserve">harus dipertimbangkan dalam proses penetapan hukum, disamping dalil-dalil normatif dari </w:t>
      </w:r>
      <w:r w:rsidR="00972E98">
        <w:rPr>
          <w:rFonts w:ascii="Times New Roman" w:hAnsi="Times New Roman" w:cs="Times New Roman"/>
          <w:sz w:val="24"/>
          <w:szCs w:val="24"/>
        </w:rPr>
        <w:t>Al-Qur’ān</w:t>
      </w:r>
      <w:r>
        <w:rPr>
          <w:rFonts w:ascii="Times New Roman" w:hAnsi="Times New Roman" w:cs="Times New Roman"/>
          <w:sz w:val="24"/>
          <w:szCs w:val="24"/>
        </w:rPr>
        <w:t xml:space="preserve"> dan Sunnah, juga harus memperhatikan dampak dan akibat hukum yang ditimbulkan. </w:t>
      </w:r>
      <w:r w:rsidR="002B4C98">
        <w:rPr>
          <w:rFonts w:ascii="Times New Roman" w:hAnsi="Times New Roman" w:cs="Times New Roman"/>
          <w:sz w:val="24"/>
          <w:szCs w:val="24"/>
          <w:lang w:val="sv-SE"/>
        </w:rPr>
        <w:t>Al-Qaradhāwī</w:t>
      </w:r>
      <w:r w:rsidR="00ED5975" w:rsidRPr="00576E07">
        <w:rPr>
          <w:rFonts w:ascii="Times New Roman" w:hAnsi="Times New Roman" w:cs="Times New Roman"/>
          <w:sz w:val="24"/>
          <w:szCs w:val="24"/>
          <w:lang w:val="sv-SE"/>
        </w:rPr>
        <w:t xml:space="preserve"> menjelaskan</w:t>
      </w:r>
      <w:r w:rsidR="00ED5975" w:rsidRPr="005F7AE4">
        <w:rPr>
          <w:rFonts w:ascii="Times New Roman" w:hAnsi="Times New Roman" w:cs="Times New Roman"/>
          <w:sz w:val="24"/>
          <w:szCs w:val="24"/>
          <w:lang w:val="sv-SE"/>
        </w:rPr>
        <w:t xml:space="preserve"> bahwa setiap pekerjaan yang berkaitan dengan hukum fiqh mempunyai dua aspek penting yang harus diperhatikan; aspek motivasi yang melatarbelakanginya, dan aspek dampak serta hasil yang diakibatkan perbuatan tersebut</w:t>
      </w:r>
      <w:r w:rsidR="00B43A04">
        <w:rPr>
          <w:rFonts w:ascii="Times New Roman" w:hAnsi="Times New Roman" w:cs="Times New Roman"/>
          <w:sz w:val="24"/>
          <w:szCs w:val="24"/>
          <w:lang w:val="sv-SE"/>
        </w:rPr>
        <w:t>.</w:t>
      </w:r>
      <w:r w:rsidR="00ED5975">
        <w:rPr>
          <w:rStyle w:val="FootnoteReference"/>
          <w:rFonts w:ascii="Times New Roman" w:hAnsi="Times New Roman" w:cs="Times New Roman"/>
          <w:sz w:val="24"/>
          <w:szCs w:val="24"/>
        </w:rPr>
        <w:footnoteReference w:id="20"/>
      </w:r>
      <w:r w:rsidR="00B43A04" w:rsidRPr="00B43A04">
        <w:rPr>
          <w:rFonts w:ascii="Times New Roman" w:hAnsi="Times New Roman" w:cs="Times New Roman"/>
          <w:sz w:val="24"/>
          <w:szCs w:val="24"/>
        </w:rPr>
        <w:t xml:space="preserve"> </w:t>
      </w:r>
      <w:r w:rsidR="00B43A04">
        <w:rPr>
          <w:rFonts w:ascii="Times New Roman" w:hAnsi="Times New Roman" w:cs="Times New Roman"/>
          <w:sz w:val="24"/>
          <w:szCs w:val="24"/>
        </w:rPr>
        <w:t>Di sinilah konsep</w:t>
      </w:r>
      <w:r w:rsidR="00B43A04" w:rsidRPr="00B43A04">
        <w:rPr>
          <w:rFonts w:ascii="Times New Roman" w:hAnsi="Times New Roman" w:cs="Times New Roman"/>
          <w:color w:val="000000" w:themeColor="text1"/>
          <w:sz w:val="24"/>
          <w:szCs w:val="24"/>
          <w:lang w:val="id-ID"/>
        </w:rPr>
        <w:t xml:space="preserve"> </w:t>
      </w:r>
      <w:r w:rsidR="00881BDC">
        <w:rPr>
          <w:rFonts w:ascii="Times New Roman" w:hAnsi="Times New Roman" w:cs="Times New Roman"/>
          <w:i/>
          <w:iCs/>
          <w:color w:val="000000" w:themeColor="text1"/>
          <w:sz w:val="24"/>
          <w:szCs w:val="24"/>
          <w:lang w:val="id-ID"/>
        </w:rPr>
        <w:t xml:space="preserve">siyāsah </w:t>
      </w:r>
      <w:r w:rsidR="00B43A04" w:rsidRPr="00702696">
        <w:rPr>
          <w:rFonts w:ascii="Times New Roman" w:hAnsi="Times New Roman" w:cs="Times New Roman"/>
          <w:i/>
          <w:iCs/>
          <w:color w:val="000000" w:themeColor="text1"/>
          <w:sz w:val="24"/>
          <w:szCs w:val="24"/>
          <w:lang w:val="id-ID"/>
        </w:rPr>
        <w:t xml:space="preserve"> </w:t>
      </w:r>
      <w:r w:rsidR="00CC1D08">
        <w:rPr>
          <w:rFonts w:ascii="Times New Roman" w:hAnsi="Times New Roman" w:cs="Times New Roman"/>
          <w:i/>
          <w:iCs/>
          <w:color w:val="000000" w:themeColor="text1"/>
          <w:sz w:val="24"/>
          <w:szCs w:val="24"/>
          <w:lang w:val="id-ID"/>
        </w:rPr>
        <w:t>syar‘i</w:t>
      </w:r>
      <w:r w:rsidR="009B7C4B">
        <w:rPr>
          <w:rFonts w:ascii="Times New Roman" w:hAnsi="Times New Roman" w:cs="Times New Roman"/>
          <w:i/>
          <w:iCs/>
          <w:color w:val="000000" w:themeColor="text1"/>
          <w:sz w:val="24"/>
          <w:szCs w:val="24"/>
        </w:rPr>
        <w:t>y</w:t>
      </w:r>
      <w:r w:rsidR="00CC1D08">
        <w:rPr>
          <w:rFonts w:ascii="Times New Roman" w:hAnsi="Times New Roman" w:cs="Times New Roman"/>
          <w:i/>
          <w:iCs/>
          <w:color w:val="000000" w:themeColor="text1"/>
          <w:sz w:val="24"/>
          <w:szCs w:val="24"/>
          <w:lang w:val="id-ID"/>
        </w:rPr>
        <w:t>yah</w:t>
      </w:r>
      <w:r w:rsidR="00B43A04">
        <w:rPr>
          <w:rFonts w:ascii="Times New Roman" w:hAnsi="Times New Roman" w:cs="Times New Roman"/>
          <w:sz w:val="24"/>
          <w:szCs w:val="24"/>
        </w:rPr>
        <w:t xml:space="preserve"> sangat diperlukan.</w:t>
      </w:r>
    </w:p>
    <w:p w:rsidR="00B43A04" w:rsidRDefault="00A241B2" w:rsidP="0028798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Abdul </w:t>
      </w:r>
      <w:r w:rsidR="00B43A04">
        <w:rPr>
          <w:rFonts w:ascii="Times New Roman" w:hAnsi="Times New Roman" w:cs="Times New Roman"/>
          <w:color w:val="000000" w:themeColor="text1"/>
          <w:sz w:val="24"/>
          <w:szCs w:val="24"/>
        </w:rPr>
        <w:t>Wa</w:t>
      </w:r>
      <w:r w:rsidR="0028798D">
        <w:rPr>
          <w:rFonts w:ascii="Times New Roman" w:hAnsi="Times New Roman" w:cs="Times New Roman"/>
          <w:color w:val="000000" w:themeColor="text1"/>
          <w:sz w:val="24"/>
          <w:szCs w:val="24"/>
        </w:rPr>
        <w:t>h</w:t>
      </w:r>
      <w:r w:rsidR="00B43A04">
        <w:rPr>
          <w:rFonts w:ascii="Times New Roman" w:hAnsi="Times New Roman" w:cs="Times New Roman"/>
          <w:color w:val="000000" w:themeColor="text1"/>
          <w:sz w:val="24"/>
          <w:szCs w:val="24"/>
        </w:rPr>
        <w:t xml:space="preserve">hab </w:t>
      </w:r>
      <w:r w:rsidR="00B43A04" w:rsidRPr="00415196">
        <w:rPr>
          <w:rFonts w:ascii="Times New Roman" w:hAnsi="Times New Roman" w:cs="Times New Roman"/>
          <w:color w:val="000000" w:themeColor="text1"/>
          <w:sz w:val="24"/>
          <w:szCs w:val="24"/>
          <w:lang w:val="id-ID"/>
        </w:rPr>
        <w:t>Khall</w:t>
      </w:r>
      <w:r w:rsidR="0028798D" w:rsidRPr="0028798D">
        <w:rPr>
          <w:rFonts w:ascii="Times New Roman" w:hAnsi="Times New Roman" w:cs="Times New Roman"/>
          <w:color w:val="000000" w:themeColor="text1"/>
          <w:sz w:val="24"/>
          <w:szCs w:val="24"/>
          <w:lang w:val="id-ID"/>
        </w:rPr>
        <w:t>ā</w:t>
      </w:r>
      <w:r w:rsidR="00B43A04" w:rsidRPr="00415196">
        <w:rPr>
          <w:rFonts w:ascii="Times New Roman" w:hAnsi="Times New Roman" w:cs="Times New Roman"/>
          <w:color w:val="000000" w:themeColor="text1"/>
          <w:sz w:val="24"/>
          <w:szCs w:val="24"/>
          <w:lang w:val="id-ID"/>
        </w:rPr>
        <w:t>f</w:t>
      </w:r>
      <w:r>
        <w:rPr>
          <w:rFonts w:ascii="Times New Roman" w:hAnsi="Times New Roman" w:cs="Times New Roman"/>
          <w:color w:val="000000" w:themeColor="text1"/>
          <w:sz w:val="24"/>
          <w:szCs w:val="24"/>
        </w:rPr>
        <w:t xml:space="preserve"> (w.1357 H)</w:t>
      </w:r>
      <w:r w:rsidR="00B43A04" w:rsidRPr="00415196">
        <w:rPr>
          <w:rFonts w:ascii="Times New Roman" w:hAnsi="Times New Roman" w:cs="Times New Roman"/>
          <w:color w:val="000000" w:themeColor="text1"/>
          <w:sz w:val="24"/>
          <w:szCs w:val="24"/>
          <w:lang w:val="id-ID"/>
        </w:rPr>
        <w:t xml:space="preserve"> meru</w:t>
      </w:r>
      <w:r w:rsidR="00B43A04">
        <w:rPr>
          <w:rFonts w:ascii="Times New Roman" w:hAnsi="Times New Roman" w:cs="Times New Roman"/>
          <w:color w:val="000000" w:themeColor="text1"/>
          <w:sz w:val="24"/>
          <w:szCs w:val="24"/>
          <w:lang w:val="id-ID"/>
        </w:rPr>
        <w:t xml:space="preserve">muskan </w:t>
      </w:r>
      <w:r w:rsidR="0028798D">
        <w:rPr>
          <w:rFonts w:ascii="Times New Roman" w:hAnsi="Times New Roman" w:cs="Times New Roman"/>
          <w:i/>
          <w:iCs/>
          <w:color w:val="000000" w:themeColor="text1"/>
          <w:sz w:val="24"/>
          <w:szCs w:val="24"/>
          <w:lang w:val="id-ID"/>
        </w:rPr>
        <w:t>siyāsah</w:t>
      </w:r>
      <w:r>
        <w:rPr>
          <w:rFonts w:ascii="Times New Roman" w:hAnsi="Times New Roman" w:cs="Times New Roman"/>
          <w:i/>
          <w:iCs/>
          <w:color w:val="000000" w:themeColor="text1"/>
          <w:sz w:val="24"/>
          <w:szCs w:val="24"/>
        </w:rPr>
        <w:t xml:space="preserve"> </w:t>
      </w:r>
      <w:r w:rsidR="00CC1D08">
        <w:rPr>
          <w:rFonts w:ascii="Times New Roman" w:hAnsi="Times New Roman" w:cs="Times New Roman"/>
          <w:i/>
          <w:iCs/>
          <w:color w:val="000000" w:themeColor="text1"/>
          <w:sz w:val="24"/>
          <w:szCs w:val="24"/>
          <w:lang w:val="id-ID"/>
        </w:rPr>
        <w:t>syar‘i</w:t>
      </w:r>
      <w:r w:rsidR="0028798D">
        <w:rPr>
          <w:rFonts w:ascii="Times New Roman" w:hAnsi="Times New Roman" w:cs="Times New Roman"/>
          <w:i/>
          <w:iCs/>
          <w:color w:val="000000" w:themeColor="text1"/>
          <w:sz w:val="24"/>
          <w:szCs w:val="24"/>
        </w:rPr>
        <w:t>y</w:t>
      </w:r>
      <w:r w:rsidR="00CC1D08">
        <w:rPr>
          <w:rFonts w:ascii="Times New Roman" w:hAnsi="Times New Roman" w:cs="Times New Roman"/>
          <w:i/>
          <w:iCs/>
          <w:color w:val="000000" w:themeColor="text1"/>
          <w:sz w:val="24"/>
          <w:szCs w:val="24"/>
          <w:lang w:val="id-ID"/>
        </w:rPr>
        <w:t>yah</w:t>
      </w:r>
      <w:r w:rsidR="00B43A04">
        <w:rPr>
          <w:rFonts w:ascii="Times New Roman" w:hAnsi="Times New Roman" w:cs="Times New Roman"/>
          <w:color w:val="000000" w:themeColor="text1"/>
          <w:sz w:val="24"/>
          <w:szCs w:val="24"/>
          <w:lang w:val="id-ID"/>
        </w:rPr>
        <w:t xml:space="preserve"> dengan</w:t>
      </w:r>
      <w:r w:rsidR="00B43A04">
        <w:rPr>
          <w:rFonts w:ascii="Times New Roman" w:hAnsi="Times New Roman" w:cs="Times New Roman"/>
          <w:color w:val="000000" w:themeColor="text1"/>
          <w:sz w:val="24"/>
          <w:szCs w:val="24"/>
        </w:rPr>
        <w:t>“</w:t>
      </w:r>
      <w:r w:rsidR="0028798D">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Pengelolaan masalah-masalah umum bagi pemerintah Islam yang menjamin terciptanya kemaslahatan dan terhindarnya kemudharatan dari masyarakat Islam,</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dengan tidak bertentangan dengan ketentuan syariat Islam dan prinsip-prinsip umumn</w:t>
      </w:r>
      <w:r w:rsidR="00A86D21">
        <w:rPr>
          <w:rFonts w:ascii="Times New Roman" w:hAnsi="Times New Roman" w:cs="Times New Roman"/>
          <w:color w:val="000000" w:themeColor="text1"/>
          <w:sz w:val="24"/>
          <w:szCs w:val="24"/>
          <w:lang w:val="id-ID"/>
        </w:rPr>
        <w:t>ya, meskipun tidak sejalan deng</w:t>
      </w:r>
      <w:r w:rsidR="00A86D21">
        <w:rPr>
          <w:rFonts w:ascii="Times New Roman" w:hAnsi="Times New Roman" w:cs="Times New Roman"/>
          <w:color w:val="000000" w:themeColor="text1"/>
          <w:sz w:val="24"/>
          <w:szCs w:val="24"/>
        </w:rPr>
        <w:t>a</w:t>
      </w:r>
      <w:r w:rsidR="00B43A04" w:rsidRPr="00415196">
        <w:rPr>
          <w:rFonts w:ascii="Times New Roman" w:hAnsi="Times New Roman" w:cs="Times New Roman"/>
          <w:color w:val="000000" w:themeColor="text1"/>
          <w:sz w:val="24"/>
          <w:szCs w:val="24"/>
          <w:lang w:val="id-ID"/>
        </w:rPr>
        <w:t xml:space="preserve">n pendapat para ulama </w:t>
      </w:r>
      <w:r w:rsidR="00C244C4" w:rsidRPr="00702696">
        <w:rPr>
          <w:rFonts w:ascii="Times New Roman" w:hAnsi="Times New Roman" w:cs="Times New Roman"/>
          <w:i/>
          <w:iCs/>
          <w:color w:val="000000" w:themeColor="text1"/>
          <w:sz w:val="24"/>
          <w:szCs w:val="24"/>
          <w:lang w:val="id-ID"/>
        </w:rPr>
        <w:t>m</w:t>
      </w:r>
      <w:r w:rsidR="00B43A04" w:rsidRPr="00702696">
        <w:rPr>
          <w:rFonts w:ascii="Times New Roman" w:hAnsi="Times New Roman" w:cs="Times New Roman"/>
          <w:i/>
          <w:iCs/>
          <w:color w:val="000000" w:themeColor="text1"/>
          <w:sz w:val="24"/>
          <w:szCs w:val="24"/>
          <w:lang w:val="id-ID"/>
        </w:rPr>
        <w:t>ujtahid</w:t>
      </w:r>
      <w:r w:rsidR="00B43A04">
        <w:rPr>
          <w:rFonts w:ascii="Times New Roman" w:hAnsi="Times New Roman" w:cs="Times New Roman"/>
          <w:color w:val="000000" w:themeColor="text1"/>
          <w:sz w:val="24"/>
          <w:szCs w:val="24"/>
        </w:rPr>
        <w:t>”</w:t>
      </w:r>
      <w:r w:rsidR="00B43A04">
        <w:rPr>
          <w:rStyle w:val="FootnoteReference"/>
          <w:rFonts w:ascii="Times New Roman" w:hAnsi="Times New Roman" w:cs="Times New Roman"/>
          <w:color w:val="000000" w:themeColor="text1"/>
          <w:sz w:val="24"/>
          <w:szCs w:val="24"/>
        </w:rPr>
        <w:footnoteReference w:id="21"/>
      </w:r>
    </w:p>
    <w:p w:rsidR="00B43A04" w:rsidRDefault="00B43A04" w:rsidP="00A241B2">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Sementara</w:t>
      </w:r>
      <w:r w:rsidRPr="00415196">
        <w:rPr>
          <w:rFonts w:ascii="Times New Roman" w:hAnsi="Times New Roman" w:cs="Times New Roman"/>
          <w:color w:val="000000" w:themeColor="text1"/>
          <w:sz w:val="24"/>
          <w:szCs w:val="24"/>
          <w:lang w:val="id-ID"/>
        </w:rPr>
        <w:t xml:space="preserve"> Abdurrahman </w:t>
      </w:r>
      <w:r w:rsidR="002976EF" w:rsidRPr="00A241B2">
        <w:rPr>
          <w:rFonts w:ascii="Times New Roman" w:hAnsi="Times New Roman" w:cs="Times New Roman"/>
          <w:color w:val="000000" w:themeColor="text1"/>
          <w:sz w:val="24"/>
          <w:szCs w:val="24"/>
          <w:lang w:val="id-ID"/>
        </w:rPr>
        <w:t>T</w:t>
      </w:r>
      <w:r w:rsidR="00A241B2" w:rsidRPr="00A241B2">
        <w:rPr>
          <w:rFonts w:ascii="Times New Roman" w:hAnsi="Times New Roman" w:cs="Times New Roman"/>
          <w:color w:val="000000" w:themeColor="text1"/>
          <w:sz w:val="24"/>
          <w:szCs w:val="24"/>
          <w:lang w:val="id-ID"/>
        </w:rPr>
        <w:t>ā</w:t>
      </w:r>
      <w:r w:rsidRPr="00A241B2">
        <w:rPr>
          <w:rFonts w:ascii="Times New Roman" w:hAnsi="Times New Roman" w:cs="Times New Roman"/>
          <w:color w:val="000000" w:themeColor="text1"/>
          <w:sz w:val="24"/>
          <w:szCs w:val="24"/>
          <w:lang w:val="id-ID"/>
        </w:rPr>
        <w:t>j</w:t>
      </w:r>
      <w:r w:rsidRPr="00415196">
        <w:rPr>
          <w:rFonts w:ascii="Times New Roman" w:hAnsi="Times New Roman" w:cs="Times New Roman"/>
          <w:color w:val="000000" w:themeColor="text1"/>
          <w:sz w:val="24"/>
          <w:szCs w:val="24"/>
          <w:lang w:val="id-ID"/>
        </w:rPr>
        <w:t xml:space="preserve"> merumuskan </w:t>
      </w:r>
      <w:r w:rsidR="00A76E3C">
        <w:rPr>
          <w:rFonts w:ascii="Times New Roman" w:hAnsi="Times New Roman" w:cs="Times New Roman"/>
          <w:i/>
          <w:iCs/>
          <w:color w:val="000000" w:themeColor="text1"/>
          <w:sz w:val="24"/>
          <w:szCs w:val="24"/>
          <w:lang w:val="id-ID"/>
        </w:rPr>
        <w:t>siyāsah</w:t>
      </w:r>
      <w:r w:rsidR="00A76E3C">
        <w:rPr>
          <w:rFonts w:ascii="Times New Roman" w:hAnsi="Times New Roman" w:cs="Times New Roman"/>
          <w:i/>
          <w:iCs/>
          <w:color w:val="000000" w:themeColor="text1"/>
          <w:sz w:val="24"/>
          <w:szCs w:val="24"/>
        </w:rPr>
        <w:t xml:space="preserve"> </w:t>
      </w:r>
      <w:r w:rsidR="00CC1D08">
        <w:rPr>
          <w:rFonts w:ascii="Times New Roman" w:hAnsi="Times New Roman" w:cs="Times New Roman"/>
          <w:i/>
          <w:iCs/>
          <w:color w:val="000000" w:themeColor="text1"/>
          <w:sz w:val="24"/>
          <w:szCs w:val="24"/>
          <w:lang w:val="id-ID"/>
        </w:rPr>
        <w:t>syar‘i</w:t>
      </w:r>
      <w:r w:rsidR="009C7A9E">
        <w:rPr>
          <w:rFonts w:ascii="Times New Roman" w:hAnsi="Times New Roman" w:cs="Times New Roman"/>
          <w:i/>
          <w:iCs/>
          <w:color w:val="000000" w:themeColor="text1"/>
          <w:sz w:val="24"/>
          <w:szCs w:val="24"/>
        </w:rPr>
        <w:t>y</w:t>
      </w:r>
      <w:r w:rsidR="00CC1D08">
        <w:rPr>
          <w:rFonts w:ascii="Times New Roman" w:hAnsi="Times New Roman" w:cs="Times New Roman"/>
          <w:i/>
          <w:iCs/>
          <w:color w:val="000000" w:themeColor="text1"/>
          <w:sz w:val="24"/>
          <w:szCs w:val="24"/>
          <w:lang w:val="id-ID"/>
        </w:rPr>
        <w:t>yah</w:t>
      </w:r>
      <w:r w:rsidRPr="00415196">
        <w:rPr>
          <w:rFonts w:ascii="Times New Roman" w:hAnsi="Times New Roman" w:cs="Times New Roman"/>
          <w:color w:val="000000" w:themeColor="text1"/>
          <w:sz w:val="24"/>
          <w:szCs w:val="24"/>
          <w:lang w:val="id-ID"/>
        </w:rPr>
        <w:t xml:space="preserve"> sebagai hukum-hukum yang mengatur kepentingan </w:t>
      </w:r>
      <w:r w:rsidR="00C244C4" w:rsidRPr="00415196">
        <w:rPr>
          <w:rFonts w:ascii="Times New Roman" w:hAnsi="Times New Roman" w:cs="Times New Roman"/>
          <w:color w:val="000000" w:themeColor="text1"/>
          <w:sz w:val="24"/>
          <w:szCs w:val="24"/>
          <w:lang w:val="id-ID"/>
        </w:rPr>
        <w:t>n</w:t>
      </w:r>
      <w:r w:rsidRPr="00415196">
        <w:rPr>
          <w:rFonts w:ascii="Times New Roman" w:hAnsi="Times New Roman" w:cs="Times New Roman"/>
          <w:color w:val="000000" w:themeColor="text1"/>
          <w:sz w:val="24"/>
          <w:szCs w:val="24"/>
          <w:lang w:val="id-ID"/>
        </w:rPr>
        <w:t xml:space="preserve">egara, mengorganisasi permasalahan umat sesuai dengan jiwa (semangat) syariat dan dasar-dasarnya yang universal demi terciptanya tujuan-tujuan kemasyarakatan, walaupun pengaturan tersebut tidak ditegaskan baik oleh </w:t>
      </w:r>
      <w:r w:rsidR="00972E98">
        <w:rPr>
          <w:rFonts w:ascii="Times New Roman" w:hAnsi="Times New Roman" w:cs="Times New Roman"/>
          <w:color w:val="000000" w:themeColor="text1"/>
          <w:sz w:val="24"/>
          <w:szCs w:val="24"/>
          <w:lang w:val="id-ID"/>
        </w:rPr>
        <w:t>Al-Qur’ān</w:t>
      </w:r>
      <w:r w:rsidRPr="00415196">
        <w:rPr>
          <w:rFonts w:ascii="Times New Roman" w:hAnsi="Times New Roman" w:cs="Times New Roman"/>
          <w:color w:val="000000" w:themeColor="text1"/>
          <w:sz w:val="24"/>
          <w:szCs w:val="24"/>
          <w:lang w:val="id-ID"/>
        </w:rPr>
        <w:t xml:space="preserve"> maupun </w:t>
      </w:r>
      <w:r w:rsidR="00D33831" w:rsidRPr="00415196">
        <w:rPr>
          <w:rFonts w:ascii="Times New Roman" w:hAnsi="Times New Roman" w:cs="Times New Roman"/>
          <w:color w:val="000000" w:themeColor="text1"/>
          <w:sz w:val="24"/>
          <w:szCs w:val="24"/>
          <w:lang w:val="id-ID"/>
        </w:rPr>
        <w:t>A</w:t>
      </w:r>
      <w:r w:rsidRPr="00415196">
        <w:rPr>
          <w:rFonts w:ascii="Times New Roman" w:hAnsi="Times New Roman" w:cs="Times New Roman"/>
          <w:color w:val="000000" w:themeColor="text1"/>
          <w:sz w:val="24"/>
          <w:szCs w:val="24"/>
          <w:lang w:val="id-ID"/>
        </w:rPr>
        <w:t>l-</w:t>
      </w:r>
      <w:r w:rsidR="00454E18" w:rsidRPr="00415196">
        <w:rPr>
          <w:rFonts w:ascii="Times New Roman" w:hAnsi="Times New Roman" w:cs="Times New Roman"/>
          <w:color w:val="000000" w:themeColor="text1"/>
          <w:sz w:val="24"/>
          <w:szCs w:val="24"/>
          <w:lang w:val="id-ID"/>
        </w:rPr>
        <w:t>S</w:t>
      </w:r>
      <w:r w:rsidRPr="00415196">
        <w:rPr>
          <w:rFonts w:ascii="Times New Roman" w:hAnsi="Times New Roman" w:cs="Times New Roman"/>
          <w:color w:val="000000" w:themeColor="text1"/>
          <w:sz w:val="24"/>
          <w:szCs w:val="24"/>
          <w:lang w:val="id-ID"/>
        </w:rPr>
        <w:t>unah</w:t>
      </w:r>
      <w:r>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2"/>
      </w:r>
    </w:p>
    <w:p w:rsidR="002D1302" w:rsidRPr="00264324" w:rsidRDefault="00264324" w:rsidP="008D33AE">
      <w:pPr>
        <w:spacing w:after="0" w:line="360" w:lineRule="auto"/>
        <w:ind w:firstLine="720"/>
        <w:jc w:val="both"/>
        <w:rPr>
          <w:rFonts w:ascii="Times New Roman" w:hAnsi="Times New Roman" w:cs="Times New Roman"/>
          <w:sz w:val="24"/>
          <w:szCs w:val="24"/>
        </w:rPr>
      </w:pPr>
      <w:r w:rsidRPr="00907C6A">
        <w:rPr>
          <w:rFonts w:ascii="Times New Roman" w:hAnsi="Times New Roman" w:cs="Times New Roman"/>
          <w:sz w:val="24"/>
          <w:szCs w:val="24"/>
        </w:rPr>
        <w:t>Menurut al-`Utaybi,</w:t>
      </w:r>
      <w:r>
        <w:rPr>
          <w:rFonts w:ascii="Times New Roman" w:hAnsi="Times New Roman" w:cs="Times New Roman"/>
          <w:sz w:val="24"/>
          <w:szCs w:val="24"/>
        </w:rPr>
        <w:t xml:space="preserve"> sebagaimana dikutip oleh Al-Yasa’ </w:t>
      </w:r>
      <w:r w:rsidR="00E9703A">
        <w:rPr>
          <w:rFonts w:ascii="Times New Roman" w:hAnsi="Times New Roman" w:cs="Times New Roman"/>
          <w:sz w:val="24"/>
          <w:szCs w:val="24"/>
        </w:rPr>
        <w:t>Abū</w:t>
      </w:r>
      <w:r w:rsidR="002F3682">
        <w:rPr>
          <w:rFonts w:ascii="Times New Roman" w:hAnsi="Times New Roman" w:cs="Times New Roman"/>
          <w:sz w:val="24"/>
          <w:szCs w:val="24"/>
        </w:rPr>
        <w:t xml:space="preserve"> </w:t>
      </w:r>
      <w:r>
        <w:rPr>
          <w:rFonts w:ascii="Times New Roman" w:hAnsi="Times New Roman" w:cs="Times New Roman"/>
          <w:sz w:val="24"/>
          <w:szCs w:val="24"/>
        </w:rPr>
        <w:t>Bakar, bahwa</w:t>
      </w:r>
      <w:r w:rsidRPr="00907C6A">
        <w:rPr>
          <w:rFonts w:ascii="Times New Roman" w:hAnsi="Times New Roman" w:cs="Times New Roman"/>
          <w:sz w:val="24"/>
          <w:szCs w:val="24"/>
        </w:rPr>
        <w:t xml:space="preserve"> istilah </w:t>
      </w:r>
      <w:r w:rsidR="008D33AE">
        <w:rPr>
          <w:rFonts w:ascii="Times New Roman" w:hAnsi="Times New Roman" w:cs="Times New Roman"/>
          <w:i/>
          <w:iCs/>
          <w:color w:val="000000" w:themeColor="text1"/>
          <w:sz w:val="24"/>
          <w:szCs w:val="24"/>
          <w:lang w:val="id-ID"/>
        </w:rPr>
        <w:t>siyāsah</w:t>
      </w:r>
      <w:r w:rsidR="008D33AE">
        <w:rPr>
          <w:rFonts w:ascii="Times New Roman" w:hAnsi="Times New Roman" w:cs="Times New Roman"/>
          <w:i/>
          <w:iCs/>
          <w:color w:val="000000" w:themeColor="text1"/>
          <w:sz w:val="24"/>
          <w:szCs w:val="24"/>
        </w:rPr>
        <w:t xml:space="preserve"> </w:t>
      </w:r>
      <w:r w:rsidR="008D33AE">
        <w:rPr>
          <w:rFonts w:ascii="Times New Roman" w:hAnsi="Times New Roman" w:cs="Times New Roman"/>
          <w:i/>
          <w:iCs/>
          <w:color w:val="000000" w:themeColor="text1"/>
          <w:sz w:val="24"/>
          <w:szCs w:val="24"/>
          <w:lang w:val="id-ID"/>
        </w:rPr>
        <w:t>syar‘iy</w:t>
      </w:r>
      <w:r w:rsidR="009C7A9E">
        <w:rPr>
          <w:rFonts w:ascii="Times New Roman" w:hAnsi="Times New Roman" w:cs="Times New Roman"/>
          <w:i/>
          <w:iCs/>
          <w:color w:val="000000" w:themeColor="text1"/>
          <w:sz w:val="24"/>
          <w:szCs w:val="24"/>
        </w:rPr>
        <w:t>y</w:t>
      </w:r>
      <w:r w:rsidR="008D33AE">
        <w:rPr>
          <w:rFonts w:ascii="Times New Roman" w:hAnsi="Times New Roman" w:cs="Times New Roman"/>
          <w:i/>
          <w:iCs/>
          <w:color w:val="000000" w:themeColor="text1"/>
          <w:sz w:val="24"/>
          <w:szCs w:val="24"/>
          <w:lang w:val="id-ID"/>
        </w:rPr>
        <w:t>ah</w:t>
      </w:r>
      <w:r w:rsidR="008D33AE" w:rsidRPr="00415196">
        <w:rPr>
          <w:rFonts w:ascii="Times New Roman" w:hAnsi="Times New Roman" w:cs="Times New Roman"/>
          <w:color w:val="000000" w:themeColor="text1"/>
          <w:sz w:val="24"/>
          <w:szCs w:val="24"/>
          <w:lang w:val="id-ID"/>
        </w:rPr>
        <w:t xml:space="preserve"> </w:t>
      </w:r>
      <w:r w:rsidRPr="00907C6A">
        <w:rPr>
          <w:rFonts w:ascii="Times New Roman" w:hAnsi="Times New Roman" w:cs="Times New Roman"/>
          <w:sz w:val="24"/>
          <w:szCs w:val="24"/>
        </w:rPr>
        <w:t>digunakan dalam dua makna besar. Pertama makna yang menonjolkan aspek akhlak dan sosial kemasyarakatan, dan yang kedua makna yang menonjolkan aspek hukum dan peraturan, sehingga menjadikannya seb</w:t>
      </w:r>
      <w:r w:rsidR="005238F0">
        <w:rPr>
          <w:rFonts w:ascii="Times New Roman" w:hAnsi="Times New Roman" w:cs="Times New Roman"/>
          <w:sz w:val="24"/>
          <w:szCs w:val="24"/>
        </w:rPr>
        <w:t>agai bagian dari pembahasan fiq</w:t>
      </w:r>
      <w:r w:rsidRPr="00907C6A">
        <w:rPr>
          <w:rFonts w:ascii="Times New Roman" w:hAnsi="Times New Roman" w:cs="Times New Roman"/>
          <w:sz w:val="24"/>
          <w:szCs w:val="24"/>
        </w:rPr>
        <w:t>h.</w:t>
      </w:r>
      <w:r>
        <w:rPr>
          <w:rStyle w:val="FootnoteReference"/>
          <w:rFonts w:ascii="Times New Roman" w:hAnsi="Times New Roman" w:cs="Times New Roman"/>
          <w:sz w:val="24"/>
          <w:szCs w:val="24"/>
        </w:rPr>
        <w:footnoteReference w:id="23"/>
      </w:r>
      <w:r w:rsidRPr="00907C6A">
        <w:rPr>
          <w:rFonts w:ascii="Times New Roman" w:hAnsi="Times New Roman" w:cs="Times New Roman"/>
          <w:sz w:val="24"/>
          <w:szCs w:val="24"/>
        </w:rPr>
        <w:t xml:space="preserve"> </w:t>
      </w:r>
    </w:p>
    <w:p w:rsidR="00931598" w:rsidRDefault="0020257F" w:rsidP="004A1BAB">
      <w:pPr>
        <w:spacing w:after="0" w:line="360" w:lineRule="auto"/>
        <w:ind w:firstLine="720"/>
        <w:jc w:val="both"/>
        <w:rPr>
          <w:rFonts w:ascii="Times New Roman" w:hAnsi="Times New Roman" w:cs="Times New Roman"/>
          <w:sz w:val="24"/>
          <w:szCs w:val="24"/>
        </w:rPr>
      </w:pPr>
      <w:r w:rsidRPr="00907C6A">
        <w:rPr>
          <w:rFonts w:ascii="Times New Roman" w:hAnsi="Times New Roman" w:cs="Times New Roman"/>
          <w:sz w:val="24"/>
          <w:szCs w:val="24"/>
        </w:rPr>
        <w:lastRenderedPageBreak/>
        <w:t xml:space="preserve">Menurut </w:t>
      </w:r>
      <w:r w:rsidR="004A1BAB" w:rsidRPr="00B44FD9">
        <w:rPr>
          <w:rFonts w:ascii="Times New Roman" w:hAnsi="Times New Roman" w:cs="Times New Roman"/>
          <w:sz w:val="24"/>
          <w:szCs w:val="24"/>
          <w:lang w:val="sv-SE"/>
        </w:rPr>
        <w:t>Ibnu Qayyim al-Jauzi (</w:t>
      </w:r>
      <w:r w:rsidR="004A1BAB">
        <w:rPr>
          <w:rFonts w:ascii="Times New Roman" w:hAnsi="Times New Roman" w:cs="Times New Roman"/>
          <w:sz w:val="24"/>
          <w:szCs w:val="24"/>
          <w:lang w:val="sv-SE"/>
        </w:rPr>
        <w:t>w.</w:t>
      </w:r>
      <w:r w:rsidR="004A1BAB" w:rsidRPr="00B44FD9">
        <w:rPr>
          <w:rFonts w:ascii="Times New Roman" w:hAnsi="Times New Roman" w:cs="Times New Roman"/>
          <w:sz w:val="24"/>
          <w:szCs w:val="24"/>
          <w:lang w:val="sv-SE"/>
        </w:rPr>
        <w:t>751 H</w:t>
      </w:r>
      <w:r w:rsidR="004A1BAB">
        <w:rPr>
          <w:rFonts w:ascii="Times New Roman" w:hAnsi="Times New Roman" w:cs="Times New Roman"/>
          <w:sz w:val="24"/>
          <w:szCs w:val="24"/>
          <w:lang w:val="sv-SE"/>
        </w:rPr>
        <w:t>)</w:t>
      </w:r>
      <w:r w:rsidRPr="00907C6A">
        <w:rPr>
          <w:rFonts w:ascii="Times New Roman" w:hAnsi="Times New Roman" w:cs="Times New Roman"/>
          <w:sz w:val="24"/>
          <w:szCs w:val="24"/>
        </w:rPr>
        <w:t xml:space="preserve">, istilah </w:t>
      </w:r>
      <w:r w:rsidR="00E662A3">
        <w:rPr>
          <w:rFonts w:ascii="Times New Roman" w:hAnsi="Times New Roman" w:cs="Times New Roman"/>
          <w:i/>
          <w:iCs/>
          <w:color w:val="000000" w:themeColor="text1"/>
          <w:sz w:val="24"/>
          <w:szCs w:val="24"/>
          <w:lang w:val="id-ID"/>
        </w:rPr>
        <w:t>siyāsah</w:t>
      </w:r>
      <w:r w:rsidR="00E662A3">
        <w:rPr>
          <w:rFonts w:ascii="Times New Roman" w:hAnsi="Times New Roman" w:cs="Times New Roman"/>
          <w:i/>
          <w:iCs/>
          <w:color w:val="000000" w:themeColor="text1"/>
          <w:sz w:val="24"/>
          <w:szCs w:val="24"/>
        </w:rPr>
        <w:t xml:space="preserve"> </w:t>
      </w:r>
      <w:r w:rsidR="00E662A3">
        <w:rPr>
          <w:rFonts w:ascii="Times New Roman" w:hAnsi="Times New Roman" w:cs="Times New Roman"/>
          <w:i/>
          <w:iCs/>
          <w:color w:val="000000" w:themeColor="text1"/>
          <w:sz w:val="24"/>
          <w:szCs w:val="24"/>
          <w:lang w:val="id-ID"/>
        </w:rPr>
        <w:t>syar‘iy</w:t>
      </w:r>
      <w:r w:rsidR="009C7A9E">
        <w:rPr>
          <w:rFonts w:ascii="Times New Roman" w:hAnsi="Times New Roman" w:cs="Times New Roman"/>
          <w:i/>
          <w:iCs/>
          <w:color w:val="000000" w:themeColor="text1"/>
          <w:sz w:val="24"/>
          <w:szCs w:val="24"/>
        </w:rPr>
        <w:t>y</w:t>
      </w:r>
      <w:r w:rsidR="00E662A3">
        <w:rPr>
          <w:rFonts w:ascii="Times New Roman" w:hAnsi="Times New Roman" w:cs="Times New Roman"/>
          <w:i/>
          <w:iCs/>
          <w:color w:val="000000" w:themeColor="text1"/>
          <w:sz w:val="24"/>
          <w:szCs w:val="24"/>
          <w:lang w:val="id-ID"/>
        </w:rPr>
        <w:t>ah</w:t>
      </w:r>
      <w:r w:rsidR="00E662A3" w:rsidRPr="00415196">
        <w:rPr>
          <w:rFonts w:ascii="Times New Roman" w:hAnsi="Times New Roman" w:cs="Times New Roman"/>
          <w:color w:val="000000" w:themeColor="text1"/>
          <w:sz w:val="24"/>
          <w:szCs w:val="24"/>
          <w:lang w:val="id-ID"/>
        </w:rPr>
        <w:t xml:space="preserve"> </w:t>
      </w:r>
      <w:r w:rsidR="002D1302">
        <w:rPr>
          <w:rFonts w:ascii="Times New Roman" w:hAnsi="Times New Roman" w:cs="Times New Roman"/>
          <w:sz w:val="24"/>
          <w:szCs w:val="24"/>
        </w:rPr>
        <w:t xml:space="preserve">suatu perbuatan yang membawa menusia dekat pada kemaslahatan dan terhindar dari kerusakan walaupun </w:t>
      </w:r>
      <w:r w:rsidR="00160F42">
        <w:rPr>
          <w:rFonts w:ascii="Times New Roman" w:hAnsi="Times New Roman" w:cs="Times New Roman"/>
          <w:sz w:val="24"/>
          <w:szCs w:val="24"/>
        </w:rPr>
        <w:t>R</w:t>
      </w:r>
      <w:r w:rsidR="002D1302">
        <w:rPr>
          <w:rFonts w:ascii="Times New Roman" w:hAnsi="Times New Roman" w:cs="Times New Roman"/>
          <w:sz w:val="24"/>
          <w:szCs w:val="24"/>
        </w:rPr>
        <w:t>asul tidak menetapkannya dan Allah tidak mewahyukannya</w:t>
      </w:r>
      <w:r w:rsidRPr="00907C6A">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r w:rsidRPr="00907C6A">
        <w:rPr>
          <w:rFonts w:ascii="Times New Roman" w:hAnsi="Times New Roman" w:cs="Times New Roman"/>
          <w:sz w:val="24"/>
          <w:szCs w:val="24"/>
        </w:rPr>
        <w:t xml:space="preserve"> </w:t>
      </w:r>
      <w:r w:rsidR="00FF3A67">
        <w:rPr>
          <w:rFonts w:ascii="Times New Roman" w:hAnsi="Times New Roman" w:cs="Times New Roman"/>
          <w:sz w:val="24"/>
          <w:szCs w:val="24"/>
        </w:rPr>
        <w:t xml:space="preserve">Lanjutnya </w:t>
      </w:r>
      <w:r w:rsidR="004E10CF">
        <w:rPr>
          <w:rFonts w:asciiTheme="majorBidi" w:hAnsiTheme="majorBidi" w:cstheme="majorBidi"/>
          <w:sz w:val="24"/>
          <w:szCs w:val="24"/>
        </w:rPr>
        <w:t xml:space="preserve">bahwa </w:t>
      </w:r>
      <w:r w:rsidR="00E662A3">
        <w:rPr>
          <w:rFonts w:ascii="Times New Roman" w:hAnsi="Times New Roman" w:cs="Times New Roman"/>
          <w:i/>
          <w:iCs/>
          <w:color w:val="000000" w:themeColor="text1"/>
          <w:sz w:val="24"/>
          <w:szCs w:val="24"/>
          <w:lang w:val="id-ID"/>
        </w:rPr>
        <w:t>siyāsah</w:t>
      </w:r>
      <w:r w:rsidR="004A1BAB">
        <w:rPr>
          <w:rFonts w:ascii="Times New Roman" w:hAnsi="Times New Roman" w:cs="Times New Roman"/>
          <w:i/>
          <w:iCs/>
          <w:color w:val="000000" w:themeColor="text1"/>
          <w:sz w:val="24"/>
          <w:szCs w:val="24"/>
        </w:rPr>
        <w:t xml:space="preserve"> </w:t>
      </w:r>
      <w:r w:rsidR="00E662A3">
        <w:rPr>
          <w:rFonts w:ascii="Times New Roman" w:hAnsi="Times New Roman" w:cs="Times New Roman"/>
          <w:i/>
          <w:iCs/>
          <w:color w:val="000000" w:themeColor="text1"/>
          <w:sz w:val="24"/>
          <w:szCs w:val="24"/>
          <w:lang w:val="id-ID"/>
        </w:rPr>
        <w:t>syar‘i</w:t>
      </w:r>
      <w:r w:rsidR="009C7A9E">
        <w:rPr>
          <w:rFonts w:ascii="Times New Roman" w:hAnsi="Times New Roman" w:cs="Times New Roman"/>
          <w:i/>
          <w:iCs/>
          <w:color w:val="000000" w:themeColor="text1"/>
          <w:sz w:val="24"/>
          <w:szCs w:val="24"/>
        </w:rPr>
        <w:t>y</w:t>
      </w:r>
      <w:r w:rsidR="00E662A3">
        <w:rPr>
          <w:rFonts w:ascii="Times New Roman" w:hAnsi="Times New Roman" w:cs="Times New Roman"/>
          <w:i/>
          <w:iCs/>
          <w:color w:val="000000" w:themeColor="text1"/>
          <w:sz w:val="24"/>
          <w:szCs w:val="24"/>
          <w:lang w:val="id-ID"/>
        </w:rPr>
        <w:t>yah</w:t>
      </w:r>
      <w:r w:rsidR="00E662A3" w:rsidRPr="00415196">
        <w:rPr>
          <w:rFonts w:ascii="Times New Roman" w:hAnsi="Times New Roman" w:cs="Times New Roman"/>
          <w:color w:val="000000" w:themeColor="text1"/>
          <w:sz w:val="24"/>
          <w:szCs w:val="24"/>
          <w:lang w:val="id-ID"/>
        </w:rPr>
        <w:t xml:space="preserve"> </w:t>
      </w:r>
      <w:r w:rsidR="004E10CF">
        <w:rPr>
          <w:rFonts w:asciiTheme="majorBidi" w:hAnsiTheme="majorBidi" w:cstheme="majorBidi"/>
          <w:sz w:val="24"/>
          <w:szCs w:val="24"/>
        </w:rPr>
        <w:t xml:space="preserve">adalah </w:t>
      </w:r>
      <w:r w:rsidR="00881BDC">
        <w:rPr>
          <w:rFonts w:asciiTheme="majorBidi" w:hAnsiTheme="majorBidi" w:cstheme="majorBidi"/>
          <w:i/>
          <w:iCs/>
          <w:sz w:val="24"/>
          <w:szCs w:val="24"/>
        </w:rPr>
        <w:t xml:space="preserve">siyāsah </w:t>
      </w:r>
      <w:r w:rsidR="004E10CF">
        <w:rPr>
          <w:rFonts w:asciiTheme="majorBidi" w:hAnsiTheme="majorBidi" w:cstheme="majorBidi"/>
          <w:sz w:val="24"/>
          <w:szCs w:val="24"/>
        </w:rPr>
        <w:t xml:space="preserve"> yang mengacu kepada </w:t>
      </w:r>
      <w:r w:rsidR="004E10CF" w:rsidRPr="00741EF3">
        <w:rPr>
          <w:rFonts w:asciiTheme="majorBidi" w:hAnsiTheme="majorBidi" w:cstheme="majorBidi"/>
          <w:i/>
          <w:iCs/>
          <w:sz w:val="24"/>
          <w:szCs w:val="24"/>
        </w:rPr>
        <w:t>Syara</w:t>
      </w:r>
      <w:r w:rsidR="00E662A3">
        <w:t>‘</w:t>
      </w:r>
      <w:r w:rsidR="004E10CF">
        <w:rPr>
          <w:rFonts w:asciiTheme="majorBidi" w:hAnsiTheme="majorBidi" w:cstheme="majorBidi"/>
          <w:sz w:val="24"/>
          <w:szCs w:val="24"/>
        </w:rPr>
        <w:t>.</w:t>
      </w:r>
      <w:r w:rsidR="004E10CF">
        <w:rPr>
          <w:rStyle w:val="FootnoteReference"/>
          <w:rFonts w:asciiTheme="majorBidi" w:hAnsiTheme="majorBidi" w:cstheme="majorBidi"/>
          <w:sz w:val="24"/>
          <w:szCs w:val="24"/>
        </w:rPr>
        <w:footnoteReference w:id="25"/>
      </w:r>
      <w:r w:rsidR="00FF3A67" w:rsidRPr="00FF3A67">
        <w:rPr>
          <w:rFonts w:asciiTheme="majorBidi" w:hAnsiTheme="majorBidi" w:cstheme="majorBidi"/>
          <w:sz w:val="24"/>
          <w:szCs w:val="24"/>
        </w:rPr>
        <w:t xml:space="preserve"> </w:t>
      </w:r>
      <w:r w:rsidR="00FF3A67">
        <w:rPr>
          <w:rFonts w:asciiTheme="majorBidi" w:hAnsiTheme="majorBidi" w:cstheme="majorBidi"/>
          <w:sz w:val="24"/>
          <w:szCs w:val="24"/>
        </w:rPr>
        <w:t>Dalam mekanisme pengendalian dan pengarahan kehidupan umat, terkait keharusan moral dan politisi untuk senantiasa mewujudkan keadilan, kerahmatan, kemaslahatan dan kehikmahan.</w:t>
      </w:r>
      <w:r w:rsidR="00FF3A67">
        <w:rPr>
          <w:rStyle w:val="FootnoteReference"/>
          <w:rFonts w:asciiTheme="majorBidi" w:hAnsiTheme="majorBidi" w:cstheme="majorBidi"/>
          <w:sz w:val="24"/>
          <w:szCs w:val="24"/>
        </w:rPr>
        <w:footnoteReference w:id="26"/>
      </w:r>
    </w:p>
    <w:p w:rsidR="0020257F" w:rsidRPr="00D94FDD" w:rsidRDefault="0020257F" w:rsidP="002F3682">
      <w:pPr>
        <w:spacing w:line="360" w:lineRule="auto"/>
        <w:ind w:firstLine="720"/>
        <w:jc w:val="both"/>
        <w:rPr>
          <w:rFonts w:ascii="Times New Roman" w:hAnsi="Times New Roman" w:cs="Times New Roman"/>
          <w:sz w:val="24"/>
          <w:szCs w:val="24"/>
          <w:lang w:val="sv-SE"/>
        </w:rPr>
      </w:pPr>
      <w:r w:rsidRPr="00907C6A">
        <w:rPr>
          <w:rFonts w:ascii="Times New Roman" w:hAnsi="Times New Roman" w:cs="Times New Roman"/>
          <w:sz w:val="24"/>
          <w:szCs w:val="24"/>
        </w:rPr>
        <w:t xml:space="preserve">Menurut </w:t>
      </w:r>
      <w:r w:rsidR="00D94FDD">
        <w:rPr>
          <w:rFonts w:ascii="Times New Roman" w:hAnsi="Times New Roman" w:cs="Times New Roman"/>
          <w:sz w:val="24"/>
          <w:szCs w:val="24"/>
          <w:lang w:val="sv-SE"/>
        </w:rPr>
        <w:t xml:space="preserve">Ibnu Taymiyyah </w:t>
      </w:r>
      <w:r w:rsidR="00D94FDD" w:rsidRPr="00E81493">
        <w:rPr>
          <w:rFonts w:ascii="Times New Roman" w:hAnsi="Times New Roman" w:cs="Times New Roman"/>
          <w:sz w:val="24"/>
          <w:szCs w:val="24"/>
          <w:lang w:val="sv-SE"/>
        </w:rPr>
        <w:t>(728 H)</w:t>
      </w:r>
      <w:r w:rsidR="002F3682">
        <w:rPr>
          <w:rFonts w:ascii="Times New Roman" w:hAnsi="Times New Roman" w:cs="Times New Roman"/>
          <w:sz w:val="24"/>
          <w:szCs w:val="24"/>
          <w:lang w:val="sv-SE"/>
        </w:rPr>
        <w:t xml:space="preserve"> </w:t>
      </w:r>
      <w:r w:rsidR="008560B5">
        <w:rPr>
          <w:rFonts w:ascii="Times New Roman" w:hAnsi="Times New Roman" w:cs="Times New Roman"/>
          <w:sz w:val="24"/>
          <w:szCs w:val="24"/>
        </w:rPr>
        <w:t>sebagaimana dikutip oleh Utsaimin,</w:t>
      </w:r>
      <w:r w:rsidRPr="00907C6A">
        <w:rPr>
          <w:rFonts w:ascii="Times New Roman" w:hAnsi="Times New Roman" w:cs="Times New Roman"/>
          <w:sz w:val="24"/>
          <w:szCs w:val="24"/>
        </w:rPr>
        <w:t xml:space="preserve"> istilah </w:t>
      </w:r>
      <w:r w:rsidR="00DC0370">
        <w:rPr>
          <w:rFonts w:ascii="Times New Roman" w:hAnsi="Times New Roman" w:cs="Times New Roman"/>
          <w:i/>
          <w:iCs/>
          <w:color w:val="000000" w:themeColor="text1"/>
          <w:sz w:val="24"/>
          <w:szCs w:val="24"/>
          <w:lang w:val="id-ID"/>
        </w:rPr>
        <w:t>siyāsah</w:t>
      </w:r>
      <w:r w:rsidR="00DC0370">
        <w:rPr>
          <w:rFonts w:ascii="Times New Roman" w:hAnsi="Times New Roman" w:cs="Times New Roman"/>
          <w:i/>
          <w:iCs/>
          <w:color w:val="000000" w:themeColor="text1"/>
          <w:sz w:val="24"/>
          <w:szCs w:val="24"/>
        </w:rPr>
        <w:t xml:space="preserve"> </w:t>
      </w:r>
      <w:r w:rsidR="00DC0370">
        <w:rPr>
          <w:rFonts w:ascii="Times New Roman" w:hAnsi="Times New Roman" w:cs="Times New Roman"/>
          <w:i/>
          <w:iCs/>
          <w:color w:val="000000" w:themeColor="text1"/>
          <w:sz w:val="24"/>
          <w:szCs w:val="24"/>
          <w:lang w:val="id-ID"/>
        </w:rPr>
        <w:t>syar‘i</w:t>
      </w:r>
      <w:r w:rsidR="009C7A9E">
        <w:rPr>
          <w:rFonts w:ascii="Times New Roman" w:hAnsi="Times New Roman" w:cs="Times New Roman"/>
          <w:i/>
          <w:iCs/>
          <w:color w:val="000000" w:themeColor="text1"/>
          <w:sz w:val="24"/>
          <w:szCs w:val="24"/>
        </w:rPr>
        <w:t>y</w:t>
      </w:r>
      <w:r w:rsidR="00DC0370">
        <w:rPr>
          <w:rFonts w:ascii="Times New Roman" w:hAnsi="Times New Roman" w:cs="Times New Roman"/>
          <w:i/>
          <w:iCs/>
          <w:color w:val="000000" w:themeColor="text1"/>
          <w:sz w:val="24"/>
          <w:szCs w:val="24"/>
          <w:lang w:val="id-ID"/>
        </w:rPr>
        <w:t>yah</w:t>
      </w:r>
      <w:r w:rsidR="00DC0370" w:rsidRPr="00415196">
        <w:rPr>
          <w:rFonts w:ascii="Times New Roman" w:hAnsi="Times New Roman" w:cs="Times New Roman"/>
          <w:color w:val="000000" w:themeColor="text1"/>
          <w:sz w:val="24"/>
          <w:szCs w:val="24"/>
          <w:lang w:val="id-ID"/>
        </w:rPr>
        <w:t xml:space="preserve"> </w:t>
      </w:r>
      <w:r w:rsidRPr="00907C6A">
        <w:rPr>
          <w:rFonts w:ascii="Times New Roman" w:hAnsi="Times New Roman" w:cs="Times New Roman"/>
          <w:sz w:val="24"/>
          <w:szCs w:val="24"/>
        </w:rPr>
        <w:t xml:space="preserve">digunakan dalam empat makna. </w:t>
      </w:r>
      <w:r w:rsidRPr="008560B5">
        <w:rPr>
          <w:rFonts w:ascii="Times New Roman" w:hAnsi="Times New Roman" w:cs="Times New Roman"/>
          <w:sz w:val="24"/>
          <w:szCs w:val="24"/>
        </w:rPr>
        <w:t>Pertama</w:t>
      </w:r>
      <w:r w:rsidRPr="00907C6A">
        <w:rPr>
          <w:rFonts w:ascii="Times New Roman" w:hAnsi="Times New Roman" w:cs="Times New Roman"/>
          <w:sz w:val="24"/>
          <w:szCs w:val="24"/>
        </w:rPr>
        <w:t xml:space="preserve"> </w:t>
      </w:r>
      <w:r w:rsidR="00DC0370">
        <w:rPr>
          <w:rFonts w:ascii="Times New Roman" w:hAnsi="Times New Roman" w:cs="Times New Roman"/>
          <w:i/>
          <w:iCs/>
          <w:color w:val="000000" w:themeColor="text1"/>
          <w:sz w:val="24"/>
          <w:szCs w:val="24"/>
          <w:lang w:val="id-ID"/>
        </w:rPr>
        <w:t>siyāsah</w:t>
      </w:r>
      <w:r w:rsidR="00DC0370">
        <w:rPr>
          <w:rFonts w:ascii="Times New Roman" w:hAnsi="Times New Roman" w:cs="Times New Roman"/>
          <w:i/>
          <w:iCs/>
          <w:color w:val="000000" w:themeColor="text1"/>
          <w:sz w:val="24"/>
          <w:szCs w:val="24"/>
        </w:rPr>
        <w:t xml:space="preserve"> </w:t>
      </w:r>
      <w:r w:rsidR="00DC0370">
        <w:rPr>
          <w:rFonts w:ascii="Times New Roman" w:hAnsi="Times New Roman" w:cs="Times New Roman"/>
          <w:i/>
          <w:iCs/>
          <w:color w:val="000000" w:themeColor="text1"/>
          <w:sz w:val="24"/>
          <w:szCs w:val="24"/>
          <w:lang w:val="id-ID"/>
        </w:rPr>
        <w:t>syar‘i</w:t>
      </w:r>
      <w:r w:rsidR="009C7A9E">
        <w:rPr>
          <w:rFonts w:ascii="Times New Roman" w:hAnsi="Times New Roman" w:cs="Times New Roman"/>
          <w:i/>
          <w:iCs/>
          <w:color w:val="000000" w:themeColor="text1"/>
          <w:sz w:val="24"/>
          <w:szCs w:val="24"/>
        </w:rPr>
        <w:t>y</w:t>
      </w:r>
      <w:r w:rsidR="00DC0370">
        <w:rPr>
          <w:rFonts w:ascii="Times New Roman" w:hAnsi="Times New Roman" w:cs="Times New Roman"/>
          <w:i/>
          <w:iCs/>
          <w:color w:val="000000" w:themeColor="text1"/>
          <w:sz w:val="24"/>
          <w:szCs w:val="24"/>
          <w:lang w:val="id-ID"/>
        </w:rPr>
        <w:t>yah</w:t>
      </w:r>
      <w:r w:rsidR="00DC0370" w:rsidRPr="00415196">
        <w:rPr>
          <w:rFonts w:ascii="Times New Roman" w:hAnsi="Times New Roman" w:cs="Times New Roman"/>
          <w:color w:val="000000" w:themeColor="text1"/>
          <w:sz w:val="24"/>
          <w:szCs w:val="24"/>
          <w:lang w:val="id-ID"/>
        </w:rPr>
        <w:t xml:space="preserve"> </w:t>
      </w:r>
      <w:r w:rsidRPr="00907C6A">
        <w:rPr>
          <w:rFonts w:ascii="Times New Roman" w:hAnsi="Times New Roman" w:cs="Times New Roman"/>
          <w:sz w:val="24"/>
          <w:szCs w:val="24"/>
        </w:rPr>
        <w:t xml:space="preserve">meliputi semua pembahasan tentang kewenangan dan tugas kepala negara (imam, khalifah) untuk mensejahterakan rakyat dalam arti yang luas. </w:t>
      </w:r>
      <w:r w:rsidR="00FC1C27" w:rsidRPr="008560B5">
        <w:rPr>
          <w:rFonts w:ascii="Times New Roman" w:hAnsi="Times New Roman" w:cs="Times New Roman"/>
          <w:sz w:val="24"/>
          <w:szCs w:val="24"/>
        </w:rPr>
        <w:t>K</w:t>
      </w:r>
      <w:r w:rsidRPr="008560B5">
        <w:rPr>
          <w:rFonts w:ascii="Times New Roman" w:hAnsi="Times New Roman" w:cs="Times New Roman"/>
          <w:sz w:val="24"/>
          <w:szCs w:val="24"/>
        </w:rPr>
        <w:t>edua</w:t>
      </w:r>
      <w:r w:rsidR="008560B5" w:rsidRPr="008560B5">
        <w:rPr>
          <w:rFonts w:ascii="Times New Roman" w:hAnsi="Times New Roman" w:cs="Times New Roman"/>
          <w:sz w:val="24"/>
          <w:szCs w:val="24"/>
        </w:rPr>
        <w:t>,</w:t>
      </w:r>
      <w:r w:rsidR="008560B5">
        <w:rPr>
          <w:rFonts w:ascii="Times New Roman" w:hAnsi="Times New Roman" w:cs="Times New Roman"/>
          <w:sz w:val="24"/>
          <w:szCs w:val="24"/>
        </w:rPr>
        <w:t xml:space="preserve"> </w:t>
      </w:r>
      <w:r w:rsidRPr="00907C6A">
        <w:rPr>
          <w:rFonts w:ascii="Times New Roman" w:hAnsi="Times New Roman" w:cs="Times New Roman"/>
          <w:sz w:val="24"/>
          <w:szCs w:val="24"/>
        </w:rPr>
        <w:t>membahas hubungan dan tugas kepala pemerintahan terhadap rakyat serta hubungan dan tugas rakyat kepada pemerintah</w:t>
      </w:r>
      <w:r w:rsidR="00FC1C27">
        <w:rPr>
          <w:rFonts w:ascii="Times New Roman" w:hAnsi="Times New Roman" w:cs="Times New Roman"/>
          <w:sz w:val="24"/>
          <w:szCs w:val="24"/>
        </w:rPr>
        <w:t>.</w:t>
      </w:r>
      <w:r w:rsidRPr="00907C6A">
        <w:rPr>
          <w:rFonts w:ascii="Times New Roman" w:hAnsi="Times New Roman" w:cs="Times New Roman"/>
          <w:sz w:val="24"/>
          <w:szCs w:val="24"/>
        </w:rPr>
        <w:t xml:space="preserve"> Jadi tidak termasuk tentang pemilihan kepala pemerintahan dan masalah perang. Makna yang </w:t>
      </w:r>
      <w:r w:rsidRPr="008560B5">
        <w:rPr>
          <w:rFonts w:ascii="Times New Roman" w:hAnsi="Times New Roman" w:cs="Times New Roman"/>
          <w:sz w:val="24"/>
          <w:szCs w:val="24"/>
        </w:rPr>
        <w:t>ketiga</w:t>
      </w:r>
      <w:r w:rsidRPr="00907C6A">
        <w:rPr>
          <w:rFonts w:ascii="Times New Roman" w:hAnsi="Times New Roman" w:cs="Times New Roman"/>
          <w:sz w:val="24"/>
          <w:szCs w:val="24"/>
        </w:rPr>
        <w:t xml:space="preserve">, terbatas pada tugas kepala pemerintahan untuk menegakkan keadilan dan menjalankan peradilan, atau dengan kata lain menegakkan hukum bahkan menyusunnya dalam batas-batas tertentu. Makna yang </w:t>
      </w:r>
      <w:r w:rsidRPr="008560B5">
        <w:rPr>
          <w:rFonts w:ascii="Times New Roman" w:hAnsi="Times New Roman" w:cs="Times New Roman"/>
          <w:sz w:val="24"/>
          <w:szCs w:val="24"/>
        </w:rPr>
        <w:t xml:space="preserve">keempat </w:t>
      </w:r>
      <w:r w:rsidR="00651E73">
        <w:rPr>
          <w:rFonts w:ascii="Times New Roman" w:hAnsi="Times New Roman" w:cs="Times New Roman"/>
          <w:sz w:val="24"/>
          <w:szCs w:val="24"/>
        </w:rPr>
        <w:t>merupakan ketentuan fiq</w:t>
      </w:r>
      <w:r w:rsidRPr="00907C6A">
        <w:rPr>
          <w:rFonts w:ascii="Times New Roman" w:hAnsi="Times New Roman" w:cs="Times New Roman"/>
          <w:sz w:val="24"/>
          <w:szCs w:val="24"/>
        </w:rPr>
        <w:t>h atas masalah-masalah tertentu yang tidak ada nash khususnya, atau ketentuan fiqih yang dapat menerima perubahan relati</w:t>
      </w:r>
      <w:r w:rsidR="009B24B3">
        <w:rPr>
          <w:rFonts w:ascii="Times New Roman" w:hAnsi="Times New Roman" w:cs="Times New Roman"/>
          <w:sz w:val="24"/>
          <w:szCs w:val="24"/>
        </w:rPr>
        <w:t>f besar karena adanya perubahan</w:t>
      </w:r>
      <w:r w:rsidR="00DC0370" w:rsidRPr="008E5F4C">
        <w:rPr>
          <w:i/>
          <w:iCs/>
        </w:rPr>
        <w:t>‘</w:t>
      </w:r>
      <w:r w:rsidR="00DC0370" w:rsidRPr="008E5F4C">
        <w:rPr>
          <w:rFonts w:ascii="Times New Roman" w:hAnsi="Times New Roman" w:cs="Times New Roman"/>
          <w:i/>
          <w:iCs/>
          <w:sz w:val="24"/>
          <w:szCs w:val="24"/>
        </w:rPr>
        <w:t>illat</w:t>
      </w:r>
      <w:r w:rsidR="00FC1C27">
        <w:rPr>
          <w:rFonts w:ascii="Times New Roman" w:hAnsi="Times New Roman" w:cs="Times New Roman"/>
          <w:i/>
          <w:iCs/>
          <w:sz w:val="24"/>
          <w:szCs w:val="24"/>
        </w:rPr>
        <w:t xml:space="preserve"> </w:t>
      </w:r>
      <w:r w:rsidRPr="00907C6A">
        <w:rPr>
          <w:rFonts w:ascii="Times New Roman" w:hAnsi="Times New Roman" w:cs="Times New Roman"/>
          <w:sz w:val="24"/>
          <w:szCs w:val="24"/>
        </w:rPr>
        <w:t>(</w:t>
      </w:r>
      <w:r w:rsidR="00C04102">
        <w:rPr>
          <w:rFonts w:ascii="Times New Roman" w:hAnsi="Times New Roman" w:cs="Times New Roman"/>
          <w:i/>
          <w:iCs/>
          <w:sz w:val="24"/>
          <w:szCs w:val="24"/>
        </w:rPr>
        <w:t xml:space="preserve">al-tabaddul fi </w:t>
      </w:r>
      <w:r w:rsidR="00DC0370" w:rsidRPr="00907C6A">
        <w:rPr>
          <w:rFonts w:ascii="Times New Roman" w:hAnsi="Times New Roman" w:cs="Times New Roman"/>
          <w:i/>
          <w:iCs/>
          <w:sz w:val="24"/>
          <w:szCs w:val="24"/>
        </w:rPr>
        <w:t>al-man</w:t>
      </w:r>
      <w:r w:rsidR="002F3682" w:rsidRPr="002F3682">
        <w:rPr>
          <w:rFonts w:asciiTheme="majorBidi" w:hAnsiTheme="majorBidi" w:cstheme="majorBidi"/>
          <w:i/>
          <w:iCs/>
          <w:sz w:val="24"/>
          <w:szCs w:val="24"/>
        </w:rPr>
        <w:t>ā</w:t>
      </w:r>
      <w:r w:rsidR="00DC0370" w:rsidRPr="00DC7F46">
        <w:rPr>
          <w:rFonts w:asciiTheme="majorBidi" w:hAnsiTheme="majorBidi" w:cstheme="majorBidi"/>
          <w:i/>
          <w:iCs/>
        </w:rPr>
        <w:t>ṭ</w:t>
      </w:r>
      <w:r w:rsidRPr="00907C6A">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p>
    <w:p w:rsidR="005A3960" w:rsidRPr="00F40535" w:rsidRDefault="00B731F0" w:rsidP="00732D72">
      <w:pPr>
        <w:autoSpaceDE w:val="0"/>
        <w:autoSpaceDN w:val="0"/>
        <w:adjustRightInd w:val="0"/>
        <w:spacing w:after="0" w:line="360" w:lineRule="auto"/>
        <w:ind w:firstLine="720"/>
        <w:jc w:val="both"/>
        <w:rPr>
          <w:rFonts w:asciiTheme="majorBidi" w:hAnsiTheme="majorBidi" w:cstheme="majorBidi"/>
          <w:color w:val="000000"/>
          <w:sz w:val="24"/>
          <w:szCs w:val="24"/>
        </w:rPr>
      </w:pPr>
      <w:r w:rsidRPr="007D3C4A">
        <w:rPr>
          <w:rFonts w:asciiTheme="majorBidi" w:hAnsiTheme="majorBidi" w:cstheme="majorBidi"/>
          <w:color w:val="000000"/>
          <w:sz w:val="24"/>
          <w:szCs w:val="24"/>
        </w:rPr>
        <w:t>Ibn N</w:t>
      </w:r>
      <w:r w:rsidR="00AE6EFF">
        <w:rPr>
          <w:rFonts w:asciiTheme="majorBidi" w:hAnsiTheme="majorBidi" w:cstheme="majorBidi"/>
          <w:color w:val="000000"/>
          <w:sz w:val="24"/>
          <w:szCs w:val="24"/>
        </w:rPr>
        <w:t>u</w:t>
      </w:r>
      <w:r w:rsidRPr="007D3C4A">
        <w:rPr>
          <w:rFonts w:asciiTheme="majorBidi" w:hAnsiTheme="majorBidi" w:cstheme="majorBidi"/>
          <w:color w:val="000000"/>
          <w:sz w:val="24"/>
          <w:szCs w:val="24"/>
        </w:rPr>
        <w:t>j</w:t>
      </w:r>
      <w:r w:rsidR="00AE6EFF">
        <w:rPr>
          <w:rFonts w:asciiTheme="majorBidi" w:hAnsiTheme="majorBidi" w:cstheme="majorBidi"/>
          <w:color w:val="000000"/>
          <w:sz w:val="24"/>
          <w:szCs w:val="24"/>
        </w:rPr>
        <w:t>a</w:t>
      </w:r>
      <w:r w:rsidRPr="007D3C4A">
        <w:rPr>
          <w:rFonts w:asciiTheme="majorBidi" w:hAnsiTheme="majorBidi" w:cstheme="majorBidi"/>
          <w:color w:val="000000"/>
          <w:sz w:val="24"/>
          <w:szCs w:val="24"/>
        </w:rPr>
        <w:t xml:space="preserve">im al-Hanafi </w:t>
      </w:r>
      <w:r>
        <w:rPr>
          <w:rFonts w:asciiTheme="majorBidi" w:hAnsiTheme="majorBidi" w:cstheme="majorBidi"/>
          <w:color w:val="000000"/>
          <w:sz w:val="24"/>
          <w:szCs w:val="24"/>
        </w:rPr>
        <w:t xml:space="preserve">(w.970 H) </w:t>
      </w:r>
      <w:r w:rsidRPr="007D3C4A">
        <w:rPr>
          <w:rFonts w:asciiTheme="majorBidi" w:hAnsiTheme="majorBidi" w:cstheme="majorBidi"/>
          <w:color w:val="000000"/>
          <w:sz w:val="24"/>
          <w:szCs w:val="24"/>
        </w:rPr>
        <w:t>mendefi</w:t>
      </w:r>
      <w:r>
        <w:rPr>
          <w:rFonts w:asciiTheme="majorBidi" w:hAnsiTheme="majorBidi" w:cstheme="majorBidi"/>
          <w:color w:val="000000"/>
          <w:sz w:val="24"/>
          <w:szCs w:val="24"/>
        </w:rPr>
        <w:t>ni</w:t>
      </w:r>
      <w:r w:rsidRPr="007D3C4A">
        <w:rPr>
          <w:rFonts w:asciiTheme="majorBidi" w:hAnsiTheme="majorBidi" w:cstheme="majorBidi"/>
          <w:color w:val="000000"/>
          <w:sz w:val="24"/>
          <w:szCs w:val="24"/>
        </w:rPr>
        <w:t xml:space="preserve">sikan </w:t>
      </w:r>
      <w:r w:rsidR="00955373">
        <w:rPr>
          <w:rFonts w:asciiTheme="majorBidi" w:hAnsiTheme="majorBidi" w:cstheme="majorBidi"/>
          <w:i/>
          <w:iCs/>
          <w:sz w:val="24"/>
          <w:szCs w:val="24"/>
        </w:rPr>
        <w:t>siyāsah</w:t>
      </w:r>
      <w:r w:rsidRPr="007D3C4A">
        <w:rPr>
          <w:rFonts w:asciiTheme="majorBidi" w:hAnsiTheme="majorBidi" w:cstheme="majorBidi"/>
          <w:i/>
          <w:iCs/>
          <w:color w:val="000000"/>
          <w:sz w:val="24"/>
          <w:szCs w:val="24"/>
        </w:rPr>
        <w:t xml:space="preserve"> </w:t>
      </w:r>
      <w:r w:rsidR="00CC1D08">
        <w:rPr>
          <w:rFonts w:asciiTheme="majorBidi" w:hAnsiTheme="majorBidi" w:cstheme="majorBidi"/>
          <w:i/>
          <w:iCs/>
          <w:color w:val="000000"/>
          <w:sz w:val="24"/>
          <w:szCs w:val="24"/>
        </w:rPr>
        <w:t>syar‘iyah</w:t>
      </w:r>
      <w:r w:rsidRPr="007D3C4A">
        <w:rPr>
          <w:rFonts w:asciiTheme="majorBidi" w:hAnsiTheme="majorBidi" w:cstheme="majorBidi"/>
          <w:color w:val="000000"/>
          <w:sz w:val="24"/>
          <w:szCs w:val="24"/>
        </w:rPr>
        <w:t xml:space="preserve"> dengan</w:t>
      </w:r>
      <w:r>
        <w:rPr>
          <w:rFonts w:asciiTheme="majorBidi" w:hAnsiTheme="majorBidi" w:cstheme="majorBidi"/>
          <w:color w:val="000000"/>
          <w:sz w:val="24"/>
          <w:szCs w:val="24"/>
        </w:rPr>
        <w:t xml:space="preserve"> peraturan yang dibuat untuk memelihara etika dan kemasalahatan rakyat serta </w:t>
      </w:r>
      <w:r>
        <w:rPr>
          <w:rFonts w:asciiTheme="majorBidi" w:hAnsiTheme="majorBidi" w:cstheme="majorBidi"/>
          <w:color w:val="000000"/>
          <w:sz w:val="24"/>
          <w:szCs w:val="24"/>
        </w:rPr>
        <w:lastRenderedPageBreak/>
        <w:t>pengaturan kekayaan Negara.</w:t>
      </w:r>
      <w:r>
        <w:rPr>
          <w:rStyle w:val="FootnoteReference"/>
          <w:rFonts w:asciiTheme="majorBidi" w:hAnsiTheme="majorBidi" w:cstheme="majorBidi"/>
          <w:color w:val="000000"/>
          <w:sz w:val="24"/>
          <w:szCs w:val="24"/>
        </w:rPr>
        <w:footnoteReference w:id="28"/>
      </w:r>
      <w:r w:rsidR="00F40535">
        <w:rPr>
          <w:rFonts w:asciiTheme="majorBidi" w:hAnsiTheme="majorBidi" w:cstheme="majorBidi"/>
          <w:color w:val="000000"/>
          <w:sz w:val="24"/>
          <w:szCs w:val="24"/>
        </w:rPr>
        <w:t xml:space="preserve"> </w:t>
      </w:r>
      <w:r w:rsidR="005A3960">
        <w:rPr>
          <w:rFonts w:asciiTheme="majorBidi" w:hAnsiTheme="majorBidi" w:cstheme="majorBidi"/>
          <w:sz w:val="24"/>
          <w:szCs w:val="24"/>
        </w:rPr>
        <w:t>Menurut Ibn Abidin (W.1252</w:t>
      </w:r>
      <w:r w:rsidR="00D93641" w:rsidRPr="00D93641">
        <w:rPr>
          <w:rFonts w:asciiTheme="majorBidi" w:hAnsiTheme="majorBidi" w:cstheme="majorBidi"/>
          <w:sz w:val="24"/>
          <w:szCs w:val="24"/>
        </w:rPr>
        <w:t xml:space="preserve">H) </w:t>
      </w:r>
      <w:r w:rsidR="00881BDC">
        <w:rPr>
          <w:rFonts w:asciiTheme="majorBidi" w:hAnsiTheme="majorBidi" w:cstheme="majorBidi"/>
          <w:i/>
          <w:iCs/>
          <w:sz w:val="24"/>
          <w:szCs w:val="24"/>
        </w:rPr>
        <w:t xml:space="preserve">siyāsah </w:t>
      </w:r>
      <w:r w:rsidR="00D93641" w:rsidRPr="00D93641">
        <w:rPr>
          <w:rFonts w:asciiTheme="majorBidi" w:hAnsiTheme="majorBidi" w:cstheme="majorBidi"/>
          <w:i/>
          <w:iCs/>
          <w:sz w:val="24"/>
          <w:szCs w:val="24"/>
        </w:rPr>
        <w:t xml:space="preserve"> </w:t>
      </w:r>
      <w:r w:rsidR="00CC1D08">
        <w:rPr>
          <w:rFonts w:asciiTheme="majorBidi" w:hAnsiTheme="majorBidi" w:cstheme="majorBidi"/>
          <w:i/>
          <w:iCs/>
          <w:sz w:val="24"/>
          <w:szCs w:val="24"/>
        </w:rPr>
        <w:t>syar‘iy</w:t>
      </w:r>
      <w:r w:rsidR="009C7A9E">
        <w:rPr>
          <w:rFonts w:asciiTheme="majorBidi" w:hAnsiTheme="majorBidi" w:cstheme="majorBidi"/>
          <w:i/>
          <w:iCs/>
          <w:sz w:val="24"/>
          <w:szCs w:val="24"/>
        </w:rPr>
        <w:t>y</w:t>
      </w:r>
      <w:r w:rsidR="00CC1D08">
        <w:rPr>
          <w:rFonts w:asciiTheme="majorBidi" w:hAnsiTheme="majorBidi" w:cstheme="majorBidi"/>
          <w:i/>
          <w:iCs/>
          <w:sz w:val="24"/>
          <w:szCs w:val="24"/>
        </w:rPr>
        <w:t>ah</w:t>
      </w:r>
      <w:r w:rsidR="00D93641" w:rsidRPr="00D93641">
        <w:rPr>
          <w:rFonts w:asciiTheme="majorBidi" w:hAnsiTheme="majorBidi" w:cstheme="majorBidi"/>
          <w:i/>
          <w:iCs/>
          <w:sz w:val="24"/>
          <w:szCs w:val="24"/>
        </w:rPr>
        <w:t xml:space="preserve"> </w:t>
      </w:r>
      <w:r w:rsidR="00D93641" w:rsidRPr="00D93641">
        <w:rPr>
          <w:rFonts w:asciiTheme="majorBidi" w:hAnsiTheme="majorBidi" w:cstheme="majorBidi"/>
          <w:sz w:val="24"/>
          <w:szCs w:val="24"/>
        </w:rPr>
        <w:t>sebagai satu mekanisme yang mempunyai visi dan misi untuk mem</w:t>
      </w:r>
      <w:r w:rsidR="00702696">
        <w:rPr>
          <w:rFonts w:asciiTheme="majorBidi" w:hAnsiTheme="majorBidi" w:cstheme="majorBidi"/>
          <w:sz w:val="24"/>
          <w:szCs w:val="24"/>
        </w:rPr>
        <w:t>per</w:t>
      </w:r>
      <w:r w:rsidR="00D93641" w:rsidRPr="00D93641">
        <w:rPr>
          <w:rFonts w:asciiTheme="majorBidi" w:hAnsiTheme="majorBidi" w:cstheme="majorBidi"/>
          <w:sz w:val="24"/>
          <w:szCs w:val="24"/>
        </w:rPr>
        <w:t>baiki keadaan rakyat dengan cara membimbing mereka ke jalan yang selamat di dunia dan akhirat</w:t>
      </w:r>
      <w:r w:rsidR="00D93641">
        <w:rPr>
          <w:rFonts w:asciiTheme="majorBidi" w:hAnsiTheme="majorBidi" w:cstheme="majorBidi"/>
          <w:sz w:val="24"/>
          <w:szCs w:val="24"/>
        </w:rPr>
        <w:t>.</w:t>
      </w:r>
      <w:r w:rsidR="00D93641" w:rsidRPr="00D93641">
        <w:rPr>
          <w:rFonts w:asciiTheme="majorBidi" w:hAnsiTheme="majorBidi" w:cstheme="majorBidi"/>
          <w:sz w:val="24"/>
          <w:szCs w:val="24"/>
        </w:rPr>
        <w:t xml:space="preserve"> Dalam hal ini, Ibn Abidin lebih menitikberatkan pengertian </w:t>
      </w:r>
      <w:r w:rsidR="00732D72">
        <w:rPr>
          <w:rFonts w:asciiTheme="majorBidi" w:hAnsiTheme="majorBidi" w:cstheme="majorBidi"/>
          <w:i/>
          <w:iCs/>
          <w:sz w:val="24"/>
          <w:szCs w:val="24"/>
        </w:rPr>
        <w:t>siyāsah</w:t>
      </w:r>
      <w:r w:rsidR="00D93641" w:rsidRPr="00D93641">
        <w:rPr>
          <w:rFonts w:asciiTheme="majorBidi" w:hAnsiTheme="majorBidi" w:cstheme="majorBidi"/>
          <w:i/>
          <w:iCs/>
          <w:sz w:val="24"/>
          <w:szCs w:val="24"/>
        </w:rPr>
        <w:t xml:space="preserve"> </w:t>
      </w:r>
      <w:r w:rsidR="00732D72">
        <w:rPr>
          <w:rFonts w:asciiTheme="majorBidi" w:hAnsiTheme="majorBidi" w:cstheme="majorBidi"/>
          <w:i/>
          <w:iCs/>
          <w:sz w:val="24"/>
          <w:szCs w:val="24"/>
        </w:rPr>
        <w:t>syar‘iy</w:t>
      </w:r>
      <w:r w:rsidR="009C7A9E">
        <w:rPr>
          <w:rFonts w:asciiTheme="majorBidi" w:hAnsiTheme="majorBidi" w:cstheme="majorBidi"/>
          <w:i/>
          <w:iCs/>
          <w:sz w:val="24"/>
          <w:szCs w:val="24"/>
        </w:rPr>
        <w:t>y</w:t>
      </w:r>
      <w:r w:rsidR="00732D72">
        <w:rPr>
          <w:rFonts w:asciiTheme="majorBidi" w:hAnsiTheme="majorBidi" w:cstheme="majorBidi"/>
          <w:i/>
          <w:iCs/>
          <w:sz w:val="24"/>
          <w:szCs w:val="24"/>
        </w:rPr>
        <w:t>ah</w:t>
      </w:r>
      <w:r w:rsidR="00732D72" w:rsidRPr="00D93641">
        <w:rPr>
          <w:rFonts w:asciiTheme="majorBidi" w:hAnsiTheme="majorBidi" w:cstheme="majorBidi"/>
          <w:i/>
          <w:iCs/>
          <w:sz w:val="24"/>
          <w:szCs w:val="24"/>
        </w:rPr>
        <w:t xml:space="preserve"> </w:t>
      </w:r>
      <w:r w:rsidR="00D93641" w:rsidRPr="00D93641">
        <w:rPr>
          <w:rFonts w:asciiTheme="majorBidi" w:hAnsiTheme="majorBidi" w:cstheme="majorBidi"/>
          <w:sz w:val="24"/>
          <w:szCs w:val="24"/>
        </w:rPr>
        <w:t>kepada implementasi hukum syariah. Peraturan dan undang-undang yang diciptakan bertujuan untuk menciptakan masyarakat yang harmoni dan stabil.</w:t>
      </w:r>
      <w:r w:rsidR="00D93641">
        <w:rPr>
          <w:rStyle w:val="FootnoteReference"/>
          <w:rFonts w:asciiTheme="majorBidi" w:hAnsiTheme="majorBidi" w:cstheme="majorBidi"/>
          <w:sz w:val="24"/>
          <w:szCs w:val="24"/>
        </w:rPr>
        <w:footnoteReference w:id="29"/>
      </w:r>
      <w:r w:rsidR="00D93641" w:rsidRPr="00D93641">
        <w:rPr>
          <w:rFonts w:asciiTheme="majorBidi" w:hAnsiTheme="majorBidi" w:cstheme="majorBidi"/>
          <w:sz w:val="24"/>
          <w:szCs w:val="24"/>
        </w:rPr>
        <w:t xml:space="preserve"> </w:t>
      </w:r>
      <w:r w:rsidR="00A477A8" w:rsidRPr="00A477A8">
        <w:rPr>
          <w:rFonts w:asciiTheme="majorBidi" w:hAnsiTheme="majorBidi" w:cstheme="majorBidi"/>
          <w:sz w:val="24"/>
          <w:szCs w:val="24"/>
        </w:rPr>
        <w:t xml:space="preserve">Dalam istilah al-Atwah, </w:t>
      </w:r>
      <w:r w:rsidR="00955373">
        <w:rPr>
          <w:rFonts w:asciiTheme="majorBidi" w:hAnsiTheme="majorBidi" w:cstheme="majorBidi"/>
          <w:i/>
          <w:iCs/>
          <w:sz w:val="24"/>
          <w:szCs w:val="24"/>
        </w:rPr>
        <w:t xml:space="preserve">siyāsah </w:t>
      </w:r>
      <w:r w:rsidR="00CC1D08">
        <w:rPr>
          <w:rFonts w:asciiTheme="majorBidi" w:hAnsiTheme="majorBidi" w:cstheme="majorBidi"/>
          <w:i/>
          <w:iCs/>
          <w:sz w:val="24"/>
          <w:szCs w:val="24"/>
        </w:rPr>
        <w:t>syar‘iy</w:t>
      </w:r>
      <w:r w:rsidR="009C7A9E">
        <w:rPr>
          <w:rFonts w:asciiTheme="majorBidi" w:hAnsiTheme="majorBidi" w:cstheme="majorBidi"/>
          <w:i/>
          <w:iCs/>
          <w:sz w:val="24"/>
          <w:szCs w:val="24"/>
        </w:rPr>
        <w:t>y</w:t>
      </w:r>
      <w:r w:rsidR="00CC1D08">
        <w:rPr>
          <w:rFonts w:asciiTheme="majorBidi" w:hAnsiTheme="majorBidi" w:cstheme="majorBidi"/>
          <w:i/>
          <w:iCs/>
          <w:sz w:val="24"/>
          <w:szCs w:val="24"/>
        </w:rPr>
        <w:t>ah</w:t>
      </w:r>
      <w:r w:rsidR="00A477A8" w:rsidRPr="00A477A8">
        <w:rPr>
          <w:rFonts w:asciiTheme="majorBidi" w:hAnsiTheme="majorBidi" w:cstheme="majorBidi"/>
          <w:i/>
          <w:iCs/>
          <w:sz w:val="24"/>
          <w:szCs w:val="24"/>
        </w:rPr>
        <w:t xml:space="preserve"> </w:t>
      </w:r>
      <w:r w:rsidR="00A477A8" w:rsidRPr="00A477A8">
        <w:rPr>
          <w:rFonts w:asciiTheme="majorBidi" w:hAnsiTheme="majorBidi" w:cstheme="majorBidi"/>
          <w:sz w:val="24"/>
          <w:szCs w:val="24"/>
        </w:rPr>
        <w:t xml:space="preserve">adalah tindakan yang diambil oleh </w:t>
      </w:r>
      <w:r w:rsidR="00183FBF">
        <w:rPr>
          <w:rFonts w:ascii="Times New Roman" w:hAnsi="Times New Roman" w:cs="Times New Roman"/>
          <w:i/>
          <w:iCs/>
          <w:sz w:val="24"/>
          <w:szCs w:val="24"/>
        </w:rPr>
        <w:t>ulil amr</w:t>
      </w:r>
      <w:r w:rsidR="00A477A8" w:rsidRPr="00A477A8">
        <w:rPr>
          <w:rFonts w:asciiTheme="majorBidi" w:hAnsiTheme="majorBidi" w:cstheme="majorBidi"/>
          <w:sz w:val="24"/>
          <w:szCs w:val="24"/>
        </w:rPr>
        <w:t xml:space="preserve"> berdasarkan maslahah dalam perkara-perkara yang tidak dijelaskan oleh nas</w:t>
      </w:r>
      <w:r w:rsidR="00D96CA6">
        <w:rPr>
          <w:rFonts w:asciiTheme="majorBidi" w:hAnsiTheme="majorBidi" w:cstheme="majorBidi"/>
          <w:sz w:val="24"/>
          <w:szCs w:val="24"/>
        </w:rPr>
        <w:t>h</w:t>
      </w:r>
      <w:r w:rsidR="00A477A8" w:rsidRPr="00A477A8">
        <w:rPr>
          <w:rFonts w:asciiTheme="majorBidi" w:hAnsiTheme="majorBidi" w:cstheme="majorBidi"/>
          <w:sz w:val="24"/>
          <w:szCs w:val="24"/>
        </w:rPr>
        <w:t xml:space="preserve"> secara langsung dan dalam perkara-perkara yang sen</w:t>
      </w:r>
      <w:r w:rsidR="00340C6F">
        <w:rPr>
          <w:rFonts w:asciiTheme="majorBidi" w:hAnsiTheme="majorBidi" w:cstheme="majorBidi"/>
          <w:sz w:val="24"/>
          <w:szCs w:val="24"/>
        </w:rPr>
        <w:t>an</w:t>
      </w:r>
      <w:r w:rsidR="00A477A8" w:rsidRPr="00A477A8">
        <w:rPr>
          <w:rFonts w:asciiTheme="majorBidi" w:hAnsiTheme="majorBidi" w:cstheme="majorBidi"/>
          <w:sz w:val="24"/>
          <w:szCs w:val="24"/>
        </w:rPr>
        <w:t>tiasa berubah-ubah mengikut perubahan waktu, tempat dan keperluan manusia</w:t>
      </w:r>
      <w:r w:rsidR="00A477A8">
        <w:rPr>
          <w:rFonts w:asciiTheme="majorBidi" w:hAnsiTheme="majorBidi" w:cstheme="majorBidi"/>
          <w:sz w:val="24"/>
          <w:szCs w:val="24"/>
        </w:rPr>
        <w:t>.</w:t>
      </w:r>
      <w:r w:rsidR="00A477A8">
        <w:rPr>
          <w:rStyle w:val="FootnoteReference"/>
          <w:rFonts w:asciiTheme="majorBidi" w:hAnsiTheme="majorBidi" w:cstheme="majorBidi"/>
          <w:sz w:val="24"/>
          <w:szCs w:val="24"/>
        </w:rPr>
        <w:footnoteReference w:id="30"/>
      </w:r>
      <w:r w:rsidR="00A477A8" w:rsidRPr="00A477A8">
        <w:rPr>
          <w:rFonts w:asciiTheme="majorBidi" w:hAnsiTheme="majorBidi" w:cstheme="majorBidi"/>
          <w:sz w:val="24"/>
          <w:szCs w:val="24"/>
        </w:rPr>
        <w:t xml:space="preserve"> </w:t>
      </w:r>
    </w:p>
    <w:p w:rsidR="00CE0AD3" w:rsidRPr="005A3960" w:rsidRDefault="00B644D1" w:rsidP="003E5FFE">
      <w:pPr>
        <w:spacing w:after="0" w:line="360" w:lineRule="auto"/>
        <w:ind w:firstLine="720"/>
        <w:jc w:val="both"/>
        <w:rPr>
          <w:rFonts w:asciiTheme="majorBidi" w:hAnsiTheme="majorBidi" w:cstheme="majorBidi"/>
          <w:sz w:val="24"/>
          <w:szCs w:val="24"/>
        </w:rPr>
      </w:pPr>
      <w:r>
        <w:rPr>
          <w:rFonts w:ascii="Times New Roman" w:hAnsi="Times New Roman" w:cs="Times New Roman"/>
          <w:color w:val="000000"/>
          <w:sz w:val="24"/>
          <w:szCs w:val="24"/>
        </w:rPr>
        <w:t>Abd Jalil Borham berpendapat bahwa</w:t>
      </w:r>
      <w:r w:rsidRPr="0049112A">
        <w:rPr>
          <w:rFonts w:ascii="Times New Roman" w:hAnsi="Times New Roman" w:cs="Times New Roman"/>
          <w:color w:val="000000"/>
          <w:sz w:val="24"/>
          <w:szCs w:val="24"/>
        </w:rPr>
        <w:t xml:space="preserve"> </w:t>
      </w:r>
      <w:r w:rsidR="003E5FFE">
        <w:rPr>
          <w:rFonts w:ascii="Times New Roman" w:hAnsi="Times New Roman" w:cs="Times New Roman"/>
          <w:i/>
          <w:iCs/>
          <w:color w:val="000000"/>
          <w:sz w:val="23"/>
          <w:szCs w:val="23"/>
        </w:rPr>
        <w:t>siyāsah</w:t>
      </w:r>
      <w:r>
        <w:rPr>
          <w:rFonts w:ascii="Times New Roman" w:hAnsi="Times New Roman" w:cs="Times New Roman"/>
          <w:i/>
          <w:iCs/>
          <w:color w:val="000000"/>
          <w:sz w:val="23"/>
          <w:szCs w:val="23"/>
        </w:rPr>
        <w:t xml:space="preserve"> </w:t>
      </w:r>
      <w:r w:rsidR="003E5FFE">
        <w:rPr>
          <w:rFonts w:asciiTheme="majorBidi" w:hAnsiTheme="majorBidi" w:cstheme="majorBidi"/>
          <w:i/>
          <w:iCs/>
          <w:sz w:val="24"/>
          <w:szCs w:val="24"/>
        </w:rPr>
        <w:t>syar‘i</w:t>
      </w:r>
      <w:r w:rsidR="00933512">
        <w:rPr>
          <w:rFonts w:asciiTheme="majorBidi" w:hAnsiTheme="majorBidi" w:cstheme="majorBidi"/>
          <w:i/>
          <w:iCs/>
          <w:sz w:val="24"/>
          <w:szCs w:val="24"/>
        </w:rPr>
        <w:t>y</w:t>
      </w:r>
      <w:r w:rsidR="003E5FFE">
        <w:rPr>
          <w:rFonts w:asciiTheme="majorBidi" w:hAnsiTheme="majorBidi" w:cstheme="majorBidi"/>
          <w:i/>
          <w:iCs/>
          <w:sz w:val="24"/>
          <w:szCs w:val="24"/>
        </w:rPr>
        <w:t>yah</w:t>
      </w:r>
      <w:r w:rsidRPr="0049112A">
        <w:rPr>
          <w:rFonts w:ascii="Times New Roman" w:hAnsi="Times New Roman" w:cs="Times New Roman"/>
          <w:i/>
          <w:iCs/>
          <w:color w:val="000000"/>
          <w:sz w:val="23"/>
          <w:szCs w:val="23"/>
        </w:rPr>
        <w:t xml:space="preserve"> </w:t>
      </w:r>
      <w:r w:rsidRPr="0049112A">
        <w:rPr>
          <w:rFonts w:ascii="Times New Roman" w:hAnsi="Times New Roman" w:cs="Times New Roman"/>
          <w:color w:val="000000"/>
          <w:sz w:val="23"/>
          <w:szCs w:val="23"/>
        </w:rPr>
        <w:t>merupakan suatu displin yang semakin perlu difahami secara akademik. Ini kerana ia menyediakan suatu rangka berfikir yang mempertimbangkan antara kehe</w:t>
      </w:r>
      <w:r>
        <w:rPr>
          <w:rFonts w:ascii="Times New Roman" w:hAnsi="Times New Roman" w:cs="Times New Roman"/>
          <w:color w:val="000000"/>
          <w:sz w:val="23"/>
          <w:szCs w:val="23"/>
        </w:rPr>
        <w:t>ndak wahyu dan keperluan realita</w:t>
      </w:r>
      <w:r w:rsidRPr="0049112A">
        <w:rPr>
          <w:rFonts w:ascii="Times New Roman" w:hAnsi="Times New Roman" w:cs="Times New Roman"/>
          <w:color w:val="000000"/>
          <w:sz w:val="23"/>
          <w:szCs w:val="23"/>
        </w:rPr>
        <w:t xml:space="preserve"> makhluk. Keseimbangan ini akan menjadikan hukum yang diputuskan itu mempunyai nilai-nilai yang dinamik.</w:t>
      </w:r>
      <w:r>
        <w:rPr>
          <w:rStyle w:val="FootnoteReference"/>
          <w:rFonts w:ascii="Times New Roman" w:hAnsi="Times New Roman" w:cs="Times New Roman"/>
          <w:color w:val="000000"/>
          <w:sz w:val="23"/>
          <w:szCs w:val="23"/>
        </w:rPr>
        <w:footnoteReference w:id="31"/>
      </w:r>
      <w:r w:rsidR="004E10CF">
        <w:rPr>
          <w:rFonts w:ascii="Times New Roman" w:hAnsi="Times New Roman" w:cs="Times New Roman"/>
          <w:color w:val="000000"/>
          <w:sz w:val="23"/>
          <w:szCs w:val="23"/>
        </w:rPr>
        <w:t xml:space="preserve"> </w:t>
      </w:r>
    </w:p>
    <w:p w:rsidR="00C26E0E" w:rsidRDefault="00183FBF" w:rsidP="00A33E46">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Dengan menganalis</w:t>
      </w:r>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lang w:val="id-ID"/>
        </w:rPr>
        <w:t xml:space="preserve"> definisi-definisi yang di</w:t>
      </w:r>
      <w:r w:rsidR="00B43A04" w:rsidRPr="00415196">
        <w:rPr>
          <w:rFonts w:ascii="Times New Roman" w:hAnsi="Times New Roman" w:cs="Times New Roman"/>
          <w:color w:val="000000" w:themeColor="text1"/>
          <w:sz w:val="24"/>
          <w:szCs w:val="24"/>
          <w:lang w:val="id-ID"/>
        </w:rPr>
        <w:t xml:space="preserve">kemukakan para ahli di atas dapat ditemukan hakikat </w:t>
      </w:r>
      <w:r w:rsidR="00881BDC">
        <w:rPr>
          <w:rFonts w:ascii="Times New Roman" w:hAnsi="Times New Roman" w:cs="Times New Roman"/>
          <w:i/>
          <w:iCs/>
          <w:color w:val="000000" w:themeColor="text1"/>
          <w:sz w:val="24"/>
          <w:szCs w:val="24"/>
          <w:lang w:val="id-ID"/>
        </w:rPr>
        <w:t xml:space="preserve">siyāsah </w:t>
      </w:r>
      <w:r w:rsidR="00CC1D08">
        <w:rPr>
          <w:rFonts w:ascii="Times New Roman" w:hAnsi="Times New Roman" w:cs="Times New Roman"/>
          <w:i/>
          <w:iCs/>
          <w:color w:val="000000" w:themeColor="text1"/>
          <w:sz w:val="24"/>
          <w:szCs w:val="24"/>
          <w:lang w:val="id-ID"/>
        </w:rPr>
        <w:t>syar‘iy</w:t>
      </w:r>
      <w:r w:rsidR="009C7A9E">
        <w:rPr>
          <w:rFonts w:ascii="Times New Roman" w:hAnsi="Times New Roman" w:cs="Times New Roman"/>
          <w:i/>
          <w:iCs/>
          <w:color w:val="000000" w:themeColor="text1"/>
          <w:sz w:val="24"/>
          <w:szCs w:val="24"/>
        </w:rPr>
        <w:t>y</w:t>
      </w:r>
      <w:r w:rsidR="00CC1D08">
        <w:rPr>
          <w:rFonts w:ascii="Times New Roman" w:hAnsi="Times New Roman" w:cs="Times New Roman"/>
          <w:i/>
          <w:iCs/>
          <w:color w:val="000000" w:themeColor="text1"/>
          <w:sz w:val="24"/>
          <w:szCs w:val="24"/>
          <w:lang w:val="id-ID"/>
        </w:rPr>
        <w:t>ah</w:t>
      </w:r>
      <w:r w:rsidR="00B43A04" w:rsidRPr="00415196">
        <w:rPr>
          <w:rFonts w:ascii="Times New Roman" w:hAnsi="Times New Roman" w:cs="Times New Roman"/>
          <w:color w:val="000000" w:themeColor="text1"/>
          <w:sz w:val="24"/>
          <w:szCs w:val="24"/>
          <w:lang w:val="id-ID"/>
        </w:rPr>
        <w:t>, yaitu:</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1</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 xml:space="preserve">Bahwa </w:t>
      </w:r>
      <w:r w:rsidR="004D7CAB">
        <w:rPr>
          <w:rFonts w:ascii="Times New Roman" w:hAnsi="Times New Roman" w:cs="Times New Roman"/>
          <w:i/>
          <w:iCs/>
          <w:color w:val="000000" w:themeColor="text1"/>
          <w:sz w:val="24"/>
          <w:szCs w:val="24"/>
          <w:lang w:val="id-ID"/>
        </w:rPr>
        <w:t>siyāsah</w:t>
      </w:r>
      <w:r w:rsidR="004D7CAB">
        <w:rPr>
          <w:rFonts w:ascii="Times New Roman" w:hAnsi="Times New Roman" w:cs="Times New Roman"/>
          <w:i/>
          <w:iCs/>
          <w:color w:val="000000" w:themeColor="text1"/>
          <w:sz w:val="24"/>
          <w:szCs w:val="24"/>
        </w:rPr>
        <w:t xml:space="preserve"> </w:t>
      </w:r>
      <w:r w:rsidR="00CC1D08">
        <w:rPr>
          <w:rFonts w:ascii="Times New Roman" w:hAnsi="Times New Roman" w:cs="Times New Roman"/>
          <w:i/>
          <w:iCs/>
          <w:color w:val="000000" w:themeColor="text1"/>
          <w:sz w:val="24"/>
          <w:szCs w:val="24"/>
          <w:lang w:val="id-ID"/>
        </w:rPr>
        <w:t>syar‘i</w:t>
      </w:r>
      <w:r w:rsidR="009C7A9E">
        <w:rPr>
          <w:rFonts w:ascii="Times New Roman" w:hAnsi="Times New Roman" w:cs="Times New Roman"/>
          <w:i/>
          <w:iCs/>
          <w:color w:val="000000" w:themeColor="text1"/>
          <w:sz w:val="24"/>
          <w:szCs w:val="24"/>
        </w:rPr>
        <w:t>y</w:t>
      </w:r>
      <w:r w:rsidR="00CC1D08">
        <w:rPr>
          <w:rFonts w:ascii="Times New Roman" w:hAnsi="Times New Roman" w:cs="Times New Roman"/>
          <w:i/>
          <w:iCs/>
          <w:color w:val="000000" w:themeColor="text1"/>
          <w:sz w:val="24"/>
          <w:szCs w:val="24"/>
          <w:lang w:val="id-ID"/>
        </w:rPr>
        <w:t>yah</w:t>
      </w:r>
      <w:r w:rsidR="00B43A04" w:rsidRPr="00415196">
        <w:rPr>
          <w:rFonts w:ascii="Times New Roman" w:hAnsi="Times New Roman" w:cs="Times New Roman"/>
          <w:color w:val="000000" w:themeColor="text1"/>
          <w:sz w:val="24"/>
          <w:szCs w:val="24"/>
          <w:lang w:val="id-ID"/>
        </w:rPr>
        <w:t xml:space="preserve"> berhubungan dengan pengurusan dan pengaturan kehidupan manusia.</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2</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Bahwa pengurusan dan pengaturan ini dilakukan oleh pemegang kekuasaan</w:t>
      </w:r>
      <w:r w:rsidR="00536A02">
        <w:rPr>
          <w:rFonts w:ascii="Times New Roman" w:hAnsi="Times New Roman" w:cs="Times New Roman"/>
          <w:i/>
          <w:color w:val="000000" w:themeColor="text1"/>
          <w:sz w:val="24"/>
          <w:szCs w:val="24"/>
          <w:lang w:val="id-ID"/>
        </w:rPr>
        <w:t xml:space="preserve"> (</w:t>
      </w:r>
      <w:r w:rsidR="003E5FFE">
        <w:rPr>
          <w:rFonts w:ascii="Times New Roman" w:hAnsi="Times New Roman" w:cs="Times New Roman"/>
          <w:i/>
          <w:color w:val="000000" w:themeColor="text1"/>
          <w:sz w:val="24"/>
          <w:szCs w:val="24"/>
          <w:lang w:val="id-ID"/>
        </w:rPr>
        <w:t>ulil amr</w:t>
      </w:r>
      <w:r w:rsidR="00B43A04" w:rsidRPr="00415196">
        <w:rPr>
          <w:rFonts w:ascii="Times New Roman" w:hAnsi="Times New Roman" w:cs="Times New Roman"/>
          <w:i/>
          <w:color w:val="000000" w:themeColor="text1"/>
          <w:sz w:val="24"/>
          <w:szCs w:val="24"/>
          <w:lang w:val="id-ID"/>
        </w:rPr>
        <w:t>)</w:t>
      </w:r>
      <w:r w:rsidR="00B43A04" w:rsidRPr="00B43A04">
        <w:rPr>
          <w:rFonts w:ascii="Times New Roman" w:hAnsi="Times New Roman" w:cs="Times New Roman"/>
          <w:color w:val="000000" w:themeColor="text1"/>
          <w:sz w:val="24"/>
          <w:szCs w:val="24"/>
          <w:lang w:val="id-ID"/>
        </w:rPr>
        <w:t xml:space="preserve"> </w:t>
      </w:r>
      <w:r w:rsidR="00B43A04">
        <w:rPr>
          <w:rFonts w:ascii="Times New Roman" w:hAnsi="Times New Roman" w:cs="Times New Roman"/>
          <w:color w:val="000000" w:themeColor="text1"/>
          <w:sz w:val="24"/>
          <w:szCs w:val="24"/>
        </w:rPr>
        <w:t>3)</w:t>
      </w:r>
      <w:r w:rsidR="00B43A04" w:rsidRPr="00415196">
        <w:rPr>
          <w:rFonts w:ascii="Times New Roman" w:hAnsi="Times New Roman" w:cs="Times New Roman"/>
          <w:color w:val="000000" w:themeColor="text1"/>
          <w:sz w:val="14"/>
          <w:szCs w:val="14"/>
          <w:lang w:val="id-ID"/>
        </w:rPr>
        <w:t>   </w:t>
      </w:r>
      <w:r w:rsidR="00B43A04" w:rsidRPr="00415196">
        <w:rPr>
          <w:rFonts w:ascii="Times New Roman" w:hAnsi="Times New Roman" w:cs="Times New Roman"/>
          <w:color w:val="000000" w:themeColor="text1"/>
          <w:sz w:val="24"/>
          <w:szCs w:val="24"/>
          <w:lang w:val="id-ID"/>
        </w:rPr>
        <w:t>Pengaturan ter</w:t>
      </w:r>
      <w:r w:rsidR="00B43A04">
        <w:rPr>
          <w:rFonts w:ascii="Times New Roman" w:hAnsi="Times New Roman" w:cs="Times New Roman"/>
          <w:color w:val="000000" w:themeColor="text1"/>
          <w:sz w:val="24"/>
          <w:szCs w:val="24"/>
          <w:lang w:val="id-ID"/>
        </w:rPr>
        <w:t xml:space="preserve">sebut tidak boleh bertentangan </w:t>
      </w:r>
      <w:r w:rsidR="00B43A04" w:rsidRPr="00415196">
        <w:rPr>
          <w:rFonts w:ascii="Times New Roman" w:hAnsi="Times New Roman" w:cs="Times New Roman"/>
          <w:color w:val="000000" w:themeColor="text1"/>
          <w:sz w:val="24"/>
          <w:szCs w:val="24"/>
          <w:lang w:val="id-ID"/>
        </w:rPr>
        <w:t xml:space="preserve">dengan syariat </w:t>
      </w:r>
      <w:r w:rsidR="00C26E0E" w:rsidRPr="00415196">
        <w:rPr>
          <w:rFonts w:ascii="Times New Roman" w:hAnsi="Times New Roman" w:cs="Times New Roman"/>
          <w:color w:val="000000" w:themeColor="text1"/>
          <w:sz w:val="24"/>
          <w:szCs w:val="24"/>
          <w:lang w:val="id-ID"/>
        </w:rPr>
        <w:t>I</w:t>
      </w:r>
      <w:r w:rsidR="00B43A04" w:rsidRPr="00415196">
        <w:rPr>
          <w:rFonts w:ascii="Times New Roman" w:hAnsi="Times New Roman" w:cs="Times New Roman"/>
          <w:color w:val="000000" w:themeColor="text1"/>
          <w:sz w:val="24"/>
          <w:szCs w:val="24"/>
          <w:lang w:val="id-ID"/>
        </w:rPr>
        <w:t>slam.</w:t>
      </w:r>
      <w:r w:rsidR="00702696">
        <w:rPr>
          <w:rFonts w:ascii="Times New Roman" w:hAnsi="Times New Roman" w:cs="Times New Roman"/>
          <w:color w:val="000000" w:themeColor="text1"/>
          <w:sz w:val="24"/>
          <w:szCs w:val="24"/>
        </w:rPr>
        <w:t xml:space="preserve"> 4) </w:t>
      </w:r>
      <w:r w:rsidR="00702696">
        <w:rPr>
          <w:rFonts w:asciiTheme="majorBidi" w:hAnsiTheme="majorBidi" w:cstheme="majorBidi"/>
          <w:sz w:val="24"/>
          <w:szCs w:val="24"/>
        </w:rPr>
        <w:t>hukum</w:t>
      </w:r>
      <w:r w:rsidR="00702696" w:rsidRPr="00D93641">
        <w:rPr>
          <w:rFonts w:asciiTheme="majorBidi" w:hAnsiTheme="majorBidi" w:cstheme="majorBidi"/>
          <w:sz w:val="24"/>
          <w:szCs w:val="24"/>
        </w:rPr>
        <w:t xml:space="preserve"> d</w:t>
      </w:r>
      <w:r w:rsidR="00626AD1">
        <w:rPr>
          <w:rFonts w:asciiTheme="majorBidi" w:hAnsiTheme="majorBidi" w:cstheme="majorBidi"/>
          <w:sz w:val="24"/>
          <w:szCs w:val="24"/>
        </w:rPr>
        <w:t xml:space="preserve">an </w:t>
      </w:r>
      <w:r w:rsidR="00702696">
        <w:rPr>
          <w:rFonts w:asciiTheme="majorBidi" w:hAnsiTheme="majorBidi" w:cstheme="majorBidi"/>
          <w:sz w:val="24"/>
          <w:szCs w:val="24"/>
        </w:rPr>
        <w:t>undang-undang yang dibuat mestilah</w:t>
      </w:r>
      <w:r w:rsidR="00702696" w:rsidRPr="00D93641">
        <w:rPr>
          <w:rFonts w:asciiTheme="majorBidi" w:hAnsiTheme="majorBidi" w:cstheme="majorBidi"/>
          <w:sz w:val="24"/>
          <w:szCs w:val="24"/>
        </w:rPr>
        <w:t xml:space="preserve"> bertujuan untuk menciptakan masyarakat yang harmoni dan stabil</w:t>
      </w:r>
      <w:r>
        <w:rPr>
          <w:rFonts w:asciiTheme="majorBidi" w:hAnsiTheme="majorBidi" w:cstheme="majorBidi"/>
          <w:sz w:val="24"/>
          <w:szCs w:val="24"/>
        </w:rPr>
        <w:t xml:space="preserve"> penuh dengan kesejahteraan</w:t>
      </w:r>
      <w:r w:rsidR="00702696">
        <w:rPr>
          <w:rFonts w:asciiTheme="majorBidi" w:hAnsiTheme="majorBidi" w:cstheme="majorBidi"/>
          <w:sz w:val="24"/>
          <w:szCs w:val="24"/>
        </w:rPr>
        <w:t>.</w:t>
      </w:r>
      <w:r w:rsidR="001D0579">
        <w:rPr>
          <w:rFonts w:ascii="Times New Roman" w:hAnsi="Times New Roman" w:cs="Times New Roman"/>
          <w:color w:val="000000" w:themeColor="text1"/>
          <w:sz w:val="24"/>
          <w:szCs w:val="24"/>
        </w:rPr>
        <w:t xml:space="preserve"> </w:t>
      </w:r>
      <w:r w:rsidR="00702696">
        <w:rPr>
          <w:rFonts w:ascii="Times New Roman" w:hAnsi="Times New Roman" w:cs="Times New Roman"/>
          <w:color w:val="000000" w:themeColor="text1"/>
          <w:sz w:val="24"/>
          <w:szCs w:val="24"/>
        </w:rPr>
        <w:t>5</w:t>
      </w:r>
      <w:r w:rsidR="001D0579">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 xml:space="preserve">Tujuan </w:t>
      </w:r>
      <w:r w:rsidR="00B43A04" w:rsidRPr="00415196">
        <w:rPr>
          <w:rFonts w:ascii="Times New Roman" w:hAnsi="Times New Roman" w:cs="Times New Roman"/>
          <w:color w:val="000000" w:themeColor="text1"/>
          <w:sz w:val="24"/>
          <w:szCs w:val="24"/>
          <w:lang w:val="id-ID"/>
        </w:rPr>
        <w:lastRenderedPageBreak/>
        <w:t>pengaturan tersebut adalah</w:t>
      </w:r>
      <w:r w:rsidR="00C26E0E">
        <w:rPr>
          <w:rFonts w:ascii="Times New Roman" w:hAnsi="Times New Roman" w:cs="Times New Roman"/>
          <w:color w:val="000000" w:themeColor="text1"/>
          <w:sz w:val="24"/>
          <w:szCs w:val="24"/>
        </w:rPr>
        <w:t xml:space="preserve"> </w:t>
      </w:r>
      <w:r w:rsidR="00D96CA6">
        <w:rPr>
          <w:rFonts w:ascii="Times New Roman" w:hAnsi="Times New Roman" w:cs="Times New Roman"/>
          <w:color w:val="000000" w:themeColor="text1"/>
          <w:sz w:val="24"/>
          <w:szCs w:val="24"/>
        </w:rPr>
        <w:t xml:space="preserve">bertujuan </w:t>
      </w:r>
      <w:r w:rsidR="00B43A04">
        <w:rPr>
          <w:rFonts w:ascii="Times New Roman" w:hAnsi="Times New Roman" w:cs="Times New Roman"/>
          <w:color w:val="000000" w:themeColor="text1"/>
          <w:sz w:val="24"/>
          <w:szCs w:val="24"/>
          <w:lang w:val="id-ID"/>
        </w:rPr>
        <w:t xml:space="preserve"> untuk menciptakan kemaslahatan</w:t>
      </w:r>
      <w:r w:rsidR="00B43A04">
        <w:rPr>
          <w:rFonts w:ascii="Times New Roman" w:hAnsi="Times New Roman" w:cs="Times New Roman"/>
          <w:color w:val="000000" w:themeColor="text1"/>
          <w:sz w:val="24"/>
          <w:szCs w:val="24"/>
        </w:rPr>
        <w:t xml:space="preserve"> </w:t>
      </w:r>
      <w:r w:rsidR="00B43A04" w:rsidRPr="00415196">
        <w:rPr>
          <w:rFonts w:ascii="Times New Roman" w:hAnsi="Times New Roman" w:cs="Times New Roman"/>
          <w:color w:val="000000" w:themeColor="text1"/>
          <w:sz w:val="24"/>
          <w:szCs w:val="24"/>
          <w:lang w:val="id-ID"/>
        </w:rPr>
        <w:t>dan menolak kemudharatan.</w:t>
      </w:r>
    </w:p>
    <w:p w:rsidR="00407EE1" w:rsidRDefault="006341C7" w:rsidP="001C09A6">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Disini perlu di</w:t>
      </w:r>
      <w:r w:rsidR="00D96CA6">
        <w:rPr>
          <w:rFonts w:ascii="Times New Roman" w:hAnsi="Times New Roman" w:cs="Times New Roman"/>
          <w:sz w:val="24"/>
          <w:szCs w:val="24"/>
        </w:rPr>
        <w:t xml:space="preserve">catat, bahwa istilah </w:t>
      </w:r>
      <w:r w:rsidR="00183FBF">
        <w:rPr>
          <w:rFonts w:ascii="Times New Roman" w:hAnsi="Times New Roman" w:cs="Times New Roman"/>
          <w:i/>
          <w:iCs/>
          <w:sz w:val="24"/>
          <w:szCs w:val="24"/>
        </w:rPr>
        <w:t>ulil amr</w:t>
      </w:r>
      <w:r w:rsidR="00D96CA6">
        <w:rPr>
          <w:rFonts w:ascii="Times New Roman" w:hAnsi="Times New Roman" w:cs="Times New Roman"/>
          <w:sz w:val="24"/>
          <w:szCs w:val="24"/>
        </w:rPr>
        <w:t xml:space="preserve"> yang disebutkan dalam </w:t>
      </w:r>
      <w:r w:rsidR="00972E98">
        <w:rPr>
          <w:rFonts w:ascii="Times New Roman" w:hAnsi="Times New Roman" w:cs="Times New Roman"/>
          <w:sz w:val="24"/>
          <w:szCs w:val="24"/>
        </w:rPr>
        <w:t>Al-Qur’ān</w:t>
      </w:r>
      <w:r w:rsidR="00D96CA6">
        <w:rPr>
          <w:rFonts w:ascii="Times New Roman" w:hAnsi="Times New Roman" w:cs="Times New Roman"/>
          <w:sz w:val="24"/>
          <w:szCs w:val="24"/>
        </w:rPr>
        <w:t xml:space="preserve"> Surat</w:t>
      </w:r>
      <w:r w:rsidR="00D96CA6" w:rsidRPr="00907C6A">
        <w:rPr>
          <w:rFonts w:ascii="Times New Roman" w:hAnsi="Times New Roman" w:cs="Times New Roman"/>
          <w:sz w:val="24"/>
          <w:szCs w:val="24"/>
        </w:rPr>
        <w:t xml:space="preserve"> </w:t>
      </w:r>
      <w:r w:rsidR="00D45AEE">
        <w:rPr>
          <w:rFonts w:ascii="Times New Roman" w:hAnsi="Times New Roman" w:cs="Times New Roman"/>
          <w:sz w:val="24"/>
          <w:szCs w:val="24"/>
        </w:rPr>
        <w:t>Al-Nisā’</w:t>
      </w:r>
      <w:r w:rsidR="004D7CAB">
        <w:rPr>
          <w:rFonts w:ascii="Times New Roman" w:hAnsi="Times New Roman" w:cs="Times New Roman"/>
          <w:sz w:val="24"/>
          <w:szCs w:val="24"/>
        </w:rPr>
        <w:t>[4]</w:t>
      </w:r>
      <w:r w:rsidR="00D96CA6">
        <w:rPr>
          <w:rFonts w:ascii="Times New Roman" w:hAnsi="Times New Roman" w:cs="Times New Roman"/>
          <w:sz w:val="24"/>
          <w:szCs w:val="24"/>
        </w:rPr>
        <w:t xml:space="preserve"> ayat: 59</w:t>
      </w:r>
      <w:r w:rsidR="005A4810">
        <w:rPr>
          <w:rFonts w:ascii="Times New Roman" w:hAnsi="Times New Roman" w:cs="Times New Roman"/>
          <w:sz w:val="24"/>
          <w:szCs w:val="24"/>
        </w:rPr>
        <w:t xml:space="preserve"> dan ayat 83</w:t>
      </w:r>
      <w:r w:rsidR="00D96CA6" w:rsidRPr="00907C6A">
        <w:rPr>
          <w:rFonts w:ascii="Times New Roman" w:hAnsi="Times New Roman" w:cs="Times New Roman"/>
          <w:sz w:val="24"/>
          <w:szCs w:val="24"/>
        </w:rPr>
        <w:t xml:space="preserve"> tidak semua ulama mengartikan</w:t>
      </w:r>
      <w:r>
        <w:rPr>
          <w:rFonts w:ascii="Times New Roman" w:hAnsi="Times New Roman" w:cs="Times New Roman"/>
          <w:sz w:val="24"/>
          <w:szCs w:val="24"/>
        </w:rPr>
        <w:t xml:space="preserve">nya </w:t>
      </w:r>
      <w:r w:rsidR="00D96CA6" w:rsidRPr="00907C6A">
        <w:rPr>
          <w:rFonts w:ascii="Times New Roman" w:hAnsi="Times New Roman" w:cs="Times New Roman"/>
          <w:sz w:val="24"/>
          <w:szCs w:val="24"/>
        </w:rPr>
        <w:t>dengan khalifah, imam atau penguasa</w:t>
      </w:r>
      <w:r>
        <w:rPr>
          <w:rFonts w:ascii="Times New Roman" w:hAnsi="Times New Roman" w:cs="Times New Roman"/>
          <w:sz w:val="24"/>
          <w:szCs w:val="24"/>
        </w:rPr>
        <w:t xml:space="preserve"> saja</w:t>
      </w:r>
      <w:r w:rsidR="00D96CA6" w:rsidRPr="00907C6A">
        <w:rPr>
          <w:rFonts w:ascii="Times New Roman" w:hAnsi="Times New Roman" w:cs="Times New Roman"/>
          <w:sz w:val="24"/>
          <w:szCs w:val="24"/>
        </w:rPr>
        <w:t>. Mereka memberikan makna dengan rentang yang re</w:t>
      </w:r>
      <w:r w:rsidR="00DE2BEE">
        <w:rPr>
          <w:rFonts w:ascii="Times New Roman" w:hAnsi="Times New Roman" w:cs="Times New Roman"/>
          <w:sz w:val="24"/>
          <w:szCs w:val="24"/>
        </w:rPr>
        <w:t>latif sangat luas terh</w:t>
      </w:r>
      <w:r w:rsidR="00C23809">
        <w:rPr>
          <w:rFonts w:ascii="Times New Roman" w:hAnsi="Times New Roman" w:cs="Times New Roman"/>
          <w:sz w:val="24"/>
          <w:szCs w:val="24"/>
        </w:rPr>
        <w:t>a</w:t>
      </w:r>
      <w:r w:rsidR="00DE2BEE">
        <w:rPr>
          <w:rFonts w:ascii="Times New Roman" w:hAnsi="Times New Roman" w:cs="Times New Roman"/>
          <w:sz w:val="24"/>
          <w:szCs w:val="24"/>
        </w:rPr>
        <w:t>dap ungkapan</w:t>
      </w:r>
      <w:r w:rsidR="00D96CA6" w:rsidRPr="00907C6A">
        <w:rPr>
          <w:rFonts w:ascii="Times New Roman" w:hAnsi="Times New Roman" w:cs="Times New Roman"/>
          <w:sz w:val="24"/>
          <w:szCs w:val="24"/>
        </w:rPr>
        <w:t xml:space="preserve"> ini. Sebagian ulama menganggap </w:t>
      </w:r>
      <w:r w:rsidR="00183FBF">
        <w:rPr>
          <w:rFonts w:ascii="Times New Roman" w:hAnsi="Times New Roman" w:cs="Times New Roman"/>
          <w:i/>
          <w:iCs/>
          <w:sz w:val="24"/>
          <w:szCs w:val="24"/>
        </w:rPr>
        <w:t>ulil amri</w:t>
      </w:r>
      <w:r w:rsidR="00D96CA6" w:rsidRPr="00907C6A">
        <w:rPr>
          <w:rFonts w:ascii="Times New Roman" w:hAnsi="Times New Roman" w:cs="Times New Roman"/>
          <w:sz w:val="24"/>
          <w:szCs w:val="24"/>
        </w:rPr>
        <w:t xml:space="preserve"> lebih dekat kepada </w:t>
      </w:r>
      <w:r w:rsidR="004D7CAB">
        <w:rPr>
          <w:rFonts w:ascii="Times New Roman" w:hAnsi="Times New Roman" w:cs="Times New Roman"/>
          <w:i/>
          <w:iCs/>
          <w:sz w:val="24"/>
          <w:szCs w:val="24"/>
        </w:rPr>
        <w:t xml:space="preserve">ahl </w:t>
      </w:r>
      <w:r w:rsidR="007232B8" w:rsidRPr="0046511A">
        <w:rPr>
          <w:rFonts w:asciiTheme="majorBidi" w:hAnsiTheme="majorBidi" w:cstheme="majorBidi"/>
          <w:i/>
          <w:iCs/>
          <w:sz w:val="24"/>
          <w:szCs w:val="24"/>
        </w:rPr>
        <w:t>al-</w:t>
      </w:r>
      <w:r w:rsidR="007232B8" w:rsidRPr="0046511A">
        <w:rPr>
          <w:rFonts w:asciiTheme="majorBidi" w:hAnsiTheme="majorBidi" w:cstheme="majorBidi"/>
          <w:i/>
          <w:iCs/>
          <w:sz w:val="24"/>
          <w:szCs w:val="24"/>
          <w:u w:val="single"/>
        </w:rPr>
        <w:t>h</w:t>
      </w:r>
      <w:r w:rsidR="007232B8" w:rsidRPr="0046511A">
        <w:rPr>
          <w:rFonts w:asciiTheme="majorBidi" w:hAnsiTheme="majorBidi" w:cstheme="majorBidi"/>
          <w:i/>
          <w:iCs/>
          <w:sz w:val="24"/>
          <w:szCs w:val="24"/>
        </w:rPr>
        <w:t>alli</w:t>
      </w:r>
      <w:r w:rsidR="007232B8">
        <w:rPr>
          <w:rFonts w:ascii="Times New Roman" w:hAnsi="Times New Roman" w:cs="Times New Roman"/>
          <w:i/>
          <w:iCs/>
          <w:sz w:val="24"/>
          <w:szCs w:val="24"/>
        </w:rPr>
        <w:t xml:space="preserve"> </w:t>
      </w:r>
      <w:r w:rsidR="004D7CAB">
        <w:rPr>
          <w:rFonts w:ascii="Times New Roman" w:hAnsi="Times New Roman" w:cs="Times New Roman"/>
          <w:i/>
          <w:iCs/>
          <w:sz w:val="24"/>
          <w:szCs w:val="24"/>
        </w:rPr>
        <w:t xml:space="preserve">wa </w:t>
      </w:r>
      <w:r w:rsidR="0046511A">
        <w:rPr>
          <w:rFonts w:ascii="Times New Roman" w:hAnsi="Times New Roman" w:cs="Times New Roman"/>
          <w:i/>
          <w:iCs/>
          <w:sz w:val="24"/>
          <w:szCs w:val="24"/>
        </w:rPr>
        <w:t>al-</w:t>
      </w:r>
      <w:r w:rsidR="0046511A">
        <w:t>‘</w:t>
      </w:r>
      <w:r w:rsidR="0046511A" w:rsidRPr="00907C6A">
        <w:rPr>
          <w:rFonts w:ascii="Times New Roman" w:hAnsi="Times New Roman" w:cs="Times New Roman"/>
          <w:i/>
          <w:iCs/>
          <w:sz w:val="24"/>
          <w:szCs w:val="24"/>
        </w:rPr>
        <w:t>aqd</w:t>
      </w:r>
      <w:r w:rsidR="0046511A">
        <w:rPr>
          <w:rFonts w:ascii="Times New Roman" w:hAnsi="Times New Roman" w:cs="Times New Roman"/>
          <w:sz w:val="24"/>
          <w:szCs w:val="24"/>
        </w:rPr>
        <w:t xml:space="preserve"> </w:t>
      </w:r>
      <w:r w:rsidR="001274CC">
        <w:rPr>
          <w:rFonts w:ascii="Times New Roman" w:hAnsi="Times New Roman" w:cs="Times New Roman"/>
          <w:sz w:val="24"/>
          <w:szCs w:val="24"/>
        </w:rPr>
        <w:t xml:space="preserve">daripada </w:t>
      </w:r>
      <w:r w:rsidR="00D96CA6" w:rsidRPr="00907C6A">
        <w:rPr>
          <w:rFonts w:ascii="Times New Roman" w:hAnsi="Times New Roman" w:cs="Times New Roman"/>
          <w:sz w:val="24"/>
          <w:szCs w:val="24"/>
        </w:rPr>
        <w:t>khalifah atau imam.</w:t>
      </w:r>
      <w:r w:rsidR="00B07455">
        <w:rPr>
          <w:rFonts w:ascii="Times New Roman" w:hAnsi="Times New Roman" w:cs="Times New Roman"/>
          <w:sz w:val="24"/>
          <w:szCs w:val="24"/>
        </w:rPr>
        <w:t xml:space="preserve"> </w:t>
      </w:r>
      <w:r w:rsidR="00B07455" w:rsidRPr="00715F11">
        <w:rPr>
          <w:rFonts w:asciiTheme="majorBidi" w:hAnsiTheme="majorBidi" w:cstheme="majorBidi"/>
          <w:color w:val="000000"/>
          <w:sz w:val="24"/>
          <w:szCs w:val="24"/>
        </w:rPr>
        <w:t xml:space="preserve">Rasyid Ridha berkata: </w:t>
      </w:r>
      <w:r w:rsidR="00183FBF">
        <w:rPr>
          <w:rFonts w:asciiTheme="majorBidi" w:hAnsiTheme="majorBidi" w:cstheme="majorBidi"/>
          <w:i/>
          <w:iCs/>
          <w:color w:val="000000"/>
          <w:sz w:val="24"/>
          <w:szCs w:val="24"/>
        </w:rPr>
        <w:t>ulil amr</w:t>
      </w:r>
      <w:r w:rsidR="00B07455" w:rsidRPr="00715F11">
        <w:rPr>
          <w:rFonts w:asciiTheme="majorBidi" w:hAnsiTheme="majorBidi" w:cstheme="majorBidi"/>
          <w:color w:val="000000"/>
          <w:sz w:val="24"/>
          <w:szCs w:val="24"/>
        </w:rPr>
        <w:t xml:space="preserve"> adalah meraka </w:t>
      </w:r>
      <w:r w:rsidR="00B07455">
        <w:rPr>
          <w:rFonts w:asciiTheme="majorBidi" w:hAnsiTheme="majorBidi" w:cstheme="majorBidi"/>
          <w:i/>
          <w:iCs/>
          <w:color w:val="000000"/>
          <w:sz w:val="24"/>
          <w:szCs w:val="24"/>
        </w:rPr>
        <w:t xml:space="preserve">ahl </w:t>
      </w:r>
      <w:r w:rsidR="001C09A6" w:rsidRPr="0046511A">
        <w:rPr>
          <w:rFonts w:asciiTheme="majorBidi" w:hAnsiTheme="majorBidi" w:cstheme="majorBidi"/>
          <w:i/>
          <w:iCs/>
          <w:sz w:val="24"/>
          <w:szCs w:val="24"/>
        </w:rPr>
        <w:t>al-</w:t>
      </w:r>
      <w:r w:rsidR="001C09A6" w:rsidRPr="0046511A">
        <w:rPr>
          <w:rFonts w:asciiTheme="majorBidi" w:hAnsiTheme="majorBidi" w:cstheme="majorBidi"/>
          <w:i/>
          <w:iCs/>
          <w:sz w:val="24"/>
          <w:szCs w:val="24"/>
          <w:u w:val="single"/>
        </w:rPr>
        <w:t>h</w:t>
      </w:r>
      <w:r w:rsidR="001C09A6" w:rsidRPr="0046511A">
        <w:rPr>
          <w:rFonts w:asciiTheme="majorBidi" w:hAnsiTheme="majorBidi" w:cstheme="majorBidi"/>
          <w:i/>
          <w:iCs/>
          <w:sz w:val="24"/>
          <w:szCs w:val="24"/>
        </w:rPr>
        <w:t>alli</w:t>
      </w:r>
      <w:r w:rsidR="001C09A6">
        <w:rPr>
          <w:rFonts w:ascii="Times New Roman" w:hAnsi="Times New Roman" w:cs="Times New Roman"/>
          <w:i/>
          <w:iCs/>
          <w:sz w:val="24"/>
          <w:szCs w:val="24"/>
        </w:rPr>
        <w:t xml:space="preserve"> </w:t>
      </w:r>
      <w:r w:rsidR="00B07455" w:rsidRPr="00715F11">
        <w:rPr>
          <w:rFonts w:asciiTheme="majorBidi" w:hAnsiTheme="majorBidi" w:cstheme="majorBidi"/>
          <w:i/>
          <w:iCs/>
          <w:color w:val="000000"/>
          <w:sz w:val="24"/>
          <w:szCs w:val="24"/>
        </w:rPr>
        <w:t>wa</w:t>
      </w:r>
      <w:r w:rsidR="00B07455">
        <w:rPr>
          <w:rFonts w:asciiTheme="majorBidi" w:hAnsiTheme="majorBidi" w:cstheme="majorBidi"/>
          <w:i/>
          <w:iCs/>
          <w:color w:val="000000"/>
          <w:sz w:val="24"/>
          <w:szCs w:val="24"/>
        </w:rPr>
        <w:t xml:space="preserve"> a</w:t>
      </w:r>
      <w:r w:rsidR="00407EE1">
        <w:rPr>
          <w:rFonts w:asciiTheme="majorBidi" w:hAnsiTheme="majorBidi" w:cstheme="majorBidi"/>
          <w:i/>
          <w:iCs/>
          <w:color w:val="000000"/>
          <w:sz w:val="24"/>
          <w:szCs w:val="24"/>
        </w:rPr>
        <w:t>l</w:t>
      </w:r>
      <w:r w:rsidR="00B07455">
        <w:rPr>
          <w:rFonts w:asciiTheme="majorBidi" w:hAnsiTheme="majorBidi" w:cstheme="majorBidi"/>
          <w:i/>
          <w:iCs/>
          <w:color w:val="000000"/>
          <w:sz w:val="24"/>
          <w:szCs w:val="24"/>
        </w:rPr>
        <w:t>‘</w:t>
      </w:r>
      <w:r w:rsidR="00B07455" w:rsidRPr="00715F11">
        <w:rPr>
          <w:rFonts w:asciiTheme="majorBidi" w:hAnsiTheme="majorBidi" w:cstheme="majorBidi"/>
          <w:i/>
          <w:iCs/>
          <w:color w:val="000000"/>
          <w:sz w:val="24"/>
          <w:szCs w:val="24"/>
        </w:rPr>
        <w:t>aqd</w:t>
      </w:r>
      <w:r w:rsidR="00B07455" w:rsidRPr="00715F11">
        <w:rPr>
          <w:rFonts w:asciiTheme="majorBidi" w:hAnsiTheme="majorBidi" w:cstheme="majorBidi"/>
          <w:color w:val="000000"/>
          <w:sz w:val="24"/>
          <w:szCs w:val="24"/>
        </w:rPr>
        <w:t xml:space="preserve">, </w:t>
      </w:r>
      <w:r w:rsidR="001274CC">
        <w:rPr>
          <w:rFonts w:asciiTheme="majorBidi" w:hAnsiTheme="majorBidi" w:cstheme="majorBidi"/>
          <w:color w:val="000000"/>
          <w:sz w:val="24"/>
          <w:szCs w:val="24"/>
        </w:rPr>
        <w:t>kumpulan ulama yang di</w:t>
      </w:r>
      <w:r w:rsidR="00B07455">
        <w:rPr>
          <w:rFonts w:asciiTheme="majorBidi" w:hAnsiTheme="majorBidi" w:cstheme="majorBidi"/>
          <w:color w:val="000000"/>
          <w:sz w:val="24"/>
          <w:szCs w:val="24"/>
        </w:rPr>
        <w:t>patuhi, para ahli hukum, dan Majelis Permusyaratan yang berada mendampingi Imam ( Presiden).</w:t>
      </w:r>
      <w:r w:rsidR="00B07455">
        <w:rPr>
          <w:rStyle w:val="FootnoteReference"/>
          <w:rFonts w:asciiTheme="majorBidi" w:hAnsiTheme="majorBidi" w:cstheme="majorBidi"/>
          <w:color w:val="000000"/>
          <w:sz w:val="24"/>
          <w:szCs w:val="24"/>
        </w:rPr>
        <w:footnoteReference w:id="32"/>
      </w:r>
    </w:p>
    <w:p w:rsidR="00AE17C5" w:rsidRPr="00AE17C5" w:rsidRDefault="0065514A" w:rsidP="0065514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Imam Nawawi (w.676 H) </w:t>
      </w:r>
      <w:r w:rsidR="00AE0306" w:rsidRPr="00907C6A">
        <w:rPr>
          <w:rFonts w:ascii="Times New Roman" w:hAnsi="Times New Roman" w:cs="Times New Roman"/>
          <w:sz w:val="24"/>
          <w:szCs w:val="24"/>
        </w:rPr>
        <w:t xml:space="preserve">mengatakannya </w:t>
      </w:r>
      <w:r w:rsidR="00183FBF">
        <w:rPr>
          <w:rFonts w:ascii="Times New Roman" w:hAnsi="Times New Roman" w:cs="Times New Roman"/>
          <w:i/>
          <w:iCs/>
          <w:sz w:val="24"/>
          <w:szCs w:val="24"/>
        </w:rPr>
        <w:t>ulil amr</w:t>
      </w:r>
      <w:r w:rsidR="00AE0306">
        <w:rPr>
          <w:rFonts w:ascii="Times New Roman" w:hAnsi="Times New Roman" w:cs="Times New Roman"/>
          <w:sz w:val="24"/>
          <w:szCs w:val="24"/>
        </w:rPr>
        <w:t xml:space="preserve"> </w:t>
      </w:r>
      <w:r w:rsidR="00AE0306" w:rsidRPr="00907C6A">
        <w:rPr>
          <w:rFonts w:ascii="Times New Roman" w:hAnsi="Times New Roman" w:cs="Times New Roman"/>
          <w:sz w:val="24"/>
          <w:szCs w:val="24"/>
        </w:rPr>
        <w:t xml:space="preserve">sebagai istilah yang mencakup para penguasa </w:t>
      </w:r>
      <w:r w:rsidR="00AE0306">
        <w:rPr>
          <w:rFonts w:ascii="Times New Roman" w:hAnsi="Times New Roman" w:cs="Times New Roman"/>
          <w:sz w:val="24"/>
          <w:szCs w:val="24"/>
        </w:rPr>
        <w:t xml:space="preserve">dan ulama </w:t>
      </w:r>
      <w:r w:rsidR="00731231" w:rsidRPr="00907C6A">
        <w:rPr>
          <w:rFonts w:ascii="Times New Roman" w:hAnsi="Times New Roman" w:cs="Times New Roman"/>
          <w:sz w:val="24"/>
          <w:szCs w:val="24"/>
        </w:rPr>
        <w:t>(</w:t>
      </w:r>
      <w:r w:rsidR="00731231">
        <w:rPr>
          <w:rFonts w:ascii="Times New Roman" w:hAnsi="Times New Roman" w:cs="Times New Roman"/>
          <w:i/>
          <w:iCs/>
          <w:sz w:val="24"/>
          <w:szCs w:val="24"/>
        </w:rPr>
        <w:t>al-</w:t>
      </w:r>
      <w:r w:rsidR="00731231" w:rsidRPr="00F408BC">
        <w:rPr>
          <w:i/>
          <w:iCs/>
        </w:rPr>
        <w:t>u</w:t>
      </w:r>
      <w:r w:rsidR="00731231" w:rsidRPr="00F408BC">
        <w:rPr>
          <w:rFonts w:ascii="Times New Roman" w:hAnsi="Times New Roman" w:cs="Times New Roman"/>
          <w:i/>
          <w:iCs/>
          <w:sz w:val="24"/>
          <w:szCs w:val="24"/>
        </w:rPr>
        <w:t>mar</w:t>
      </w:r>
      <w:r w:rsidR="00731231" w:rsidRPr="008E5F4C">
        <w:rPr>
          <w:rFonts w:asciiTheme="majorBidi" w:hAnsiTheme="majorBidi" w:cstheme="majorBidi"/>
          <w:i/>
          <w:iCs/>
        </w:rPr>
        <w:t>ā</w:t>
      </w:r>
      <w:r w:rsidR="00731231">
        <w:rPr>
          <w:rFonts w:asciiTheme="majorBidi" w:hAnsiTheme="majorBidi" w:cstheme="majorBidi"/>
          <w:i/>
          <w:iCs/>
        </w:rPr>
        <w:t>’</w:t>
      </w:r>
      <w:r w:rsidR="00731231">
        <w:rPr>
          <w:rFonts w:ascii="Times New Roman" w:hAnsi="Times New Roman" w:cs="Times New Roman"/>
          <w:sz w:val="24"/>
          <w:szCs w:val="24"/>
        </w:rPr>
        <w:t xml:space="preserve"> </w:t>
      </w:r>
      <w:r w:rsidR="00731231" w:rsidRPr="0065514A">
        <w:rPr>
          <w:rFonts w:ascii="Times New Roman" w:hAnsi="Times New Roman" w:cs="Times New Roman"/>
          <w:i/>
          <w:iCs/>
          <w:sz w:val="24"/>
          <w:szCs w:val="24"/>
        </w:rPr>
        <w:t>wa</w:t>
      </w:r>
      <w:r w:rsidR="00731231">
        <w:rPr>
          <w:rFonts w:ascii="Times New Roman" w:hAnsi="Times New Roman" w:cs="Times New Roman"/>
          <w:sz w:val="24"/>
          <w:szCs w:val="24"/>
        </w:rPr>
        <w:t xml:space="preserve"> </w:t>
      </w:r>
      <w:r w:rsidR="00731231">
        <w:rPr>
          <w:rFonts w:ascii="Times New Roman" w:hAnsi="Times New Roman" w:cs="Times New Roman"/>
          <w:i/>
          <w:iCs/>
          <w:sz w:val="24"/>
          <w:szCs w:val="24"/>
        </w:rPr>
        <w:t>al-</w:t>
      </w:r>
      <w:r w:rsidR="00731231">
        <w:t>‘</w:t>
      </w:r>
      <w:r w:rsidR="00731231">
        <w:rPr>
          <w:rFonts w:ascii="Times New Roman" w:hAnsi="Times New Roman" w:cs="Times New Roman"/>
          <w:i/>
          <w:iCs/>
          <w:sz w:val="24"/>
          <w:szCs w:val="24"/>
        </w:rPr>
        <w:t>ulam</w:t>
      </w:r>
      <w:r w:rsidR="00731231" w:rsidRPr="008E5F4C">
        <w:rPr>
          <w:rFonts w:asciiTheme="majorBidi" w:hAnsiTheme="majorBidi" w:cstheme="majorBidi"/>
          <w:i/>
          <w:iCs/>
        </w:rPr>
        <w:t>ā</w:t>
      </w:r>
      <w:r w:rsidR="00731231">
        <w:rPr>
          <w:rFonts w:ascii="Times New Roman" w:hAnsi="Times New Roman" w:cs="Times New Roman"/>
          <w:i/>
          <w:iCs/>
          <w:sz w:val="24"/>
          <w:szCs w:val="24"/>
        </w:rPr>
        <w:t>’</w:t>
      </w:r>
      <w:r w:rsidR="00731231" w:rsidRPr="00907C6A">
        <w:rPr>
          <w:rFonts w:ascii="Times New Roman" w:hAnsi="Times New Roman" w:cs="Times New Roman"/>
          <w:sz w:val="24"/>
          <w:szCs w:val="24"/>
        </w:rPr>
        <w:t>)</w:t>
      </w:r>
      <w:r w:rsidR="00310F2A">
        <w:rPr>
          <w:rFonts w:ascii="Times New Roman" w:hAnsi="Times New Roman" w:cs="Times New Roman"/>
          <w:sz w:val="24"/>
          <w:szCs w:val="24"/>
        </w:rPr>
        <w:t>yang wajib di</w:t>
      </w:r>
      <w:r w:rsidR="00AE0306">
        <w:rPr>
          <w:rFonts w:ascii="Times New Roman" w:hAnsi="Times New Roman" w:cs="Times New Roman"/>
          <w:sz w:val="24"/>
          <w:szCs w:val="24"/>
        </w:rPr>
        <w:t>taati</w:t>
      </w:r>
      <w:r w:rsidR="00AE0306" w:rsidRPr="00907C6A">
        <w:rPr>
          <w:rFonts w:ascii="Times New Roman" w:hAnsi="Times New Roman" w:cs="Times New Roman"/>
          <w:sz w:val="24"/>
          <w:szCs w:val="24"/>
        </w:rPr>
        <w:t>.</w:t>
      </w:r>
      <w:r w:rsidR="00AE0306">
        <w:rPr>
          <w:rStyle w:val="FootnoteReference"/>
          <w:rFonts w:ascii="Times New Roman" w:hAnsi="Times New Roman" w:cs="Times New Roman"/>
          <w:sz w:val="24"/>
          <w:szCs w:val="24"/>
        </w:rPr>
        <w:footnoteReference w:id="33"/>
      </w:r>
      <w:r w:rsidR="00AE0306" w:rsidRPr="00907C6A">
        <w:rPr>
          <w:rFonts w:ascii="Times New Roman" w:hAnsi="Times New Roman" w:cs="Times New Roman"/>
          <w:sz w:val="24"/>
          <w:szCs w:val="24"/>
        </w:rPr>
        <w:t xml:space="preserve"> </w:t>
      </w:r>
      <w:r w:rsidR="00AE0306">
        <w:rPr>
          <w:rFonts w:ascii="Times New Roman" w:hAnsi="Times New Roman" w:cs="Times New Roman"/>
          <w:sz w:val="24"/>
          <w:szCs w:val="24"/>
        </w:rPr>
        <w:t xml:space="preserve">Imam Mawardi berkata: pengertian </w:t>
      </w:r>
      <w:r w:rsidR="00183FBF">
        <w:rPr>
          <w:rFonts w:ascii="Times New Roman" w:hAnsi="Times New Roman" w:cs="Times New Roman"/>
          <w:i/>
          <w:iCs/>
          <w:sz w:val="24"/>
          <w:szCs w:val="24"/>
        </w:rPr>
        <w:t>ulil amri</w:t>
      </w:r>
      <w:r w:rsidR="00AE0306" w:rsidRPr="0067716D">
        <w:rPr>
          <w:rFonts w:ascii="Times New Roman" w:hAnsi="Times New Roman" w:cs="Times New Roman"/>
          <w:i/>
          <w:iCs/>
          <w:sz w:val="24"/>
          <w:szCs w:val="24"/>
        </w:rPr>
        <w:t xml:space="preserve"> </w:t>
      </w:r>
      <w:r w:rsidR="00AE0306">
        <w:rPr>
          <w:rFonts w:ascii="Times New Roman" w:hAnsi="Times New Roman" w:cs="Times New Roman"/>
          <w:sz w:val="24"/>
          <w:szCs w:val="24"/>
        </w:rPr>
        <w:t>dalam ayat tersebut ada dua; pertama adalah para pemimpin (</w:t>
      </w:r>
      <w:r>
        <w:rPr>
          <w:rFonts w:ascii="Times New Roman" w:hAnsi="Times New Roman" w:cs="Times New Roman"/>
          <w:i/>
          <w:iCs/>
          <w:sz w:val="24"/>
          <w:szCs w:val="24"/>
        </w:rPr>
        <w:t>al-</w:t>
      </w:r>
      <w:r w:rsidRPr="00F408BC">
        <w:rPr>
          <w:i/>
          <w:iCs/>
        </w:rPr>
        <w:t>u</w:t>
      </w:r>
      <w:r w:rsidRPr="00F408BC">
        <w:rPr>
          <w:rFonts w:ascii="Times New Roman" w:hAnsi="Times New Roman" w:cs="Times New Roman"/>
          <w:i/>
          <w:iCs/>
          <w:sz w:val="24"/>
          <w:szCs w:val="24"/>
        </w:rPr>
        <w:t>mar</w:t>
      </w:r>
      <w:r w:rsidRPr="008E5F4C">
        <w:rPr>
          <w:rFonts w:asciiTheme="majorBidi" w:hAnsiTheme="majorBidi" w:cstheme="majorBidi"/>
          <w:i/>
          <w:iCs/>
        </w:rPr>
        <w:t>ā</w:t>
      </w:r>
      <w:r>
        <w:rPr>
          <w:rFonts w:asciiTheme="majorBidi" w:hAnsiTheme="majorBidi" w:cstheme="majorBidi"/>
          <w:i/>
          <w:iCs/>
        </w:rPr>
        <w:t>’</w:t>
      </w:r>
      <w:r w:rsidR="00AE0306">
        <w:rPr>
          <w:rFonts w:ascii="Times New Roman" w:hAnsi="Times New Roman" w:cs="Times New Roman"/>
          <w:sz w:val="24"/>
          <w:szCs w:val="24"/>
        </w:rPr>
        <w:t>) dan itu merupakan pendapat Ibnu Abbas, dan kedua adalah para ulama (</w:t>
      </w:r>
      <w:r>
        <w:rPr>
          <w:rFonts w:ascii="Times New Roman" w:hAnsi="Times New Roman" w:cs="Times New Roman"/>
          <w:i/>
          <w:iCs/>
          <w:sz w:val="24"/>
          <w:szCs w:val="24"/>
        </w:rPr>
        <w:t>al-</w:t>
      </w:r>
      <w:r>
        <w:t>‘</w:t>
      </w:r>
      <w:r>
        <w:rPr>
          <w:rFonts w:ascii="Times New Roman" w:hAnsi="Times New Roman" w:cs="Times New Roman"/>
          <w:i/>
          <w:iCs/>
          <w:sz w:val="24"/>
          <w:szCs w:val="24"/>
        </w:rPr>
        <w:t>ulam</w:t>
      </w:r>
      <w:r w:rsidRPr="008E5F4C">
        <w:rPr>
          <w:rFonts w:asciiTheme="majorBidi" w:hAnsiTheme="majorBidi" w:cstheme="majorBidi"/>
          <w:i/>
          <w:iCs/>
        </w:rPr>
        <w:t>ā</w:t>
      </w:r>
      <w:r>
        <w:rPr>
          <w:rFonts w:ascii="Times New Roman" w:hAnsi="Times New Roman" w:cs="Times New Roman"/>
          <w:i/>
          <w:iCs/>
          <w:sz w:val="24"/>
          <w:szCs w:val="24"/>
        </w:rPr>
        <w:t>’</w:t>
      </w:r>
      <w:r w:rsidR="00AE0306">
        <w:rPr>
          <w:rFonts w:ascii="Times New Roman" w:hAnsi="Times New Roman" w:cs="Times New Roman"/>
          <w:sz w:val="24"/>
          <w:szCs w:val="24"/>
        </w:rPr>
        <w:t>) sebagaimana pendapat Jabir bin Abdullah</w:t>
      </w:r>
      <w:r w:rsidR="00AE0306">
        <w:rPr>
          <w:rStyle w:val="FootnoteReference"/>
          <w:rFonts w:ascii="Times New Roman" w:hAnsi="Times New Roman" w:cs="Times New Roman"/>
          <w:sz w:val="24"/>
          <w:szCs w:val="24"/>
        </w:rPr>
        <w:footnoteReference w:id="34"/>
      </w:r>
      <w:r w:rsidR="00AE0306">
        <w:rPr>
          <w:rFonts w:ascii="Times New Roman" w:hAnsi="Times New Roman" w:cs="Times New Roman"/>
          <w:sz w:val="24"/>
          <w:szCs w:val="24"/>
        </w:rPr>
        <w:t>.</w:t>
      </w:r>
      <w:r w:rsidR="00466543">
        <w:rPr>
          <w:rFonts w:ascii="Times New Roman" w:hAnsi="Times New Roman" w:cs="Times New Roman"/>
          <w:sz w:val="24"/>
          <w:szCs w:val="24"/>
        </w:rPr>
        <w:t xml:space="preserve"> </w:t>
      </w:r>
      <w:r w:rsidR="000F50E6" w:rsidRPr="00702543">
        <w:rPr>
          <w:rFonts w:asciiTheme="majorBidi" w:eastAsiaTheme="minorHAnsi" w:hAnsiTheme="majorBidi" w:cstheme="majorBidi"/>
          <w:color w:val="000000"/>
          <w:sz w:val="24"/>
          <w:szCs w:val="24"/>
        </w:rPr>
        <w:t>Ibnu Khaldun</w:t>
      </w:r>
      <w:r w:rsidR="000F50E6">
        <w:rPr>
          <w:rFonts w:asciiTheme="majorBidi" w:eastAsiaTheme="minorHAnsi" w:hAnsiTheme="majorBidi" w:cstheme="majorBidi"/>
          <w:color w:val="000000"/>
          <w:sz w:val="24"/>
          <w:szCs w:val="24"/>
        </w:rPr>
        <w:t xml:space="preserve"> </w:t>
      </w:r>
      <w:r>
        <w:rPr>
          <w:rFonts w:asciiTheme="majorBidi" w:eastAsiaTheme="minorHAnsi" w:hAnsiTheme="majorBidi" w:cstheme="majorBidi"/>
          <w:color w:val="000000"/>
          <w:sz w:val="24"/>
          <w:szCs w:val="24"/>
        </w:rPr>
        <w:t xml:space="preserve">(1332-1406 M) </w:t>
      </w:r>
      <w:r w:rsidR="000F50E6">
        <w:rPr>
          <w:rFonts w:asciiTheme="majorBidi" w:eastAsiaTheme="minorHAnsi" w:hAnsiTheme="majorBidi" w:cstheme="majorBidi"/>
          <w:color w:val="000000"/>
          <w:sz w:val="24"/>
          <w:szCs w:val="24"/>
        </w:rPr>
        <w:t xml:space="preserve">berpendapat bahwa </w:t>
      </w:r>
      <w:r w:rsidR="00183FBF">
        <w:rPr>
          <w:rFonts w:asciiTheme="majorBidi" w:eastAsiaTheme="minorHAnsi" w:hAnsiTheme="majorBidi" w:cstheme="majorBidi"/>
          <w:i/>
          <w:iCs/>
          <w:color w:val="000000"/>
          <w:sz w:val="24"/>
          <w:szCs w:val="24"/>
        </w:rPr>
        <w:t>ulil amr</w:t>
      </w:r>
      <w:r w:rsidR="000F50E6">
        <w:rPr>
          <w:rFonts w:asciiTheme="majorBidi" w:eastAsiaTheme="minorHAnsi" w:hAnsiTheme="majorBidi" w:cstheme="majorBidi"/>
          <w:color w:val="000000"/>
          <w:sz w:val="24"/>
          <w:szCs w:val="24"/>
        </w:rPr>
        <w:t xml:space="preserve"> itu adalah </w:t>
      </w:r>
      <w:r w:rsidR="000F50E6">
        <w:rPr>
          <w:rFonts w:ascii="Times New Roman" w:hAnsi="Times New Roman" w:cs="Times New Roman"/>
          <w:sz w:val="24"/>
          <w:szCs w:val="24"/>
        </w:rPr>
        <w:t>para hakim (agung) dan Qadhi y</w:t>
      </w:r>
      <w:r w:rsidR="00422617">
        <w:rPr>
          <w:rFonts w:ascii="Times New Roman" w:hAnsi="Times New Roman" w:cs="Times New Roman"/>
          <w:sz w:val="24"/>
          <w:szCs w:val="24"/>
        </w:rPr>
        <w:t>a</w:t>
      </w:r>
      <w:r w:rsidR="00466543">
        <w:rPr>
          <w:rFonts w:ascii="Times New Roman" w:hAnsi="Times New Roman" w:cs="Times New Roman"/>
          <w:sz w:val="24"/>
          <w:szCs w:val="24"/>
        </w:rPr>
        <w:t xml:space="preserve">ng memutus perkara di </w:t>
      </w:r>
      <w:r w:rsidR="00422617">
        <w:rPr>
          <w:rFonts w:ascii="Times New Roman" w:hAnsi="Times New Roman" w:cs="Times New Roman"/>
          <w:sz w:val="24"/>
          <w:szCs w:val="24"/>
        </w:rPr>
        <w:t>pengadil</w:t>
      </w:r>
      <w:r w:rsidR="000F50E6">
        <w:rPr>
          <w:rFonts w:ascii="Times New Roman" w:hAnsi="Times New Roman" w:cs="Times New Roman"/>
          <w:sz w:val="24"/>
          <w:szCs w:val="24"/>
        </w:rPr>
        <w:t>an.</w:t>
      </w:r>
      <w:r w:rsidR="000F50E6">
        <w:rPr>
          <w:rStyle w:val="FootnoteReference"/>
          <w:rFonts w:ascii="Times New Roman" w:hAnsi="Times New Roman" w:cs="Times New Roman"/>
          <w:sz w:val="24"/>
          <w:szCs w:val="24"/>
        </w:rPr>
        <w:footnoteReference w:id="35"/>
      </w:r>
      <w:r w:rsidR="00466543">
        <w:rPr>
          <w:rFonts w:asciiTheme="majorBidi" w:eastAsiaTheme="minorHAnsi" w:hAnsiTheme="majorBidi" w:cstheme="majorBidi"/>
          <w:color w:val="000000"/>
          <w:sz w:val="24"/>
          <w:szCs w:val="24"/>
        </w:rPr>
        <w:t xml:space="preserve"> </w:t>
      </w:r>
      <w:r w:rsidR="00AE17C5">
        <w:rPr>
          <w:rFonts w:asciiTheme="majorBidi" w:hAnsiTheme="majorBidi" w:cstheme="majorBidi"/>
          <w:color w:val="000000"/>
          <w:sz w:val="24"/>
          <w:szCs w:val="24"/>
        </w:rPr>
        <w:t xml:space="preserve">Al-Razi berpendapat bahwa </w:t>
      </w:r>
      <w:r w:rsidR="00183FBF">
        <w:rPr>
          <w:rFonts w:asciiTheme="majorBidi" w:hAnsiTheme="majorBidi" w:cstheme="majorBidi"/>
          <w:i/>
          <w:iCs/>
          <w:color w:val="000000"/>
          <w:sz w:val="24"/>
          <w:szCs w:val="24"/>
        </w:rPr>
        <w:t>ulil amri</w:t>
      </w:r>
      <w:r w:rsidR="00AE17C5">
        <w:rPr>
          <w:rFonts w:asciiTheme="majorBidi" w:hAnsiTheme="majorBidi" w:cstheme="majorBidi"/>
          <w:color w:val="000000"/>
          <w:sz w:val="24"/>
          <w:szCs w:val="24"/>
        </w:rPr>
        <w:t xml:space="preserve"> adalah </w:t>
      </w:r>
      <w:r w:rsidR="00317109">
        <w:rPr>
          <w:rFonts w:asciiTheme="majorBidi" w:hAnsiTheme="majorBidi" w:cstheme="majorBidi"/>
          <w:i/>
          <w:iCs/>
          <w:color w:val="000000"/>
          <w:sz w:val="24"/>
          <w:szCs w:val="24"/>
        </w:rPr>
        <w:t xml:space="preserve">ahl </w:t>
      </w:r>
      <w:r w:rsidR="00317109" w:rsidRPr="0046511A">
        <w:rPr>
          <w:rFonts w:asciiTheme="majorBidi" w:hAnsiTheme="majorBidi" w:cstheme="majorBidi"/>
          <w:i/>
          <w:iCs/>
          <w:sz w:val="24"/>
          <w:szCs w:val="24"/>
        </w:rPr>
        <w:t>al-</w:t>
      </w:r>
      <w:r w:rsidR="00317109" w:rsidRPr="0046511A">
        <w:rPr>
          <w:rFonts w:asciiTheme="majorBidi" w:hAnsiTheme="majorBidi" w:cstheme="majorBidi"/>
          <w:i/>
          <w:iCs/>
          <w:sz w:val="24"/>
          <w:szCs w:val="24"/>
          <w:u w:val="single"/>
        </w:rPr>
        <w:t>h</w:t>
      </w:r>
      <w:r w:rsidR="00317109" w:rsidRPr="0046511A">
        <w:rPr>
          <w:rFonts w:asciiTheme="majorBidi" w:hAnsiTheme="majorBidi" w:cstheme="majorBidi"/>
          <w:i/>
          <w:iCs/>
          <w:sz w:val="24"/>
          <w:szCs w:val="24"/>
        </w:rPr>
        <w:t>alli</w:t>
      </w:r>
      <w:r w:rsidR="00317109">
        <w:rPr>
          <w:rFonts w:ascii="Times New Roman" w:hAnsi="Times New Roman" w:cs="Times New Roman"/>
          <w:i/>
          <w:iCs/>
          <w:sz w:val="24"/>
          <w:szCs w:val="24"/>
        </w:rPr>
        <w:t xml:space="preserve"> </w:t>
      </w:r>
      <w:r w:rsidR="00317109" w:rsidRPr="00715F11">
        <w:rPr>
          <w:rFonts w:asciiTheme="majorBidi" w:hAnsiTheme="majorBidi" w:cstheme="majorBidi"/>
          <w:i/>
          <w:iCs/>
          <w:color w:val="000000"/>
          <w:sz w:val="24"/>
          <w:szCs w:val="24"/>
        </w:rPr>
        <w:t>wa</w:t>
      </w:r>
      <w:r w:rsidR="00317109">
        <w:rPr>
          <w:rFonts w:asciiTheme="majorBidi" w:hAnsiTheme="majorBidi" w:cstheme="majorBidi"/>
          <w:i/>
          <w:iCs/>
          <w:color w:val="000000"/>
          <w:sz w:val="24"/>
          <w:szCs w:val="24"/>
        </w:rPr>
        <w:t xml:space="preserve"> al‘</w:t>
      </w:r>
      <w:r w:rsidR="00317109" w:rsidRPr="00715F11">
        <w:rPr>
          <w:rFonts w:asciiTheme="majorBidi" w:hAnsiTheme="majorBidi" w:cstheme="majorBidi"/>
          <w:i/>
          <w:iCs/>
          <w:color w:val="000000"/>
          <w:sz w:val="24"/>
          <w:szCs w:val="24"/>
        </w:rPr>
        <w:t>aqd</w:t>
      </w:r>
      <w:r w:rsidR="00317109">
        <w:rPr>
          <w:rFonts w:asciiTheme="majorBidi" w:hAnsiTheme="majorBidi" w:cstheme="majorBidi"/>
          <w:color w:val="000000"/>
          <w:sz w:val="24"/>
          <w:szCs w:val="24"/>
        </w:rPr>
        <w:t xml:space="preserve"> </w:t>
      </w:r>
      <w:r w:rsidR="00AE17C5">
        <w:rPr>
          <w:rFonts w:asciiTheme="majorBidi" w:hAnsiTheme="majorBidi" w:cstheme="majorBidi"/>
          <w:color w:val="000000"/>
          <w:sz w:val="24"/>
          <w:szCs w:val="24"/>
        </w:rPr>
        <w:t>dari umat ini yang merupakan Ahli</w:t>
      </w:r>
      <w:r w:rsidR="00D96097">
        <w:rPr>
          <w:rFonts w:ascii="Times New Roman" w:hAnsi="Times New Roman" w:cs="Times New Roman"/>
          <w:i/>
          <w:iCs/>
          <w:sz w:val="24"/>
          <w:szCs w:val="24"/>
        </w:rPr>
        <w:t xml:space="preserve"> </w:t>
      </w:r>
      <w:r w:rsidR="00AE17C5" w:rsidRPr="00907C6A">
        <w:rPr>
          <w:rFonts w:ascii="Times New Roman" w:hAnsi="Times New Roman" w:cs="Times New Roman"/>
          <w:i/>
          <w:iCs/>
          <w:sz w:val="24"/>
          <w:szCs w:val="24"/>
        </w:rPr>
        <w:t>ijtihad</w:t>
      </w:r>
      <w:r w:rsidR="00AE17C5">
        <w:rPr>
          <w:rFonts w:ascii="Times New Roman" w:hAnsi="Times New Roman" w:cs="Times New Roman"/>
          <w:i/>
          <w:iCs/>
          <w:sz w:val="24"/>
          <w:szCs w:val="24"/>
        </w:rPr>
        <w:t xml:space="preserve"> </w:t>
      </w:r>
      <w:r w:rsidR="00AE17C5">
        <w:rPr>
          <w:rFonts w:ascii="Times New Roman" w:hAnsi="Times New Roman" w:cs="Times New Roman"/>
          <w:sz w:val="24"/>
          <w:szCs w:val="24"/>
        </w:rPr>
        <w:t>dan kesepakan mereka merupakan hujjah.</w:t>
      </w:r>
      <w:r w:rsidR="00AE17C5">
        <w:rPr>
          <w:rStyle w:val="FootnoteReference"/>
          <w:rFonts w:ascii="Times New Roman" w:hAnsi="Times New Roman" w:cs="Times New Roman"/>
          <w:sz w:val="24"/>
          <w:szCs w:val="24"/>
        </w:rPr>
        <w:footnoteReference w:id="36"/>
      </w:r>
    </w:p>
    <w:p w:rsidR="008A67D5" w:rsidRPr="000F50E6" w:rsidRDefault="00D96CA6" w:rsidP="00317109">
      <w:pPr>
        <w:spacing w:after="0" w:line="360" w:lineRule="auto"/>
        <w:ind w:firstLine="720"/>
        <w:jc w:val="both"/>
        <w:rPr>
          <w:rFonts w:asciiTheme="majorBidi" w:eastAsiaTheme="minorHAnsi" w:hAnsiTheme="majorBidi" w:cstheme="majorBidi"/>
          <w:color w:val="000000"/>
          <w:sz w:val="24"/>
          <w:szCs w:val="24"/>
        </w:rPr>
      </w:pPr>
      <w:r w:rsidRPr="00907C6A">
        <w:rPr>
          <w:rFonts w:ascii="Times New Roman" w:hAnsi="Times New Roman" w:cs="Times New Roman"/>
          <w:sz w:val="24"/>
          <w:szCs w:val="24"/>
        </w:rPr>
        <w:t>Muhammad Abduh</w:t>
      </w:r>
      <w:r w:rsidR="009B3FB1">
        <w:rPr>
          <w:rFonts w:ascii="Times New Roman" w:hAnsi="Times New Roman" w:cs="Times New Roman"/>
          <w:sz w:val="24"/>
          <w:szCs w:val="24"/>
        </w:rPr>
        <w:t xml:space="preserve"> (</w:t>
      </w:r>
      <w:r w:rsidR="005370D6">
        <w:rPr>
          <w:rFonts w:ascii="Times New Roman" w:hAnsi="Times New Roman" w:cs="Times New Roman"/>
          <w:sz w:val="24"/>
          <w:szCs w:val="24"/>
        </w:rPr>
        <w:t>1849-1905M)</w:t>
      </w:r>
      <w:r w:rsidRPr="00907C6A">
        <w:rPr>
          <w:rFonts w:ascii="Times New Roman" w:hAnsi="Times New Roman" w:cs="Times New Roman"/>
          <w:sz w:val="24"/>
          <w:szCs w:val="24"/>
        </w:rPr>
        <w:t xml:space="preserve"> mengatakan pada masa sekarang, </w:t>
      </w:r>
      <w:r w:rsidR="00317109">
        <w:rPr>
          <w:rFonts w:asciiTheme="majorBidi" w:hAnsiTheme="majorBidi" w:cstheme="majorBidi"/>
          <w:i/>
          <w:iCs/>
          <w:color w:val="000000"/>
          <w:sz w:val="24"/>
          <w:szCs w:val="24"/>
        </w:rPr>
        <w:t xml:space="preserve">ahl </w:t>
      </w:r>
      <w:r w:rsidR="00317109" w:rsidRPr="0046511A">
        <w:rPr>
          <w:rFonts w:asciiTheme="majorBidi" w:hAnsiTheme="majorBidi" w:cstheme="majorBidi"/>
          <w:i/>
          <w:iCs/>
          <w:sz w:val="24"/>
          <w:szCs w:val="24"/>
        </w:rPr>
        <w:t>al-</w:t>
      </w:r>
      <w:r w:rsidR="00317109" w:rsidRPr="0046511A">
        <w:rPr>
          <w:rFonts w:asciiTheme="majorBidi" w:hAnsiTheme="majorBidi" w:cstheme="majorBidi"/>
          <w:i/>
          <w:iCs/>
          <w:sz w:val="24"/>
          <w:szCs w:val="24"/>
          <w:u w:val="single"/>
        </w:rPr>
        <w:t>h</w:t>
      </w:r>
      <w:r w:rsidR="00317109" w:rsidRPr="0046511A">
        <w:rPr>
          <w:rFonts w:asciiTheme="majorBidi" w:hAnsiTheme="majorBidi" w:cstheme="majorBidi"/>
          <w:i/>
          <w:iCs/>
          <w:sz w:val="24"/>
          <w:szCs w:val="24"/>
        </w:rPr>
        <w:t>alli</w:t>
      </w:r>
      <w:r w:rsidR="00317109">
        <w:rPr>
          <w:rFonts w:ascii="Times New Roman" w:hAnsi="Times New Roman" w:cs="Times New Roman"/>
          <w:i/>
          <w:iCs/>
          <w:sz w:val="24"/>
          <w:szCs w:val="24"/>
        </w:rPr>
        <w:t xml:space="preserve"> </w:t>
      </w:r>
      <w:r w:rsidR="00317109" w:rsidRPr="00715F11">
        <w:rPr>
          <w:rFonts w:asciiTheme="majorBidi" w:hAnsiTheme="majorBidi" w:cstheme="majorBidi"/>
          <w:i/>
          <w:iCs/>
          <w:color w:val="000000"/>
          <w:sz w:val="24"/>
          <w:szCs w:val="24"/>
        </w:rPr>
        <w:t>wa</w:t>
      </w:r>
      <w:r w:rsidR="00317109">
        <w:rPr>
          <w:rFonts w:asciiTheme="majorBidi" w:hAnsiTheme="majorBidi" w:cstheme="majorBidi"/>
          <w:i/>
          <w:iCs/>
          <w:color w:val="000000"/>
          <w:sz w:val="24"/>
          <w:szCs w:val="24"/>
        </w:rPr>
        <w:t xml:space="preserve"> al‘</w:t>
      </w:r>
      <w:r w:rsidR="00317109" w:rsidRPr="00715F11">
        <w:rPr>
          <w:rFonts w:asciiTheme="majorBidi" w:hAnsiTheme="majorBidi" w:cstheme="majorBidi"/>
          <w:i/>
          <w:iCs/>
          <w:color w:val="000000"/>
          <w:sz w:val="24"/>
          <w:szCs w:val="24"/>
        </w:rPr>
        <w:t>aqd</w:t>
      </w:r>
      <w:r w:rsidR="00317109">
        <w:rPr>
          <w:rFonts w:ascii="Times New Roman" w:hAnsi="Times New Roman" w:cs="Times New Roman"/>
          <w:sz w:val="24"/>
          <w:szCs w:val="24"/>
        </w:rPr>
        <w:t xml:space="preserve"> </w:t>
      </w:r>
      <w:r w:rsidRPr="00907C6A">
        <w:rPr>
          <w:rFonts w:ascii="Times New Roman" w:hAnsi="Times New Roman" w:cs="Times New Roman"/>
          <w:sz w:val="24"/>
          <w:szCs w:val="24"/>
        </w:rPr>
        <w:t xml:space="preserve">adalah ulama senior, panglima tentera, para hakim (agung), pedagang/pengusaha besar, pimpinan perguruan tinggi, pimpinan partai, petani  dan seterusnya, yaitu orang-orang yang dipercaya rakyat untuk menyelesaikan </w:t>
      </w:r>
      <w:r w:rsidRPr="00907C6A">
        <w:rPr>
          <w:rFonts w:ascii="Times New Roman" w:hAnsi="Times New Roman" w:cs="Times New Roman"/>
          <w:sz w:val="24"/>
          <w:szCs w:val="24"/>
        </w:rPr>
        <w:lastRenderedPageBreak/>
        <w:t>masalah mereka</w:t>
      </w:r>
      <w:r w:rsidR="005A4810">
        <w:rPr>
          <w:rFonts w:ascii="Times New Roman" w:hAnsi="Times New Roman" w:cs="Times New Roman"/>
          <w:sz w:val="24"/>
          <w:szCs w:val="24"/>
        </w:rPr>
        <w:t>.</w:t>
      </w:r>
      <w:r w:rsidR="00B94744">
        <w:rPr>
          <w:rStyle w:val="FootnoteReference"/>
          <w:rFonts w:ascii="Times New Roman" w:hAnsi="Times New Roman" w:cs="Times New Roman"/>
          <w:sz w:val="24"/>
          <w:szCs w:val="24"/>
        </w:rPr>
        <w:footnoteReference w:id="37"/>
      </w:r>
      <w:r w:rsidRPr="00907C6A">
        <w:rPr>
          <w:rFonts w:ascii="Times New Roman" w:hAnsi="Times New Roman" w:cs="Times New Roman"/>
          <w:sz w:val="24"/>
          <w:szCs w:val="24"/>
        </w:rPr>
        <w:t xml:space="preserve"> Mahmud Syaltut berkata </w:t>
      </w:r>
      <w:r w:rsidR="00317109">
        <w:rPr>
          <w:rFonts w:asciiTheme="majorBidi" w:hAnsiTheme="majorBidi" w:cstheme="majorBidi"/>
          <w:i/>
          <w:iCs/>
          <w:color w:val="000000"/>
          <w:sz w:val="24"/>
          <w:szCs w:val="24"/>
        </w:rPr>
        <w:t xml:space="preserve">ahl </w:t>
      </w:r>
      <w:r w:rsidR="00317109" w:rsidRPr="0046511A">
        <w:rPr>
          <w:rFonts w:asciiTheme="majorBidi" w:hAnsiTheme="majorBidi" w:cstheme="majorBidi"/>
          <w:i/>
          <w:iCs/>
          <w:sz w:val="24"/>
          <w:szCs w:val="24"/>
        </w:rPr>
        <w:t>al-</w:t>
      </w:r>
      <w:r w:rsidR="00317109" w:rsidRPr="0046511A">
        <w:rPr>
          <w:rFonts w:asciiTheme="majorBidi" w:hAnsiTheme="majorBidi" w:cstheme="majorBidi"/>
          <w:i/>
          <w:iCs/>
          <w:sz w:val="24"/>
          <w:szCs w:val="24"/>
          <w:u w:val="single"/>
        </w:rPr>
        <w:t>h</w:t>
      </w:r>
      <w:r w:rsidR="00317109" w:rsidRPr="0046511A">
        <w:rPr>
          <w:rFonts w:asciiTheme="majorBidi" w:hAnsiTheme="majorBidi" w:cstheme="majorBidi"/>
          <w:i/>
          <w:iCs/>
          <w:sz w:val="24"/>
          <w:szCs w:val="24"/>
        </w:rPr>
        <w:t>alli</w:t>
      </w:r>
      <w:r w:rsidR="00317109">
        <w:rPr>
          <w:rFonts w:ascii="Times New Roman" w:hAnsi="Times New Roman" w:cs="Times New Roman"/>
          <w:i/>
          <w:iCs/>
          <w:sz w:val="24"/>
          <w:szCs w:val="24"/>
        </w:rPr>
        <w:t xml:space="preserve"> </w:t>
      </w:r>
      <w:r w:rsidR="00317109" w:rsidRPr="00715F11">
        <w:rPr>
          <w:rFonts w:asciiTheme="majorBidi" w:hAnsiTheme="majorBidi" w:cstheme="majorBidi"/>
          <w:i/>
          <w:iCs/>
          <w:color w:val="000000"/>
          <w:sz w:val="24"/>
          <w:szCs w:val="24"/>
        </w:rPr>
        <w:t>wa</w:t>
      </w:r>
      <w:r w:rsidR="00317109">
        <w:rPr>
          <w:rFonts w:asciiTheme="majorBidi" w:hAnsiTheme="majorBidi" w:cstheme="majorBidi"/>
          <w:i/>
          <w:iCs/>
          <w:color w:val="000000"/>
          <w:sz w:val="24"/>
          <w:szCs w:val="24"/>
        </w:rPr>
        <w:t xml:space="preserve"> al‘</w:t>
      </w:r>
      <w:r w:rsidR="00317109" w:rsidRPr="00715F11">
        <w:rPr>
          <w:rFonts w:asciiTheme="majorBidi" w:hAnsiTheme="majorBidi" w:cstheme="majorBidi"/>
          <w:i/>
          <w:iCs/>
          <w:color w:val="000000"/>
          <w:sz w:val="24"/>
          <w:szCs w:val="24"/>
        </w:rPr>
        <w:t>aqd</w:t>
      </w:r>
      <w:r w:rsidR="00317109" w:rsidRPr="00907C6A">
        <w:rPr>
          <w:rFonts w:ascii="Times New Roman" w:hAnsi="Times New Roman" w:cs="Times New Roman"/>
          <w:sz w:val="24"/>
          <w:szCs w:val="24"/>
        </w:rPr>
        <w:t xml:space="preserve"> </w:t>
      </w:r>
      <w:r w:rsidRPr="00907C6A">
        <w:rPr>
          <w:rFonts w:ascii="Times New Roman" w:hAnsi="Times New Roman" w:cs="Times New Roman"/>
          <w:sz w:val="24"/>
          <w:szCs w:val="24"/>
        </w:rPr>
        <w:t>adalah orang (tokoh) yang tajam analisis; pakar yang oleh masyarakat diketahui memiliki kapasitas sempurna untuk memecahkan berbagai masalah masyarakat dan peduli untuk mensejahterakan mereka. Mereka meliputi tokoh dalam berbagai bidang, hukum, ekonomi dan keuangan, pendidikan, kebudayaan,</w:t>
      </w:r>
      <w:r w:rsidR="00FF255B">
        <w:rPr>
          <w:rFonts w:ascii="Times New Roman" w:hAnsi="Times New Roman" w:cs="Times New Roman"/>
          <w:sz w:val="24"/>
          <w:szCs w:val="24"/>
        </w:rPr>
        <w:t xml:space="preserve"> </w:t>
      </w:r>
      <w:r w:rsidRPr="00907C6A">
        <w:rPr>
          <w:rFonts w:ascii="Times New Roman" w:hAnsi="Times New Roman" w:cs="Times New Roman"/>
          <w:sz w:val="24"/>
          <w:szCs w:val="24"/>
        </w:rPr>
        <w:t>pertahanan dan keamanan dsb</w:t>
      </w:r>
      <w:r w:rsidR="00FF255B">
        <w:rPr>
          <w:rFonts w:ascii="Times New Roman" w:hAnsi="Times New Roman" w:cs="Times New Roman"/>
          <w:sz w:val="24"/>
          <w:szCs w:val="24"/>
        </w:rPr>
        <w:t>.</w:t>
      </w:r>
      <w:r w:rsidR="00D00281">
        <w:rPr>
          <w:rStyle w:val="FootnoteReference"/>
          <w:rFonts w:ascii="Times New Roman" w:hAnsi="Times New Roman" w:cs="Times New Roman"/>
          <w:sz w:val="24"/>
          <w:szCs w:val="24"/>
        </w:rPr>
        <w:footnoteReference w:id="38"/>
      </w:r>
    </w:p>
    <w:p w:rsidR="001C124A" w:rsidRPr="00162A11" w:rsidRDefault="00715463" w:rsidP="004A06D8">
      <w:pPr>
        <w:pStyle w:val="ListParagraph"/>
        <w:spacing w:line="360" w:lineRule="auto"/>
        <w:ind w:left="0" w:firstLine="720"/>
        <w:jc w:val="both"/>
        <w:rPr>
          <w:rFonts w:asciiTheme="majorBidi" w:hAnsiTheme="majorBidi" w:cstheme="majorBidi"/>
        </w:rPr>
      </w:pPr>
      <w:r w:rsidRPr="004D530E">
        <w:rPr>
          <w:rFonts w:asciiTheme="majorBidi" w:hAnsiTheme="majorBidi" w:cstheme="majorBidi"/>
          <w:color w:val="000000"/>
          <w:sz w:val="24"/>
          <w:szCs w:val="24"/>
        </w:rPr>
        <w:t>Jabir ibn Abdullah</w:t>
      </w:r>
      <w:r w:rsidR="00D00281">
        <w:rPr>
          <w:rFonts w:asciiTheme="majorBidi" w:hAnsiTheme="majorBidi" w:cstheme="majorBidi"/>
          <w:color w:val="000000"/>
          <w:sz w:val="24"/>
          <w:szCs w:val="24"/>
        </w:rPr>
        <w:t>, Hasan, Al-Dhohak dan Mujahid berp</w:t>
      </w:r>
      <w:r w:rsidRPr="004D530E">
        <w:rPr>
          <w:rFonts w:asciiTheme="majorBidi" w:hAnsiTheme="majorBidi" w:cstheme="majorBidi"/>
          <w:color w:val="000000"/>
          <w:sz w:val="24"/>
          <w:szCs w:val="24"/>
        </w:rPr>
        <w:t xml:space="preserve">endapat bahwa </w:t>
      </w:r>
      <w:r w:rsidR="00183FBF">
        <w:rPr>
          <w:rFonts w:asciiTheme="majorBidi" w:hAnsiTheme="majorBidi" w:cstheme="majorBidi"/>
          <w:i/>
          <w:iCs/>
          <w:color w:val="000000"/>
          <w:sz w:val="24"/>
          <w:szCs w:val="24"/>
        </w:rPr>
        <w:t>ulil amr</w:t>
      </w:r>
      <w:r w:rsidRPr="004D530E">
        <w:rPr>
          <w:rFonts w:asciiTheme="majorBidi" w:hAnsiTheme="majorBidi" w:cstheme="majorBidi"/>
          <w:color w:val="000000"/>
          <w:sz w:val="24"/>
          <w:szCs w:val="24"/>
        </w:rPr>
        <w:t xml:space="preserve"> itu adalah para Ahli fiqh dan para Ulama, mereka yang ahli </w:t>
      </w:r>
      <w:r w:rsidR="00A22927" w:rsidRPr="004D530E">
        <w:rPr>
          <w:rFonts w:asciiTheme="majorBidi" w:hAnsiTheme="majorBidi" w:cstheme="majorBidi"/>
          <w:color w:val="000000"/>
          <w:sz w:val="24"/>
          <w:szCs w:val="24"/>
        </w:rPr>
        <w:t>a</w:t>
      </w:r>
      <w:r w:rsidRPr="004D530E">
        <w:rPr>
          <w:rFonts w:asciiTheme="majorBidi" w:hAnsiTheme="majorBidi" w:cstheme="majorBidi"/>
          <w:color w:val="000000"/>
          <w:sz w:val="24"/>
          <w:szCs w:val="24"/>
        </w:rPr>
        <w:t xml:space="preserve">gama dan yang memiliki keahlian, mereka orang-orang yang mengajari menusia masalah </w:t>
      </w:r>
      <w:r w:rsidR="00A22927" w:rsidRPr="004D530E">
        <w:rPr>
          <w:rFonts w:asciiTheme="majorBidi" w:hAnsiTheme="majorBidi" w:cstheme="majorBidi"/>
          <w:color w:val="000000"/>
          <w:sz w:val="24"/>
          <w:szCs w:val="24"/>
        </w:rPr>
        <w:t>a</w:t>
      </w:r>
      <w:r w:rsidRPr="004D530E">
        <w:rPr>
          <w:rFonts w:asciiTheme="majorBidi" w:hAnsiTheme="majorBidi" w:cstheme="majorBidi"/>
          <w:color w:val="000000"/>
          <w:sz w:val="24"/>
          <w:szCs w:val="24"/>
        </w:rPr>
        <w:t xml:space="preserve">gama, melaksanakan </w:t>
      </w:r>
      <w:r w:rsidR="00A22927" w:rsidRPr="004D530E">
        <w:rPr>
          <w:rFonts w:asciiTheme="majorBidi" w:hAnsiTheme="majorBidi" w:cstheme="majorBidi"/>
          <w:color w:val="000000"/>
          <w:sz w:val="24"/>
          <w:szCs w:val="24"/>
        </w:rPr>
        <w:t>a</w:t>
      </w:r>
      <w:r w:rsidRPr="004D530E">
        <w:rPr>
          <w:rFonts w:asciiTheme="majorBidi" w:hAnsiTheme="majorBidi" w:cstheme="majorBidi"/>
          <w:color w:val="000000"/>
          <w:sz w:val="24"/>
          <w:szCs w:val="24"/>
        </w:rPr>
        <w:t>mar makruf</w:t>
      </w:r>
      <w:r w:rsidR="008A67D5">
        <w:rPr>
          <w:rFonts w:asciiTheme="majorBidi" w:hAnsiTheme="majorBidi" w:cstheme="majorBidi"/>
          <w:color w:val="000000"/>
          <w:sz w:val="24"/>
          <w:szCs w:val="24"/>
        </w:rPr>
        <w:t xml:space="preserve"> </w:t>
      </w:r>
      <w:r w:rsidRPr="004D530E">
        <w:rPr>
          <w:rFonts w:asciiTheme="majorBidi" w:hAnsiTheme="majorBidi" w:cstheme="majorBidi"/>
          <w:color w:val="000000"/>
          <w:sz w:val="24"/>
          <w:szCs w:val="24"/>
        </w:rPr>
        <w:t xml:space="preserve"> </w:t>
      </w:r>
      <w:r w:rsidR="00A22927" w:rsidRPr="004D530E">
        <w:rPr>
          <w:rFonts w:asciiTheme="majorBidi" w:hAnsiTheme="majorBidi" w:cstheme="majorBidi"/>
          <w:color w:val="000000"/>
          <w:sz w:val="24"/>
          <w:szCs w:val="24"/>
        </w:rPr>
        <w:t>nahi mungkar</w:t>
      </w:r>
      <w:r w:rsidRPr="004D530E">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39"/>
      </w:r>
      <w:r w:rsidRPr="004D530E">
        <w:rPr>
          <w:rFonts w:asciiTheme="majorBidi" w:hAnsiTheme="majorBidi" w:cstheme="majorBidi"/>
          <w:color w:val="000000"/>
          <w:sz w:val="24"/>
          <w:szCs w:val="24"/>
        </w:rPr>
        <w:t xml:space="preserve"> Pendapat ini </w:t>
      </w:r>
      <w:r w:rsidR="005A4810">
        <w:rPr>
          <w:rFonts w:asciiTheme="majorBidi" w:hAnsiTheme="majorBidi" w:cstheme="majorBidi"/>
          <w:color w:val="000000"/>
          <w:sz w:val="24"/>
          <w:szCs w:val="24"/>
        </w:rPr>
        <w:t>diperkua</w:t>
      </w:r>
      <w:r w:rsidR="00317109">
        <w:rPr>
          <w:rFonts w:asciiTheme="majorBidi" w:hAnsiTheme="majorBidi" w:cstheme="majorBidi"/>
          <w:color w:val="000000"/>
          <w:sz w:val="24"/>
          <w:szCs w:val="24"/>
        </w:rPr>
        <w:t>t</w:t>
      </w:r>
      <w:r w:rsidR="005A4810">
        <w:rPr>
          <w:rFonts w:asciiTheme="majorBidi" w:hAnsiTheme="majorBidi" w:cstheme="majorBidi"/>
          <w:color w:val="000000"/>
          <w:sz w:val="24"/>
          <w:szCs w:val="24"/>
        </w:rPr>
        <w:t xml:space="preserve"> oleh</w:t>
      </w:r>
      <w:r w:rsidRPr="004D530E">
        <w:rPr>
          <w:rFonts w:asciiTheme="majorBidi" w:hAnsiTheme="majorBidi" w:cstheme="majorBidi"/>
          <w:color w:val="000000"/>
          <w:sz w:val="24"/>
          <w:szCs w:val="24"/>
        </w:rPr>
        <w:t xml:space="preserve"> firman Allah </w:t>
      </w:r>
      <w:r w:rsidR="001C124A">
        <w:rPr>
          <w:rFonts w:asciiTheme="majorBidi" w:hAnsiTheme="majorBidi" w:cstheme="majorBidi"/>
          <w:color w:val="000000"/>
          <w:sz w:val="24"/>
          <w:szCs w:val="24"/>
        </w:rPr>
        <w:t xml:space="preserve">dalam </w:t>
      </w:r>
      <w:r w:rsidR="004A06D8">
        <w:rPr>
          <w:rFonts w:ascii="Times New Roman" w:hAnsi="Times New Roman" w:cs="Times New Roman"/>
          <w:sz w:val="24"/>
          <w:szCs w:val="24"/>
          <w:lang w:val="id-ID"/>
        </w:rPr>
        <w:t xml:space="preserve">Al-Qur’ān </w:t>
      </w:r>
      <w:r w:rsidR="001C124A">
        <w:rPr>
          <w:rFonts w:asciiTheme="majorBidi" w:hAnsiTheme="majorBidi" w:cstheme="majorBidi"/>
          <w:color w:val="000000"/>
          <w:sz w:val="24"/>
          <w:szCs w:val="24"/>
        </w:rPr>
        <w:t xml:space="preserve">surat </w:t>
      </w:r>
      <w:r w:rsidR="00162A11" w:rsidRPr="004D530E">
        <w:rPr>
          <w:rFonts w:asciiTheme="majorBidi" w:hAnsiTheme="majorBidi" w:cstheme="majorBidi"/>
          <w:color w:val="000000"/>
          <w:sz w:val="24"/>
          <w:szCs w:val="24"/>
        </w:rPr>
        <w:t>Al-Nis</w:t>
      </w:r>
      <w:r w:rsidR="00162A11" w:rsidRPr="00966742">
        <w:rPr>
          <w:rFonts w:asciiTheme="majorBidi" w:hAnsiTheme="majorBidi" w:cstheme="majorBidi"/>
        </w:rPr>
        <w:t>ā</w:t>
      </w:r>
      <w:r w:rsidR="00162A11">
        <w:rPr>
          <w:rFonts w:asciiTheme="majorBidi" w:hAnsiTheme="majorBidi" w:cstheme="majorBidi"/>
        </w:rPr>
        <w:t>’</w:t>
      </w:r>
      <w:r w:rsidR="001C124A">
        <w:rPr>
          <w:rFonts w:asciiTheme="majorBidi" w:hAnsiTheme="majorBidi" w:cstheme="majorBidi"/>
          <w:color w:val="000000"/>
          <w:sz w:val="24"/>
          <w:szCs w:val="24"/>
        </w:rPr>
        <w:t xml:space="preserve">ayat </w:t>
      </w:r>
      <w:r w:rsidRPr="004D530E">
        <w:rPr>
          <w:rFonts w:asciiTheme="majorBidi" w:hAnsiTheme="majorBidi" w:cstheme="majorBidi"/>
          <w:color w:val="000000"/>
          <w:sz w:val="24"/>
          <w:szCs w:val="24"/>
        </w:rPr>
        <w:t xml:space="preserve">83 </w:t>
      </w:r>
      <w:r w:rsidR="001C124A">
        <w:rPr>
          <w:rFonts w:asciiTheme="majorBidi" w:hAnsiTheme="majorBidi" w:cstheme="majorBidi"/>
          <w:color w:val="000000"/>
          <w:sz w:val="24"/>
          <w:szCs w:val="24"/>
        </w:rPr>
        <w:t xml:space="preserve">yaitu: </w:t>
      </w:r>
    </w:p>
    <w:p w:rsidR="001C124A" w:rsidRDefault="001C124A" w:rsidP="001C124A">
      <w:pPr>
        <w:bidi/>
        <w:spacing w:line="240" w:lineRule="auto"/>
        <w:jc w:val="both"/>
        <w:rPr>
          <w:rFonts w:ascii="(normal text)" w:hAnsi="(normal text)"/>
        </w:rPr>
      </w:pP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5" w:char="F075"/>
      </w:r>
      <w:r>
        <w:rPr>
          <w:sz w:val="28"/>
          <w:szCs w:val="28"/>
        </w:rPr>
        <w:sym w:font="HQPB2" w:char="F0E4"/>
      </w:r>
      <w:r>
        <w:rPr>
          <w:sz w:val="28"/>
          <w:szCs w:val="28"/>
        </w:rPr>
        <w:sym w:font="HQPB5" w:char="F021"/>
      </w:r>
      <w:r>
        <w:rPr>
          <w:sz w:val="28"/>
          <w:szCs w:val="28"/>
        </w:rPr>
        <w:sym w:font="HQPB1" w:char="F025"/>
      </w:r>
      <w:r>
        <w:rPr>
          <w:sz w:val="28"/>
          <w:szCs w:val="28"/>
        </w:rPr>
        <w:sym w:font="HQPB5" w:char="F079"/>
      </w:r>
      <w:r>
        <w:rPr>
          <w:sz w:val="28"/>
          <w:szCs w:val="28"/>
        </w:rPr>
        <w:sym w:font="HQPB1" w:char="F060"/>
      </w:r>
      <w:r>
        <w:rPr>
          <w:rFonts w:ascii="(normal text)" w:hAnsi="(normal text)"/>
          <w:rtl/>
        </w:rPr>
        <w:t xml:space="preserve"> </w:t>
      </w:r>
      <w:r>
        <w:rPr>
          <w:sz w:val="28"/>
          <w:szCs w:val="28"/>
        </w:rPr>
        <w:sym w:font="HQPB4" w:char="F0D6"/>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7"/>
      </w:r>
      <w:r>
        <w:rPr>
          <w:sz w:val="28"/>
          <w:szCs w:val="28"/>
        </w:rPr>
        <w:sym w:font="HQPB2" w:char="F060"/>
      </w:r>
      <w:r>
        <w:rPr>
          <w:sz w:val="28"/>
          <w:szCs w:val="28"/>
        </w:rPr>
        <w:sym w:font="HQPB4" w:char="F0F8"/>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D"/>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5"/>
      </w:r>
      <w:r>
        <w:rPr>
          <w:sz w:val="28"/>
          <w:szCs w:val="28"/>
        </w:rPr>
        <w:sym w:font="HQPB2" w:char="F024"/>
      </w:r>
      <w:r>
        <w:rPr>
          <w:sz w:val="28"/>
          <w:szCs w:val="28"/>
        </w:rPr>
        <w:sym w:font="HQPB4" w:char="F0F6"/>
      </w:r>
      <w:r>
        <w:rPr>
          <w:sz w:val="28"/>
          <w:szCs w:val="28"/>
        </w:rPr>
        <w:sym w:font="HQPB2" w:char="F071"/>
      </w:r>
      <w:r>
        <w:rPr>
          <w:sz w:val="28"/>
          <w:szCs w:val="28"/>
        </w:rPr>
        <w:sym w:font="HQPB5" w:char="F079"/>
      </w:r>
      <w:r>
        <w:rPr>
          <w:sz w:val="28"/>
          <w:szCs w:val="28"/>
        </w:rPr>
        <w:sym w:font="HQPB1" w:char="F082"/>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E3"/>
      </w:r>
      <w:r>
        <w:rPr>
          <w:sz w:val="28"/>
          <w:szCs w:val="28"/>
        </w:rPr>
        <w:sym w:font="HQPB1" w:char="F023"/>
      </w:r>
      <w:r>
        <w:rPr>
          <w:sz w:val="28"/>
          <w:szCs w:val="28"/>
        </w:rPr>
        <w:sym w:font="HQPB5" w:char="F073"/>
      </w:r>
      <w:r>
        <w:rPr>
          <w:sz w:val="28"/>
          <w:szCs w:val="28"/>
        </w:rPr>
        <w:sym w:font="HQPB1" w:char="F08C"/>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7"/>
      </w:r>
      <w:r>
        <w:rPr>
          <w:sz w:val="28"/>
          <w:szCs w:val="28"/>
        </w:rPr>
        <w:sym w:font="HQPB2" w:char="F06E"/>
      </w:r>
      <w:r>
        <w:rPr>
          <w:sz w:val="28"/>
          <w:szCs w:val="28"/>
        </w:rPr>
        <w:sym w:font="HQPB2" w:char="F072"/>
      </w:r>
      <w:r>
        <w:rPr>
          <w:sz w:val="28"/>
          <w:szCs w:val="28"/>
        </w:rPr>
        <w:sym w:font="HQPB4" w:char="F096"/>
      </w:r>
      <w:r>
        <w:rPr>
          <w:sz w:val="28"/>
          <w:szCs w:val="28"/>
        </w:rPr>
        <w:sym w:font="HQPB1" w:char="F08A"/>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9"/>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3"/>
      </w:r>
      <w:r>
        <w:rPr>
          <w:sz w:val="28"/>
          <w:szCs w:val="28"/>
        </w:rPr>
        <w:sym w:font="HQPB3" w:char="F086"/>
      </w:r>
      <w:r>
        <w:rPr>
          <w:sz w:val="28"/>
          <w:szCs w:val="28"/>
        </w:rPr>
        <w:sym w:font="HQPB5" w:char="F06E"/>
      </w:r>
      <w:r>
        <w:rPr>
          <w:sz w:val="28"/>
          <w:szCs w:val="28"/>
        </w:rPr>
        <w:sym w:font="HQPB2" w:char="F03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D"/>
      </w:r>
      <w:r>
        <w:rPr>
          <w:sz w:val="28"/>
          <w:szCs w:val="28"/>
        </w:rPr>
        <w:sym w:font="HQPB2" w:char="F03C"/>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8"/>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E7"/>
      </w:r>
      <w:r>
        <w:rPr>
          <w:sz w:val="28"/>
          <w:szCs w:val="28"/>
        </w:rPr>
        <w:sym w:font="HQPB2" w:char="F06D"/>
      </w:r>
      <w:r>
        <w:rPr>
          <w:sz w:val="28"/>
          <w:szCs w:val="28"/>
        </w:rPr>
        <w:sym w:font="HQPB5" w:char="F079"/>
      </w:r>
      <w:r>
        <w:rPr>
          <w:sz w:val="28"/>
          <w:szCs w:val="28"/>
        </w:rPr>
        <w:sym w:font="HQPB2" w:char="F04A"/>
      </w:r>
      <w:r>
        <w:rPr>
          <w:sz w:val="28"/>
          <w:szCs w:val="28"/>
        </w:rPr>
        <w:sym w:font="HQPB4" w:char="F0CE"/>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4"/>
      </w:r>
      <w:r>
        <w:rPr>
          <w:sz w:val="28"/>
          <w:szCs w:val="28"/>
        </w:rPr>
        <w:sym w:font="HQPB2" w:char="F052"/>
      </w:r>
      <w:r>
        <w:rPr>
          <w:sz w:val="28"/>
          <w:szCs w:val="28"/>
        </w:rPr>
        <w:sym w:font="HQPB2" w:char="F071"/>
      </w:r>
      <w:r>
        <w:rPr>
          <w:sz w:val="28"/>
          <w:szCs w:val="28"/>
        </w:rPr>
        <w:sym w:font="HQPB4" w:char="F0E4"/>
      </w:r>
      <w:r>
        <w:rPr>
          <w:sz w:val="28"/>
          <w:szCs w:val="28"/>
        </w:rPr>
        <w:sym w:font="HQPB1" w:char="F0DC"/>
      </w:r>
      <w:r>
        <w:rPr>
          <w:sz w:val="28"/>
          <w:szCs w:val="28"/>
        </w:rPr>
        <w:sym w:font="HQPB4" w:char="F0CE"/>
      </w:r>
      <w:r>
        <w:rPr>
          <w:sz w:val="28"/>
          <w:szCs w:val="28"/>
        </w:rPr>
        <w:sym w:font="HQPB1" w:char="F037"/>
      </w:r>
      <w:r>
        <w:rPr>
          <w:sz w:val="28"/>
          <w:szCs w:val="28"/>
        </w:rPr>
        <w:sym w:font="HQPB5" w:char="F02F"/>
      </w:r>
      <w:r>
        <w:rPr>
          <w:sz w:val="28"/>
          <w:szCs w:val="28"/>
        </w:rPr>
        <w:sym w:font="HQPB2" w:char="F05A"/>
      </w:r>
      <w:r>
        <w:rPr>
          <w:sz w:val="28"/>
          <w:szCs w:val="28"/>
        </w:rPr>
        <w:sym w:font="HQPB5" w:char="F06F"/>
      </w:r>
      <w:r>
        <w:rPr>
          <w:sz w:val="28"/>
          <w:szCs w:val="28"/>
        </w:rPr>
        <w:sym w:font="HQPB1" w:char="F04B"/>
      </w:r>
      <w:r>
        <w:rPr>
          <w:sz w:val="28"/>
          <w:szCs w:val="28"/>
        </w:rPr>
        <w:sym w:font="HQPB4" w:char="F0F3"/>
      </w:r>
      <w:r>
        <w:rPr>
          <w:sz w:val="28"/>
          <w:szCs w:val="28"/>
        </w:rPr>
        <w:sym w:font="HQPB1" w:char="F0A1"/>
      </w:r>
      <w:r>
        <w:rPr>
          <w:sz w:val="28"/>
          <w:szCs w:val="28"/>
        </w:rPr>
        <w:sym w:font="HQPB5" w:char="F06F"/>
      </w:r>
      <w:r>
        <w:rPr>
          <w:sz w:val="28"/>
          <w:szCs w:val="28"/>
        </w:rPr>
        <w:sym w:font="HQPB2" w:char="F08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9F"/>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0"/>
      </w:r>
      <w:r>
        <w:rPr>
          <w:sz w:val="28"/>
          <w:szCs w:val="28"/>
        </w:rPr>
        <w:sym w:font="HQPB4" w:char="F0F4"/>
      </w:r>
      <w:r>
        <w:rPr>
          <w:sz w:val="28"/>
          <w:szCs w:val="28"/>
        </w:rPr>
        <w:sym w:font="HQPB1" w:char="F0D2"/>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F8"/>
      </w:r>
      <w:r>
        <w:rPr>
          <w:sz w:val="28"/>
          <w:szCs w:val="28"/>
        </w:rPr>
        <w:sym w:font="HQPB2" w:char="F08A"/>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E7"/>
      </w:r>
      <w:r>
        <w:rPr>
          <w:sz w:val="28"/>
          <w:szCs w:val="28"/>
        </w:rPr>
        <w:sym w:font="HQPB1" w:char="F047"/>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4" w:char="F0F7"/>
      </w:r>
      <w:r>
        <w:rPr>
          <w:sz w:val="28"/>
          <w:szCs w:val="28"/>
        </w:rPr>
        <w:sym w:font="HQPB1" w:char="F0E8"/>
      </w:r>
      <w:r>
        <w:rPr>
          <w:sz w:val="28"/>
          <w:szCs w:val="28"/>
        </w:rPr>
        <w:sym w:font="HQPB5" w:char="F074"/>
      </w:r>
      <w:r>
        <w:rPr>
          <w:sz w:val="28"/>
          <w:szCs w:val="28"/>
        </w:rPr>
        <w:sym w:font="HQPB1" w:char="F036"/>
      </w:r>
      <w:r>
        <w:rPr>
          <w:sz w:val="28"/>
          <w:szCs w:val="28"/>
        </w:rPr>
        <w:sym w:font="HQPB4" w:char="F0A8"/>
      </w:r>
      <w:r>
        <w:rPr>
          <w:sz w:val="28"/>
          <w:szCs w:val="28"/>
        </w:rPr>
        <w:sym w:font="HQPB1" w:char="F03F"/>
      </w:r>
      <w:r>
        <w:rPr>
          <w:sz w:val="28"/>
          <w:szCs w:val="28"/>
        </w:rPr>
        <w:sym w:font="HQPB5" w:char="F05D"/>
      </w:r>
      <w:r>
        <w:rPr>
          <w:sz w:val="28"/>
          <w:szCs w:val="28"/>
        </w:rPr>
        <w:sym w:font="HQPB2" w:char="F077"/>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BB"/>
      </w:r>
      <w:r>
        <w:rPr>
          <w:sz w:val="28"/>
          <w:szCs w:val="28"/>
        </w:rPr>
        <w:sym w:font="HQPB5" w:char="F073"/>
      </w:r>
      <w:r>
        <w:rPr>
          <w:sz w:val="28"/>
          <w:szCs w:val="28"/>
        </w:rPr>
        <w:sym w:font="HQPB1" w:char="F0DC"/>
      </w:r>
      <w:r>
        <w:rPr>
          <w:sz w:val="28"/>
          <w:szCs w:val="28"/>
        </w:rPr>
        <w:sym w:font="HQPB4" w:char="F0F8"/>
      </w:r>
      <w:r>
        <w:rPr>
          <w:sz w:val="28"/>
          <w:szCs w:val="28"/>
        </w:rPr>
        <w:sym w:font="HQPB2" w:char="F08A"/>
      </w:r>
      <w:r>
        <w:rPr>
          <w:sz w:val="28"/>
          <w:szCs w:val="28"/>
        </w:rPr>
        <w:sym w:font="HQPB4" w:char="F0A4"/>
      </w:r>
      <w:r>
        <w:rPr>
          <w:sz w:val="28"/>
          <w:szCs w:val="28"/>
        </w:rPr>
        <w:sym w:font="HQPB1" w:char="F0B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57"/>
      </w:r>
      <w:r>
        <w:rPr>
          <w:sz w:val="28"/>
          <w:szCs w:val="28"/>
        </w:rPr>
        <w:sym w:font="HQPB2" w:char="F078"/>
      </w:r>
      <w:r>
        <w:rPr>
          <w:sz w:val="28"/>
          <w:szCs w:val="28"/>
        </w:rPr>
        <w:sym w:font="HQPB2" w:char="F08A"/>
      </w:r>
      <w:r>
        <w:rPr>
          <w:sz w:val="28"/>
          <w:szCs w:val="28"/>
        </w:rPr>
        <w:sym w:font="HQPB4" w:char="F0CE"/>
      </w:r>
      <w:r>
        <w:rPr>
          <w:sz w:val="28"/>
          <w:szCs w:val="28"/>
        </w:rPr>
        <w:sym w:font="HQPB2" w:char="F03D"/>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CC"/>
      </w:r>
      <w:r>
        <w:rPr>
          <w:sz w:val="28"/>
          <w:szCs w:val="28"/>
        </w:rPr>
        <w:sym w:font="HQPB2" w:char="F0C8"/>
      </w:r>
      <w:r>
        <w:rPr>
          <w:rFonts w:ascii="(normal text)" w:hAnsi="(normal text)"/>
          <w:rtl/>
        </w:rPr>
        <w:t xml:space="preserve">   </w:t>
      </w:r>
    </w:p>
    <w:p w:rsidR="001C124A" w:rsidRPr="007B5F12" w:rsidRDefault="001C124A" w:rsidP="008C3526">
      <w:pPr>
        <w:spacing w:line="240" w:lineRule="auto"/>
        <w:ind w:left="720"/>
        <w:jc w:val="both"/>
        <w:rPr>
          <w:rFonts w:ascii="(normal text)" w:hAnsi="(normal text)"/>
        </w:rPr>
      </w:pPr>
      <w:r>
        <w:rPr>
          <w:rFonts w:ascii="(normal text)" w:hAnsi="(normal text)"/>
          <w:sz w:val="20"/>
        </w:rPr>
        <w:t xml:space="preserve">“ </w:t>
      </w:r>
      <w:r w:rsidRPr="007B5F12">
        <w:rPr>
          <w:rFonts w:ascii="(normal text)" w:hAnsi="(normal text)"/>
          <w:i/>
          <w:iCs/>
          <w:sz w:val="24"/>
          <w:szCs w:val="24"/>
        </w:rPr>
        <w:t xml:space="preserve">Dan apabila datang kepada mereka suatu berita tentang keamanan ataupun ketakutan, mereka lalu menyiarkannya. dan kalau mereka menyerahkannya kepada Rasul dan </w:t>
      </w:r>
      <w:r w:rsidR="00183FBF">
        <w:rPr>
          <w:rFonts w:ascii="(normal text)" w:hAnsi="(normal text)"/>
          <w:i/>
          <w:iCs/>
          <w:sz w:val="24"/>
          <w:szCs w:val="24"/>
        </w:rPr>
        <w:t>ulil amri</w:t>
      </w:r>
      <w:r w:rsidRPr="007B5F12">
        <w:rPr>
          <w:rFonts w:ascii="(normal text)" w:hAnsi="(normal text)"/>
          <w:i/>
          <w:iCs/>
          <w:sz w:val="24"/>
          <w:szCs w:val="24"/>
        </w:rPr>
        <w:t xml:space="preserve">i[322] di antara mereka, tentulah orang-orang yang ingin mengetahui kebenarannya (akan dapat) mengetahuinya dari mereka (Rasul dan </w:t>
      </w:r>
      <w:r w:rsidR="00183FBF">
        <w:rPr>
          <w:rFonts w:ascii="(normal text)" w:hAnsi="(normal text)"/>
          <w:i/>
          <w:iCs/>
          <w:sz w:val="24"/>
          <w:szCs w:val="24"/>
        </w:rPr>
        <w:t>ulil amri</w:t>
      </w:r>
      <w:r w:rsidRPr="007B5F12">
        <w:rPr>
          <w:rFonts w:ascii="(normal text)" w:hAnsi="(normal text)"/>
          <w:i/>
          <w:iCs/>
          <w:sz w:val="24"/>
          <w:szCs w:val="24"/>
        </w:rPr>
        <w:t>i)[323]. kalau tidaklah karena karunia dan rahmat Allah kepada kamu, tentulah kamu mengikut syaitan, kecuali sebahagian kecil saja (di antaramu</w:t>
      </w:r>
      <w:r w:rsidRPr="007B5F12">
        <w:rPr>
          <w:rFonts w:ascii="(normal text)" w:hAnsi="(normal text)"/>
          <w:sz w:val="24"/>
          <w:szCs w:val="24"/>
        </w:rPr>
        <w:t xml:space="preserve">)”.( QS. </w:t>
      </w:r>
      <w:r w:rsidR="008C3526" w:rsidRPr="004D530E">
        <w:rPr>
          <w:rFonts w:asciiTheme="majorBidi" w:hAnsiTheme="majorBidi" w:cstheme="majorBidi"/>
          <w:color w:val="000000"/>
          <w:sz w:val="24"/>
          <w:szCs w:val="24"/>
        </w:rPr>
        <w:t>Al-Nis</w:t>
      </w:r>
      <w:r w:rsidR="008C3526" w:rsidRPr="00966742">
        <w:rPr>
          <w:rFonts w:asciiTheme="majorBidi" w:hAnsiTheme="majorBidi" w:cstheme="majorBidi"/>
        </w:rPr>
        <w:t>ā</w:t>
      </w:r>
      <w:r w:rsidR="008C3526">
        <w:rPr>
          <w:rFonts w:asciiTheme="majorBidi" w:hAnsiTheme="majorBidi" w:cstheme="majorBidi"/>
        </w:rPr>
        <w:t>’</w:t>
      </w:r>
      <w:r w:rsidRPr="007B5F12">
        <w:rPr>
          <w:rFonts w:ascii="(normal text)" w:hAnsi="(normal text)"/>
          <w:sz w:val="24"/>
          <w:szCs w:val="24"/>
        </w:rPr>
        <w:t>:5 / 83)</w:t>
      </w:r>
    </w:p>
    <w:p w:rsidR="006E29AA" w:rsidRPr="007B5F12" w:rsidRDefault="001C124A" w:rsidP="008C3526">
      <w:pPr>
        <w:spacing w:after="0" w:line="360" w:lineRule="auto"/>
        <w:ind w:firstLine="720"/>
        <w:jc w:val="both"/>
        <w:rPr>
          <w:rFonts w:asciiTheme="majorBidi" w:hAnsiTheme="majorBidi" w:cstheme="majorBidi"/>
          <w:color w:val="000000"/>
          <w:sz w:val="24"/>
          <w:szCs w:val="24"/>
        </w:rPr>
      </w:pPr>
      <w:r w:rsidRPr="001C124A">
        <w:rPr>
          <w:rFonts w:ascii="(normal text)" w:hAnsi="(normal text)"/>
          <w:sz w:val="24"/>
          <w:szCs w:val="24"/>
        </w:rPr>
        <w:t>Dalam</w:t>
      </w:r>
      <w:r>
        <w:rPr>
          <w:rFonts w:ascii="(normal text)" w:hAnsi="(normal text)"/>
          <w:sz w:val="24"/>
          <w:szCs w:val="24"/>
        </w:rPr>
        <w:t xml:space="preserve"> catatan kaki</w:t>
      </w:r>
      <w:r w:rsidRPr="001C124A">
        <w:rPr>
          <w:rFonts w:ascii="(normal text)" w:hAnsi="(normal text)"/>
          <w:sz w:val="24"/>
          <w:szCs w:val="24"/>
        </w:rPr>
        <w:t xml:space="preserve"> terjamahan </w:t>
      </w:r>
      <w:r w:rsidR="008C3526">
        <w:rPr>
          <w:rFonts w:ascii="Times New Roman" w:hAnsi="Times New Roman" w:cs="Times New Roman"/>
          <w:sz w:val="24"/>
          <w:szCs w:val="24"/>
          <w:lang w:val="id-ID"/>
        </w:rPr>
        <w:t xml:space="preserve">Al-Qur’ān </w:t>
      </w:r>
      <w:r w:rsidRPr="001C124A">
        <w:rPr>
          <w:rFonts w:ascii="(normal text)" w:hAnsi="(normal text)"/>
          <w:sz w:val="24"/>
          <w:szCs w:val="24"/>
        </w:rPr>
        <w:t xml:space="preserve">Departemen agama kata </w:t>
      </w:r>
      <w:r w:rsidR="007B5F12">
        <w:rPr>
          <w:rFonts w:ascii="(normal text)" w:hAnsi="(normal text)"/>
          <w:sz w:val="24"/>
          <w:szCs w:val="24"/>
        </w:rPr>
        <w:t>“</w:t>
      </w:r>
      <w:r w:rsidR="00183FBF">
        <w:rPr>
          <w:rFonts w:ascii="(normal text)" w:hAnsi="(normal text)"/>
          <w:i/>
          <w:iCs/>
          <w:sz w:val="24"/>
          <w:szCs w:val="24"/>
        </w:rPr>
        <w:t>ulil amr</w:t>
      </w:r>
      <w:r w:rsidR="007B5F12">
        <w:rPr>
          <w:rFonts w:ascii="(normal text)" w:hAnsi="(normal text)"/>
          <w:i/>
          <w:iCs/>
          <w:sz w:val="24"/>
          <w:szCs w:val="24"/>
        </w:rPr>
        <w:t>”</w:t>
      </w:r>
      <w:r w:rsidRPr="001C124A">
        <w:rPr>
          <w:rFonts w:ascii="(normal text)" w:hAnsi="(normal text)"/>
          <w:sz w:val="24"/>
          <w:szCs w:val="24"/>
        </w:rPr>
        <w:t xml:space="preserve"> pada ayat di</w:t>
      </w:r>
      <w:r w:rsidR="007B5F12">
        <w:rPr>
          <w:rFonts w:ascii="(normal text)" w:hAnsi="(normal text)"/>
          <w:sz w:val="24"/>
          <w:szCs w:val="24"/>
        </w:rPr>
        <w:t xml:space="preserve"> </w:t>
      </w:r>
      <w:r w:rsidRPr="001C124A">
        <w:rPr>
          <w:rFonts w:ascii="(normal text)" w:hAnsi="(normal text)"/>
          <w:sz w:val="24"/>
          <w:szCs w:val="24"/>
        </w:rPr>
        <w:t>atas di</w:t>
      </w:r>
      <w:r w:rsidR="005412F0">
        <w:rPr>
          <w:rFonts w:ascii="(normal text)" w:hAnsi="(normal text)"/>
          <w:sz w:val="24"/>
          <w:szCs w:val="24"/>
        </w:rPr>
        <w:t>tafsirkan</w:t>
      </w:r>
      <w:r w:rsidRPr="001C124A">
        <w:rPr>
          <w:rFonts w:ascii="(normal text)" w:hAnsi="(normal text)"/>
          <w:sz w:val="24"/>
          <w:szCs w:val="24"/>
        </w:rPr>
        <w:t xml:space="preserve"> sebagai tokoh-tokoh sahabat dan Para </w:t>
      </w:r>
      <w:r w:rsidRPr="001C124A">
        <w:rPr>
          <w:rFonts w:ascii="(normal text)" w:hAnsi="(normal text)"/>
          <w:sz w:val="24"/>
          <w:szCs w:val="24"/>
        </w:rPr>
        <w:lastRenderedPageBreak/>
        <w:t>cendekiawan di antara mereka</w:t>
      </w:r>
      <w:r w:rsidR="005412F0">
        <w:rPr>
          <w:rFonts w:ascii="(normal text)" w:hAnsi="(normal text)"/>
          <w:sz w:val="24"/>
          <w:szCs w:val="24"/>
        </w:rPr>
        <w:t>.</w:t>
      </w:r>
      <w:r w:rsidR="005412F0">
        <w:rPr>
          <w:rStyle w:val="FootnoteReference"/>
          <w:rFonts w:ascii="(normal text)" w:hAnsi="(normal text)"/>
          <w:sz w:val="24"/>
          <w:szCs w:val="24"/>
        </w:rPr>
        <w:footnoteReference w:id="40"/>
      </w:r>
      <w:r w:rsidR="007B5F12">
        <w:rPr>
          <w:rFonts w:asciiTheme="majorBidi" w:hAnsiTheme="majorBidi" w:cstheme="majorBidi"/>
          <w:color w:val="000000"/>
          <w:sz w:val="24"/>
          <w:szCs w:val="24"/>
        </w:rPr>
        <w:t xml:space="preserve"> </w:t>
      </w:r>
      <w:r w:rsidR="00D96CA6" w:rsidRPr="00907C6A">
        <w:rPr>
          <w:rFonts w:ascii="Times New Roman" w:hAnsi="Times New Roman" w:cs="Times New Roman"/>
          <w:sz w:val="24"/>
          <w:szCs w:val="24"/>
        </w:rPr>
        <w:t xml:space="preserve">Jadi tidak terlalu berlebih-lebihan sekiranya </w:t>
      </w:r>
      <w:r w:rsidR="00183FBF">
        <w:rPr>
          <w:rFonts w:ascii="Times New Roman" w:hAnsi="Times New Roman" w:cs="Times New Roman"/>
          <w:i/>
          <w:iCs/>
          <w:sz w:val="24"/>
          <w:szCs w:val="24"/>
        </w:rPr>
        <w:t>ulil amr</w:t>
      </w:r>
      <w:r w:rsidR="00D96CA6" w:rsidRPr="00907C6A">
        <w:rPr>
          <w:rFonts w:ascii="Times New Roman" w:hAnsi="Times New Roman" w:cs="Times New Roman"/>
          <w:sz w:val="24"/>
          <w:szCs w:val="24"/>
        </w:rPr>
        <w:t xml:space="preserve"> diartikan dengan pemimpin secara umum, tidak harus terbatas dengan kepala pemerintahan (pemerintah atau penguasa).</w:t>
      </w:r>
      <w:r w:rsidR="001401AA">
        <w:rPr>
          <w:rFonts w:ascii="Times New Roman" w:hAnsi="Times New Roman" w:cs="Times New Roman"/>
          <w:sz w:val="24"/>
          <w:szCs w:val="24"/>
        </w:rPr>
        <w:t xml:space="preserve"> Dalam konteks ini </w:t>
      </w:r>
      <w:r w:rsidR="006C3683">
        <w:rPr>
          <w:rFonts w:ascii="Times New Roman" w:hAnsi="Times New Roman" w:cs="Times New Roman"/>
          <w:sz w:val="24"/>
          <w:szCs w:val="24"/>
        </w:rPr>
        <w:t xml:space="preserve">Majelis Ulama Indonesia </w:t>
      </w:r>
      <w:r w:rsidR="005302FB">
        <w:rPr>
          <w:rFonts w:ascii="Times New Roman" w:hAnsi="Times New Roman" w:cs="Times New Roman"/>
          <w:sz w:val="24"/>
          <w:szCs w:val="24"/>
        </w:rPr>
        <w:t xml:space="preserve">masuk dalam kategori </w:t>
      </w:r>
      <w:r w:rsidR="008C3526">
        <w:rPr>
          <w:rFonts w:ascii="Times New Roman" w:hAnsi="Times New Roman" w:cs="Times New Roman"/>
          <w:i/>
          <w:iCs/>
          <w:sz w:val="24"/>
          <w:szCs w:val="24"/>
        </w:rPr>
        <w:t>ulil amr</w:t>
      </w:r>
      <w:r w:rsidR="005302FB">
        <w:rPr>
          <w:rFonts w:ascii="Times New Roman" w:hAnsi="Times New Roman" w:cs="Times New Roman"/>
          <w:i/>
          <w:iCs/>
          <w:sz w:val="24"/>
          <w:szCs w:val="24"/>
        </w:rPr>
        <w:t>.</w:t>
      </w:r>
      <w:r w:rsidR="00D80866">
        <w:rPr>
          <w:rFonts w:ascii="Times New Roman" w:hAnsi="Times New Roman" w:cs="Times New Roman"/>
          <w:sz w:val="24"/>
          <w:szCs w:val="24"/>
        </w:rPr>
        <w:t xml:space="preserve"> </w:t>
      </w:r>
    </w:p>
    <w:p w:rsidR="00BC41DD" w:rsidRPr="00073B24" w:rsidRDefault="006E29AA" w:rsidP="00073B24">
      <w:pPr>
        <w:pStyle w:val="ListParagraph"/>
        <w:spacing w:line="360" w:lineRule="auto"/>
        <w:ind w:left="0" w:firstLine="720"/>
        <w:jc w:val="both"/>
        <w:rPr>
          <w:rFonts w:asciiTheme="majorBidi" w:hAnsiTheme="majorBidi" w:cstheme="majorBidi"/>
          <w:i/>
          <w:iCs/>
        </w:rPr>
      </w:pPr>
      <w:r>
        <w:rPr>
          <w:rFonts w:asciiTheme="majorBidi" w:hAnsiTheme="majorBidi" w:cstheme="majorBidi"/>
          <w:sz w:val="24"/>
          <w:szCs w:val="24"/>
          <w:lang w:val="sv-SE"/>
        </w:rPr>
        <w:t xml:space="preserve">Majelis Ulama Indonesia sebagai </w:t>
      </w:r>
      <w:r w:rsidR="00183FBF">
        <w:rPr>
          <w:rFonts w:asciiTheme="majorBidi" w:hAnsiTheme="majorBidi" w:cstheme="majorBidi"/>
          <w:i/>
          <w:iCs/>
          <w:sz w:val="24"/>
          <w:szCs w:val="24"/>
          <w:lang w:val="sv-SE"/>
        </w:rPr>
        <w:t>ulil amr</w:t>
      </w:r>
      <w:r w:rsidR="00D80866">
        <w:rPr>
          <w:rFonts w:asciiTheme="majorBidi" w:hAnsiTheme="majorBidi" w:cstheme="majorBidi"/>
          <w:sz w:val="24"/>
          <w:szCs w:val="24"/>
          <w:lang w:val="sv-SE"/>
        </w:rPr>
        <w:t xml:space="preserve"> </w:t>
      </w:r>
      <w:r>
        <w:rPr>
          <w:rFonts w:asciiTheme="majorBidi" w:hAnsiTheme="majorBidi" w:cstheme="majorBidi"/>
          <w:sz w:val="24"/>
          <w:szCs w:val="24"/>
          <w:lang w:val="sv-SE"/>
        </w:rPr>
        <w:t>dalam hal</w:t>
      </w:r>
      <w:r w:rsidR="00C87F58">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putusan fatwa hukumnya </w:t>
      </w:r>
      <w:r w:rsidR="00D80866">
        <w:rPr>
          <w:rFonts w:asciiTheme="majorBidi" w:hAnsiTheme="majorBidi" w:cstheme="majorBidi"/>
          <w:sz w:val="24"/>
          <w:szCs w:val="24"/>
          <w:lang w:val="sv-SE"/>
        </w:rPr>
        <w:t>mestilah berpedoman kepada</w:t>
      </w:r>
      <w:r>
        <w:rPr>
          <w:rFonts w:asciiTheme="majorBidi" w:hAnsiTheme="majorBidi" w:cstheme="majorBidi"/>
          <w:sz w:val="24"/>
          <w:szCs w:val="24"/>
          <w:lang w:val="sv-SE"/>
        </w:rPr>
        <w:t xml:space="preserve"> </w:t>
      </w:r>
      <w:r w:rsidR="00881BDC">
        <w:rPr>
          <w:rFonts w:asciiTheme="majorBidi" w:hAnsiTheme="majorBidi" w:cstheme="majorBidi"/>
          <w:i/>
          <w:iCs/>
          <w:sz w:val="24"/>
          <w:szCs w:val="24"/>
          <w:lang w:val="sv-SE"/>
        </w:rPr>
        <w:t xml:space="preserve">siyāsah </w:t>
      </w:r>
      <w:r w:rsidR="00CC1D08">
        <w:rPr>
          <w:rFonts w:asciiTheme="majorBidi" w:hAnsiTheme="majorBidi" w:cstheme="majorBidi"/>
          <w:i/>
          <w:iCs/>
          <w:sz w:val="24"/>
          <w:szCs w:val="24"/>
          <w:lang w:val="sv-SE"/>
        </w:rPr>
        <w:t>syar‘i</w:t>
      </w:r>
      <w:r w:rsidR="00866F09">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yah</w:t>
      </w:r>
      <w:r w:rsidR="00C87F58">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dimana </w:t>
      </w:r>
      <w:r w:rsidR="0032261D" w:rsidRPr="006E29AA">
        <w:rPr>
          <w:rFonts w:asciiTheme="majorBidi" w:hAnsiTheme="majorBidi" w:cstheme="majorBidi"/>
          <w:sz w:val="24"/>
          <w:szCs w:val="24"/>
        </w:rPr>
        <w:t>t</w:t>
      </w:r>
      <w:r w:rsidRPr="006E29AA">
        <w:rPr>
          <w:rFonts w:asciiTheme="majorBidi" w:hAnsiTheme="majorBidi" w:cstheme="majorBidi"/>
          <w:sz w:val="24"/>
          <w:szCs w:val="24"/>
        </w:rPr>
        <w:t xml:space="preserve">ujuan </w:t>
      </w:r>
      <w:r w:rsidR="00881BDC">
        <w:rPr>
          <w:rFonts w:asciiTheme="majorBidi" w:hAnsiTheme="majorBidi" w:cstheme="majorBidi"/>
          <w:i/>
          <w:iCs/>
          <w:sz w:val="24"/>
          <w:szCs w:val="24"/>
        </w:rPr>
        <w:t xml:space="preserve">siyāsah </w:t>
      </w:r>
      <w:r w:rsidRPr="006E29AA">
        <w:rPr>
          <w:rFonts w:asciiTheme="majorBidi" w:hAnsiTheme="majorBidi" w:cstheme="majorBidi"/>
          <w:i/>
          <w:iCs/>
          <w:sz w:val="24"/>
          <w:szCs w:val="24"/>
        </w:rPr>
        <w:t xml:space="preserve"> </w:t>
      </w:r>
      <w:r w:rsidR="00E44B57">
        <w:rPr>
          <w:rFonts w:asciiTheme="majorBidi" w:hAnsiTheme="majorBidi" w:cstheme="majorBidi"/>
          <w:i/>
          <w:iCs/>
          <w:sz w:val="24"/>
          <w:szCs w:val="24"/>
          <w:lang w:val="sv-SE"/>
        </w:rPr>
        <w:t>syar‘iy</w:t>
      </w:r>
      <w:r w:rsidR="00E03C01">
        <w:rPr>
          <w:rFonts w:asciiTheme="majorBidi" w:hAnsiTheme="majorBidi" w:cstheme="majorBidi"/>
          <w:i/>
          <w:iCs/>
          <w:sz w:val="24"/>
          <w:szCs w:val="24"/>
          <w:lang w:val="sv-SE"/>
        </w:rPr>
        <w:t>y</w:t>
      </w:r>
      <w:r w:rsidR="00E44B57">
        <w:rPr>
          <w:rFonts w:asciiTheme="majorBidi" w:hAnsiTheme="majorBidi" w:cstheme="majorBidi"/>
          <w:i/>
          <w:iCs/>
          <w:sz w:val="24"/>
          <w:szCs w:val="24"/>
          <w:lang w:val="sv-SE"/>
        </w:rPr>
        <w:t>ah</w:t>
      </w:r>
      <w:r w:rsidR="00E44B57">
        <w:rPr>
          <w:rFonts w:asciiTheme="majorBidi" w:hAnsiTheme="majorBidi" w:cstheme="majorBidi"/>
          <w:sz w:val="24"/>
          <w:szCs w:val="24"/>
          <w:lang w:val="sv-SE"/>
        </w:rPr>
        <w:t xml:space="preserve"> </w:t>
      </w:r>
      <w:r>
        <w:rPr>
          <w:rFonts w:asciiTheme="majorBidi" w:hAnsiTheme="majorBidi" w:cstheme="majorBidi"/>
          <w:sz w:val="24"/>
          <w:szCs w:val="24"/>
        </w:rPr>
        <w:t>adalah</w:t>
      </w:r>
      <w:r w:rsidRPr="006E29AA">
        <w:rPr>
          <w:rFonts w:asciiTheme="majorBidi" w:hAnsiTheme="majorBidi" w:cstheme="majorBidi"/>
          <w:sz w:val="24"/>
          <w:szCs w:val="24"/>
        </w:rPr>
        <w:t xml:space="preserve"> untuk melaksanakan </w:t>
      </w:r>
      <w:r w:rsidR="00E44B57" w:rsidRPr="00F955D9">
        <w:rPr>
          <w:rFonts w:asciiTheme="majorBidi" w:hAnsiTheme="majorBidi" w:cstheme="majorBidi"/>
          <w:i/>
          <w:iCs/>
        </w:rPr>
        <w:t>maqāṣid al-sharī</w:t>
      </w:r>
      <w:r w:rsidR="00E44B57">
        <w:t>‘</w:t>
      </w:r>
      <w:r w:rsidR="00E44B57" w:rsidRPr="00F955D9">
        <w:rPr>
          <w:rFonts w:asciiTheme="majorBidi" w:hAnsiTheme="majorBidi" w:cstheme="majorBidi"/>
          <w:i/>
          <w:iCs/>
        </w:rPr>
        <w:t>ah</w:t>
      </w:r>
      <w:r w:rsidR="00C667D0">
        <w:rPr>
          <w:rFonts w:asciiTheme="majorBidi" w:hAnsiTheme="majorBidi" w:cstheme="majorBidi"/>
          <w:i/>
          <w:iCs/>
        </w:rPr>
        <w:t xml:space="preserve"> </w:t>
      </w:r>
      <w:r w:rsidR="005A4810">
        <w:rPr>
          <w:rFonts w:asciiTheme="majorBidi" w:hAnsiTheme="majorBidi" w:cstheme="majorBidi"/>
          <w:sz w:val="24"/>
          <w:szCs w:val="24"/>
        </w:rPr>
        <w:t>yaitu yang terkandung di</w:t>
      </w:r>
      <w:r w:rsidRPr="006E29AA">
        <w:rPr>
          <w:rFonts w:asciiTheme="majorBidi" w:hAnsiTheme="majorBidi" w:cstheme="majorBidi"/>
          <w:sz w:val="24"/>
          <w:szCs w:val="24"/>
        </w:rPr>
        <w:t>dala</w:t>
      </w:r>
      <w:r w:rsidR="00A22927">
        <w:rPr>
          <w:rFonts w:asciiTheme="majorBidi" w:hAnsiTheme="majorBidi" w:cstheme="majorBidi"/>
          <w:sz w:val="24"/>
          <w:szCs w:val="24"/>
        </w:rPr>
        <w:t xml:space="preserve">m perkara yang berkaitan dengan </w:t>
      </w:r>
      <w:r w:rsidRPr="006E29AA">
        <w:rPr>
          <w:rFonts w:asciiTheme="majorBidi" w:hAnsiTheme="majorBidi" w:cstheme="majorBidi"/>
          <w:sz w:val="24"/>
          <w:szCs w:val="24"/>
        </w:rPr>
        <w:t>“</w:t>
      </w:r>
      <w:r w:rsidRPr="006E29AA">
        <w:rPr>
          <w:rFonts w:asciiTheme="majorBidi" w:hAnsiTheme="majorBidi" w:cstheme="majorBidi"/>
          <w:i/>
          <w:iCs/>
          <w:sz w:val="24"/>
          <w:szCs w:val="24"/>
        </w:rPr>
        <w:t xml:space="preserve">jalb </w:t>
      </w:r>
      <w:r w:rsidR="00E44B57" w:rsidRPr="006E29AA">
        <w:rPr>
          <w:rFonts w:asciiTheme="majorBidi" w:hAnsiTheme="majorBidi" w:cstheme="majorBidi"/>
          <w:i/>
          <w:iCs/>
          <w:sz w:val="24"/>
          <w:szCs w:val="24"/>
        </w:rPr>
        <w:t>al-ma</w:t>
      </w:r>
      <w:r w:rsidR="00E44B57" w:rsidRPr="009260BA">
        <w:rPr>
          <w:rFonts w:asciiTheme="majorBidi" w:hAnsiTheme="majorBidi" w:cstheme="majorBidi"/>
          <w:i/>
          <w:iCs/>
          <w:color w:val="222222"/>
          <w:sz w:val="24"/>
          <w:szCs w:val="24"/>
        </w:rPr>
        <w:t>ṣ</w:t>
      </w:r>
      <w:r w:rsidR="00E44B57" w:rsidRPr="00810353">
        <w:rPr>
          <w:rFonts w:asciiTheme="majorBidi" w:hAnsiTheme="majorBidi" w:cstheme="majorBidi"/>
          <w:i/>
          <w:iCs/>
        </w:rPr>
        <w:t>ā</w:t>
      </w:r>
      <w:r w:rsidR="00E44B57" w:rsidRPr="006E29AA">
        <w:rPr>
          <w:rFonts w:asciiTheme="majorBidi" w:hAnsiTheme="majorBidi" w:cstheme="majorBidi"/>
          <w:i/>
          <w:iCs/>
          <w:sz w:val="24"/>
          <w:szCs w:val="24"/>
        </w:rPr>
        <w:t>li</w:t>
      </w:r>
      <w:r w:rsidR="00E44B57" w:rsidRPr="00D44F72">
        <w:rPr>
          <w:i/>
          <w:iCs/>
          <w:u w:val="single"/>
        </w:rPr>
        <w:t>h</w:t>
      </w:r>
      <w:r w:rsidRPr="006E29AA">
        <w:rPr>
          <w:rFonts w:asciiTheme="majorBidi" w:hAnsiTheme="majorBidi" w:cstheme="majorBidi"/>
          <w:i/>
          <w:iCs/>
          <w:sz w:val="24"/>
          <w:szCs w:val="24"/>
        </w:rPr>
        <w:t>‟</w:t>
      </w:r>
      <w:r w:rsidRPr="006E29AA">
        <w:rPr>
          <w:rFonts w:asciiTheme="majorBidi" w:hAnsiTheme="majorBidi" w:cstheme="majorBidi"/>
          <w:sz w:val="24"/>
          <w:szCs w:val="24"/>
        </w:rPr>
        <w:t>(mendapatkan k</w:t>
      </w:r>
      <w:r w:rsidR="009B3FB1">
        <w:rPr>
          <w:rFonts w:asciiTheme="majorBidi" w:hAnsiTheme="majorBidi" w:cstheme="majorBidi"/>
          <w:sz w:val="24"/>
          <w:szCs w:val="24"/>
        </w:rPr>
        <w:t xml:space="preserve">emaslahatan </w:t>
      </w:r>
      <w:r>
        <w:rPr>
          <w:rFonts w:asciiTheme="majorBidi" w:hAnsiTheme="majorBidi" w:cstheme="majorBidi"/>
          <w:sz w:val="24"/>
          <w:szCs w:val="24"/>
        </w:rPr>
        <w:t xml:space="preserve">kepada manusia) </w:t>
      </w:r>
      <w:r w:rsidRPr="006E29AA">
        <w:rPr>
          <w:rFonts w:asciiTheme="majorBidi" w:hAnsiTheme="majorBidi" w:cstheme="majorBidi"/>
          <w:sz w:val="24"/>
          <w:szCs w:val="24"/>
        </w:rPr>
        <w:t>dan</w:t>
      </w:r>
      <w:r w:rsidR="006F5216">
        <w:rPr>
          <w:rFonts w:asciiTheme="majorBidi" w:hAnsiTheme="majorBidi" w:cstheme="majorBidi"/>
          <w:sz w:val="24"/>
          <w:szCs w:val="24"/>
        </w:rPr>
        <w:t xml:space="preserve"> </w:t>
      </w:r>
      <w:r w:rsidR="008742FD">
        <w:rPr>
          <w:rFonts w:asciiTheme="majorBidi" w:hAnsiTheme="majorBidi" w:cstheme="majorBidi"/>
          <w:i/>
          <w:iCs/>
          <w:sz w:val="24"/>
          <w:szCs w:val="24"/>
        </w:rPr>
        <w:t xml:space="preserve">dar’u </w:t>
      </w:r>
      <w:r w:rsidRPr="006E29AA">
        <w:rPr>
          <w:rFonts w:asciiTheme="majorBidi" w:hAnsiTheme="majorBidi" w:cstheme="majorBidi"/>
          <w:i/>
          <w:iCs/>
          <w:sz w:val="24"/>
          <w:szCs w:val="24"/>
        </w:rPr>
        <w:t>al-</w:t>
      </w:r>
      <w:r w:rsidR="00C667D0" w:rsidRPr="006E29AA">
        <w:rPr>
          <w:rFonts w:asciiTheme="majorBidi" w:hAnsiTheme="majorBidi" w:cstheme="majorBidi"/>
          <w:i/>
          <w:iCs/>
          <w:sz w:val="24"/>
          <w:szCs w:val="24"/>
        </w:rPr>
        <w:t>maf</w:t>
      </w:r>
      <w:r w:rsidR="00C667D0" w:rsidRPr="00CD6D64">
        <w:rPr>
          <w:rFonts w:asciiTheme="majorBidi" w:hAnsiTheme="majorBidi" w:cstheme="majorBidi"/>
          <w:i/>
          <w:iCs/>
        </w:rPr>
        <w:t>ā</w:t>
      </w:r>
      <w:r w:rsidR="00C667D0" w:rsidRPr="006E29AA">
        <w:rPr>
          <w:rFonts w:asciiTheme="majorBidi" w:hAnsiTheme="majorBidi" w:cstheme="majorBidi"/>
          <w:i/>
          <w:iCs/>
          <w:sz w:val="24"/>
          <w:szCs w:val="24"/>
        </w:rPr>
        <w:t>sid</w:t>
      </w:r>
      <w:r w:rsidR="008742FD">
        <w:rPr>
          <w:rFonts w:asciiTheme="majorBidi" w:hAnsiTheme="majorBidi" w:cstheme="majorBidi"/>
          <w:sz w:val="24"/>
          <w:szCs w:val="24"/>
        </w:rPr>
        <w:t xml:space="preserve"> </w:t>
      </w:r>
      <w:r w:rsidRPr="006E29AA">
        <w:rPr>
          <w:rFonts w:asciiTheme="majorBidi" w:hAnsiTheme="majorBidi" w:cstheme="majorBidi"/>
          <w:sz w:val="24"/>
          <w:szCs w:val="24"/>
        </w:rPr>
        <w:t>(menghilangkan kemudaratan daripada mereka).</w:t>
      </w:r>
      <w:r w:rsidRPr="006E29AA">
        <w:rPr>
          <w:rStyle w:val="FootnoteReference"/>
          <w:rFonts w:asciiTheme="majorBidi" w:hAnsiTheme="majorBidi" w:cstheme="majorBidi"/>
          <w:sz w:val="24"/>
          <w:szCs w:val="24"/>
        </w:rPr>
        <w:footnoteReference w:id="41"/>
      </w:r>
      <w:r w:rsidRPr="006E29AA">
        <w:rPr>
          <w:rFonts w:asciiTheme="majorBidi" w:hAnsiTheme="majorBidi" w:cstheme="majorBidi"/>
          <w:sz w:val="24"/>
          <w:szCs w:val="24"/>
        </w:rPr>
        <w:t xml:space="preserve"> </w:t>
      </w:r>
      <w:r w:rsidR="00A87A6B">
        <w:rPr>
          <w:rFonts w:asciiTheme="majorBidi" w:hAnsiTheme="majorBidi" w:cstheme="majorBidi"/>
          <w:sz w:val="24"/>
          <w:szCs w:val="24"/>
          <w:lang w:val="sv-SE"/>
        </w:rPr>
        <w:t>S</w:t>
      </w:r>
      <w:r w:rsidR="00D12945">
        <w:rPr>
          <w:rFonts w:asciiTheme="majorBidi" w:hAnsiTheme="majorBidi" w:cstheme="majorBidi"/>
          <w:sz w:val="24"/>
          <w:szCs w:val="24"/>
          <w:lang w:val="sv-SE"/>
        </w:rPr>
        <w:t>ebab kegiatan ber</w:t>
      </w:r>
      <w:r w:rsidR="00C87F58">
        <w:rPr>
          <w:rFonts w:asciiTheme="majorBidi" w:hAnsiTheme="majorBidi" w:cstheme="majorBidi"/>
          <w:sz w:val="24"/>
          <w:szCs w:val="24"/>
          <w:lang w:val="sv-SE"/>
        </w:rPr>
        <w:t>fatwa merupakan kegitan ijtihad.</w:t>
      </w:r>
      <w:r w:rsidR="00D12945">
        <w:rPr>
          <w:rFonts w:asciiTheme="majorBidi" w:hAnsiTheme="majorBidi" w:cstheme="majorBidi"/>
          <w:sz w:val="24"/>
          <w:szCs w:val="24"/>
          <w:lang w:val="sv-SE"/>
        </w:rPr>
        <w:t xml:space="preserve"> </w:t>
      </w:r>
      <w:r w:rsidR="00C87F58">
        <w:rPr>
          <w:rFonts w:asciiTheme="majorBidi" w:hAnsiTheme="majorBidi" w:cstheme="majorBidi"/>
          <w:sz w:val="24"/>
          <w:szCs w:val="24"/>
          <w:lang w:val="sv-SE"/>
        </w:rPr>
        <w:t xml:space="preserve">Bagi seorang </w:t>
      </w:r>
      <w:r w:rsidR="00C87F58" w:rsidRPr="0080777E">
        <w:rPr>
          <w:rFonts w:asciiTheme="majorBidi" w:hAnsiTheme="majorBidi" w:cstheme="majorBidi"/>
          <w:sz w:val="24"/>
          <w:szCs w:val="24"/>
          <w:lang w:val="sv-SE"/>
        </w:rPr>
        <w:t>mujtahid</w:t>
      </w:r>
      <w:r w:rsidR="00C87F58">
        <w:rPr>
          <w:rFonts w:asciiTheme="majorBidi" w:hAnsiTheme="majorBidi" w:cstheme="majorBidi"/>
          <w:sz w:val="24"/>
          <w:szCs w:val="24"/>
          <w:lang w:val="sv-SE"/>
        </w:rPr>
        <w:t xml:space="preserve"> </w:t>
      </w:r>
      <w:r w:rsidR="00405FC0" w:rsidRPr="0080777E">
        <w:rPr>
          <w:rFonts w:asciiTheme="majorBidi" w:hAnsiTheme="majorBidi" w:cstheme="majorBidi"/>
          <w:sz w:val="24"/>
          <w:szCs w:val="24"/>
          <w:lang w:val="sv-SE"/>
        </w:rPr>
        <w:t>t</w:t>
      </w:r>
      <w:r w:rsidR="00BC41DD" w:rsidRPr="0080777E">
        <w:rPr>
          <w:rFonts w:asciiTheme="majorBidi" w:hAnsiTheme="majorBidi" w:cstheme="majorBidi"/>
          <w:sz w:val="24"/>
          <w:szCs w:val="24"/>
          <w:lang w:val="sv-SE"/>
        </w:rPr>
        <w:t>ujuan hukum harus</w:t>
      </w:r>
      <w:r w:rsidR="00C87F58">
        <w:rPr>
          <w:rFonts w:asciiTheme="majorBidi" w:hAnsiTheme="majorBidi" w:cstheme="majorBidi"/>
          <w:sz w:val="24"/>
          <w:szCs w:val="24"/>
          <w:lang w:val="sv-SE"/>
        </w:rPr>
        <w:t xml:space="preserve">lah diketahui </w:t>
      </w:r>
      <w:r w:rsidR="00BC41DD" w:rsidRPr="0080777E">
        <w:rPr>
          <w:rFonts w:asciiTheme="majorBidi" w:hAnsiTheme="majorBidi" w:cstheme="majorBidi"/>
          <w:sz w:val="24"/>
          <w:szCs w:val="24"/>
          <w:lang w:val="sv-SE"/>
        </w:rPr>
        <w:t xml:space="preserve">dalam rangka mengembangkan pemikiran hukum dalam Islam secara umum dan menjawab persoalan-persoalan hukum kontemporer yang kasusnya tidak diatur secara eksplisit oleh </w:t>
      </w:r>
      <w:r w:rsidR="00972E98">
        <w:rPr>
          <w:rFonts w:asciiTheme="majorBidi" w:hAnsiTheme="majorBidi" w:cstheme="majorBidi"/>
          <w:sz w:val="24"/>
          <w:szCs w:val="24"/>
          <w:lang w:val="sv-SE"/>
        </w:rPr>
        <w:t>Al-Qur’ān</w:t>
      </w:r>
      <w:r w:rsidR="00BC41DD" w:rsidRPr="0080777E">
        <w:rPr>
          <w:rFonts w:asciiTheme="majorBidi" w:hAnsiTheme="majorBidi" w:cstheme="majorBidi"/>
          <w:sz w:val="24"/>
          <w:szCs w:val="24"/>
          <w:lang w:val="sv-SE"/>
        </w:rPr>
        <w:t xml:space="preserve"> dan Hadis. Lebih dari itu, tujuan hukum perlu diketehui dalam rangka mengetahui apakah terhadap suatu kasus masih dapat diterapkan satu ketentuan hukum atau karena adanya perubahan struktur sosial, hukum tersebut tidak dapat lagi ditarapkan. </w:t>
      </w:r>
      <w:r w:rsidR="00BC41DD">
        <w:rPr>
          <w:rFonts w:asciiTheme="majorBidi" w:hAnsiTheme="majorBidi" w:cstheme="majorBidi"/>
          <w:sz w:val="24"/>
          <w:szCs w:val="24"/>
        </w:rPr>
        <w:t xml:space="preserve">Dengan dimikian pengetahuan tentang </w:t>
      </w:r>
      <w:r w:rsidR="00073B24" w:rsidRPr="00073B24">
        <w:rPr>
          <w:rFonts w:asciiTheme="majorBidi" w:hAnsiTheme="majorBidi" w:cstheme="majorBidi"/>
          <w:i/>
          <w:iCs/>
          <w:sz w:val="24"/>
          <w:szCs w:val="24"/>
        </w:rPr>
        <w:t>maqāṣid al-sharī</w:t>
      </w:r>
      <w:r w:rsidR="00073B24" w:rsidRPr="00073B24">
        <w:rPr>
          <w:sz w:val="24"/>
          <w:szCs w:val="24"/>
        </w:rPr>
        <w:t>‘</w:t>
      </w:r>
      <w:r w:rsidR="00073B24" w:rsidRPr="00073B24">
        <w:rPr>
          <w:rFonts w:asciiTheme="majorBidi" w:hAnsiTheme="majorBidi" w:cstheme="majorBidi"/>
          <w:i/>
          <w:iCs/>
          <w:sz w:val="24"/>
          <w:szCs w:val="24"/>
        </w:rPr>
        <w:t>ah</w:t>
      </w:r>
      <w:r w:rsidR="00073B24">
        <w:rPr>
          <w:rFonts w:asciiTheme="majorBidi" w:hAnsiTheme="majorBidi" w:cstheme="majorBidi"/>
          <w:i/>
          <w:iCs/>
          <w:sz w:val="24"/>
          <w:szCs w:val="24"/>
        </w:rPr>
        <w:t xml:space="preserve"> </w:t>
      </w:r>
      <w:r w:rsidR="00BC41DD" w:rsidRPr="00073B24">
        <w:rPr>
          <w:rFonts w:asciiTheme="majorBidi" w:hAnsiTheme="majorBidi" w:cstheme="majorBidi"/>
          <w:sz w:val="24"/>
          <w:szCs w:val="24"/>
        </w:rPr>
        <w:t>menjadi kunci bagi keberhasilan mujtahid dalam ijtihadnya</w:t>
      </w:r>
      <w:r w:rsidR="00C87F58" w:rsidRPr="00073B24">
        <w:rPr>
          <w:rFonts w:asciiTheme="majorBidi" w:hAnsiTheme="majorBidi" w:cstheme="majorBidi"/>
          <w:sz w:val="24"/>
          <w:szCs w:val="24"/>
        </w:rPr>
        <w:t>.</w:t>
      </w:r>
      <w:r w:rsidR="00BC41DD">
        <w:rPr>
          <w:rStyle w:val="FootnoteReference"/>
          <w:rFonts w:asciiTheme="majorBidi" w:hAnsiTheme="majorBidi" w:cstheme="majorBidi"/>
          <w:sz w:val="24"/>
          <w:szCs w:val="24"/>
        </w:rPr>
        <w:footnoteReference w:id="42"/>
      </w:r>
    </w:p>
    <w:p w:rsidR="005F7AE4" w:rsidRPr="00546AB0" w:rsidRDefault="005F7AE4" w:rsidP="009561EB">
      <w:pPr>
        <w:pStyle w:val="ListParagraph"/>
        <w:spacing w:after="0" w:line="360" w:lineRule="auto"/>
        <w:ind w:left="0" w:firstLine="720"/>
        <w:jc w:val="both"/>
        <w:rPr>
          <w:rFonts w:asciiTheme="majorBidi" w:hAnsiTheme="majorBidi" w:cstheme="majorBidi"/>
          <w:i/>
          <w:iCs/>
          <w:sz w:val="24"/>
          <w:szCs w:val="24"/>
          <w:lang w:val="sv-SE"/>
        </w:rPr>
      </w:pPr>
      <w:r w:rsidRPr="005F7AE4">
        <w:rPr>
          <w:rFonts w:ascii="Times New Roman" w:hAnsi="Times New Roman" w:cs="Times New Roman"/>
          <w:sz w:val="24"/>
          <w:szCs w:val="24"/>
          <w:lang w:val="sv-SE"/>
        </w:rPr>
        <w:t xml:space="preserve">Lebih jauh </w:t>
      </w:r>
      <w:r w:rsidR="009B3FB1" w:rsidRPr="00406F37">
        <w:rPr>
          <w:rFonts w:asciiTheme="majorBidi" w:hAnsiTheme="majorBidi" w:cstheme="majorBidi"/>
          <w:sz w:val="24"/>
          <w:szCs w:val="24"/>
          <w:lang w:val="sv-SE"/>
        </w:rPr>
        <w:t>A</w:t>
      </w:r>
      <w:r w:rsidR="009B3FB1">
        <w:rPr>
          <w:rFonts w:asciiTheme="majorBidi" w:hAnsiTheme="majorBidi" w:cstheme="majorBidi"/>
          <w:sz w:val="24"/>
          <w:szCs w:val="24"/>
          <w:lang w:val="sv-SE"/>
        </w:rPr>
        <w:t>l-</w:t>
      </w:r>
      <w:r w:rsidR="009B3FB1" w:rsidRPr="00406F37">
        <w:rPr>
          <w:rFonts w:asciiTheme="majorBidi" w:hAnsiTheme="majorBidi" w:cstheme="majorBidi"/>
          <w:sz w:val="24"/>
          <w:szCs w:val="24"/>
          <w:lang w:val="sv-SE"/>
        </w:rPr>
        <w:t>Sy</w:t>
      </w:r>
      <w:r w:rsidR="009B3FB1" w:rsidRPr="00526D6C">
        <w:rPr>
          <w:rFonts w:asciiTheme="majorBidi" w:hAnsiTheme="majorBidi" w:cstheme="majorBidi"/>
          <w:sz w:val="24"/>
          <w:szCs w:val="24"/>
        </w:rPr>
        <w:t>ā</w:t>
      </w:r>
      <w:r w:rsidR="009B3FB1" w:rsidRPr="00406F37">
        <w:rPr>
          <w:rFonts w:asciiTheme="majorBidi" w:hAnsiTheme="majorBidi" w:cstheme="majorBidi"/>
          <w:sz w:val="24"/>
          <w:szCs w:val="24"/>
          <w:lang w:val="sv-SE"/>
        </w:rPr>
        <w:t>thib</w:t>
      </w:r>
      <w:r w:rsidR="009B3FB1" w:rsidRPr="00526D6C">
        <w:rPr>
          <w:rFonts w:asciiTheme="majorBidi" w:hAnsiTheme="majorBidi" w:cstheme="majorBidi"/>
          <w:sz w:val="24"/>
          <w:szCs w:val="24"/>
        </w:rPr>
        <w:t>ī</w:t>
      </w:r>
      <w:r w:rsidR="009B3FB1">
        <w:rPr>
          <w:rFonts w:asciiTheme="majorBidi" w:hAnsiTheme="majorBidi" w:cstheme="majorBidi"/>
          <w:sz w:val="24"/>
          <w:szCs w:val="24"/>
        </w:rPr>
        <w:t xml:space="preserve"> (w.790 H)</w:t>
      </w:r>
      <w:r w:rsidR="009B3FB1" w:rsidRPr="00CD5632">
        <w:rPr>
          <w:rFonts w:asciiTheme="majorBidi" w:hAnsiTheme="majorBidi" w:cstheme="majorBidi"/>
          <w:sz w:val="24"/>
          <w:szCs w:val="24"/>
        </w:rPr>
        <w:t>,</w:t>
      </w:r>
      <w:r w:rsidRPr="005F7AE4">
        <w:rPr>
          <w:rFonts w:ascii="Times New Roman" w:hAnsi="Times New Roman" w:cs="Times New Roman"/>
          <w:sz w:val="24"/>
          <w:szCs w:val="24"/>
          <w:lang w:val="sv-SE"/>
        </w:rPr>
        <w:t xml:space="preserve">menjelaskan bahwa melihat akibat suatu perbuatan secara syar’i diperintahkan, apakah akibatnya itu sejalan dengan </w:t>
      </w:r>
      <w:r w:rsidR="00546AB0" w:rsidRPr="00073B24">
        <w:rPr>
          <w:rFonts w:asciiTheme="majorBidi" w:hAnsiTheme="majorBidi" w:cstheme="majorBidi"/>
          <w:i/>
          <w:iCs/>
          <w:sz w:val="24"/>
          <w:szCs w:val="24"/>
        </w:rPr>
        <w:t>maqāṣid</w:t>
      </w:r>
      <w:r w:rsidRPr="0032278B">
        <w:rPr>
          <w:rFonts w:ascii="Times New Roman" w:hAnsi="Times New Roman" w:cs="Times New Roman"/>
          <w:i/>
          <w:iCs/>
          <w:sz w:val="24"/>
          <w:szCs w:val="24"/>
          <w:lang w:val="sv-SE"/>
        </w:rPr>
        <w:t xml:space="preserve"> </w:t>
      </w:r>
      <w:r w:rsidRPr="005F7AE4">
        <w:rPr>
          <w:rFonts w:ascii="Times New Roman" w:hAnsi="Times New Roman" w:cs="Times New Roman"/>
          <w:sz w:val="24"/>
          <w:szCs w:val="24"/>
          <w:lang w:val="sv-SE"/>
        </w:rPr>
        <w:t xml:space="preserve">ataukah bertentangan. Untuk itu, seorang mujtahid tidak boleh menetapkan suatau hukum kecuali telah memperoleh pengetahuan yang cukup mengenai dampak yang akan ditimbulkan dari perbuatan tersebut, dari sisi </w:t>
      </w:r>
      <w:r w:rsidR="00546AB0" w:rsidRPr="00EC2F6E">
        <w:rPr>
          <w:rFonts w:asciiTheme="majorBidi" w:hAnsiTheme="majorBidi" w:cstheme="majorBidi"/>
          <w:i/>
          <w:iCs/>
          <w:sz w:val="24"/>
          <w:szCs w:val="24"/>
          <w:lang w:val="sv-SE"/>
        </w:rPr>
        <w:t>masla</w:t>
      </w:r>
      <w:r w:rsidR="00546AB0" w:rsidRPr="00EC2F6E">
        <w:rPr>
          <w:rFonts w:asciiTheme="majorBidi" w:hAnsiTheme="majorBidi" w:cstheme="majorBidi"/>
          <w:i/>
          <w:iCs/>
          <w:sz w:val="24"/>
          <w:szCs w:val="24"/>
          <w:u w:val="single"/>
          <w:lang w:val="sv-SE"/>
        </w:rPr>
        <w:t>h</w:t>
      </w:r>
      <w:r w:rsidR="00546AB0" w:rsidRPr="00EC2F6E">
        <w:rPr>
          <w:rFonts w:asciiTheme="majorBidi" w:hAnsiTheme="majorBidi" w:cstheme="majorBidi"/>
          <w:i/>
          <w:iCs/>
          <w:sz w:val="24"/>
          <w:szCs w:val="24"/>
          <w:lang w:val="sv-SE"/>
        </w:rPr>
        <w:t>ah</w:t>
      </w:r>
      <w:r w:rsidRPr="005F7AE4">
        <w:rPr>
          <w:rFonts w:ascii="Times New Roman" w:hAnsi="Times New Roman" w:cs="Times New Roman"/>
          <w:sz w:val="24"/>
          <w:szCs w:val="24"/>
          <w:lang w:val="sv-SE"/>
        </w:rPr>
        <w:t xml:space="preserve"> atau </w:t>
      </w:r>
      <w:r w:rsidRPr="005F7AE4">
        <w:rPr>
          <w:rFonts w:ascii="Times New Roman" w:hAnsi="Times New Roman" w:cs="Times New Roman"/>
          <w:i/>
          <w:iCs/>
          <w:sz w:val="24"/>
          <w:szCs w:val="24"/>
          <w:lang w:val="sv-SE"/>
        </w:rPr>
        <w:t>mafsad</w:t>
      </w:r>
      <w:r w:rsidR="00546AB0">
        <w:rPr>
          <w:rFonts w:ascii="Times New Roman" w:hAnsi="Times New Roman" w:cs="Times New Roman"/>
          <w:i/>
          <w:iCs/>
          <w:sz w:val="24"/>
          <w:szCs w:val="24"/>
          <w:lang w:val="sv-SE"/>
        </w:rPr>
        <w:t>ah</w:t>
      </w:r>
      <w:r w:rsidRPr="005F7AE4">
        <w:rPr>
          <w:rFonts w:ascii="Times New Roman" w:hAnsi="Times New Roman" w:cs="Times New Roman"/>
          <w:i/>
          <w:iCs/>
          <w:sz w:val="24"/>
          <w:szCs w:val="24"/>
          <w:lang w:val="sv-SE"/>
        </w:rPr>
        <w:t>nya</w:t>
      </w:r>
      <w:r w:rsidRPr="005F7AE4">
        <w:rPr>
          <w:rFonts w:ascii="Times New Roman" w:hAnsi="Times New Roman" w:cs="Times New Roman"/>
          <w:sz w:val="24"/>
          <w:szCs w:val="24"/>
          <w:lang w:val="sv-SE"/>
        </w:rPr>
        <w:t>.</w:t>
      </w:r>
      <w:r>
        <w:rPr>
          <w:rStyle w:val="FootnoteReference"/>
          <w:rFonts w:ascii="Times New Roman" w:hAnsi="Times New Roman" w:cs="Times New Roman"/>
          <w:sz w:val="24"/>
          <w:szCs w:val="24"/>
        </w:rPr>
        <w:footnoteReference w:id="43"/>
      </w:r>
      <w:r w:rsidRPr="005F7AE4">
        <w:rPr>
          <w:rFonts w:ascii="Times New Roman" w:hAnsi="Times New Roman" w:cs="Times New Roman"/>
          <w:sz w:val="24"/>
          <w:szCs w:val="24"/>
          <w:lang w:val="sv-SE"/>
        </w:rPr>
        <w:t xml:space="preserve"> </w:t>
      </w:r>
      <w:r w:rsidRPr="00546AB0">
        <w:rPr>
          <w:rFonts w:ascii="Times New Roman" w:hAnsi="Times New Roman" w:cs="Times New Roman"/>
          <w:sz w:val="24"/>
          <w:szCs w:val="24"/>
          <w:lang w:val="sv-SE"/>
        </w:rPr>
        <w:t xml:space="preserve">Dari sini menjadi penting untuk melakukan telaah </w:t>
      </w:r>
      <w:r w:rsidRPr="00546AB0">
        <w:rPr>
          <w:rFonts w:ascii="Times New Roman" w:hAnsi="Times New Roman" w:cs="Times New Roman"/>
          <w:sz w:val="24"/>
          <w:szCs w:val="24"/>
          <w:lang w:val="sv-SE"/>
        </w:rPr>
        <w:lastRenderedPageBreak/>
        <w:t xml:space="preserve">atas metode penetapan fatwa Majelis Ulama Indonesia, khususnya yang terkait </w:t>
      </w:r>
      <w:r w:rsidR="0032278B" w:rsidRPr="00546AB0">
        <w:rPr>
          <w:rFonts w:ascii="Times New Roman" w:hAnsi="Times New Roman" w:cs="Times New Roman"/>
          <w:sz w:val="24"/>
          <w:szCs w:val="24"/>
          <w:lang w:val="sv-SE"/>
        </w:rPr>
        <w:t xml:space="preserve">dengan pertimbangan </w:t>
      </w:r>
      <w:r w:rsidR="00881BDC" w:rsidRPr="00546AB0">
        <w:rPr>
          <w:rFonts w:ascii="Times New Roman" w:hAnsi="Times New Roman" w:cs="Times New Roman"/>
          <w:i/>
          <w:iCs/>
          <w:sz w:val="24"/>
          <w:szCs w:val="24"/>
          <w:lang w:val="sv-SE"/>
        </w:rPr>
        <w:t xml:space="preserve">siyāsah </w:t>
      </w:r>
      <w:r w:rsidR="00CC1D08" w:rsidRPr="00546AB0">
        <w:rPr>
          <w:rFonts w:ascii="Times New Roman" w:hAnsi="Times New Roman" w:cs="Times New Roman"/>
          <w:i/>
          <w:iCs/>
          <w:sz w:val="24"/>
          <w:szCs w:val="24"/>
          <w:lang w:val="sv-SE"/>
        </w:rPr>
        <w:t>syar‘iyah</w:t>
      </w:r>
      <w:r w:rsidR="0032278B" w:rsidRPr="00546AB0">
        <w:rPr>
          <w:rFonts w:ascii="Times New Roman" w:hAnsi="Times New Roman" w:cs="Times New Roman"/>
          <w:sz w:val="24"/>
          <w:szCs w:val="24"/>
          <w:lang w:val="sv-SE"/>
        </w:rPr>
        <w:t xml:space="preserve"> </w:t>
      </w:r>
      <w:r w:rsidR="00DB0C87" w:rsidRPr="00546AB0">
        <w:rPr>
          <w:rFonts w:ascii="Times New Roman" w:hAnsi="Times New Roman" w:cs="Times New Roman"/>
          <w:sz w:val="24"/>
          <w:szCs w:val="24"/>
          <w:lang w:val="sv-SE"/>
        </w:rPr>
        <w:t>sebagai acuan penetapan hukum</w:t>
      </w:r>
      <w:r w:rsidR="00E56D9E" w:rsidRPr="00546AB0">
        <w:rPr>
          <w:rFonts w:ascii="Times New Roman" w:hAnsi="Times New Roman" w:cs="Times New Roman"/>
          <w:sz w:val="24"/>
          <w:szCs w:val="24"/>
          <w:lang w:val="sv-SE"/>
        </w:rPr>
        <w:t>.</w:t>
      </w:r>
      <w:r w:rsidRPr="00546AB0">
        <w:rPr>
          <w:rFonts w:ascii="Times New Roman" w:hAnsi="Times New Roman" w:cs="Times New Roman"/>
          <w:sz w:val="24"/>
          <w:szCs w:val="24"/>
          <w:lang w:val="sv-SE"/>
        </w:rPr>
        <w:t xml:space="preserve"> </w:t>
      </w:r>
    </w:p>
    <w:p w:rsidR="0049234C" w:rsidRPr="00123D22" w:rsidRDefault="005F7AE4" w:rsidP="009561EB">
      <w:pPr>
        <w:spacing w:after="0" w:line="360" w:lineRule="auto"/>
        <w:ind w:firstLine="720"/>
        <w:jc w:val="both"/>
        <w:rPr>
          <w:rFonts w:asciiTheme="majorBidi" w:hAnsiTheme="majorBidi" w:cstheme="majorBidi"/>
          <w:i/>
          <w:iCs/>
          <w:sz w:val="24"/>
          <w:szCs w:val="24"/>
        </w:rPr>
      </w:pPr>
      <w:r w:rsidRPr="00546AB0">
        <w:rPr>
          <w:rFonts w:ascii="Times New Roman" w:hAnsi="Times New Roman" w:cs="Times New Roman"/>
          <w:sz w:val="24"/>
          <w:szCs w:val="24"/>
          <w:lang w:val="sv-SE"/>
        </w:rPr>
        <w:t xml:space="preserve">Dalam Pedoman Prosedur Penetapan Fatwa </w:t>
      </w:r>
      <w:r w:rsidR="008742FD">
        <w:rPr>
          <w:rFonts w:ascii="Times New Roman" w:hAnsi="Times New Roman" w:cs="Times New Roman"/>
          <w:sz w:val="24"/>
          <w:szCs w:val="24"/>
          <w:lang w:val="sv-SE"/>
        </w:rPr>
        <w:t>MUI</w:t>
      </w:r>
      <w:r w:rsidRPr="00546AB0">
        <w:rPr>
          <w:rFonts w:ascii="Times New Roman" w:hAnsi="Times New Roman" w:cs="Times New Roman"/>
          <w:sz w:val="24"/>
          <w:szCs w:val="24"/>
          <w:lang w:val="sv-SE"/>
        </w:rPr>
        <w:t xml:space="preserve"> dijelaskan bahwa MUI menetapkan fatwa didasarkan pada hasil usa</w:t>
      </w:r>
      <w:r w:rsidRPr="00123D22">
        <w:rPr>
          <w:rFonts w:ascii="Times New Roman" w:hAnsi="Times New Roman" w:cs="Times New Roman"/>
          <w:sz w:val="24"/>
          <w:szCs w:val="24"/>
          <w:lang w:val="sv-SE"/>
        </w:rPr>
        <w:t xml:space="preserve">ha penemuan titik temu diantara pendapat-pendapat mazhab melalui metode </w:t>
      </w:r>
      <w:r w:rsidR="00EC2F6E" w:rsidRPr="00123D22">
        <w:rPr>
          <w:rFonts w:asciiTheme="majorBidi" w:hAnsiTheme="majorBidi" w:cstheme="majorBidi"/>
          <w:i/>
          <w:iCs/>
          <w:sz w:val="24"/>
          <w:szCs w:val="24"/>
          <w:lang w:val="sv-SE"/>
        </w:rPr>
        <w:t>al-jam</w:t>
      </w:r>
      <w:r w:rsidR="00EC2F6E" w:rsidRPr="00123D22">
        <w:rPr>
          <w:sz w:val="24"/>
          <w:szCs w:val="24"/>
          <w:lang w:val="sv-SE"/>
        </w:rPr>
        <w:t>‘</w:t>
      </w:r>
      <w:r w:rsidR="00123D22" w:rsidRPr="00123D22">
        <w:rPr>
          <w:rFonts w:asciiTheme="majorBidi" w:hAnsiTheme="majorBidi" w:cstheme="majorBidi"/>
          <w:i/>
          <w:iCs/>
          <w:sz w:val="24"/>
          <w:szCs w:val="24"/>
          <w:lang w:val="sv-SE"/>
        </w:rPr>
        <w:t>u wa al</w:t>
      </w:r>
      <w:r w:rsidR="00EC2F6E" w:rsidRPr="00123D22">
        <w:rPr>
          <w:rFonts w:asciiTheme="majorBidi" w:hAnsiTheme="majorBidi" w:cstheme="majorBidi"/>
          <w:i/>
          <w:iCs/>
          <w:sz w:val="24"/>
          <w:szCs w:val="24"/>
          <w:lang w:val="sv-SE"/>
        </w:rPr>
        <w:t>-taufīq</w:t>
      </w:r>
      <w:r w:rsidR="00A22927">
        <w:rPr>
          <w:rFonts w:ascii="Times New Roman" w:hAnsi="Times New Roman" w:cs="Times New Roman"/>
          <w:i/>
          <w:iCs/>
          <w:sz w:val="24"/>
          <w:szCs w:val="24"/>
          <w:lang w:val="sv-SE"/>
        </w:rPr>
        <w:t>.</w:t>
      </w:r>
      <w:r>
        <w:rPr>
          <w:rStyle w:val="FootnoteReference"/>
          <w:rFonts w:ascii="Times New Roman" w:hAnsi="Times New Roman" w:cs="Times New Roman"/>
          <w:i/>
          <w:iCs/>
          <w:sz w:val="24"/>
          <w:szCs w:val="24"/>
        </w:rPr>
        <w:footnoteReference w:id="44"/>
      </w:r>
      <w:r w:rsidRPr="00123D22">
        <w:rPr>
          <w:rFonts w:ascii="Times New Roman" w:hAnsi="Times New Roman" w:cs="Times New Roman"/>
          <w:sz w:val="24"/>
          <w:szCs w:val="24"/>
          <w:lang w:val="sv-SE"/>
        </w:rPr>
        <w:t xml:space="preserve"> </w:t>
      </w:r>
      <w:r w:rsidR="00A22927" w:rsidRPr="00123D22">
        <w:rPr>
          <w:rFonts w:ascii="Times New Roman" w:hAnsi="Times New Roman" w:cs="Times New Roman"/>
          <w:sz w:val="24"/>
          <w:szCs w:val="24"/>
          <w:lang w:val="sv-SE"/>
        </w:rPr>
        <w:t>J</w:t>
      </w:r>
      <w:r w:rsidRPr="00123D22">
        <w:rPr>
          <w:rFonts w:ascii="Times New Roman" w:hAnsi="Times New Roman" w:cs="Times New Roman"/>
          <w:sz w:val="24"/>
          <w:szCs w:val="24"/>
          <w:lang w:val="sv-SE"/>
        </w:rPr>
        <w:t xml:space="preserve">ika usaha penemuan titik temu tidak berhasil dilakukan, penetapan fatwa  didasarkan pada hasil </w:t>
      </w:r>
      <w:r w:rsidR="00B00010" w:rsidRPr="00123D22">
        <w:rPr>
          <w:rFonts w:ascii="Times New Roman" w:hAnsi="Times New Roman" w:cs="Times New Roman"/>
          <w:i/>
          <w:iCs/>
          <w:sz w:val="24"/>
          <w:szCs w:val="24"/>
          <w:lang w:val="sv-SE"/>
        </w:rPr>
        <w:t>ijtihad jam</w:t>
      </w:r>
      <w:r w:rsidR="00B00010" w:rsidRPr="00123D22">
        <w:rPr>
          <w:rFonts w:asciiTheme="majorBidi" w:hAnsiTheme="majorBidi" w:cstheme="majorBidi"/>
          <w:i/>
          <w:iCs/>
          <w:lang w:val="sv-SE"/>
        </w:rPr>
        <w:t>ā</w:t>
      </w:r>
      <w:r w:rsidR="00B00010" w:rsidRPr="00123D22">
        <w:rPr>
          <w:lang w:val="sv-SE"/>
        </w:rPr>
        <w:t>‘</w:t>
      </w:r>
      <w:r w:rsidR="00B00010" w:rsidRPr="00123D22">
        <w:rPr>
          <w:rFonts w:ascii="Times New Roman" w:hAnsi="Times New Roman" w:cs="Times New Roman"/>
          <w:i/>
          <w:iCs/>
          <w:sz w:val="24"/>
          <w:szCs w:val="24"/>
          <w:lang w:val="sv-SE"/>
        </w:rPr>
        <w:t>i</w:t>
      </w:r>
      <w:r w:rsidR="00B00010" w:rsidRPr="00123D22">
        <w:rPr>
          <w:rFonts w:ascii="Times New Roman" w:hAnsi="Times New Roman" w:cs="Times New Roman"/>
          <w:sz w:val="24"/>
          <w:szCs w:val="24"/>
          <w:lang w:val="sv-SE"/>
        </w:rPr>
        <w:t xml:space="preserve"> </w:t>
      </w:r>
      <w:r w:rsidRPr="00123D22">
        <w:rPr>
          <w:rFonts w:ascii="Times New Roman" w:hAnsi="Times New Roman" w:cs="Times New Roman"/>
          <w:sz w:val="24"/>
          <w:szCs w:val="24"/>
          <w:lang w:val="sv-SE"/>
        </w:rPr>
        <w:t xml:space="preserve">( </w:t>
      </w:r>
      <w:r w:rsidRPr="00123D22">
        <w:rPr>
          <w:rFonts w:ascii="Times New Roman" w:hAnsi="Times New Roman" w:cs="Times New Roman"/>
          <w:i/>
          <w:iCs/>
          <w:sz w:val="24"/>
          <w:szCs w:val="24"/>
          <w:lang w:val="sv-SE"/>
        </w:rPr>
        <w:t>ijtihad kolektif</w:t>
      </w:r>
      <w:r w:rsidRPr="00123D22">
        <w:rPr>
          <w:rFonts w:ascii="Times New Roman" w:hAnsi="Times New Roman" w:cs="Times New Roman"/>
          <w:sz w:val="24"/>
          <w:szCs w:val="24"/>
          <w:lang w:val="sv-SE"/>
        </w:rPr>
        <w:t>) melalui metode bayani,</w:t>
      </w:r>
      <w:r>
        <w:rPr>
          <w:rStyle w:val="FootnoteReference"/>
          <w:rFonts w:ascii="Times New Roman" w:hAnsi="Times New Roman" w:cs="Times New Roman"/>
          <w:sz w:val="24"/>
          <w:szCs w:val="24"/>
        </w:rPr>
        <w:footnoteReference w:id="45"/>
      </w:r>
      <w:r w:rsidRPr="00123D22">
        <w:rPr>
          <w:rFonts w:ascii="Times New Roman" w:hAnsi="Times New Roman" w:cs="Times New Roman"/>
          <w:sz w:val="24"/>
          <w:szCs w:val="24"/>
          <w:lang w:val="sv-SE"/>
        </w:rPr>
        <w:t xml:space="preserve"> </w:t>
      </w:r>
      <w:r w:rsidR="00B00010" w:rsidRPr="00123D22">
        <w:rPr>
          <w:rFonts w:ascii="Times New Roman" w:hAnsi="Times New Roman" w:cs="Times New Roman"/>
          <w:i/>
          <w:iCs/>
          <w:sz w:val="24"/>
          <w:szCs w:val="24"/>
          <w:lang w:val="sv-SE"/>
        </w:rPr>
        <w:t>ta</w:t>
      </w:r>
      <w:r w:rsidR="00B00010" w:rsidRPr="00123D22">
        <w:rPr>
          <w:lang w:val="sv-SE"/>
        </w:rPr>
        <w:t>‘</w:t>
      </w:r>
      <w:r w:rsidR="00B00010" w:rsidRPr="00123D22">
        <w:rPr>
          <w:rFonts w:ascii="Times New Roman" w:hAnsi="Times New Roman" w:cs="Times New Roman"/>
          <w:i/>
          <w:iCs/>
          <w:sz w:val="24"/>
          <w:szCs w:val="24"/>
          <w:lang w:val="sv-SE"/>
        </w:rPr>
        <w:t>l</w:t>
      </w:r>
      <w:r w:rsidR="00B00010" w:rsidRPr="00123D22">
        <w:rPr>
          <w:rFonts w:asciiTheme="majorBidi" w:hAnsiTheme="majorBidi" w:cstheme="majorBidi"/>
          <w:i/>
          <w:iCs/>
          <w:lang w:val="sv-SE"/>
        </w:rPr>
        <w:t>ī</w:t>
      </w:r>
      <w:r w:rsidR="00B00010" w:rsidRPr="00123D22">
        <w:rPr>
          <w:rFonts w:ascii="Times New Roman" w:hAnsi="Times New Roman" w:cs="Times New Roman"/>
          <w:i/>
          <w:iCs/>
          <w:sz w:val="24"/>
          <w:szCs w:val="24"/>
          <w:lang w:val="sv-SE"/>
        </w:rPr>
        <w:t>l</w:t>
      </w:r>
      <w:r w:rsidR="00B00010" w:rsidRPr="00123D22">
        <w:rPr>
          <w:rFonts w:asciiTheme="majorBidi" w:hAnsiTheme="majorBidi" w:cstheme="majorBidi"/>
          <w:i/>
          <w:iCs/>
          <w:lang w:val="sv-SE"/>
        </w:rPr>
        <w:t>ī</w:t>
      </w:r>
      <w:r w:rsidR="00B00010" w:rsidRPr="00123D22">
        <w:rPr>
          <w:rFonts w:ascii="Times New Roman" w:hAnsi="Times New Roman" w:cs="Times New Roman"/>
          <w:sz w:val="24"/>
          <w:szCs w:val="24"/>
          <w:lang w:val="sv-SE"/>
        </w:rPr>
        <w:t xml:space="preserve">( </w:t>
      </w:r>
      <w:r w:rsidR="00B00010" w:rsidRPr="00123D22">
        <w:rPr>
          <w:rFonts w:ascii="Times New Roman" w:hAnsi="Times New Roman" w:cs="Times New Roman"/>
          <w:i/>
          <w:iCs/>
          <w:sz w:val="24"/>
          <w:szCs w:val="24"/>
          <w:lang w:val="sv-SE"/>
        </w:rPr>
        <w:t>qiy</w:t>
      </w:r>
      <w:r w:rsidR="00B00010" w:rsidRPr="00CE0B95">
        <w:rPr>
          <w:rFonts w:ascii="Times New Roman" w:hAnsi="Times New Roman" w:cs="Times New Roman"/>
          <w:i/>
          <w:iCs/>
          <w:sz w:val="24"/>
          <w:szCs w:val="24"/>
          <w:lang w:val="id-ID"/>
        </w:rPr>
        <w:t>ā</w:t>
      </w:r>
      <w:r w:rsidR="00B00010" w:rsidRPr="00123D22">
        <w:rPr>
          <w:rFonts w:ascii="Times New Roman" w:hAnsi="Times New Roman" w:cs="Times New Roman"/>
          <w:i/>
          <w:iCs/>
          <w:sz w:val="24"/>
          <w:szCs w:val="24"/>
          <w:lang w:val="sv-SE"/>
        </w:rPr>
        <w:t>si</w:t>
      </w:r>
      <w:r w:rsidR="00B00010" w:rsidRPr="00123D22">
        <w:rPr>
          <w:rFonts w:ascii="Times New Roman" w:hAnsi="Times New Roman" w:cs="Times New Roman"/>
          <w:sz w:val="24"/>
          <w:szCs w:val="24"/>
          <w:lang w:val="sv-SE"/>
        </w:rPr>
        <w:t xml:space="preserve"> )</w:t>
      </w:r>
      <w:r w:rsidR="00AE07C7" w:rsidRPr="00123D22">
        <w:rPr>
          <w:rFonts w:ascii="Times New Roman" w:hAnsi="Times New Roman" w:cs="Times New Roman"/>
          <w:i/>
          <w:iCs/>
          <w:sz w:val="24"/>
          <w:szCs w:val="24"/>
          <w:lang w:val="sv-SE"/>
        </w:rPr>
        <w:t xml:space="preserve"> </w:t>
      </w:r>
      <w:r w:rsidR="00AE07C7" w:rsidRPr="00123D22">
        <w:rPr>
          <w:rFonts w:asciiTheme="majorBidi" w:hAnsiTheme="majorBidi" w:cstheme="majorBidi"/>
          <w:i/>
          <w:iCs/>
          <w:sz w:val="24"/>
          <w:szCs w:val="24"/>
          <w:lang w:val="sv-SE"/>
        </w:rPr>
        <w:t>istisl</w:t>
      </w:r>
      <w:r w:rsidR="00AE07C7" w:rsidRPr="00123D22">
        <w:rPr>
          <w:rFonts w:asciiTheme="majorBidi" w:hAnsiTheme="majorBidi" w:cstheme="majorBidi"/>
          <w:i/>
          <w:iCs/>
          <w:sz w:val="24"/>
          <w:szCs w:val="24"/>
          <w:lang w:val="id-ID"/>
        </w:rPr>
        <w:t>ā</w:t>
      </w:r>
      <w:r w:rsidR="00AE07C7" w:rsidRPr="00123D22">
        <w:rPr>
          <w:rFonts w:asciiTheme="majorBidi" w:hAnsiTheme="majorBidi" w:cstheme="majorBidi"/>
          <w:i/>
          <w:iCs/>
          <w:u w:val="single"/>
          <w:lang w:val="sv-SE"/>
        </w:rPr>
        <w:t>h</w:t>
      </w:r>
      <w:r w:rsidR="00AE07C7" w:rsidRPr="00123D22">
        <w:rPr>
          <w:rFonts w:asciiTheme="majorBidi" w:hAnsiTheme="majorBidi" w:cstheme="majorBidi"/>
          <w:i/>
          <w:iCs/>
          <w:lang w:val="sv-SE"/>
        </w:rPr>
        <w:t>ī</w:t>
      </w:r>
      <w:r w:rsidRPr="00123D22">
        <w:rPr>
          <w:rFonts w:ascii="Times New Roman" w:hAnsi="Times New Roman" w:cs="Times New Roman"/>
          <w:sz w:val="24"/>
          <w:szCs w:val="24"/>
          <w:lang w:val="sv-SE"/>
        </w:rPr>
        <w:t xml:space="preserve"> dan </w:t>
      </w:r>
      <w:r w:rsidR="00AE07C7" w:rsidRPr="00123D22">
        <w:rPr>
          <w:rFonts w:ascii="Times New Roman" w:hAnsi="Times New Roman" w:cs="Times New Roman"/>
          <w:i/>
          <w:iCs/>
          <w:sz w:val="24"/>
          <w:szCs w:val="24"/>
          <w:lang w:val="sv-SE"/>
        </w:rPr>
        <w:t>sadd al-</w:t>
      </w:r>
      <w:r w:rsidR="00AE07C7" w:rsidRPr="00123D22">
        <w:rPr>
          <w:rFonts w:asciiTheme="majorBidi" w:hAnsiTheme="majorBidi" w:cstheme="majorBidi"/>
          <w:color w:val="222222"/>
          <w:lang w:val="sv-SE"/>
        </w:rPr>
        <w:t xml:space="preserve"> </w:t>
      </w:r>
      <w:r w:rsidR="00AE07C7" w:rsidRPr="00123D22">
        <w:rPr>
          <w:rFonts w:asciiTheme="majorBidi" w:hAnsiTheme="majorBidi" w:cstheme="majorBidi"/>
          <w:color w:val="222222"/>
          <w:sz w:val="24"/>
          <w:szCs w:val="24"/>
          <w:lang w:val="sv-SE"/>
        </w:rPr>
        <w:t>ż</w:t>
      </w:r>
      <w:r w:rsidR="00AE07C7" w:rsidRPr="00123D22">
        <w:rPr>
          <w:rFonts w:ascii="Times New Roman" w:hAnsi="Times New Roman" w:cs="Times New Roman"/>
          <w:i/>
          <w:iCs/>
          <w:sz w:val="24"/>
          <w:szCs w:val="24"/>
          <w:lang w:val="sv-SE"/>
        </w:rPr>
        <w:t>ar</w:t>
      </w:r>
      <w:r w:rsidR="00AE07C7" w:rsidRPr="00123D22">
        <w:rPr>
          <w:rFonts w:asciiTheme="majorBidi" w:hAnsiTheme="majorBidi" w:cstheme="majorBidi"/>
          <w:i/>
          <w:iCs/>
          <w:lang w:val="sv-SE"/>
        </w:rPr>
        <w:t>ī</w:t>
      </w:r>
      <w:r w:rsidR="00AE07C7" w:rsidRPr="00123D22">
        <w:rPr>
          <w:lang w:val="sv-SE"/>
        </w:rPr>
        <w:t>‘</w:t>
      </w:r>
      <w:r w:rsidR="00AE07C7" w:rsidRPr="00123D22">
        <w:rPr>
          <w:rFonts w:ascii="Times New Roman" w:hAnsi="Times New Roman" w:cs="Times New Roman"/>
          <w:i/>
          <w:iCs/>
          <w:sz w:val="24"/>
          <w:szCs w:val="24"/>
          <w:lang w:val="sv-SE"/>
        </w:rPr>
        <w:t>ah</w:t>
      </w:r>
      <w:r w:rsidRPr="00123D22">
        <w:rPr>
          <w:rFonts w:ascii="Times New Roman" w:hAnsi="Times New Roman" w:cs="Times New Roman"/>
          <w:sz w:val="24"/>
          <w:szCs w:val="24"/>
          <w:lang w:val="sv-SE"/>
        </w:rPr>
        <w:t>.</w:t>
      </w:r>
      <w:r>
        <w:rPr>
          <w:rStyle w:val="FootnoteReference"/>
          <w:rFonts w:ascii="Times New Roman" w:hAnsi="Times New Roman" w:cs="Times New Roman"/>
          <w:sz w:val="24"/>
          <w:szCs w:val="24"/>
        </w:rPr>
        <w:footnoteReference w:id="46"/>
      </w:r>
      <w:r w:rsidRPr="00123D22">
        <w:rPr>
          <w:rFonts w:ascii="Times New Roman" w:hAnsi="Times New Roman" w:cs="Times New Roman"/>
          <w:sz w:val="24"/>
          <w:szCs w:val="24"/>
          <w:lang w:val="sv-SE"/>
        </w:rPr>
        <w:t xml:space="preserve"> </w:t>
      </w:r>
      <w:r>
        <w:rPr>
          <w:rFonts w:ascii="Times New Roman" w:hAnsi="Times New Roman" w:cs="Times New Roman"/>
          <w:sz w:val="24"/>
          <w:szCs w:val="24"/>
        </w:rPr>
        <w:t>Juga dalam penetapan fatwa harus senantiasa memperhatikan kemaslahatan umum</w:t>
      </w:r>
      <w:r w:rsidR="00FB59FB">
        <w:rPr>
          <w:rFonts w:ascii="Times New Roman" w:hAnsi="Times New Roman" w:cs="Times New Roman"/>
          <w:sz w:val="24"/>
          <w:szCs w:val="24"/>
        </w:rPr>
        <w:t xml:space="preserve"> </w:t>
      </w:r>
      <w:r w:rsidR="00123D22">
        <w:rPr>
          <w:rFonts w:ascii="Times New Roman" w:hAnsi="Times New Roman" w:cs="Times New Roman"/>
          <w:sz w:val="24"/>
          <w:szCs w:val="24"/>
        </w:rPr>
        <w:t>(</w:t>
      </w:r>
      <w:r w:rsidR="004E5AFF" w:rsidRPr="00123D22">
        <w:rPr>
          <w:rFonts w:asciiTheme="majorBidi" w:hAnsiTheme="majorBidi" w:cstheme="majorBidi"/>
          <w:i/>
          <w:iCs/>
          <w:sz w:val="24"/>
          <w:szCs w:val="24"/>
        </w:rPr>
        <w:t>masla</w:t>
      </w:r>
      <w:r w:rsidR="004E5AFF" w:rsidRPr="00123D22">
        <w:rPr>
          <w:rFonts w:asciiTheme="majorBidi" w:hAnsiTheme="majorBidi" w:cstheme="majorBidi"/>
          <w:i/>
          <w:iCs/>
          <w:sz w:val="24"/>
          <w:szCs w:val="24"/>
          <w:u w:val="single"/>
        </w:rPr>
        <w:t>h</w:t>
      </w:r>
      <w:r w:rsidR="004E5AFF" w:rsidRPr="00123D22">
        <w:rPr>
          <w:rFonts w:asciiTheme="majorBidi" w:hAnsiTheme="majorBidi" w:cstheme="majorBidi"/>
          <w:i/>
          <w:iCs/>
          <w:sz w:val="24"/>
          <w:szCs w:val="24"/>
        </w:rPr>
        <w:t>ah al-</w:t>
      </w:r>
      <w:r w:rsidR="004E5AFF" w:rsidRPr="00123D22">
        <w:rPr>
          <w:rFonts w:asciiTheme="majorBidi" w:hAnsiTheme="majorBidi" w:cstheme="majorBidi"/>
          <w:sz w:val="24"/>
          <w:szCs w:val="24"/>
        </w:rPr>
        <w:t>‘</w:t>
      </w:r>
      <w:r w:rsidR="004E5AFF" w:rsidRPr="00123D22">
        <w:rPr>
          <w:rFonts w:asciiTheme="majorBidi" w:hAnsiTheme="majorBidi" w:cstheme="majorBidi"/>
          <w:i/>
          <w:iCs/>
          <w:sz w:val="24"/>
          <w:szCs w:val="24"/>
        </w:rPr>
        <w:t>ammah</w:t>
      </w:r>
      <w:r w:rsidR="004E5AFF">
        <w:rPr>
          <w:rFonts w:ascii="Times New Roman" w:hAnsi="Times New Roman" w:cs="Times New Roman"/>
          <w:sz w:val="24"/>
          <w:szCs w:val="24"/>
        </w:rPr>
        <w:t xml:space="preserve">) </w:t>
      </w:r>
      <w:r>
        <w:rPr>
          <w:rFonts w:ascii="Times New Roman" w:hAnsi="Times New Roman" w:cs="Times New Roman"/>
          <w:sz w:val="24"/>
          <w:szCs w:val="24"/>
        </w:rPr>
        <w:t xml:space="preserve">dan </w:t>
      </w:r>
      <w:r w:rsidR="00123D22" w:rsidRPr="00123D22">
        <w:rPr>
          <w:rFonts w:asciiTheme="majorBidi" w:hAnsiTheme="majorBidi" w:cstheme="majorBidi"/>
          <w:i/>
          <w:iCs/>
          <w:sz w:val="24"/>
          <w:szCs w:val="24"/>
        </w:rPr>
        <w:t>maqāṣid al-sharī</w:t>
      </w:r>
      <w:r w:rsidR="00123D22" w:rsidRPr="00123D22">
        <w:rPr>
          <w:rFonts w:asciiTheme="majorBidi" w:hAnsiTheme="majorBidi" w:cstheme="majorBidi"/>
          <w:sz w:val="24"/>
          <w:szCs w:val="24"/>
        </w:rPr>
        <w:t>‘</w:t>
      </w:r>
      <w:r w:rsidR="00123D22" w:rsidRPr="00123D22">
        <w:rPr>
          <w:rFonts w:asciiTheme="majorBidi" w:hAnsiTheme="majorBidi" w:cstheme="majorBidi"/>
          <w:i/>
          <w:iCs/>
          <w:sz w:val="24"/>
          <w:szCs w:val="24"/>
        </w:rPr>
        <w:t>ah</w:t>
      </w:r>
      <w:r w:rsidR="00123D22">
        <w:rPr>
          <w:rFonts w:asciiTheme="majorBidi" w:hAnsiTheme="majorBidi" w:cstheme="majorBidi"/>
          <w:i/>
          <w:iCs/>
          <w:sz w:val="24"/>
          <w:szCs w:val="24"/>
        </w:rPr>
        <w:t xml:space="preserve"> </w:t>
      </w:r>
      <w:r w:rsidRPr="00123D22">
        <w:rPr>
          <w:rFonts w:ascii="Times New Roman" w:hAnsi="Times New Roman" w:cs="Times New Roman"/>
          <w:sz w:val="24"/>
          <w:szCs w:val="24"/>
        </w:rPr>
        <w:t xml:space="preserve">serta akibat dan dampak dari penetapan hukum tersebut. </w:t>
      </w:r>
      <w:r>
        <w:rPr>
          <w:rStyle w:val="FootnoteReference"/>
          <w:rFonts w:ascii="Times New Roman" w:hAnsi="Times New Roman" w:cs="Times New Roman"/>
          <w:sz w:val="24"/>
          <w:szCs w:val="24"/>
        </w:rPr>
        <w:footnoteReference w:id="47"/>
      </w:r>
    </w:p>
    <w:p w:rsidR="0049234C" w:rsidRPr="00A943B3" w:rsidRDefault="0049234C" w:rsidP="009561EB">
      <w:pPr>
        <w:spacing w:after="0" w:line="360" w:lineRule="auto"/>
        <w:ind w:firstLine="720"/>
        <w:jc w:val="both"/>
        <w:rPr>
          <w:rFonts w:asciiTheme="majorBidi" w:hAnsiTheme="majorBidi" w:cstheme="majorBidi"/>
          <w:sz w:val="24"/>
          <w:szCs w:val="24"/>
        </w:rPr>
      </w:pPr>
      <w:r w:rsidRPr="00A943B3">
        <w:rPr>
          <w:rFonts w:asciiTheme="majorBidi" w:hAnsiTheme="majorBidi" w:cstheme="majorBidi"/>
          <w:sz w:val="24"/>
          <w:szCs w:val="24"/>
        </w:rPr>
        <w:t xml:space="preserve">Fatwa Majelis Ulama Indonesia dapat dikelompokkan ke dalam tiga kategori utama. </w:t>
      </w:r>
      <w:r w:rsidRPr="00A943B3">
        <w:rPr>
          <w:rFonts w:asciiTheme="majorBidi" w:hAnsiTheme="majorBidi" w:cstheme="majorBidi"/>
          <w:i/>
          <w:iCs/>
          <w:sz w:val="24"/>
          <w:szCs w:val="24"/>
        </w:rPr>
        <w:t xml:space="preserve">Pertama, </w:t>
      </w:r>
      <w:r w:rsidRPr="00A943B3">
        <w:rPr>
          <w:rFonts w:asciiTheme="majorBidi" w:hAnsiTheme="majorBidi" w:cstheme="majorBidi"/>
          <w:sz w:val="24"/>
          <w:szCs w:val="24"/>
        </w:rPr>
        <w:t>fatwa tentang masalah pangan obat-obatan, ilmu pengetahuan dan teknologi. Fatwa jenis ini ditetapkan oleh Komisi Fatwa MUI, juga oleh Munas MUI maupun Ijtima</w:t>
      </w:r>
      <w:r>
        <w:rPr>
          <w:rFonts w:asciiTheme="majorBidi" w:hAnsiTheme="majorBidi" w:cstheme="majorBidi"/>
          <w:sz w:val="24"/>
          <w:szCs w:val="24"/>
        </w:rPr>
        <w:t>’</w:t>
      </w:r>
      <w:r w:rsidRPr="00A943B3">
        <w:rPr>
          <w:rFonts w:asciiTheme="majorBidi" w:hAnsiTheme="majorBidi" w:cstheme="majorBidi"/>
          <w:sz w:val="24"/>
          <w:szCs w:val="24"/>
        </w:rPr>
        <w:t xml:space="preserve"> Ulama. </w:t>
      </w:r>
      <w:r w:rsidRPr="00A943B3">
        <w:rPr>
          <w:rFonts w:asciiTheme="majorBidi" w:hAnsiTheme="majorBidi" w:cstheme="majorBidi"/>
          <w:i/>
          <w:iCs/>
          <w:sz w:val="24"/>
          <w:szCs w:val="24"/>
        </w:rPr>
        <w:t>Kedua</w:t>
      </w:r>
      <w:r w:rsidRPr="00A943B3">
        <w:rPr>
          <w:rFonts w:asciiTheme="majorBidi" w:hAnsiTheme="majorBidi" w:cstheme="majorBidi"/>
          <w:sz w:val="24"/>
          <w:szCs w:val="24"/>
        </w:rPr>
        <w:t xml:space="preserve">, fatwa yang berkaitan dengan masalah ekonomi Islam dan aktivitas lembaga keuangan syari’ah. Fatwa jenis ini ditetapkan oleh Dewan Syari’aah Nasional Majelis Ulama Indonesia (DSN-MUI). </w:t>
      </w:r>
      <w:r w:rsidRPr="00A943B3">
        <w:rPr>
          <w:rFonts w:asciiTheme="majorBidi" w:hAnsiTheme="majorBidi" w:cstheme="majorBidi"/>
          <w:i/>
          <w:iCs/>
          <w:sz w:val="24"/>
          <w:szCs w:val="24"/>
        </w:rPr>
        <w:t xml:space="preserve">Ketiga, </w:t>
      </w:r>
      <w:r w:rsidRPr="00A943B3">
        <w:rPr>
          <w:rFonts w:asciiTheme="majorBidi" w:hAnsiTheme="majorBidi" w:cstheme="majorBidi"/>
          <w:sz w:val="24"/>
          <w:szCs w:val="24"/>
        </w:rPr>
        <w:t>fatwa masalah ibadah dan masalah-masalah aktual sosial-keaga</w:t>
      </w:r>
      <w:r>
        <w:rPr>
          <w:rFonts w:asciiTheme="majorBidi" w:hAnsiTheme="majorBidi" w:cstheme="majorBidi"/>
          <w:sz w:val="24"/>
          <w:szCs w:val="24"/>
        </w:rPr>
        <w:t xml:space="preserve">maan dan sosial-kemasyarakatan. </w:t>
      </w:r>
      <w:r w:rsidRPr="00A943B3">
        <w:rPr>
          <w:rFonts w:asciiTheme="majorBidi" w:hAnsiTheme="majorBidi" w:cstheme="majorBidi"/>
          <w:sz w:val="24"/>
          <w:szCs w:val="24"/>
        </w:rPr>
        <w:t>Fatwa-fatwa jenis kelompok ini ditetapkan oleh Komisi Fatwa MUI, baik melalui forum rapat Komisi Fatwa, Munas, maupun Ijtima</w:t>
      </w:r>
      <w:r w:rsidR="007B199E">
        <w:rPr>
          <w:rFonts w:asciiTheme="majorBidi" w:hAnsiTheme="majorBidi" w:cstheme="majorBidi"/>
          <w:sz w:val="24"/>
          <w:szCs w:val="24"/>
        </w:rPr>
        <w:t>’</w:t>
      </w:r>
      <w:r w:rsidRPr="00A943B3">
        <w:rPr>
          <w:rFonts w:asciiTheme="majorBidi" w:hAnsiTheme="majorBidi" w:cstheme="majorBidi"/>
          <w:sz w:val="24"/>
          <w:szCs w:val="24"/>
        </w:rPr>
        <w:t xml:space="preserve"> Ulama.</w:t>
      </w:r>
      <w:r w:rsidRPr="00A943B3">
        <w:rPr>
          <w:rStyle w:val="FootnoteReference"/>
          <w:rFonts w:asciiTheme="majorBidi" w:hAnsiTheme="majorBidi" w:cstheme="majorBidi"/>
          <w:sz w:val="24"/>
          <w:szCs w:val="24"/>
        </w:rPr>
        <w:t xml:space="preserve"> </w:t>
      </w:r>
    </w:p>
    <w:p w:rsidR="0049234C" w:rsidRPr="00A943B3" w:rsidRDefault="0049234C" w:rsidP="009561EB">
      <w:pPr>
        <w:autoSpaceDE w:val="0"/>
        <w:autoSpaceDN w:val="0"/>
        <w:adjustRightInd w:val="0"/>
        <w:spacing w:after="0" w:line="360" w:lineRule="auto"/>
        <w:ind w:firstLine="720"/>
        <w:jc w:val="both"/>
        <w:rPr>
          <w:rFonts w:asciiTheme="majorBidi" w:hAnsiTheme="majorBidi" w:cstheme="majorBidi"/>
          <w:sz w:val="24"/>
          <w:szCs w:val="24"/>
        </w:rPr>
      </w:pPr>
      <w:r w:rsidRPr="00A943B3">
        <w:rPr>
          <w:rFonts w:asciiTheme="majorBidi" w:hAnsiTheme="majorBidi" w:cstheme="majorBidi"/>
          <w:sz w:val="24"/>
          <w:szCs w:val="24"/>
        </w:rPr>
        <w:t xml:space="preserve">Secara kategoris, fatwa tentang masalah ibadah dan masalah-masalah aktual sosial-keagamaan dan sosial-kemasyarakatan ini dikelompokkan menjadi </w:t>
      </w:r>
      <w:r w:rsidRPr="00A943B3">
        <w:rPr>
          <w:rFonts w:asciiTheme="majorBidi" w:hAnsiTheme="majorBidi" w:cstheme="majorBidi"/>
          <w:sz w:val="24"/>
          <w:szCs w:val="24"/>
        </w:rPr>
        <w:lastRenderedPageBreak/>
        <w:t>tiga kelompok; (i) fatwa tentang masalah akidah dan aliran keagamaan; (ii) fatwa bidang ibadah; (iii) fatwa tentang masalah sosial-kemasyarakatan dan budaya</w:t>
      </w:r>
      <w:r w:rsidRPr="00A943B3">
        <w:rPr>
          <w:rStyle w:val="FootnoteReference"/>
          <w:rFonts w:asciiTheme="majorBidi" w:hAnsiTheme="majorBidi" w:cstheme="majorBidi"/>
          <w:sz w:val="24"/>
          <w:szCs w:val="24"/>
        </w:rPr>
        <w:footnoteReference w:id="48"/>
      </w:r>
    </w:p>
    <w:p w:rsidR="0049234C" w:rsidRPr="00A943B3" w:rsidRDefault="0049234C" w:rsidP="009561EB">
      <w:pPr>
        <w:autoSpaceDE w:val="0"/>
        <w:autoSpaceDN w:val="0"/>
        <w:adjustRightInd w:val="0"/>
        <w:spacing w:after="0" w:line="360" w:lineRule="auto"/>
        <w:ind w:firstLine="720"/>
        <w:jc w:val="both"/>
        <w:rPr>
          <w:rFonts w:asciiTheme="majorBidi" w:hAnsiTheme="majorBidi" w:cstheme="majorBidi"/>
          <w:sz w:val="24"/>
          <w:szCs w:val="24"/>
        </w:rPr>
      </w:pPr>
      <w:r w:rsidRPr="00A943B3">
        <w:rPr>
          <w:rFonts w:asciiTheme="majorBidi" w:hAnsiTheme="majorBidi" w:cstheme="majorBidi"/>
          <w:sz w:val="24"/>
          <w:szCs w:val="24"/>
        </w:rPr>
        <w:t xml:space="preserve">Berdasarkan data yang dihimpun dalam </w:t>
      </w:r>
      <w:r w:rsidRPr="00A943B3">
        <w:rPr>
          <w:rFonts w:asciiTheme="majorBidi" w:hAnsiTheme="majorBidi" w:cstheme="majorBidi"/>
          <w:i/>
          <w:iCs/>
          <w:sz w:val="24"/>
          <w:szCs w:val="24"/>
        </w:rPr>
        <w:t>Himpunan Fatwa Majelis Ulama Indonesia</w:t>
      </w:r>
      <w:r>
        <w:rPr>
          <w:rFonts w:asciiTheme="majorBidi" w:hAnsiTheme="majorBidi" w:cstheme="majorBidi"/>
          <w:i/>
          <w:iCs/>
          <w:sz w:val="24"/>
          <w:szCs w:val="24"/>
        </w:rPr>
        <w:t xml:space="preserve"> sejak tahun 1975</w:t>
      </w:r>
      <w:r w:rsidRPr="00A943B3">
        <w:rPr>
          <w:rFonts w:asciiTheme="majorBidi" w:hAnsiTheme="majorBidi" w:cstheme="majorBidi"/>
          <w:i/>
          <w:iCs/>
          <w:sz w:val="24"/>
          <w:szCs w:val="24"/>
        </w:rPr>
        <w:t xml:space="preserve">, </w:t>
      </w:r>
      <w:r w:rsidRPr="00A943B3">
        <w:rPr>
          <w:rFonts w:asciiTheme="majorBidi" w:hAnsiTheme="majorBidi" w:cstheme="majorBidi"/>
          <w:sz w:val="24"/>
          <w:szCs w:val="24"/>
        </w:rPr>
        <w:t>yang diterbitkan pada</w:t>
      </w:r>
      <w:r>
        <w:rPr>
          <w:rFonts w:asciiTheme="majorBidi" w:hAnsiTheme="majorBidi" w:cstheme="majorBidi"/>
          <w:sz w:val="24"/>
          <w:szCs w:val="24"/>
        </w:rPr>
        <w:t xml:space="preserve"> tahun</w:t>
      </w:r>
      <w:r w:rsidRPr="00A943B3">
        <w:rPr>
          <w:rFonts w:asciiTheme="majorBidi" w:hAnsiTheme="majorBidi" w:cstheme="majorBidi"/>
          <w:sz w:val="24"/>
          <w:szCs w:val="24"/>
        </w:rPr>
        <w:t xml:space="preserve"> 2011, fatwa tentang masalah keagamaan berjumlah</w:t>
      </w:r>
      <w:r w:rsidRPr="00A943B3">
        <w:rPr>
          <w:rFonts w:asciiTheme="majorBidi" w:hAnsiTheme="majorBidi" w:cstheme="majorBidi"/>
          <w:i/>
          <w:iCs/>
          <w:sz w:val="24"/>
          <w:szCs w:val="24"/>
        </w:rPr>
        <w:t xml:space="preserve"> </w:t>
      </w:r>
      <w:r w:rsidRPr="00A943B3">
        <w:rPr>
          <w:rFonts w:asciiTheme="majorBidi" w:hAnsiTheme="majorBidi" w:cstheme="majorBidi"/>
          <w:sz w:val="24"/>
          <w:szCs w:val="24"/>
        </w:rPr>
        <w:t>70 fatwa, dengan rincian fatwa</w:t>
      </w:r>
      <w:r>
        <w:rPr>
          <w:rFonts w:asciiTheme="majorBidi" w:hAnsiTheme="majorBidi" w:cstheme="majorBidi"/>
          <w:sz w:val="24"/>
          <w:szCs w:val="24"/>
        </w:rPr>
        <w:t xml:space="preserve"> tentang </w:t>
      </w:r>
      <w:r w:rsidRPr="00A943B3">
        <w:rPr>
          <w:rFonts w:asciiTheme="majorBidi" w:hAnsiTheme="majorBidi" w:cstheme="majorBidi"/>
          <w:sz w:val="24"/>
          <w:szCs w:val="24"/>
        </w:rPr>
        <w:t>akidah dan aliran keagamaan berjumlah 14 fatwa, fatwa bidang  ibadah berjumlah 37 fatwa, fatwa</w:t>
      </w:r>
      <w:r w:rsidRPr="00A943B3">
        <w:rPr>
          <w:rFonts w:asciiTheme="majorBidi" w:hAnsiTheme="majorBidi" w:cstheme="majorBidi"/>
          <w:i/>
          <w:iCs/>
          <w:sz w:val="24"/>
          <w:szCs w:val="24"/>
        </w:rPr>
        <w:t xml:space="preserve"> </w:t>
      </w:r>
      <w:r w:rsidRPr="00A943B3">
        <w:rPr>
          <w:rFonts w:asciiTheme="majorBidi" w:hAnsiTheme="majorBidi" w:cstheme="majorBidi"/>
          <w:sz w:val="24"/>
          <w:szCs w:val="24"/>
        </w:rPr>
        <w:t>tentang masalah sosial-kemasyarakatan dan budaya berjumlah 51 fatwa.  Sementara fatwa tentang masalah pangan obat-obatan, ilmu pengetahuan dan teknologi berjumlah 35 fatwa.</w:t>
      </w:r>
      <w:r w:rsidRPr="00A943B3">
        <w:rPr>
          <w:rStyle w:val="FootnoteReference"/>
          <w:rFonts w:asciiTheme="majorBidi" w:hAnsiTheme="majorBidi" w:cstheme="majorBidi"/>
          <w:sz w:val="24"/>
          <w:szCs w:val="24"/>
        </w:rPr>
        <w:footnoteReference w:id="49"/>
      </w:r>
      <w:r w:rsidRPr="00A943B3">
        <w:rPr>
          <w:rFonts w:asciiTheme="majorBidi" w:hAnsiTheme="majorBidi" w:cstheme="majorBidi"/>
          <w:sz w:val="24"/>
          <w:szCs w:val="24"/>
        </w:rPr>
        <w:t xml:space="preserve"> Dan fatwa bidang ekonomi syari’ah berjumlah 59 fatwa.</w:t>
      </w:r>
      <w:r w:rsidRPr="00A943B3">
        <w:rPr>
          <w:rStyle w:val="FootnoteReference"/>
          <w:rFonts w:asciiTheme="majorBidi" w:hAnsiTheme="majorBidi" w:cstheme="majorBidi"/>
          <w:sz w:val="24"/>
          <w:szCs w:val="24"/>
        </w:rPr>
        <w:footnoteReference w:id="50"/>
      </w:r>
    </w:p>
    <w:p w:rsidR="006F7F29" w:rsidRPr="009F2285" w:rsidRDefault="0049234C" w:rsidP="009F2285">
      <w:pPr>
        <w:pStyle w:val="ListParagraph"/>
        <w:spacing w:line="360" w:lineRule="auto"/>
        <w:ind w:left="0" w:firstLine="720"/>
        <w:jc w:val="both"/>
        <w:rPr>
          <w:rFonts w:asciiTheme="majorBidi" w:hAnsiTheme="majorBidi" w:cstheme="majorBidi"/>
          <w:i/>
          <w:iCs/>
        </w:rPr>
      </w:pPr>
      <w:r w:rsidRPr="00A943B3">
        <w:rPr>
          <w:rFonts w:asciiTheme="majorBidi" w:hAnsiTheme="majorBidi" w:cstheme="majorBidi"/>
          <w:sz w:val="24"/>
          <w:szCs w:val="24"/>
        </w:rPr>
        <w:t>Fatwa yang berkaitan dengan pernikahan dan hukum keluarga, masuk di bawah tema fatwa masalah ibadah dan sosial kemasyarakatan dan b</w:t>
      </w:r>
      <w:r w:rsidR="006F7F29">
        <w:rPr>
          <w:rFonts w:asciiTheme="majorBidi" w:hAnsiTheme="majorBidi" w:cstheme="majorBidi"/>
          <w:sz w:val="24"/>
          <w:szCs w:val="24"/>
        </w:rPr>
        <w:t>udaya, yaitu berjumlah 21 fatwa.</w:t>
      </w:r>
      <w:r w:rsidRPr="00A943B3">
        <w:rPr>
          <w:rStyle w:val="FootnoteReference"/>
          <w:rFonts w:asciiTheme="majorBidi" w:hAnsiTheme="majorBidi" w:cstheme="majorBidi"/>
          <w:sz w:val="24"/>
          <w:szCs w:val="24"/>
        </w:rPr>
        <w:footnoteReference w:id="51"/>
      </w:r>
      <w:r w:rsidR="005D6C88">
        <w:rPr>
          <w:rFonts w:asciiTheme="majorBidi" w:hAnsiTheme="majorBidi" w:cstheme="majorBidi"/>
          <w:sz w:val="24"/>
          <w:szCs w:val="24"/>
        </w:rPr>
        <w:t xml:space="preserve"> </w:t>
      </w:r>
      <w:r w:rsidR="006F7F29" w:rsidRPr="0002177B">
        <w:rPr>
          <w:rFonts w:asciiTheme="majorBidi" w:hAnsiTheme="majorBidi" w:cstheme="majorBidi"/>
          <w:sz w:val="24"/>
          <w:szCs w:val="24"/>
        </w:rPr>
        <w:t xml:space="preserve">Dalam Fatwa </w:t>
      </w:r>
      <w:r w:rsidR="006F7F29">
        <w:rPr>
          <w:rFonts w:asciiTheme="majorBidi" w:hAnsiTheme="majorBidi" w:cstheme="majorBidi"/>
          <w:sz w:val="24"/>
          <w:szCs w:val="24"/>
        </w:rPr>
        <w:t>Majelis Ulama Indonesia (</w:t>
      </w:r>
      <w:r w:rsidR="006F7F29" w:rsidRPr="0002177B">
        <w:rPr>
          <w:rFonts w:asciiTheme="majorBidi" w:hAnsiTheme="majorBidi" w:cstheme="majorBidi"/>
          <w:sz w:val="24"/>
          <w:szCs w:val="24"/>
        </w:rPr>
        <w:t>MUI</w:t>
      </w:r>
      <w:r w:rsidR="006F7F29">
        <w:rPr>
          <w:rFonts w:asciiTheme="majorBidi" w:hAnsiTheme="majorBidi" w:cstheme="majorBidi"/>
          <w:sz w:val="24"/>
          <w:szCs w:val="24"/>
        </w:rPr>
        <w:t>)</w:t>
      </w:r>
      <w:r w:rsidR="006F7F29" w:rsidRPr="0002177B">
        <w:rPr>
          <w:rFonts w:asciiTheme="majorBidi" w:hAnsiTheme="majorBidi" w:cstheme="majorBidi"/>
          <w:sz w:val="24"/>
          <w:szCs w:val="24"/>
        </w:rPr>
        <w:t xml:space="preserve"> T</w:t>
      </w:r>
      <w:r w:rsidR="006F7F29">
        <w:rPr>
          <w:rFonts w:asciiTheme="majorBidi" w:hAnsiTheme="majorBidi" w:cstheme="majorBidi"/>
          <w:sz w:val="24"/>
          <w:szCs w:val="24"/>
        </w:rPr>
        <w:t>entang Hukum Keluarga, a</w:t>
      </w:r>
      <w:r w:rsidR="006F7F29" w:rsidRPr="0002177B">
        <w:rPr>
          <w:rFonts w:asciiTheme="majorBidi" w:hAnsiTheme="majorBidi" w:cstheme="majorBidi"/>
          <w:sz w:val="24"/>
          <w:szCs w:val="24"/>
        </w:rPr>
        <w:t xml:space="preserve">da beberapa hal yang </w:t>
      </w:r>
      <w:r w:rsidR="006F7F29">
        <w:rPr>
          <w:rFonts w:asciiTheme="majorBidi" w:hAnsiTheme="majorBidi" w:cstheme="majorBidi"/>
          <w:sz w:val="24"/>
          <w:szCs w:val="24"/>
        </w:rPr>
        <w:t xml:space="preserve">untuk sementara diasumsikan sebagai suatu </w:t>
      </w:r>
      <w:r w:rsidR="005D6C88">
        <w:rPr>
          <w:rFonts w:asciiTheme="majorBidi" w:hAnsiTheme="majorBidi" w:cstheme="majorBidi"/>
          <w:sz w:val="24"/>
          <w:szCs w:val="24"/>
        </w:rPr>
        <w:t>permasalahan antara lain;</w:t>
      </w:r>
      <w:r w:rsidR="006F7F29" w:rsidRPr="0002177B">
        <w:rPr>
          <w:rFonts w:asciiTheme="majorBidi" w:hAnsiTheme="majorBidi" w:cstheme="majorBidi"/>
          <w:sz w:val="24"/>
          <w:szCs w:val="24"/>
        </w:rPr>
        <w:t xml:space="preserve"> </w:t>
      </w:r>
      <w:r w:rsidR="006F7F29" w:rsidRPr="003A5D07">
        <w:rPr>
          <w:rFonts w:asciiTheme="majorBidi" w:hAnsiTheme="majorBidi" w:cstheme="majorBidi"/>
          <w:i/>
          <w:iCs/>
          <w:sz w:val="24"/>
          <w:szCs w:val="24"/>
        </w:rPr>
        <w:t>Pertama</w:t>
      </w:r>
      <w:r w:rsidR="006F7F29">
        <w:rPr>
          <w:rFonts w:asciiTheme="majorBidi" w:hAnsiTheme="majorBidi" w:cstheme="majorBidi"/>
          <w:sz w:val="24"/>
          <w:szCs w:val="24"/>
        </w:rPr>
        <w:t xml:space="preserve">, </w:t>
      </w:r>
      <w:r w:rsidR="00A22927" w:rsidRPr="003A5D07">
        <w:rPr>
          <w:rFonts w:asciiTheme="majorBidi" w:hAnsiTheme="majorBidi" w:cstheme="majorBidi"/>
          <w:sz w:val="24"/>
          <w:szCs w:val="24"/>
        </w:rPr>
        <w:t>a</w:t>
      </w:r>
      <w:r w:rsidR="006F7F29" w:rsidRPr="003A5D07">
        <w:rPr>
          <w:rFonts w:asciiTheme="majorBidi" w:hAnsiTheme="majorBidi" w:cstheme="majorBidi"/>
          <w:sz w:val="24"/>
          <w:szCs w:val="24"/>
        </w:rPr>
        <w:t xml:space="preserve">danya putusan fatwa yang keluar dari nash </w:t>
      </w:r>
      <w:r w:rsidR="006F7F29">
        <w:rPr>
          <w:rFonts w:asciiTheme="majorBidi" w:hAnsiTheme="majorBidi" w:cstheme="majorBidi"/>
          <w:sz w:val="24"/>
          <w:szCs w:val="24"/>
        </w:rPr>
        <w:t>Al-Qur’ān</w:t>
      </w:r>
      <w:r w:rsidR="006070F6">
        <w:rPr>
          <w:rFonts w:asciiTheme="majorBidi" w:hAnsiTheme="majorBidi" w:cstheme="majorBidi"/>
          <w:sz w:val="24"/>
          <w:szCs w:val="24"/>
        </w:rPr>
        <w:t xml:space="preserve"> maupun sunnah</w:t>
      </w:r>
      <w:r w:rsidR="006F7F29">
        <w:rPr>
          <w:rFonts w:asciiTheme="majorBidi" w:hAnsiTheme="majorBidi" w:cstheme="majorBidi"/>
          <w:sz w:val="24"/>
          <w:szCs w:val="24"/>
        </w:rPr>
        <w:t xml:space="preserve">. Seperti, </w:t>
      </w:r>
      <w:r w:rsidR="006F7F29" w:rsidRPr="003A5D07">
        <w:rPr>
          <w:rFonts w:asciiTheme="majorBidi" w:hAnsiTheme="majorBidi" w:cstheme="majorBidi"/>
          <w:sz w:val="24"/>
          <w:szCs w:val="24"/>
        </w:rPr>
        <w:t>Fatwa Nikah Beda Agama. Putusan fatwa Nomor : 4/Munas VII/ MUI/8/2015 menyebutkan:</w:t>
      </w:r>
      <w:r w:rsidR="006F7F29">
        <w:rPr>
          <w:rFonts w:asciiTheme="majorBidi" w:hAnsiTheme="majorBidi" w:cstheme="majorBidi"/>
          <w:sz w:val="24"/>
          <w:szCs w:val="24"/>
        </w:rPr>
        <w:t xml:space="preserve"> </w:t>
      </w:r>
      <w:r w:rsidR="006F7F29" w:rsidRPr="003A5D07">
        <w:rPr>
          <w:rFonts w:asciiTheme="majorBidi" w:hAnsiTheme="majorBidi" w:cstheme="majorBidi"/>
          <w:sz w:val="24"/>
          <w:szCs w:val="24"/>
        </w:rPr>
        <w:t xml:space="preserve">a. Perkawinan beda agama adalah haram dan tidak sah. b. Perkawinan laki-laki muslim dengan wanita ahlu kitab menurut </w:t>
      </w:r>
      <w:r w:rsidR="009F2285" w:rsidRPr="005C6676">
        <w:rPr>
          <w:rFonts w:asciiTheme="majorBidi" w:hAnsiTheme="majorBidi" w:cstheme="majorBidi"/>
          <w:i/>
          <w:iCs/>
          <w:sz w:val="24"/>
          <w:szCs w:val="24"/>
        </w:rPr>
        <w:t>qaul</w:t>
      </w:r>
      <w:r w:rsidR="009F2285" w:rsidRPr="003A5D07">
        <w:rPr>
          <w:rFonts w:asciiTheme="majorBidi" w:hAnsiTheme="majorBidi" w:cstheme="majorBidi"/>
          <w:sz w:val="24"/>
          <w:szCs w:val="24"/>
        </w:rPr>
        <w:t xml:space="preserve"> </w:t>
      </w:r>
      <w:r w:rsidR="009F2285" w:rsidRPr="003A5D07">
        <w:rPr>
          <w:rFonts w:asciiTheme="majorBidi" w:hAnsiTheme="majorBidi" w:cstheme="majorBidi"/>
          <w:i/>
          <w:iCs/>
          <w:sz w:val="24"/>
          <w:szCs w:val="24"/>
        </w:rPr>
        <w:t>mu</w:t>
      </w:r>
      <w:r w:rsidR="009F2285">
        <w:t>‘</w:t>
      </w:r>
      <w:r w:rsidR="009F2285" w:rsidRPr="003A5D07">
        <w:rPr>
          <w:rFonts w:asciiTheme="majorBidi" w:hAnsiTheme="majorBidi" w:cstheme="majorBidi"/>
          <w:i/>
          <w:iCs/>
          <w:sz w:val="24"/>
          <w:szCs w:val="24"/>
        </w:rPr>
        <w:t>tamad</w:t>
      </w:r>
      <w:r w:rsidR="009F2285" w:rsidRPr="003A5D07">
        <w:rPr>
          <w:rFonts w:asciiTheme="majorBidi" w:hAnsiTheme="majorBidi" w:cstheme="majorBidi"/>
          <w:sz w:val="24"/>
          <w:szCs w:val="24"/>
        </w:rPr>
        <w:t xml:space="preserve"> </w:t>
      </w:r>
      <w:r w:rsidR="006F7F29" w:rsidRPr="003A5D07">
        <w:rPr>
          <w:rFonts w:asciiTheme="majorBidi" w:hAnsiTheme="majorBidi" w:cstheme="majorBidi"/>
          <w:sz w:val="24"/>
          <w:szCs w:val="24"/>
        </w:rPr>
        <w:t>adalah haram dan tidak sah</w:t>
      </w:r>
      <w:r w:rsidR="006F7F29">
        <w:rPr>
          <w:rStyle w:val="FootnoteReference"/>
          <w:rFonts w:asciiTheme="majorBidi" w:hAnsiTheme="majorBidi" w:cstheme="majorBidi"/>
          <w:sz w:val="24"/>
          <w:szCs w:val="24"/>
        </w:rPr>
        <w:footnoteReference w:id="52"/>
      </w:r>
      <w:r w:rsidR="006F7F29" w:rsidRPr="003A5D07">
        <w:rPr>
          <w:rFonts w:asciiTheme="majorBidi" w:hAnsiTheme="majorBidi" w:cstheme="majorBidi"/>
          <w:sz w:val="24"/>
          <w:szCs w:val="24"/>
        </w:rPr>
        <w:t xml:space="preserve">. Fatwa ini </w:t>
      </w:r>
      <w:r w:rsidR="006F7F29">
        <w:rPr>
          <w:rFonts w:asciiTheme="majorBidi" w:hAnsiTheme="majorBidi" w:cstheme="majorBidi"/>
          <w:sz w:val="24"/>
          <w:szCs w:val="24"/>
        </w:rPr>
        <w:t xml:space="preserve">jelas </w:t>
      </w:r>
      <w:r w:rsidR="006F7F29" w:rsidRPr="003A5D07">
        <w:rPr>
          <w:rFonts w:asciiTheme="majorBidi" w:hAnsiTheme="majorBidi" w:cstheme="majorBidi"/>
          <w:sz w:val="24"/>
          <w:szCs w:val="24"/>
        </w:rPr>
        <w:lastRenderedPageBreak/>
        <w:t xml:space="preserve">keluar dari nash </w:t>
      </w:r>
      <w:r w:rsidR="006F7F29">
        <w:rPr>
          <w:rFonts w:asciiTheme="majorBidi" w:hAnsiTheme="majorBidi" w:cstheme="majorBidi"/>
          <w:sz w:val="24"/>
          <w:szCs w:val="24"/>
        </w:rPr>
        <w:t>Al-Qur’ān</w:t>
      </w:r>
      <w:r w:rsidR="006F7F29" w:rsidRPr="003A5D07">
        <w:rPr>
          <w:rFonts w:asciiTheme="majorBidi" w:hAnsiTheme="majorBidi" w:cstheme="majorBidi"/>
          <w:sz w:val="24"/>
          <w:szCs w:val="24"/>
        </w:rPr>
        <w:t xml:space="preserve">, dimana dalam </w:t>
      </w:r>
      <w:r w:rsidR="006F7F29">
        <w:rPr>
          <w:rFonts w:asciiTheme="majorBidi" w:hAnsiTheme="majorBidi" w:cstheme="majorBidi"/>
          <w:sz w:val="24"/>
          <w:szCs w:val="24"/>
        </w:rPr>
        <w:t>Al-Qur’ān</w:t>
      </w:r>
      <w:r w:rsidR="006F7F29" w:rsidRPr="003A5D07">
        <w:rPr>
          <w:rFonts w:asciiTheme="majorBidi" w:hAnsiTheme="majorBidi" w:cstheme="majorBidi"/>
          <w:sz w:val="24"/>
          <w:szCs w:val="24"/>
        </w:rPr>
        <w:t xml:space="preserve"> Surat</w:t>
      </w:r>
      <w:r w:rsidR="006F7F29">
        <w:rPr>
          <w:rFonts w:asciiTheme="majorBidi" w:hAnsiTheme="majorBidi" w:cstheme="majorBidi"/>
          <w:sz w:val="24"/>
          <w:szCs w:val="24"/>
        </w:rPr>
        <w:t xml:space="preserve"> </w:t>
      </w:r>
      <w:r w:rsidR="009F2285" w:rsidRPr="003A5D07">
        <w:rPr>
          <w:rFonts w:asciiTheme="majorBidi" w:hAnsiTheme="majorBidi" w:cstheme="majorBidi"/>
          <w:sz w:val="24"/>
          <w:szCs w:val="24"/>
        </w:rPr>
        <w:t>Al-M</w:t>
      </w:r>
      <w:r w:rsidR="009F2285" w:rsidRPr="00B32337">
        <w:rPr>
          <w:rFonts w:ascii="Times New Roman" w:hAnsi="Times New Roman" w:cs="Times New Roman"/>
          <w:sz w:val="24"/>
          <w:szCs w:val="24"/>
          <w:lang w:val="id-ID"/>
        </w:rPr>
        <w:t>ā</w:t>
      </w:r>
      <w:r w:rsidR="009F2285">
        <w:rPr>
          <w:rFonts w:asciiTheme="majorBidi" w:hAnsiTheme="majorBidi" w:cstheme="majorBidi"/>
        </w:rPr>
        <w:t>’</w:t>
      </w:r>
      <w:r w:rsidR="009F2285" w:rsidRPr="003A5D07">
        <w:rPr>
          <w:rFonts w:asciiTheme="majorBidi" w:hAnsiTheme="majorBidi" w:cstheme="majorBidi"/>
          <w:sz w:val="24"/>
          <w:szCs w:val="24"/>
        </w:rPr>
        <w:t>ida</w:t>
      </w:r>
      <w:r w:rsidR="009F2285">
        <w:rPr>
          <w:rFonts w:asciiTheme="majorBidi" w:hAnsiTheme="majorBidi" w:cstheme="majorBidi" w:hint="cs"/>
          <w:sz w:val="24"/>
          <w:szCs w:val="24"/>
        </w:rPr>
        <w:t>h</w:t>
      </w:r>
      <w:r w:rsidR="009F2285">
        <w:rPr>
          <w:rFonts w:asciiTheme="majorBidi" w:hAnsiTheme="majorBidi" w:cstheme="majorBidi"/>
          <w:sz w:val="24"/>
          <w:szCs w:val="24"/>
        </w:rPr>
        <w:t xml:space="preserve"> </w:t>
      </w:r>
      <w:r w:rsidR="006F7F29" w:rsidRPr="003A5D07">
        <w:rPr>
          <w:rFonts w:asciiTheme="majorBidi" w:hAnsiTheme="majorBidi" w:cstheme="majorBidi"/>
          <w:sz w:val="24"/>
          <w:szCs w:val="24"/>
        </w:rPr>
        <w:t xml:space="preserve">ayat 5 Allah SWT berfirman : </w:t>
      </w:r>
    </w:p>
    <w:p w:rsidR="006F7F29" w:rsidRDefault="006F7F29" w:rsidP="006F7F29">
      <w:pPr>
        <w:bidi/>
        <w:spacing w:line="240" w:lineRule="auto"/>
        <w:ind w:right="90"/>
        <w:jc w:val="both"/>
        <w:rPr>
          <w:rFonts w:asciiTheme="majorBidi" w:hAnsiTheme="majorBidi" w:cstheme="majorBidi"/>
          <w:sz w:val="24"/>
          <w:szCs w:val="24"/>
        </w:rPr>
      </w:pP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E"/>
      </w:r>
      <w:r>
        <w:rPr>
          <w:sz w:val="28"/>
          <w:szCs w:val="28"/>
        </w:rPr>
        <w:sym w:font="HQPB2" w:char="F03D"/>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9"/>
      </w:r>
      <w:r>
        <w:rPr>
          <w:sz w:val="28"/>
          <w:szCs w:val="28"/>
        </w:rPr>
        <w:sym w:font="HQPB4" w:char="F0C5"/>
      </w:r>
      <w:r>
        <w:rPr>
          <w:sz w:val="28"/>
          <w:szCs w:val="28"/>
        </w:rPr>
        <w:sym w:font="HQPB1" w:char="F0C1"/>
      </w:r>
      <w:r>
        <w:rPr>
          <w:sz w:val="28"/>
          <w:szCs w:val="28"/>
        </w:rPr>
        <w:sym w:font="HQPB4" w:char="F0F8"/>
      </w:r>
      <w:r>
        <w:rPr>
          <w:sz w:val="28"/>
          <w:szCs w:val="28"/>
        </w:rPr>
        <w:sym w:font="HQPB1" w:char="F074"/>
      </w:r>
      <w:r>
        <w:rPr>
          <w:sz w:val="28"/>
          <w:szCs w:val="28"/>
        </w:rPr>
        <w:sym w:font="HQPB4" w:char="F0E8"/>
      </w:r>
      <w:r>
        <w:rPr>
          <w:sz w:val="28"/>
          <w:szCs w:val="28"/>
        </w:rPr>
        <w:sym w:font="HQPB2" w:char="F043"/>
      </w:r>
      <w:r>
        <w:rPr>
          <w:rFonts w:ascii="(normal text)" w:hAnsi="(normal text)"/>
          <w:rtl/>
        </w:rPr>
        <w:t xml:space="preserve"> </w:t>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8"/>
      </w:r>
      <w:r>
        <w:rPr>
          <w:sz w:val="28"/>
          <w:szCs w:val="28"/>
        </w:rPr>
        <w:sym w:font="HQPB1" w:char="F0EE"/>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5"/>
      </w:r>
      <w:r>
        <w:rPr>
          <w:sz w:val="28"/>
          <w:szCs w:val="28"/>
        </w:rPr>
        <w:sym w:font="HQPB1" w:char="F073"/>
      </w:r>
      <w:r>
        <w:rPr>
          <w:sz w:val="28"/>
          <w:szCs w:val="28"/>
        </w:rPr>
        <w:sym w:font="HQPB4" w:char="F0CF"/>
      </w:r>
      <w:r>
        <w:rPr>
          <w:sz w:val="28"/>
          <w:szCs w:val="28"/>
        </w:rPr>
        <w:sym w:font="HQPB1" w:char="F0FF"/>
      </w:r>
      <w:r>
        <w:rPr>
          <w:sz w:val="28"/>
          <w:szCs w:val="28"/>
        </w:rPr>
        <w:sym w:font="HQPB2" w:char="F0BB"/>
      </w:r>
      <w:r>
        <w:rPr>
          <w:sz w:val="28"/>
          <w:szCs w:val="28"/>
        </w:rPr>
        <w:sym w:font="HQPB5" w:char="F07C"/>
      </w:r>
      <w:r>
        <w:rPr>
          <w:sz w:val="28"/>
          <w:szCs w:val="28"/>
        </w:rPr>
        <w:sym w:font="HQPB1" w:char="F0A1"/>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C"/>
      </w:r>
      <w:r>
        <w:rPr>
          <w:sz w:val="28"/>
          <w:szCs w:val="28"/>
        </w:rPr>
        <w:sym w:font="HQPB2" w:char="F093"/>
      </w:r>
      <w:r>
        <w:rPr>
          <w:sz w:val="28"/>
          <w:szCs w:val="28"/>
        </w:rPr>
        <w:sym w:font="HQPB4" w:char="F0C9"/>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35"/>
      </w:r>
      <w:r>
        <w:rPr>
          <w:sz w:val="28"/>
          <w:szCs w:val="28"/>
        </w:rPr>
        <w:sym w:font="HQPB2" w:char="F062"/>
      </w:r>
      <w:r>
        <w:rPr>
          <w:sz w:val="28"/>
          <w:szCs w:val="28"/>
        </w:rPr>
        <w:sym w:font="HQPB1" w:char="F023"/>
      </w:r>
      <w:r>
        <w:rPr>
          <w:sz w:val="28"/>
          <w:szCs w:val="28"/>
        </w:rPr>
        <w:sym w:font="HQPB5" w:char="F079"/>
      </w:r>
      <w:r>
        <w:rPr>
          <w:sz w:val="28"/>
          <w:szCs w:val="28"/>
        </w:rPr>
        <w:sym w:font="HQPB1" w:char="F089"/>
      </w:r>
      <w:r>
        <w:rPr>
          <w:sz w:val="28"/>
          <w:szCs w:val="28"/>
        </w:rPr>
        <w:sym w:font="HQPB4" w:char="F0F7"/>
      </w:r>
      <w:r>
        <w:rPr>
          <w:sz w:val="28"/>
          <w:szCs w:val="28"/>
        </w:rPr>
        <w:sym w:font="HQPB1" w:char="F07B"/>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p>
    <w:p w:rsidR="006070F6" w:rsidRDefault="006F7F29" w:rsidP="00452A14">
      <w:pPr>
        <w:spacing w:line="240" w:lineRule="auto"/>
        <w:ind w:left="630"/>
        <w:jc w:val="both"/>
        <w:rPr>
          <w:rFonts w:asciiTheme="majorBidi" w:hAnsiTheme="majorBidi" w:cstheme="majorBidi"/>
          <w:sz w:val="24"/>
          <w:szCs w:val="24"/>
        </w:rPr>
      </w:pPr>
      <w:r>
        <w:rPr>
          <w:rFonts w:asciiTheme="majorBidi" w:hAnsiTheme="majorBidi" w:cstheme="majorBidi"/>
          <w:sz w:val="24"/>
          <w:szCs w:val="24"/>
        </w:rPr>
        <w:t xml:space="preserve"> “ </w:t>
      </w:r>
      <w:r w:rsidRPr="001D0579">
        <w:rPr>
          <w:rFonts w:asciiTheme="majorBidi" w:hAnsiTheme="majorBidi" w:cstheme="majorBidi"/>
          <w:i/>
          <w:iCs/>
          <w:sz w:val="24"/>
          <w:szCs w:val="24"/>
        </w:rPr>
        <w:t>(dan Dihalalkan mangawini) wanita yang menjaga kehormatan diantara wanita-wanita yang beriman dan wanita-wanita yang menjaga kehormatan di antara orang-orang yang diberi Al kitab sebelum kamu, bila kamu telah membayar mas kawin mereka dengan maksud menikahinya, tidak dengan maksud berzina dan tidak (pula) menjadikannya gundik-gundik</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QS. </w:t>
      </w:r>
      <w:r w:rsidR="00452A14" w:rsidRPr="003A5D07">
        <w:rPr>
          <w:rFonts w:asciiTheme="majorBidi" w:hAnsiTheme="majorBidi" w:cstheme="majorBidi"/>
          <w:sz w:val="24"/>
          <w:szCs w:val="24"/>
        </w:rPr>
        <w:t>Al-M</w:t>
      </w:r>
      <w:r w:rsidR="00452A14" w:rsidRPr="00B32337">
        <w:rPr>
          <w:rFonts w:ascii="Times New Roman" w:hAnsi="Times New Roman" w:cs="Times New Roman"/>
          <w:sz w:val="24"/>
          <w:szCs w:val="24"/>
          <w:lang w:val="id-ID"/>
        </w:rPr>
        <w:t>ā</w:t>
      </w:r>
      <w:r w:rsidR="00452A14">
        <w:rPr>
          <w:rFonts w:asciiTheme="majorBidi" w:hAnsiTheme="majorBidi" w:cstheme="majorBidi"/>
        </w:rPr>
        <w:t>’</w:t>
      </w:r>
      <w:r w:rsidR="00452A14" w:rsidRPr="003A5D07">
        <w:rPr>
          <w:rFonts w:asciiTheme="majorBidi" w:hAnsiTheme="majorBidi" w:cstheme="majorBidi"/>
          <w:sz w:val="24"/>
          <w:szCs w:val="24"/>
        </w:rPr>
        <w:t>ida</w:t>
      </w:r>
      <w:r w:rsidR="00452A14">
        <w:rPr>
          <w:rFonts w:asciiTheme="majorBidi" w:hAnsiTheme="majorBidi" w:cstheme="majorBidi" w:hint="cs"/>
          <w:sz w:val="24"/>
          <w:szCs w:val="24"/>
        </w:rPr>
        <w:t>h</w:t>
      </w:r>
      <w:r w:rsidR="00452A14">
        <w:rPr>
          <w:rFonts w:asciiTheme="majorBidi" w:hAnsiTheme="majorBidi" w:cstheme="majorBidi"/>
          <w:sz w:val="24"/>
          <w:szCs w:val="24"/>
        </w:rPr>
        <w:t xml:space="preserve">/5 </w:t>
      </w:r>
      <w:r>
        <w:rPr>
          <w:rFonts w:asciiTheme="majorBidi" w:hAnsiTheme="majorBidi" w:cstheme="majorBidi"/>
          <w:sz w:val="24"/>
          <w:szCs w:val="24"/>
        </w:rPr>
        <w:t>: 5)</w:t>
      </w:r>
    </w:p>
    <w:p w:rsidR="006070F6" w:rsidRPr="00730EC8" w:rsidRDefault="006070F6" w:rsidP="009561EB">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Termasuk contoh fatwa MUI yang keluar dari nash adalah Fatwa Waris Beda Agama, dimana  </w:t>
      </w:r>
      <w:r w:rsidRPr="006C2781">
        <w:rPr>
          <w:rFonts w:asciiTheme="majorBidi" w:hAnsiTheme="majorBidi" w:cstheme="majorBidi"/>
          <w:sz w:val="24"/>
          <w:szCs w:val="24"/>
        </w:rPr>
        <w:t>nash Menyebutkan :</w:t>
      </w:r>
      <w:r w:rsidRPr="006C2781">
        <w:rPr>
          <w:rFonts w:asciiTheme="majorBidi" w:hAnsiTheme="majorBidi" w:cstheme="majorBidi"/>
          <w:i/>
          <w:iCs/>
          <w:sz w:val="24"/>
          <w:szCs w:val="24"/>
        </w:rPr>
        <w:t xml:space="preserve">“Orang Muslim tidak (boleh) mewarisi orang Kafir, dan orang Kafir tidak (boleh) mewarisi orang Muslim” </w:t>
      </w:r>
      <w:r w:rsidRPr="006C2781">
        <w:rPr>
          <w:rFonts w:asciiTheme="majorBidi" w:hAnsiTheme="majorBidi" w:cstheme="majorBidi"/>
          <w:sz w:val="24"/>
          <w:szCs w:val="24"/>
        </w:rPr>
        <w:t>(HR.</w:t>
      </w:r>
      <w:r w:rsidRPr="006C2781">
        <w:rPr>
          <w:rFonts w:asciiTheme="majorBidi" w:hAnsiTheme="majorBidi" w:cstheme="majorBidi"/>
          <w:i/>
          <w:iCs/>
          <w:sz w:val="24"/>
          <w:szCs w:val="24"/>
        </w:rPr>
        <w:t xml:space="preserve"> </w:t>
      </w:r>
      <w:r w:rsidR="009561EB">
        <w:rPr>
          <w:rFonts w:asciiTheme="majorBidi" w:hAnsiTheme="majorBidi" w:cstheme="majorBidi"/>
          <w:sz w:val="24"/>
          <w:szCs w:val="24"/>
        </w:rPr>
        <w:t xml:space="preserve">Bukhari dan </w:t>
      </w:r>
      <w:r w:rsidR="007C5345">
        <w:rPr>
          <w:rFonts w:asciiTheme="majorBidi" w:hAnsiTheme="majorBidi" w:cstheme="majorBidi"/>
          <w:sz w:val="24"/>
          <w:szCs w:val="24"/>
        </w:rPr>
        <w:t>Muslim</w:t>
      </w:r>
      <w:r w:rsidRPr="006C2781">
        <w:rPr>
          <w:rFonts w:asciiTheme="majorBidi" w:hAnsiTheme="majorBidi" w:cstheme="majorBidi"/>
          <w:sz w:val="24"/>
          <w:szCs w:val="24"/>
        </w:rPr>
        <w:t xml:space="preserve">). </w:t>
      </w:r>
      <w:r>
        <w:rPr>
          <w:rFonts w:asciiTheme="majorBidi" w:hAnsiTheme="majorBidi" w:cstheme="majorBidi"/>
          <w:sz w:val="24"/>
          <w:szCs w:val="24"/>
        </w:rPr>
        <w:t xml:space="preserve">Sementara </w:t>
      </w:r>
      <w:r w:rsidRPr="002D0F8F">
        <w:rPr>
          <w:rFonts w:asciiTheme="majorBidi" w:hAnsiTheme="majorBidi" w:cstheme="majorBidi"/>
          <w:sz w:val="24"/>
          <w:szCs w:val="24"/>
        </w:rPr>
        <w:t>Majelis Ulama Indonesia (MUI), dalam Musyawarah Nasional MUI VII,  pada 19-22 Jumadil Akhir 1426 H/ 26-29 Juli 2005 M,  menetapkan fatwa</w:t>
      </w:r>
      <w:r>
        <w:rPr>
          <w:rFonts w:asciiTheme="majorBidi" w:hAnsiTheme="majorBidi" w:cstheme="majorBidi"/>
          <w:sz w:val="24"/>
          <w:szCs w:val="24"/>
        </w:rPr>
        <w:t xml:space="preserve"> nomor: 5/MUNAS VII/ MUI / 9/ 2005</w:t>
      </w:r>
      <w:r w:rsidRPr="002D0F8F">
        <w:rPr>
          <w:rFonts w:asciiTheme="majorBidi" w:hAnsiTheme="majorBidi" w:cstheme="majorBidi"/>
          <w:sz w:val="24"/>
          <w:szCs w:val="24"/>
        </w:rPr>
        <w:t xml:space="preserve"> tentang Waris Beda Agama sebagai berikut; 1. Hukum waris Islam tidak memberikan hak saling mewarisi antar orang-orang yang berbeda agama (antara muslim dengan n</w:t>
      </w:r>
      <w:r>
        <w:rPr>
          <w:rFonts w:asciiTheme="majorBidi" w:hAnsiTheme="majorBidi" w:cstheme="majorBidi"/>
          <w:sz w:val="24"/>
          <w:szCs w:val="24"/>
        </w:rPr>
        <w:t xml:space="preserve">on muslim); </w:t>
      </w:r>
      <w:r w:rsidRPr="002D0F8F">
        <w:rPr>
          <w:rFonts w:asciiTheme="majorBidi" w:hAnsiTheme="majorBidi" w:cstheme="majorBidi"/>
          <w:sz w:val="24"/>
          <w:szCs w:val="24"/>
        </w:rPr>
        <w:t>2. Pemberian harta antar orang yang berbeda agama hanya dapat dilakukan dalam bentuk hibah, wasiat dan hadiah.</w:t>
      </w:r>
      <w:r w:rsidRPr="002D0F8F">
        <w:rPr>
          <w:rStyle w:val="FootnoteReference"/>
          <w:rFonts w:asciiTheme="majorBidi" w:hAnsiTheme="majorBidi" w:cstheme="majorBidi"/>
          <w:sz w:val="24"/>
          <w:szCs w:val="24"/>
        </w:rPr>
        <w:footnoteReference w:id="54"/>
      </w:r>
    </w:p>
    <w:p w:rsidR="006F7F29" w:rsidRPr="0002177B" w:rsidRDefault="006F7F29" w:rsidP="009561EB">
      <w:pPr>
        <w:spacing w:after="0" w:line="360" w:lineRule="auto"/>
        <w:ind w:firstLine="630"/>
        <w:jc w:val="both"/>
        <w:rPr>
          <w:rFonts w:asciiTheme="majorBidi" w:hAnsiTheme="majorBidi" w:cstheme="majorBidi"/>
          <w:sz w:val="24"/>
          <w:szCs w:val="24"/>
        </w:rPr>
      </w:pPr>
      <w:r w:rsidRPr="003A5D07">
        <w:rPr>
          <w:rFonts w:asciiTheme="majorBidi" w:hAnsiTheme="majorBidi" w:cstheme="majorBidi"/>
          <w:i/>
          <w:iCs/>
          <w:sz w:val="24"/>
          <w:szCs w:val="24"/>
        </w:rPr>
        <w:t>Kedua</w:t>
      </w:r>
      <w:r>
        <w:rPr>
          <w:rFonts w:asciiTheme="majorBidi" w:hAnsiTheme="majorBidi" w:cstheme="majorBidi"/>
          <w:sz w:val="24"/>
          <w:szCs w:val="24"/>
        </w:rPr>
        <w:t xml:space="preserve">, </w:t>
      </w:r>
      <w:r w:rsidRPr="0002177B">
        <w:rPr>
          <w:rFonts w:asciiTheme="majorBidi" w:hAnsiTheme="majorBidi" w:cstheme="majorBidi"/>
          <w:sz w:val="24"/>
          <w:szCs w:val="24"/>
        </w:rPr>
        <w:t xml:space="preserve">Putusan fatwa yang </w:t>
      </w:r>
      <w:r>
        <w:rPr>
          <w:rFonts w:asciiTheme="majorBidi" w:hAnsiTheme="majorBidi" w:cstheme="majorBidi"/>
          <w:sz w:val="24"/>
          <w:szCs w:val="24"/>
        </w:rPr>
        <w:t xml:space="preserve">dianggap </w:t>
      </w:r>
      <w:r w:rsidRPr="0002177B">
        <w:rPr>
          <w:rFonts w:asciiTheme="majorBidi" w:hAnsiTheme="majorBidi" w:cstheme="majorBidi"/>
          <w:sz w:val="24"/>
          <w:szCs w:val="24"/>
        </w:rPr>
        <w:t>mengambang dan kurang tegas</w:t>
      </w:r>
      <w:r w:rsidR="00067825">
        <w:rPr>
          <w:rFonts w:asciiTheme="majorBidi" w:hAnsiTheme="majorBidi" w:cstheme="majorBidi"/>
          <w:sz w:val="24"/>
          <w:szCs w:val="24"/>
        </w:rPr>
        <w:t xml:space="preserve"> sehingga menimbulkan dualisme hukum</w:t>
      </w:r>
      <w:r w:rsidR="00067825" w:rsidRPr="0002177B">
        <w:rPr>
          <w:rFonts w:asciiTheme="majorBidi" w:hAnsiTheme="majorBidi" w:cstheme="majorBidi"/>
          <w:sz w:val="24"/>
          <w:szCs w:val="24"/>
        </w:rPr>
        <w:t>.</w:t>
      </w:r>
      <w:r w:rsidR="00067825">
        <w:rPr>
          <w:rFonts w:asciiTheme="majorBidi" w:hAnsiTheme="majorBidi" w:cstheme="majorBidi"/>
          <w:sz w:val="24"/>
          <w:szCs w:val="24"/>
        </w:rPr>
        <w:t xml:space="preserve"> </w:t>
      </w:r>
      <w:r w:rsidRPr="0002177B">
        <w:rPr>
          <w:rFonts w:asciiTheme="majorBidi" w:hAnsiTheme="majorBidi" w:cstheme="majorBidi"/>
          <w:sz w:val="24"/>
          <w:szCs w:val="24"/>
        </w:rPr>
        <w:t>Seperti: Fatwa Nikah di</w:t>
      </w:r>
      <w:r w:rsidR="00067825">
        <w:rPr>
          <w:rFonts w:asciiTheme="majorBidi" w:hAnsiTheme="majorBidi" w:cstheme="majorBidi"/>
          <w:sz w:val="24"/>
          <w:szCs w:val="24"/>
        </w:rPr>
        <w:t xml:space="preserve"> </w:t>
      </w:r>
      <w:r w:rsidRPr="0002177B">
        <w:rPr>
          <w:rFonts w:asciiTheme="majorBidi" w:hAnsiTheme="majorBidi" w:cstheme="majorBidi"/>
          <w:sz w:val="24"/>
          <w:szCs w:val="24"/>
        </w:rPr>
        <w:t>bawah Tangan.</w:t>
      </w:r>
      <w:r>
        <w:rPr>
          <w:rFonts w:asciiTheme="majorBidi" w:hAnsiTheme="majorBidi" w:cstheme="majorBidi"/>
          <w:sz w:val="24"/>
          <w:szCs w:val="24"/>
        </w:rPr>
        <w:t xml:space="preserve"> </w:t>
      </w:r>
      <w:r w:rsidRPr="0002177B">
        <w:rPr>
          <w:rFonts w:asciiTheme="majorBidi" w:hAnsiTheme="majorBidi" w:cstheme="majorBidi"/>
          <w:sz w:val="24"/>
          <w:szCs w:val="24"/>
        </w:rPr>
        <w:t>Fatwa menyebutkan:</w:t>
      </w:r>
      <w:r>
        <w:rPr>
          <w:rFonts w:asciiTheme="majorBidi" w:hAnsiTheme="majorBidi" w:cstheme="majorBidi"/>
          <w:sz w:val="24"/>
          <w:szCs w:val="24"/>
        </w:rPr>
        <w:t xml:space="preserve"> </w:t>
      </w:r>
      <w:r w:rsidRPr="0002177B">
        <w:rPr>
          <w:rFonts w:asciiTheme="majorBidi" w:hAnsiTheme="majorBidi" w:cstheme="majorBidi"/>
          <w:sz w:val="24"/>
          <w:szCs w:val="24"/>
        </w:rPr>
        <w:t>a</w:t>
      </w:r>
      <w:r>
        <w:rPr>
          <w:rFonts w:asciiTheme="majorBidi" w:hAnsiTheme="majorBidi" w:cstheme="majorBidi"/>
          <w:sz w:val="24"/>
          <w:szCs w:val="24"/>
        </w:rPr>
        <w:t>.</w:t>
      </w:r>
      <w:r w:rsidRPr="0002177B">
        <w:rPr>
          <w:rFonts w:asciiTheme="majorBidi" w:hAnsiTheme="majorBidi" w:cstheme="majorBidi"/>
          <w:sz w:val="24"/>
          <w:szCs w:val="24"/>
        </w:rPr>
        <w:t>“Pernikahan dibawah tangan hukum</w:t>
      </w:r>
      <w:r w:rsidR="009561EB">
        <w:rPr>
          <w:rFonts w:asciiTheme="majorBidi" w:hAnsiTheme="majorBidi" w:cstheme="majorBidi"/>
          <w:sz w:val="24"/>
          <w:szCs w:val="24"/>
        </w:rPr>
        <w:t xml:space="preserve">nya sah, karena telah terpenuhi </w:t>
      </w:r>
      <w:r w:rsidRPr="0002177B">
        <w:rPr>
          <w:rFonts w:asciiTheme="majorBidi" w:hAnsiTheme="majorBidi" w:cstheme="majorBidi"/>
          <w:sz w:val="24"/>
          <w:szCs w:val="24"/>
        </w:rPr>
        <w:t>syarat dan rukun nikah, tetapi haram jika terdapat mudhorat.</w:t>
      </w:r>
      <w:r w:rsidR="00067825">
        <w:rPr>
          <w:rFonts w:asciiTheme="majorBidi" w:hAnsiTheme="majorBidi" w:cstheme="majorBidi"/>
          <w:sz w:val="24"/>
          <w:szCs w:val="24"/>
        </w:rPr>
        <w:t xml:space="preserve"> b.</w:t>
      </w:r>
      <w:r w:rsidRPr="0002177B">
        <w:rPr>
          <w:rFonts w:asciiTheme="majorBidi" w:hAnsiTheme="majorBidi" w:cstheme="majorBidi"/>
          <w:sz w:val="24"/>
          <w:szCs w:val="24"/>
        </w:rPr>
        <w:t xml:space="preserve">Pernikahan mesti dicatat secara resmi pada instansi berwenang sebagai langkah </w:t>
      </w:r>
      <w:r w:rsidRPr="0002177B">
        <w:rPr>
          <w:rFonts w:asciiTheme="majorBidi" w:hAnsiTheme="majorBidi" w:cstheme="majorBidi"/>
          <w:sz w:val="24"/>
          <w:szCs w:val="24"/>
        </w:rPr>
        <w:lastRenderedPageBreak/>
        <w:t xml:space="preserve">preventif untuk menolak dampak </w:t>
      </w:r>
      <w:r>
        <w:rPr>
          <w:rFonts w:asciiTheme="majorBidi" w:hAnsiTheme="majorBidi" w:cstheme="majorBidi"/>
          <w:sz w:val="24"/>
          <w:szCs w:val="24"/>
        </w:rPr>
        <w:t>negatif.</w:t>
      </w:r>
      <w:r>
        <w:rPr>
          <w:rStyle w:val="FootnoteReference"/>
          <w:rFonts w:asciiTheme="majorBidi" w:hAnsiTheme="majorBidi" w:cstheme="majorBidi"/>
          <w:sz w:val="24"/>
          <w:szCs w:val="24"/>
        </w:rPr>
        <w:footnoteReference w:id="55"/>
      </w:r>
      <w:r w:rsidRPr="0002177B">
        <w:rPr>
          <w:rFonts w:asciiTheme="majorBidi" w:hAnsiTheme="majorBidi" w:cstheme="majorBidi"/>
          <w:sz w:val="24"/>
          <w:szCs w:val="24"/>
        </w:rPr>
        <w:t xml:space="preserve"> </w:t>
      </w:r>
      <w:r>
        <w:rPr>
          <w:rFonts w:asciiTheme="majorBidi" w:hAnsiTheme="majorBidi" w:cstheme="majorBidi"/>
          <w:sz w:val="24"/>
          <w:szCs w:val="24"/>
        </w:rPr>
        <w:t xml:space="preserve">Fatwa ini </w:t>
      </w:r>
      <w:r w:rsidR="00067825">
        <w:rPr>
          <w:rFonts w:asciiTheme="majorBidi" w:hAnsiTheme="majorBidi" w:cstheme="majorBidi"/>
          <w:sz w:val="24"/>
          <w:szCs w:val="24"/>
        </w:rPr>
        <w:t xml:space="preserve">pada poin pertama </w:t>
      </w:r>
      <w:r>
        <w:rPr>
          <w:rFonts w:asciiTheme="majorBidi" w:hAnsiTheme="majorBidi" w:cstheme="majorBidi"/>
          <w:sz w:val="24"/>
          <w:szCs w:val="24"/>
        </w:rPr>
        <w:t>dianggap kurang tegas karena masih mengakomodir pernikahan yang dilakukan dibawah tangan.</w:t>
      </w:r>
    </w:p>
    <w:p w:rsidR="006F7F29" w:rsidRDefault="006F7F29" w:rsidP="009561EB">
      <w:pPr>
        <w:spacing w:after="0" w:line="360" w:lineRule="auto"/>
        <w:ind w:firstLine="720"/>
        <w:jc w:val="both"/>
        <w:rPr>
          <w:rFonts w:asciiTheme="majorBidi" w:hAnsiTheme="majorBidi" w:cstheme="majorBidi"/>
          <w:sz w:val="24"/>
          <w:szCs w:val="24"/>
        </w:rPr>
      </w:pPr>
      <w:r w:rsidRPr="003A5D07">
        <w:rPr>
          <w:rFonts w:asciiTheme="majorBidi" w:hAnsiTheme="majorBidi" w:cstheme="majorBidi"/>
          <w:i/>
          <w:iCs/>
          <w:sz w:val="24"/>
          <w:szCs w:val="24"/>
        </w:rPr>
        <w:t>Ketiga,</w:t>
      </w:r>
      <w:r>
        <w:rPr>
          <w:rFonts w:asciiTheme="majorBidi" w:hAnsiTheme="majorBidi" w:cstheme="majorBidi"/>
          <w:sz w:val="24"/>
          <w:szCs w:val="24"/>
        </w:rPr>
        <w:t xml:space="preserve"> </w:t>
      </w:r>
      <w:r w:rsidRPr="0002177B">
        <w:rPr>
          <w:rFonts w:asciiTheme="majorBidi" w:hAnsiTheme="majorBidi" w:cstheme="majorBidi"/>
          <w:sz w:val="24"/>
          <w:szCs w:val="24"/>
        </w:rPr>
        <w:t xml:space="preserve">Adanya </w:t>
      </w:r>
      <w:r w:rsidR="00A22927">
        <w:rPr>
          <w:rFonts w:asciiTheme="majorBidi" w:hAnsiTheme="majorBidi" w:cstheme="majorBidi"/>
          <w:sz w:val="24"/>
          <w:szCs w:val="24"/>
        </w:rPr>
        <w:t>putusan fatwa yang kontro</w:t>
      </w:r>
      <w:r>
        <w:rPr>
          <w:rFonts w:asciiTheme="majorBidi" w:hAnsiTheme="majorBidi" w:cstheme="majorBidi"/>
          <w:sz w:val="24"/>
          <w:szCs w:val="24"/>
        </w:rPr>
        <w:t xml:space="preserve">versi </w:t>
      </w:r>
      <w:r w:rsidRPr="0002177B">
        <w:rPr>
          <w:rFonts w:asciiTheme="majorBidi" w:hAnsiTheme="majorBidi" w:cstheme="majorBidi"/>
          <w:sz w:val="24"/>
          <w:szCs w:val="24"/>
        </w:rPr>
        <w:t>dengan aturan</w:t>
      </w:r>
      <w:r w:rsidR="00582158">
        <w:rPr>
          <w:rFonts w:asciiTheme="majorBidi" w:hAnsiTheme="majorBidi" w:cstheme="majorBidi"/>
          <w:sz w:val="24"/>
          <w:szCs w:val="24"/>
        </w:rPr>
        <w:t xml:space="preserve"> dan undang-undang</w:t>
      </w:r>
      <w:r w:rsidRPr="0002177B">
        <w:rPr>
          <w:rFonts w:asciiTheme="majorBidi" w:hAnsiTheme="majorBidi" w:cstheme="majorBidi"/>
          <w:sz w:val="24"/>
          <w:szCs w:val="24"/>
        </w:rPr>
        <w:t xml:space="preserve"> yang ada.</w:t>
      </w:r>
      <w:r>
        <w:rPr>
          <w:rFonts w:asciiTheme="majorBidi" w:hAnsiTheme="majorBidi" w:cstheme="majorBidi"/>
          <w:sz w:val="24"/>
          <w:szCs w:val="24"/>
        </w:rPr>
        <w:t xml:space="preserve"> </w:t>
      </w:r>
      <w:r w:rsidRPr="0002177B">
        <w:rPr>
          <w:rFonts w:asciiTheme="majorBidi" w:hAnsiTheme="majorBidi" w:cstheme="majorBidi"/>
          <w:sz w:val="24"/>
          <w:szCs w:val="24"/>
        </w:rPr>
        <w:t>Seperti: Fatwa talak diluar pengadilan.</w:t>
      </w:r>
      <w:r>
        <w:rPr>
          <w:rFonts w:asciiTheme="majorBidi" w:hAnsiTheme="majorBidi" w:cstheme="majorBidi"/>
          <w:sz w:val="24"/>
          <w:szCs w:val="24"/>
        </w:rPr>
        <w:t xml:space="preserve"> </w:t>
      </w:r>
      <w:r w:rsidRPr="0002177B">
        <w:rPr>
          <w:rFonts w:asciiTheme="majorBidi" w:hAnsiTheme="majorBidi" w:cstheme="majorBidi"/>
          <w:sz w:val="24"/>
          <w:szCs w:val="24"/>
        </w:rPr>
        <w:t>Putusan</w:t>
      </w:r>
      <w:r>
        <w:rPr>
          <w:rFonts w:asciiTheme="majorBidi" w:hAnsiTheme="majorBidi" w:cstheme="majorBidi"/>
          <w:sz w:val="24"/>
          <w:szCs w:val="24"/>
        </w:rPr>
        <w:t xml:space="preserve"> fatwa menyebutkan: a</w:t>
      </w:r>
      <w:r w:rsidRPr="0002177B">
        <w:rPr>
          <w:rFonts w:asciiTheme="majorBidi" w:hAnsiTheme="majorBidi" w:cstheme="majorBidi"/>
          <w:sz w:val="24"/>
          <w:szCs w:val="24"/>
        </w:rPr>
        <w:t xml:space="preserve">. </w:t>
      </w:r>
      <w:r>
        <w:rPr>
          <w:rFonts w:asciiTheme="majorBidi" w:hAnsiTheme="majorBidi" w:cstheme="majorBidi"/>
          <w:sz w:val="24"/>
          <w:szCs w:val="24"/>
        </w:rPr>
        <w:t xml:space="preserve">Talak di luar pengadilan hukumnya </w:t>
      </w:r>
      <w:r w:rsidRPr="0002177B">
        <w:rPr>
          <w:rFonts w:asciiTheme="majorBidi" w:hAnsiTheme="majorBidi" w:cstheme="majorBidi"/>
          <w:sz w:val="24"/>
          <w:szCs w:val="24"/>
        </w:rPr>
        <w:t>s</w:t>
      </w:r>
      <w:r>
        <w:rPr>
          <w:rFonts w:asciiTheme="majorBidi" w:hAnsiTheme="majorBidi" w:cstheme="majorBidi"/>
          <w:sz w:val="24"/>
          <w:szCs w:val="24"/>
        </w:rPr>
        <w:t>ah bila ada</w:t>
      </w:r>
      <w:r w:rsidRPr="0002177B">
        <w:rPr>
          <w:rFonts w:asciiTheme="majorBidi" w:hAnsiTheme="majorBidi" w:cstheme="majorBidi"/>
          <w:sz w:val="24"/>
          <w:szCs w:val="24"/>
        </w:rPr>
        <w:t xml:space="preserve"> alasan </w:t>
      </w:r>
      <w:r w:rsidR="00AF1405" w:rsidRPr="0002177B">
        <w:rPr>
          <w:rFonts w:asciiTheme="majorBidi" w:hAnsiTheme="majorBidi" w:cstheme="majorBidi"/>
          <w:sz w:val="24"/>
          <w:szCs w:val="24"/>
        </w:rPr>
        <w:t>syar</w:t>
      </w:r>
      <w:r w:rsidR="00AF1405">
        <w:t>‘</w:t>
      </w:r>
      <w:r w:rsidR="00AF1405">
        <w:rPr>
          <w:rFonts w:asciiTheme="majorBidi" w:hAnsiTheme="majorBidi" w:cstheme="majorBidi"/>
          <w:sz w:val="24"/>
          <w:szCs w:val="24"/>
        </w:rPr>
        <w:t>i</w:t>
      </w:r>
      <w:r>
        <w:rPr>
          <w:rFonts w:asciiTheme="majorBidi" w:hAnsiTheme="majorBidi" w:cstheme="majorBidi"/>
          <w:sz w:val="24"/>
          <w:szCs w:val="24"/>
        </w:rPr>
        <w:t xml:space="preserve"> yang kebenarannya dapat dibuktikan di pengadilan.  b</w:t>
      </w:r>
      <w:r w:rsidRPr="0002177B">
        <w:rPr>
          <w:rFonts w:asciiTheme="majorBidi" w:hAnsiTheme="majorBidi" w:cstheme="majorBidi"/>
          <w:sz w:val="24"/>
          <w:szCs w:val="24"/>
        </w:rPr>
        <w:t>. Iddah</w:t>
      </w:r>
      <w:r>
        <w:rPr>
          <w:rFonts w:asciiTheme="majorBidi" w:hAnsiTheme="majorBidi" w:cstheme="majorBidi"/>
          <w:sz w:val="24"/>
          <w:szCs w:val="24"/>
        </w:rPr>
        <w:t xml:space="preserve"> talak dihitung semenjak suami menjatuhkan talak, c</w:t>
      </w:r>
      <w:r w:rsidRPr="0002177B">
        <w:rPr>
          <w:rFonts w:asciiTheme="majorBidi" w:hAnsiTheme="majorBidi" w:cstheme="majorBidi"/>
          <w:sz w:val="24"/>
          <w:szCs w:val="24"/>
        </w:rPr>
        <w:t xml:space="preserve">. </w:t>
      </w:r>
      <w:r>
        <w:rPr>
          <w:rFonts w:asciiTheme="majorBidi" w:hAnsiTheme="majorBidi" w:cstheme="majorBidi"/>
          <w:sz w:val="24"/>
          <w:szCs w:val="24"/>
        </w:rPr>
        <w:t>Untuk kepentingan kemaslahatan dan menjamin k</w:t>
      </w:r>
      <w:r w:rsidR="004436A4">
        <w:rPr>
          <w:rFonts w:asciiTheme="majorBidi" w:hAnsiTheme="majorBidi" w:cstheme="majorBidi"/>
          <w:sz w:val="24"/>
          <w:szCs w:val="24"/>
        </w:rPr>
        <w:t>epastian hukum, talak di</w:t>
      </w:r>
      <w:r>
        <w:rPr>
          <w:rFonts w:asciiTheme="majorBidi" w:hAnsiTheme="majorBidi" w:cstheme="majorBidi"/>
          <w:sz w:val="24"/>
          <w:szCs w:val="24"/>
        </w:rPr>
        <w:t xml:space="preserve">luar pengadilan harus di laporkan </w:t>
      </w:r>
      <w:r w:rsidR="007C5345">
        <w:rPr>
          <w:rFonts w:asciiTheme="majorBidi" w:hAnsiTheme="majorBidi" w:cstheme="majorBidi"/>
          <w:sz w:val="24"/>
          <w:szCs w:val="24"/>
        </w:rPr>
        <w:t>(</w:t>
      </w:r>
      <w:r w:rsidR="009561EB" w:rsidRPr="00BC48CE">
        <w:rPr>
          <w:rFonts w:asciiTheme="majorBidi" w:hAnsiTheme="majorBidi" w:cstheme="majorBidi"/>
          <w:i/>
          <w:iCs/>
          <w:sz w:val="24"/>
          <w:szCs w:val="24"/>
        </w:rPr>
        <w:t>i</w:t>
      </w:r>
      <w:r w:rsidR="007C5345" w:rsidRPr="00BC48CE">
        <w:rPr>
          <w:rFonts w:asciiTheme="majorBidi" w:hAnsiTheme="majorBidi" w:cstheme="majorBidi"/>
          <w:i/>
          <w:iCs/>
          <w:sz w:val="24"/>
          <w:szCs w:val="24"/>
        </w:rPr>
        <w:t>khb</w:t>
      </w:r>
      <w:r w:rsidR="007C5345" w:rsidRPr="00CE0B95">
        <w:rPr>
          <w:rFonts w:ascii="Times New Roman" w:hAnsi="Times New Roman" w:cs="Times New Roman"/>
          <w:i/>
          <w:iCs/>
          <w:sz w:val="24"/>
          <w:szCs w:val="24"/>
          <w:lang w:val="id-ID"/>
        </w:rPr>
        <w:t>ā</w:t>
      </w:r>
      <w:r w:rsidR="007C5345" w:rsidRPr="00BC48CE">
        <w:rPr>
          <w:rFonts w:asciiTheme="majorBidi" w:hAnsiTheme="majorBidi" w:cstheme="majorBidi"/>
          <w:i/>
          <w:iCs/>
          <w:sz w:val="24"/>
          <w:szCs w:val="24"/>
        </w:rPr>
        <w:t>r</w:t>
      </w:r>
      <w:r w:rsidR="007C5345">
        <w:rPr>
          <w:rFonts w:asciiTheme="majorBidi" w:hAnsiTheme="majorBidi" w:cstheme="majorBidi"/>
          <w:sz w:val="24"/>
          <w:szCs w:val="24"/>
        </w:rPr>
        <w:t xml:space="preserve">) </w:t>
      </w:r>
      <w:r>
        <w:rPr>
          <w:rFonts w:asciiTheme="majorBidi" w:hAnsiTheme="majorBidi" w:cstheme="majorBidi"/>
          <w:sz w:val="24"/>
          <w:szCs w:val="24"/>
        </w:rPr>
        <w:t>kepada pengadilan Agama.</w:t>
      </w:r>
      <w:r>
        <w:rPr>
          <w:rStyle w:val="FootnoteReference"/>
          <w:rFonts w:asciiTheme="majorBidi" w:hAnsiTheme="majorBidi" w:cstheme="majorBidi"/>
          <w:sz w:val="24"/>
          <w:szCs w:val="24"/>
        </w:rPr>
        <w:footnoteReference w:id="56"/>
      </w:r>
      <w:r>
        <w:rPr>
          <w:rFonts w:asciiTheme="majorBidi" w:hAnsiTheme="majorBidi" w:cstheme="majorBidi"/>
          <w:sz w:val="24"/>
          <w:szCs w:val="24"/>
        </w:rPr>
        <w:t xml:space="preserve"> </w:t>
      </w:r>
    </w:p>
    <w:p w:rsidR="006F7F29" w:rsidRDefault="006F7F29" w:rsidP="004436A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Putusan fatwa ini jelas tidak sejalan dengan pasal 39 Undang</w:t>
      </w:r>
      <w:r w:rsidR="004436A4">
        <w:rPr>
          <w:rFonts w:asciiTheme="majorBidi" w:hAnsiTheme="majorBidi" w:cstheme="majorBidi"/>
          <w:sz w:val="24"/>
          <w:szCs w:val="24"/>
        </w:rPr>
        <w:t xml:space="preserve">-undang No 1 Tahun 1974, </w:t>
      </w:r>
      <w:r>
        <w:rPr>
          <w:rFonts w:asciiTheme="majorBidi" w:hAnsiTheme="majorBidi" w:cstheme="majorBidi"/>
          <w:sz w:val="24"/>
          <w:szCs w:val="24"/>
        </w:rPr>
        <w:t xml:space="preserve">disana disebutkan bahwa “ </w:t>
      </w:r>
      <w:r w:rsidRPr="00775B63">
        <w:rPr>
          <w:rFonts w:asciiTheme="majorBidi" w:hAnsiTheme="majorBidi" w:cstheme="majorBidi"/>
          <w:sz w:val="24"/>
          <w:szCs w:val="24"/>
        </w:rPr>
        <w:t>Perceraian hanya dapat dilakukan di depan Sidang Pengadilan setelah Pengadilan yang bersangkutan berusaha dan tidak berhasil mendamaikan kedua belah pihak</w:t>
      </w:r>
      <w:r>
        <w:rPr>
          <w:rFonts w:asciiTheme="majorBidi" w:hAnsiTheme="majorBidi" w:cstheme="majorBidi"/>
          <w:sz w:val="24"/>
          <w:szCs w:val="24"/>
        </w:rPr>
        <w:t>”.</w:t>
      </w:r>
      <w:r>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w:t>
      </w:r>
    </w:p>
    <w:p w:rsidR="005A4810" w:rsidRPr="001B6BA0" w:rsidRDefault="005B5E88" w:rsidP="009561EB">
      <w:pPr>
        <w:pStyle w:val="ListParagraph"/>
        <w:spacing w:after="0" w:line="360" w:lineRule="auto"/>
        <w:ind w:left="0" w:firstLine="720"/>
        <w:jc w:val="both"/>
        <w:rPr>
          <w:rFonts w:asciiTheme="majorBidi" w:hAnsiTheme="majorBidi" w:cstheme="majorBidi"/>
          <w:i/>
          <w:iCs/>
        </w:rPr>
      </w:pPr>
      <w:r w:rsidRPr="0002177B">
        <w:rPr>
          <w:rFonts w:asciiTheme="majorBidi" w:hAnsiTheme="majorBidi" w:cstheme="majorBidi"/>
          <w:sz w:val="24"/>
          <w:szCs w:val="24"/>
        </w:rPr>
        <w:t xml:space="preserve">Dari sini, penulis ingin mengkaji sejauh mana </w:t>
      </w:r>
      <w:r w:rsidR="009561EB">
        <w:rPr>
          <w:rFonts w:asciiTheme="majorBidi" w:hAnsiTheme="majorBidi" w:cstheme="majorBidi"/>
          <w:i/>
          <w:iCs/>
          <w:sz w:val="24"/>
          <w:szCs w:val="24"/>
        </w:rPr>
        <w:t xml:space="preserve">siyāsah </w:t>
      </w:r>
      <w:r w:rsidR="004E6D90" w:rsidRPr="004E6D90">
        <w:rPr>
          <w:rFonts w:asciiTheme="majorBidi" w:hAnsiTheme="majorBidi" w:cstheme="majorBidi"/>
          <w:i/>
          <w:iCs/>
          <w:sz w:val="24"/>
          <w:szCs w:val="24"/>
        </w:rPr>
        <w:t xml:space="preserve"> </w:t>
      </w:r>
      <w:r w:rsidR="00CC1D08">
        <w:rPr>
          <w:rFonts w:asciiTheme="majorBidi" w:hAnsiTheme="majorBidi" w:cstheme="majorBidi"/>
          <w:i/>
          <w:iCs/>
          <w:sz w:val="24"/>
          <w:szCs w:val="24"/>
        </w:rPr>
        <w:t>syar‘iyah</w:t>
      </w:r>
      <w:r w:rsidR="004E6D90">
        <w:rPr>
          <w:rFonts w:asciiTheme="majorBidi" w:hAnsiTheme="majorBidi" w:cstheme="majorBidi"/>
          <w:sz w:val="24"/>
          <w:szCs w:val="24"/>
        </w:rPr>
        <w:t xml:space="preserve"> </w:t>
      </w:r>
      <w:r w:rsidR="004E6D90" w:rsidRPr="004E6D90">
        <w:rPr>
          <w:rFonts w:asciiTheme="majorBidi" w:hAnsiTheme="majorBidi" w:cstheme="majorBidi"/>
          <w:sz w:val="24"/>
          <w:szCs w:val="24"/>
        </w:rPr>
        <w:t xml:space="preserve">yang di dalamnya berupa </w:t>
      </w:r>
      <w:r w:rsidR="001B6BA0" w:rsidRPr="001B6BA0">
        <w:rPr>
          <w:rFonts w:asciiTheme="majorBidi" w:hAnsiTheme="majorBidi" w:cstheme="majorBidi"/>
          <w:i/>
          <w:iCs/>
          <w:sz w:val="24"/>
          <w:szCs w:val="24"/>
        </w:rPr>
        <w:t>maqāṣid al-sharī</w:t>
      </w:r>
      <w:r w:rsidR="001B6BA0" w:rsidRPr="001B6BA0">
        <w:rPr>
          <w:sz w:val="24"/>
          <w:szCs w:val="24"/>
        </w:rPr>
        <w:t>‘</w:t>
      </w:r>
      <w:r w:rsidR="001B6BA0" w:rsidRPr="001B6BA0">
        <w:rPr>
          <w:rFonts w:asciiTheme="majorBidi" w:hAnsiTheme="majorBidi" w:cstheme="majorBidi"/>
          <w:i/>
          <w:iCs/>
          <w:sz w:val="24"/>
          <w:szCs w:val="24"/>
        </w:rPr>
        <w:t>ah</w:t>
      </w:r>
      <w:r w:rsidR="001B6BA0">
        <w:rPr>
          <w:rFonts w:asciiTheme="majorBidi" w:hAnsiTheme="majorBidi" w:cstheme="majorBidi"/>
          <w:i/>
          <w:iCs/>
          <w:sz w:val="24"/>
          <w:szCs w:val="24"/>
        </w:rPr>
        <w:t xml:space="preserve"> </w:t>
      </w:r>
      <w:r w:rsidR="00EC0AB3">
        <w:rPr>
          <w:rFonts w:asciiTheme="majorBidi" w:hAnsiTheme="majorBidi" w:cstheme="majorBidi"/>
          <w:sz w:val="24"/>
          <w:szCs w:val="24"/>
        </w:rPr>
        <w:t>dibuat sebagai ac</w:t>
      </w:r>
      <w:r>
        <w:rPr>
          <w:rFonts w:asciiTheme="majorBidi" w:hAnsiTheme="majorBidi" w:cstheme="majorBidi"/>
          <w:sz w:val="24"/>
          <w:szCs w:val="24"/>
        </w:rPr>
        <w:t>uan dalam fatwa MUI.</w:t>
      </w:r>
      <w:r w:rsidRPr="0002177B">
        <w:rPr>
          <w:rFonts w:asciiTheme="majorBidi" w:hAnsiTheme="majorBidi" w:cstheme="majorBidi"/>
          <w:sz w:val="24"/>
          <w:szCs w:val="24"/>
        </w:rPr>
        <w:t xml:space="preserve"> Apakah produk fatwa MUI tentang hukum keluarga tersebut sudah mencerminkan kemaslahatan hamba dunia</w:t>
      </w:r>
      <w:r w:rsidR="0073021C">
        <w:rPr>
          <w:rFonts w:asciiTheme="majorBidi" w:hAnsiTheme="majorBidi" w:cstheme="majorBidi"/>
          <w:sz w:val="24"/>
          <w:szCs w:val="24"/>
        </w:rPr>
        <w:t xml:space="preserve"> dan</w:t>
      </w:r>
      <w:r w:rsidRPr="0002177B">
        <w:rPr>
          <w:rFonts w:asciiTheme="majorBidi" w:hAnsiTheme="majorBidi" w:cstheme="majorBidi"/>
          <w:sz w:val="24"/>
          <w:szCs w:val="24"/>
        </w:rPr>
        <w:t xml:space="preserve"> akhi</w:t>
      </w:r>
      <w:r>
        <w:rPr>
          <w:rFonts w:asciiTheme="majorBidi" w:hAnsiTheme="majorBidi" w:cstheme="majorBidi"/>
          <w:sz w:val="24"/>
          <w:szCs w:val="24"/>
        </w:rPr>
        <w:t>ra</w:t>
      </w:r>
      <w:r w:rsidR="00EF1421">
        <w:rPr>
          <w:rFonts w:asciiTheme="majorBidi" w:hAnsiTheme="majorBidi" w:cstheme="majorBidi"/>
          <w:sz w:val="24"/>
          <w:szCs w:val="24"/>
        </w:rPr>
        <w:t>t</w:t>
      </w:r>
      <w:r>
        <w:rPr>
          <w:rFonts w:asciiTheme="majorBidi" w:hAnsiTheme="majorBidi" w:cstheme="majorBidi"/>
          <w:sz w:val="24"/>
          <w:szCs w:val="24"/>
        </w:rPr>
        <w:t xml:space="preserve">. </w:t>
      </w:r>
      <w:r w:rsidR="00C0246C" w:rsidRPr="004C10C1">
        <w:rPr>
          <w:rFonts w:ascii="Times New Roman" w:hAnsi="Times New Roman" w:cs="Times New Roman"/>
          <w:sz w:val="24"/>
          <w:szCs w:val="24"/>
          <w:lang w:val="sv-SE"/>
        </w:rPr>
        <w:t xml:space="preserve">Untuk itu, pada penelitian ini, disamping kajian teoritik mengenai </w:t>
      </w:r>
      <w:r w:rsidR="00B86849">
        <w:rPr>
          <w:rFonts w:ascii="Times New Roman" w:hAnsi="Times New Roman" w:cs="Times New Roman"/>
          <w:sz w:val="24"/>
          <w:szCs w:val="24"/>
          <w:lang w:val="sv-SE"/>
        </w:rPr>
        <w:t xml:space="preserve">fatwa dan </w:t>
      </w:r>
      <w:r w:rsidR="00881BDC">
        <w:rPr>
          <w:rFonts w:asciiTheme="majorBidi" w:hAnsiTheme="majorBidi" w:cstheme="majorBidi"/>
          <w:i/>
          <w:iCs/>
          <w:sz w:val="24"/>
          <w:szCs w:val="24"/>
        </w:rPr>
        <w:t xml:space="preserve">siyāsah </w:t>
      </w:r>
      <w:r w:rsidR="00CC1D08">
        <w:rPr>
          <w:rFonts w:asciiTheme="majorBidi" w:hAnsiTheme="majorBidi" w:cstheme="majorBidi"/>
          <w:i/>
          <w:iCs/>
          <w:sz w:val="24"/>
          <w:szCs w:val="24"/>
        </w:rPr>
        <w:t>syar‘iyah</w:t>
      </w:r>
      <w:r w:rsidR="00C0246C" w:rsidRPr="004C10C1">
        <w:rPr>
          <w:rFonts w:ascii="Times New Roman" w:hAnsi="Times New Roman" w:cs="Times New Roman"/>
          <w:sz w:val="24"/>
          <w:szCs w:val="24"/>
          <w:lang w:val="sv-SE"/>
        </w:rPr>
        <w:t xml:space="preserve">, pembahasan juga diarahkan untuk melihat lebih lanjut bagaimana aplikasi </w:t>
      </w:r>
      <w:r w:rsidR="00881BDC">
        <w:rPr>
          <w:rFonts w:asciiTheme="majorBidi" w:hAnsiTheme="majorBidi" w:cstheme="majorBidi"/>
          <w:i/>
          <w:iCs/>
          <w:sz w:val="24"/>
          <w:szCs w:val="24"/>
        </w:rPr>
        <w:t xml:space="preserve">siyāsah </w:t>
      </w:r>
      <w:r w:rsidR="004E6D90" w:rsidRPr="004E6D90">
        <w:rPr>
          <w:rFonts w:asciiTheme="majorBidi" w:hAnsiTheme="majorBidi" w:cstheme="majorBidi"/>
          <w:i/>
          <w:iCs/>
          <w:sz w:val="24"/>
          <w:szCs w:val="24"/>
        </w:rPr>
        <w:t xml:space="preserve"> </w:t>
      </w:r>
      <w:r w:rsidR="00CC1D08">
        <w:rPr>
          <w:rFonts w:asciiTheme="majorBidi" w:hAnsiTheme="majorBidi" w:cstheme="majorBidi"/>
          <w:i/>
          <w:iCs/>
          <w:sz w:val="24"/>
          <w:szCs w:val="24"/>
        </w:rPr>
        <w:t>syar‘iyah</w:t>
      </w:r>
      <w:r w:rsidR="004E6D90">
        <w:rPr>
          <w:rFonts w:asciiTheme="majorBidi" w:hAnsiTheme="majorBidi" w:cstheme="majorBidi"/>
          <w:sz w:val="24"/>
          <w:szCs w:val="24"/>
        </w:rPr>
        <w:t xml:space="preserve"> </w:t>
      </w:r>
      <w:r w:rsidR="00721B32" w:rsidRPr="004C10C1">
        <w:rPr>
          <w:rFonts w:ascii="Times New Roman" w:hAnsi="Times New Roman" w:cs="Times New Roman"/>
          <w:sz w:val="24"/>
          <w:szCs w:val="24"/>
          <w:lang w:val="sv-SE"/>
        </w:rPr>
        <w:t>di</w:t>
      </w:r>
      <w:r w:rsidR="00C0246C" w:rsidRPr="004C10C1">
        <w:rPr>
          <w:rFonts w:ascii="Times New Roman" w:hAnsi="Times New Roman" w:cs="Times New Roman"/>
          <w:sz w:val="24"/>
          <w:szCs w:val="24"/>
          <w:lang w:val="sv-SE"/>
        </w:rPr>
        <w:t>j</w:t>
      </w:r>
      <w:r w:rsidR="00721B32" w:rsidRPr="004C10C1">
        <w:rPr>
          <w:rFonts w:ascii="Times New Roman" w:hAnsi="Times New Roman" w:cs="Times New Roman"/>
          <w:sz w:val="24"/>
          <w:szCs w:val="24"/>
          <w:lang w:val="sv-SE"/>
        </w:rPr>
        <w:t>a</w:t>
      </w:r>
      <w:r w:rsidR="00C0246C" w:rsidRPr="004C10C1">
        <w:rPr>
          <w:rFonts w:ascii="Times New Roman" w:hAnsi="Times New Roman" w:cs="Times New Roman"/>
          <w:sz w:val="24"/>
          <w:szCs w:val="24"/>
          <w:lang w:val="sv-SE"/>
        </w:rPr>
        <w:t xml:space="preserve">dikan </w:t>
      </w:r>
      <w:r w:rsidR="00B86849">
        <w:rPr>
          <w:rFonts w:ascii="Times New Roman" w:hAnsi="Times New Roman" w:cs="Times New Roman"/>
          <w:sz w:val="24"/>
          <w:szCs w:val="24"/>
          <w:lang w:val="sv-SE"/>
        </w:rPr>
        <w:t>acuan</w:t>
      </w:r>
      <w:r w:rsidR="00C0246C" w:rsidRPr="004C10C1">
        <w:rPr>
          <w:rFonts w:ascii="Times New Roman" w:hAnsi="Times New Roman" w:cs="Times New Roman"/>
          <w:sz w:val="24"/>
          <w:szCs w:val="24"/>
          <w:lang w:val="sv-SE"/>
        </w:rPr>
        <w:t xml:space="preserve"> penetapan fatwa Majelis Ulama Indonesia dalam berbagai produk hukumnya.</w:t>
      </w:r>
    </w:p>
    <w:p w:rsidR="009E57AE" w:rsidRPr="00707289" w:rsidRDefault="00BC41DD" w:rsidP="009561EB">
      <w:pPr>
        <w:spacing w:after="0" w:line="360" w:lineRule="auto"/>
        <w:ind w:left="90" w:firstLine="630"/>
        <w:jc w:val="both"/>
        <w:rPr>
          <w:rFonts w:asciiTheme="majorBidi" w:hAnsiTheme="majorBidi" w:cstheme="majorBidi"/>
          <w:sz w:val="24"/>
          <w:szCs w:val="24"/>
          <w:lang w:val="sv-SE"/>
        </w:rPr>
      </w:pPr>
      <w:r w:rsidRPr="00FE5A9B">
        <w:rPr>
          <w:rFonts w:ascii="Times New Roman" w:hAnsi="Times New Roman" w:cs="Times New Roman"/>
          <w:sz w:val="24"/>
          <w:szCs w:val="24"/>
          <w:lang w:val="sv-SE"/>
        </w:rPr>
        <w:t xml:space="preserve">Berdasarkan uraian diatas, </w:t>
      </w:r>
      <w:r w:rsidR="00C25A81" w:rsidRPr="00FE5A9B">
        <w:rPr>
          <w:rFonts w:ascii="Times New Roman" w:hAnsi="Times New Roman" w:cs="Times New Roman"/>
          <w:sz w:val="24"/>
          <w:szCs w:val="24"/>
          <w:lang w:val="sv-SE"/>
        </w:rPr>
        <w:t xml:space="preserve">metodologi penetapan hukum Majelis Ulama Indonesia menarik untuk dikaji lebih lanjut dalam sebuah penelitian, </w:t>
      </w:r>
      <w:r w:rsidR="007261F2">
        <w:rPr>
          <w:rFonts w:ascii="Times New Roman" w:hAnsi="Times New Roman" w:cs="Times New Roman"/>
          <w:sz w:val="24"/>
          <w:szCs w:val="24"/>
          <w:lang w:val="sv-SE"/>
        </w:rPr>
        <w:t>dengan</w:t>
      </w:r>
      <w:r w:rsidRPr="00FE5A9B">
        <w:rPr>
          <w:rFonts w:ascii="Times New Roman" w:hAnsi="Times New Roman" w:cs="Times New Roman"/>
          <w:sz w:val="24"/>
          <w:szCs w:val="24"/>
          <w:lang w:val="sv-SE"/>
        </w:rPr>
        <w:t xml:space="preserve"> judul</w:t>
      </w:r>
      <w:r w:rsidR="002B6E21">
        <w:rPr>
          <w:rFonts w:asciiTheme="majorBidi" w:hAnsiTheme="majorBidi" w:cstheme="majorBidi"/>
          <w:sz w:val="24"/>
          <w:szCs w:val="24"/>
        </w:rPr>
        <w:t xml:space="preserve">“ </w:t>
      </w:r>
      <w:r w:rsidR="00576E07">
        <w:rPr>
          <w:rFonts w:ascii="Times New Roman" w:hAnsi="Times New Roman" w:cs="Times New Roman"/>
          <w:sz w:val="24"/>
          <w:szCs w:val="24"/>
          <w:lang w:val="sv-SE"/>
        </w:rPr>
        <w:t xml:space="preserve"> </w:t>
      </w:r>
      <w:r w:rsidR="00FE5A9B" w:rsidRPr="007E6AC9">
        <w:rPr>
          <w:rFonts w:asciiTheme="majorBidi" w:hAnsiTheme="majorBidi" w:cstheme="majorBidi"/>
          <w:sz w:val="24"/>
          <w:szCs w:val="24"/>
          <w:lang w:val="sv-SE"/>
        </w:rPr>
        <w:t>Fatwa Majelis Ulama Indonesia</w:t>
      </w:r>
      <w:r w:rsidR="00576E07" w:rsidRPr="007E6AC9">
        <w:rPr>
          <w:rFonts w:asciiTheme="majorBidi" w:hAnsiTheme="majorBidi" w:cstheme="majorBidi"/>
          <w:sz w:val="24"/>
          <w:szCs w:val="24"/>
          <w:lang w:val="sv-SE"/>
        </w:rPr>
        <w:t xml:space="preserve"> </w:t>
      </w:r>
      <w:r w:rsidR="00953832">
        <w:rPr>
          <w:rFonts w:asciiTheme="majorBidi" w:hAnsiTheme="majorBidi" w:cstheme="majorBidi"/>
          <w:sz w:val="24"/>
          <w:szCs w:val="24"/>
          <w:lang w:val="sv-SE"/>
        </w:rPr>
        <w:t xml:space="preserve">Dan </w:t>
      </w:r>
      <w:r w:rsidR="00F310C7">
        <w:rPr>
          <w:rFonts w:asciiTheme="majorBidi" w:hAnsiTheme="majorBidi" w:cstheme="majorBidi"/>
          <w:sz w:val="24"/>
          <w:szCs w:val="24"/>
          <w:lang w:val="sv-SE"/>
        </w:rPr>
        <w:t xml:space="preserve">Perannya Dalam </w:t>
      </w:r>
      <w:r w:rsidR="00953832" w:rsidRPr="007E6AC9">
        <w:rPr>
          <w:rFonts w:asciiTheme="majorBidi" w:hAnsiTheme="majorBidi" w:cstheme="majorBidi"/>
          <w:sz w:val="24"/>
          <w:szCs w:val="24"/>
          <w:lang w:val="sv-SE"/>
        </w:rPr>
        <w:t>Pembaruan Hukum Keluarga</w:t>
      </w:r>
      <w:r w:rsidR="00953832">
        <w:rPr>
          <w:rFonts w:asciiTheme="majorBidi" w:hAnsiTheme="majorBidi" w:cstheme="majorBidi"/>
          <w:sz w:val="24"/>
          <w:szCs w:val="24"/>
          <w:lang w:val="sv-SE"/>
        </w:rPr>
        <w:t xml:space="preserve"> Islam</w:t>
      </w:r>
      <w:r w:rsidR="00CB198A" w:rsidRPr="007E6AC9">
        <w:rPr>
          <w:rFonts w:asciiTheme="majorBidi" w:hAnsiTheme="majorBidi" w:cstheme="majorBidi"/>
          <w:sz w:val="24"/>
          <w:szCs w:val="24"/>
          <w:lang w:val="sv-SE"/>
        </w:rPr>
        <w:t xml:space="preserve"> </w:t>
      </w:r>
      <w:r w:rsidR="00576E07" w:rsidRPr="007E6AC9">
        <w:rPr>
          <w:rFonts w:asciiTheme="majorBidi" w:hAnsiTheme="majorBidi" w:cstheme="majorBidi"/>
          <w:sz w:val="24"/>
          <w:szCs w:val="24"/>
          <w:lang w:val="sv-SE"/>
        </w:rPr>
        <w:t>(</w:t>
      </w:r>
      <w:r w:rsidR="00AB3BE6" w:rsidRPr="007E6AC9">
        <w:rPr>
          <w:rFonts w:asciiTheme="majorBidi" w:hAnsiTheme="majorBidi" w:cstheme="majorBidi"/>
          <w:sz w:val="24"/>
          <w:szCs w:val="24"/>
          <w:lang w:val="sv-SE"/>
        </w:rPr>
        <w:t xml:space="preserve">Studi </w:t>
      </w:r>
      <w:r w:rsidR="00953832" w:rsidRPr="007E6AC9">
        <w:rPr>
          <w:rFonts w:asciiTheme="majorBidi" w:hAnsiTheme="majorBidi" w:cstheme="majorBidi"/>
          <w:sz w:val="24"/>
          <w:szCs w:val="24"/>
          <w:lang w:val="sv-SE"/>
        </w:rPr>
        <w:t xml:space="preserve">Perspektif </w:t>
      </w:r>
      <w:r w:rsidR="00953832" w:rsidRPr="0073021C">
        <w:rPr>
          <w:rFonts w:asciiTheme="majorBidi" w:hAnsiTheme="majorBidi" w:cstheme="majorBidi"/>
          <w:sz w:val="24"/>
          <w:szCs w:val="24"/>
          <w:lang w:val="sv-SE"/>
        </w:rPr>
        <w:t xml:space="preserve">Siyāsah  </w:t>
      </w:r>
      <w:r w:rsidR="00CC1D08">
        <w:rPr>
          <w:rFonts w:asciiTheme="majorBidi" w:hAnsiTheme="majorBidi" w:cstheme="majorBidi"/>
          <w:sz w:val="24"/>
          <w:szCs w:val="24"/>
          <w:lang w:val="sv-SE"/>
        </w:rPr>
        <w:t>Syar‘iy</w:t>
      </w:r>
      <w:r w:rsidR="002B6E21">
        <w:rPr>
          <w:rFonts w:asciiTheme="majorBidi" w:hAnsiTheme="majorBidi" w:cstheme="majorBidi"/>
          <w:sz w:val="24"/>
          <w:szCs w:val="24"/>
          <w:lang w:val="sv-SE"/>
        </w:rPr>
        <w:t>y</w:t>
      </w:r>
      <w:r w:rsidR="00CC1D08">
        <w:rPr>
          <w:rFonts w:asciiTheme="majorBidi" w:hAnsiTheme="majorBidi" w:cstheme="majorBidi"/>
          <w:sz w:val="24"/>
          <w:szCs w:val="24"/>
          <w:lang w:val="sv-SE"/>
        </w:rPr>
        <w:t>ah</w:t>
      </w:r>
      <w:r w:rsidR="00CB198A" w:rsidRPr="007E6AC9">
        <w:rPr>
          <w:rFonts w:asciiTheme="majorBidi" w:hAnsiTheme="majorBidi" w:cstheme="majorBidi"/>
          <w:sz w:val="24"/>
          <w:szCs w:val="24"/>
          <w:lang w:val="sv-SE"/>
        </w:rPr>
        <w:t>)</w:t>
      </w:r>
      <w:r w:rsidR="00CB198A">
        <w:rPr>
          <w:rFonts w:asciiTheme="majorBidi" w:hAnsiTheme="majorBidi" w:cstheme="majorBidi"/>
          <w:sz w:val="24"/>
          <w:szCs w:val="24"/>
          <w:lang w:val="sv-SE"/>
        </w:rPr>
        <w:t xml:space="preserve"> ”</w:t>
      </w:r>
    </w:p>
    <w:p w:rsidR="00C7105A" w:rsidRPr="00C7105A" w:rsidRDefault="00C7105A" w:rsidP="009561EB">
      <w:pPr>
        <w:pStyle w:val="ListParagraph"/>
        <w:numPr>
          <w:ilvl w:val="0"/>
          <w:numId w:val="9"/>
        </w:numPr>
        <w:spacing w:after="0"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Perma</w:t>
      </w:r>
      <w:r w:rsidRPr="00C7105A">
        <w:rPr>
          <w:rFonts w:asciiTheme="majorBidi" w:hAnsiTheme="majorBidi" w:cstheme="majorBidi"/>
          <w:b/>
          <w:bCs/>
          <w:sz w:val="24"/>
          <w:szCs w:val="24"/>
        </w:rPr>
        <w:t>salah</w:t>
      </w:r>
      <w:r>
        <w:rPr>
          <w:rFonts w:asciiTheme="majorBidi" w:hAnsiTheme="majorBidi" w:cstheme="majorBidi"/>
          <w:b/>
          <w:bCs/>
          <w:sz w:val="24"/>
          <w:szCs w:val="24"/>
        </w:rPr>
        <w:t>an</w:t>
      </w:r>
    </w:p>
    <w:p w:rsidR="00BC41DD" w:rsidRPr="00026814" w:rsidRDefault="00E35A10" w:rsidP="00A33E46">
      <w:pPr>
        <w:pStyle w:val="ListParagraph"/>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w:t>
      </w:r>
      <w:r w:rsidR="00BC41DD" w:rsidRPr="00026814">
        <w:rPr>
          <w:rFonts w:asciiTheme="majorBidi" w:hAnsiTheme="majorBidi" w:cstheme="majorBidi"/>
          <w:b/>
          <w:bCs/>
          <w:sz w:val="24"/>
          <w:szCs w:val="24"/>
        </w:rPr>
        <w:t>dentifikasi Masalah</w:t>
      </w:r>
    </w:p>
    <w:p w:rsidR="00C1733C" w:rsidRPr="00174BB0" w:rsidRDefault="00B44FD9" w:rsidP="00A33E46">
      <w:pPr>
        <w:pStyle w:val="ListParagraph"/>
        <w:spacing w:after="0" w:line="360" w:lineRule="auto"/>
        <w:ind w:left="450" w:firstLine="630"/>
        <w:jc w:val="both"/>
        <w:rPr>
          <w:rFonts w:asciiTheme="majorBidi" w:hAnsiTheme="majorBidi" w:cstheme="majorBidi"/>
          <w:sz w:val="24"/>
          <w:szCs w:val="24"/>
        </w:rPr>
      </w:pPr>
      <w:r>
        <w:rPr>
          <w:rFonts w:asciiTheme="majorBidi" w:hAnsiTheme="majorBidi" w:cstheme="majorBidi"/>
          <w:sz w:val="24"/>
          <w:szCs w:val="24"/>
        </w:rPr>
        <w:t xml:space="preserve">Dari </w:t>
      </w:r>
      <w:r w:rsidR="00F740D5">
        <w:rPr>
          <w:rFonts w:asciiTheme="majorBidi" w:hAnsiTheme="majorBidi" w:cstheme="majorBidi"/>
          <w:sz w:val="24"/>
          <w:szCs w:val="24"/>
        </w:rPr>
        <w:t>latar</w:t>
      </w:r>
      <w:r w:rsidR="00B04679">
        <w:rPr>
          <w:rFonts w:asciiTheme="majorBidi" w:hAnsiTheme="majorBidi" w:cstheme="majorBidi"/>
          <w:sz w:val="24"/>
          <w:szCs w:val="24"/>
        </w:rPr>
        <w:t xml:space="preserve">belakang </w:t>
      </w:r>
      <w:r w:rsidR="00F740D5">
        <w:rPr>
          <w:rFonts w:asciiTheme="majorBidi" w:hAnsiTheme="majorBidi" w:cstheme="majorBidi"/>
          <w:sz w:val="24"/>
          <w:szCs w:val="24"/>
        </w:rPr>
        <w:t xml:space="preserve">masalah </w:t>
      </w:r>
      <w:r w:rsidR="00B04679">
        <w:rPr>
          <w:rFonts w:asciiTheme="majorBidi" w:hAnsiTheme="majorBidi" w:cstheme="majorBidi"/>
          <w:sz w:val="24"/>
          <w:szCs w:val="24"/>
        </w:rPr>
        <w:t>yang telah diuraikan</w:t>
      </w:r>
      <w:r w:rsidR="00F740D5">
        <w:rPr>
          <w:rFonts w:asciiTheme="majorBidi" w:hAnsiTheme="majorBidi" w:cstheme="majorBidi"/>
          <w:sz w:val="24"/>
          <w:szCs w:val="24"/>
        </w:rPr>
        <w:t xml:space="preserve"> diatas</w:t>
      </w:r>
      <w:r w:rsidR="00B04679">
        <w:rPr>
          <w:rFonts w:asciiTheme="majorBidi" w:hAnsiTheme="majorBidi" w:cstheme="majorBidi"/>
          <w:sz w:val="24"/>
          <w:szCs w:val="24"/>
        </w:rPr>
        <w:t>, dapat diidentifikasi beber</w:t>
      </w:r>
      <w:r w:rsidR="00A81A44">
        <w:rPr>
          <w:rFonts w:asciiTheme="majorBidi" w:hAnsiTheme="majorBidi" w:cstheme="majorBidi"/>
          <w:sz w:val="24"/>
          <w:szCs w:val="24"/>
        </w:rPr>
        <w:t>apa masalah terkait dengan tema</w:t>
      </w:r>
      <w:r w:rsidR="00B04679">
        <w:rPr>
          <w:rFonts w:asciiTheme="majorBidi" w:hAnsiTheme="majorBidi" w:cstheme="majorBidi"/>
          <w:sz w:val="24"/>
          <w:szCs w:val="24"/>
        </w:rPr>
        <w:t xml:space="preserve"> penelitian ini, yaitu:</w:t>
      </w:r>
    </w:p>
    <w:p w:rsidR="00A02D74" w:rsidRDefault="00BC41DD" w:rsidP="009561EB">
      <w:pPr>
        <w:pStyle w:val="ListParagraph"/>
        <w:numPr>
          <w:ilvl w:val="0"/>
          <w:numId w:val="3"/>
        </w:numPr>
        <w:tabs>
          <w:tab w:val="left" w:pos="540"/>
        </w:tabs>
        <w:spacing w:after="0" w:line="360" w:lineRule="auto"/>
        <w:jc w:val="both"/>
        <w:rPr>
          <w:rFonts w:asciiTheme="majorBidi" w:hAnsiTheme="majorBidi" w:cstheme="majorBidi"/>
          <w:sz w:val="24"/>
          <w:szCs w:val="24"/>
        </w:rPr>
      </w:pPr>
      <w:r w:rsidRPr="00E32A50">
        <w:rPr>
          <w:rFonts w:asciiTheme="majorBidi" w:hAnsiTheme="majorBidi" w:cstheme="majorBidi"/>
          <w:sz w:val="24"/>
          <w:szCs w:val="24"/>
        </w:rPr>
        <w:t>Fatwa merupakan rangkai</w:t>
      </w:r>
      <w:r w:rsidR="00932A58">
        <w:rPr>
          <w:rFonts w:asciiTheme="majorBidi" w:hAnsiTheme="majorBidi" w:cstheme="majorBidi"/>
          <w:sz w:val="24"/>
          <w:szCs w:val="24"/>
        </w:rPr>
        <w:t>a</w:t>
      </w:r>
      <w:r w:rsidRPr="00E32A50">
        <w:rPr>
          <w:rFonts w:asciiTheme="majorBidi" w:hAnsiTheme="majorBidi" w:cstheme="majorBidi"/>
          <w:sz w:val="24"/>
          <w:szCs w:val="24"/>
        </w:rPr>
        <w:t>n kegiatan ijtihad, dan setiap aktivitas ijtihad senantiasa ber</w:t>
      </w:r>
      <w:r w:rsidR="00B94661" w:rsidRPr="00E32A50">
        <w:rPr>
          <w:rFonts w:asciiTheme="majorBidi" w:hAnsiTheme="majorBidi" w:cstheme="majorBidi"/>
          <w:sz w:val="24"/>
          <w:szCs w:val="24"/>
        </w:rPr>
        <w:t xml:space="preserve">tolak dari </w:t>
      </w:r>
      <w:r w:rsidR="00972E98" w:rsidRPr="00E32A50">
        <w:rPr>
          <w:rFonts w:asciiTheme="majorBidi" w:hAnsiTheme="majorBidi" w:cstheme="majorBidi"/>
          <w:sz w:val="24"/>
          <w:szCs w:val="24"/>
        </w:rPr>
        <w:t>Al-Qur’ān</w:t>
      </w:r>
      <w:r w:rsidR="00B94661" w:rsidRPr="00E32A50">
        <w:rPr>
          <w:rFonts w:asciiTheme="majorBidi" w:hAnsiTheme="majorBidi" w:cstheme="majorBidi"/>
          <w:sz w:val="24"/>
          <w:szCs w:val="24"/>
        </w:rPr>
        <w:t xml:space="preserve"> dan sunnah. Apakah</w:t>
      </w:r>
      <w:r w:rsidRPr="00E32A50">
        <w:rPr>
          <w:rFonts w:asciiTheme="majorBidi" w:hAnsiTheme="majorBidi" w:cstheme="majorBidi"/>
          <w:sz w:val="24"/>
          <w:szCs w:val="24"/>
        </w:rPr>
        <w:t xml:space="preserve"> kegiatan ijtihad yang </w:t>
      </w:r>
      <w:r w:rsidR="00721B32" w:rsidRPr="00E32A50">
        <w:rPr>
          <w:rFonts w:asciiTheme="majorBidi" w:hAnsiTheme="majorBidi" w:cstheme="majorBidi"/>
          <w:sz w:val="24"/>
          <w:szCs w:val="24"/>
        </w:rPr>
        <w:t>di</w:t>
      </w:r>
      <w:r w:rsidRPr="00E32A50">
        <w:rPr>
          <w:rFonts w:asciiTheme="majorBidi" w:hAnsiTheme="majorBidi" w:cstheme="majorBidi"/>
          <w:sz w:val="24"/>
          <w:szCs w:val="24"/>
        </w:rPr>
        <w:t xml:space="preserve">lakukan MUI sudah </w:t>
      </w:r>
      <w:r w:rsidR="00C7105A" w:rsidRPr="00E32A50">
        <w:rPr>
          <w:rFonts w:asciiTheme="majorBidi" w:hAnsiTheme="majorBidi" w:cstheme="majorBidi"/>
          <w:sz w:val="24"/>
          <w:szCs w:val="24"/>
        </w:rPr>
        <w:t xml:space="preserve">benar benar bertolak dari semangat </w:t>
      </w:r>
      <w:r w:rsidR="009561EB" w:rsidRPr="00E32A50">
        <w:rPr>
          <w:rFonts w:asciiTheme="majorBidi" w:hAnsiTheme="majorBidi" w:cstheme="majorBidi"/>
          <w:sz w:val="24"/>
          <w:szCs w:val="24"/>
        </w:rPr>
        <w:t xml:space="preserve">Al-Qur’ān </w:t>
      </w:r>
      <w:r w:rsidR="00C7105A" w:rsidRPr="00E32A50">
        <w:rPr>
          <w:rFonts w:asciiTheme="majorBidi" w:hAnsiTheme="majorBidi" w:cstheme="majorBidi"/>
          <w:sz w:val="24"/>
          <w:szCs w:val="24"/>
        </w:rPr>
        <w:t xml:space="preserve">dan Sunnah tersebut </w:t>
      </w:r>
      <w:r w:rsidR="00B94661" w:rsidRPr="00E32A50">
        <w:rPr>
          <w:rFonts w:asciiTheme="majorBidi" w:hAnsiTheme="majorBidi" w:cstheme="majorBidi"/>
          <w:sz w:val="24"/>
          <w:szCs w:val="24"/>
        </w:rPr>
        <w:t>?</w:t>
      </w:r>
    </w:p>
    <w:p w:rsidR="00BC41DD" w:rsidRPr="00A02D74" w:rsidRDefault="00721B32" w:rsidP="009561EB">
      <w:pPr>
        <w:pStyle w:val="ListParagraph"/>
        <w:numPr>
          <w:ilvl w:val="0"/>
          <w:numId w:val="3"/>
        </w:numPr>
        <w:tabs>
          <w:tab w:val="left" w:pos="540"/>
        </w:tabs>
        <w:spacing w:after="0" w:line="360" w:lineRule="auto"/>
        <w:jc w:val="both"/>
        <w:rPr>
          <w:rFonts w:asciiTheme="majorBidi" w:hAnsiTheme="majorBidi" w:cstheme="majorBidi"/>
          <w:sz w:val="24"/>
          <w:szCs w:val="24"/>
        </w:rPr>
      </w:pPr>
      <w:r w:rsidRPr="00A02D74">
        <w:rPr>
          <w:rFonts w:asciiTheme="majorBidi" w:hAnsiTheme="majorBidi" w:cstheme="majorBidi"/>
          <w:sz w:val="24"/>
          <w:szCs w:val="24"/>
        </w:rPr>
        <w:t xml:space="preserve">Dalam rangka istinbath hukum, seorang </w:t>
      </w:r>
      <w:r w:rsidRPr="00A02D74">
        <w:rPr>
          <w:rFonts w:ascii="Times New Roman" w:hAnsi="Times New Roman" w:cs="Times New Roman"/>
          <w:sz w:val="24"/>
          <w:szCs w:val="24"/>
        </w:rPr>
        <w:t>mujta</w:t>
      </w:r>
      <w:r w:rsidR="00AC76B0">
        <w:rPr>
          <w:rFonts w:ascii="Times New Roman" w:hAnsi="Times New Roman" w:cs="Times New Roman"/>
          <w:sz w:val="24"/>
          <w:szCs w:val="24"/>
        </w:rPr>
        <w:t>hid tidak boleh menetapkan suat</w:t>
      </w:r>
      <w:r w:rsidRPr="00A02D74">
        <w:rPr>
          <w:rFonts w:ascii="Times New Roman" w:hAnsi="Times New Roman" w:cs="Times New Roman"/>
          <w:sz w:val="24"/>
          <w:szCs w:val="24"/>
        </w:rPr>
        <w:t xml:space="preserve">u hukum kecuali telah memperoleh pengetahuan yang cukup mengenai dampak yang akan ditimbulkan dari perbuatan tersebut, dari sisi </w:t>
      </w:r>
      <w:r w:rsidR="00A02D74" w:rsidRPr="00A02D74">
        <w:rPr>
          <w:rFonts w:asciiTheme="majorBidi" w:hAnsiTheme="majorBidi" w:cstheme="majorBidi"/>
          <w:i/>
          <w:iCs/>
          <w:sz w:val="24"/>
          <w:szCs w:val="24"/>
        </w:rPr>
        <w:t>masla</w:t>
      </w:r>
      <w:r w:rsidR="00A02D74" w:rsidRPr="00A02D74">
        <w:rPr>
          <w:rFonts w:asciiTheme="majorBidi" w:hAnsiTheme="majorBidi" w:cstheme="majorBidi"/>
          <w:i/>
          <w:iCs/>
          <w:sz w:val="24"/>
          <w:szCs w:val="24"/>
          <w:u w:val="single"/>
        </w:rPr>
        <w:t>h</w:t>
      </w:r>
      <w:r w:rsidR="00A02D74" w:rsidRPr="00A02D74">
        <w:rPr>
          <w:rFonts w:asciiTheme="majorBidi" w:hAnsiTheme="majorBidi" w:cstheme="majorBidi"/>
          <w:i/>
          <w:iCs/>
          <w:sz w:val="24"/>
          <w:szCs w:val="24"/>
        </w:rPr>
        <w:t xml:space="preserve">ah </w:t>
      </w:r>
      <w:r w:rsidRPr="00A02D74">
        <w:rPr>
          <w:rFonts w:ascii="Times New Roman" w:hAnsi="Times New Roman" w:cs="Times New Roman"/>
          <w:sz w:val="24"/>
          <w:szCs w:val="24"/>
        </w:rPr>
        <w:t xml:space="preserve">maupun </w:t>
      </w:r>
      <w:r w:rsidRPr="00A02D74">
        <w:rPr>
          <w:rFonts w:ascii="Times New Roman" w:hAnsi="Times New Roman" w:cs="Times New Roman"/>
          <w:i/>
          <w:iCs/>
          <w:sz w:val="24"/>
          <w:szCs w:val="24"/>
        </w:rPr>
        <w:t>mafsad</w:t>
      </w:r>
      <w:r w:rsidR="00A02D74" w:rsidRPr="00A02D74">
        <w:rPr>
          <w:rFonts w:ascii="Times New Roman" w:hAnsi="Times New Roman" w:cs="Times New Roman"/>
          <w:i/>
          <w:iCs/>
          <w:sz w:val="24"/>
          <w:szCs w:val="24"/>
        </w:rPr>
        <w:t>at</w:t>
      </w:r>
      <w:r w:rsidRPr="00A02D74">
        <w:rPr>
          <w:rFonts w:ascii="Times New Roman" w:hAnsi="Times New Roman" w:cs="Times New Roman"/>
          <w:i/>
          <w:iCs/>
          <w:sz w:val="24"/>
          <w:szCs w:val="24"/>
        </w:rPr>
        <w:t>nya</w:t>
      </w:r>
      <w:r w:rsidRPr="00A02D74">
        <w:rPr>
          <w:rFonts w:ascii="Times New Roman" w:hAnsi="Times New Roman" w:cs="Times New Roman"/>
          <w:sz w:val="24"/>
          <w:szCs w:val="24"/>
        </w:rPr>
        <w:t xml:space="preserve">. </w:t>
      </w:r>
      <w:r w:rsidR="0097450A" w:rsidRPr="00A02D74">
        <w:rPr>
          <w:rFonts w:ascii="Times New Roman" w:hAnsi="Times New Roman" w:cs="Times New Roman"/>
          <w:sz w:val="24"/>
          <w:szCs w:val="24"/>
        </w:rPr>
        <w:t xml:space="preserve">Oleh sebab itu </w:t>
      </w:r>
      <w:r w:rsidR="0097450A" w:rsidRPr="00A02D74">
        <w:rPr>
          <w:rFonts w:asciiTheme="majorBidi" w:hAnsiTheme="majorBidi" w:cstheme="majorBidi"/>
          <w:sz w:val="24"/>
          <w:szCs w:val="24"/>
        </w:rPr>
        <w:t xml:space="preserve">pengetahuan tentang </w:t>
      </w:r>
      <w:r w:rsidR="00881BDC" w:rsidRPr="00A02D74">
        <w:rPr>
          <w:rFonts w:asciiTheme="majorBidi" w:hAnsiTheme="majorBidi" w:cstheme="majorBidi"/>
          <w:i/>
          <w:iCs/>
          <w:sz w:val="24"/>
          <w:szCs w:val="24"/>
        </w:rPr>
        <w:t xml:space="preserve">siyāsah </w:t>
      </w:r>
      <w:r w:rsidR="00603965" w:rsidRPr="00A02D74">
        <w:rPr>
          <w:rFonts w:asciiTheme="majorBidi" w:hAnsiTheme="majorBidi" w:cstheme="majorBidi"/>
          <w:i/>
          <w:iCs/>
          <w:sz w:val="24"/>
          <w:szCs w:val="24"/>
        </w:rPr>
        <w:t xml:space="preserve"> </w:t>
      </w:r>
      <w:r w:rsidR="00CC1D08" w:rsidRPr="00A02D74">
        <w:rPr>
          <w:rFonts w:asciiTheme="majorBidi" w:hAnsiTheme="majorBidi" w:cstheme="majorBidi"/>
          <w:i/>
          <w:iCs/>
          <w:sz w:val="24"/>
          <w:szCs w:val="24"/>
        </w:rPr>
        <w:t>syar‘iyah</w:t>
      </w:r>
      <w:r w:rsidR="00603965" w:rsidRPr="00A02D74">
        <w:rPr>
          <w:rFonts w:asciiTheme="majorBidi" w:hAnsiTheme="majorBidi" w:cstheme="majorBidi"/>
          <w:sz w:val="24"/>
          <w:szCs w:val="24"/>
        </w:rPr>
        <w:t xml:space="preserve"> termasuk di dalamnya </w:t>
      </w:r>
      <w:r w:rsidR="0097450A" w:rsidRPr="00A02D74">
        <w:rPr>
          <w:rFonts w:asciiTheme="majorBidi" w:hAnsiTheme="majorBidi" w:cstheme="majorBidi"/>
          <w:i/>
          <w:iCs/>
          <w:sz w:val="24"/>
          <w:szCs w:val="24"/>
        </w:rPr>
        <w:t>maq</w:t>
      </w:r>
      <w:r w:rsidR="009561EB">
        <w:rPr>
          <w:rFonts w:asciiTheme="majorBidi" w:hAnsiTheme="majorBidi" w:cstheme="majorBidi"/>
          <w:i/>
          <w:iCs/>
          <w:sz w:val="24"/>
          <w:szCs w:val="24"/>
        </w:rPr>
        <w:t>ā</w:t>
      </w:r>
      <w:r w:rsidR="0097450A" w:rsidRPr="00A02D74">
        <w:rPr>
          <w:rFonts w:asciiTheme="majorBidi" w:hAnsiTheme="majorBidi" w:cstheme="majorBidi"/>
          <w:i/>
          <w:iCs/>
          <w:sz w:val="24"/>
          <w:szCs w:val="24"/>
        </w:rPr>
        <w:t>sid al-</w:t>
      </w:r>
      <w:r w:rsidR="009561EB" w:rsidRPr="00073B24">
        <w:rPr>
          <w:rFonts w:asciiTheme="majorBidi" w:hAnsiTheme="majorBidi" w:cstheme="majorBidi"/>
          <w:i/>
          <w:iCs/>
          <w:sz w:val="24"/>
          <w:szCs w:val="24"/>
        </w:rPr>
        <w:t>sharī</w:t>
      </w:r>
      <w:r w:rsidR="009561EB" w:rsidRPr="00073B24">
        <w:rPr>
          <w:sz w:val="24"/>
          <w:szCs w:val="24"/>
        </w:rPr>
        <w:t>‘</w:t>
      </w:r>
      <w:r w:rsidR="009561EB" w:rsidRPr="00073B24">
        <w:rPr>
          <w:rFonts w:asciiTheme="majorBidi" w:hAnsiTheme="majorBidi" w:cstheme="majorBidi"/>
          <w:i/>
          <w:iCs/>
          <w:sz w:val="24"/>
          <w:szCs w:val="24"/>
        </w:rPr>
        <w:t>ah</w:t>
      </w:r>
      <w:r w:rsidR="0097450A" w:rsidRPr="00A02D74">
        <w:rPr>
          <w:rFonts w:asciiTheme="majorBidi" w:hAnsiTheme="majorBidi" w:cstheme="majorBidi"/>
          <w:sz w:val="24"/>
          <w:szCs w:val="24"/>
        </w:rPr>
        <w:t xml:space="preserve"> menjadi kunci bagi keberhasilan mujtahid dalam ijtihadnya</w:t>
      </w:r>
      <w:r w:rsidR="009D05CE" w:rsidRPr="00A02D74">
        <w:rPr>
          <w:rFonts w:asciiTheme="majorBidi" w:hAnsiTheme="majorBidi" w:cstheme="majorBidi"/>
          <w:sz w:val="24"/>
          <w:szCs w:val="24"/>
        </w:rPr>
        <w:t>.</w:t>
      </w:r>
    </w:p>
    <w:p w:rsidR="00BC41DD" w:rsidRPr="00921562" w:rsidRDefault="00987331" w:rsidP="00E32A50">
      <w:pPr>
        <w:pStyle w:val="ListParagraph"/>
        <w:numPr>
          <w:ilvl w:val="0"/>
          <w:numId w:val="3"/>
        </w:numPr>
        <w:tabs>
          <w:tab w:val="left" w:pos="540"/>
        </w:tabs>
        <w:spacing w:after="0" w:line="360" w:lineRule="auto"/>
        <w:ind w:left="990"/>
        <w:jc w:val="both"/>
        <w:rPr>
          <w:rFonts w:asciiTheme="majorBidi" w:hAnsiTheme="majorBidi" w:cstheme="majorBidi"/>
          <w:sz w:val="24"/>
          <w:szCs w:val="24"/>
        </w:rPr>
      </w:pPr>
      <w:r>
        <w:rPr>
          <w:rFonts w:asciiTheme="majorBidi" w:hAnsiTheme="majorBidi" w:cstheme="majorBidi"/>
          <w:i/>
          <w:iCs/>
          <w:sz w:val="24"/>
          <w:szCs w:val="24"/>
        </w:rPr>
        <w:t xml:space="preserve">Siyāsah </w:t>
      </w:r>
      <w:r w:rsidR="00CC1D08">
        <w:rPr>
          <w:rFonts w:asciiTheme="majorBidi" w:hAnsiTheme="majorBidi" w:cstheme="majorBidi"/>
          <w:i/>
          <w:iCs/>
          <w:sz w:val="24"/>
          <w:szCs w:val="24"/>
        </w:rPr>
        <w:t>syar‘iy</w:t>
      </w:r>
      <w:r w:rsidR="005D2804">
        <w:rPr>
          <w:rFonts w:asciiTheme="majorBidi" w:hAnsiTheme="majorBidi" w:cstheme="majorBidi"/>
          <w:i/>
          <w:iCs/>
          <w:sz w:val="24"/>
          <w:szCs w:val="24"/>
        </w:rPr>
        <w:t>y</w:t>
      </w:r>
      <w:r w:rsidR="00CC1D08">
        <w:rPr>
          <w:rFonts w:asciiTheme="majorBidi" w:hAnsiTheme="majorBidi" w:cstheme="majorBidi"/>
          <w:i/>
          <w:iCs/>
          <w:sz w:val="24"/>
          <w:szCs w:val="24"/>
        </w:rPr>
        <w:t>ah</w:t>
      </w:r>
      <w:r w:rsidR="00FC0FD6" w:rsidRPr="00921562">
        <w:rPr>
          <w:rFonts w:asciiTheme="majorBidi" w:hAnsiTheme="majorBidi" w:cstheme="majorBidi"/>
          <w:sz w:val="24"/>
          <w:szCs w:val="24"/>
        </w:rPr>
        <w:t xml:space="preserve"> </w:t>
      </w:r>
      <w:r w:rsidR="00013B16" w:rsidRPr="00921562">
        <w:rPr>
          <w:rFonts w:asciiTheme="majorBidi" w:hAnsiTheme="majorBidi" w:cstheme="majorBidi"/>
          <w:sz w:val="24"/>
          <w:szCs w:val="24"/>
        </w:rPr>
        <w:t xml:space="preserve">sangat penting dalam upaya </w:t>
      </w:r>
      <w:r w:rsidR="00A7569C" w:rsidRPr="00921562">
        <w:rPr>
          <w:rFonts w:asciiTheme="majorBidi" w:hAnsiTheme="majorBidi" w:cstheme="majorBidi"/>
          <w:sz w:val="24"/>
          <w:szCs w:val="24"/>
        </w:rPr>
        <w:t>pertimbangan</w:t>
      </w:r>
      <w:r w:rsidR="00013B16" w:rsidRPr="00921562">
        <w:rPr>
          <w:rFonts w:asciiTheme="majorBidi" w:hAnsiTheme="majorBidi" w:cstheme="majorBidi"/>
          <w:sz w:val="24"/>
          <w:szCs w:val="24"/>
        </w:rPr>
        <w:t xml:space="preserve"> hukum, termasuk dalam penetapan fatwa, karena </w:t>
      </w:r>
      <w:r w:rsidR="00FE6378">
        <w:rPr>
          <w:rFonts w:asciiTheme="majorBidi" w:hAnsiTheme="majorBidi" w:cstheme="majorBidi"/>
          <w:i/>
          <w:iCs/>
          <w:sz w:val="24"/>
          <w:szCs w:val="24"/>
        </w:rPr>
        <w:t xml:space="preserve">siyāsah </w:t>
      </w:r>
      <w:r w:rsidR="00CC1D08">
        <w:rPr>
          <w:rFonts w:asciiTheme="majorBidi" w:hAnsiTheme="majorBidi" w:cstheme="majorBidi"/>
          <w:i/>
          <w:iCs/>
          <w:sz w:val="24"/>
          <w:szCs w:val="24"/>
        </w:rPr>
        <w:t>syar‘iyah</w:t>
      </w:r>
      <w:r w:rsidR="00013B16" w:rsidRPr="00921562">
        <w:rPr>
          <w:rFonts w:asciiTheme="majorBidi" w:hAnsiTheme="majorBidi" w:cstheme="majorBidi"/>
          <w:sz w:val="24"/>
          <w:szCs w:val="24"/>
        </w:rPr>
        <w:t xml:space="preserve"> dapat menjadi </w:t>
      </w:r>
      <w:r w:rsidR="00921562" w:rsidRPr="00921562">
        <w:rPr>
          <w:rFonts w:asciiTheme="majorBidi" w:hAnsiTheme="majorBidi" w:cstheme="majorBidi"/>
          <w:sz w:val="24"/>
          <w:szCs w:val="24"/>
        </w:rPr>
        <w:t>ke</w:t>
      </w:r>
      <w:r w:rsidR="00921562" w:rsidRPr="00921562">
        <w:rPr>
          <w:rFonts w:ascii="Times New Roman" w:hAnsi="Times New Roman" w:cs="Times New Roman"/>
          <w:color w:val="000000"/>
          <w:sz w:val="24"/>
          <w:szCs w:val="24"/>
        </w:rPr>
        <w:t>rangka berfikir yang mempertimbangkan antara kehendak wahyu dan keperluan realita makhluk.</w:t>
      </w:r>
    </w:p>
    <w:p w:rsidR="00013B16" w:rsidRDefault="005D2804" w:rsidP="00E32A50">
      <w:pPr>
        <w:pStyle w:val="ListParagraph"/>
        <w:numPr>
          <w:ilvl w:val="0"/>
          <w:numId w:val="3"/>
        </w:numPr>
        <w:tabs>
          <w:tab w:val="left" w:pos="540"/>
        </w:tabs>
        <w:spacing w:after="0" w:line="360" w:lineRule="auto"/>
        <w:ind w:left="990"/>
        <w:jc w:val="both"/>
        <w:rPr>
          <w:rFonts w:asciiTheme="majorBidi" w:hAnsiTheme="majorBidi" w:cstheme="majorBidi"/>
          <w:sz w:val="24"/>
          <w:szCs w:val="24"/>
        </w:rPr>
      </w:pPr>
      <w:r>
        <w:rPr>
          <w:rFonts w:asciiTheme="majorBidi" w:hAnsiTheme="majorBidi" w:cstheme="majorBidi"/>
          <w:sz w:val="24"/>
          <w:szCs w:val="24"/>
        </w:rPr>
        <w:t>Adanya kontro</w:t>
      </w:r>
      <w:r w:rsidR="00105515" w:rsidRPr="007C455B">
        <w:rPr>
          <w:rFonts w:asciiTheme="majorBidi" w:hAnsiTheme="majorBidi" w:cstheme="majorBidi"/>
          <w:sz w:val="24"/>
          <w:szCs w:val="24"/>
        </w:rPr>
        <w:t>ver</w:t>
      </w:r>
      <w:r w:rsidR="00013B16" w:rsidRPr="007C455B">
        <w:rPr>
          <w:rFonts w:asciiTheme="majorBidi" w:hAnsiTheme="majorBidi" w:cstheme="majorBidi"/>
          <w:sz w:val="24"/>
          <w:szCs w:val="24"/>
        </w:rPr>
        <w:t>si tanggapan masyarakat tentang fatwa-fatwa M</w:t>
      </w:r>
      <w:r w:rsidR="007C455B">
        <w:rPr>
          <w:rFonts w:asciiTheme="majorBidi" w:hAnsiTheme="majorBidi" w:cstheme="majorBidi"/>
          <w:sz w:val="24"/>
          <w:szCs w:val="24"/>
        </w:rPr>
        <w:t>UI seputar fatwa hukum keluarga</w:t>
      </w:r>
      <w:r w:rsidR="007C455B" w:rsidRPr="007C455B">
        <w:rPr>
          <w:rFonts w:asciiTheme="majorBidi" w:hAnsiTheme="majorBidi" w:cstheme="majorBidi"/>
          <w:sz w:val="24"/>
          <w:szCs w:val="24"/>
        </w:rPr>
        <w:t xml:space="preserve"> dengan realita yang terjadi dilapangan.</w:t>
      </w:r>
    </w:p>
    <w:p w:rsidR="007C455B" w:rsidRPr="007C455B" w:rsidRDefault="007C455B" w:rsidP="00E32A50">
      <w:pPr>
        <w:pStyle w:val="ListParagraph"/>
        <w:numPr>
          <w:ilvl w:val="0"/>
          <w:numId w:val="3"/>
        </w:numPr>
        <w:tabs>
          <w:tab w:val="left" w:pos="540"/>
        </w:tabs>
        <w:spacing w:after="0" w:line="360" w:lineRule="auto"/>
        <w:ind w:left="990"/>
        <w:jc w:val="both"/>
        <w:rPr>
          <w:rFonts w:asciiTheme="majorBidi" w:hAnsiTheme="majorBidi" w:cstheme="majorBidi"/>
          <w:sz w:val="24"/>
          <w:szCs w:val="24"/>
        </w:rPr>
      </w:pPr>
      <w:r>
        <w:rPr>
          <w:rFonts w:asciiTheme="majorBidi" w:hAnsiTheme="majorBidi" w:cstheme="majorBidi"/>
          <w:sz w:val="24"/>
          <w:szCs w:val="24"/>
        </w:rPr>
        <w:t xml:space="preserve">Adanya </w:t>
      </w:r>
      <w:r w:rsidRPr="007C455B">
        <w:rPr>
          <w:rFonts w:asciiTheme="majorBidi" w:hAnsiTheme="majorBidi" w:cstheme="majorBidi"/>
          <w:sz w:val="24"/>
          <w:szCs w:val="24"/>
        </w:rPr>
        <w:t xml:space="preserve">Putusan fatwa yang mengambang dan kurang tegas, </w:t>
      </w:r>
      <w:r>
        <w:rPr>
          <w:rFonts w:asciiTheme="majorBidi" w:hAnsiTheme="majorBidi" w:cstheme="majorBidi"/>
          <w:sz w:val="24"/>
          <w:szCs w:val="24"/>
        </w:rPr>
        <w:t xml:space="preserve">serta </w:t>
      </w:r>
      <w:r w:rsidRPr="007C455B">
        <w:rPr>
          <w:rFonts w:asciiTheme="majorBidi" w:hAnsiTheme="majorBidi" w:cstheme="majorBidi"/>
          <w:sz w:val="24"/>
          <w:szCs w:val="24"/>
        </w:rPr>
        <w:t xml:space="preserve">putusan fatwa </w:t>
      </w:r>
      <w:r>
        <w:rPr>
          <w:rFonts w:asciiTheme="majorBidi" w:hAnsiTheme="majorBidi" w:cstheme="majorBidi"/>
          <w:sz w:val="24"/>
          <w:szCs w:val="24"/>
        </w:rPr>
        <w:t xml:space="preserve">yang </w:t>
      </w:r>
      <w:r w:rsidRPr="007C455B">
        <w:rPr>
          <w:rFonts w:asciiTheme="majorBidi" w:hAnsiTheme="majorBidi" w:cstheme="majorBidi"/>
          <w:sz w:val="24"/>
          <w:szCs w:val="24"/>
        </w:rPr>
        <w:t xml:space="preserve">masih </w:t>
      </w:r>
      <w:r>
        <w:rPr>
          <w:rFonts w:asciiTheme="majorBidi" w:hAnsiTheme="majorBidi" w:cstheme="majorBidi"/>
          <w:sz w:val="24"/>
          <w:szCs w:val="24"/>
        </w:rPr>
        <w:t>kental dengan fiq</w:t>
      </w:r>
      <w:r w:rsidR="00EF6554">
        <w:rPr>
          <w:rFonts w:asciiTheme="majorBidi" w:hAnsiTheme="majorBidi" w:cstheme="majorBidi"/>
          <w:sz w:val="24"/>
          <w:szCs w:val="24"/>
        </w:rPr>
        <w:t>h klasik</w:t>
      </w:r>
      <w:r>
        <w:rPr>
          <w:rFonts w:asciiTheme="majorBidi" w:hAnsiTheme="majorBidi" w:cstheme="majorBidi"/>
          <w:sz w:val="24"/>
          <w:szCs w:val="24"/>
        </w:rPr>
        <w:t>nya.</w:t>
      </w:r>
    </w:p>
    <w:p w:rsidR="006505F4" w:rsidRPr="00F4707D" w:rsidRDefault="00BC41DD" w:rsidP="00F4707D">
      <w:pPr>
        <w:pStyle w:val="ListParagraph"/>
        <w:numPr>
          <w:ilvl w:val="0"/>
          <w:numId w:val="3"/>
        </w:numPr>
        <w:tabs>
          <w:tab w:val="left" w:pos="540"/>
        </w:tabs>
        <w:spacing w:after="0" w:line="360" w:lineRule="auto"/>
        <w:ind w:left="990"/>
        <w:jc w:val="both"/>
        <w:rPr>
          <w:rFonts w:asciiTheme="majorBidi" w:hAnsiTheme="majorBidi" w:cstheme="majorBidi"/>
          <w:sz w:val="24"/>
          <w:szCs w:val="24"/>
        </w:rPr>
      </w:pPr>
      <w:r>
        <w:rPr>
          <w:rFonts w:asciiTheme="majorBidi" w:hAnsiTheme="majorBidi" w:cstheme="majorBidi"/>
          <w:sz w:val="24"/>
          <w:szCs w:val="24"/>
        </w:rPr>
        <w:t xml:space="preserve"> Adanya kerinduan dari masyarakat atas hadirnya prod</w:t>
      </w:r>
      <w:r w:rsidR="00F740D5">
        <w:rPr>
          <w:rFonts w:asciiTheme="majorBidi" w:hAnsiTheme="majorBidi" w:cstheme="majorBidi"/>
          <w:sz w:val="24"/>
          <w:szCs w:val="24"/>
        </w:rPr>
        <w:t>uk-produk fatwa yang berdiri di</w:t>
      </w:r>
      <w:r>
        <w:rPr>
          <w:rFonts w:asciiTheme="majorBidi" w:hAnsiTheme="majorBidi" w:cstheme="majorBidi"/>
          <w:sz w:val="24"/>
          <w:szCs w:val="24"/>
        </w:rPr>
        <w:t>atas kepentingan semua golongan dan semua pihak.</w:t>
      </w:r>
    </w:p>
    <w:p w:rsidR="00BC41DD" w:rsidRPr="00026814" w:rsidRDefault="00BC41DD" w:rsidP="00A33E46">
      <w:pPr>
        <w:pStyle w:val="ListParagraph"/>
        <w:numPr>
          <w:ilvl w:val="0"/>
          <w:numId w:val="10"/>
        </w:numPr>
        <w:spacing w:line="360" w:lineRule="auto"/>
        <w:ind w:left="360" w:firstLine="0"/>
        <w:rPr>
          <w:rFonts w:asciiTheme="majorBidi" w:hAnsiTheme="majorBidi" w:cstheme="majorBidi"/>
          <w:b/>
          <w:bCs/>
          <w:sz w:val="24"/>
          <w:szCs w:val="24"/>
        </w:rPr>
      </w:pPr>
      <w:r w:rsidRPr="00026814">
        <w:rPr>
          <w:rFonts w:asciiTheme="majorBidi" w:hAnsiTheme="majorBidi" w:cstheme="majorBidi"/>
          <w:b/>
          <w:bCs/>
          <w:sz w:val="24"/>
          <w:szCs w:val="24"/>
        </w:rPr>
        <w:t xml:space="preserve">Batasan Masalah </w:t>
      </w:r>
    </w:p>
    <w:p w:rsidR="00F310C7" w:rsidRPr="009A2D60" w:rsidRDefault="00BC41DD" w:rsidP="00FE6378">
      <w:pPr>
        <w:spacing w:after="0" w:line="360" w:lineRule="auto"/>
        <w:ind w:left="360" w:firstLine="630"/>
        <w:jc w:val="both"/>
      </w:pPr>
      <w:r w:rsidRPr="0084470C">
        <w:rPr>
          <w:rFonts w:asciiTheme="majorBidi" w:hAnsiTheme="majorBidi" w:cstheme="majorBidi"/>
          <w:sz w:val="24"/>
          <w:szCs w:val="24"/>
        </w:rPr>
        <w:t>Agar penelitian ini mencapai sasaran yang diinginkan dengan benar da</w:t>
      </w:r>
      <w:r>
        <w:rPr>
          <w:rFonts w:asciiTheme="majorBidi" w:hAnsiTheme="majorBidi" w:cstheme="majorBidi"/>
          <w:sz w:val="24"/>
          <w:szCs w:val="24"/>
        </w:rPr>
        <w:t>n tepat, maka penelitian ini</w:t>
      </w:r>
      <w:r w:rsidR="009541AF">
        <w:rPr>
          <w:rFonts w:asciiTheme="majorBidi" w:hAnsiTheme="majorBidi" w:cstheme="majorBidi"/>
          <w:sz w:val="24"/>
          <w:szCs w:val="24"/>
        </w:rPr>
        <w:t xml:space="preserve"> perlu dibatasi dan fokus</w:t>
      </w:r>
      <w:r w:rsidRPr="0084470C">
        <w:rPr>
          <w:rFonts w:asciiTheme="majorBidi" w:hAnsiTheme="majorBidi" w:cstheme="majorBidi"/>
          <w:sz w:val="24"/>
          <w:szCs w:val="24"/>
        </w:rPr>
        <w:t xml:space="preserve"> pada </w:t>
      </w:r>
      <w:r>
        <w:rPr>
          <w:rFonts w:asciiTheme="majorBidi" w:hAnsiTheme="majorBidi" w:cstheme="majorBidi"/>
          <w:sz w:val="24"/>
          <w:szCs w:val="24"/>
        </w:rPr>
        <w:t>permasalahan</w:t>
      </w:r>
      <w:r w:rsidR="005D2804">
        <w:rPr>
          <w:rFonts w:asciiTheme="majorBidi" w:hAnsiTheme="majorBidi" w:cstheme="majorBidi"/>
          <w:sz w:val="24"/>
          <w:szCs w:val="24"/>
        </w:rPr>
        <w:t>“</w:t>
      </w:r>
      <w:r w:rsidR="00F310C7">
        <w:rPr>
          <w:rFonts w:asciiTheme="majorBidi" w:hAnsiTheme="majorBidi" w:cstheme="majorBidi"/>
          <w:sz w:val="24"/>
          <w:szCs w:val="24"/>
        </w:rPr>
        <w:t xml:space="preserve"> </w:t>
      </w:r>
      <w:r w:rsidR="00AC238B">
        <w:rPr>
          <w:rFonts w:asciiTheme="majorBidi" w:hAnsiTheme="majorBidi" w:cstheme="majorBidi"/>
          <w:sz w:val="24"/>
          <w:szCs w:val="24"/>
        </w:rPr>
        <w:t>Fatwa Majelis Ulama Indonesia dan Perannya dalam Pembaruan Hukum Keluarga Islam Indonesia</w:t>
      </w:r>
      <w:r w:rsidR="000B5B22">
        <w:rPr>
          <w:rFonts w:asciiTheme="majorBidi" w:hAnsiTheme="majorBidi" w:cstheme="majorBidi"/>
          <w:sz w:val="24"/>
          <w:szCs w:val="24"/>
        </w:rPr>
        <w:t xml:space="preserve"> (Studi Perspektif </w:t>
      </w:r>
      <w:r w:rsidR="000B5B22" w:rsidRPr="00E44262">
        <w:rPr>
          <w:rFonts w:asciiTheme="majorBidi" w:hAnsiTheme="majorBidi" w:cstheme="majorBidi"/>
          <w:i/>
          <w:iCs/>
          <w:sz w:val="24"/>
          <w:szCs w:val="24"/>
          <w:lang w:val="sv-SE"/>
        </w:rPr>
        <w:t>siyāsah syar</w:t>
      </w:r>
      <w:r w:rsidR="000B5B22" w:rsidRPr="00E44262">
        <w:rPr>
          <w:sz w:val="24"/>
          <w:szCs w:val="24"/>
          <w:lang w:val="sv-SE"/>
        </w:rPr>
        <w:t>‘</w:t>
      </w:r>
      <w:r w:rsidR="000B5B22" w:rsidRPr="00E44262">
        <w:rPr>
          <w:rFonts w:asciiTheme="majorBidi" w:hAnsiTheme="majorBidi" w:cstheme="majorBidi"/>
          <w:i/>
          <w:iCs/>
          <w:sz w:val="24"/>
          <w:szCs w:val="24"/>
          <w:lang w:val="sv-SE"/>
        </w:rPr>
        <w:t>i</w:t>
      </w:r>
      <w:r w:rsidR="005D2804">
        <w:rPr>
          <w:rFonts w:asciiTheme="majorBidi" w:hAnsiTheme="majorBidi" w:cstheme="majorBidi"/>
          <w:i/>
          <w:iCs/>
          <w:sz w:val="24"/>
          <w:szCs w:val="24"/>
          <w:lang w:val="sv-SE"/>
        </w:rPr>
        <w:t>y</w:t>
      </w:r>
      <w:r w:rsidR="000B5B22" w:rsidRPr="00E44262">
        <w:rPr>
          <w:rFonts w:asciiTheme="majorBidi" w:hAnsiTheme="majorBidi" w:cstheme="majorBidi"/>
          <w:i/>
          <w:iCs/>
          <w:sz w:val="24"/>
          <w:szCs w:val="24"/>
          <w:lang w:val="sv-SE"/>
        </w:rPr>
        <w:t>yah</w:t>
      </w:r>
      <w:r w:rsidR="00AE6EFF" w:rsidRPr="00AE6EFF">
        <w:rPr>
          <w:rFonts w:asciiTheme="majorBidi" w:hAnsiTheme="majorBidi" w:cstheme="majorBidi"/>
          <w:sz w:val="24"/>
          <w:szCs w:val="24"/>
          <w:lang w:val="sv-SE"/>
        </w:rPr>
        <w:t>)</w:t>
      </w:r>
      <w:r w:rsidR="00AC238B">
        <w:rPr>
          <w:rFonts w:asciiTheme="majorBidi" w:hAnsiTheme="majorBidi" w:cstheme="majorBidi"/>
          <w:sz w:val="24"/>
          <w:szCs w:val="24"/>
        </w:rPr>
        <w:t xml:space="preserve">”. </w:t>
      </w:r>
      <w:r w:rsidR="00455F37">
        <w:rPr>
          <w:rFonts w:asciiTheme="majorBidi" w:hAnsiTheme="majorBidi" w:cstheme="majorBidi"/>
          <w:sz w:val="24"/>
          <w:szCs w:val="24"/>
          <w:lang w:val="sv-SE"/>
        </w:rPr>
        <w:t xml:space="preserve">Dalam kajian ini </w:t>
      </w:r>
      <w:r w:rsidR="00455F37" w:rsidRPr="00365B82">
        <w:rPr>
          <w:rFonts w:asciiTheme="majorBidi" w:hAnsiTheme="majorBidi" w:cstheme="majorBidi"/>
          <w:sz w:val="24"/>
          <w:szCs w:val="24"/>
          <w:lang w:val="sv-SE"/>
        </w:rPr>
        <w:t>y</w:t>
      </w:r>
      <w:r w:rsidR="00122CEF" w:rsidRPr="00365B82">
        <w:rPr>
          <w:rFonts w:asciiTheme="majorBidi" w:hAnsiTheme="majorBidi" w:cstheme="majorBidi"/>
          <w:sz w:val="24"/>
          <w:szCs w:val="24"/>
          <w:lang w:val="sv-SE"/>
        </w:rPr>
        <w:t xml:space="preserve">ang dimaksud </w:t>
      </w:r>
      <w:r w:rsidR="00A951B4">
        <w:rPr>
          <w:rFonts w:asciiTheme="majorBidi" w:hAnsiTheme="majorBidi" w:cstheme="majorBidi"/>
          <w:sz w:val="24"/>
          <w:szCs w:val="24"/>
          <w:lang w:val="sv-SE"/>
        </w:rPr>
        <w:t>dengan istilah fatwa</w:t>
      </w:r>
      <w:r w:rsidR="00122CEF" w:rsidRPr="00365B82">
        <w:rPr>
          <w:rFonts w:asciiTheme="majorBidi" w:hAnsiTheme="majorBidi" w:cstheme="majorBidi"/>
          <w:sz w:val="24"/>
          <w:szCs w:val="24"/>
          <w:lang w:val="sv-SE"/>
        </w:rPr>
        <w:t xml:space="preserve"> adalah jawaban</w:t>
      </w:r>
      <w:r w:rsidR="00365B82" w:rsidRPr="00365B82">
        <w:rPr>
          <w:rFonts w:asciiTheme="majorBidi" w:hAnsiTheme="majorBidi" w:cstheme="majorBidi"/>
          <w:sz w:val="24"/>
          <w:szCs w:val="24"/>
          <w:lang w:val="sv-SE"/>
        </w:rPr>
        <w:t>, keputusan ataupu</w:t>
      </w:r>
      <w:r w:rsidR="00365B82">
        <w:rPr>
          <w:rFonts w:asciiTheme="majorBidi" w:hAnsiTheme="majorBidi" w:cstheme="majorBidi"/>
          <w:sz w:val="24"/>
          <w:szCs w:val="24"/>
          <w:lang w:val="sv-SE"/>
        </w:rPr>
        <w:t>n</w:t>
      </w:r>
      <w:r w:rsidR="00365B82" w:rsidRPr="00365B82">
        <w:rPr>
          <w:rFonts w:asciiTheme="majorBidi" w:hAnsiTheme="majorBidi" w:cstheme="majorBidi"/>
          <w:sz w:val="24"/>
          <w:szCs w:val="24"/>
          <w:lang w:val="sv-SE"/>
        </w:rPr>
        <w:t xml:space="preserve"> pendapa</w:t>
      </w:r>
      <w:r w:rsidR="00365B82">
        <w:rPr>
          <w:rFonts w:asciiTheme="majorBidi" w:hAnsiTheme="majorBidi" w:cstheme="majorBidi"/>
          <w:sz w:val="24"/>
          <w:szCs w:val="24"/>
          <w:lang w:val="sv-SE"/>
        </w:rPr>
        <w:t>t</w:t>
      </w:r>
      <w:r w:rsidR="00365B82" w:rsidRPr="00365B82">
        <w:rPr>
          <w:rFonts w:asciiTheme="majorBidi" w:hAnsiTheme="majorBidi" w:cstheme="majorBidi"/>
          <w:sz w:val="24"/>
          <w:szCs w:val="24"/>
          <w:lang w:val="sv-SE"/>
        </w:rPr>
        <w:t xml:space="preserve"> </w:t>
      </w:r>
      <w:r w:rsidR="00122CEF" w:rsidRPr="00365B82">
        <w:rPr>
          <w:rFonts w:asciiTheme="majorBidi" w:hAnsiTheme="majorBidi" w:cstheme="majorBidi"/>
          <w:sz w:val="24"/>
          <w:szCs w:val="24"/>
          <w:lang w:val="sv-SE"/>
        </w:rPr>
        <w:lastRenderedPageBreak/>
        <w:t xml:space="preserve">yang diberikan oleh </w:t>
      </w:r>
      <w:r w:rsidR="00365B82">
        <w:rPr>
          <w:rFonts w:asciiTheme="majorBidi" w:hAnsiTheme="majorBidi" w:cstheme="majorBidi"/>
          <w:sz w:val="24"/>
          <w:szCs w:val="24"/>
          <w:lang w:val="sv-SE"/>
        </w:rPr>
        <w:t xml:space="preserve">seorang </w:t>
      </w:r>
      <w:r w:rsidR="00122CEF" w:rsidRPr="00365B82">
        <w:rPr>
          <w:rFonts w:asciiTheme="majorBidi" w:hAnsiTheme="majorBidi" w:cstheme="majorBidi"/>
          <w:sz w:val="24"/>
          <w:szCs w:val="24"/>
          <w:lang w:val="sv-SE"/>
        </w:rPr>
        <w:t>mufti tentang suatu masalah keagamaan.</w:t>
      </w:r>
      <w:r w:rsidR="00122CEF">
        <w:rPr>
          <w:rStyle w:val="FootnoteReference"/>
          <w:rFonts w:asciiTheme="majorBidi" w:hAnsiTheme="majorBidi" w:cstheme="majorBidi"/>
          <w:sz w:val="24"/>
          <w:szCs w:val="24"/>
        </w:rPr>
        <w:footnoteReference w:id="58"/>
      </w:r>
      <w:r w:rsidR="008F0991" w:rsidRPr="00365B82">
        <w:rPr>
          <w:rFonts w:asciiTheme="majorBidi" w:hAnsiTheme="majorBidi" w:cstheme="majorBidi"/>
          <w:sz w:val="24"/>
          <w:szCs w:val="24"/>
          <w:lang w:val="sv-SE"/>
        </w:rPr>
        <w:t xml:space="preserve"> </w:t>
      </w:r>
      <w:r w:rsidR="008F0991">
        <w:rPr>
          <w:rFonts w:asciiTheme="majorBidi" w:hAnsiTheme="majorBidi" w:cstheme="majorBidi"/>
          <w:sz w:val="24"/>
          <w:szCs w:val="24"/>
        </w:rPr>
        <w:t>Majelis Ulama Indonesia adalah</w:t>
      </w:r>
      <w:r w:rsidR="00F740D5">
        <w:rPr>
          <w:rFonts w:asciiTheme="majorBidi" w:hAnsiTheme="majorBidi" w:cstheme="majorBidi"/>
          <w:sz w:val="24"/>
          <w:szCs w:val="24"/>
        </w:rPr>
        <w:t xml:space="preserve"> wadah musyawarah para ulama, </w:t>
      </w:r>
      <w:r w:rsidR="00830972">
        <w:rPr>
          <w:rFonts w:asciiTheme="majorBidi" w:hAnsiTheme="majorBidi" w:cstheme="majorBidi"/>
          <w:sz w:val="24"/>
          <w:szCs w:val="24"/>
        </w:rPr>
        <w:t>zu</w:t>
      </w:r>
      <w:r w:rsidR="00830972">
        <w:t>‘</w:t>
      </w:r>
      <w:r w:rsidR="00830972">
        <w:rPr>
          <w:rFonts w:asciiTheme="majorBidi" w:hAnsiTheme="majorBidi" w:cstheme="majorBidi"/>
          <w:sz w:val="24"/>
          <w:szCs w:val="24"/>
        </w:rPr>
        <w:t>ama</w:t>
      </w:r>
      <w:r w:rsidR="008F0991">
        <w:rPr>
          <w:rFonts w:asciiTheme="majorBidi" w:hAnsiTheme="majorBidi" w:cstheme="majorBidi"/>
          <w:sz w:val="24"/>
          <w:szCs w:val="24"/>
        </w:rPr>
        <w:t xml:space="preserve"> dan cendekiawan muslim, serta menjadi pengayom bagi seluruh muslim Indonesia.</w:t>
      </w:r>
      <w:r w:rsidR="008F0991">
        <w:rPr>
          <w:rStyle w:val="FootnoteReference"/>
          <w:rFonts w:asciiTheme="majorBidi" w:hAnsiTheme="majorBidi" w:cstheme="majorBidi"/>
          <w:sz w:val="24"/>
          <w:szCs w:val="24"/>
        </w:rPr>
        <w:footnoteReference w:id="59"/>
      </w:r>
      <w:r w:rsidR="002C5199">
        <w:rPr>
          <w:rFonts w:asciiTheme="majorBidi" w:hAnsiTheme="majorBidi" w:cstheme="majorBidi"/>
          <w:sz w:val="24"/>
          <w:szCs w:val="24"/>
        </w:rPr>
        <w:t xml:space="preserve"> </w:t>
      </w:r>
      <w:r w:rsidR="0012146D">
        <w:rPr>
          <w:rFonts w:asciiTheme="majorBidi" w:hAnsiTheme="majorBidi" w:cstheme="majorBidi"/>
          <w:sz w:val="24"/>
          <w:szCs w:val="24"/>
        </w:rPr>
        <w:t xml:space="preserve">Sedangkan </w:t>
      </w:r>
      <w:r w:rsidR="00987331">
        <w:rPr>
          <w:rFonts w:asciiTheme="majorBidi" w:hAnsiTheme="majorBidi" w:cstheme="majorBidi"/>
          <w:i/>
          <w:iCs/>
          <w:sz w:val="24"/>
          <w:szCs w:val="24"/>
        </w:rPr>
        <w:t xml:space="preserve">siyāsah </w:t>
      </w:r>
      <w:r w:rsidR="00CC1D08">
        <w:rPr>
          <w:rFonts w:asciiTheme="majorBidi" w:hAnsiTheme="majorBidi" w:cstheme="majorBidi"/>
          <w:i/>
          <w:iCs/>
          <w:sz w:val="24"/>
          <w:szCs w:val="24"/>
        </w:rPr>
        <w:t>syar‘i</w:t>
      </w:r>
      <w:r w:rsidR="0061335A">
        <w:rPr>
          <w:rFonts w:asciiTheme="majorBidi" w:hAnsiTheme="majorBidi" w:cstheme="majorBidi"/>
          <w:i/>
          <w:iCs/>
          <w:sz w:val="24"/>
          <w:szCs w:val="24"/>
        </w:rPr>
        <w:t>y</w:t>
      </w:r>
      <w:r w:rsidR="00CC1D08">
        <w:rPr>
          <w:rFonts w:asciiTheme="majorBidi" w:hAnsiTheme="majorBidi" w:cstheme="majorBidi"/>
          <w:i/>
          <w:iCs/>
          <w:sz w:val="24"/>
          <w:szCs w:val="24"/>
        </w:rPr>
        <w:t>yah</w:t>
      </w:r>
      <w:r w:rsidR="0012146D" w:rsidRPr="00D93641">
        <w:rPr>
          <w:rFonts w:asciiTheme="majorBidi" w:hAnsiTheme="majorBidi" w:cstheme="majorBidi"/>
          <w:i/>
          <w:iCs/>
          <w:sz w:val="24"/>
          <w:szCs w:val="24"/>
        </w:rPr>
        <w:t xml:space="preserve"> </w:t>
      </w:r>
      <w:r w:rsidR="0012146D">
        <w:rPr>
          <w:rFonts w:asciiTheme="majorBidi" w:hAnsiTheme="majorBidi" w:cstheme="majorBidi"/>
          <w:sz w:val="24"/>
          <w:szCs w:val="24"/>
        </w:rPr>
        <w:t xml:space="preserve">adalah pengurusan kepentingan-kepentingan umat sesuai dengan </w:t>
      </w:r>
      <w:r w:rsidR="0061335A" w:rsidRPr="008B1E45">
        <w:rPr>
          <w:rFonts w:asciiTheme="majorBidi" w:hAnsiTheme="majorBidi" w:cstheme="majorBidi"/>
          <w:i/>
          <w:iCs/>
          <w:sz w:val="24"/>
          <w:szCs w:val="24"/>
        </w:rPr>
        <w:t>s</w:t>
      </w:r>
      <w:r w:rsidR="0012146D" w:rsidRPr="008B1E45">
        <w:rPr>
          <w:rFonts w:asciiTheme="majorBidi" w:hAnsiTheme="majorBidi" w:cstheme="majorBidi"/>
          <w:i/>
          <w:iCs/>
          <w:sz w:val="24"/>
          <w:szCs w:val="24"/>
        </w:rPr>
        <w:t>yara</w:t>
      </w:r>
      <w:r w:rsidR="00830972">
        <w:rPr>
          <w:rFonts w:asciiTheme="majorBidi" w:hAnsiTheme="majorBidi" w:cstheme="majorBidi"/>
          <w:i/>
          <w:iCs/>
          <w:sz w:val="24"/>
          <w:szCs w:val="24"/>
        </w:rPr>
        <w:t>‘</w:t>
      </w:r>
      <w:r w:rsidR="0012146D">
        <w:rPr>
          <w:rFonts w:asciiTheme="majorBidi" w:hAnsiTheme="majorBidi" w:cstheme="majorBidi"/>
          <w:sz w:val="24"/>
          <w:szCs w:val="24"/>
        </w:rPr>
        <w:t xml:space="preserve"> demi terciptanya kemaslaha</w:t>
      </w:r>
      <w:r w:rsidR="00874D07">
        <w:rPr>
          <w:rFonts w:asciiTheme="majorBidi" w:hAnsiTheme="majorBidi" w:cstheme="majorBidi"/>
          <w:sz w:val="24"/>
          <w:szCs w:val="24"/>
        </w:rPr>
        <w:t>ta</w:t>
      </w:r>
      <w:r w:rsidR="0012146D">
        <w:rPr>
          <w:rFonts w:asciiTheme="majorBidi" w:hAnsiTheme="majorBidi" w:cstheme="majorBidi"/>
          <w:sz w:val="24"/>
          <w:szCs w:val="24"/>
        </w:rPr>
        <w:t>n.</w:t>
      </w:r>
      <w:r w:rsidR="0012146D">
        <w:rPr>
          <w:rStyle w:val="FootnoteReference"/>
          <w:rFonts w:asciiTheme="majorBidi" w:hAnsiTheme="majorBidi" w:cstheme="majorBidi"/>
          <w:sz w:val="24"/>
          <w:szCs w:val="24"/>
        </w:rPr>
        <w:footnoteReference w:id="60"/>
      </w:r>
      <w:r w:rsidR="0012146D">
        <w:rPr>
          <w:rFonts w:asciiTheme="majorBidi" w:hAnsiTheme="majorBidi" w:cstheme="majorBidi"/>
          <w:sz w:val="24"/>
          <w:szCs w:val="24"/>
        </w:rPr>
        <w:t xml:space="preserve"> </w:t>
      </w:r>
      <w:r w:rsidR="008F0991">
        <w:rPr>
          <w:rFonts w:asciiTheme="majorBidi" w:hAnsiTheme="majorBidi" w:cstheme="majorBidi"/>
          <w:sz w:val="24"/>
          <w:szCs w:val="24"/>
        </w:rPr>
        <w:t xml:space="preserve">Dan </w:t>
      </w:r>
      <w:r w:rsidR="005C6CA5">
        <w:rPr>
          <w:rFonts w:asciiTheme="majorBidi" w:hAnsiTheme="majorBidi" w:cstheme="majorBidi"/>
          <w:sz w:val="24"/>
          <w:szCs w:val="24"/>
        </w:rPr>
        <w:t>s</w:t>
      </w:r>
      <w:r w:rsidR="008F0991">
        <w:rPr>
          <w:rFonts w:asciiTheme="majorBidi" w:hAnsiTheme="majorBidi" w:cstheme="majorBidi"/>
          <w:sz w:val="24"/>
          <w:szCs w:val="24"/>
        </w:rPr>
        <w:t>ubyek fatwa yang dikaji adalah fat</w:t>
      </w:r>
      <w:r w:rsidR="00F310C7">
        <w:rPr>
          <w:rFonts w:asciiTheme="majorBidi" w:hAnsiTheme="majorBidi" w:cstheme="majorBidi"/>
          <w:sz w:val="24"/>
          <w:szCs w:val="24"/>
        </w:rPr>
        <w:t>wa-fatwa masalah hukum keluarga.</w:t>
      </w:r>
      <w:r w:rsidR="000B12D9">
        <w:rPr>
          <w:rFonts w:asciiTheme="majorBidi" w:hAnsiTheme="majorBidi" w:cstheme="majorBidi"/>
          <w:sz w:val="24"/>
          <w:szCs w:val="24"/>
        </w:rPr>
        <w:t xml:space="preserve"> </w:t>
      </w:r>
      <w:r w:rsidR="0049234C" w:rsidRPr="00A943B3">
        <w:rPr>
          <w:rFonts w:asciiTheme="majorBidi" w:hAnsiTheme="majorBidi" w:cstheme="majorBidi"/>
          <w:sz w:val="24"/>
          <w:szCs w:val="24"/>
        </w:rPr>
        <w:t>Karena hukum Keluar</w:t>
      </w:r>
      <w:r w:rsidR="0049234C">
        <w:rPr>
          <w:rFonts w:asciiTheme="majorBidi" w:hAnsiTheme="majorBidi" w:cstheme="majorBidi"/>
          <w:sz w:val="24"/>
          <w:szCs w:val="24"/>
        </w:rPr>
        <w:t xml:space="preserve">ga begitu luas, dan fatwa-fatwanya </w:t>
      </w:r>
      <w:r w:rsidR="0049234C" w:rsidRPr="00A943B3">
        <w:rPr>
          <w:rFonts w:asciiTheme="majorBidi" w:hAnsiTheme="majorBidi" w:cstheme="majorBidi"/>
          <w:sz w:val="24"/>
          <w:szCs w:val="24"/>
        </w:rPr>
        <w:t>sangat banyak</w:t>
      </w:r>
      <w:r w:rsidR="0049234C">
        <w:rPr>
          <w:rFonts w:asciiTheme="majorBidi" w:hAnsiTheme="majorBidi" w:cstheme="majorBidi"/>
          <w:sz w:val="24"/>
          <w:szCs w:val="24"/>
        </w:rPr>
        <w:t xml:space="preserve"> </w:t>
      </w:r>
      <w:r w:rsidR="00F310C7" w:rsidRPr="00A943B3">
        <w:rPr>
          <w:rFonts w:asciiTheme="majorBidi" w:hAnsiTheme="majorBidi" w:cstheme="majorBidi"/>
          <w:sz w:val="24"/>
          <w:szCs w:val="24"/>
        </w:rPr>
        <w:t>maka penulis membatasi penilitian ini hanya mengkaji enam fatwa</w:t>
      </w:r>
      <w:r w:rsidR="00F310C7">
        <w:rPr>
          <w:rFonts w:asciiTheme="majorBidi" w:hAnsiTheme="majorBidi" w:cstheme="majorBidi"/>
          <w:sz w:val="24"/>
          <w:szCs w:val="24"/>
        </w:rPr>
        <w:t xml:space="preserve">. Adapun </w:t>
      </w:r>
      <w:r w:rsidR="00F310C7" w:rsidRPr="008830C0">
        <w:rPr>
          <w:rFonts w:asciiTheme="majorBidi" w:hAnsiTheme="majorBidi" w:cstheme="majorBidi"/>
          <w:sz w:val="24"/>
          <w:szCs w:val="24"/>
        </w:rPr>
        <w:t>alasan memilih enam fatwa tersebut</w:t>
      </w:r>
      <w:r w:rsidR="00F310C7">
        <w:rPr>
          <w:rFonts w:asciiTheme="majorBidi" w:hAnsiTheme="majorBidi" w:cstheme="majorBidi"/>
          <w:sz w:val="24"/>
          <w:szCs w:val="24"/>
        </w:rPr>
        <w:t xml:space="preserve"> adalah;</w:t>
      </w:r>
      <w:r w:rsidR="00F310C7" w:rsidRPr="008830C0">
        <w:rPr>
          <w:rFonts w:asciiTheme="majorBidi" w:hAnsiTheme="majorBidi" w:cstheme="majorBidi"/>
          <w:sz w:val="24"/>
          <w:szCs w:val="24"/>
        </w:rPr>
        <w:t xml:space="preserve"> </w:t>
      </w:r>
      <w:r w:rsidR="00F310C7" w:rsidRPr="008830C0">
        <w:rPr>
          <w:rFonts w:asciiTheme="majorBidi" w:hAnsiTheme="majorBidi" w:cstheme="majorBidi"/>
          <w:i/>
          <w:iCs/>
          <w:sz w:val="24"/>
          <w:szCs w:val="24"/>
        </w:rPr>
        <w:t>pertama</w:t>
      </w:r>
      <w:r w:rsidR="00F310C7" w:rsidRPr="008830C0">
        <w:rPr>
          <w:rFonts w:asciiTheme="majorBidi" w:hAnsiTheme="majorBidi" w:cstheme="majorBidi"/>
          <w:sz w:val="24"/>
          <w:szCs w:val="24"/>
        </w:rPr>
        <w:t>, karena dalam p</w:t>
      </w:r>
      <w:r w:rsidR="00F310C7">
        <w:rPr>
          <w:rFonts w:asciiTheme="majorBidi" w:hAnsiTheme="majorBidi" w:cstheme="majorBidi"/>
          <w:sz w:val="24"/>
          <w:szCs w:val="24"/>
        </w:rPr>
        <w:t xml:space="preserve">utusan fatwa itu ada keganjilan </w:t>
      </w:r>
      <w:r w:rsidR="00F310C7" w:rsidRPr="008830C0">
        <w:rPr>
          <w:rFonts w:asciiTheme="majorBidi" w:hAnsiTheme="majorBidi" w:cstheme="majorBidi"/>
          <w:sz w:val="24"/>
          <w:szCs w:val="24"/>
        </w:rPr>
        <w:t>yaitu keberan</w:t>
      </w:r>
      <w:r w:rsidR="00F310C7">
        <w:rPr>
          <w:rFonts w:asciiTheme="majorBidi" w:hAnsiTheme="majorBidi" w:cstheme="majorBidi"/>
          <w:sz w:val="24"/>
          <w:szCs w:val="24"/>
        </w:rPr>
        <w:t xml:space="preserve">jakan </w:t>
      </w:r>
      <w:r w:rsidR="00F310C7" w:rsidRPr="008830C0">
        <w:rPr>
          <w:rFonts w:asciiTheme="majorBidi" w:hAnsiTheme="majorBidi" w:cstheme="majorBidi"/>
          <w:sz w:val="24"/>
          <w:szCs w:val="24"/>
        </w:rPr>
        <w:t>MUI</w:t>
      </w:r>
      <w:r w:rsidR="00A22378">
        <w:rPr>
          <w:rFonts w:asciiTheme="majorBidi" w:hAnsiTheme="majorBidi" w:cstheme="majorBidi"/>
          <w:sz w:val="24"/>
          <w:szCs w:val="24"/>
        </w:rPr>
        <w:t xml:space="preserve"> dari metode f</w:t>
      </w:r>
      <w:r w:rsidR="00F310C7">
        <w:rPr>
          <w:rFonts w:asciiTheme="majorBidi" w:hAnsiTheme="majorBidi" w:cstheme="majorBidi"/>
          <w:sz w:val="24"/>
          <w:szCs w:val="24"/>
        </w:rPr>
        <w:t xml:space="preserve">atwanya dengan meninggalkan nash yang ada, padahal dalam metode penetapan fatwanya disebutkan bahwa ketika masalah yang akan difatwakan itu sudah jelas hukumnya </w:t>
      </w:r>
      <w:r w:rsidR="009A2D60" w:rsidRPr="00FC3D65">
        <w:rPr>
          <w:rFonts w:asciiTheme="majorBidi" w:hAnsiTheme="majorBidi" w:cstheme="majorBidi"/>
          <w:sz w:val="24"/>
          <w:szCs w:val="24"/>
        </w:rPr>
        <w:t>(</w:t>
      </w:r>
      <w:r w:rsidR="009A2D60" w:rsidRPr="00FC3D65">
        <w:rPr>
          <w:rFonts w:asciiTheme="majorBidi" w:hAnsiTheme="majorBidi" w:cstheme="majorBidi"/>
          <w:i/>
          <w:iCs/>
          <w:sz w:val="24"/>
          <w:szCs w:val="24"/>
        </w:rPr>
        <w:t>a</w:t>
      </w:r>
      <w:r w:rsidR="009A2D60" w:rsidRPr="00FC3D65">
        <w:rPr>
          <w:rFonts w:asciiTheme="majorBidi" w:hAnsiTheme="majorBidi" w:cstheme="majorBidi"/>
          <w:i/>
          <w:iCs/>
          <w:sz w:val="24"/>
          <w:szCs w:val="24"/>
          <w:u w:val="single"/>
        </w:rPr>
        <w:t>h</w:t>
      </w:r>
      <w:r w:rsidR="009A2D60" w:rsidRPr="00FC3D65">
        <w:rPr>
          <w:rFonts w:asciiTheme="majorBidi" w:hAnsiTheme="majorBidi" w:cstheme="majorBidi"/>
          <w:i/>
          <w:iCs/>
          <w:sz w:val="24"/>
          <w:szCs w:val="24"/>
        </w:rPr>
        <w:t>kā</w:t>
      </w:r>
      <w:r w:rsidR="009A2D60">
        <w:rPr>
          <w:rFonts w:asciiTheme="majorBidi" w:hAnsiTheme="majorBidi" w:cstheme="majorBidi"/>
          <w:i/>
          <w:iCs/>
          <w:sz w:val="24"/>
          <w:szCs w:val="24"/>
        </w:rPr>
        <w:t>m al-</w:t>
      </w:r>
      <w:r w:rsidR="009A2D60" w:rsidRPr="00FC3D65">
        <w:rPr>
          <w:rFonts w:asciiTheme="majorBidi" w:hAnsiTheme="majorBidi" w:cstheme="majorBidi"/>
          <w:i/>
          <w:iCs/>
          <w:sz w:val="24"/>
          <w:szCs w:val="24"/>
        </w:rPr>
        <w:t>qaṭ</w:t>
      </w:r>
      <w:r w:rsidR="009A2D60" w:rsidRPr="00FC3D65">
        <w:rPr>
          <w:rFonts w:asciiTheme="majorBidi" w:hAnsiTheme="majorBidi" w:cstheme="majorBidi"/>
          <w:sz w:val="24"/>
          <w:szCs w:val="24"/>
        </w:rPr>
        <w:t>‘</w:t>
      </w:r>
      <w:r w:rsidR="009A2D60" w:rsidRPr="00FC3D65">
        <w:rPr>
          <w:rFonts w:asciiTheme="majorBidi" w:hAnsiTheme="majorBidi" w:cstheme="majorBidi"/>
          <w:i/>
          <w:iCs/>
          <w:sz w:val="24"/>
          <w:szCs w:val="24"/>
        </w:rPr>
        <w:t>iyāt</w:t>
      </w:r>
      <w:r w:rsidR="009A2D60" w:rsidRPr="00FC3D65">
        <w:rPr>
          <w:rFonts w:asciiTheme="majorBidi" w:hAnsiTheme="majorBidi" w:cstheme="majorBidi"/>
          <w:sz w:val="24"/>
          <w:szCs w:val="24"/>
        </w:rPr>
        <w:t>)</w:t>
      </w:r>
      <w:r w:rsidR="009A2D60">
        <w:rPr>
          <w:rFonts w:asciiTheme="majorBidi" w:hAnsiTheme="majorBidi" w:cstheme="majorBidi"/>
          <w:sz w:val="24"/>
          <w:szCs w:val="24"/>
        </w:rPr>
        <w:t xml:space="preserve"> </w:t>
      </w:r>
      <w:r w:rsidR="00F310C7">
        <w:rPr>
          <w:rFonts w:asciiTheme="majorBidi" w:hAnsiTheme="majorBidi" w:cstheme="majorBidi"/>
          <w:sz w:val="24"/>
          <w:szCs w:val="24"/>
        </w:rPr>
        <w:t xml:space="preserve">dalam arti ada </w:t>
      </w:r>
      <w:r w:rsidR="009A2D60" w:rsidRPr="00330635">
        <w:rPr>
          <w:rFonts w:asciiTheme="majorBidi" w:hAnsiTheme="majorBidi" w:cstheme="majorBidi"/>
          <w:i/>
          <w:iCs/>
          <w:sz w:val="24"/>
          <w:szCs w:val="24"/>
        </w:rPr>
        <w:t>na</w:t>
      </w:r>
      <w:r w:rsidR="009A2D60" w:rsidRPr="00F955D9">
        <w:rPr>
          <w:rFonts w:asciiTheme="majorBidi" w:hAnsiTheme="majorBidi" w:cstheme="majorBidi"/>
          <w:i/>
          <w:iCs/>
        </w:rPr>
        <w:t>ṣ</w:t>
      </w:r>
      <w:r w:rsidR="009A2D60">
        <w:rPr>
          <w:rFonts w:asciiTheme="majorBidi" w:hAnsiTheme="majorBidi" w:cstheme="majorBidi"/>
          <w:i/>
          <w:iCs/>
          <w:sz w:val="24"/>
          <w:szCs w:val="24"/>
        </w:rPr>
        <w:t xml:space="preserve"> </w:t>
      </w:r>
      <w:r w:rsidR="009A2D60" w:rsidRPr="00F955D9">
        <w:rPr>
          <w:rFonts w:asciiTheme="majorBidi" w:hAnsiTheme="majorBidi" w:cstheme="majorBidi"/>
          <w:i/>
          <w:iCs/>
        </w:rPr>
        <w:t>ṣ</w:t>
      </w:r>
      <w:r w:rsidR="009A2D60" w:rsidRPr="00330635">
        <w:rPr>
          <w:rFonts w:asciiTheme="majorBidi" w:hAnsiTheme="majorBidi" w:cstheme="majorBidi"/>
          <w:i/>
          <w:iCs/>
          <w:sz w:val="24"/>
          <w:szCs w:val="24"/>
        </w:rPr>
        <w:t>ar</w:t>
      </w:r>
      <w:r w:rsidR="009A2D60" w:rsidRPr="0094142F">
        <w:rPr>
          <w:rFonts w:asciiTheme="majorBidi" w:hAnsiTheme="majorBidi" w:cstheme="majorBidi"/>
          <w:i/>
          <w:iCs/>
        </w:rPr>
        <w:t>ī</w:t>
      </w:r>
      <w:r w:rsidR="009A2D60" w:rsidRPr="00330635">
        <w:rPr>
          <w:rFonts w:asciiTheme="majorBidi" w:hAnsiTheme="majorBidi" w:cstheme="majorBidi"/>
          <w:i/>
          <w:iCs/>
          <w:sz w:val="24"/>
          <w:szCs w:val="24"/>
        </w:rPr>
        <w:t>h</w:t>
      </w:r>
      <w:r w:rsidR="00F310C7">
        <w:rPr>
          <w:rFonts w:asciiTheme="majorBidi" w:hAnsiTheme="majorBidi" w:cstheme="majorBidi"/>
          <w:sz w:val="24"/>
          <w:szCs w:val="24"/>
        </w:rPr>
        <w:t>, maka fatwa disam</w:t>
      </w:r>
      <w:r w:rsidR="007134FE">
        <w:rPr>
          <w:rFonts w:asciiTheme="majorBidi" w:hAnsiTheme="majorBidi" w:cstheme="majorBidi"/>
          <w:sz w:val="24"/>
          <w:szCs w:val="24"/>
        </w:rPr>
        <w:t>paikan apa adanya, tapi dalam p</w:t>
      </w:r>
      <w:r w:rsidR="00F310C7">
        <w:rPr>
          <w:rFonts w:asciiTheme="majorBidi" w:hAnsiTheme="majorBidi" w:cstheme="majorBidi"/>
          <w:sz w:val="24"/>
          <w:szCs w:val="24"/>
        </w:rPr>
        <w:t xml:space="preserve">rakteknya MUI meninggalkan nash </w:t>
      </w:r>
      <w:r w:rsidR="00CC7CA7">
        <w:rPr>
          <w:rFonts w:asciiTheme="majorBidi" w:hAnsiTheme="majorBidi" w:cstheme="majorBidi"/>
          <w:sz w:val="24"/>
          <w:szCs w:val="24"/>
        </w:rPr>
        <w:t>yang ada.</w:t>
      </w:r>
      <w:r w:rsidR="009A2D60">
        <w:t xml:space="preserve"> </w:t>
      </w:r>
      <w:r w:rsidR="00F310C7" w:rsidRPr="006434CA">
        <w:rPr>
          <w:rFonts w:asciiTheme="majorBidi" w:hAnsiTheme="majorBidi" w:cstheme="majorBidi"/>
          <w:i/>
          <w:iCs/>
          <w:sz w:val="24"/>
          <w:szCs w:val="24"/>
        </w:rPr>
        <w:t>Kedua</w:t>
      </w:r>
      <w:r w:rsidR="00F310C7" w:rsidRPr="008830C0">
        <w:rPr>
          <w:rFonts w:asciiTheme="majorBidi" w:hAnsiTheme="majorBidi" w:cstheme="majorBidi"/>
          <w:sz w:val="24"/>
          <w:szCs w:val="24"/>
        </w:rPr>
        <w:t xml:space="preserve">, karena putusan fatwa tersebut kontraversi dengan undang-undang yang </w:t>
      </w:r>
      <w:r w:rsidR="00F310C7">
        <w:rPr>
          <w:rFonts w:asciiTheme="majorBidi" w:hAnsiTheme="majorBidi" w:cstheme="majorBidi"/>
          <w:sz w:val="24"/>
          <w:szCs w:val="24"/>
        </w:rPr>
        <w:t>ada, semestinya fatwa itu mendukung undang-undang karena penyusunan undang-undang lebih konfrehensif daripada pembuatan fatwa.</w:t>
      </w:r>
      <w:r w:rsidR="00F310C7" w:rsidRPr="008830C0">
        <w:rPr>
          <w:rFonts w:asciiTheme="majorBidi" w:hAnsiTheme="majorBidi" w:cstheme="majorBidi"/>
          <w:sz w:val="24"/>
          <w:szCs w:val="24"/>
        </w:rPr>
        <w:t xml:space="preserve"> </w:t>
      </w:r>
      <w:r w:rsidR="00F310C7" w:rsidRPr="006434CA">
        <w:rPr>
          <w:rFonts w:asciiTheme="majorBidi" w:hAnsiTheme="majorBidi" w:cstheme="majorBidi"/>
          <w:i/>
          <w:iCs/>
          <w:sz w:val="24"/>
          <w:szCs w:val="24"/>
        </w:rPr>
        <w:t>Ketiga</w:t>
      </w:r>
      <w:r w:rsidR="00F310C7">
        <w:rPr>
          <w:rFonts w:asciiTheme="majorBidi" w:hAnsiTheme="majorBidi" w:cstheme="majorBidi"/>
          <w:sz w:val="24"/>
          <w:szCs w:val="24"/>
        </w:rPr>
        <w:t xml:space="preserve">, karena </w:t>
      </w:r>
      <w:r w:rsidR="00F310C7" w:rsidRPr="008830C0">
        <w:rPr>
          <w:rFonts w:asciiTheme="majorBidi" w:hAnsiTheme="majorBidi" w:cstheme="majorBidi"/>
          <w:sz w:val="24"/>
          <w:szCs w:val="24"/>
        </w:rPr>
        <w:t xml:space="preserve">putusan fatwa </w:t>
      </w:r>
      <w:r w:rsidR="00F310C7">
        <w:rPr>
          <w:rFonts w:asciiTheme="majorBidi" w:hAnsiTheme="majorBidi" w:cstheme="majorBidi"/>
          <w:sz w:val="24"/>
          <w:szCs w:val="24"/>
        </w:rPr>
        <w:t>tersebut</w:t>
      </w:r>
      <w:r w:rsidR="00F310C7" w:rsidRPr="008830C0">
        <w:rPr>
          <w:rFonts w:asciiTheme="majorBidi" w:hAnsiTheme="majorBidi" w:cstheme="majorBidi"/>
          <w:sz w:val="24"/>
          <w:szCs w:val="24"/>
        </w:rPr>
        <w:t xml:space="preserve"> menyebabkan ketidak pastian hukum atau dualisme hukum, padahal kepastian hukum merupakan salah</w:t>
      </w:r>
      <w:r w:rsidR="009A2D60">
        <w:rPr>
          <w:rFonts w:asciiTheme="majorBidi" w:hAnsiTheme="majorBidi" w:cstheme="majorBidi"/>
          <w:sz w:val="24"/>
          <w:szCs w:val="24"/>
        </w:rPr>
        <w:t xml:space="preserve"> </w:t>
      </w:r>
      <w:r w:rsidR="00F310C7" w:rsidRPr="008830C0">
        <w:rPr>
          <w:rFonts w:asciiTheme="majorBidi" w:hAnsiTheme="majorBidi" w:cstheme="majorBidi"/>
          <w:sz w:val="24"/>
          <w:szCs w:val="24"/>
        </w:rPr>
        <w:t>satu tujuan utama dibuatnya hukum itu sendiri</w:t>
      </w:r>
      <w:r w:rsidR="00F310C7">
        <w:rPr>
          <w:rFonts w:asciiTheme="majorBidi" w:hAnsiTheme="majorBidi" w:cstheme="majorBidi"/>
          <w:sz w:val="24"/>
          <w:szCs w:val="24"/>
        </w:rPr>
        <w:t>.</w:t>
      </w:r>
      <w:r w:rsidR="00F310C7" w:rsidRPr="006434CA">
        <w:rPr>
          <w:rFonts w:asciiTheme="majorBidi" w:hAnsiTheme="majorBidi" w:cstheme="majorBidi"/>
          <w:i/>
          <w:iCs/>
          <w:sz w:val="24"/>
          <w:szCs w:val="24"/>
          <w:lang w:val="sv-SE"/>
        </w:rPr>
        <w:t xml:space="preserve"> </w:t>
      </w:r>
      <w:r w:rsidR="00F310C7" w:rsidRPr="00853E75">
        <w:rPr>
          <w:rFonts w:asciiTheme="majorBidi" w:hAnsiTheme="majorBidi" w:cstheme="majorBidi"/>
          <w:sz w:val="24"/>
          <w:szCs w:val="24"/>
          <w:lang w:val="sv-SE"/>
        </w:rPr>
        <w:t>Alasan</w:t>
      </w:r>
      <w:r w:rsidR="00F310C7">
        <w:rPr>
          <w:rFonts w:asciiTheme="majorBidi" w:hAnsiTheme="majorBidi" w:cstheme="majorBidi"/>
          <w:i/>
          <w:iCs/>
          <w:sz w:val="24"/>
          <w:szCs w:val="24"/>
          <w:lang w:val="sv-SE"/>
        </w:rPr>
        <w:t xml:space="preserve"> keempat</w:t>
      </w:r>
      <w:r w:rsidR="00F310C7">
        <w:rPr>
          <w:rFonts w:asciiTheme="majorBidi" w:hAnsiTheme="majorBidi" w:cstheme="majorBidi"/>
          <w:sz w:val="24"/>
          <w:szCs w:val="24"/>
          <w:lang w:val="sv-SE"/>
        </w:rPr>
        <w:t>, sebagai suatu karya ilmiyah, dibatasi hanya enam fatwa agar fokus dan mendalam dalam pengkajiannya.</w:t>
      </w:r>
      <w:r w:rsidR="00FE6378">
        <w:rPr>
          <w:rFonts w:asciiTheme="majorBidi" w:hAnsiTheme="majorBidi" w:cstheme="majorBidi"/>
          <w:sz w:val="24"/>
          <w:szCs w:val="24"/>
          <w:lang w:val="sv-SE"/>
        </w:rPr>
        <w:t xml:space="preserve"> Sementara fatwa yang dikaji dalam penilitian ini adalah fatwa Majelis Ulama Indonesia (MUI) Pusat.</w:t>
      </w:r>
    </w:p>
    <w:p w:rsidR="00A951B4" w:rsidRPr="00F538AC" w:rsidRDefault="00CC7CA7" w:rsidP="00FE6378">
      <w:pPr>
        <w:spacing w:after="0" w:line="360" w:lineRule="auto"/>
        <w:ind w:left="360" w:firstLine="630"/>
        <w:jc w:val="both"/>
        <w:rPr>
          <w:rFonts w:asciiTheme="majorBidi" w:hAnsiTheme="majorBidi" w:cstheme="majorBidi"/>
          <w:sz w:val="24"/>
          <w:szCs w:val="24"/>
          <w:lang w:val="sv-SE"/>
        </w:rPr>
      </w:pPr>
      <w:r>
        <w:rPr>
          <w:rFonts w:asciiTheme="majorBidi" w:hAnsiTheme="majorBidi" w:cstheme="majorBidi"/>
          <w:sz w:val="24"/>
          <w:szCs w:val="24"/>
          <w:lang w:val="sv-SE"/>
        </w:rPr>
        <w:t>Dan</w:t>
      </w:r>
      <w:r w:rsidR="00F538AC">
        <w:rPr>
          <w:rFonts w:asciiTheme="majorBidi" w:hAnsiTheme="majorBidi" w:cstheme="majorBidi"/>
          <w:sz w:val="24"/>
          <w:szCs w:val="24"/>
          <w:lang w:val="sv-SE"/>
        </w:rPr>
        <w:t xml:space="preserve"> enam fatwa tersebut </w:t>
      </w:r>
      <w:r w:rsidR="00874D07">
        <w:rPr>
          <w:rFonts w:asciiTheme="majorBidi" w:hAnsiTheme="majorBidi" w:cstheme="majorBidi"/>
          <w:sz w:val="24"/>
          <w:szCs w:val="24"/>
          <w:lang w:val="sv-SE"/>
        </w:rPr>
        <w:t xml:space="preserve">yaitu; </w:t>
      </w:r>
      <w:r w:rsidR="0061335A">
        <w:rPr>
          <w:rFonts w:asciiTheme="majorBidi" w:hAnsiTheme="majorBidi" w:cstheme="majorBidi"/>
          <w:sz w:val="24"/>
          <w:szCs w:val="24"/>
          <w:lang w:val="sv-SE"/>
        </w:rPr>
        <w:t xml:space="preserve">fatwa tentang perkawinan beda agama, fatwa nikah tidak tercatat, fatwa talak diluar pengadilan, fatwa waris beda </w:t>
      </w:r>
      <w:r w:rsidR="0061335A">
        <w:rPr>
          <w:rFonts w:asciiTheme="majorBidi" w:hAnsiTheme="majorBidi" w:cstheme="majorBidi"/>
          <w:sz w:val="24"/>
          <w:szCs w:val="24"/>
          <w:lang w:val="sv-SE"/>
        </w:rPr>
        <w:lastRenderedPageBreak/>
        <w:t xml:space="preserve">agama, fatwa status </w:t>
      </w:r>
      <w:r w:rsidR="0061335A" w:rsidRPr="002A6DCA">
        <w:rPr>
          <w:rFonts w:asciiTheme="majorBidi" w:hAnsiTheme="majorBidi" w:cstheme="majorBidi"/>
          <w:sz w:val="24"/>
          <w:szCs w:val="24"/>
          <w:lang w:val="sv-SE"/>
        </w:rPr>
        <w:t xml:space="preserve">anak luar nikah </w:t>
      </w:r>
      <w:r w:rsidR="0061335A">
        <w:rPr>
          <w:rFonts w:asciiTheme="majorBidi" w:hAnsiTheme="majorBidi" w:cstheme="majorBidi"/>
          <w:sz w:val="24"/>
          <w:szCs w:val="24"/>
          <w:lang w:val="sv-SE"/>
        </w:rPr>
        <w:t>dan fatwa tentang hak asuh anak bagi orang tua yang bercerai karena berbeda agama.</w:t>
      </w:r>
      <w:r w:rsidR="0061335A" w:rsidRPr="00F538AC">
        <w:rPr>
          <w:rFonts w:asciiTheme="majorBidi" w:hAnsiTheme="majorBidi" w:cstheme="majorBidi"/>
          <w:sz w:val="24"/>
          <w:szCs w:val="24"/>
          <w:lang w:val="sv-SE"/>
        </w:rPr>
        <w:t xml:space="preserve"> </w:t>
      </w:r>
    </w:p>
    <w:p w:rsidR="00BC41DD" w:rsidRPr="00026814" w:rsidRDefault="00BC41DD" w:rsidP="00FE6378">
      <w:pPr>
        <w:pStyle w:val="ListParagraph"/>
        <w:numPr>
          <w:ilvl w:val="0"/>
          <w:numId w:val="10"/>
        </w:numPr>
        <w:spacing w:after="0" w:line="360" w:lineRule="auto"/>
        <w:ind w:left="360" w:firstLine="0"/>
        <w:jc w:val="both"/>
        <w:rPr>
          <w:rFonts w:asciiTheme="majorBidi" w:hAnsiTheme="majorBidi" w:cstheme="majorBidi"/>
          <w:b/>
          <w:bCs/>
          <w:sz w:val="24"/>
          <w:szCs w:val="24"/>
        </w:rPr>
      </w:pPr>
      <w:r w:rsidRPr="00026814">
        <w:rPr>
          <w:rFonts w:asciiTheme="majorBidi" w:hAnsiTheme="majorBidi" w:cstheme="majorBidi"/>
          <w:b/>
          <w:bCs/>
          <w:sz w:val="24"/>
          <w:szCs w:val="24"/>
        </w:rPr>
        <w:t>Rumusan Masalah</w:t>
      </w:r>
    </w:p>
    <w:p w:rsidR="007918CA" w:rsidRDefault="00BC41DD" w:rsidP="00A22378">
      <w:pPr>
        <w:pStyle w:val="ListParagraph"/>
        <w:spacing w:after="0" w:line="360" w:lineRule="auto"/>
        <w:ind w:left="450" w:firstLine="630"/>
        <w:jc w:val="both"/>
        <w:rPr>
          <w:rFonts w:asciiTheme="majorBidi" w:hAnsiTheme="majorBidi" w:cstheme="majorBidi"/>
          <w:sz w:val="24"/>
          <w:szCs w:val="24"/>
          <w:lang w:val="sv-SE"/>
        </w:rPr>
      </w:pPr>
      <w:r w:rsidRPr="0084470C">
        <w:rPr>
          <w:rFonts w:asciiTheme="majorBidi" w:hAnsiTheme="majorBidi" w:cstheme="majorBidi"/>
          <w:sz w:val="24"/>
          <w:szCs w:val="24"/>
          <w:lang w:val="sv-SE"/>
        </w:rPr>
        <w:t>Berdasarkan batasan</w:t>
      </w:r>
      <w:r>
        <w:rPr>
          <w:rFonts w:asciiTheme="majorBidi" w:hAnsiTheme="majorBidi" w:cstheme="majorBidi"/>
          <w:sz w:val="24"/>
          <w:szCs w:val="24"/>
          <w:lang w:val="sv-SE"/>
        </w:rPr>
        <w:t xml:space="preserve"> dan latarbelakang masalah yang telah penulis uraikan di</w:t>
      </w:r>
      <w:r w:rsidR="00EC7E10">
        <w:rPr>
          <w:rFonts w:asciiTheme="majorBidi" w:hAnsiTheme="majorBidi" w:cstheme="majorBidi"/>
          <w:sz w:val="24"/>
          <w:szCs w:val="24"/>
          <w:lang w:val="sv-SE"/>
        </w:rPr>
        <w:t xml:space="preserve"> </w:t>
      </w:r>
      <w:r w:rsidRPr="0084470C">
        <w:rPr>
          <w:rFonts w:asciiTheme="majorBidi" w:hAnsiTheme="majorBidi" w:cstheme="majorBidi"/>
          <w:sz w:val="24"/>
          <w:szCs w:val="24"/>
          <w:lang w:val="sv-SE"/>
        </w:rPr>
        <w:t>atas, maka masalah penelitian ini dapat</w:t>
      </w:r>
      <w:r w:rsidR="00442C0A">
        <w:rPr>
          <w:rFonts w:asciiTheme="majorBidi" w:hAnsiTheme="majorBidi" w:cstheme="majorBidi"/>
          <w:sz w:val="24"/>
          <w:szCs w:val="24"/>
          <w:lang w:val="sv-SE"/>
        </w:rPr>
        <w:t xml:space="preserve"> didekati dengan mengajukan dua</w:t>
      </w:r>
      <w:r w:rsidRPr="0084470C">
        <w:rPr>
          <w:rFonts w:asciiTheme="majorBidi" w:hAnsiTheme="majorBidi" w:cstheme="majorBidi"/>
          <w:sz w:val="24"/>
          <w:szCs w:val="24"/>
          <w:lang w:val="sv-SE"/>
        </w:rPr>
        <w:t xml:space="preserve"> pertanyaan mendasar sebagai berikut :</w:t>
      </w:r>
    </w:p>
    <w:p w:rsidR="009D53EE" w:rsidRPr="009D53EE" w:rsidRDefault="005A2356" w:rsidP="0003101D">
      <w:pPr>
        <w:pStyle w:val="ListParagraph"/>
        <w:numPr>
          <w:ilvl w:val="0"/>
          <w:numId w:val="7"/>
        </w:numPr>
        <w:spacing w:after="0" w:line="360" w:lineRule="auto"/>
        <w:ind w:left="1170"/>
        <w:jc w:val="both"/>
        <w:rPr>
          <w:rFonts w:asciiTheme="majorBidi" w:hAnsiTheme="majorBidi" w:cstheme="majorBidi"/>
          <w:sz w:val="24"/>
          <w:szCs w:val="24"/>
          <w:lang w:val="sv-SE"/>
        </w:rPr>
      </w:pPr>
      <w:r w:rsidRPr="009D53EE">
        <w:rPr>
          <w:rFonts w:asciiTheme="majorBidi" w:hAnsiTheme="majorBidi" w:cstheme="majorBidi"/>
          <w:sz w:val="24"/>
          <w:szCs w:val="24"/>
          <w:lang w:val="sv-SE"/>
        </w:rPr>
        <w:t xml:space="preserve">Bagaimana </w:t>
      </w:r>
      <w:r w:rsidR="00B306E9" w:rsidRPr="009D53EE">
        <w:rPr>
          <w:rFonts w:asciiTheme="majorBidi" w:hAnsiTheme="majorBidi" w:cstheme="majorBidi"/>
          <w:sz w:val="24"/>
          <w:szCs w:val="24"/>
          <w:lang w:val="sv-SE"/>
        </w:rPr>
        <w:t xml:space="preserve">peran fatwa </w:t>
      </w:r>
      <w:r w:rsidR="009D53EE" w:rsidRPr="009D53EE">
        <w:rPr>
          <w:rFonts w:asciiTheme="majorBidi" w:hAnsiTheme="majorBidi" w:cstheme="majorBidi"/>
          <w:sz w:val="24"/>
          <w:szCs w:val="24"/>
          <w:lang w:val="sv-SE"/>
        </w:rPr>
        <w:t xml:space="preserve">Majelis Ulama Indonesia </w:t>
      </w:r>
      <w:r w:rsidR="009D53EE">
        <w:rPr>
          <w:rFonts w:asciiTheme="majorBidi" w:hAnsiTheme="majorBidi" w:cstheme="majorBidi"/>
          <w:sz w:val="24"/>
          <w:szCs w:val="24"/>
          <w:lang w:val="sv-SE"/>
        </w:rPr>
        <w:t>(</w:t>
      </w:r>
      <w:r w:rsidR="00B306E9" w:rsidRPr="009D53EE">
        <w:rPr>
          <w:rFonts w:asciiTheme="majorBidi" w:hAnsiTheme="majorBidi" w:cstheme="majorBidi"/>
          <w:sz w:val="24"/>
          <w:szCs w:val="24"/>
          <w:lang w:val="sv-SE"/>
        </w:rPr>
        <w:t>MUI</w:t>
      </w:r>
      <w:r w:rsidR="009D53EE">
        <w:rPr>
          <w:rFonts w:asciiTheme="majorBidi" w:hAnsiTheme="majorBidi" w:cstheme="majorBidi"/>
          <w:sz w:val="24"/>
          <w:szCs w:val="24"/>
          <w:lang w:val="sv-SE"/>
        </w:rPr>
        <w:t>)</w:t>
      </w:r>
      <w:r w:rsidR="00B306E9" w:rsidRPr="009D53EE">
        <w:rPr>
          <w:rFonts w:asciiTheme="majorBidi" w:hAnsiTheme="majorBidi" w:cstheme="majorBidi"/>
          <w:sz w:val="24"/>
          <w:szCs w:val="24"/>
          <w:lang w:val="sv-SE"/>
        </w:rPr>
        <w:t xml:space="preserve"> </w:t>
      </w:r>
      <w:r w:rsidR="0003101D">
        <w:rPr>
          <w:rFonts w:asciiTheme="majorBidi" w:hAnsiTheme="majorBidi" w:cstheme="majorBidi"/>
          <w:sz w:val="24"/>
          <w:szCs w:val="24"/>
          <w:lang w:val="sv-SE"/>
        </w:rPr>
        <w:t xml:space="preserve">dalam membangun </w:t>
      </w:r>
      <w:r w:rsidR="009D53EE" w:rsidRPr="00DD7F11">
        <w:rPr>
          <w:rFonts w:ascii="Times New Roman" w:hAnsi="Times New Roman" w:cs="Times New Roman"/>
          <w:sz w:val="24"/>
          <w:szCs w:val="24"/>
          <w:lang w:val="sv-SE"/>
        </w:rPr>
        <w:t xml:space="preserve">hukum </w:t>
      </w:r>
      <w:r w:rsidR="00497840">
        <w:rPr>
          <w:rFonts w:ascii="Times New Roman" w:hAnsi="Times New Roman" w:cs="Times New Roman"/>
          <w:sz w:val="24"/>
          <w:szCs w:val="24"/>
          <w:lang w:val="sv-SE"/>
        </w:rPr>
        <w:t>k</w:t>
      </w:r>
      <w:r w:rsidR="008648D7">
        <w:rPr>
          <w:rFonts w:ascii="Times New Roman" w:hAnsi="Times New Roman" w:cs="Times New Roman"/>
          <w:sz w:val="24"/>
          <w:szCs w:val="24"/>
          <w:lang w:val="sv-SE"/>
        </w:rPr>
        <w:t xml:space="preserve">eluarga </w:t>
      </w:r>
      <w:r w:rsidR="009D53EE" w:rsidRPr="00DD7F11">
        <w:rPr>
          <w:rFonts w:ascii="Times New Roman" w:hAnsi="Times New Roman" w:cs="Times New Roman"/>
          <w:sz w:val="24"/>
          <w:szCs w:val="24"/>
          <w:lang w:val="sv-SE"/>
        </w:rPr>
        <w:t>Islam Indonesia?</w:t>
      </w:r>
      <w:r w:rsidR="009D53EE">
        <w:rPr>
          <w:rFonts w:ascii="Times New Roman" w:hAnsi="Times New Roman" w:cs="Times New Roman"/>
          <w:sz w:val="24"/>
          <w:szCs w:val="24"/>
          <w:lang w:val="sv-SE"/>
        </w:rPr>
        <w:t xml:space="preserve"> </w:t>
      </w:r>
    </w:p>
    <w:p w:rsidR="009D53EE" w:rsidRPr="009D53EE" w:rsidRDefault="00B743A5" w:rsidP="009D53EE">
      <w:pPr>
        <w:pStyle w:val="ListParagraph"/>
        <w:numPr>
          <w:ilvl w:val="0"/>
          <w:numId w:val="7"/>
        </w:numPr>
        <w:spacing w:after="0" w:line="360" w:lineRule="auto"/>
        <w:ind w:left="1170"/>
        <w:jc w:val="both"/>
        <w:rPr>
          <w:rFonts w:asciiTheme="majorBidi" w:hAnsiTheme="majorBidi" w:cstheme="majorBidi"/>
          <w:sz w:val="24"/>
          <w:szCs w:val="24"/>
          <w:lang w:val="sv-SE"/>
        </w:rPr>
      </w:pPr>
      <w:r w:rsidRPr="009D53EE">
        <w:rPr>
          <w:rFonts w:asciiTheme="majorBidi" w:hAnsiTheme="majorBidi" w:cstheme="majorBidi"/>
          <w:sz w:val="24"/>
          <w:szCs w:val="24"/>
          <w:lang w:val="sv-SE"/>
        </w:rPr>
        <w:t xml:space="preserve">Bagaimana </w:t>
      </w:r>
      <w:r w:rsidR="00386FCB" w:rsidRPr="009D53EE">
        <w:rPr>
          <w:rFonts w:asciiTheme="majorBidi" w:hAnsiTheme="majorBidi" w:cstheme="majorBidi"/>
          <w:sz w:val="24"/>
          <w:szCs w:val="24"/>
          <w:lang w:val="sv-SE"/>
        </w:rPr>
        <w:t>r</w:t>
      </w:r>
      <w:r w:rsidR="008C08A5" w:rsidRPr="009D53EE">
        <w:rPr>
          <w:rFonts w:asciiTheme="majorBidi" w:hAnsiTheme="majorBidi" w:cstheme="majorBidi"/>
          <w:sz w:val="24"/>
          <w:szCs w:val="24"/>
          <w:lang w:val="sv-SE"/>
        </w:rPr>
        <w:t>elevansi</w:t>
      </w:r>
      <w:r w:rsidR="00ED4D70" w:rsidRPr="009D53EE">
        <w:rPr>
          <w:rFonts w:asciiTheme="majorBidi" w:hAnsiTheme="majorBidi" w:cstheme="majorBidi"/>
          <w:sz w:val="24"/>
          <w:szCs w:val="24"/>
          <w:lang w:val="sv-SE"/>
        </w:rPr>
        <w:t xml:space="preserve"> </w:t>
      </w:r>
      <w:r w:rsidR="00A2136D" w:rsidRPr="009D53EE">
        <w:rPr>
          <w:rFonts w:asciiTheme="majorBidi" w:hAnsiTheme="majorBidi" w:cstheme="majorBidi"/>
          <w:sz w:val="24"/>
          <w:szCs w:val="24"/>
          <w:lang w:val="sv-SE"/>
        </w:rPr>
        <w:t>f</w:t>
      </w:r>
      <w:r w:rsidR="00374207" w:rsidRPr="009D53EE">
        <w:rPr>
          <w:rFonts w:asciiTheme="majorBidi" w:hAnsiTheme="majorBidi" w:cstheme="majorBidi"/>
          <w:sz w:val="24"/>
          <w:szCs w:val="24"/>
          <w:lang w:val="sv-SE"/>
        </w:rPr>
        <w:t>atwa Majelis Ulama</w:t>
      </w:r>
      <w:r w:rsidR="009D53EE">
        <w:rPr>
          <w:rFonts w:asciiTheme="majorBidi" w:hAnsiTheme="majorBidi" w:cstheme="majorBidi"/>
          <w:sz w:val="24"/>
          <w:szCs w:val="24"/>
          <w:lang w:val="sv-SE"/>
        </w:rPr>
        <w:t xml:space="preserve"> </w:t>
      </w:r>
      <w:r w:rsidR="00374207" w:rsidRPr="009D53EE">
        <w:rPr>
          <w:rFonts w:asciiTheme="majorBidi" w:hAnsiTheme="majorBidi" w:cstheme="majorBidi"/>
          <w:sz w:val="24"/>
          <w:szCs w:val="24"/>
          <w:lang w:val="sv-SE"/>
        </w:rPr>
        <w:t>Indonesia</w:t>
      </w:r>
      <w:r w:rsidR="009D53EE">
        <w:rPr>
          <w:rFonts w:asciiTheme="majorBidi" w:hAnsiTheme="majorBidi" w:cstheme="majorBidi"/>
          <w:sz w:val="24"/>
          <w:szCs w:val="24"/>
          <w:lang w:val="sv-SE"/>
        </w:rPr>
        <w:t xml:space="preserve"> (</w:t>
      </w:r>
      <w:r w:rsidR="009D53EE" w:rsidRPr="009D53EE">
        <w:rPr>
          <w:rFonts w:asciiTheme="majorBidi" w:hAnsiTheme="majorBidi" w:cstheme="majorBidi"/>
          <w:sz w:val="24"/>
          <w:szCs w:val="24"/>
          <w:lang w:val="sv-SE"/>
        </w:rPr>
        <w:t>MUI</w:t>
      </w:r>
      <w:r w:rsidR="009D53EE">
        <w:rPr>
          <w:rFonts w:asciiTheme="majorBidi" w:hAnsiTheme="majorBidi" w:cstheme="majorBidi"/>
          <w:sz w:val="24"/>
          <w:szCs w:val="24"/>
          <w:lang w:val="sv-SE"/>
        </w:rPr>
        <w:t>)</w:t>
      </w:r>
      <w:r w:rsidR="009D53EE" w:rsidRPr="009D53EE">
        <w:rPr>
          <w:rFonts w:asciiTheme="majorBidi" w:hAnsiTheme="majorBidi" w:cstheme="majorBidi"/>
          <w:sz w:val="24"/>
          <w:szCs w:val="24"/>
          <w:lang w:val="sv-SE"/>
        </w:rPr>
        <w:t xml:space="preserve"> </w:t>
      </w:r>
      <w:r w:rsidR="006F2A7B" w:rsidRPr="009D53EE">
        <w:rPr>
          <w:rFonts w:asciiTheme="majorBidi" w:hAnsiTheme="majorBidi" w:cstheme="majorBidi"/>
          <w:sz w:val="24"/>
          <w:szCs w:val="24"/>
          <w:lang w:val="sv-SE"/>
        </w:rPr>
        <w:t>terhadap p</w:t>
      </w:r>
      <w:r w:rsidR="008B1E45" w:rsidRPr="009D53EE">
        <w:rPr>
          <w:rFonts w:asciiTheme="majorBidi" w:hAnsiTheme="majorBidi" w:cstheme="majorBidi"/>
          <w:sz w:val="24"/>
          <w:szCs w:val="24"/>
          <w:lang w:val="sv-SE"/>
        </w:rPr>
        <w:t>em</w:t>
      </w:r>
      <w:r w:rsidR="00D13BE8" w:rsidRPr="009D53EE">
        <w:rPr>
          <w:rFonts w:asciiTheme="majorBidi" w:hAnsiTheme="majorBidi" w:cstheme="majorBidi"/>
          <w:sz w:val="24"/>
          <w:szCs w:val="24"/>
          <w:lang w:val="sv-SE"/>
        </w:rPr>
        <w:t xml:space="preserve">baruan </w:t>
      </w:r>
      <w:r w:rsidR="008F4536" w:rsidRPr="009D53EE">
        <w:rPr>
          <w:rFonts w:asciiTheme="majorBidi" w:hAnsiTheme="majorBidi" w:cstheme="majorBidi"/>
          <w:sz w:val="24"/>
          <w:szCs w:val="24"/>
          <w:lang w:val="sv-SE"/>
        </w:rPr>
        <w:t xml:space="preserve"> </w:t>
      </w:r>
      <w:r w:rsidR="00374207" w:rsidRPr="009D53EE">
        <w:rPr>
          <w:rFonts w:asciiTheme="majorBidi" w:hAnsiTheme="majorBidi" w:cstheme="majorBidi"/>
          <w:sz w:val="24"/>
          <w:szCs w:val="24"/>
          <w:lang w:val="sv-SE"/>
        </w:rPr>
        <w:t>hukum keluarga</w:t>
      </w:r>
      <w:r w:rsidR="00A22378">
        <w:rPr>
          <w:rFonts w:asciiTheme="majorBidi" w:hAnsiTheme="majorBidi" w:cstheme="majorBidi"/>
          <w:sz w:val="24"/>
          <w:szCs w:val="24"/>
          <w:lang w:val="sv-SE"/>
        </w:rPr>
        <w:t xml:space="preserve"> </w:t>
      </w:r>
      <w:r w:rsidR="00BC4F06">
        <w:rPr>
          <w:rFonts w:asciiTheme="majorBidi" w:hAnsiTheme="majorBidi" w:cstheme="majorBidi"/>
          <w:sz w:val="24"/>
          <w:szCs w:val="24"/>
          <w:lang w:val="sv-SE"/>
        </w:rPr>
        <w:t>Islam</w:t>
      </w:r>
      <w:r w:rsidR="00D13BE8" w:rsidRPr="009D53EE">
        <w:rPr>
          <w:rFonts w:asciiTheme="majorBidi" w:hAnsiTheme="majorBidi" w:cstheme="majorBidi"/>
          <w:sz w:val="24"/>
          <w:szCs w:val="24"/>
          <w:lang w:val="sv-SE"/>
        </w:rPr>
        <w:t xml:space="preserve"> di Indonesia</w:t>
      </w:r>
      <w:r w:rsidRPr="009D53EE">
        <w:rPr>
          <w:rFonts w:asciiTheme="majorBidi" w:hAnsiTheme="majorBidi" w:cstheme="majorBidi"/>
          <w:sz w:val="24"/>
          <w:szCs w:val="24"/>
          <w:lang w:val="sv-SE"/>
        </w:rPr>
        <w:t xml:space="preserve"> ?</w:t>
      </w:r>
      <w:r w:rsidR="009F0411" w:rsidRPr="009D53EE">
        <w:rPr>
          <w:rFonts w:asciiTheme="majorBidi" w:hAnsiTheme="majorBidi" w:cstheme="majorBidi"/>
          <w:sz w:val="24"/>
          <w:szCs w:val="24"/>
          <w:lang w:val="sv-SE"/>
        </w:rPr>
        <w:t xml:space="preserve"> </w:t>
      </w:r>
    </w:p>
    <w:p w:rsidR="009F0411" w:rsidRPr="0084470C" w:rsidRDefault="009F0411" w:rsidP="00A33E46">
      <w:pPr>
        <w:pStyle w:val="ListParagraph"/>
        <w:numPr>
          <w:ilvl w:val="0"/>
          <w:numId w:val="9"/>
        </w:numPr>
        <w:spacing w:after="0" w:line="360" w:lineRule="auto"/>
        <w:ind w:left="360"/>
        <w:rPr>
          <w:rFonts w:asciiTheme="majorBidi" w:hAnsiTheme="majorBidi" w:cstheme="majorBidi"/>
          <w:b/>
          <w:bCs/>
          <w:sz w:val="24"/>
          <w:szCs w:val="24"/>
        </w:rPr>
      </w:pPr>
      <w:r w:rsidRPr="0084470C">
        <w:rPr>
          <w:rFonts w:asciiTheme="majorBidi" w:hAnsiTheme="majorBidi" w:cstheme="majorBidi"/>
          <w:b/>
          <w:bCs/>
          <w:sz w:val="24"/>
          <w:szCs w:val="24"/>
        </w:rPr>
        <w:t xml:space="preserve">Tujuan </w:t>
      </w:r>
      <w:r w:rsidR="00415F51">
        <w:rPr>
          <w:rFonts w:asciiTheme="majorBidi" w:hAnsiTheme="majorBidi" w:cstheme="majorBidi"/>
          <w:b/>
          <w:bCs/>
          <w:sz w:val="24"/>
          <w:szCs w:val="24"/>
        </w:rPr>
        <w:t xml:space="preserve">dan Kegunaan </w:t>
      </w:r>
      <w:r w:rsidRPr="0084470C">
        <w:rPr>
          <w:rFonts w:asciiTheme="majorBidi" w:hAnsiTheme="majorBidi" w:cstheme="majorBidi"/>
          <w:b/>
          <w:bCs/>
          <w:sz w:val="24"/>
          <w:szCs w:val="24"/>
        </w:rPr>
        <w:t>Penelitian</w:t>
      </w:r>
      <w:bookmarkStart w:id="1" w:name="OLE_LINK215"/>
      <w:bookmarkStart w:id="2" w:name="OLE_LINK216"/>
    </w:p>
    <w:bookmarkEnd w:id="1"/>
    <w:bookmarkEnd w:id="2"/>
    <w:p w:rsidR="009F0411" w:rsidRPr="0084470C" w:rsidRDefault="009F0411" w:rsidP="00A33E46">
      <w:pPr>
        <w:pStyle w:val="msonormalcxspmiddlecxspmiddle"/>
        <w:numPr>
          <w:ilvl w:val="2"/>
          <w:numId w:val="4"/>
        </w:numPr>
        <w:spacing w:before="0" w:beforeAutospacing="0" w:after="0" w:afterAutospacing="0" w:line="360" w:lineRule="auto"/>
        <w:ind w:left="630" w:hanging="90"/>
        <w:contextualSpacing/>
        <w:jc w:val="both"/>
        <w:rPr>
          <w:rFonts w:asciiTheme="majorBidi" w:hAnsiTheme="majorBidi" w:cstheme="majorBidi"/>
          <w:bCs/>
          <w:lang w:val="it-IT"/>
        </w:rPr>
      </w:pPr>
      <w:r w:rsidRPr="0084470C">
        <w:rPr>
          <w:rFonts w:asciiTheme="majorBidi" w:hAnsiTheme="majorBidi" w:cstheme="majorBidi"/>
          <w:bCs/>
          <w:lang w:val="it-IT"/>
        </w:rPr>
        <w:t>Tujuan</w:t>
      </w:r>
      <w:r>
        <w:rPr>
          <w:rFonts w:asciiTheme="majorBidi" w:hAnsiTheme="majorBidi" w:cstheme="majorBidi"/>
          <w:bCs/>
          <w:lang w:val="it-IT"/>
        </w:rPr>
        <w:t xml:space="preserve"> Penelitian </w:t>
      </w:r>
      <w:r w:rsidRPr="0025010D">
        <w:rPr>
          <w:rFonts w:asciiTheme="majorBidi" w:hAnsiTheme="majorBidi" w:cstheme="majorBidi"/>
          <w:bCs/>
          <w:lang w:val="it-IT"/>
        </w:rPr>
        <w:t>secara umum</w:t>
      </w:r>
    </w:p>
    <w:p w:rsidR="009F0411" w:rsidRDefault="009F0411" w:rsidP="00A22378">
      <w:pPr>
        <w:spacing w:after="0" w:line="360" w:lineRule="auto"/>
        <w:ind w:left="450" w:firstLine="630"/>
        <w:contextualSpacing/>
        <w:jc w:val="both"/>
        <w:rPr>
          <w:rFonts w:asciiTheme="majorBidi" w:hAnsiTheme="majorBidi" w:cstheme="majorBidi"/>
          <w:sz w:val="24"/>
          <w:szCs w:val="24"/>
          <w:lang w:val="sv-SE"/>
        </w:rPr>
      </w:pPr>
      <w:r w:rsidRPr="0025010D">
        <w:rPr>
          <w:rFonts w:asciiTheme="majorBidi" w:hAnsiTheme="majorBidi" w:cstheme="majorBidi"/>
          <w:bCs/>
          <w:sz w:val="24"/>
          <w:szCs w:val="24"/>
          <w:lang w:val="it-IT"/>
        </w:rPr>
        <w:t xml:space="preserve">Adapun tujuan penelitian ini secara umum adalah untuk mengkaji secara mendalam tentang </w:t>
      </w:r>
      <w:r w:rsidRPr="0025010D">
        <w:rPr>
          <w:rFonts w:ascii="Times New Roman" w:hAnsi="Times New Roman" w:cs="Times New Roman"/>
          <w:sz w:val="24"/>
          <w:szCs w:val="24"/>
          <w:lang w:val="sv-SE"/>
        </w:rPr>
        <w:t>”</w:t>
      </w:r>
      <w:r w:rsidRPr="00FE5A9B">
        <w:rPr>
          <w:rFonts w:ascii="Times New Roman" w:hAnsi="Times New Roman" w:cs="Times New Roman"/>
          <w:sz w:val="24"/>
          <w:szCs w:val="24"/>
          <w:lang w:val="sv-SE"/>
        </w:rPr>
        <w:t xml:space="preserve"> </w:t>
      </w:r>
      <w:r w:rsidRPr="00FE5A9B">
        <w:rPr>
          <w:rFonts w:asciiTheme="majorBidi" w:hAnsiTheme="majorBidi" w:cstheme="majorBidi"/>
          <w:sz w:val="24"/>
          <w:szCs w:val="24"/>
          <w:lang w:val="sv-SE"/>
        </w:rPr>
        <w:t>Fatwa Majelis Ulama Indonesia</w:t>
      </w:r>
      <w:r w:rsidRPr="00576E07">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Dan </w:t>
      </w:r>
      <w:r w:rsidR="00A22378">
        <w:rPr>
          <w:rFonts w:asciiTheme="majorBidi" w:hAnsiTheme="majorBidi" w:cstheme="majorBidi"/>
          <w:sz w:val="24"/>
          <w:szCs w:val="24"/>
          <w:lang w:val="sv-SE"/>
        </w:rPr>
        <w:t xml:space="preserve">Perannya dalam </w:t>
      </w:r>
      <w:r>
        <w:rPr>
          <w:rFonts w:asciiTheme="majorBidi" w:hAnsiTheme="majorBidi" w:cstheme="majorBidi"/>
          <w:sz w:val="24"/>
          <w:szCs w:val="24"/>
          <w:lang w:val="sv-SE"/>
        </w:rPr>
        <w:t xml:space="preserve">Pembaruan Hukum Keluarga (Studi Perspektif </w:t>
      </w:r>
      <w:r w:rsidRPr="00FE6378">
        <w:rPr>
          <w:rFonts w:asciiTheme="majorBidi" w:hAnsiTheme="majorBidi" w:cstheme="majorBidi"/>
          <w:i/>
          <w:iCs/>
          <w:sz w:val="24"/>
          <w:szCs w:val="24"/>
          <w:lang w:val="sv-SE"/>
        </w:rPr>
        <w:t xml:space="preserve">Siyāsah  </w:t>
      </w:r>
      <w:r w:rsidR="00CC1D08" w:rsidRPr="00FE6378">
        <w:rPr>
          <w:rFonts w:asciiTheme="majorBidi" w:hAnsiTheme="majorBidi" w:cstheme="majorBidi"/>
          <w:i/>
          <w:iCs/>
          <w:sz w:val="24"/>
          <w:szCs w:val="24"/>
          <w:lang w:val="sv-SE"/>
        </w:rPr>
        <w:t>Syar‘i</w:t>
      </w:r>
      <w:r w:rsidR="00A2136D" w:rsidRPr="00FE6378">
        <w:rPr>
          <w:rFonts w:asciiTheme="majorBidi" w:hAnsiTheme="majorBidi" w:cstheme="majorBidi"/>
          <w:i/>
          <w:iCs/>
          <w:sz w:val="24"/>
          <w:szCs w:val="24"/>
          <w:lang w:val="sv-SE"/>
        </w:rPr>
        <w:t>y</w:t>
      </w:r>
      <w:r w:rsidR="00CC1D08" w:rsidRPr="00FE6378">
        <w:rPr>
          <w:rFonts w:asciiTheme="majorBidi" w:hAnsiTheme="majorBidi" w:cstheme="majorBidi"/>
          <w:i/>
          <w:iCs/>
          <w:sz w:val="24"/>
          <w:szCs w:val="24"/>
          <w:lang w:val="sv-SE"/>
        </w:rPr>
        <w:t>yah</w:t>
      </w:r>
      <w:r>
        <w:rPr>
          <w:rFonts w:asciiTheme="majorBidi" w:hAnsiTheme="majorBidi" w:cstheme="majorBidi"/>
          <w:sz w:val="24"/>
          <w:szCs w:val="24"/>
          <w:lang w:val="sv-SE"/>
        </w:rPr>
        <w:t xml:space="preserve"> )”.</w:t>
      </w:r>
    </w:p>
    <w:p w:rsidR="009F0411" w:rsidRPr="00D97BE4" w:rsidRDefault="009F0411" w:rsidP="00A33E46">
      <w:pPr>
        <w:pStyle w:val="msonormalcxspmiddlecxspmiddle"/>
        <w:numPr>
          <w:ilvl w:val="2"/>
          <w:numId w:val="4"/>
        </w:numPr>
        <w:spacing w:before="0" w:beforeAutospacing="0" w:after="0" w:afterAutospacing="0" w:line="360" w:lineRule="auto"/>
        <w:ind w:left="630" w:hanging="90"/>
        <w:contextualSpacing/>
        <w:jc w:val="both"/>
        <w:rPr>
          <w:rFonts w:asciiTheme="majorBidi" w:hAnsiTheme="majorBidi" w:cstheme="majorBidi"/>
          <w:bCs/>
          <w:lang w:val="it-IT"/>
        </w:rPr>
      </w:pPr>
      <w:r w:rsidRPr="0084470C">
        <w:rPr>
          <w:rFonts w:asciiTheme="majorBidi" w:hAnsiTheme="majorBidi" w:cstheme="majorBidi"/>
          <w:bCs/>
          <w:lang w:val="it-IT"/>
        </w:rPr>
        <w:t>Tujuan</w:t>
      </w:r>
      <w:r>
        <w:rPr>
          <w:rFonts w:asciiTheme="majorBidi" w:hAnsiTheme="majorBidi" w:cstheme="majorBidi"/>
          <w:bCs/>
          <w:lang w:val="it-IT"/>
        </w:rPr>
        <w:t xml:space="preserve"> Penelitian secara Khusus</w:t>
      </w:r>
    </w:p>
    <w:p w:rsidR="009F0411" w:rsidRDefault="009F0411" w:rsidP="00A22378">
      <w:pPr>
        <w:pStyle w:val="msonormalcxspmiddlecxspmiddle"/>
        <w:tabs>
          <w:tab w:val="left" w:pos="810"/>
          <w:tab w:val="left" w:pos="900"/>
        </w:tabs>
        <w:spacing w:before="0" w:beforeAutospacing="0" w:after="0" w:afterAutospacing="0" w:line="360" w:lineRule="auto"/>
        <w:ind w:firstLine="1170"/>
        <w:contextualSpacing/>
        <w:jc w:val="both"/>
        <w:rPr>
          <w:rFonts w:asciiTheme="majorBidi" w:hAnsiTheme="majorBidi" w:cstheme="majorBidi"/>
          <w:bCs/>
          <w:lang w:val="it-IT"/>
        </w:rPr>
      </w:pPr>
      <w:r>
        <w:rPr>
          <w:rFonts w:asciiTheme="majorBidi" w:hAnsiTheme="majorBidi" w:cstheme="majorBidi"/>
          <w:bCs/>
          <w:lang w:val="it-IT"/>
        </w:rPr>
        <w:t xml:space="preserve">Sementara </w:t>
      </w:r>
      <w:r w:rsidRPr="0084470C">
        <w:rPr>
          <w:rFonts w:asciiTheme="majorBidi" w:hAnsiTheme="majorBidi" w:cstheme="majorBidi"/>
          <w:bCs/>
          <w:lang w:val="it-IT"/>
        </w:rPr>
        <w:t xml:space="preserve">Tujuan </w:t>
      </w:r>
      <w:r>
        <w:rPr>
          <w:rFonts w:asciiTheme="majorBidi" w:hAnsiTheme="majorBidi" w:cstheme="majorBidi"/>
          <w:bCs/>
          <w:lang w:val="it-IT"/>
        </w:rPr>
        <w:t>Penilitian secara k</w:t>
      </w:r>
      <w:r w:rsidRPr="0084470C">
        <w:rPr>
          <w:rFonts w:asciiTheme="majorBidi" w:hAnsiTheme="majorBidi" w:cstheme="majorBidi"/>
          <w:bCs/>
          <w:lang w:val="it-IT"/>
        </w:rPr>
        <w:t>husus</w:t>
      </w:r>
      <w:r>
        <w:rPr>
          <w:rFonts w:asciiTheme="majorBidi" w:hAnsiTheme="majorBidi" w:cstheme="majorBidi"/>
          <w:bCs/>
          <w:lang w:val="it-IT"/>
        </w:rPr>
        <w:t xml:space="preserve"> adalah untuk:</w:t>
      </w:r>
    </w:p>
    <w:p w:rsidR="009F0411" w:rsidRPr="001D6870" w:rsidRDefault="009F0411" w:rsidP="00A22378">
      <w:pPr>
        <w:pStyle w:val="ListParagraph"/>
        <w:numPr>
          <w:ilvl w:val="0"/>
          <w:numId w:val="6"/>
        </w:numPr>
        <w:spacing w:after="0" w:line="360" w:lineRule="auto"/>
        <w:ind w:left="1170" w:hanging="450"/>
        <w:jc w:val="both"/>
        <w:rPr>
          <w:rFonts w:asciiTheme="majorBidi" w:hAnsiTheme="majorBidi" w:cstheme="majorBidi"/>
          <w:sz w:val="24"/>
          <w:szCs w:val="24"/>
          <w:lang w:val="sv-SE"/>
        </w:rPr>
      </w:pPr>
      <w:r>
        <w:rPr>
          <w:rFonts w:asciiTheme="majorBidi" w:hAnsiTheme="majorBidi" w:cstheme="majorBidi"/>
          <w:sz w:val="24"/>
          <w:szCs w:val="24"/>
          <w:lang w:val="sv-SE"/>
        </w:rPr>
        <w:t xml:space="preserve">Menganalisa </w:t>
      </w:r>
      <w:r w:rsidR="00A22378" w:rsidRPr="009D53EE">
        <w:rPr>
          <w:rFonts w:asciiTheme="majorBidi" w:hAnsiTheme="majorBidi" w:cstheme="majorBidi"/>
          <w:sz w:val="24"/>
          <w:szCs w:val="24"/>
          <w:lang w:val="sv-SE"/>
        </w:rPr>
        <w:t xml:space="preserve">peran fatwa Majelis Ulama Indonesia </w:t>
      </w:r>
      <w:r w:rsidR="00A22378">
        <w:rPr>
          <w:rFonts w:asciiTheme="majorBidi" w:hAnsiTheme="majorBidi" w:cstheme="majorBidi"/>
          <w:sz w:val="24"/>
          <w:szCs w:val="24"/>
          <w:lang w:val="sv-SE"/>
        </w:rPr>
        <w:t>(</w:t>
      </w:r>
      <w:r w:rsidR="00A22378" w:rsidRPr="009D53EE">
        <w:rPr>
          <w:rFonts w:asciiTheme="majorBidi" w:hAnsiTheme="majorBidi" w:cstheme="majorBidi"/>
          <w:sz w:val="24"/>
          <w:szCs w:val="24"/>
          <w:lang w:val="sv-SE"/>
        </w:rPr>
        <w:t>MUI</w:t>
      </w:r>
      <w:r w:rsidR="00A22378">
        <w:rPr>
          <w:rFonts w:asciiTheme="majorBidi" w:hAnsiTheme="majorBidi" w:cstheme="majorBidi"/>
          <w:sz w:val="24"/>
          <w:szCs w:val="24"/>
          <w:lang w:val="sv-SE"/>
        </w:rPr>
        <w:t>)</w:t>
      </w:r>
      <w:r w:rsidR="00A22378" w:rsidRPr="009D53EE">
        <w:rPr>
          <w:rFonts w:asciiTheme="majorBidi" w:hAnsiTheme="majorBidi" w:cstheme="majorBidi"/>
          <w:sz w:val="24"/>
          <w:szCs w:val="24"/>
          <w:lang w:val="sv-SE"/>
        </w:rPr>
        <w:t xml:space="preserve"> </w:t>
      </w:r>
      <w:r w:rsidR="00A22378">
        <w:rPr>
          <w:rFonts w:asciiTheme="majorBidi" w:hAnsiTheme="majorBidi" w:cstheme="majorBidi"/>
          <w:sz w:val="24"/>
          <w:szCs w:val="24"/>
          <w:lang w:val="sv-SE"/>
        </w:rPr>
        <w:t xml:space="preserve">dalam membangun </w:t>
      </w:r>
      <w:r w:rsidR="00A22378" w:rsidRPr="00DD7F11">
        <w:rPr>
          <w:rFonts w:ascii="Times New Roman" w:hAnsi="Times New Roman" w:cs="Times New Roman"/>
          <w:sz w:val="24"/>
          <w:szCs w:val="24"/>
          <w:lang w:val="sv-SE"/>
        </w:rPr>
        <w:t xml:space="preserve">hukum </w:t>
      </w:r>
      <w:r w:rsidR="00A22378">
        <w:rPr>
          <w:rFonts w:ascii="Times New Roman" w:hAnsi="Times New Roman" w:cs="Times New Roman"/>
          <w:sz w:val="24"/>
          <w:szCs w:val="24"/>
          <w:lang w:val="sv-SE"/>
        </w:rPr>
        <w:t xml:space="preserve">keluarga </w:t>
      </w:r>
      <w:r w:rsidR="00A22378" w:rsidRPr="00DD7F11">
        <w:rPr>
          <w:rFonts w:ascii="Times New Roman" w:hAnsi="Times New Roman" w:cs="Times New Roman"/>
          <w:sz w:val="24"/>
          <w:szCs w:val="24"/>
          <w:lang w:val="sv-SE"/>
        </w:rPr>
        <w:t>Islam Indonesia</w:t>
      </w:r>
    </w:p>
    <w:p w:rsidR="00A22378" w:rsidRDefault="009F0411" w:rsidP="00A22378">
      <w:pPr>
        <w:pStyle w:val="ListParagraph"/>
        <w:numPr>
          <w:ilvl w:val="0"/>
          <w:numId w:val="6"/>
        </w:numPr>
        <w:spacing w:after="0" w:line="360" w:lineRule="auto"/>
        <w:ind w:left="1080"/>
        <w:jc w:val="both"/>
        <w:rPr>
          <w:rFonts w:asciiTheme="majorBidi" w:hAnsiTheme="majorBidi" w:cstheme="majorBidi"/>
          <w:sz w:val="24"/>
          <w:szCs w:val="24"/>
          <w:lang w:val="sv-SE"/>
        </w:rPr>
      </w:pPr>
      <w:r>
        <w:rPr>
          <w:rFonts w:asciiTheme="majorBidi" w:hAnsiTheme="majorBidi" w:cstheme="majorBidi"/>
          <w:sz w:val="24"/>
          <w:szCs w:val="24"/>
          <w:lang w:val="sv-SE"/>
        </w:rPr>
        <w:t xml:space="preserve"> </w:t>
      </w:r>
      <w:r w:rsidRPr="0098278A">
        <w:rPr>
          <w:rFonts w:asciiTheme="majorBidi" w:hAnsiTheme="majorBidi" w:cstheme="majorBidi"/>
          <w:sz w:val="24"/>
          <w:szCs w:val="24"/>
          <w:lang w:val="sv-SE"/>
        </w:rPr>
        <w:t xml:space="preserve">Menganalisa </w:t>
      </w:r>
      <w:r w:rsidR="00A2136D" w:rsidRPr="0098278A">
        <w:rPr>
          <w:rFonts w:asciiTheme="majorBidi" w:hAnsiTheme="majorBidi" w:cstheme="majorBidi"/>
          <w:sz w:val="24"/>
          <w:szCs w:val="24"/>
          <w:lang w:val="sv-SE"/>
        </w:rPr>
        <w:t>r</w:t>
      </w:r>
      <w:r w:rsidRPr="0098278A">
        <w:rPr>
          <w:rFonts w:asciiTheme="majorBidi" w:hAnsiTheme="majorBidi" w:cstheme="majorBidi"/>
          <w:sz w:val="24"/>
          <w:szCs w:val="24"/>
          <w:lang w:val="sv-SE"/>
        </w:rPr>
        <w:t xml:space="preserve">elevansi </w:t>
      </w:r>
      <w:r w:rsidR="00A2136D" w:rsidRPr="0098278A">
        <w:rPr>
          <w:rFonts w:asciiTheme="majorBidi" w:hAnsiTheme="majorBidi" w:cstheme="majorBidi"/>
          <w:sz w:val="24"/>
          <w:szCs w:val="24"/>
          <w:lang w:val="sv-SE"/>
        </w:rPr>
        <w:t>f</w:t>
      </w:r>
      <w:r w:rsidRPr="0098278A">
        <w:rPr>
          <w:rFonts w:asciiTheme="majorBidi" w:hAnsiTheme="majorBidi" w:cstheme="majorBidi"/>
          <w:sz w:val="24"/>
          <w:szCs w:val="24"/>
          <w:lang w:val="sv-SE"/>
        </w:rPr>
        <w:t>atwa M</w:t>
      </w:r>
      <w:r w:rsidR="00A22378">
        <w:rPr>
          <w:rFonts w:asciiTheme="majorBidi" w:hAnsiTheme="majorBidi" w:cstheme="majorBidi"/>
          <w:sz w:val="24"/>
          <w:szCs w:val="24"/>
          <w:lang w:val="sv-SE"/>
        </w:rPr>
        <w:t xml:space="preserve">ajelis Ulama Indonesia </w:t>
      </w:r>
      <w:r w:rsidR="00A2136D">
        <w:rPr>
          <w:rFonts w:asciiTheme="majorBidi" w:hAnsiTheme="majorBidi" w:cstheme="majorBidi"/>
          <w:sz w:val="24"/>
          <w:szCs w:val="24"/>
          <w:lang w:val="sv-SE"/>
        </w:rPr>
        <w:t>dalam pem</w:t>
      </w:r>
      <w:r w:rsidR="00A2136D" w:rsidRPr="0098278A">
        <w:rPr>
          <w:rFonts w:asciiTheme="majorBidi" w:hAnsiTheme="majorBidi" w:cstheme="majorBidi"/>
          <w:sz w:val="24"/>
          <w:szCs w:val="24"/>
          <w:lang w:val="sv-SE"/>
        </w:rPr>
        <w:t>baru</w:t>
      </w:r>
      <w:r w:rsidR="00A2136D">
        <w:rPr>
          <w:rFonts w:asciiTheme="majorBidi" w:hAnsiTheme="majorBidi" w:cstheme="majorBidi"/>
          <w:sz w:val="24"/>
          <w:szCs w:val="24"/>
          <w:lang w:val="sv-SE"/>
        </w:rPr>
        <w:t>an</w:t>
      </w:r>
      <w:r>
        <w:rPr>
          <w:rFonts w:asciiTheme="majorBidi" w:hAnsiTheme="majorBidi" w:cstheme="majorBidi"/>
          <w:sz w:val="24"/>
          <w:szCs w:val="24"/>
          <w:lang w:val="sv-SE"/>
        </w:rPr>
        <w:t xml:space="preserve">  hukum keluarga di Indonesia.</w:t>
      </w:r>
    </w:p>
    <w:p w:rsidR="009F0411" w:rsidRPr="00A22378" w:rsidRDefault="009F0411" w:rsidP="00A22378">
      <w:pPr>
        <w:pStyle w:val="ListParagraph"/>
        <w:numPr>
          <w:ilvl w:val="0"/>
          <w:numId w:val="6"/>
        </w:numPr>
        <w:spacing w:after="0" w:line="360" w:lineRule="auto"/>
        <w:ind w:left="1080"/>
        <w:jc w:val="both"/>
        <w:rPr>
          <w:rFonts w:asciiTheme="majorBidi" w:hAnsiTheme="majorBidi" w:cstheme="majorBidi"/>
          <w:sz w:val="24"/>
          <w:szCs w:val="24"/>
          <w:lang w:val="sv-SE"/>
        </w:rPr>
      </w:pPr>
      <w:r w:rsidRPr="00A22378">
        <w:rPr>
          <w:rFonts w:asciiTheme="majorBidi" w:hAnsiTheme="majorBidi" w:cstheme="majorBidi"/>
          <w:sz w:val="24"/>
          <w:szCs w:val="24"/>
          <w:lang w:val="sv-SE"/>
        </w:rPr>
        <w:t xml:space="preserve">Untuk Menemukan Fatwa yang paling maslahat </w:t>
      </w:r>
      <w:r w:rsidR="00A22378" w:rsidRPr="00A22378">
        <w:rPr>
          <w:rFonts w:asciiTheme="majorBidi" w:hAnsiTheme="majorBidi" w:cstheme="majorBidi"/>
          <w:sz w:val="24"/>
          <w:szCs w:val="24"/>
          <w:lang w:val="sv-SE"/>
        </w:rPr>
        <w:t>(</w:t>
      </w:r>
      <w:r w:rsidR="00A22378" w:rsidRPr="00A22378">
        <w:rPr>
          <w:rFonts w:asciiTheme="majorBidi" w:hAnsiTheme="majorBidi" w:cstheme="majorBidi"/>
          <w:i/>
          <w:iCs/>
          <w:sz w:val="24"/>
          <w:szCs w:val="24"/>
          <w:lang w:val="sv-SE"/>
        </w:rPr>
        <w:t>a</w:t>
      </w:r>
      <w:r w:rsidR="00A22378" w:rsidRPr="00A22378">
        <w:rPr>
          <w:rFonts w:asciiTheme="majorBidi" w:hAnsiTheme="majorBidi" w:cstheme="majorBidi"/>
          <w:i/>
          <w:iCs/>
          <w:color w:val="222222"/>
          <w:sz w:val="24"/>
          <w:szCs w:val="24"/>
        </w:rPr>
        <w:t>ṣ</w:t>
      </w:r>
      <w:r w:rsidR="00A22378" w:rsidRPr="00A22378">
        <w:rPr>
          <w:rFonts w:asciiTheme="majorBidi" w:hAnsiTheme="majorBidi" w:cstheme="majorBidi"/>
          <w:i/>
          <w:iCs/>
          <w:sz w:val="24"/>
          <w:szCs w:val="24"/>
          <w:lang w:val="sv-SE"/>
        </w:rPr>
        <w:t>la</w:t>
      </w:r>
      <w:r w:rsidR="00A22378" w:rsidRPr="00A22378">
        <w:rPr>
          <w:rFonts w:ascii="Times New Roman" w:hAnsi="Times New Roman" w:cs="Times New Roman"/>
          <w:i/>
          <w:iCs/>
          <w:sz w:val="24"/>
          <w:szCs w:val="24"/>
          <w:u w:val="single"/>
          <w:lang w:val="id-ID"/>
        </w:rPr>
        <w:t>h</w:t>
      </w:r>
      <w:r w:rsidR="00A22378" w:rsidRPr="00A22378">
        <w:rPr>
          <w:rFonts w:asciiTheme="majorBidi" w:hAnsiTheme="majorBidi" w:cstheme="majorBidi"/>
          <w:i/>
          <w:iCs/>
          <w:sz w:val="24"/>
          <w:szCs w:val="24"/>
          <w:lang w:val="sv-SE"/>
        </w:rPr>
        <w:t>)</w:t>
      </w:r>
      <w:r w:rsidR="00A22378">
        <w:t xml:space="preserve"> </w:t>
      </w:r>
      <w:r w:rsidRPr="00A22378">
        <w:rPr>
          <w:rFonts w:asciiTheme="majorBidi" w:hAnsiTheme="majorBidi" w:cstheme="majorBidi"/>
          <w:sz w:val="24"/>
          <w:szCs w:val="24"/>
          <w:lang w:val="sv-SE"/>
        </w:rPr>
        <w:t xml:space="preserve">bagi </w:t>
      </w:r>
      <w:r w:rsidR="00A2136D" w:rsidRPr="00A22378">
        <w:rPr>
          <w:rFonts w:asciiTheme="majorBidi" w:hAnsiTheme="majorBidi" w:cstheme="majorBidi"/>
          <w:sz w:val="24"/>
          <w:szCs w:val="24"/>
          <w:lang w:val="sv-SE"/>
        </w:rPr>
        <w:t>m</w:t>
      </w:r>
      <w:r w:rsidRPr="00A22378">
        <w:rPr>
          <w:rFonts w:asciiTheme="majorBidi" w:hAnsiTheme="majorBidi" w:cstheme="majorBidi"/>
          <w:sz w:val="24"/>
          <w:szCs w:val="24"/>
          <w:lang w:val="sv-SE"/>
        </w:rPr>
        <w:t>asyarakat Indonesia.</w:t>
      </w:r>
    </w:p>
    <w:p w:rsidR="009F0411" w:rsidRPr="00D97BE4" w:rsidRDefault="009F0411" w:rsidP="00A33E46">
      <w:pPr>
        <w:pStyle w:val="ListParagraph"/>
        <w:numPr>
          <w:ilvl w:val="0"/>
          <w:numId w:val="9"/>
        </w:numPr>
        <w:spacing w:after="0" w:line="360" w:lineRule="auto"/>
        <w:ind w:left="450"/>
        <w:jc w:val="both"/>
        <w:rPr>
          <w:rFonts w:asciiTheme="majorBidi" w:hAnsiTheme="majorBidi" w:cstheme="majorBidi"/>
          <w:b/>
          <w:bCs/>
          <w:sz w:val="24"/>
          <w:szCs w:val="24"/>
          <w:lang w:val="sv-SE"/>
        </w:rPr>
      </w:pPr>
      <w:r w:rsidRPr="00D97BE4">
        <w:rPr>
          <w:rFonts w:asciiTheme="majorBidi" w:hAnsiTheme="majorBidi" w:cstheme="majorBidi"/>
          <w:b/>
          <w:bCs/>
          <w:sz w:val="24"/>
          <w:szCs w:val="24"/>
          <w:lang w:val="sv-SE"/>
        </w:rPr>
        <w:t xml:space="preserve">Manfaat/ Signifikansi </w:t>
      </w:r>
      <w:r w:rsidRPr="00D97BE4">
        <w:rPr>
          <w:rFonts w:asciiTheme="majorBidi" w:hAnsiTheme="majorBidi" w:cstheme="majorBidi"/>
          <w:b/>
          <w:bCs/>
          <w:lang w:val="it-IT"/>
        </w:rPr>
        <w:t>Penelitian</w:t>
      </w:r>
    </w:p>
    <w:p w:rsidR="009F0411" w:rsidRPr="003A721D" w:rsidRDefault="009F0411" w:rsidP="00FE6378">
      <w:pPr>
        <w:spacing w:after="0" w:line="360" w:lineRule="auto"/>
        <w:ind w:left="180" w:firstLine="540"/>
        <w:jc w:val="both"/>
        <w:rPr>
          <w:rFonts w:asciiTheme="majorBidi" w:hAnsiTheme="majorBidi" w:cstheme="majorBidi"/>
          <w:b/>
          <w:bCs/>
          <w:sz w:val="24"/>
          <w:szCs w:val="24"/>
          <w:lang w:val="sv-SE"/>
        </w:rPr>
      </w:pPr>
      <w:r w:rsidRPr="005F71FC">
        <w:rPr>
          <w:rFonts w:asciiTheme="majorBidi" w:hAnsiTheme="majorBidi" w:cstheme="majorBidi"/>
          <w:sz w:val="24"/>
          <w:szCs w:val="24"/>
          <w:lang w:val="sv-SE"/>
        </w:rPr>
        <w:t xml:space="preserve">Adapun </w:t>
      </w:r>
      <w:r>
        <w:rPr>
          <w:rFonts w:asciiTheme="majorBidi" w:hAnsiTheme="majorBidi" w:cstheme="majorBidi"/>
          <w:sz w:val="24"/>
          <w:szCs w:val="24"/>
          <w:lang w:val="sv-SE"/>
        </w:rPr>
        <w:t>manfaat</w:t>
      </w:r>
      <w:r w:rsidRPr="005F71FC">
        <w:rPr>
          <w:rFonts w:asciiTheme="majorBidi" w:hAnsiTheme="majorBidi" w:cstheme="majorBidi"/>
          <w:sz w:val="24"/>
          <w:szCs w:val="24"/>
          <w:lang w:val="sv-SE"/>
        </w:rPr>
        <w:t xml:space="preserve"> penelitian ini secara teoritis adalah diharapkan dapat berguna sebagai bahan masukan bagi peneliti lebih </w:t>
      </w:r>
      <w:r>
        <w:rPr>
          <w:rFonts w:asciiTheme="majorBidi" w:hAnsiTheme="majorBidi" w:cstheme="majorBidi"/>
          <w:sz w:val="24"/>
          <w:szCs w:val="24"/>
          <w:lang w:val="sv-SE"/>
        </w:rPr>
        <w:t>lanjut di masa yang akan</w:t>
      </w:r>
      <w:r w:rsidR="001540DE">
        <w:rPr>
          <w:rFonts w:asciiTheme="majorBidi" w:hAnsiTheme="majorBidi" w:cstheme="majorBidi"/>
          <w:sz w:val="24"/>
          <w:szCs w:val="24"/>
          <w:lang w:val="sv-SE"/>
        </w:rPr>
        <w:t xml:space="preserve"> datang</w:t>
      </w:r>
      <w:r>
        <w:rPr>
          <w:rFonts w:asciiTheme="majorBidi" w:hAnsiTheme="majorBidi" w:cstheme="majorBidi"/>
          <w:sz w:val="24"/>
          <w:szCs w:val="24"/>
          <w:lang w:val="sv-SE"/>
        </w:rPr>
        <w:t xml:space="preserve"> </w:t>
      </w:r>
      <w:r w:rsidRPr="005F71FC">
        <w:rPr>
          <w:rFonts w:asciiTheme="majorBidi" w:hAnsiTheme="majorBidi" w:cstheme="majorBidi"/>
          <w:sz w:val="24"/>
          <w:szCs w:val="24"/>
          <w:lang w:val="sv-SE"/>
        </w:rPr>
        <w:t xml:space="preserve">mengenai </w:t>
      </w:r>
      <w:r>
        <w:rPr>
          <w:rFonts w:asciiTheme="majorBidi" w:hAnsiTheme="majorBidi" w:cstheme="majorBidi"/>
          <w:sz w:val="24"/>
          <w:szCs w:val="24"/>
          <w:lang w:val="sv-SE"/>
        </w:rPr>
        <w:t>kajian</w:t>
      </w:r>
      <w:r w:rsidRPr="00DA590E">
        <w:rPr>
          <w:rFonts w:asciiTheme="majorBidi" w:hAnsiTheme="majorBidi" w:cstheme="majorBidi"/>
          <w:sz w:val="24"/>
          <w:szCs w:val="24"/>
          <w:lang w:val="sv-SE"/>
        </w:rPr>
        <w:t xml:space="preserve"> </w:t>
      </w:r>
      <w:r w:rsidR="001540DE" w:rsidRPr="00FE5A9B">
        <w:rPr>
          <w:rFonts w:asciiTheme="majorBidi" w:hAnsiTheme="majorBidi" w:cstheme="majorBidi"/>
          <w:sz w:val="24"/>
          <w:szCs w:val="24"/>
          <w:lang w:val="sv-SE"/>
        </w:rPr>
        <w:t>fatwa majelis ulama indonesia</w:t>
      </w:r>
      <w:r w:rsidR="001540DE" w:rsidRPr="009C2DDE">
        <w:rPr>
          <w:rFonts w:asciiTheme="majorBidi" w:hAnsiTheme="majorBidi" w:cstheme="majorBidi"/>
          <w:sz w:val="24"/>
          <w:szCs w:val="24"/>
          <w:lang w:val="sv-SE"/>
        </w:rPr>
        <w:t xml:space="preserve"> </w:t>
      </w:r>
      <w:r w:rsidR="001540DE" w:rsidRPr="00FE5A9B">
        <w:rPr>
          <w:rFonts w:asciiTheme="majorBidi" w:hAnsiTheme="majorBidi" w:cstheme="majorBidi"/>
          <w:sz w:val="24"/>
          <w:szCs w:val="24"/>
          <w:lang w:val="sv-SE"/>
        </w:rPr>
        <w:t>tentang  hukum keluarga</w:t>
      </w:r>
      <w:r w:rsidR="001540DE" w:rsidRPr="009C2DDE">
        <w:rPr>
          <w:rFonts w:asciiTheme="majorBidi" w:hAnsiTheme="majorBidi" w:cstheme="majorBidi"/>
          <w:sz w:val="24"/>
          <w:szCs w:val="24"/>
          <w:lang w:val="sv-SE"/>
        </w:rPr>
        <w:t xml:space="preserve"> </w:t>
      </w:r>
      <w:r w:rsidR="001540DE">
        <w:rPr>
          <w:rFonts w:asciiTheme="majorBidi" w:hAnsiTheme="majorBidi" w:cstheme="majorBidi"/>
          <w:sz w:val="24"/>
          <w:szCs w:val="24"/>
          <w:lang w:val="sv-SE"/>
        </w:rPr>
        <w:t>di indonesia dalam rangka pemabaruan hukum keluarga,</w:t>
      </w:r>
      <w:r>
        <w:rPr>
          <w:rFonts w:asciiTheme="majorBidi" w:hAnsiTheme="majorBidi" w:cstheme="majorBidi"/>
          <w:sz w:val="24"/>
          <w:szCs w:val="24"/>
          <w:lang w:val="sv-SE"/>
        </w:rPr>
        <w:t xml:space="preserve"> d</w:t>
      </w:r>
      <w:r w:rsidRPr="005F71FC">
        <w:rPr>
          <w:rFonts w:asciiTheme="majorBidi" w:hAnsiTheme="majorBidi" w:cstheme="majorBidi"/>
          <w:sz w:val="24"/>
          <w:szCs w:val="24"/>
          <w:lang w:val="sv-SE"/>
        </w:rPr>
        <w:t>i</w:t>
      </w:r>
      <w:r w:rsidR="001540DE">
        <w:rPr>
          <w:rFonts w:asciiTheme="majorBidi" w:hAnsiTheme="majorBidi" w:cstheme="majorBidi"/>
          <w:sz w:val="24"/>
          <w:szCs w:val="24"/>
          <w:lang w:val="sv-SE"/>
        </w:rPr>
        <w:t xml:space="preserve"> </w:t>
      </w:r>
      <w:r w:rsidRPr="005F71FC">
        <w:rPr>
          <w:rFonts w:asciiTheme="majorBidi" w:hAnsiTheme="majorBidi" w:cstheme="majorBidi"/>
          <w:sz w:val="24"/>
          <w:szCs w:val="24"/>
          <w:lang w:val="sv-SE"/>
        </w:rPr>
        <w:t>samping itu, hasil penelitian ini juga diharapkan dapat menambah khazanah keilmuan dibidang hukum Islam terutama yang berkaitan dengan hukum keluarga</w:t>
      </w:r>
      <w:r>
        <w:rPr>
          <w:rFonts w:asciiTheme="majorBidi" w:hAnsiTheme="majorBidi" w:cstheme="majorBidi"/>
          <w:sz w:val="24"/>
          <w:szCs w:val="24"/>
          <w:lang w:val="sv-SE"/>
        </w:rPr>
        <w:t>.</w:t>
      </w:r>
    </w:p>
    <w:p w:rsidR="009F0411" w:rsidRPr="00AB28D0" w:rsidRDefault="009F0411" w:rsidP="00FE6378">
      <w:pPr>
        <w:spacing w:after="0" w:line="360" w:lineRule="auto"/>
        <w:ind w:firstLine="810"/>
        <w:jc w:val="both"/>
        <w:rPr>
          <w:rFonts w:asciiTheme="majorBidi" w:hAnsiTheme="majorBidi" w:cstheme="majorBidi"/>
          <w:sz w:val="24"/>
          <w:szCs w:val="24"/>
          <w:lang w:val="sv-SE"/>
        </w:rPr>
      </w:pPr>
      <w:r>
        <w:rPr>
          <w:rFonts w:asciiTheme="majorBidi" w:hAnsiTheme="majorBidi" w:cstheme="majorBidi"/>
          <w:sz w:val="24"/>
          <w:szCs w:val="24"/>
          <w:lang w:val="sv-SE"/>
        </w:rPr>
        <w:t>Sementara</w:t>
      </w:r>
      <w:r w:rsidRPr="0084470C">
        <w:rPr>
          <w:rFonts w:asciiTheme="majorBidi" w:hAnsiTheme="majorBidi" w:cstheme="majorBidi"/>
          <w:sz w:val="24"/>
          <w:szCs w:val="24"/>
          <w:lang w:val="sv-SE"/>
        </w:rPr>
        <w:t xml:space="preserve"> </w:t>
      </w:r>
      <w:r>
        <w:rPr>
          <w:rFonts w:asciiTheme="majorBidi" w:hAnsiTheme="majorBidi" w:cstheme="majorBidi"/>
          <w:sz w:val="24"/>
          <w:szCs w:val="24"/>
          <w:lang w:val="sv-SE"/>
        </w:rPr>
        <w:t>manfaat secara</w:t>
      </w:r>
      <w:r w:rsidRPr="0084470C">
        <w:rPr>
          <w:rFonts w:asciiTheme="majorBidi" w:hAnsiTheme="majorBidi" w:cstheme="majorBidi"/>
          <w:sz w:val="24"/>
          <w:szCs w:val="24"/>
          <w:lang w:val="sv-SE"/>
        </w:rPr>
        <w:t xml:space="preserve"> praktis </w:t>
      </w:r>
      <w:r>
        <w:rPr>
          <w:rFonts w:asciiTheme="majorBidi" w:hAnsiTheme="majorBidi" w:cstheme="majorBidi"/>
          <w:sz w:val="24"/>
          <w:szCs w:val="24"/>
          <w:lang w:val="sv-SE"/>
        </w:rPr>
        <w:t xml:space="preserve"> dari penelitian adalah:</w:t>
      </w:r>
    </w:p>
    <w:p w:rsidR="009F0411" w:rsidRDefault="009F0411" w:rsidP="00FE6378">
      <w:pPr>
        <w:spacing w:after="0" w:line="360" w:lineRule="auto"/>
        <w:ind w:left="1080" w:hanging="270"/>
        <w:contextualSpacing/>
        <w:jc w:val="both"/>
        <w:rPr>
          <w:rFonts w:ascii="Times New Roman" w:hAnsi="Times New Roman" w:cs="Times New Roman"/>
          <w:sz w:val="24"/>
          <w:szCs w:val="24"/>
          <w:lang w:val="sv-SE"/>
        </w:rPr>
      </w:pPr>
      <w:r>
        <w:rPr>
          <w:rFonts w:asciiTheme="majorBidi" w:hAnsiTheme="majorBidi" w:cstheme="majorBidi"/>
          <w:sz w:val="24"/>
          <w:szCs w:val="24"/>
          <w:lang w:val="sv-SE"/>
        </w:rPr>
        <w:lastRenderedPageBreak/>
        <w:t xml:space="preserve">a. Untuk memberi sumbangan pengetahuan kepada masyarakat </w:t>
      </w:r>
      <w:r w:rsidRPr="0084470C">
        <w:rPr>
          <w:rFonts w:asciiTheme="majorBidi" w:hAnsiTheme="majorBidi" w:cstheme="majorBidi"/>
          <w:sz w:val="24"/>
          <w:szCs w:val="24"/>
          <w:lang w:val="sv-SE"/>
        </w:rPr>
        <w:t>t</w:t>
      </w:r>
      <w:r>
        <w:rPr>
          <w:rFonts w:asciiTheme="majorBidi" w:hAnsiTheme="majorBidi" w:cstheme="majorBidi"/>
          <w:sz w:val="24"/>
          <w:szCs w:val="24"/>
          <w:lang w:val="sv-SE"/>
        </w:rPr>
        <w:t xml:space="preserve">entang </w:t>
      </w:r>
      <w:r>
        <w:rPr>
          <w:rFonts w:ascii="Times New Roman" w:hAnsi="Times New Roman" w:cs="Times New Roman"/>
          <w:sz w:val="24"/>
          <w:szCs w:val="24"/>
          <w:lang w:val="sv-SE"/>
        </w:rPr>
        <w:t xml:space="preserve">: </w:t>
      </w:r>
      <w:r w:rsidR="00A22378" w:rsidRPr="00FE5A9B">
        <w:rPr>
          <w:rFonts w:asciiTheme="majorBidi" w:hAnsiTheme="majorBidi" w:cstheme="majorBidi"/>
          <w:sz w:val="24"/>
          <w:szCs w:val="24"/>
          <w:lang w:val="sv-SE"/>
        </w:rPr>
        <w:t>Fatwa Majelis Ulama Indonesia</w:t>
      </w:r>
      <w:r w:rsidR="00A22378" w:rsidRPr="00576E07">
        <w:rPr>
          <w:rFonts w:asciiTheme="majorBidi" w:hAnsiTheme="majorBidi" w:cstheme="majorBidi"/>
          <w:sz w:val="24"/>
          <w:szCs w:val="24"/>
          <w:lang w:val="sv-SE"/>
        </w:rPr>
        <w:t xml:space="preserve"> </w:t>
      </w:r>
      <w:r w:rsidR="00A22378">
        <w:rPr>
          <w:rFonts w:asciiTheme="majorBidi" w:hAnsiTheme="majorBidi" w:cstheme="majorBidi"/>
          <w:sz w:val="24"/>
          <w:szCs w:val="24"/>
          <w:lang w:val="sv-SE"/>
        </w:rPr>
        <w:t xml:space="preserve">Dan Perannya dalam Pembaruan Hukum Keluarga Islam Indonesia, Studi Perspektif </w:t>
      </w:r>
      <w:r w:rsidR="00A22378" w:rsidRPr="00FE6378">
        <w:rPr>
          <w:rFonts w:asciiTheme="majorBidi" w:hAnsiTheme="majorBidi" w:cstheme="majorBidi"/>
          <w:i/>
          <w:iCs/>
          <w:sz w:val="24"/>
          <w:szCs w:val="24"/>
          <w:lang w:val="sv-SE"/>
        </w:rPr>
        <w:t>Siyāsah  Syar‘i</w:t>
      </w:r>
      <w:r w:rsidR="001540DE" w:rsidRPr="00FE6378">
        <w:rPr>
          <w:rFonts w:asciiTheme="majorBidi" w:hAnsiTheme="majorBidi" w:cstheme="majorBidi"/>
          <w:i/>
          <w:iCs/>
          <w:sz w:val="24"/>
          <w:szCs w:val="24"/>
          <w:lang w:val="sv-SE"/>
        </w:rPr>
        <w:t>y</w:t>
      </w:r>
      <w:r w:rsidR="00A22378" w:rsidRPr="00FE6378">
        <w:rPr>
          <w:rFonts w:asciiTheme="majorBidi" w:hAnsiTheme="majorBidi" w:cstheme="majorBidi"/>
          <w:i/>
          <w:iCs/>
          <w:sz w:val="24"/>
          <w:szCs w:val="24"/>
          <w:lang w:val="sv-SE"/>
        </w:rPr>
        <w:t>yah.</w:t>
      </w:r>
    </w:p>
    <w:p w:rsidR="009F0411" w:rsidRPr="0084470C" w:rsidRDefault="009F0411" w:rsidP="00FE6378">
      <w:pPr>
        <w:spacing w:after="0" w:line="360" w:lineRule="auto"/>
        <w:ind w:left="1080" w:hanging="270"/>
        <w:contextualSpacing/>
        <w:jc w:val="both"/>
        <w:rPr>
          <w:rFonts w:asciiTheme="majorBidi" w:hAnsiTheme="majorBidi" w:cstheme="majorBidi"/>
          <w:sz w:val="24"/>
          <w:szCs w:val="24"/>
          <w:lang w:val="sv-SE"/>
        </w:rPr>
      </w:pPr>
      <w:r w:rsidRPr="0084470C">
        <w:rPr>
          <w:rFonts w:asciiTheme="majorBidi" w:hAnsiTheme="majorBidi" w:cstheme="majorBidi"/>
          <w:sz w:val="24"/>
          <w:szCs w:val="24"/>
          <w:lang w:val="sv-SE"/>
        </w:rPr>
        <w:t xml:space="preserve">b. </w:t>
      </w:r>
      <w:r>
        <w:rPr>
          <w:rFonts w:asciiTheme="majorBidi" w:hAnsiTheme="majorBidi" w:cstheme="majorBidi"/>
          <w:sz w:val="24"/>
          <w:szCs w:val="24"/>
          <w:lang w:val="sv-SE"/>
        </w:rPr>
        <w:t>Hasil penelitian ini juga diharapkan dapat memberikan masukan kepada MUI dalam meningkatkan produk fatwa hukum keluarga dalam membangun hukum keluarga di Indonesia dimasa –masa akan datang.</w:t>
      </w:r>
    </w:p>
    <w:p w:rsidR="009F0411" w:rsidRPr="009F0411" w:rsidRDefault="009F0411" w:rsidP="00A33E46">
      <w:pPr>
        <w:spacing w:after="0" w:line="360" w:lineRule="auto"/>
        <w:ind w:left="1080" w:hanging="270"/>
        <w:jc w:val="both"/>
        <w:rPr>
          <w:rFonts w:asciiTheme="majorBidi" w:hAnsiTheme="majorBidi" w:cstheme="majorBidi"/>
          <w:sz w:val="24"/>
          <w:szCs w:val="24"/>
          <w:lang w:val="sv-SE"/>
        </w:rPr>
      </w:pPr>
      <w:r w:rsidRPr="0084470C">
        <w:rPr>
          <w:rFonts w:asciiTheme="majorBidi" w:hAnsiTheme="majorBidi" w:cstheme="majorBidi"/>
          <w:sz w:val="24"/>
          <w:szCs w:val="24"/>
          <w:lang w:val="sv-SE"/>
        </w:rPr>
        <w:t xml:space="preserve">c. Penelitian ini juga diharapkan dapat </w:t>
      </w:r>
      <w:r>
        <w:rPr>
          <w:rFonts w:asciiTheme="majorBidi" w:hAnsiTheme="majorBidi" w:cstheme="majorBidi"/>
          <w:sz w:val="24"/>
          <w:szCs w:val="24"/>
          <w:lang w:val="sv-SE"/>
        </w:rPr>
        <w:t>memberikan rek</w:t>
      </w:r>
      <w:r w:rsidR="001540DE">
        <w:rPr>
          <w:rFonts w:asciiTheme="majorBidi" w:hAnsiTheme="majorBidi" w:cstheme="majorBidi"/>
          <w:sz w:val="24"/>
          <w:szCs w:val="24"/>
          <w:lang w:val="sv-SE"/>
        </w:rPr>
        <w:t>omendasi kepada pemerintah agar</w:t>
      </w:r>
      <w:r>
        <w:rPr>
          <w:rFonts w:asciiTheme="majorBidi" w:hAnsiTheme="majorBidi" w:cstheme="majorBidi"/>
          <w:sz w:val="24"/>
          <w:szCs w:val="24"/>
          <w:lang w:val="sv-SE"/>
        </w:rPr>
        <w:t xml:space="preserve"> memperbaiki dan menyempurnakan peraturan perundang-undangan yang terkait dengan hukum keluarga.</w:t>
      </w:r>
    </w:p>
    <w:p w:rsidR="00AC43B8" w:rsidRPr="00AC43B8" w:rsidRDefault="00AC43B8" w:rsidP="00A33E46">
      <w:pPr>
        <w:pStyle w:val="ListParagraph"/>
        <w:numPr>
          <w:ilvl w:val="0"/>
          <w:numId w:val="9"/>
        </w:numPr>
        <w:spacing w:after="0" w:line="360" w:lineRule="auto"/>
        <w:ind w:left="450"/>
        <w:jc w:val="both"/>
        <w:rPr>
          <w:rFonts w:asciiTheme="majorBidi" w:hAnsiTheme="majorBidi" w:cstheme="majorBidi"/>
          <w:b/>
          <w:bCs/>
          <w:sz w:val="24"/>
          <w:szCs w:val="24"/>
          <w:lang w:val="sv-SE"/>
        </w:rPr>
      </w:pPr>
      <w:r>
        <w:rPr>
          <w:rFonts w:asciiTheme="majorBidi" w:hAnsiTheme="majorBidi" w:cstheme="majorBidi"/>
          <w:b/>
          <w:bCs/>
          <w:sz w:val="24"/>
          <w:szCs w:val="24"/>
          <w:lang w:val="sv-SE"/>
        </w:rPr>
        <w:t>Kajian Terdahulu Yang Relevan</w:t>
      </w:r>
    </w:p>
    <w:p w:rsidR="00AC43B8" w:rsidRDefault="00AC43B8" w:rsidP="00A33E46">
      <w:pPr>
        <w:spacing w:after="0" w:line="360" w:lineRule="auto"/>
        <w:ind w:left="90" w:firstLine="630"/>
        <w:contextualSpacing/>
        <w:jc w:val="both"/>
        <w:rPr>
          <w:rFonts w:ascii="Times New Roman" w:hAnsi="Times New Roman" w:cs="Times New Roman"/>
          <w:bCs/>
          <w:sz w:val="24"/>
          <w:szCs w:val="24"/>
          <w:lang w:val="sv-SE" w:eastAsia="en-GB"/>
        </w:rPr>
      </w:pPr>
      <w:bookmarkStart w:id="3" w:name="OLE_LINK190"/>
      <w:bookmarkStart w:id="4" w:name="OLE_LINK189"/>
      <w:r>
        <w:rPr>
          <w:rFonts w:ascii="Times New Roman" w:hAnsi="Times New Roman" w:cs="Times New Roman"/>
          <w:bCs/>
          <w:sz w:val="24"/>
          <w:szCs w:val="24"/>
          <w:lang w:val="sv-SE" w:eastAsia="en-GB"/>
        </w:rPr>
        <w:t>Untuk memberi bobot dan objektivitas pada isi penelitian ini, maka langkah sistematis yang ditempuh adalah melalui tinjauan pustaka yaitu menginventarisir berbagai tulisan tentang fatwa yang dikeluarkan oleh MUI khusunya fatwa masalah hukum keluarga, baik berupa tulisan biasa, maupun karangan ilmiah. Lewat studi ini diharapkan bisa membantu peneliti untuk mengetahui bahwa literatur yang dibutuhkan tersedia. Disamping itu untuk mencari ta</w:t>
      </w:r>
      <w:r w:rsidR="00B35862">
        <w:rPr>
          <w:rFonts w:ascii="Times New Roman" w:hAnsi="Times New Roman" w:cs="Times New Roman"/>
          <w:bCs/>
          <w:sz w:val="24"/>
          <w:szCs w:val="24"/>
          <w:lang w:val="sv-SE" w:eastAsia="en-GB"/>
        </w:rPr>
        <w:t>h</w:t>
      </w:r>
      <w:r>
        <w:rPr>
          <w:rFonts w:ascii="Times New Roman" w:hAnsi="Times New Roman" w:cs="Times New Roman"/>
          <w:bCs/>
          <w:sz w:val="24"/>
          <w:szCs w:val="24"/>
          <w:lang w:val="sv-SE" w:eastAsia="en-GB"/>
        </w:rPr>
        <w:t>u apa</w:t>
      </w:r>
      <w:r w:rsidR="00B35862">
        <w:rPr>
          <w:rFonts w:ascii="Times New Roman" w:hAnsi="Times New Roman" w:cs="Times New Roman"/>
          <w:bCs/>
          <w:sz w:val="24"/>
          <w:szCs w:val="24"/>
          <w:lang w:val="sv-SE" w:eastAsia="en-GB"/>
        </w:rPr>
        <w:t>kah</w:t>
      </w:r>
      <w:r>
        <w:rPr>
          <w:rFonts w:ascii="Times New Roman" w:hAnsi="Times New Roman" w:cs="Times New Roman"/>
          <w:bCs/>
          <w:sz w:val="24"/>
          <w:szCs w:val="24"/>
          <w:lang w:val="sv-SE" w:eastAsia="en-GB"/>
        </w:rPr>
        <w:t xml:space="preserve"> sudah ada penelitian yang ditulis sebelumnya.</w:t>
      </w:r>
    </w:p>
    <w:bookmarkEnd w:id="3"/>
    <w:bookmarkEnd w:id="4"/>
    <w:p w:rsidR="00AC43B8" w:rsidRPr="00753C3F" w:rsidRDefault="00AC43B8" w:rsidP="00A33E46">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Dalam pencarian bahan proposal penelitian ini penulis menemukan beberapa tulisan yang menulis tentang fatwa MUI maupun tentang </w:t>
      </w:r>
      <w:r w:rsidR="00881BDC">
        <w:rPr>
          <w:rFonts w:ascii="Times New Roman" w:hAnsi="Times New Roman" w:cs="Times New Roman"/>
          <w:i/>
          <w:iCs/>
          <w:sz w:val="24"/>
          <w:szCs w:val="24"/>
          <w:lang w:val="sv-SE"/>
        </w:rPr>
        <w:t xml:space="preserve">siyāsah </w:t>
      </w:r>
      <w:r>
        <w:rPr>
          <w:rFonts w:ascii="Times New Roman" w:hAnsi="Times New Roman" w:cs="Times New Roman"/>
          <w:i/>
          <w:iCs/>
          <w:sz w:val="24"/>
          <w:szCs w:val="24"/>
          <w:lang w:val="sv-SE"/>
        </w:rPr>
        <w:t xml:space="preserve"> </w:t>
      </w:r>
      <w:r w:rsidR="00CC1D08">
        <w:rPr>
          <w:rFonts w:ascii="Times New Roman" w:hAnsi="Times New Roman" w:cs="Times New Roman"/>
          <w:i/>
          <w:iCs/>
          <w:sz w:val="24"/>
          <w:szCs w:val="24"/>
          <w:lang w:val="sv-SE"/>
        </w:rPr>
        <w:t>syar‘iyah</w:t>
      </w:r>
      <w:r>
        <w:rPr>
          <w:rFonts w:ascii="Times New Roman" w:hAnsi="Times New Roman" w:cs="Times New Roman"/>
          <w:sz w:val="24"/>
          <w:szCs w:val="24"/>
          <w:lang w:val="sv-SE"/>
        </w:rPr>
        <w:t xml:space="preserve">, antara lain: </w:t>
      </w:r>
    </w:p>
    <w:p w:rsidR="005B585E" w:rsidRDefault="00AC43B8" w:rsidP="005B585E">
      <w:pPr>
        <w:pStyle w:val="ListParagraph"/>
        <w:numPr>
          <w:ilvl w:val="0"/>
          <w:numId w:val="2"/>
        </w:numPr>
        <w:spacing w:after="0" w:line="36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 Atho Mudzhar, melakukan kajian rintisan terhadap fatwa MUI dengan judul” </w:t>
      </w:r>
      <w:r w:rsidR="00B35862">
        <w:rPr>
          <w:rFonts w:ascii="Times New Roman" w:hAnsi="Times New Roman" w:cs="Times New Roman"/>
          <w:i/>
          <w:iCs/>
          <w:sz w:val="24"/>
          <w:szCs w:val="24"/>
          <w:lang w:val="sv-SE"/>
        </w:rPr>
        <w:t>F</w:t>
      </w:r>
      <w:r w:rsidR="00E74BAE">
        <w:rPr>
          <w:rFonts w:ascii="Times New Roman" w:hAnsi="Times New Roman" w:cs="Times New Roman"/>
          <w:i/>
          <w:iCs/>
          <w:sz w:val="24"/>
          <w:szCs w:val="24"/>
          <w:lang w:val="sv-SE"/>
        </w:rPr>
        <w:t>atwa</w:t>
      </w:r>
      <w:r w:rsidRPr="008F16B5">
        <w:rPr>
          <w:rFonts w:ascii="Times New Roman" w:hAnsi="Times New Roman" w:cs="Times New Roman"/>
          <w:i/>
          <w:iCs/>
          <w:sz w:val="24"/>
          <w:szCs w:val="24"/>
          <w:lang w:val="sv-SE"/>
        </w:rPr>
        <w:t>s of the In</w:t>
      </w:r>
      <w:r>
        <w:rPr>
          <w:rFonts w:ascii="Times New Roman" w:hAnsi="Times New Roman" w:cs="Times New Roman"/>
          <w:i/>
          <w:iCs/>
          <w:sz w:val="24"/>
          <w:szCs w:val="24"/>
          <w:lang w:val="sv-SE"/>
        </w:rPr>
        <w:t xml:space="preserve">donesian Ulama: A </w:t>
      </w:r>
      <w:r w:rsidR="00E74BAE">
        <w:rPr>
          <w:rFonts w:ascii="Times New Roman" w:hAnsi="Times New Roman" w:cs="Times New Roman"/>
          <w:i/>
          <w:iCs/>
          <w:sz w:val="24"/>
          <w:szCs w:val="24"/>
          <w:lang w:val="sv-SE"/>
        </w:rPr>
        <w:t>S</w:t>
      </w:r>
      <w:r>
        <w:rPr>
          <w:rFonts w:ascii="Times New Roman" w:hAnsi="Times New Roman" w:cs="Times New Roman"/>
          <w:i/>
          <w:iCs/>
          <w:sz w:val="24"/>
          <w:szCs w:val="24"/>
          <w:lang w:val="sv-SE"/>
        </w:rPr>
        <w:t>tudy of Islam</w:t>
      </w:r>
      <w:r w:rsidRPr="008F16B5">
        <w:rPr>
          <w:rFonts w:ascii="Times New Roman" w:hAnsi="Times New Roman" w:cs="Times New Roman"/>
          <w:i/>
          <w:iCs/>
          <w:sz w:val="24"/>
          <w:szCs w:val="24"/>
          <w:lang w:val="sv-SE"/>
        </w:rPr>
        <w:t xml:space="preserve">ic </w:t>
      </w:r>
      <w:r w:rsidR="00E74BAE" w:rsidRPr="008F16B5">
        <w:rPr>
          <w:rFonts w:ascii="Times New Roman" w:hAnsi="Times New Roman" w:cs="Times New Roman"/>
          <w:i/>
          <w:iCs/>
          <w:sz w:val="24"/>
          <w:szCs w:val="24"/>
          <w:lang w:val="sv-SE"/>
        </w:rPr>
        <w:t>L</w:t>
      </w:r>
      <w:r w:rsidRPr="008F16B5">
        <w:rPr>
          <w:rFonts w:ascii="Times New Roman" w:hAnsi="Times New Roman" w:cs="Times New Roman"/>
          <w:i/>
          <w:iCs/>
          <w:sz w:val="24"/>
          <w:szCs w:val="24"/>
          <w:lang w:val="sv-SE"/>
        </w:rPr>
        <w:t>egal Thoug</w:t>
      </w:r>
      <w:r w:rsidR="00E74BAE">
        <w:rPr>
          <w:rFonts w:ascii="Times New Roman" w:hAnsi="Times New Roman" w:cs="Times New Roman"/>
          <w:i/>
          <w:iCs/>
          <w:sz w:val="24"/>
          <w:szCs w:val="24"/>
          <w:lang w:val="sv-SE"/>
        </w:rPr>
        <w:t>h</w:t>
      </w:r>
      <w:r w:rsidR="00AE6EFF">
        <w:rPr>
          <w:rFonts w:ascii="Times New Roman" w:hAnsi="Times New Roman" w:cs="Times New Roman"/>
          <w:i/>
          <w:iCs/>
          <w:sz w:val="24"/>
          <w:szCs w:val="24"/>
          <w:lang w:val="sv-SE"/>
        </w:rPr>
        <w:t>t in Indonesia (</w:t>
      </w:r>
      <w:r w:rsidRPr="008F16B5">
        <w:rPr>
          <w:rFonts w:ascii="Times New Roman" w:hAnsi="Times New Roman" w:cs="Times New Roman"/>
          <w:i/>
          <w:iCs/>
          <w:sz w:val="24"/>
          <w:szCs w:val="24"/>
          <w:lang w:val="sv-SE"/>
        </w:rPr>
        <w:t>1975-1988)</w:t>
      </w:r>
      <w:r>
        <w:rPr>
          <w:rFonts w:ascii="Times New Roman" w:hAnsi="Times New Roman" w:cs="Times New Roman"/>
          <w:sz w:val="24"/>
          <w:szCs w:val="24"/>
          <w:lang w:val="sv-SE"/>
        </w:rPr>
        <w:t xml:space="preserve">. Tulisan ini merupakan disertasi pada University of California pada tahun 1990. Penulisnya melakukan kajian terhadap fatwa-fatwa MUI dari sisi metodologi dan faktor-faktor sosial politik yang mempengaruhinya. Pertanyaan pokok yang ditelusuri oleh penulisnya ialah sejauh mana fatwa MUI itu absah dari segi hukum dan apakah faktor sosial </w:t>
      </w:r>
      <w:r>
        <w:rPr>
          <w:rFonts w:ascii="Times New Roman" w:hAnsi="Times New Roman" w:cs="Times New Roman"/>
          <w:sz w:val="24"/>
          <w:szCs w:val="24"/>
          <w:lang w:val="sv-SE"/>
        </w:rPr>
        <w:lastRenderedPageBreak/>
        <w:t>ikut melatar belakangi lahirnya suatu fatwa.</w:t>
      </w:r>
      <w:r>
        <w:rPr>
          <w:rStyle w:val="FootnoteReference"/>
          <w:rFonts w:ascii="Times New Roman" w:hAnsi="Times New Roman" w:cs="Times New Roman"/>
          <w:sz w:val="24"/>
          <w:szCs w:val="24"/>
          <w:lang w:val="sv-SE"/>
        </w:rPr>
        <w:footnoteReference w:id="61"/>
      </w:r>
      <w:r>
        <w:rPr>
          <w:rFonts w:ascii="Times New Roman" w:hAnsi="Times New Roman" w:cs="Times New Roman"/>
          <w:sz w:val="24"/>
          <w:szCs w:val="24"/>
          <w:lang w:val="sv-SE"/>
        </w:rPr>
        <w:t xml:space="preserve"> Dengan demikian kajiannya mencakup normatif teoritis, dan juga historis sosiologis.</w:t>
      </w:r>
    </w:p>
    <w:p w:rsidR="005B585E" w:rsidRPr="005B585E" w:rsidRDefault="005B585E" w:rsidP="005B585E">
      <w:pPr>
        <w:pStyle w:val="ListParagraph"/>
        <w:spacing w:after="0" w:line="360" w:lineRule="auto"/>
        <w:jc w:val="both"/>
        <w:rPr>
          <w:rFonts w:ascii="Times New Roman" w:hAnsi="Times New Roman" w:cs="Times New Roman"/>
          <w:sz w:val="24"/>
          <w:szCs w:val="24"/>
          <w:lang w:val="sv-SE"/>
        </w:rPr>
      </w:pPr>
      <w:r w:rsidRPr="005B585E">
        <w:rPr>
          <w:rFonts w:asciiTheme="majorBidi" w:hAnsiTheme="majorBidi" w:cstheme="majorBidi"/>
          <w:sz w:val="24"/>
          <w:szCs w:val="24"/>
        </w:rPr>
        <w:t xml:space="preserve">Perbedaan penelitian Atha’ dengan penelitian </w:t>
      </w:r>
      <w:r>
        <w:rPr>
          <w:rFonts w:asciiTheme="majorBidi" w:hAnsiTheme="majorBidi" w:cstheme="majorBidi"/>
          <w:sz w:val="24"/>
          <w:szCs w:val="24"/>
        </w:rPr>
        <w:t xml:space="preserve">saya </w:t>
      </w:r>
      <w:r w:rsidRPr="005B585E">
        <w:rPr>
          <w:rFonts w:asciiTheme="majorBidi" w:hAnsiTheme="majorBidi" w:cstheme="majorBidi"/>
          <w:sz w:val="24"/>
          <w:szCs w:val="24"/>
        </w:rPr>
        <w:t>terletak pada; pertama, Atha’ mengkaji fatwa MUI dari sudut pandang sosial dan sejarah, sementara saya melihat pe</w:t>
      </w:r>
      <w:r>
        <w:rPr>
          <w:rFonts w:asciiTheme="majorBidi" w:hAnsiTheme="majorBidi" w:cstheme="majorBidi"/>
          <w:sz w:val="24"/>
          <w:szCs w:val="24"/>
        </w:rPr>
        <w:t>r</w:t>
      </w:r>
      <w:r w:rsidRPr="005B585E">
        <w:rPr>
          <w:rFonts w:asciiTheme="majorBidi" w:hAnsiTheme="majorBidi" w:cstheme="majorBidi"/>
          <w:sz w:val="24"/>
          <w:szCs w:val="24"/>
        </w:rPr>
        <w:t xml:space="preserve">spektif siayasah </w:t>
      </w:r>
      <w:r w:rsidR="00CC1D08">
        <w:rPr>
          <w:rFonts w:asciiTheme="majorBidi" w:hAnsiTheme="majorBidi" w:cstheme="majorBidi"/>
          <w:sz w:val="24"/>
          <w:szCs w:val="24"/>
        </w:rPr>
        <w:t>syar‘iyah</w:t>
      </w:r>
      <w:r w:rsidRPr="005B585E">
        <w:rPr>
          <w:rFonts w:asciiTheme="majorBidi" w:hAnsiTheme="majorBidi" w:cstheme="majorBidi"/>
          <w:sz w:val="24"/>
          <w:szCs w:val="24"/>
        </w:rPr>
        <w:t xml:space="preserve"> dan kemaslahatan. Kedua, Atha’ mengkaji semua tema Fatwa MUI, penelitian saya terpokus pada fatwa hukum keluarga. Ketiga, Atha’ membahas fatwa MUI yang di </w:t>
      </w:r>
      <w:r>
        <w:rPr>
          <w:rFonts w:asciiTheme="majorBidi" w:hAnsiTheme="majorBidi" w:cstheme="majorBidi"/>
          <w:sz w:val="24"/>
          <w:szCs w:val="24"/>
        </w:rPr>
        <w:t xml:space="preserve">fatwakan sejak berdirinya MUI </w:t>
      </w:r>
      <w:r w:rsidRPr="005B585E">
        <w:rPr>
          <w:rFonts w:asciiTheme="majorBidi" w:hAnsiTheme="majorBidi" w:cstheme="majorBidi"/>
          <w:sz w:val="24"/>
          <w:szCs w:val="24"/>
        </w:rPr>
        <w:t>1975 sampai 1993, sementara saya membahas dari berdirinya MUI tahun 1975 sampai 2015.</w:t>
      </w:r>
    </w:p>
    <w:p w:rsidR="005B585E" w:rsidRPr="005B585E" w:rsidRDefault="00AC43B8" w:rsidP="00F02465">
      <w:pPr>
        <w:pStyle w:val="ListParagraph"/>
        <w:numPr>
          <w:ilvl w:val="0"/>
          <w:numId w:val="2"/>
        </w:numPr>
        <w:spacing w:after="0" w:line="36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Helmi Karim melakukan studi lanjutan tentang fatwa MUI dengan judul” </w:t>
      </w:r>
      <w:r w:rsidRPr="00B44FD9">
        <w:rPr>
          <w:rFonts w:ascii="Times New Roman" w:hAnsi="Times New Roman" w:cs="Times New Roman"/>
          <w:i/>
          <w:iCs/>
          <w:sz w:val="24"/>
          <w:szCs w:val="24"/>
          <w:lang w:val="sv-SE"/>
        </w:rPr>
        <w:t xml:space="preserve">Konsep Ijtihad Majelis Ulama Indonesia dalam </w:t>
      </w:r>
      <w:r w:rsidR="00E1157A" w:rsidRPr="00B44FD9">
        <w:rPr>
          <w:rFonts w:ascii="Times New Roman" w:hAnsi="Times New Roman" w:cs="Times New Roman"/>
          <w:i/>
          <w:iCs/>
          <w:sz w:val="24"/>
          <w:szCs w:val="24"/>
          <w:lang w:val="sv-SE"/>
        </w:rPr>
        <w:t xml:space="preserve">Pengembangan Hukum </w:t>
      </w:r>
      <w:r w:rsidRPr="00B44FD9">
        <w:rPr>
          <w:rFonts w:ascii="Times New Roman" w:hAnsi="Times New Roman" w:cs="Times New Roman"/>
          <w:i/>
          <w:iCs/>
          <w:sz w:val="24"/>
          <w:szCs w:val="24"/>
          <w:lang w:val="sv-SE"/>
        </w:rPr>
        <w:t>Islam”</w:t>
      </w:r>
      <w:r>
        <w:rPr>
          <w:rFonts w:ascii="Times New Roman" w:hAnsi="Times New Roman" w:cs="Times New Roman"/>
          <w:sz w:val="24"/>
          <w:szCs w:val="24"/>
          <w:lang w:val="sv-SE"/>
        </w:rPr>
        <w:t>. Tulisan yang merupakan disertasi doktor Ilmu Agam Islam IAIN Jakarta pada tahun 1993 ini lebih terpokus pada segi metodologi MUI dalam merumuskan fatwa.</w:t>
      </w:r>
      <w:r>
        <w:rPr>
          <w:rStyle w:val="FootnoteReference"/>
          <w:rFonts w:ascii="Times New Roman" w:hAnsi="Times New Roman" w:cs="Times New Roman"/>
          <w:sz w:val="24"/>
          <w:szCs w:val="24"/>
          <w:lang w:val="sv-SE"/>
        </w:rPr>
        <w:footnoteReference w:id="62"/>
      </w:r>
      <w:r>
        <w:rPr>
          <w:rFonts w:ascii="Times New Roman" w:hAnsi="Times New Roman" w:cs="Times New Roman"/>
          <w:sz w:val="24"/>
          <w:szCs w:val="24"/>
          <w:lang w:val="sv-SE"/>
        </w:rPr>
        <w:t xml:space="preserve"> </w:t>
      </w:r>
      <w:r w:rsidRPr="00FD3337">
        <w:rPr>
          <w:rFonts w:ascii="Times New Roman" w:hAnsi="Times New Roman" w:cs="Times New Roman"/>
          <w:spacing w:val="6"/>
          <w:sz w:val="24"/>
          <w:szCs w:val="24"/>
          <w:lang w:val="sv-SE"/>
        </w:rPr>
        <w:t xml:space="preserve">Disertasi ini membahas tentang metode ijtihad MUI yang dalam kesimpulannya dinyatakan bahwa secara metodologis, MUI hanya mengikuti manhaj yang sudah ada, sehingga tidak bisa disebut sebagai </w:t>
      </w:r>
      <w:r w:rsidRPr="00FD3337">
        <w:rPr>
          <w:rFonts w:ascii="Times New Roman" w:hAnsi="Times New Roman" w:cs="Times New Roman"/>
          <w:i/>
          <w:iCs/>
          <w:spacing w:val="6"/>
          <w:sz w:val="24"/>
          <w:szCs w:val="24"/>
          <w:lang w:val="sv-SE"/>
        </w:rPr>
        <w:t>mujtahid</w:t>
      </w:r>
      <w:r w:rsidRPr="00FD3337">
        <w:rPr>
          <w:rFonts w:ascii="Times New Roman" w:hAnsi="Times New Roman" w:cs="Times New Roman"/>
          <w:spacing w:val="6"/>
          <w:sz w:val="24"/>
          <w:szCs w:val="24"/>
          <w:lang w:val="sv-SE"/>
        </w:rPr>
        <w:t xml:space="preserve"> </w:t>
      </w:r>
      <w:r w:rsidR="00F02465">
        <w:rPr>
          <w:rFonts w:ascii="Times New Roman" w:hAnsi="Times New Roman" w:cs="Times New Roman"/>
          <w:i/>
          <w:iCs/>
          <w:spacing w:val="6"/>
          <w:sz w:val="24"/>
          <w:szCs w:val="24"/>
          <w:lang w:val="sv-SE"/>
        </w:rPr>
        <w:t>mustaqi</w:t>
      </w:r>
      <w:r w:rsidRPr="00FD3337">
        <w:rPr>
          <w:rFonts w:ascii="Times New Roman" w:hAnsi="Times New Roman" w:cs="Times New Roman"/>
          <w:i/>
          <w:iCs/>
          <w:spacing w:val="6"/>
          <w:sz w:val="24"/>
          <w:szCs w:val="24"/>
          <w:lang w:val="sv-SE"/>
        </w:rPr>
        <w:t>l</w:t>
      </w:r>
      <w:r w:rsidRPr="00FD3337">
        <w:rPr>
          <w:rFonts w:ascii="Times New Roman" w:hAnsi="Times New Roman" w:cs="Times New Roman"/>
          <w:spacing w:val="6"/>
          <w:sz w:val="24"/>
          <w:szCs w:val="24"/>
          <w:lang w:val="sv-SE"/>
        </w:rPr>
        <w:t xml:space="preserve">. Dalam hal martabat ijtihad, MUI dinyatakan sebagai lembaga fatwa yang mengikatkan diri pada pendapat mazhab terdahulu, karena tidak ada fatwa yang berbeda dari yang sudah ada pada fiqh masa lalu. Di samping itu, MUI juga melakukan </w:t>
      </w:r>
      <w:r w:rsidRPr="00FD3337">
        <w:rPr>
          <w:rFonts w:ascii="Times New Roman" w:hAnsi="Times New Roman" w:cs="Times New Roman"/>
          <w:i/>
          <w:iCs/>
          <w:spacing w:val="6"/>
          <w:sz w:val="24"/>
          <w:szCs w:val="24"/>
          <w:lang w:val="sv-SE"/>
        </w:rPr>
        <w:t>ijtihad tarjī</w:t>
      </w:r>
      <w:r w:rsidRPr="00FD3337">
        <w:rPr>
          <w:rFonts w:ascii="Times New Roman" w:hAnsi="Times New Roman" w:cs="Times New Roman"/>
          <w:i/>
          <w:iCs/>
          <w:spacing w:val="6"/>
          <w:sz w:val="24"/>
          <w:szCs w:val="24"/>
          <w:u w:val="single"/>
          <w:lang w:val="sv-SE"/>
        </w:rPr>
        <w:t>h</w:t>
      </w:r>
      <w:r w:rsidRPr="00FD3337">
        <w:rPr>
          <w:rFonts w:ascii="Times New Roman" w:hAnsi="Times New Roman" w:cs="Times New Roman"/>
          <w:spacing w:val="6"/>
          <w:sz w:val="24"/>
          <w:szCs w:val="24"/>
          <w:lang w:val="sv-SE"/>
        </w:rPr>
        <w:t xml:space="preserve">. Dalam hal ini ia tidak terikat pada mazhab tertentu. Standar yang digunakan dalam hal ini adalah memilih pendapat yang paling relevan dengan kemajuan zaman dan lebih </w:t>
      </w:r>
      <w:r w:rsidRPr="00F02465">
        <w:rPr>
          <w:rFonts w:ascii="Times New Roman" w:hAnsi="Times New Roman" w:cs="Times New Roman"/>
          <w:spacing w:val="6"/>
          <w:sz w:val="24"/>
          <w:szCs w:val="24"/>
          <w:lang w:val="sv-SE"/>
        </w:rPr>
        <w:t>maslahat</w:t>
      </w:r>
      <w:r>
        <w:rPr>
          <w:rStyle w:val="FootnoteReference"/>
          <w:rFonts w:ascii="Times New Roman" w:hAnsi="Times New Roman" w:cs="Times New Roman"/>
          <w:spacing w:val="6"/>
          <w:sz w:val="24"/>
          <w:szCs w:val="24"/>
          <w:lang w:val="sv-SE"/>
        </w:rPr>
        <w:footnoteReference w:id="63"/>
      </w:r>
      <w:r w:rsidRPr="00FD3337">
        <w:rPr>
          <w:rFonts w:ascii="Times New Roman" w:hAnsi="Times New Roman" w:cs="Times New Roman"/>
          <w:spacing w:val="6"/>
          <w:sz w:val="24"/>
          <w:szCs w:val="24"/>
          <w:lang w:val="sv-SE"/>
        </w:rPr>
        <w:t>.</w:t>
      </w:r>
      <w:r w:rsidR="005B585E">
        <w:rPr>
          <w:rFonts w:ascii="Times New Roman" w:hAnsi="Times New Roman" w:cs="Times New Roman"/>
          <w:spacing w:val="6"/>
          <w:sz w:val="24"/>
          <w:szCs w:val="24"/>
          <w:lang w:val="sv-SE"/>
        </w:rPr>
        <w:t xml:space="preserve"> </w:t>
      </w:r>
      <w:r w:rsidR="005B585E" w:rsidRPr="005B585E">
        <w:rPr>
          <w:rFonts w:asciiTheme="majorBidi" w:hAnsiTheme="majorBidi" w:cstheme="majorBidi"/>
          <w:sz w:val="24"/>
          <w:szCs w:val="24"/>
          <w:lang w:val="sv-SE"/>
        </w:rPr>
        <w:t xml:space="preserve">Perbedaan penelitian Helmi dengan penelitian ini adalah; </w:t>
      </w:r>
      <w:r w:rsidR="005B585E" w:rsidRPr="005B585E">
        <w:rPr>
          <w:rFonts w:asciiTheme="majorBidi" w:hAnsiTheme="majorBidi" w:cstheme="majorBidi"/>
          <w:i/>
          <w:iCs/>
          <w:sz w:val="24"/>
          <w:szCs w:val="24"/>
          <w:lang w:val="sv-SE"/>
        </w:rPr>
        <w:t>pertama</w:t>
      </w:r>
      <w:r w:rsidR="005B585E" w:rsidRPr="005B585E">
        <w:rPr>
          <w:rFonts w:asciiTheme="majorBidi" w:hAnsiTheme="majorBidi" w:cstheme="majorBidi"/>
          <w:sz w:val="24"/>
          <w:szCs w:val="24"/>
          <w:lang w:val="sv-SE"/>
        </w:rPr>
        <w:t xml:space="preserve">, penelitian Helmi terpokus pada Konsep ijtihad MUI dalam merumuskan fatwa, jadi kajiannya dari sudut pandang </w:t>
      </w:r>
      <w:r w:rsidR="005B585E" w:rsidRPr="005B585E">
        <w:rPr>
          <w:rFonts w:asciiTheme="majorBidi" w:hAnsiTheme="majorBidi" w:cstheme="majorBidi"/>
          <w:i/>
          <w:iCs/>
          <w:sz w:val="24"/>
          <w:szCs w:val="24"/>
          <w:lang w:val="sv-SE"/>
        </w:rPr>
        <w:t>ushul fiqh</w:t>
      </w:r>
      <w:r w:rsidR="005B585E" w:rsidRPr="005B585E">
        <w:rPr>
          <w:rFonts w:asciiTheme="majorBidi" w:hAnsiTheme="majorBidi" w:cstheme="majorBidi"/>
          <w:sz w:val="24"/>
          <w:szCs w:val="24"/>
          <w:lang w:val="sv-SE"/>
        </w:rPr>
        <w:t xml:space="preserve">, </w:t>
      </w:r>
      <w:r w:rsidR="005B585E" w:rsidRPr="005B585E">
        <w:rPr>
          <w:rFonts w:asciiTheme="majorBidi" w:hAnsiTheme="majorBidi" w:cstheme="majorBidi"/>
          <w:sz w:val="24"/>
          <w:szCs w:val="24"/>
          <w:lang w:val="sv-SE"/>
        </w:rPr>
        <w:lastRenderedPageBreak/>
        <w:t xml:space="preserve">sementara penelitian saya selain mengkaji cara MUI dalam merumuskan  fatwa juga mengkaji </w:t>
      </w:r>
      <w:r w:rsidR="00F02465" w:rsidRPr="00E44262">
        <w:rPr>
          <w:rFonts w:asciiTheme="majorBidi" w:hAnsiTheme="majorBidi" w:cstheme="majorBidi"/>
          <w:i/>
          <w:iCs/>
          <w:sz w:val="24"/>
          <w:szCs w:val="24"/>
          <w:lang w:val="sv-SE"/>
        </w:rPr>
        <w:t>siyāsah</w:t>
      </w:r>
      <w:r w:rsidR="00CA49C5">
        <w:rPr>
          <w:rFonts w:asciiTheme="majorBidi" w:hAnsiTheme="majorBidi" w:cstheme="majorBidi"/>
          <w:i/>
          <w:iCs/>
          <w:sz w:val="24"/>
          <w:szCs w:val="24"/>
          <w:lang w:val="sv-SE"/>
        </w:rPr>
        <w:t xml:space="preserve"> </w:t>
      </w:r>
      <w:r w:rsidR="00CC1D08">
        <w:rPr>
          <w:rFonts w:asciiTheme="majorBidi" w:hAnsiTheme="majorBidi" w:cstheme="majorBidi"/>
          <w:i/>
          <w:iCs/>
          <w:sz w:val="24"/>
          <w:szCs w:val="24"/>
          <w:lang w:val="sv-SE"/>
        </w:rPr>
        <w:t>syar‘iyah</w:t>
      </w:r>
      <w:r w:rsidR="005B585E" w:rsidRPr="005B585E">
        <w:rPr>
          <w:rFonts w:asciiTheme="majorBidi" w:hAnsiTheme="majorBidi" w:cstheme="majorBidi"/>
          <w:sz w:val="24"/>
          <w:szCs w:val="24"/>
          <w:lang w:val="sv-SE"/>
        </w:rPr>
        <w:t xml:space="preserve">. </w:t>
      </w:r>
      <w:r w:rsidR="005B585E" w:rsidRPr="005B585E">
        <w:rPr>
          <w:rFonts w:asciiTheme="majorBidi" w:hAnsiTheme="majorBidi" w:cstheme="majorBidi"/>
          <w:sz w:val="24"/>
          <w:szCs w:val="24"/>
        </w:rPr>
        <w:t>Kedua, Helmi mengk</w:t>
      </w:r>
      <w:r w:rsidR="00E1157A">
        <w:rPr>
          <w:rFonts w:asciiTheme="majorBidi" w:hAnsiTheme="majorBidi" w:cstheme="majorBidi"/>
          <w:sz w:val="24"/>
          <w:szCs w:val="24"/>
        </w:rPr>
        <w:t>aji semua topik Fatwa, saya terf</w:t>
      </w:r>
      <w:r w:rsidR="00F02465">
        <w:rPr>
          <w:rFonts w:asciiTheme="majorBidi" w:hAnsiTheme="majorBidi" w:cstheme="majorBidi"/>
          <w:sz w:val="24"/>
          <w:szCs w:val="24"/>
        </w:rPr>
        <w:t>o</w:t>
      </w:r>
      <w:r w:rsidR="005B585E" w:rsidRPr="005B585E">
        <w:rPr>
          <w:rFonts w:asciiTheme="majorBidi" w:hAnsiTheme="majorBidi" w:cstheme="majorBidi"/>
          <w:sz w:val="24"/>
          <w:szCs w:val="24"/>
        </w:rPr>
        <w:t xml:space="preserve">kus hanya pada fatwa Hukum </w:t>
      </w:r>
      <w:r w:rsidR="00E1157A" w:rsidRPr="005B585E">
        <w:rPr>
          <w:rFonts w:asciiTheme="majorBidi" w:hAnsiTheme="majorBidi" w:cstheme="majorBidi"/>
          <w:sz w:val="24"/>
          <w:szCs w:val="24"/>
        </w:rPr>
        <w:t>K</w:t>
      </w:r>
      <w:r w:rsidR="005B585E" w:rsidRPr="005B585E">
        <w:rPr>
          <w:rFonts w:asciiTheme="majorBidi" w:hAnsiTheme="majorBidi" w:cstheme="majorBidi"/>
          <w:sz w:val="24"/>
          <w:szCs w:val="24"/>
        </w:rPr>
        <w:t xml:space="preserve">eluarga. Ketiga, Helmi membahas fatwa MUI hanya sampai tahun 1993, saya </w:t>
      </w:r>
      <w:r w:rsidR="005B585E">
        <w:rPr>
          <w:rFonts w:asciiTheme="majorBidi" w:hAnsiTheme="majorBidi" w:cstheme="majorBidi"/>
          <w:sz w:val="24"/>
          <w:szCs w:val="24"/>
        </w:rPr>
        <w:t xml:space="preserve">membahas fatwa </w:t>
      </w:r>
      <w:r w:rsidR="005B585E" w:rsidRPr="005B585E">
        <w:rPr>
          <w:rFonts w:asciiTheme="majorBidi" w:hAnsiTheme="majorBidi" w:cstheme="majorBidi"/>
          <w:sz w:val="24"/>
          <w:szCs w:val="24"/>
        </w:rPr>
        <w:t xml:space="preserve">sampai tahun 2015. </w:t>
      </w:r>
    </w:p>
    <w:p w:rsidR="00AC43B8" w:rsidRDefault="00AC43B8" w:rsidP="00A33E46">
      <w:pPr>
        <w:pStyle w:val="ListParagraph"/>
        <w:numPr>
          <w:ilvl w:val="0"/>
          <w:numId w:val="2"/>
        </w:numPr>
        <w:tabs>
          <w:tab w:val="num" w:pos="540"/>
        </w:tabs>
        <w:autoSpaceDE w:val="0"/>
        <w:autoSpaceDN w:val="0"/>
        <w:adjustRightInd w:val="0"/>
        <w:spacing w:after="0" w:line="360" w:lineRule="auto"/>
        <w:ind w:left="720"/>
        <w:jc w:val="both"/>
        <w:rPr>
          <w:rFonts w:ascii="Times New Roman" w:hAnsi="Times New Roman" w:cs="Times New Roman"/>
          <w:sz w:val="24"/>
          <w:szCs w:val="24"/>
          <w:lang w:val="sv-SE" w:eastAsia="en-GB"/>
        </w:rPr>
      </w:pPr>
      <w:r>
        <w:rPr>
          <w:rFonts w:ascii="Times New Roman" w:hAnsi="Times New Roman" w:cs="Times New Roman"/>
          <w:sz w:val="24"/>
          <w:szCs w:val="24"/>
          <w:lang w:val="sv-SE" w:eastAsia="en-GB"/>
        </w:rPr>
        <w:t xml:space="preserve">  M.B Hooker, dengan judul” </w:t>
      </w:r>
      <w:r w:rsidRPr="00B44FD9">
        <w:rPr>
          <w:rFonts w:ascii="Times New Roman" w:hAnsi="Times New Roman" w:cs="Times New Roman"/>
          <w:i/>
          <w:iCs/>
          <w:sz w:val="24"/>
          <w:szCs w:val="24"/>
          <w:lang w:val="sv-SE" w:eastAsia="en-GB"/>
        </w:rPr>
        <w:t>Islam and Madical Science: Evidence from Malaysian and Indonesia Fatwas 1960-1996</w:t>
      </w:r>
      <w:r>
        <w:rPr>
          <w:rFonts w:ascii="Times New Roman" w:hAnsi="Times New Roman" w:cs="Times New Roman"/>
          <w:sz w:val="24"/>
          <w:szCs w:val="24"/>
          <w:lang w:val="sv-SE" w:eastAsia="en-GB"/>
        </w:rPr>
        <w:t>. Dalam tulisan ini, penulisnya melakukan kajian perbandingan fatwa-fatwa ulama terkait dengan perkembangan ilmu kedokteran di Indonesia dan Malaysia. Kajiannya dipokuskan pada pendekatan yang dilakukan oleh Ulama dan pemerintah sebagai penyelenggara negara. Yang pertama melakukan pendekatan keagamaan yang cenderung normatif, sedangkan yang kedua menggunakan pendekatan kebutuhan yang cenderung pragmatis.</w:t>
      </w:r>
      <w:r>
        <w:rPr>
          <w:rStyle w:val="FootnoteReference"/>
          <w:rFonts w:ascii="Times New Roman" w:hAnsi="Times New Roman" w:cs="Times New Roman"/>
          <w:sz w:val="24"/>
          <w:szCs w:val="24"/>
          <w:lang w:val="sv-SE" w:eastAsia="en-GB"/>
        </w:rPr>
        <w:footnoteReference w:id="64"/>
      </w:r>
    </w:p>
    <w:p w:rsidR="00E1157A" w:rsidRPr="00E1157A" w:rsidRDefault="00AC43B8" w:rsidP="00E1157A">
      <w:pPr>
        <w:pStyle w:val="ListParagraph"/>
        <w:numPr>
          <w:ilvl w:val="0"/>
          <w:numId w:val="2"/>
        </w:numPr>
        <w:tabs>
          <w:tab w:val="num" w:pos="540"/>
        </w:tabs>
        <w:autoSpaceDE w:val="0"/>
        <w:autoSpaceDN w:val="0"/>
        <w:adjustRightInd w:val="0"/>
        <w:spacing w:after="0" w:line="360" w:lineRule="auto"/>
        <w:ind w:left="720"/>
        <w:jc w:val="both"/>
        <w:rPr>
          <w:rFonts w:ascii="Times New Roman" w:hAnsi="Times New Roman" w:cs="Times New Roman"/>
          <w:sz w:val="24"/>
          <w:szCs w:val="24"/>
          <w:lang w:val="sv-SE" w:eastAsia="en-GB"/>
        </w:rPr>
      </w:pPr>
      <w:r>
        <w:rPr>
          <w:rFonts w:ascii="Times New Roman" w:hAnsi="Times New Roman" w:cs="Times New Roman"/>
          <w:sz w:val="24"/>
          <w:szCs w:val="24"/>
          <w:lang w:val="sv-SE" w:eastAsia="en-GB"/>
        </w:rPr>
        <w:t xml:space="preserve">  Wahiduddin Adams, dengan judul” </w:t>
      </w:r>
      <w:r w:rsidRPr="00B44FD9">
        <w:rPr>
          <w:rFonts w:ascii="Times New Roman" w:hAnsi="Times New Roman" w:cs="Times New Roman"/>
          <w:i/>
          <w:iCs/>
          <w:sz w:val="24"/>
          <w:szCs w:val="24"/>
          <w:lang w:val="sv-SE" w:eastAsia="en-GB"/>
        </w:rPr>
        <w:t>Pola penyerapan Fatwa Majelis Ulama Indonesia dal</w:t>
      </w:r>
      <w:r w:rsidR="00B44FD9">
        <w:rPr>
          <w:rFonts w:ascii="Times New Roman" w:hAnsi="Times New Roman" w:cs="Times New Roman"/>
          <w:i/>
          <w:iCs/>
          <w:sz w:val="24"/>
          <w:szCs w:val="24"/>
          <w:lang w:val="sv-SE" w:eastAsia="en-GB"/>
        </w:rPr>
        <w:t xml:space="preserve">am Peraturan Perundang-Undangan </w:t>
      </w:r>
      <w:r w:rsidRPr="00B44FD9">
        <w:rPr>
          <w:rFonts w:ascii="Times New Roman" w:hAnsi="Times New Roman" w:cs="Times New Roman"/>
          <w:i/>
          <w:iCs/>
          <w:sz w:val="24"/>
          <w:szCs w:val="24"/>
          <w:lang w:val="sv-SE" w:eastAsia="en-GB"/>
        </w:rPr>
        <w:t>1975-1997</w:t>
      </w:r>
      <w:r>
        <w:rPr>
          <w:rFonts w:ascii="Times New Roman" w:hAnsi="Times New Roman" w:cs="Times New Roman"/>
          <w:sz w:val="24"/>
          <w:szCs w:val="24"/>
          <w:lang w:val="sv-SE" w:eastAsia="en-GB"/>
        </w:rPr>
        <w:t>”.</w:t>
      </w:r>
      <w:r w:rsidR="00B44FD9">
        <w:rPr>
          <w:rFonts w:ascii="Times New Roman" w:hAnsi="Times New Roman" w:cs="Times New Roman"/>
          <w:sz w:val="24"/>
          <w:szCs w:val="24"/>
          <w:lang w:val="sv-SE" w:eastAsia="en-GB"/>
        </w:rPr>
        <w:t xml:space="preserve"> </w:t>
      </w:r>
      <w:r>
        <w:rPr>
          <w:rFonts w:ascii="Times New Roman" w:hAnsi="Times New Roman" w:cs="Times New Roman"/>
          <w:sz w:val="24"/>
          <w:szCs w:val="24"/>
          <w:lang w:val="sv-SE" w:eastAsia="en-GB"/>
        </w:rPr>
        <w:t xml:space="preserve">Merupakan disertasi doktor di UIN </w:t>
      </w:r>
      <w:r w:rsidRPr="00FD3337">
        <w:rPr>
          <w:rFonts w:ascii="Times New Roman" w:hAnsi="Times New Roman" w:cs="Times New Roman"/>
          <w:spacing w:val="6"/>
          <w:sz w:val="24"/>
          <w:szCs w:val="24"/>
          <w:lang w:val="id-ID"/>
        </w:rPr>
        <w:t xml:space="preserve">Syarif Hidayatullah, </w:t>
      </w:r>
      <w:r>
        <w:rPr>
          <w:rFonts w:ascii="Times New Roman" w:hAnsi="Times New Roman" w:cs="Times New Roman"/>
          <w:sz w:val="24"/>
          <w:szCs w:val="24"/>
          <w:lang w:val="sv-SE" w:eastAsia="en-GB"/>
        </w:rPr>
        <w:t xml:space="preserve">Jakarta tahun </w:t>
      </w:r>
      <w:r w:rsidRPr="00FD3337">
        <w:rPr>
          <w:rFonts w:ascii="Times New Roman" w:hAnsi="Times New Roman" w:cs="Times New Roman"/>
          <w:spacing w:val="6"/>
          <w:sz w:val="24"/>
          <w:szCs w:val="24"/>
          <w:lang w:val="id-ID"/>
        </w:rPr>
        <w:t>2002.</w:t>
      </w:r>
      <w:r>
        <w:rPr>
          <w:rFonts w:ascii="Times New Roman" w:hAnsi="Times New Roman" w:cs="Times New Roman"/>
          <w:sz w:val="24"/>
          <w:szCs w:val="24"/>
          <w:lang w:val="sv-SE" w:eastAsia="en-GB"/>
        </w:rPr>
        <w:t xml:space="preserve"> Kajiannya lebih terpokus pada fatwa MUI dari segi penyerapan fatwa ke dalam hukum positif melalui peraturan perundang-undangan yang berlaku di negara Indonesia.</w:t>
      </w:r>
      <w:r>
        <w:rPr>
          <w:rStyle w:val="FootnoteReference"/>
          <w:rFonts w:ascii="Times New Roman" w:hAnsi="Times New Roman" w:cs="Times New Roman"/>
          <w:sz w:val="24"/>
          <w:szCs w:val="24"/>
          <w:lang w:val="sv-SE" w:eastAsia="en-GB"/>
        </w:rPr>
        <w:footnoteReference w:id="65"/>
      </w:r>
      <w:r>
        <w:rPr>
          <w:rFonts w:ascii="Times New Roman" w:hAnsi="Times New Roman" w:cs="Times New Roman"/>
          <w:sz w:val="24"/>
          <w:szCs w:val="24"/>
          <w:lang w:val="sv-SE" w:eastAsia="en-GB"/>
        </w:rPr>
        <w:t xml:space="preserve"> </w:t>
      </w:r>
      <w:r w:rsidRPr="00C801BE">
        <w:rPr>
          <w:rFonts w:ascii="Times New Roman" w:hAnsi="Times New Roman" w:cs="Times New Roman"/>
          <w:spacing w:val="6"/>
          <w:sz w:val="24"/>
          <w:szCs w:val="24"/>
          <w:lang w:val="id-ID"/>
        </w:rPr>
        <w:t xml:space="preserve">Disertasi ini menjelaskan bahwa fatwa dan nasehat MUI telah banyak diserap oleh peraturan perundang-undangan dalam berbagai tahap, baik merupakan koreksi atas sebuah peraturan perundang-undangan maupun berupa masukan bagi pembuat peraturan perundang-undangan. </w:t>
      </w:r>
      <w:r w:rsidRPr="00C801BE">
        <w:rPr>
          <w:rFonts w:ascii="Times New Roman" w:hAnsi="Times New Roman" w:cs="Times New Roman"/>
          <w:spacing w:val="6"/>
          <w:sz w:val="24"/>
          <w:szCs w:val="24"/>
          <w:lang w:val="sv-SE"/>
        </w:rPr>
        <w:t xml:space="preserve">MUI juga turut berperan dalam memberikan fatwa dan nasehat dalam pembuatan RUU, seperti RUU Kesehatan, RUU Narkotika, dan RUU Perlindungan anak. Menurut Penulis disertasi ini, penyerapan fatwa MUI dalam berbagai RUU </w:t>
      </w:r>
      <w:r w:rsidRPr="00C801BE">
        <w:rPr>
          <w:rFonts w:ascii="Times New Roman" w:hAnsi="Times New Roman" w:cs="Times New Roman"/>
          <w:spacing w:val="6"/>
          <w:sz w:val="24"/>
          <w:szCs w:val="24"/>
          <w:lang w:val="sv-SE"/>
        </w:rPr>
        <w:lastRenderedPageBreak/>
        <w:t>tidak lepas dari upaya MUI dalam melakukan lobi-lobi dengan fraksi-fraksi di DPR sebagai Badan Legislatif. Pada tahap persiapan pembentukan RUU juga MUI telah turut berperan dalam mengupayakan lobi di tingkat menteri sampai Presiden, sehingga fatwa dan nasehatnya turut mewarnai berbagai RUU dan produk peraturan lainnya.</w:t>
      </w:r>
      <w:r>
        <w:rPr>
          <w:rStyle w:val="FootnoteReference"/>
          <w:rFonts w:ascii="Times New Roman" w:hAnsi="Times New Roman" w:cs="Times New Roman"/>
          <w:spacing w:val="6"/>
          <w:sz w:val="24"/>
          <w:szCs w:val="24"/>
          <w:lang w:val="sv-SE"/>
        </w:rPr>
        <w:footnoteReference w:id="66"/>
      </w:r>
      <w:r w:rsidR="00E1157A">
        <w:rPr>
          <w:rFonts w:ascii="Times New Roman" w:hAnsi="Times New Roman" w:cs="Times New Roman"/>
          <w:spacing w:val="6"/>
          <w:sz w:val="24"/>
          <w:szCs w:val="24"/>
          <w:lang w:val="sv-SE"/>
        </w:rPr>
        <w:t xml:space="preserve"> </w:t>
      </w:r>
      <w:r w:rsidR="00B15A48" w:rsidRPr="00E1157A">
        <w:rPr>
          <w:rFonts w:asciiTheme="majorBidi" w:hAnsiTheme="majorBidi" w:cstheme="majorBidi"/>
          <w:sz w:val="24"/>
          <w:szCs w:val="24"/>
        </w:rPr>
        <w:t xml:space="preserve">Perbedaan penelitian saya dengan penelitian Wahiduddin Adam terletak pada pokus kajian. Wahiduddin terpokus pada kajian fatwa dari segi penyerapannya jadi Undang-Undang, sementara saya  terpokus pada relevansi fatwa terhadap siayasah </w:t>
      </w:r>
      <w:r w:rsidR="00CC1D08" w:rsidRPr="00E1157A">
        <w:rPr>
          <w:rFonts w:asciiTheme="majorBidi" w:hAnsiTheme="majorBidi" w:cstheme="majorBidi"/>
          <w:sz w:val="24"/>
          <w:szCs w:val="24"/>
        </w:rPr>
        <w:t>syar‘iyah</w:t>
      </w:r>
      <w:r w:rsidR="00B15A48" w:rsidRPr="00E1157A">
        <w:rPr>
          <w:rFonts w:asciiTheme="majorBidi" w:hAnsiTheme="majorBidi" w:cstheme="majorBidi"/>
          <w:sz w:val="24"/>
          <w:szCs w:val="24"/>
        </w:rPr>
        <w:t xml:space="preserve"> yang berlaku di Indonesia.</w:t>
      </w:r>
    </w:p>
    <w:p w:rsidR="00B15A48" w:rsidRPr="00E1157A" w:rsidRDefault="00E1157A" w:rsidP="00E1157A">
      <w:pPr>
        <w:pStyle w:val="ListParagraph"/>
        <w:numPr>
          <w:ilvl w:val="0"/>
          <w:numId w:val="2"/>
        </w:numPr>
        <w:tabs>
          <w:tab w:val="num" w:pos="540"/>
        </w:tabs>
        <w:autoSpaceDE w:val="0"/>
        <w:autoSpaceDN w:val="0"/>
        <w:adjustRightInd w:val="0"/>
        <w:spacing w:after="0" w:line="360" w:lineRule="auto"/>
        <w:ind w:left="720"/>
        <w:jc w:val="both"/>
        <w:rPr>
          <w:rFonts w:ascii="Times New Roman" w:hAnsi="Times New Roman" w:cs="Times New Roman"/>
          <w:sz w:val="24"/>
          <w:szCs w:val="24"/>
          <w:lang w:val="sv-SE" w:eastAsia="en-GB"/>
        </w:rPr>
      </w:pPr>
      <w:r>
        <w:rPr>
          <w:rFonts w:ascii="Times New Roman" w:hAnsi="Times New Roman" w:cs="Times New Roman"/>
          <w:sz w:val="24"/>
          <w:szCs w:val="24"/>
          <w:lang w:val="sv-SE" w:eastAsia="en-GB"/>
        </w:rPr>
        <w:t xml:space="preserve">  </w:t>
      </w:r>
      <w:r w:rsidR="00AC43B8" w:rsidRPr="00E1157A">
        <w:rPr>
          <w:rFonts w:ascii="Times New Roman" w:hAnsi="Times New Roman" w:cs="Times New Roman"/>
          <w:sz w:val="24"/>
          <w:szCs w:val="24"/>
          <w:lang w:val="sv-SE" w:eastAsia="en-GB"/>
        </w:rPr>
        <w:t>Asror</w:t>
      </w:r>
      <w:r w:rsidR="00725214" w:rsidRPr="00E1157A">
        <w:rPr>
          <w:rFonts w:ascii="Times New Roman" w:hAnsi="Times New Roman" w:cs="Times New Roman"/>
          <w:sz w:val="24"/>
          <w:szCs w:val="24"/>
          <w:lang w:val="sv-SE" w:eastAsia="en-GB"/>
        </w:rPr>
        <w:t>un</w:t>
      </w:r>
      <w:r w:rsidR="00AC43B8" w:rsidRPr="00E1157A">
        <w:rPr>
          <w:rFonts w:ascii="Times New Roman" w:hAnsi="Times New Roman" w:cs="Times New Roman"/>
          <w:sz w:val="24"/>
          <w:szCs w:val="24"/>
          <w:lang w:val="sv-SE" w:eastAsia="en-GB"/>
        </w:rPr>
        <w:t xml:space="preserve"> Ni’am Sholeh, mengkaji fatwa MUI dari segi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 xml:space="preserve"> 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dengan judul”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 xml:space="preserve"> 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i/>
          <w:iCs/>
          <w:sz w:val="24"/>
          <w:szCs w:val="24"/>
          <w:lang w:val="sv-SE" w:eastAsia="en-GB"/>
        </w:rPr>
        <w:t>dan Aplikasinya dalam Fatwa Majelis Ulama Indonesia</w:t>
      </w:r>
      <w:r w:rsidR="00AC43B8" w:rsidRPr="00E1157A">
        <w:rPr>
          <w:rFonts w:ascii="Times New Roman" w:hAnsi="Times New Roman" w:cs="Times New Roman"/>
          <w:sz w:val="24"/>
          <w:szCs w:val="24"/>
          <w:lang w:val="sv-SE" w:eastAsia="en-GB"/>
        </w:rPr>
        <w:t>. Tulisan ini Merupakan Disertasi Doktor pada Universitas Islam Negeri Syarif Hidayatullah Jakarta, Tahun 2008.</w:t>
      </w:r>
      <w:r w:rsidR="00AC43B8">
        <w:rPr>
          <w:rStyle w:val="FootnoteReference"/>
          <w:rFonts w:ascii="Times New Roman" w:hAnsi="Times New Roman" w:cs="Times New Roman"/>
          <w:sz w:val="24"/>
          <w:szCs w:val="24"/>
          <w:lang w:val="sv-SE" w:eastAsia="en-GB"/>
        </w:rPr>
        <w:footnoteReference w:id="67"/>
      </w:r>
      <w:r>
        <w:rPr>
          <w:rFonts w:ascii="Times New Roman" w:hAnsi="Times New Roman" w:cs="Times New Roman"/>
          <w:sz w:val="24"/>
          <w:szCs w:val="24"/>
          <w:lang w:val="sv-SE" w:eastAsia="en-GB"/>
        </w:rPr>
        <w:t xml:space="preserve"> Penulis</w:t>
      </w:r>
      <w:r w:rsidR="00AC43B8" w:rsidRPr="00E1157A">
        <w:rPr>
          <w:rFonts w:ascii="Times New Roman" w:hAnsi="Times New Roman" w:cs="Times New Roman"/>
          <w:sz w:val="24"/>
          <w:szCs w:val="24"/>
          <w:lang w:val="sv-SE" w:eastAsia="en-GB"/>
        </w:rPr>
        <w:t xml:space="preserve">nya menyimpulkan dengan tiga jawaban atas pokok permasalahan penilitian, yaitu; pertama, bahwa penggunaan konsep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 xml:space="preserve"> 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B47C0A" w:rsidRPr="00E1157A">
        <w:rPr>
          <w:rFonts w:ascii="Times New Roman" w:hAnsi="Times New Roman" w:cs="Times New Roman"/>
          <w:sz w:val="24"/>
          <w:szCs w:val="24"/>
          <w:lang w:val="sv-SE" w:eastAsia="en-GB"/>
        </w:rPr>
        <w:t>dalam</w:t>
      </w:r>
      <w:r w:rsidR="00AC43B8" w:rsidRPr="00E1157A">
        <w:rPr>
          <w:rFonts w:ascii="Times New Roman" w:hAnsi="Times New Roman" w:cs="Times New Roman"/>
          <w:sz w:val="24"/>
          <w:szCs w:val="24"/>
          <w:lang w:val="sv-SE" w:eastAsia="en-GB"/>
        </w:rPr>
        <w:t xml:space="preserve"> istinbat hukum, sesungguhnya adalah inplementasi kelanjutan dari prinsip </w:t>
      </w:r>
      <w:r w:rsidR="00AC43B8" w:rsidRPr="00E1157A">
        <w:rPr>
          <w:rFonts w:ascii="Times New Roman" w:hAnsi="Times New Roman" w:cs="Times New Roman"/>
          <w:i/>
          <w:iCs/>
          <w:sz w:val="24"/>
          <w:szCs w:val="24"/>
          <w:lang w:val="sv-SE" w:eastAsia="en-GB"/>
        </w:rPr>
        <w:t>maslahah al-mursalah</w:t>
      </w:r>
      <w:r w:rsidR="00AC43B8" w:rsidRPr="00E1157A">
        <w:rPr>
          <w:rFonts w:ascii="Times New Roman" w:hAnsi="Times New Roman" w:cs="Times New Roman"/>
          <w:sz w:val="24"/>
          <w:szCs w:val="24"/>
          <w:lang w:val="sv-SE" w:eastAsia="en-GB"/>
        </w:rPr>
        <w:t xml:space="preserve">, karena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 xml:space="preserve"> 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pada hakikatnya suatu bentuk ijtihad berdasarkan maslahah. </w:t>
      </w:r>
      <w:r w:rsidR="00AC43B8" w:rsidRPr="00E1157A">
        <w:rPr>
          <w:rFonts w:ascii="Times New Roman" w:hAnsi="Times New Roman" w:cs="Times New Roman"/>
          <w:i/>
          <w:iCs/>
          <w:sz w:val="24"/>
          <w:szCs w:val="24"/>
          <w:lang w:val="sv-SE" w:eastAsia="en-GB"/>
        </w:rPr>
        <w:t>Sadd Al-Dzari’ah</w:t>
      </w:r>
      <w:r w:rsidR="00AC43B8" w:rsidRPr="00E1157A">
        <w:rPr>
          <w:rFonts w:ascii="Times New Roman" w:hAnsi="Times New Roman" w:cs="Times New Roman"/>
          <w:sz w:val="24"/>
          <w:szCs w:val="24"/>
          <w:lang w:val="sv-SE" w:eastAsia="en-GB"/>
        </w:rPr>
        <w:t xml:space="preserve"> adalah pertimbangan antara </w:t>
      </w:r>
      <w:r w:rsidR="00AC43B8" w:rsidRPr="00E1157A">
        <w:rPr>
          <w:rFonts w:ascii="Times New Roman" w:hAnsi="Times New Roman" w:cs="Times New Roman"/>
          <w:i/>
          <w:iCs/>
          <w:sz w:val="24"/>
          <w:szCs w:val="24"/>
          <w:lang w:val="sv-SE" w:eastAsia="en-GB"/>
        </w:rPr>
        <w:t>maslahah</w:t>
      </w:r>
      <w:r w:rsidR="00AC43B8" w:rsidRPr="00E1157A">
        <w:rPr>
          <w:rFonts w:ascii="Times New Roman" w:hAnsi="Times New Roman" w:cs="Times New Roman"/>
          <w:sz w:val="24"/>
          <w:szCs w:val="24"/>
          <w:lang w:val="sv-SE" w:eastAsia="en-GB"/>
        </w:rPr>
        <w:t xml:space="preserve"> dan </w:t>
      </w:r>
      <w:r w:rsidR="00AC43B8" w:rsidRPr="00E1157A">
        <w:rPr>
          <w:rFonts w:ascii="Times New Roman" w:hAnsi="Times New Roman" w:cs="Times New Roman"/>
          <w:i/>
          <w:iCs/>
          <w:sz w:val="24"/>
          <w:szCs w:val="24"/>
          <w:lang w:val="sv-SE" w:eastAsia="en-GB"/>
        </w:rPr>
        <w:t>mafsadah</w:t>
      </w:r>
      <w:r w:rsidR="00AC43B8" w:rsidRPr="00E1157A">
        <w:rPr>
          <w:rFonts w:ascii="Times New Roman" w:hAnsi="Times New Roman" w:cs="Times New Roman"/>
          <w:sz w:val="24"/>
          <w:szCs w:val="24"/>
          <w:lang w:val="sv-SE" w:eastAsia="en-GB"/>
        </w:rPr>
        <w:t xml:space="preserve">, dengan menolak kerusakan dengan cara mendahulukan menolak </w:t>
      </w:r>
      <w:r w:rsidR="00AC43B8" w:rsidRPr="00E1157A">
        <w:rPr>
          <w:rFonts w:ascii="Times New Roman" w:hAnsi="Times New Roman" w:cs="Times New Roman"/>
          <w:i/>
          <w:iCs/>
          <w:sz w:val="24"/>
          <w:szCs w:val="24"/>
          <w:lang w:val="sv-SE" w:eastAsia="en-GB"/>
        </w:rPr>
        <w:t>mafsadah</w:t>
      </w:r>
      <w:r w:rsidR="00AC43B8" w:rsidRPr="00E1157A">
        <w:rPr>
          <w:rFonts w:ascii="Times New Roman" w:hAnsi="Times New Roman" w:cs="Times New Roman"/>
          <w:sz w:val="24"/>
          <w:szCs w:val="24"/>
          <w:lang w:val="sv-SE" w:eastAsia="en-GB"/>
        </w:rPr>
        <w:t xml:space="preserve"> dalam rangka mewujudkan </w:t>
      </w:r>
      <w:r w:rsidR="00AC43B8" w:rsidRPr="00E1157A">
        <w:rPr>
          <w:rFonts w:ascii="Times New Roman" w:hAnsi="Times New Roman" w:cs="Times New Roman"/>
          <w:i/>
          <w:iCs/>
          <w:sz w:val="24"/>
          <w:szCs w:val="24"/>
          <w:lang w:val="sv-SE" w:eastAsia="en-GB"/>
        </w:rPr>
        <w:t>kemaslahatan</w:t>
      </w:r>
      <w:r w:rsidR="00AC43B8" w:rsidRPr="00E1157A">
        <w:rPr>
          <w:rFonts w:ascii="Times New Roman" w:hAnsi="Times New Roman" w:cs="Times New Roman"/>
          <w:sz w:val="24"/>
          <w:szCs w:val="24"/>
          <w:lang w:val="sv-SE" w:eastAsia="en-GB"/>
        </w:rPr>
        <w:t xml:space="preserve">. </w:t>
      </w:r>
      <w:r w:rsidR="00AC43B8" w:rsidRPr="00E1157A">
        <w:rPr>
          <w:rFonts w:ascii="Times New Roman" w:hAnsi="Times New Roman" w:cs="Times New Roman"/>
          <w:i/>
          <w:iCs/>
          <w:sz w:val="24"/>
          <w:szCs w:val="24"/>
          <w:lang w:val="sv-SE" w:eastAsia="en-GB"/>
        </w:rPr>
        <w:t>Kedua</w:t>
      </w:r>
      <w:r w:rsidR="00BA6F51" w:rsidRPr="00E1157A">
        <w:rPr>
          <w:rFonts w:ascii="Times New Roman" w:hAnsi="Times New Roman" w:cs="Times New Roman"/>
          <w:sz w:val="24"/>
          <w:szCs w:val="24"/>
          <w:lang w:val="sv-SE" w:eastAsia="en-GB"/>
        </w:rPr>
        <w:t>,  Malikiyah dan Hanbali</w:t>
      </w:r>
      <w:r w:rsidR="00AC43B8" w:rsidRPr="00E1157A">
        <w:rPr>
          <w:rFonts w:ascii="Times New Roman" w:hAnsi="Times New Roman" w:cs="Times New Roman"/>
          <w:sz w:val="24"/>
          <w:szCs w:val="24"/>
          <w:lang w:val="sv-SE" w:eastAsia="en-GB"/>
        </w:rPr>
        <w:t xml:space="preserve"> adalah mazhab yang paling banyak mengembangkan konsep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dalam literatur fiqhnya, kedua mazhab ini secara eksplisit menyatakan  bahwa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dapat dijadikan sebagai landasan penetapan hukum. </w:t>
      </w:r>
      <w:r w:rsidR="00AC43B8" w:rsidRPr="00E1157A">
        <w:rPr>
          <w:rFonts w:ascii="Times New Roman" w:hAnsi="Times New Roman" w:cs="Times New Roman"/>
          <w:i/>
          <w:iCs/>
          <w:sz w:val="24"/>
          <w:szCs w:val="24"/>
          <w:lang w:val="sv-SE" w:eastAsia="en-GB"/>
        </w:rPr>
        <w:t>Ketiga,</w:t>
      </w:r>
      <w:r w:rsidR="00AC43B8" w:rsidRPr="00E1157A">
        <w:rPr>
          <w:rFonts w:ascii="Times New Roman" w:hAnsi="Times New Roman" w:cs="Times New Roman"/>
          <w:sz w:val="24"/>
          <w:szCs w:val="24"/>
          <w:lang w:val="sv-SE" w:eastAsia="en-GB"/>
        </w:rPr>
        <w:t xml:space="preserve"> Penggunaan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dalam fatwa MUI menggunakan tiga bentuk; 1) secara </w:t>
      </w:r>
      <w:r w:rsidR="00AC43B8" w:rsidRPr="00E1157A">
        <w:rPr>
          <w:rFonts w:ascii="Times New Roman" w:hAnsi="Times New Roman" w:cs="Times New Roman"/>
          <w:sz w:val="24"/>
          <w:szCs w:val="24"/>
          <w:lang w:val="sv-SE" w:eastAsia="en-GB"/>
        </w:rPr>
        <w:lastRenderedPageBreak/>
        <w:t xml:space="preserve">eksplisit, yaitu dengan menyebutkan kaedah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 xml:space="preserve">ah </w:t>
      </w:r>
      <w:r w:rsidR="00AC43B8" w:rsidRPr="00E1157A">
        <w:rPr>
          <w:rFonts w:ascii="Times New Roman" w:hAnsi="Times New Roman" w:cs="Times New Roman"/>
          <w:sz w:val="24"/>
          <w:szCs w:val="24"/>
          <w:lang w:val="sv-SE" w:eastAsia="en-GB"/>
        </w:rPr>
        <w:t xml:space="preserve">sebagai dalil mandiri berdampingan dengan dalil-dalil lain dalam konsedransi fatwa. 2) dengan menggunakan kaedah fiqhiyah yang sejalan dengan prinsip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ah</w:t>
      </w:r>
      <w:r w:rsidR="00AC43B8" w:rsidRPr="00E1157A">
        <w:rPr>
          <w:rFonts w:ascii="Times New Roman" w:hAnsi="Times New Roman" w:cs="Times New Roman"/>
          <w:sz w:val="24"/>
          <w:szCs w:val="24"/>
          <w:lang w:val="sv-SE" w:eastAsia="en-GB"/>
        </w:rPr>
        <w:t>, 3) dengan sekedar penjelasan secara argumentatif adanya dampak-dampak negatif jika suatu masalah tersebut diperbolehkan.</w:t>
      </w:r>
      <w:r w:rsidR="00AC43B8">
        <w:rPr>
          <w:rStyle w:val="FootnoteReference"/>
          <w:rFonts w:ascii="Times New Roman" w:hAnsi="Times New Roman" w:cs="Times New Roman"/>
          <w:sz w:val="24"/>
          <w:szCs w:val="24"/>
          <w:lang w:val="sv-SE" w:eastAsia="en-GB"/>
        </w:rPr>
        <w:footnoteReference w:id="68"/>
      </w:r>
      <w:r w:rsidR="00B15A48" w:rsidRPr="00E1157A">
        <w:rPr>
          <w:rFonts w:ascii="Times New Roman" w:hAnsi="Times New Roman" w:cs="Times New Roman"/>
          <w:sz w:val="24"/>
          <w:szCs w:val="24"/>
          <w:lang w:val="sv-SE" w:eastAsia="en-GB"/>
        </w:rPr>
        <w:t xml:space="preserve"> </w:t>
      </w:r>
      <w:r>
        <w:rPr>
          <w:rFonts w:ascii="Times New Roman" w:hAnsi="Times New Roman" w:cs="Times New Roman"/>
          <w:sz w:val="24"/>
          <w:szCs w:val="24"/>
          <w:lang w:val="sv-SE" w:eastAsia="en-GB"/>
        </w:rPr>
        <w:t xml:space="preserve"> </w:t>
      </w:r>
      <w:r w:rsidR="00B15A48" w:rsidRPr="00E1157A">
        <w:rPr>
          <w:rFonts w:asciiTheme="majorBidi" w:hAnsiTheme="majorBidi" w:cstheme="majorBidi"/>
          <w:sz w:val="24"/>
          <w:szCs w:val="24"/>
        </w:rPr>
        <w:t xml:space="preserve">Perbadaan penelitian saya dengan penelitian Asrorun Ni’am terletak pada segi sudut kajian. Asrorun Ni’am mengkaji fatwa dari segi </w:t>
      </w:r>
      <w:r w:rsidRPr="00E1157A">
        <w:rPr>
          <w:rFonts w:asciiTheme="majorBidi" w:hAnsiTheme="majorBidi" w:cstheme="majorBidi"/>
          <w:i/>
          <w:iCs/>
          <w:sz w:val="24"/>
          <w:szCs w:val="24"/>
          <w:lang w:val="sv-SE"/>
        </w:rPr>
        <w:t>sadd al-</w:t>
      </w:r>
      <w:r w:rsidRPr="00E1157A">
        <w:rPr>
          <w:rFonts w:asciiTheme="majorBidi" w:hAnsiTheme="majorBidi" w:cstheme="majorBidi"/>
          <w:color w:val="222222"/>
          <w:sz w:val="24"/>
          <w:szCs w:val="24"/>
          <w:lang w:val="sv-SE"/>
        </w:rPr>
        <w:t>ż</w:t>
      </w:r>
      <w:r w:rsidRPr="00E1157A">
        <w:rPr>
          <w:rFonts w:asciiTheme="majorBidi" w:hAnsiTheme="majorBidi" w:cstheme="majorBidi"/>
          <w:i/>
          <w:iCs/>
          <w:sz w:val="24"/>
          <w:szCs w:val="24"/>
          <w:lang w:val="sv-SE"/>
        </w:rPr>
        <w:t>arī</w:t>
      </w:r>
      <w:r w:rsidRPr="00E1157A">
        <w:rPr>
          <w:rFonts w:asciiTheme="majorBidi" w:hAnsiTheme="majorBidi" w:cstheme="majorBidi"/>
          <w:sz w:val="24"/>
          <w:szCs w:val="24"/>
          <w:lang w:val="sv-SE"/>
        </w:rPr>
        <w:t>‘</w:t>
      </w:r>
      <w:r w:rsidRPr="00E1157A">
        <w:rPr>
          <w:rFonts w:asciiTheme="majorBidi" w:hAnsiTheme="majorBidi" w:cstheme="majorBidi"/>
          <w:i/>
          <w:iCs/>
          <w:sz w:val="24"/>
          <w:szCs w:val="24"/>
          <w:lang w:val="sv-SE"/>
        </w:rPr>
        <w:t>ah</w:t>
      </w:r>
      <w:r w:rsidR="00B15A48" w:rsidRPr="00E1157A">
        <w:rPr>
          <w:rFonts w:asciiTheme="majorBidi" w:hAnsiTheme="majorBidi" w:cstheme="majorBidi"/>
          <w:sz w:val="24"/>
          <w:szCs w:val="24"/>
        </w:rPr>
        <w:t xml:space="preserve">, sementara saya mengkaji fatwa dari sudut </w:t>
      </w:r>
      <w:r w:rsidR="00B15A48" w:rsidRPr="00E1157A">
        <w:rPr>
          <w:rFonts w:asciiTheme="majorBidi" w:hAnsiTheme="majorBidi" w:cstheme="majorBidi"/>
          <w:i/>
          <w:iCs/>
          <w:sz w:val="24"/>
          <w:szCs w:val="24"/>
        </w:rPr>
        <w:t xml:space="preserve">siayasah </w:t>
      </w:r>
      <w:r w:rsidR="00CC1D08" w:rsidRPr="00E1157A">
        <w:rPr>
          <w:rFonts w:asciiTheme="majorBidi" w:hAnsiTheme="majorBidi" w:cstheme="majorBidi"/>
          <w:i/>
          <w:iCs/>
          <w:sz w:val="24"/>
          <w:szCs w:val="24"/>
        </w:rPr>
        <w:t>syar‘i</w:t>
      </w:r>
      <w:r>
        <w:rPr>
          <w:rFonts w:asciiTheme="majorBidi" w:hAnsiTheme="majorBidi" w:cstheme="majorBidi"/>
          <w:i/>
          <w:iCs/>
          <w:sz w:val="24"/>
          <w:szCs w:val="24"/>
        </w:rPr>
        <w:t>y</w:t>
      </w:r>
      <w:r w:rsidR="00CC1D08" w:rsidRPr="00E1157A">
        <w:rPr>
          <w:rFonts w:asciiTheme="majorBidi" w:hAnsiTheme="majorBidi" w:cstheme="majorBidi"/>
          <w:i/>
          <w:iCs/>
          <w:sz w:val="24"/>
          <w:szCs w:val="24"/>
        </w:rPr>
        <w:t>yah</w:t>
      </w:r>
      <w:r w:rsidR="00B15A48" w:rsidRPr="00E1157A">
        <w:rPr>
          <w:rFonts w:asciiTheme="majorBidi" w:hAnsiTheme="majorBidi" w:cstheme="majorBidi"/>
          <w:sz w:val="24"/>
          <w:szCs w:val="24"/>
        </w:rPr>
        <w:t>, selian itu, Asrorun Membahas semua tema fatwa yang dikeluar sampai tahun 2008, dan saya hanya membahas fatwa hukum keluarga yang di fatwakan sampai tahun 2015.</w:t>
      </w:r>
    </w:p>
    <w:p w:rsidR="00E6266C" w:rsidRPr="00AA7556" w:rsidRDefault="00AC43B8" w:rsidP="00AA7556">
      <w:pPr>
        <w:pStyle w:val="ListParagraph"/>
        <w:numPr>
          <w:ilvl w:val="0"/>
          <w:numId w:val="2"/>
        </w:numPr>
        <w:spacing w:before="40" w:after="0" w:line="360" w:lineRule="auto"/>
        <w:ind w:left="720"/>
        <w:jc w:val="both"/>
        <w:rPr>
          <w:rFonts w:ascii="Times New Roman" w:hAnsi="Times New Roman" w:cs="Times New Roman"/>
          <w:sz w:val="24"/>
          <w:szCs w:val="24"/>
          <w:lang w:val="id-ID"/>
        </w:rPr>
      </w:pPr>
      <w:r w:rsidRPr="00DB28B3">
        <w:rPr>
          <w:rFonts w:ascii="Times New Roman" w:hAnsi="Times New Roman" w:cs="Times New Roman"/>
          <w:sz w:val="24"/>
          <w:szCs w:val="24"/>
          <w:lang w:val="sv-SE" w:eastAsia="en-GB"/>
        </w:rPr>
        <w:t xml:space="preserve">Muhammad Taufiki, menulis disertasi dengan judul: </w:t>
      </w:r>
      <w:r w:rsidRPr="00B44FD9">
        <w:rPr>
          <w:rFonts w:ascii="Times New Roman" w:hAnsi="Times New Roman" w:cs="Times New Roman"/>
          <w:i/>
          <w:iCs/>
          <w:sz w:val="24"/>
          <w:szCs w:val="24"/>
          <w:lang w:val="sv-SE" w:eastAsia="en-GB"/>
        </w:rPr>
        <w:t xml:space="preserve">Penarapan Konsep Ijtihad Tathbiqi </w:t>
      </w:r>
      <w:r w:rsidR="00B606BF">
        <w:rPr>
          <w:rFonts w:ascii="Times New Roman" w:hAnsi="Times New Roman" w:cs="Times New Roman"/>
          <w:i/>
          <w:iCs/>
          <w:sz w:val="24"/>
          <w:szCs w:val="24"/>
          <w:lang w:val="sv-SE" w:eastAsia="en-GB"/>
        </w:rPr>
        <w:t>Al- Syāthibī</w:t>
      </w:r>
      <w:r w:rsidRPr="00B44FD9">
        <w:rPr>
          <w:rFonts w:ascii="Times New Roman" w:hAnsi="Times New Roman" w:cs="Times New Roman"/>
          <w:i/>
          <w:iCs/>
          <w:sz w:val="24"/>
          <w:szCs w:val="24"/>
          <w:lang w:val="sv-SE" w:eastAsia="en-GB"/>
        </w:rPr>
        <w:t xml:space="preserve"> dalam Fatwa MUI: Kajian Terhadap fatwa tahun 1997-2007.</w:t>
      </w:r>
      <w:r w:rsidRPr="00DB28B3">
        <w:rPr>
          <w:rFonts w:ascii="Times New Roman" w:hAnsi="Times New Roman" w:cs="Times New Roman"/>
          <w:sz w:val="24"/>
          <w:szCs w:val="24"/>
          <w:lang w:val="sv-SE" w:eastAsia="en-GB"/>
        </w:rPr>
        <w:t xml:space="preserve"> </w:t>
      </w:r>
      <w:r w:rsidRPr="00DB28B3">
        <w:rPr>
          <w:rFonts w:ascii="Times New Roman" w:hAnsi="Times New Roman" w:cs="Times New Roman"/>
          <w:spacing w:val="6"/>
          <w:sz w:val="24"/>
          <w:szCs w:val="24"/>
          <w:lang w:val="id-ID"/>
        </w:rPr>
        <w:t xml:space="preserve">Disertasi </w:t>
      </w:r>
      <w:r w:rsidRPr="00DB28B3">
        <w:rPr>
          <w:rFonts w:ascii="Times New Roman" w:hAnsi="Times New Roman" w:cs="Times New Roman"/>
          <w:spacing w:val="6"/>
          <w:sz w:val="24"/>
          <w:szCs w:val="24"/>
          <w:lang w:val="sv-SE"/>
        </w:rPr>
        <w:t xml:space="preserve">Doktor pada Universitas Negeri Syarif Hidaytullah Jakarta tahun 2008 </w:t>
      </w:r>
      <w:r w:rsidRPr="00DB28B3">
        <w:rPr>
          <w:rFonts w:ascii="Times New Roman" w:hAnsi="Times New Roman" w:cs="Times New Roman"/>
          <w:spacing w:val="6"/>
          <w:sz w:val="24"/>
          <w:szCs w:val="24"/>
          <w:lang w:val="id-ID"/>
        </w:rPr>
        <w:t xml:space="preserve">ini </w:t>
      </w:r>
      <w:r w:rsidRPr="00DB28B3">
        <w:rPr>
          <w:rFonts w:ascii="Times New Roman" w:hAnsi="Times New Roman" w:cs="Times New Roman"/>
          <w:spacing w:val="6"/>
          <w:sz w:val="24"/>
          <w:szCs w:val="24"/>
          <w:lang w:val="sv-SE"/>
        </w:rPr>
        <w:t>lebih ter</w:t>
      </w:r>
      <w:r w:rsidRPr="00DB28B3">
        <w:rPr>
          <w:rFonts w:ascii="Times New Roman" w:hAnsi="Times New Roman" w:cs="Times New Roman"/>
          <w:spacing w:val="6"/>
          <w:sz w:val="24"/>
          <w:szCs w:val="24"/>
          <w:lang w:val="id-ID"/>
        </w:rPr>
        <w:t>fokuskan pada fatwa MUI terutama dari sisi metodologisnya, kemudian disoroti dengan konsep ijtihad</w:t>
      </w:r>
      <w:r w:rsidRPr="00DB28B3">
        <w:rPr>
          <w:rFonts w:ascii="Times New Roman" w:hAnsi="Times New Roman" w:cs="Times New Roman"/>
          <w:i/>
          <w:iCs/>
          <w:spacing w:val="6"/>
          <w:sz w:val="24"/>
          <w:szCs w:val="24"/>
          <w:lang w:val="id-ID"/>
        </w:rPr>
        <w:t xml:space="preserve"> </w:t>
      </w:r>
      <w:r w:rsidRPr="00DB28B3">
        <w:rPr>
          <w:rFonts w:ascii="Times New Roman" w:hAnsi="Times New Roman" w:cs="Times New Roman"/>
          <w:spacing w:val="6"/>
          <w:sz w:val="24"/>
          <w:szCs w:val="24"/>
          <w:lang w:val="sv-SE"/>
        </w:rPr>
        <w:t>Tathbiqi</w:t>
      </w:r>
      <w:r w:rsidRPr="00DB28B3">
        <w:rPr>
          <w:rFonts w:ascii="Times New Roman" w:hAnsi="Times New Roman" w:cs="Times New Roman"/>
          <w:spacing w:val="6"/>
          <w:sz w:val="24"/>
          <w:szCs w:val="24"/>
          <w:lang w:val="id-ID"/>
        </w:rPr>
        <w:t xml:space="preserve"> yang telah dirumuskan oleh al-Syā</w:t>
      </w:r>
      <w:r w:rsidRPr="00DB28B3">
        <w:rPr>
          <w:rFonts w:ascii="Times New Roman" w:hAnsi="Times New Roman" w:cs="Times New Roman"/>
          <w:spacing w:val="6"/>
          <w:sz w:val="24"/>
          <w:szCs w:val="24"/>
          <w:lang w:val="sv-SE"/>
        </w:rPr>
        <w:t>th</w:t>
      </w:r>
      <w:r w:rsidRPr="00DB28B3">
        <w:rPr>
          <w:rFonts w:ascii="Times New Roman" w:hAnsi="Times New Roman" w:cs="Times New Roman"/>
          <w:spacing w:val="6"/>
          <w:sz w:val="24"/>
          <w:szCs w:val="24"/>
          <w:lang w:val="id-ID"/>
        </w:rPr>
        <w:t>ibi.</w:t>
      </w:r>
      <w:r>
        <w:rPr>
          <w:rStyle w:val="FootnoteReference"/>
          <w:rFonts w:ascii="Times New Roman" w:hAnsi="Times New Roman" w:cs="Times New Roman"/>
          <w:spacing w:val="6"/>
          <w:sz w:val="24"/>
          <w:szCs w:val="24"/>
          <w:lang w:val="id-ID"/>
        </w:rPr>
        <w:footnoteReference w:id="69"/>
      </w:r>
      <w:r w:rsidRPr="00DB28B3">
        <w:rPr>
          <w:rFonts w:ascii="Times New Roman" w:hAnsi="Times New Roman" w:cs="Times New Roman"/>
          <w:spacing w:val="6"/>
          <w:sz w:val="24"/>
          <w:szCs w:val="24"/>
          <w:lang w:val="sv-SE"/>
        </w:rPr>
        <w:t xml:space="preserve"> </w:t>
      </w:r>
      <w:r w:rsidR="002C6CC5" w:rsidRPr="00AA7556">
        <w:rPr>
          <w:rFonts w:asciiTheme="majorBidi" w:hAnsiTheme="majorBidi" w:cstheme="majorBidi"/>
          <w:sz w:val="24"/>
          <w:szCs w:val="24"/>
          <w:lang w:val="id-ID"/>
        </w:rPr>
        <w:t>Perbadaan penelitian saya dengan penelitian Muhammad Taufiki ini te</w:t>
      </w:r>
      <w:r w:rsidR="002C6CC5" w:rsidRPr="00AA7556">
        <w:rPr>
          <w:rFonts w:asciiTheme="majorBidi" w:hAnsiTheme="majorBidi" w:cstheme="majorBidi"/>
          <w:sz w:val="24"/>
          <w:szCs w:val="24"/>
        </w:rPr>
        <w:t>rletak pada sudut pandang kajiannya. Taufiki meneliti fatwa MUI dari sudut pandang Ijtihadnya, yaitu kajian ushul fiqh, s</w:t>
      </w:r>
      <w:r w:rsidR="00AA7556">
        <w:rPr>
          <w:rFonts w:asciiTheme="majorBidi" w:hAnsiTheme="majorBidi" w:cstheme="majorBidi"/>
          <w:sz w:val="24"/>
          <w:szCs w:val="24"/>
        </w:rPr>
        <w:t xml:space="preserve">ementara saya terpokus kajian </w:t>
      </w:r>
      <w:r w:rsidR="00AA7556" w:rsidRPr="00E44262">
        <w:rPr>
          <w:rFonts w:asciiTheme="majorBidi" w:hAnsiTheme="majorBidi" w:cstheme="majorBidi"/>
          <w:i/>
          <w:iCs/>
          <w:sz w:val="24"/>
          <w:szCs w:val="24"/>
          <w:lang w:val="sv-SE"/>
        </w:rPr>
        <w:t>siyāsah</w:t>
      </w:r>
      <w:r w:rsidR="002C6CC5" w:rsidRPr="00AA7556">
        <w:rPr>
          <w:rFonts w:asciiTheme="majorBidi" w:hAnsiTheme="majorBidi" w:cstheme="majorBidi"/>
          <w:i/>
          <w:iCs/>
          <w:sz w:val="24"/>
          <w:szCs w:val="24"/>
        </w:rPr>
        <w:t xml:space="preserve"> </w:t>
      </w:r>
      <w:r w:rsidR="00CC1D08" w:rsidRPr="00AA7556">
        <w:rPr>
          <w:rFonts w:asciiTheme="majorBidi" w:hAnsiTheme="majorBidi" w:cstheme="majorBidi"/>
          <w:i/>
          <w:iCs/>
          <w:sz w:val="24"/>
          <w:szCs w:val="24"/>
        </w:rPr>
        <w:t>Syar‘i</w:t>
      </w:r>
      <w:r w:rsidR="00AA7556" w:rsidRPr="00AA7556">
        <w:rPr>
          <w:rFonts w:asciiTheme="majorBidi" w:hAnsiTheme="majorBidi" w:cstheme="majorBidi"/>
          <w:i/>
          <w:iCs/>
          <w:sz w:val="24"/>
          <w:szCs w:val="24"/>
        </w:rPr>
        <w:t>y</w:t>
      </w:r>
      <w:r w:rsidR="00CC1D08" w:rsidRPr="00AA7556">
        <w:rPr>
          <w:rFonts w:asciiTheme="majorBidi" w:hAnsiTheme="majorBidi" w:cstheme="majorBidi"/>
          <w:i/>
          <w:iCs/>
          <w:sz w:val="24"/>
          <w:szCs w:val="24"/>
        </w:rPr>
        <w:t>yah</w:t>
      </w:r>
      <w:r w:rsidR="002C6CC5" w:rsidRPr="00AA7556">
        <w:rPr>
          <w:rFonts w:asciiTheme="majorBidi" w:hAnsiTheme="majorBidi" w:cstheme="majorBidi"/>
          <w:i/>
          <w:iCs/>
          <w:sz w:val="24"/>
          <w:szCs w:val="24"/>
        </w:rPr>
        <w:t>.</w:t>
      </w:r>
      <w:r w:rsidR="005A1F85" w:rsidRPr="00AA7556">
        <w:rPr>
          <w:rFonts w:asciiTheme="majorBidi" w:hAnsiTheme="majorBidi" w:cstheme="majorBidi"/>
          <w:sz w:val="24"/>
          <w:szCs w:val="24"/>
        </w:rPr>
        <w:t xml:space="preserve"> Selian itu berbeda tahun fatwa yang di teliti. Taufi</w:t>
      </w:r>
      <w:r w:rsidR="00AA7556">
        <w:rPr>
          <w:rFonts w:asciiTheme="majorBidi" w:hAnsiTheme="majorBidi" w:cstheme="majorBidi"/>
          <w:sz w:val="24"/>
          <w:szCs w:val="24"/>
        </w:rPr>
        <w:t>ki</w:t>
      </w:r>
      <w:r w:rsidR="005A1F85" w:rsidRPr="00AA7556">
        <w:rPr>
          <w:rFonts w:asciiTheme="majorBidi" w:hAnsiTheme="majorBidi" w:cstheme="majorBidi"/>
          <w:sz w:val="24"/>
          <w:szCs w:val="24"/>
        </w:rPr>
        <w:t xml:space="preserve"> hanya membahas fatwa MUI sampai tahun 2007 sementara penelitian saya sampai tahun 2015.</w:t>
      </w:r>
    </w:p>
    <w:p w:rsidR="009E3A3D" w:rsidRDefault="009E3A3D" w:rsidP="00A33E46">
      <w:pPr>
        <w:pStyle w:val="ListParagraph"/>
        <w:autoSpaceDE w:val="0"/>
        <w:autoSpaceDN w:val="0"/>
        <w:adjustRightInd w:val="0"/>
        <w:spacing w:after="0" w:line="360" w:lineRule="auto"/>
        <w:ind w:left="450" w:firstLine="810"/>
        <w:jc w:val="both"/>
        <w:rPr>
          <w:rFonts w:ascii="Times New Roman" w:hAnsi="Times New Roman" w:cs="Times New Roman"/>
          <w:sz w:val="24"/>
          <w:szCs w:val="24"/>
          <w:lang w:val="sv-SE" w:eastAsia="en-GB"/>
        </w:rPr>
      </w:pPr>
      <w:r>
        <w:rPr>
          <w:rFonts w:ascii="Times New Roman" w:hAnsi="Times New Roman" w:cs="Times New Roman"/>
          <w:sz w:val="24"/>
          <w:szCs w:val="24"/>
          <w:lang w:val="sv-SE" w:eastAsia="en-GB"/>
        </w:rPr>
        <w:t xml:space="preserve">Sementara buku-buku yang membahas masalah </w:t>
      </w:r>
      <w:r w:rsidR="00881BDC" w:rsidRPr="00AA7556">
        <w:rPr>
          <w:rFonts w:ascii="Times New Roman" w:hAnsi="Times New Roman" w:cs="Times New Roman"/>
          <w:i/>
          <w:iCs/>
          <w:sz w:val="24"/>
          <w:szCs w:val="24"/>
          <w:lang w:val="sv-SE" w:eastAsia="en-GB"/>
        </w:rPr>
        <w:t xml:space="preserve">siyāsah </w:t>
      </w:r>
      <w:r w:rsidR="00CC1D08" w:rsidRPr="00AA7556">
        <w:rPr>
          <w:rFonts w:ascii="Times New Roman" w:hAnsi="Times New Roman" w:cs="Times New Roman"/>
          <w:i/>
          <w:iCs/>
          <w:sz w:val="24"/>
          <w:szCs w:val="24"/>
          <w:lang w:val="sv-SE" w:eastAsia="en-GB"/>
        </w:rPr>
        <w:t>syar‘i</w:t>
      </w:r>
      <w:r w:rsidR="00AA7556" w:rsidRPr="00AA7556">
        <w:rPr>
          <w:rFonts w:ascii="Times New Roman" w:hAnsi="Times New Roman" w:cs="Times New Roman"/>
          <w:i/>
          <w:iCs/>
          <w:sz w:val="24"/>
          <w:szCs w:val="24"/>
          <w:lang w:val="sv-SE" w:eastAsia="en-GB"/>
        </w:rPr>
        <w:t>y</w:t>
      </w:r>
      <w:r w:rsidR="00CC1D08" w:rsidRPr="00AA7556">
        <w:rPr>
          <w:rFonts w:ascii="Times New Roman" w:hAnsi="Times New Roman" w:cs="Times New Roman"/>
          <w:i/>
          <w:iCs/>
          <w:sz w:val="24"/>
          <w:szCs w:val="24"/>
          <w:lang w:val="sv-SE" w:eastAsia="en-GB"/>
        </w:rPr>
        <w:t>yah</w:t>
      </w:r>
      <w:r>
        <w:rPr>
          <w:rFonts w:ascii="Times New Roman" w:hAnsi="Times New Roman" w:cs="Times New Roman"/>
          <w:sz w:val="24"/>
          <w:szCs w:val="24"/>
          <w:lang w:val="sv-SE" w:eastAsia="en-GB"/>
        </w:rPr>
        <w:t xml:space="preserve"> antara lain adalah : </w:t>
      </w:r>
    </w:p>
    <w:p w:rsidR="00472052" w:rsidRPr="005103E6" w:rsidRDefault="00472052" w:rsidP="002C0A33">
      <w:pPr>
        <w:pStyle w:val="ListParagraph"/>
        <w:numPr>
          <w:ilvl w:val="0"/>
          <w:numId w:val="12"/>
        </w:numPr>
        <w:autoSpaceDE w:val="0"/>
        <w:autoSpaceDN w:val="0"/>
        <w:adjustRightInd w:val="0"/>
        <w:spacing w:after="0" w:line="360" w:lineRule="auto"/>
        <w:ind w:left="810" w:hanging="270"/>
        <w:jc w:val="both"/>
        <w:rPr>
          <w:rFonts w:ascii="Times New Roman" w:hAnsi="Times New Roman" w:cs="Times New Roman"/>
          <w:sz w:val="24"/>
          <w:szCs w:val="24"/>
          <w:lang w:val="sv-SE" w:eastAsia="en-GB"/>
        </w:rPr>
      </w:pPr>
      <w:r>
        <w:rPr>
          <w:rFonts w:ascii="Times New Roman" w:hAnsi="Times New Roman" w:cs="Times New Roman"/>
          <w:sz w:val="24"/>
          <w:szCs w:val="24"/>
          <w:lang w:val="sv-SE"/>
        </w:rPr>
        <w:lastRenderedPageBreak/>
        <w:t xml:space="preserve">Imam </w:t>
      </w:r>
      <w:r w:rsidRPr="00B44FD9">
        <w:rPr>
          <w:rFonts w:ascii="Times New Roman" w:hAnsi="Times New Roman" w:cs="Times New Roman"/>
          <w:sz w:val="24"/>
          <w:szCs w:val="24"/>
          <w:lang w:val="sv-SE"/>
        </w:rPr>
        <w:t>Al-Mawardi (450 H)</w:t>
      </w:r>
      <w:r>
        <w:rPr>
          <w:rFonts w:ascii="Times New Roman" w:hAnsi="Times New Roman" w:cs="Times New Roman"/>
          <w:sz w:val="24"/>
          <w:szCs w:val="24"/>
          <w:lang w:val="sv-SE"/>
        </w:rPr>
        <w:t xml:space="preserve"> menulis buku dengan </w:t>
      </w:r>
      <w:r w:rsidRPr="00B44FD9">
        <w:rPr>
          <w:rFonts w:ascii="Times New Roman" w:hAnsi="Times New Roman" w:cs="Times New Roman"/>
          <w:sz w:val="24"/>
          <w:szCs w:val="24"/>
          <w:lang w:val="sv-SE"/>
        </w:rPr>
        <w:t xml:space="preserve">judul </w:t>
      </w:r>
      <w:r w:rsidR="00FC5282" w:rsidRPr="00FC5282">
        <w:rPr>
          <w:rFonts w:asciiTheme="majorBidi" w:hAnsiTheme="majorBidi" w:cstheme="majorBidi"/>
          <w:i/>
          <w:iCs/>
          <w:sz w:val="24"/>
          <w:szCs w:val="24"/>
          <w:lang w:val="sv-SE"/>
        </w:rPr>
        <w:t>al-ahkām al-sulthāniyyah</w:t>
      </w:r>
      <w:r w:rsidR="00FC5282" w:rsidRPr="00FC5282">
        <w:rPr>
          <w:rFonts w:asciiTheme="majorBidi" w:hAnsiTheme="majorBidi" w:cstheme="majorBidi"/>
          <w:sz w:val="24"/>
          <w:szCs w:val="24"/>
          <w:lang w:val="sv-SE"/>
        </w:rPr>
        <w:t>.</w:t>
      </w:r>
      <w:r>
        <w:rPr>
          <w:rStyle w:val="FootnoteReference"/>
          <w:rFonts w:ascii="Times New Roman" w:hAnsi="Times New Roman" w:cs="Times New Roman"/>
          <w:sz w:val="24"/>
          <w:szCs w:val="24"/>
          <w:lang w:val="sv-SE"/>
        </w:rPr>
        <w:footnoteReference w:id="70"/>
      </w:r>
      <w:r w:rsidR="00FC5282">
        <w:rPr>
          <w:rFonts w:asciiTheme="majorBidi" w:hAnsiTheme="majorBidi" w:cstheme="majorBidi"/>
          <w:sz w:val="24"/>
          <w:szCs w:val="24"/>
          <w:lang w:val="sv-SE"/>
        </w:rPr>
        <w:t xml:space="preserve"> </w:t>
      </w:r>
      <w:r w:rsidRPr="005103E6">
        <w:rPr>
          <w:rFonts w:ascii="Times New Roman" w:hAnsi="Times New Roman" w:cs="Times New Roman"/>
          <w:sz w:val="24"/>
          <w:szCs w:val="24"/>
          <w:lang w:val="sv-SE"/>
        </w:rPr>
        <w:t xml:space="preserve">dalam kata pengantar, secara jelas </w:t>
      </w:r>
      <w:r>
        <w:rPr>
          <w:rFonts w:ascii="Times New Roman" w:hAnsi="Times New Roman" w:cs="Times New Roman"/>
          <w:sz w:val="24"/>
          <w:szCs w:val="24"/>
          <w:lang w:val="sv-SE"/>
        </w:rPr>
        <w:t xml:space="preserve">Imam mawardi membagi bukunya </w:t>
      </w:r>
      <w:r w:rsidRPr="005103E6">
        <w:rPr>
          <w:rFonts w:ascii="Times New Roman" w:hAnsi="Times New Roman" w:cs="Times New Roman"/>
          <w:sz w:val="24"/>
          <w:szCs w:val="24"/>
          <w:lang w:val="sv-SE"/>
        </w:rPr>
        <w:t xml:space="preserve"> menjadi dua puluh bab sebagai berik</w:t>
      </w:r>
      <w:r>
        <w:rPr>
          <w:rFonts w:ascii="Times New Roman" w:hAnsi="Times New Roman" w:cs="Times New Roman"/>
          <w:sz w:val="24"/>
          <w:szCs w:val="24"/>
          <w:lang w:val="sv-SE"/>
        </w:rPr>
        <w:t>ut:</w:t>
      </w:r>
      <w:r w:rsidRPr="005103E6">
        <w:rPr>
          <w:rFonts w:ascii="Times New Roman" w:hAnsi="Times New Roman" w:cs="Times New Roman"/>
          <w:sz w:val="24"/>
          <w:szCs w:val="24"/>
          <w:lang w:val="sv-SE"/>
        </w:rPr>
        <w:t xml:space="preserve"> (1) </w:t>
      </w:r>
      <w:r w:rsidRPr="005103E6">
        <w:rPr>
          <w:rFonts w:ascii="Times New Roman" w:hAnsi="Times New Roman" w:cs="Times New Roman"/>
          <w:i/>
          <w:iCs/>
          <w:sz w:val="24"/>
          <w:szCs w:val="24"/>
          <w:lang w:val="sv-SE"/>
        </w:rPr>
        <w:t>Fi `Aqd al-Imamah</w:t>
      </w:r>
      <w:r w:rsidRPr="005103E6">
        <w:rPr>
          <w:rFonts w:ascii="Times New Roman" w:hAnsi="Times New Roman" w:cs="Times New Roman"/>
          <w:sz w:val="24"/>
          <w:szCs w:val="24"/>
          <w:lang w:val="sv-SE"/>
        </w:rPr>
        <w:t xml:space="preserve"> (tentang pemilihan imam/kepala negara); (2) </w:t>
      </w:r>
      <w:r w:rsidRPr="005103E6">
        <w:rPr>
          <w:rFonts w:ascii="Times New Roman" w:hAnsi="Times New Roman" w:cs="Times New Roman"/>
          <w:i/>
          <w:iCs/>
          <w:sz w:val="24"/>
          <w:szCs w:val="24"/>
          <w:lang w:val="sv-SE"/>
        </w:rPr>
        <w:t>Fi</w:t>
      </w:r>
      <w:r w:rsidRPr="005103E6">
        <w:rPr>
          <w:rFonts w:ascii="Times New Roman" w:hAnsi="Times New Roman" w:cs="Times New Roman"/>
          <w:sz w:val="24"/>
          <w:szCs w:val="24"/>
          <w:lang w:val="sv-SE"/>
        </w:rPr>
        <w:t xml:space="preserve"> </w:t>
      </w:r>
      <w:r w:rsidRPr="005103E6">
        <w:rPr>
          <w:rFonts w:ascii="Times New Roman" w:hAnsi="Times New Roman" w:cs="Times New Roman"/>
          <w:i/>
          <w:iCs/>
          <w:sz w:val="24"/>
          <w:szCs w:val="24"/>
          <w:lang w:val="sv-SE"/>
        </w:rPr>
        <w:t>Taqlid al-Wazarah</w:t>
      </w:r>
      <w:r w:rsidRPr="005103E6">
        <w:rPr>
          <w:rFonts w:ascii="Times New Roman" w:hAnsi="Times New Roman" w:cs="Times New Roman"/>
          <w:sz w:val="24"/>
          <w:szCs w:val="24"/>
          <w:lang w:val="sv-SE"/>
        </w:rPr>
        <w:t xml:space="preserve"> (tentang pengangkatan/penunjukan menteri); (3) </w:t>
      </w:r>
      <w:r w:rsidRPr="005103E6">
        <w:rPr>
          <w:rFonts w:ascii="Times New Roman" w:hAnsi="Times New Roman" w:cs="Times New Roman"/>
          <w:i/>
          <w:iCs/>
          <w:sz w:val="24"/>
          <w:szCs w:val="24"/>
          <w:lang w:val="sv-SE"/>
        </w:rPr>
        <w:t>Fi Taqlid al-Imarah `ala al-Bilad</w:t>
      </w:r>
      <w:r w:rsidRPr="005103E6">
        <w:rPr>
          <w:rFonts w:ascii="Times New Roman" w:hAnsi="Times New Roman" w:cs="Times New Roman"/>
          <w:sz w:val="24"/>
          <w:szCs w:val="24"/>
          <w:lang w:val="sv-SE"/>
        </w:rPr>
        <w:t xml:space="preserve"> (tentang pengangkatan/penunjukan kepala daerah); (4) </w:t>
      </w:r>
      <w:r w:rsidRPr="005103E6">
        <w:rPr>
          <w:rFonts w:ascii="Times New Roman" w:hAnsi="Times New Roman" w:cs="Times New Roman"/>
          <w:i/>
          <w:iCs/>
          <w:sz w:val="24"/>
          <w:szCs w:val="24"/>
          <w:lang w:val="sv-SE"/>
        </w:rPr>
        <w:t>Fi Taqlid al-Imarah `ala al-Jihad</w:t>
      </w:r>
      <w:r w:rsidRPr="005103E6">
        <w:rPr>
          <w:rFonts w:ascii="Times New Roman" w:hAnsi="Times New Roman" w:cs="Times New Roman"/>
          <w:sz w:val="24"/>
          <w:szCs w:val="24"/>
          <w:lang w:val="sv-SE"/>
        </w:rPr>
        <w:t xml:space="preserve"> (tentang pengangkatan panglima perang); (5) </w:t>
      </w:r>
      <w:r w:rsidRPr="005103E6">
        <w:rPr>
          <w:rFonts w:ascii="Times New Roman" w:hAnsi="Times New Roman" w:cs="Times New Roman"/>
          <w:i/>
          <w:iCs/>
          <w:sz w:val="24"/>
          <w:szCs w:val="24"/>
          <w:lang w:val="sv-SE"/>
        </w:rPr>
        <w:t>Fi al-Wilayah `ala al-Mashalih</w:t>
      </w:r>
      <w:r w:rsidRPr="005103E6">
        <w:rPr>
          <w:rFonts w:ascii="Times New Roman" w:hAnsi="Times New Roman" w:cs="Times New Roman"/>
          <w:sz w:val="24"/>
          <w:szCs w:val="24"/>
          <w:lang w:val="sv-SE"/>
        </w:rPr>
        <w:t xml:space="preserve"> (tentang petugas keamanana negara dan kewenangannya); (6) </w:t>
      </w:r>
      <w:r w:rsidRPr="005103E6">
        <w:rPr>
          <w:rFonts w:ascii="Times New Roman" w:hAnsi="Times New Roman" w:cs="Times New Roman"/>
          <w:i/>
          <w:iCs/>
          <w:sz w:val="24"/>
          <w:szCs w:val="24"/>
          <w:lang w:val="sv-SE"/>
        </w:rPr>
        <w:t>Fi Wilayah al-Qadha’</w:t>
      </w:r>
      <w:r w:rsidRPr="005103E6">
        <w:rPr>
          <w:rFonts w:ascii="Times New Roman" w:hAnsi="Times New Roman" w:cs="Times New Roman"/>
          <w:sz w:val="24"/>
          <w:szCs w:val="24"/>
          <w:lang w:val="sv-SE"/>
        </w:rPr>
        <w:t xml:space="preserve"> (tentang hakim/petugas pengadilan umum dan kewenangnnya); (7) </w:t>
      </w:r>
      <w:r w:rsidRPr="005103E6">
        <w:rPr>
          <w:rFonts w:ascii="Times New Roman" w:hAnsi="Times New Roman" w:cs="Times New Roman"/>
          <w:i/>
          <w:iCs/>
          <w:sz w:val="24"/>
          <w:szCs w:val="24"/>
          <w:lang w:val="sv-SE"/>
        </w:rPr>
        <w:t>Fi Wilayah al-Mazhalim</w:t>
      </w:r>
      <w:r w:rsidRPr="005103E6">
        <w:rPr>
          <w:rFonts w:ascii="Times New Roman" w:hAnsi="Times New Roman" w:cs="Times New Roman"/>
          <w:sz w:val="24"/>
          <w:szCs w:val="24"/>
          <w:lang w:val="sv-SE"/>
        </w:rPr>
        <w:t xml:space="preserve"> (tentang hakim/petugas pengadilan tata usaha negara dan pengadilan HAM); (8) </w:t>
      </w:r>
      <w:r w:rsidRPr="005103E6">
        <w:rPr>
          <w:rFonts w:ascii="Times New Roman" w:hAnsi="Times New Roman" w:cs="Times New Roman"/>
          <w:i/>
          <w:iCs/>
          <w:sz w:val="24"/>
          <w:szCs w:val="24"/>
          <w:lang w:val="sv-SE"/>
        </w:rPr>
        <w:t>Fi Wilayah al-Niqabah `ala Dzawi al-Anshab</w:t>
      </w:r>
      <w:r w:rsidRPr="005103E6">
        <w:rPr>
          <w:rFonts w:ascii="Times New Roman" w:hAnsi="Times New Roman" w:cs="Times New Roman"/>
          <w:sz w:val="24"/>
          <w:szCs w:val="24"/>
          <w:lang w:val="sv-SE"/>
        </w:rPr>
        <w:t xml:space="preserve"> (tentang petugas pencatatat silsilah nasab, sejenis kantor pencatatan sipil); (9) </w:t>
      </w:r>
      <w:r w:rsidRPr="005103E6">
        <w:rPr>
          <w:rFonts w:ascii="Times New Roman" w:hAnsi="Times New Roman" w:cs="Times New Roman"/>
          <w:i/>
          <w:iCs/>
          <w:sz w:val="24"/>
          <w:szCs w:val="24"/>
          <w:lang w:val="sv-SE"/>
        </w:rPr>
        <w:t>Fi al</w:t>
      </w:r>
      <w:r w:rsidRPr="005103E6">
        <w:rPr>
          <w:rFonts w:ascii="Times New Roman" w:hAnsi="Times New Roman" w:cs="Times New Roman"/>
          <w:sz w:val="24"/>
          <w:szCs w:val="24"/>
          <w:lang w:val="sv-SE"/>
        </w:rPr>
        <w:t>–</w:t>
      </w:r>
      <w:r w:rsidRPr="005103E6">
        <w:rPr>
          <w:rFonts w:ascii="Times New Roman" w:hAnsi="Times New Roman" w:cs="Times New Roman"/>
          <w:i/>
          <w:iCs/>
          <w:sz w:val="24"/>
          <w:szCs w:val="24"/>
          <w:lang w:val="sv-SE"/>
        </w:rPr>
        <w:t>Wilayah `ala Imamah al-Shalawat</w:t>
      </w:r>
      <w:r w:rsidRPr="005103E6">
        <w:rPr>
          <w:rFonts w:ascii="Times New Roman" w:hAnsi="Times New Roman" w:cs="Times New Roman"/>
          <w:sz w:val="24"/>
          <w:szCs w:val="24"/>
          <w:lang w:val="sv-SE"/>
        </w:rPr>
        <w:t xml:space="preserve"> (tentang imam shalat berjamaah/imam masjid dan kewenangannya);  (10) </w:t>
      </w:r>
      <w:r w:rsidRPr="005103E6">
        <w:rPr>
          <w:rFonts w:ascii="Times New Roman" w:hAnsi="Times New Roman" w:cs="Times New Roman"/>
          <w:i/>
          <w:iCs/>
          <w:sz w:val="24"/>
          <w:szCs w:val="24"/>
          <w:lang w:val="sv-SE"/>
        </w:rPr>
        <w:t>Fi al-Wilayah `ala –al-Haj</w:t>
      </w:r>
      <w:r w:rsidRPr="005103E6">
        <w:rPr>
          <w:rFonts w:ascii="Times New Roman" w:hAnsi="Times New Roman" w:cs="Times New Roman"/>
          <w:sz w:val="24"/>
          <w:szCs w:val="24"/>
          <w:lang w:val="sv-SE"/>
        </w:rPr>
        <w:t xml:space="preserve"> (tentang petugas pemimpin/pelaksana ibadah haji dan kewenangannya;  (11) </w:t>
      </w:r>
      <w:r w:rsidRPr="005103E6">
        <w:rPr>
          <w:rFonts w:ascii="Times New Roman" w:hAnsi="Times New Roman" w:cs="Times New Roman"/>
          <w:i/>
          <w:iCs/>
          <w:sz w:val="24"/>
          <w:szCs w:val="24"/>
          <w:lang w:val="sv-SE"/>
        </w:rPr>
        <w:t>Fi Wilayah al-Shadaqat</w:t>
      </w:r>
      <w:r w:rsidRPr="005103E6">
        <w:rPr>
          <w:rFonts w:ascii="Times New Roman" w:hAnsi="Times New Roman" w:cs="Times New Roman"/>
          <w:sz w:val="24"/>
          <w:szCs w:val="24"/>
          <w:lang w:val="sv-SE"/>
        </w:rPr>
        <w:t xml:space="preserve"> (tentang  petugas pengelola zakat dan kewenangannya); (12) </w:t>
      </w:r>
      <w:r w:rsidRPr="005103E6">
        <w:rPr>
          <w:rFonts w:ascii="Times New Roman" w:hAnsi="Times New Roman" w:cs="Times New Roman"/>
          <w:i/>
          <w:iCs/>
          <w:sz w:val="24"/>
          <w:szCs w:val="24"/>
          <w:lang w:val="sv-SE"/>
        </w:rPr>
        <w:t>Fi Qasm al-Fay’ wa al-Ghanimah</w:t>
      </w:r>
      <w:r w:rsidRPr="005103E6">
        <w:rPr>
          <w:rFonts w:ascii="Times New Roman" w:hAnsi="Times New Roman" w:cs="Times New Roman"/>
          <w:sz w:val="24"/>
          <w:szCs w:val="24"/>
          <w:lang w:val="sv-SE"/>
        </w:rPr>
        <w:t xml:space="preserve"> (tentang pembagian harta rampasan perang; (13) </w:t>
      </w:r>
      <w:r w:rsidRPr="005103E6">
        <w:rPr>
          <w:rFonts w:ascii="Times New Roman" w:hAnsi="Times New Roman" w:cs="Times New Roman"/>
          <w:i/>
          <w:iCs/>
          <w:sz w:val="24"/>
          <w:szCs w:val="24"/>
          <w:lang w:val="sv-SE"/>
        </w:rPr>
        <w:t>Fi Wadh` al-Jizyah wa al-Kharaj</w:t>
      </w:r>
      <w:r w:rsidRPr="005103E6">
        <w:rPr>
          <w:rFonts w:ascii="Times New Roman" w:hAnsi="Times New Roman" w:cs="Times New Roman"/>
          <w:sz w:val="24"/>
          <w:szCs w:val="24"/>
          <w:lang w:val="sv-SE"/>
        </w:rPr>
        <w:t xml:space="preserve"> (tentang penetapan pajak atas orang bukan Islam dan pajak atas tanah; (14) </w:t>
      </w:r>
      <w:r w:rsidRPr="005103E6">
        <w:rPr>
          <w:rFonts w:ascii="Times New Roman" w:hAnsi="Times New Roman" w:cs="Times New Roman"/>
          <w:i/>
          <w:iCs/>
          <w:sz w:val="24"/>
          <w:szCs w:val="24"/>
          <w:lang w:val="sv-SE"/>
        </w:rPr>
        <w:t>Fi ma Takhtalif  Ahkamuh min al-Bilad</w:t>
      </w:r>
      <w:r w:rsidRPr="005103E6">
        <w:rPr>
          <w:rFonts w:ascii="Times New Roman" w:hAnsi="Times New Roman" w:cs="Times New Roman"/>
          <w:sz w:val="24"/>
          <w:szCs w:val="24"/>
          <w:lang w:val="sv-SE"/>
        </w:rPr>
        <w:t xml:space="preserve"> (tentang daerah khusus, Tanah Haram, daerah Hijaz dan daerah lainnya); (15) </w:t>
      </w:r>
      <w:r w:rsidRPr="005103E6">
        <w:rPr>
          <w:rFonts w:ascii="Times New Roman" w:hAnsi="Times New Roman" w:cs="Times New Roman"/>
          <w:i/>
          <w:iCs/>
          <w:sz w:val="24"/>
          <w:szCs w:val="24"/>
          <w:lang w:val="sv-SE"/>
        </w:rPr>
        <w:t>Fi Ihya’ al-Mawat wa Istikhraj al-Miyah</w:t>
      </w:r>
      <w:r w:rsidRPr="005103E6">
        <w:rPr>
          <w:rFonts w:ascii="Times New Roman" w:hAnsi="Times New Roman" w:cs="Times New Roman"/>
          <w:sz w:val="24"/>
          <w:szCs w:val="24"/>
          <w:lang w:val="sv-SE"/>
        </w:rPr>
        <w:t xml:space="preserve"> (tentang pembukaan lahan baru dan penguasaan air); (16) </w:t>
      </w:r>
      <w:r w:rsidRPr="005103E6">
        <w:rPr>
          <w:rFonts w:ascii="Times New Roman" w:hAnsi="Times New Roman" w:cs="Times New Roman"/>
          <w:i/>
          <w:iCs/>
          <w:sz w:val="24"/>
          <w:szCs w:val="24"/>
          <w:lang w:val="sv-SE"/>
        </w:rPr>
        <w:t>Fi  al-Hima  wa al-Arfaq</w:t>
      </w:r>
      <w:r w:rsidRPr="005103E6">
        <w:rPr>
          <w:rFonts w:ascii="Times New Roman" w:hAnsi="Times New Roman" w:cs="Times New Roman"/>
          <w:sz w:val="24"/>
          <w:szCs w:val="24"/>
          <w:lang w:val="sv-SE"/>
        </w:rPr>
        <w:t xml:space="preserve"> (tentang ruang publik dan tata ruang); (17) </w:t>
      </w:r>
      <w:r w:rsidRPr="005103E6">
        <w:rPr>
          <w:rFonts w:ascii="Times New Roman" w:hAnsi="Times New Roman" w:cs="Times New Roman"/>
          <w:i/>
          <w:iCs/>
          <w:sz w:val="24"/>
          <w:szCs w:val="24"/>
          <w:lang w:val="sv-SE"/>
        </w:rPr>
        <w:t>Fi Ahkam al-Iqtha`</w:t>
      </w:r>
      <w:r w:rsidRPr="005103E6">
        <w:rPr>
          <w:rFonts w:ascii="Times New Roman" w:hAnsi="Times New Roman" w:cs="Times New Roman"/>
          <w:sz w:val="24"/>
          <w:szCs w:val="24"/>
          <w:lang w:val="sv-SE"/>
        </w:rPr>
        <w:t xml:space="preserve"> (tentang tuan tanah/penguasaan tanah pertanian); (18) </w:t>
      </w:r>
      <w:r w:rsidRPr="005103E6">
        <w:rPr>
          <w:rFonts w:ascii="Times New Roman" w:hAnsi="Times New Roman" w:cs="Times New Roman"/>
          <w:i/>
          <w:iCs/>
          <w:sz w:val="24"/>
          <w:szCs w:val="24"/>
          <w:lang w:val="sv-SE"/>
        </w:rPr>
        <w:t>Fi wadh`i al-Diwan wa Dzikr Ahkamih</w:t>
      </w:r>
      <w:r w:rsidRPr="005103E6">
        <w:rPr>
          <w:rFonts w:ascii="Times New Roman" w:hAnsi="Times New Roman" w:cs="Times New Roman"/>
          <w:sz w:val="24"/>
          <w:szCs w:val="24"/>
          <w:lang w:val="sv-SE"/>
        </w:rPr>
        <w:t xml:space="preserve"> (tentang petugas/pegawai pemerintah serta hak dan kewenangannya); (19) </w:t>
      </w:r>
      <w:r w:rsidRPr="005103E6">
        <w:rPr>
          <w:rFonts w:ascii="Times New Roman" w:hAnsi="Times New Roman" w:cs="Times New Roman"/>
          <w:i/>
          <w:iCs/>
          <w:sz w:val="24"/>
          <w:szCs w:val="24"/>
          <w:lang w:val="sv-SE"/>
        </w:rPr>
        <w:t xml:space="preserve">Fi </w:t>
      </w:r>
      <w:r w:rsidRPr="005103E6">
        <w:rPr>
          <w:rFonts w:ascii="Times New Roman" w:hAnsi="Times New Roman" w:cs="Times New Roman"/>
          <w:i/>
          <w:iCs/>
          <w:sz w:val="24"/>
          <w:szCs w:val="24"/>
          <w:lang w:val="sv-SE"/>
        </w:rPr>
        <w:lastRenderedPageBreak/>
        <w:t>Ahkam al-Jara’im</w:t>
      </w:r>
      <w:r w:rsidRPr="005103E6">
        <w:rPr>
          <w:rFonts w:ascii="Times New Roman" w:hAnsi="Times New Roman" w:cs="Times New Roman"/>
          <w:sz w:val="24"/>
          <w:szCs w:val="24"/>
          <w:lang w:val="sv-SE"/>
        </w:rPr>
        <w:t xml:space="preserve"> (tentang penanggulangan kejahatan); (20) </w:t>
      </w:r>
      <w:r w:rsidRPr="005103E6">
        <w:rPr>
          <w:rFonts w:ascii="Times New Roman" w:hAnsi="Times New Roman" w:cs="Times New Roman"/>
          <w:i/>
          <w:iCs/>
          <w:sz w:val="24"/>
          <w:szCs w:val="24"/>
          <w:lang w:val="sv-SE"/>
        </w:rPr>
        <w:t>Fi Ahkam al-Hisbah</w:t>
      </w:r>
      <w:r w:rsidRPr="005103E6">
        <w:rPr>
          <w:rFonts w:ascii="Times New Roman" w:hAnsi="Times New Roman" w:cs="Times New Roman"/>
          <w:sz w:val="24"/>
          <w:szCs w:val="24"/>
          <w:lang w:val="sv-SE"/>
        </w:rPr>
        <w:t xml:space="preserve"> (tentang perlindungan, keamanan dan ketertiban masyarakat).</w:t>
      </w:r>
      <w:r>
        <w:rPr>
          <w:rStyle w:val="FootnoteReference"/>
          <w:rFonts w:ascii="Times New Roman" w:hAnsi="Times New Roman" w:cs="Times New Roman"/>
          <w:sz w:val="24"/>
          <w:szCs w:val="24"/>
          <w:lang w:val="sv-SE"/>
        </w:rPr>
        <w:footnoteReference w:id="71"/>
      </w:r>
      <w:r w:rsidR="008934FD">
        <w:rPr>
          <w:rFonts w:ascii="Times New Roman" w:hAnsi="Times New Roman" w:cs="Times New Roman"/>
          <w:sz w:val="24"/>
          <w:szCs w:val="24"/>
          <w:lang w:val="sv-SE"/>
        </w:rPr>
        <w:t xml:space="preserve"> </w:t>
      </w:r>
    </w:p>
    <w:p w:rsidR="00C02D18" w:rsidRPr="002C0B7C" w:rsidRDefault="00E9703A"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Pr>
          <w:rFonts w:ascii="Times New Roman" w:hAnsi="Times New Roman" w:cs="Times New Roman"/>
          <w:sz w:val="24"/>
          <w:szCs w:val="24"/>
          <w:lang w:val="sv-SE"/>
        </w:rPr>
        <w:t>Abū</w:t>
      </w:r>
      <w:r w:rsidR="00C02D18">
        <w:rPr>
          <w:rFonts w:ascii="Times New Roman" w:hAnsi="Times New Roman" w:cs="Times New Roman"/>
          <w:sz w:val="24"/>
          <w:szCs w:val="24"/>
          <w:lang w:val="sv-SE"/>
        </w:rPr>
        <w:t xml:space="preserve">Ya`la </w:t>
      </w:r>
      <w:r w:rsidR="00C02D18" w:rsidRPr="00B44FD9">
        <w:rPr>
          <w:rFonts w:ascii="Times New Roman" w:hAnsi="Times New Roman" w:cs="Times New Roman"/>
          <w:sz w:val="24"/>
          <w:szCs w:val="24"/>
          <w:lang w:val="sv-SE"/>
        </w:rPr>
        <w:t>(458 H)</w:t>
      </w:r>
      <w:r w:rsidR="00C02D18">
        <w:rPr>
          <w:rFonts w:ascii="Times New Roman" w:hAnsi="Times New Roman" w:cs="Times New Roman"/>
          <w:sz w:val="24"/>
          <w:szCs w:val="24"/>
          <w:lang w:val="sv-SE"/>
        </w:rPr>
        <w:t xml:space="preserve"> dengan judul </w:t>
      </w:r>
      <w:r w:rsidR="00C02D18" w:rsidRPr="00B44FD9">
        <w:rPr>
          <w:rFonts w:ascii="Times New Roman" w:hAnsi="Times New Roman" w:cs="Times New Roman"/>
          <w:sz w:val="24"/>
          <w:szCs w:val="24"/>
          <w:lang w:val="sv-SE"/>
        </w:rPr>
        <w:t xml:space="preserve">dan </w:t>
      </w:r>
      <w:r w:rsidR="00FC5282" w:rsidRPr="00FC5282">
        <w:rPr>
          <w:rFonts w:ascii="Times New Roman" w:hAnsi="Times New Roman" w:cs="Times New Roman"/>
          <w:i/>
          <w:iCs/>
          <w:sz w:val="24"/>
          <w:szCs w:val="24"/>
          <w:lang w:val="sv-SE"/>
        </w:rPr>
        <w:t>al-ahk</w:t>
      </w:r>
      <w:r w:rsidR="00FC5282" w:rsidRPr="00FC5282">
        <w:rPr>
          <w:rFonts w:asciiTheme="majorBidi" w:hAnsiTheme="majorBidi" w:cstheme="majorBidi"/>
          <w:i/>
          <w:iCs/>
          <w:sz w:val="24"/>
          <w:szCs w:val="24"/>
          <w:lang w:val="sv-SE"/>
        </w:rPr>
        <w:t>ā</w:t>
      </w:r>
      <w:r w:rsidR="00FC5282" w:rsidRPr="00FC5282">
        <w:rPr>
          <w:rFonts w:ascii="Times New Roman" w:hAnsi="Times New Roman" w:cs="Times New Roman"/>
          <w:i/>
          <w:iCs/>
          <w:sz w:val="24"/>
          <w:szCs w:val="24"/>
          <w:lang w:val="sv-SE"/>
        </w:rPr>
        <w:t>m al-sulth</w:t>
      </w:r>
      <w:r w:rsidR="00FC5282" w:rsidRPr="00FC5282">
        <w:rPr>
          <w:rFonts w:asciiTheme="majorBidi" w:hAnsiTheme="majorBidi" w:cstheme="majorBidi"/>
          <w:i/>
          <w:iCs/>
          <w:sz w:val="24"/>
          <w:szCs w:val="24"/>
          <w:lang w:val="sv-SE"/>
        </w:rPr>
        <w:t>ā</w:t>
      </w:r>
      <w:r w:rsidR="00FC5282" w:rsidRPr="00FC5282">
        <w:rPr>
          <w:rFonts w:ascii="Times New Roman" w:hAnsi="Times New Roman" w:cs="Times New Roman"/>
          <w:i/>
          <w:iCs/>
          <w:sz w:val="24"/>
          <w:szCs w:val="24"/>
          <w:lang w:val="sv-SE"/>
        </w:rPr>
        <w:t>niyyah</w:t>
      </w:r>
      <w:r w:rsidR="00C02D18" w:rsidRPr="00B44FD9">
        <w:rPr>
          <w:rFonts w:ascii="Times New Roman" w:hAnsi="Times New Roman" w:cs="Times New Roman"/>
          <w:sz w:val="24"/>
          <w:szCs w:val="24"/>
          <w:lang w:val="sv-SE"/>
        </w:rPr>
        <w:t>.</w:t>
      </w:r>
      <w:r w:rsidR="009B47C0">
        <w:rPr>
          <w:rStyle w:val="FootnoteReference"/>
          <w:rFonts w:ascii="Times New Roman" w:hAnsi="Times New Roman" w:cs="Times New Roman"/>
          <w:sz w:val="24"/>
          <w:szCs w:val="24"/>
          <w:lang w:val="sv-SE"/>
        </w:rPr>
        <w:footnoteReference w:id="72"/>
      </w:r>
      <w:r w:rsidR="00C02D18">
        <w:rPr>
          <w:rFonts w:ascii="Times New Roman" w:hAnsi="Times New Roman" w:cs="Times New Roman"/>
          <w:sz w:val="24"/>
          <w:szCs w:val="24"/>
          <w:lang w:val="sv-SE"/>
        </w:rPr>
        <w:t xml:space="preserve"> </w:t>
      </w:r>
      <w:r w:rsidR="00C02D18" w:rsidRPr="002C0B7C">
        <w:rPr>
          <w:rFonts w:ascii="Times New Roman" w:hAnsi="Times New Roman" w:cs="Times New Roman"/>
          <w:sz w:val="24"/>
          <w:szCs w:val="24"/>
          <w:lang w:val="sv-SE"/>
        </w:rPr>
        <w:t>Buku ini memuat tujuh belas bab (</w:t>
      </w:r>
      <w:r w:rsidR="00C02D18" w:rsidRPr="002C0B7C">
        <w:rPr>
          <w:rFonts w:ascii="Times New Roman" w:hAnsi="Times New Roman" w:cs="Times New Roman"/>
          <w:i/>
          <w:iCs/>
          <w:sz w:val="24"/>
          <w:szCs w:val="24"/>
          <w:lang w:val="sv-SE"/>
        </w:rPr>
        <w:t>fashl</w:t>
      </w:r>
      <w:r w:rsidR="00C02D18" w:rsidRPr="002C0B7C">
        <w:rPr>
          <w:rFonts w:ascii="Times New Roman" w:hAnsi="Times New Roman" w:cs="Times New Roman"/>
          <w:sz w:val="24"/>
          <w:szCs w:val="24"/>
          <w:lang w:val="sv-SE"/>
        </w:rPr>
        <w:t xml:space="preserve">) yaitu sebagai berikut. (1) </w:t>
      </w:r>
      <w:r w:rsidR="00C02D18" w:rsidRPr="002C0B7C">
        <w:rPr>
          <w:rFonts w:ascii="Times New Roman" w:hAnsi="Times New Roman" w:cs="Times New Roman"/>
          <w:i/>
          <w:iCs/>
          <w:sz w:val="24"/>
          <w:szCs w:val="24"/>
          <w:lang w:val="sv-SE"/>
        </w:rPr>
        <w:t>Fushul  fi al-Imamah</w:t>
      </w:r>
      <w:r w:rsidR="00C02D18" w:rsidRPr="002C0B7C">
        <w:rPr>
          <w:rFonts w:ascii="Times New Roman" w:hAnsi="Times New Roman" w:cs="Times New Roman"/>
          <w:sz w:val="24"/>
          <w:szCs w:val="24"/>
          <w:lang w:val="sv-SE"/>
        </w:rPr>
        <w:t xml:space="preserve"> (bab-bab tentang imam/kepala negara); (2) </w:t>
      </w:r>
      <w:r w:rsidR="00C02D18" w:rsidRPr="002C0B7C">
        <w:rPr>
          <w:rFonts w:ascii="Times New Roman" w:hAnsi="Times New Roman" w:cs="Times New Roman"/>
          <w:i/>
          <w:iCs/>
          <w:sz w:val="24"/>
          <w:szCs w:val="24"/>
          <w:lang w:val="sv-SE"/>
        </w:rPr>
        <w:t>Fashl fi</w:t>
      </w:r>
      <w:r w:rsidR="00C02D18" w:rsidRPr="002C0B7C">
        <w:rPr>
          <w:rFonts w:ascii="Times New Roman" w:hAnsi="Times New Roman" w:cs="Times New Roman"/>
          <w:sz w:val="24"/>
          <w:szCs w:val="24"/>
          <w:lang w:val="sv-SE"/>
        </w:rPr>
        <w:t xml:space="preserve"> </w:t>
      </w:r>
      <w:r w:rsidR="00C02D18" w:rsidRPr="002C0B7C">
        <w:rPr>
          <w:rFonts w:ascii="Times New Roman" w:hAnsi="Times New Roman" w:cs="Times New Roman"/>
          <w:i/>
          <w:iCs/>
          <w:sz w:val="24"/>
          <w:szCs w:val="24"/>
          <w:lang w:val="sv-SE"/>
        </w:rPr>
        <w:t>Wilayat al-Imam</w:t>
      </w:r>
      <w:r w:rsidR="00C02D18" w:rsidRPr="002C0B7C">
        <w:rPr>
          <w:rFonts w:ascii="Times New Roman" w:hAnsi="Times New Roman" w:cs="Times New Roman"/>
          <w:sz w:val="24"/>
          <w:szCs w:val="24"/>
          <w:lang w:val="sv-SE"/>
        </w:rPr>
        <w:t xml:space="preserve"> (bab tentang tugas dan kewenangan imam); (3) </w:t>
      </w:r>
      <w:r w:rsidR="00C02D18" w:rsidRPr="002C0B7C">
        <w:rPr>
          <w:rFonts w:ascii="Times New Roman" w:hAnsi="Times New Roman" w:cs="Times New Roman"/>
          <w:i/>
          <w:iCs/>
          <w:sz w:val="24"/>
          <w:szCs w:val="24"/>
          <w:lang w:val="sv-SE"/>
        </w:rPr>
        <w:t>Fashl fi Wilayah al-Qadha’</w:t>
      </w:r>
      <w:r w:rsidR="00C02D18" w:rsidRPr="002C0B7C">
        <w:rPr>
          <w:rFonts w:ascii="Times New Roman" w:hAnsi="Times New Roman" w:cs="Times New Roman"/>
          <w:sz w:val="24"/>
          <w:szCs w:val="24"/>
          <w:lang w:val="sv-SE"/>
        </w:rPr>
        <w:t>(bab t</w:t>
      </w:r>
      <w:r w:rsidR="00CA49C5">
        <w:rPr>
          <w:rFonts w:ascii="Times New Roman" w:hAnsi="Times New Roman" w:cs="Times New Roman"/>
          <w:sz w:val="24"/>
          <w:szCs w:val="24"/>
          <w:lang w:val="sv-SE"/>
        </w:rPr>
        <w:t xml:space="preserve">entang hakim/petugas pengadilan </w:t>
      </w:r>
      <w:r w:rsidR="00C02D18" w:rsidRPr="002C0B7C">
        <w:rPr>
          <w:rFonts w:ascii="Times New Roman" w:hAnsi="Times New Roman" w:cs="Times New Roman"/>
          <w:sz w:val="24"/>
          <w:szCs w:val="24"/>
          <w:lang w:val="sv-SE"/>
        </w:rPr>
        <w:t xml:space="preserve">umum dan kewenangnnya); (4) </w:t>
      </w:r>
      <w:r w:rsidR="00C02D18" w:rsidRPr="002C0B7C">
        <w:rPr>
          <w:rFonts w:ascii="Times New Roman" w:hAnsi="Times New Roman" w:cs="Times New Roman"/>
          <w:i/>
          <w:iCs/>
          <w:sz w:val="24"/>
          <w:szCs w:val="24"/>
          <w:lang w:val="sv-SE"/>
        </w:rPr>
        <w:t>Fashl fi Wilayah al-Mazhalim</w:t>
      </w:r>
      <w:r w:rsidR="00C02D18" w:rsidRPr="002C0B7C">
        <w:rPr>
          <w:rFonts w:ascii="Times New Roman" w:hAnsi="Times New Roman" w:cs="Times New Roman"/>
          <w:sz w:val="24"/>
          <w:szCs w:val="24"/>
          <w:lang w:val="sv-SE"/>
        </w:rPr>
        <w:t xml:space="preserve"> (bab tentang hakim/petugas pengadilan tata usaha negara dan pengadilan HAM); (5) </w:t>
      </w:r>
      <w:r w:rsidR="00C02D18" w:rsidRPr="002C0B7C">
        <w:rPr>
          <w:rFonts w:ascii="Times New Roman" w:hAnsi="Times New Roman" w:cs="Times New Roman"/>
          <w:i/>
          <w:iCs/>
          <w:sz w:val="24"/>
          <w:szCs w:val="24"/>
          <w:lang w:val="sv-SE"/>
        </w:rPr>
        <w:t>Fi Wilayah al-Niqabah `ala Dzawi al-Anshab</w:t>
      </w:r>
      <w:r w:rsidR="00C02D18" w:rsidRPr="002C0B7C">
        <w:rPr>
          <w:rFonts w:ascii="Times New Roman" w:hAnsi="Times New Roman" w:cs="Times New Roman"/>
          <w:sz w:val="24"/>
          <w:szCs w:val="24"/>
          <w:lang w:val="sv-SE"/>
        </w:rPr>
        <w:t xml:space="preserve"> (bab tentang petugas pencatatat silsilah nasab, sejenis kantor pencatatan sipil); (6) </w:t>
      </w:r>
      <w:r w:rsidR="00C02D18" w:rsidRPr="002C0B7C">
        <w:rPr>
          <w:rFonts w:ascii="Times New Roman" w:hAnsi="Times New Roman" w:cs="Times New Roman"/>
          <w:i/>
          <w:iCs/>
          <w:sz w:val="24"/>
          <w:szCs w:val="24"/>
          <w:lang w:val="sv-SE"/>
        </w:rPr>
        <w:t>Fashl fi al</w:t>
      </w:r>
      <w:r w:rsidR="00C02D18" w:rsidRPr="002C0B7C">
        <w:rPr>
          <w:rFonts w:ascii="Times New Roman" w:hAnsi="Times New Roman" w:cs="Times New Roman"/>
          <w:sz w:val="24"/>
          <w:szCs w:val="24"/>
          <w:lang w:val="sv-SE"/>
        </w:rPr>
        <w:t>–</w:t>
      </w:r>
      <w:r w:rsidR="00C02D18" w:rsidRPr="002C0B7C">
        <w:rPr>
          <w:rFonts w:ascii="Times New Roman" w:hAnsi="Times New Roman" w:cs="Times New Roman"/>
          <w:i/>
          <w:iCs/>
          <w:sz w:val="24"/>
          <w:szCs w:val="24"/>
          <w:lang w:val="sv-SE"/>
        </w:rPr>
        <w:t>Wilayah `ala Imamah al-Shalawat</w:t>
      </w:r>
      <w:r w:rsidR="00C02D18" w:rsidRPr="002C0B7C">
        <w:rPr>
          <w:rFonts w:ascii="Times New Roman" w:hAnsi="Times New Roman" w:cs="Times New Roman"/>
          <w:sz w:val="24"/>
          <w:szCs w:val="24"/>
          <w:lang w:val="sv-SE"/>
        </w:rPr>
        <w:t xml:space="preserve"> (bab tentang imam shalat berjamaah/imam masjid dan kewenangannya);  (7) </w:t>
      </w:r>
      <w:r w:rsidR="00C02D18" w:rsidRPr="002C0B7C">
        <w:rPr>
          <w:rFonts w:ascii="Times New Roman" w:hAnsi="Times New Roman" w:cs="Times New Roman"/>
          <w:i/>
          <w:iCs/>
          <w:sz w:val="24"/>
          <w:szCs w:val="24"/>
          <w:lang w:val="sv-SE"/>
        </w:rPr>
        <w:t>Fashl fi Wilayah al-Haj</w:t>
      </w:r>
      <w:r w:rsidR="00C02D18" w:rsidRPr="002C0B7C">
        <w:rPr>
          <w:rFonts w:ascii="Times New Roman" w:hAnsi="Times New Roman" w:cs="Times New Roman"/>
          <w:sz w:val="24"/>
          <w:szCs w:val="24"/>
          <w:lang w:val="sv-SE"/>
        </w:rPr>
        <w:t xml:space="preserve"> (bab tentang petugas pemimpin/pelaksana ibadah haji dan kewenangannya;  (8) </w:t>
      </w:r>
      <w:r w:rsidR="00C02D18" w:rsidRPr="002C0B7C">
        <w:rPr>
          <w:rFonts w:ascii="Times New Roman" w:hAnsi="Times New Roman" w:cs="Times New Roman"/>
          <w:i/>
          <w:iCs/>
          <w:sz w:val="24"/>
          <w:szCs w:val="24"/>
          <w:lang w:val="sv-SE"/>
        </w:rPr>
        <w:t>Fashl fi Wilayah al-Shadaqat</w:t>
      </w:r>
      <w:r w:rsidR="00C02D18" w:rsidRPr="002C0B7C">
        <w:rPr>
          <w:rFonts w:ascii="Times New Roman" w:hAnsi="Times New Roman" w:cs="Times New Roman"/>
          <w:sz w:val="24"/>
          <w:szCs w:val="24"/>
          <w:lang w:val="sv-SE"/>
        </w:rPr>
        <w:t xml:space="preserve"> (bab tentang  petugas pengelola zakat dan kewenangannya); (9) </w:t>
      </w:r>
      <w:r w:rsidR="00C02D18" w:rsidRPr="002C0B7C">
        <w:rPr>
          <w:rFonts w:ascii="Times New Roman" w:hAnsi="Times New Roman" w:cs="Times New Roman"/>
          <w:i/>
          <w:iCs/>
          <w:sz w:val="24"/>
          <w:szCs w:val="24"/>
          <w:lang w:val="sv-SE"/>
        </w:rPr>
        <w:t>Fashl fi Qismah al-Fay’  wa al-Ghanimah</w:t>
      </w:r>
      <w:r w:rsidR="00C02D18" w:rsidRPr="002C0B7C">
        <w:rPr>
          <w:rFonts w:ascii="Times New Roman" w:hAnsi="Times New Roman" w:cs="Times New Roman"/>
          <w:sz w:val="24"/>
          <w:szCs w:val="24"/>
          <w:lang w:val="sv-SE"/>
        </w:rPr>
        <w:t xml:space="preserve"> (bab tentang pembagian harta rampasan perang; (10) </w:t>
      </w:r>
      <w:r w:rsidR="00C02D18" w:rsidRPr="002C0B7C">
        <w:rPr>
          <w:rFonts w:ascii="Times New Roman" w:hAnsi="Times New Roman" w:cs="Times New Roman"/>
          <w:i/>
          <w:iCs/>
          <w:sz w:val="24"/>
          <w:szCs w:val="24"/>
          <w:lang w:val="sv-SE"/>
        </w:rPr>
        <w:t>Fashl fi Wadh` al-Kharaj</w:t>
      </w:r>
      <w:r w:rsidR="00C02D18" w:rsidRPr="002C0B7C">
        <w:rPr>
          <w:rFonts w:ascii="Times New Roman" w:hAnsi="Times New Roman" w:cs="Times New Roman"/>
          <w:sz w:val="24"/>
          <w:szCs w:val="24"/>
          <w:lang w:val="sv-SE"/>
        </w:rPr>
        <w:t xml:space="preserve">  </w:t>
      </w:r>
      <w:r w:rsidR="00C02D18" w:rsidRPr="002C0B7C">
        <w:rPr>
          <w:rFonts w:ascii="Times New Roman" w:hAnsi="Times New Roman" w:cs="Times New Roman"/>
          <w:i/>
          <w:iCs/>
          <w:sz w:val="24"/>
          <w:szCs w:val="24"/>
          <w:lang w:val="sv-SE"/>
        </w:rPr>
        <w:t>wa al-Jizyah</w:t>
      </w:r>
      <w:r w:rsidR="00C02D18" w:rsidRPr="002C0B7C">
        <w:rPr>
          <w:rFonts w:ascii="Times New Roman" w:hAnsi="Times New Roman" w:cs="Times New Roman"/>
          <w:sz w:val="24"/>
          <w:szCs w:val="24"/>
          <w:lang w:val="sv-SE"/>
        </w:rPr>
        <w:t xml:space="preserve"> (bab tentang penetapan pajak atas tanah dan pajak atas orang bukan Islam; (11) </w:t>
      </w:r>
      <w:r w:rsidR="00C02D18" w:rsidRPr="002C0B7C">
        <w:rPr>
          <w:rFonts w:ascii="Times New Roman" w:hAnsi="Times New Roman" w:cs="Times New Roman"/>
          <w:i/>
          <w:iCs/>
          <w:sz w:val="24"/>
          <w:szCs w:val="24"/>
          <w:lang w:val="sv-SE"/>
        </w:rPr>
        <w:t>Fashl fi ma Takhtalif Ahkamuh min al-Bilad</w:t>
      </w:r>
      <w:r w:rsidR="00C02D18" w:rsidRPr="002C0B7C">
        <w:rPr>
          <w:rFonts w:ascii="Times New Roman" w:hAnsi="Times New Roman" w:cs="Times New Roman"/>
          <w:sz w:val="24"/>
          <w:szCs w:val="24"/>
          <w:lang w:val="sv-SE"/>
        </w:rPr>
        <w:t xml:space="preserve"> (tentang daerah khusus, Tanah Haram daerah Hijaz dan daerah lainnya); (12) </w:t>
      </w:r>
      <w:r w:rsidR="00C02D18" w:rsidRPr="002C0B7C">
        <w:rPr>
          <w:rFonts w:ascii="Times New Roman" w:hAnsi="Times New Roman" w:cs="Times New Roman"/>
          <w:i/>
          <w:iCs/>
          <w:sz w:val="24"/>
          <w:szCs w:val="24"/>
          <w:lang w:val="sv-SE"/>
        </w:rPr>
        <w:t xml:space="preserve">Fashl fi Ihya’ al-Mawat </w:t>
      </w:r>
      <w:r w:rsidR="00C02D18" w:rsidRPr="002C0B7C">
        <w:rPr>
          <w:rFonts w:ascii="Times New Roman" w:hAnsi="Times New Roman" w:cs="Times New Roman"/>
          <w:sz w:val="24"/>
          <w:szCs w:val="24"/>
          <w:lang w:val="sv-SE"/>
        </w:rPr>
        <w:t xml:space="preserve">(bab tentang pembukaan lahan baru); (13) </w:t>
      </w:r>
      <w:r w:rsidR="00C02D18" w:rsidRPr="002C0B7C">
        <w:rPr>
          <w:rFonts w:ascii="Times New Roman" w:hAnsi="Times New Roman" w:cs="Times New Roman"/>
          <w:i/>
          <w:iCs/>
          <w:sz w:val="24"/>
          <w:szCs w:val="24"/>
          <w:lang w:val="sv-SE"/>
        </w:rPr>
        <w:t>Fashl fi  al-Hima wa al-Irfaq</w:t>
      </w:r>
      <w:r w:rsidR="00C02D18" w:rsidRPr="002C0B7C">
        <w:rPr>
          <w:rFonts w:ascii="Times New Roman" w:hAnsi="Times New Roman" w:cs="Times New Roman"/>
          <w:sz w:val="24"/>
          <w:szCs w:val="24"/>
          <w:lang w:val="sv-SE"/>
        </w:rPr>
        <w:t xml:space="preserve"> (bab tentang ruang publik dan tata ruang); (14) </w:t>
      </w:r>
      <w:r w:rsidR="00C02D18" w:rsidRPr="002C0B7C">
        <w:rPr>
          <w:rFonts w:ascii="Times New Roman" w:hAnsi="Times New Roman" w:cs="Times New Roman"/>
          <w:i/>
          <w:iCs/>
          <w:sz w:val="24"/>
          <w:szCs w:val="24"/>
          <w:lang w:val="sv-SE"/>
        </w:rPr>
        <w:t>Fashl fi Ahkam al-Qatha’i`</w:t>
      </w:r>
      <w:r w:rsidR="00C02D18" w:rsidRPr="002C0B7C">
        <w:rPr>
          <w:rFonts w:ascii="Times New Roman" w:hAnsi="Times New Roman" w:cs="Times New Roman"/>
          <w:sz w:val="24"/>
          <w:szCs w:val="24"/>
          <w:lang w:val="sv-SE"/>
        </w:rPr>
        <w:t xml:space="preserve"> (bab tentang tuan tanah/penguasaan tanah pertanian); (15) </w:t>
      </w:r>
      <w:r w:rsidR="00C02D18" w:rsidRPr="002C0B7C">
        <w:rPr>
          <w:rFonts w:ascii="Times New Roman" w:hAnsi="Times New Roman" w:cs="Times New Roman"/>
          <w:i/>
          <w:iCs/>
          <w:sz w:val="24"/>
          <w:szCs w:val="24"/>
          <w:lang w:val="sv-SE"/>
        </w:rPr>
        <w:t>Fashl fi Wadh`i al-Diwan</w:t>
      </w:r>
      <w:r w:rsidR="00C02D18" w:rsidRPr="002C0B7C">
        <w:rPr>
          <w:rFonts w:ascii="Times New Roman" w:hAnsi="Times New Roman" w:cs="Times New Roman"/>
          <w:sz w:val="24"/>
          <w:szCs w:val="24"/>
          <w:lang w:val="sv-SE"/>
        </w:rPr>
        <w:t xml:space="preserve"> (bab tentang petugas/pegawai pemerintah); (16) </w:t>
      </w:r>
      <w:r w:rsidR="00C02D18" w:rsidRPr="002C0B7C">
        <w:rPr>
          <w:rFonts w:ascii="Times New Roman" w:hAnsi="Times New Roman" w:cs="Times New Roman"/>
          <w:i/>
          <w:iCs/>
          <w:sz w:val="24"/>
          <w:szCs w:val="24"/>
          <w:lang w:val="sv-SE"/>
        </w:rPr>
        <w:t>Fashl fi Ahkam al-Jara’im</w:t>
      </w:r>
      <w:r w:rsidR="00C02D18" w:rsidRPr="002C0B7C">
        <w:rPr>
          <w:rFonts w:ascii="Times New Roman" w:hAnsi="Times New Roman" w:cs="Times New Roman"/>
          <w:sz w:val="24"/>
          <w:szCs w:val="24"/>
          <w:lang w:val="sv-SE"/>
        </w:rPr>
        <w:t xml:space="preserve"> </w:t>
      </w:r>
      <w:r w:rsidR="00C02D18" w:rsidRPr="002C0B7C">
        <w:rPr>
          <w:rFonts w:ascii="Times New Roman" w:hAnsi="Times New Roman" w:cs="Times New Roman"/>
          <w:sz w:val="24"/>
          <w:szCs w:val="24"/>
          <w:lang w:val="sv-SE"/>
        </w:rPr>
        <w:lastRenderedPageBreak/>
        <w:t xml:space="preserve">(bab tentang penanggulangan kejahatan); (17) </w:t>
      </w:r>
      <w:r w:rsidR="00C02D18" w:rsidRPr="002C0B7C">
        <w:rPr>
          <w:rFonts w:ascii="Times New Roman" w:hAnsi="Times New Roman" w:cs="Times New Roman"/>
          <w:i/>
          <w:iCs/>
          <w:sz w:val="24"/>
          <w:szCs w:val="24"/>
          <w:lang w:val="sv-SE"/>
        </w:rPr>
        <w:t>Fashl fii Ahkam al-Hisbah</w:t>
      </w:r>
      <w:r w:rsidR="00C02D18" w:rsidRPr="002C0B7C">
        <w:rPr>
          <w:rFonts w:ascii="Times New Roman" w:hAnsi="Times New Roman" w:cs="Times New Roman"/>
          <w:sz w:val="24"/>
          <w:szCs w:val="24"/>
          <w:lang w:val="sv-SE"/>
        </w:rPr>
        <w:t xml:space="preserve"> (bab tentang perlindungan, keamanan dan ketertiban masyarakat).</w:t>
      </w:r>
      <w:r w:rsidR="00C02D18">
        <w:rPr>
          <w:rStyle w:val="FootnoteReference"/>
          <w:rFonts w:ascii="Times New Roman" w:hAnsi="Times New Roman" w:cs="Times New Roman"/>
          <w:sz w:val="24"/>
          <w:szCs w:val="24"/>
        </w:rPr>
        <w:footnoteReference w:id="73"/>
      </w:r>
      <w:r w:rsidR="00C02D18" w:rsidRPr="002C0B7C">
        <w:rPr>
          <w:rFonts w:ascii="Times New Roman" w:hAnsi="Times New Roman" w:cs="Times New Roman"/>
          <w:sz w:val="24"/>
          <w:szCs w:val="24"/>
          <w:lang w:val="sv-SE"/>
        </w:rPr>
        <w:t> </w:t>
      </w:r>
    </w:p>
    <w:p w:rsidR="001D0A81" w:rsidRPr="00777C0C" w:rsidRDefault="005440C7"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Pr>
          <w:rFonts w:ascii="Times New Roman" w:hAnsi="Times New Roman" w:cs="Times New Roman"/>
          <w:sz w:val="24"/>
          <w:szCs w:val="24"/>
          <w:lang w:val="sv-SE"/>
        </w:rPr>
        <w:t xml:space="preserve">Ibnu Taymiyyah </w:t>
      </w:r>
      <w:r w:rsidR="001D0A81" w:rsidRPr="00E81493">
        <w:rPr>
          <w:rFonts w:ascii="Times New Roman" w:hAnsi="Times New Roman" w:cs="Times New Roman"/>
          <w:sz w:val="24"/>
          <w:szCs w:val="24"/>
          <w:lang w:val="sv-SE"/>
        </w:rPr>
        <w:t>(728 H)</w:t>
      </w:r>
      <w:r w:rsidR="001D0A81">
        <w:rPr>
          <w:rFonts w:ascii="Times New Roman" w:hAnsi="Times New Roman" w:cs="Times New Roman"/>
          <w:sz w:val="24"/>
          <w:szCs w:val="24"/>
          <w:lang w:val="sv-SE"/>
        </w:rPr>
        <w:t xml:space="preserve"> menulis buku berjudul</w:t>
      </w:r>
      <w:r w:rsidR="001D0A81">
        <w:rPr>
          <w:rFonts w:ascii="Times New Roman" w:hAnsi="Times New Roman" w:cs="Times New Roman"/>
          <w:sz w:val="24"/>
          <w:szCs w:val="24"/>
          <w:lang w:val="sv-SE" w:eastAsia="en-GB"/>
        </w:rPr>
        <w:t xml:space="preserve"> ”</w:t>
      </w:r>
      <w:r w:rsidR="001D0A81" w:rsidRPr="00B44FD9">
        <w:rPr>
          <w:rFonts w:ascii="Times New Roman" w:hAnsi="Times New Roman" w:cs="Times New Roman"/>
          <w:i/>
          <w:iCs/>
          <w:sz w:val="24"/>
          <w:szCs w:val="24"/>
          <w:lang w:val="sv-SE"/>
        </w:rPr>
        <w:t>Al-</w:t>
      </w:r>
      <w:r w:rsidR="00AA7556">
        <w:rPr>
          <w:rFonts w:ascii="Times New Roman" w:hAnsi="Times New Roman" w:cs="Times New Roman"/>
          <w:i/>
          <w:iCs/>
          <w:sz w:val="24"/>
          <w:szCs w:val="24"/>
          <w:lang w:val="sv-SE"/>
        </w:rPr>
        <w:t xml:space="preserve">Siyāsah </w:t>
      </w:r>
      <w:r w:rsidR="001D0A81" w:rsidRPr="00B44FD9">
        <w:rPr>
          <w:rFonts w:ascii="Times New Roman" w:hAnsi="Times New Roman" w:cs="Times New Roman"/>
          <w:i/>
          <w:iCs/>
          <w:sz w:val="24"/>
          <w:szCs w:val="24"/>
          <w:lang w:val="sv-SE"/>
        </w:rPr>
        <w:t>al-Syar`iyyah fi Ishl</w:t>
      </w:r>
      <w:r w:rsidR="00FC5282">
        <w:rPr>
          <w:rFonts w:ascii="Times New Roman" w:hAnsi="Times New Roman" w:cs="Times New Roman"/>
          <w:i/>
          <w:iCs/>
          <w:sz w:val="24"/>
          <w:szCs w:val="24"/>
          <w:lang w:val="sv-SE"/>
        </w:rPr>
        <w:t>ā</w:t>
      </w:r>
      <w:r w:rsidR="001D0A81" w:rsidRPr="00B44FD9">
        <w:rPr>
          <w:rFonts w:ascii="Times New Roman" w:hAnsi="Times New Roman" w:cs="Times New Roman"/>
          <w:i/>
          <w:iCs/>
          <w:sz w:val="24"/>
          <w:szCs w:val="24"/>
          <w:lang w:val="sv-SE"/>
        </w:rPr>
        <w:t>h al-R</w:t>
      </w:r>
      <w:r w:rsidR="00FC5282">
        <w:rPr>
          <w:rFonts w:ascii="Times New Roman" w:hAnsi="Times New Roman" w:cs="Times New Roman"/>
          <w:i/>
          <w:iCs/>
          <w:sz w:val="24"/>
          <w:szCs w:val="24"/>
          <w:lang w:val="sv-SE"/>
        </w:rPr>
        <w:t>ā</w:t>
      </w:r>
      <w:r w:rsidR="001D0A81" w:rsidRPr="00B44FD9">
        <w:rPr>
          <w:rFonts w:ascii="Times New Roman" w:hAnsi="Times New Roman" w:cs="Times New Roman"/>
          <w:i/>
          <w:iCs/>
          <w:sz w:val="24"/>
          <w:szCs w:val="24"/>
          <w:lang w:val="sv-SE"/>
        </w:rPr>
        <w:t>`i wa al-Ra`iyyah</w:t>
      </w:r>
      <w:r w:rsidR="001D0A81" w:rsidRPr="00B44FD9">
        <w:rPr>
          <w:rFonts w:ascii="Times New Roman" w:hAnsi="Times New Roman" w:cs="Times New Roman"/>
          <w:sz w:val="24"/>
          <w:szCs w:val="24"/>
          <w:lang w:val="sv-SE"/>
        </w:rPr>
        <w:t>.</w:t>
      </w:r>
      <w:r w:rsidR="001D0A81">
        <w:rPr>
          <w:rStyle w:val="FootnoteReference"/>
          <w:rFonts w:ascii="Times New Roman" w:hAnsi="Times New Roman" w:cs="Times New Roman"/>
          <w:sz w:val="24"/>
          <w:szCs w:val="24"/>
          <w:lang w:val="sv-SE"/>
        </w:rPr>
        <w:footnoteReference w:id="74"/>
      </w:r>
      <w:r w:rsidR="001D0A81" w:rsidRPr="00B44FD9">
        <w:rPr>
          <w:rFonts w:ascii="Times New Roman" w:hAnsi="Times New Roman" w:cs="Times New Roman"/>
          <w:sz w:val="24"/>
          <w:szCs w:val="24"/>
          <w:lang w:val="sv-SE"/>
        </w:rPr>
        <w:t xml:space="preserve"> </w:t>
      </w:r>
      <w:r w:rsidR="001D0A81">
        <w:rPr>
          <w:rFonts w:ascii="Times New Roman" w:hAnsi="Times New Roman" w:cs="Times New Roman"/>
          <w:sz w:val="24"/>
          <w:szCs w:val="24"/>
          <w:lang w:val="sv-SE"/>
        </w:rPr>
        <w:t xml:space="preserve">buku ini memuat </w:t>
      </w:r>
      <w:r w:rsidR="001D0A81" w:rsidRPr="00777C0C">
        <w:rPr>
          <w:rFonts w:ascii="Times New Roman" w:hAnsi="Times New Roman" w:cs="Times New Roman"/>
          <w:sz w:val="24"/>
          <w:szCs w:val="24"/>
          <w:lang w:val="sv-SE"/>
        </w:rPr>
        <w:t xml:space="preserve">dua bagian besar; </w:t>
      </w:r>
      <w:r>
        <w:rPr>
          <w:rFonts w:ascii="Times New Roman" w:hAnsi="Times New Roman" w:cs="Times New Roman"/>
          <w:i/>
          <w:iCs/>
          <w:sz w:val="24"/>
          <w:szCs w:val="24"/>
          <w:lang w:val="sv-SE"/>
        </w:rPr>
        <w:t>Al-Qism</w:t>
      </w:r>
      <w:r w:rsidR="001D0A81" w:rsidRPr="00777C0C">
        <w:rPr>
          <w:rFonts w:ascii="Times New Roman" w:hAnsi="Times New Roman" w:cs="Times New Roman"/>
          <w:i/>
          <w:iCs/>
          <w:sz w:val="24"/>
          <w:szCs w:val="24"/>
          <w:lang w:val="sv-SE"/>
        </w:rPr>
        <w:t xml:space="preserve"> al-Awwal: Ada’ al-Amanat</w:t>
      </w:r>
      <w:r w:rsidR="001D0A81" w:rsidRPr="00777C0C">
        <w:rPr>
          <w:rFonts w:ascii="Times New Roman" w:hAnsi="Times New Roman" w:cs="Times New Roman"/>
          <w:sz w:val="24"/>
          <w:szCs w:val="24"/>
          <w:lang w:val="sv-SE"/>
        </w:rPr>
        <w:t xml:space="preserve"> (bagian pertama tentang penunaian tanggung jawab), yang dibagi menjadi dua bab: (1) </w:t>
      </w:r>
      <w:r w:rsidR="001D0A81" w:rsidRPr="00777C0C">
        <w:rPr>
          <w:rFonts w:ascii="Times New Roman" w:hAnsi="Times New Roman" w:cs="Times New Roman"/>
          <w:i/>
          <w:iCs/>
          <w:sz w:val="24"/>
          <w:szCs w:val="24"/>
          <w:lang w:val="sv-SE"/>
        </w:rPr>
        <w:t>Al-wilayat</w:t>
      </w:r>
      <w:r w:rsidR="001D0A81" w:rsidRPr="00777C0C">
        <w:rPr>
          <w:rFonts w:ascii="Times New Roman" w:hAnsi="Times New Roman" w:cs="Times New Roman"/>
          <w:sz w:val="24"/>
          <w:szCs w:val="24"/>
          <w:lang w:val="sv-SE"/>
        </w:rPr>
        <w:t xml:space="preserve"> (pemerintahan) yang beliau bagi lagi menjadi empat pasal. </w:t>
      </w:r>
      <w:r w:rsidR="001D0A81" w:rsidRPr="00777C0C">
        <w:rPr>
          <w:rFonts w:ascii="Times New Roman" w:hAnsi="Times New Roman" w:cs="Times New Roman"/>
          <w:sz w:val="24"/>
          <w:szCs w:val="24"/>
        </w:rPr>
        <w:t xml:space="preserve">Sedang bab </w:t>
      </w:r>
      <w:r>
        <w:rPr>
          <w:rFonts w:ascii="Times New Roman" w:hAnsi="Times New Roman" w:cs="Times New Roman"/>
          <w:sz w:val="24"/>
          <w:szCs w:val="24"/>
        </w:rPr>
        <w:t>kedua</w:t>
      </w:r>
      <w:r w:rsidR="001D0A81" w:rsidRPr="00777C0C">
        <w:rPr>
          <w:rFonts w:ascii="Times New Roman" w:hAnsi="Times New Roman" w:cs="Times New Roman"/>
          <w:sz w:val="24"/>
          <w:szCs w:val="24"/>
        </w:rPr>
        <w:t xml:space="preserve"> (2) </w:t>
      </w:r>
      <w:r w:rsidR="001D0A81" w:rsidRPr="00777C0C">
        <w:rPr>
          <w:rFonts w:ascii="Times New Roman" w:hAnsi="Times New Roman" w:cs="Times New Roman"/>
          <w:i/>
          <w:iCs/>
          <w:sz w:val="24"/>
          <w:szCs w:val="24"/>
        </w:rPr>
        <w:t>Al-Amwal</w:t>
      </w:r>
      <w:r w:rsidR="001D0A81" w:rsidRPr="00777C0C">
        <w:rPr>
          <w:rFonts w:ascii="Times New Roman" w:hAnsi="Times New Roman" w:cs="Times New Roman"/>
          <w:sz w:val="24"/>
          <w:szCs w:val="24"/>
        </w:rPr>
        <w:t xml:space="preserve"> (tentang harta kekayaan negara) beliau bagi menjadi enam pasal.  Bagian kedua: </w:t>
      </w:r>
      <w:r>
        <w:rPr>
          <w:rFonts w:ascii="Times New Roman" w:hAnsi="Times New Roman" w:cs="Times New Roman"/>
          <w:i/>
          <w:iCs/>
          <w:sz w:val="24"/>
          <w:szCs w:val="24"/>
          <w:lang w:val="sv-SE"/>
        </w:rPr>
        <w:t>Al-Qism</w:t>
      </w:r>
      <w:r w:rsidRPr="00777C0C">
        <w:rPr>
          <w:rFonts w:ascii="Times New Roman" w:hAnsi="Times New Roman" w:cs="Times New Roman"/>
          <w:i/>
          <w:iCs/>
          <w:sz w:val="24"/>
          <w:szCs w:val="24"/>
          <w:lang w:val="sv-SE"/>
        </w:rPr>
        <w:t xml:space="preserve"> </w:t>
      </w:r>
      <w:r w:rsidR="001D0A81" w:rsidRPr="00777C0C">
        <w:rPr>
          <w:rFonts w:ascii="Times New Roman" w:hAnsi="Times New Roman" w:cs="Times New Roman"/>
          <w:i/>
          <w:iCs/>
          <w:sz w:val="24"/>
          <w:szCs w:val="24"/>
        </w:rPr>
        <w:t>al-Tsani: Al-</w:t>
      </w:r>
      <w:r>
        <w:rPr>
          <w:rFonts w:ascii="Times New Roman" w:hAnsi="Times New Roman" w:cs="Times New Roman"/>
          <w:i/>
          <w:iCs/>
          <w:sz w:val="24"/>
          <w:szCs w:val="24"/>
        </w:rPr>
        <w:t>Hudud Wa Al-Huquq</w:t>
      </w:r>
      <w:r w:rsidR="001D0A81" w:rsidRPr="00777C0C">
        <w:rPr>
          <w:rFonts w:ascii="Times New Roman" w:hAnsi="Times New Roman" w:cs="Times New Roman"/>
          <w:sz w:val="24"/>
          <w:szCs w:val="24"/>
        </w:rPr>
        <w:t xml:space="preserve"> (bagian kedua tentang penegakan hukum), beliau bagi menjadi dua bab juga yaitu: (1) </w:t>
      </w:r>
      <w:r w:rsidR="001D0A81" w:rsidRPr="00777C0C">
        <w:rPr>
          <w:rFonts w:ascii="Times New Roman" w:hAnsi="Times New Roman" w:cs="Times New Roman"/>
          <w:i/>
          <w:iCs/>
          <w:sz w:val="24"/>
          <w:szCs w:val="24"/>
        </w:rPr>
        <w:t>hudud Allah</w:t>
      </w:r>
      <w:r w:rsidR="001D0A81" w:rsidRPr="00777C0C">
        <w:rPr>
          <w:rFonts w:ascii="Times New Roman" w:hAnsi="Times New Roman" w:cs="Times New Roman"/>
          <w:sz w:val="24"/>
          <w:szCs w:val="24"/>
        </w:rPr>
        <w:t xml:space="preserve"> (penegakan hukum yang berhubungan dengan hak Allah/hukum pidana hudud) yang dibagi menjadi </w:t>
      </w:r>
      <w:r>
        <w:rPr>
          <w:rFonts w:ascii="Times New Roman" w:hAnsi="Times New Roman" w:cs="Times New Roman"/>
          <w:sz w:val="24"/>
          <w:szCs w:val="24"/>
        </w:rPr>
        <w:t>delapan</w:t>
      </w:r>
      <w:r w:rsidR="001D0A81" w:rsidRPr="00777C0C">
        <w:rPr>
          <w:rFonts w:ascii="Times New Roman" w:hAnsi="Times New Roman" w:cs="Times New Roman"/>
          <w:sz w:val="24"/>
          <w:szCs w:val="24"/>
        </w:rPr>
        <w:t xml:space="preserve"> pasal, dan bab yang kedua </w:t>
      </w:r>
      <w:r w:rsidR="001D0A81" w:rsidRPr="00777C0C">
        <w:rPr>
          <w:rFonts w:ascii="Times New Roman" w:hAnsi="Times New Roman" w:cs="Times New Roman"/>
          <w:i/>
          <w:iCs/>
          <w:sz w:val="24"/>
          <w:szCs w:val="24"/>
        </w:rPr>
        <w:t>Huquq al-Nas</w:t>
      </w:r>
      <w:r w:rsidR="001D0A81" w:rsidRPr="00777C0C">
        <w:rPr>
          <w:rFonts w:ascii="Times New Roman" w:hAnsi="Times New Roman" w:cs="Times New Roman"/>
          <w:sz w:val="24"/>
          <w:szCs w:val="24"/>
        </w:rPr>
        <w:t xml:space="preserve"> (penegakan hukum yang berhubungan dengan hak manusi</w:t>
      </w:r>
      <w:r>
        <w:rPr>
          <w:rFonts w:ascii="Times New Roman" w:hAnsi="Times New Roman" w:cs="Times New Roman"/>
          <w:sz w:val="24"/>
          <w:szCs w:val="24"/>
        </w:rPr>
        <w:t>a) yang beliau bagi menjadi delapan</w:t>
      </w:r>
      <w:r w:rsidR="001D0A81" w:rsidRPr="00777C0C">
        <w:rPr>
          <w:rFonts w:ascii="Times New Roman" w:hAnsi="Times New Roman" w:cs="Times New Roman"/>
          <w:sz w:val="24"/>
          <w:szCs w:val="24"/>
        </w:rPr>
        <w:t xml:space="preserve"> pasal</w:t>
      </w:r>
      <w:r>
        <w:rPr>
          <w:rFonts w:ascii="Times New Roman" w:hAnsi="Times New Roman" w:cs="Times New Roman"/>
          <w:sz w:val="24"/>
          <w:szCs w:val="24"/>
        </w:rPr>
        <w:t xml:space="preserve"> juga.</w:t>
      </w:r>
      <w:r w:rsidR="001D0A81">
        <w:rPr>
          <w:rStyle w:val="FootnoteReference"/>
          <w:rFonts w:ascii="Times New Roman" w:hAnsi="Times New Roman" w:cs="Times New Roman"/>
          <w:sz w:val="24"/>
          <w:szCs w:val="24"/>
        </w:rPr>
        <w:footnoteReference w:id="75"/>
      </w:r>
    </w:p>
    <w:p w:rsidR="00AC09E6" w:rsidRPr="00AC09E6" w:rsidRDefault="005D167E"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sidRPr="00B44FD9">
        <w:rPr>
          <w:rFonts w:ascii="Times New Roman" w:hAnsi="Times New Roman" w:cs="Times New Roman"/>
          <w:sz w:val="24"/>
          <w:szCs w:val="24"/>
          <w:lang w:val="sv-SE"/>
        </w:rPr>
        <w:t>Ibnu Qayyim al-Jauzi (751 H)</w:t>
      </w:r>
      <w:r>
        <w:rPr>
          <w:rFonts w:ascii="Times New Roman" w:hAnsi="Times New Roman" w:cs="Times New Roman"/>
          <w:sz w:val="24"/>
          <w:szCs w:val="24"/>
          <w:lang w:val="sv-SE"/>
        </w:rPr>
        <w:t xml:space="preserve"> menggunakan kembali istilah </w:t>
      </w:r>
      <w:r w:rsidR="00881BDC">
        <w:rPr>
          <w:rFonts w:ascii="Times New Roman" w:hAnsi="Times New Roman" w:cs="Times New Roman"/>
          <w:sz w:val="24"/>
          <w:szCs w:val="24"/>
          <w:lang w:val="sv-SE"/>
        </w:rPr>
        <w:t xml:space="preserve">siyāsah </w:t>
      </w:r>
      <w:r>
        <w:rPr>
          <w:rFonts w:ascii="Times New Roman" w:hAnsi="Times New Roman" w:cs="Times New Roman"/>
          <w:sz w:val="24"/>
          <w:szCs w:val="24"/>
          <w:lang w:val="sv-SE"/>
        </w:rPr>
        <w:t xml:space="preserve"> </w:t>
      </w:r>
      <w:r w:rsidR="00CC1D08">
        <w:rPr>
          <w:rFonts w:ascii="Times New Roman" w:hAnsi="Times New Roman" w:cs="Times New Roman"/>
          <w:sz w:val="24"/>
          <w:szCs w:val="24"/>
          <w:lang w:val="sv-SE"/>
        </w:rPr>
        <w:t>Syar‘iyah</w:t>
      </w:r>
      <w:r>
        <w:rPr>
          <w:rFonts w:ascii="Times New Roman" w:hAnsi="Times New Roman" w:cs="Times New Roman"/>
          <w:sz w:val="24"/>
          <w:szCs w:val="24"/>
          <w:lang w:val="sv-SE"/>
        </w:rPr>
        <w:t xml:space="preserve"> </w:t>
      </w:r>
      <w:r w:rsidRPr="00B44FD9">
        <w:rPr>
          <w:rFonts w:ascii="Times New Roman" w:hAnsi="Times New Roman" w:cs="Times New Roman"/>
          <w:sz w:val="24"/>
          <w:szCs w:val="24"/>
          <w:lang w:val="sv-SE"/>
        </w:rPr>
        <w:t xml:space="preserve"> untuk salah satu judul bukunya, yaitu </w:t>
      </w:r>
      <w:r w:rsidRPr="00B44FD9">
        <w:rPr>
          <w:rFonts w:ascii="Times New Roman" w:hAnsi="Times New Roman" w:cs="Times New Roman"/>
          <w:i/>
          <w:iCs/>
          <w:sz w:val="24"/>
          <w:szCs w:val="24"/>
          <w:lang w:val="sv-SE"/>
        </w:rPr>
        <w:t>Al-Thuruq al-Hukmiyyah fi al-</w:t>
      </w:r>
      <w:r w:rsidR="00881BDC">
        <w:rPr>
          <w:rFonts w:ascii="Times New Roman" w:hAnsi="Times New Roman" w:cs="Times New Roman"/>
          <w:i/>
          <w:iCs/>
          <w:sz w:val="24"/>
          <w:szCs w:val="24"/>
          <w:lang w:val="sv-SE"/>
        </w:rPr>
        <w:t xml:space="preserve">Siyāsah </w:t>
      </w:r>
      <w:r w:rsidRPr="00B44FD9">
        <w:rPr>
          <w:rFonts w:ascii="Times New Roman" w:hAnsi="Times New Roman" w:cs="Times New Roman"/>
          <w:i/>
          <w:iCs/>
          <w:sz w:val="24"/>
          <w:szCs w:val="24"/>
          <w:lang w:val="sv-SE"/>
        </w:rPr>
        <w:t xml:space="preserve"> al-Syar`iyyah</w:t>
      </w:r>
      <w:r w:rsidRPr="00B44FD9">
        <w:rPr>
          <w:rFonts w:ascii="Times New Roman" w:hAnsi="Times New Roman" w:cs="Times New Roman"/>
          <w:sz w:val="24"/>
          <w:szCs w:val="24"/>
          <w:lang w:val="sv-SE"/>
        </w:rPr>
        <w:t xml:space="preserve">. </w:t>
      </w:r>
      <w:r w:rsidRPr="002E7EF6">
        <w:rPr>
          <w:rFonts w:ascii="Times New Roman" w:hAnsi="Times New Roman" w:cs="Times New Roman"/>
          <w:sz w:val="24"/>
          <w:szCs w:val="24"/>
        </w:rPr>
        <w:t xml:space="preserve">Buku ini berisi alat bukti dan tatacara pembuktian dalam persidangan di depan hakim, yang meliputi, kesaksian, </w:t>
      </w:r>
      <w:r w:rsidRPr="002E7EF6">
        <w:rPr>
          <w:rFonts w:ascii="Times New Roman" w:hAnsi="Times New Roman" w:cs="Times New Roman"/>
          <w:sz w:val="24"/>
          <w:szCs w:val="24"/>
        </w:rPr>
        <w:lastRenderedPageBreak/>
        <w:t>tulisan, sumpah, pengakuan, indikasi dan tata cara melakukan pemeriksaan.</w:t>
      </w:r>
      <w:r>
        <w:rPr>
          <w:rStyle w:val="FootnoteReference"/>
          <w:rFonts w:ascii="Times New Roman" w:hAnsi="Times New Roman" w:cs="Times New Roman"/>
          <w:sz w:val="24"/>
          <w:szCs w:val="24"/>
        </w:rPr>
        <w:footnoteReference w:id="76"/>
      </w:r>
    </w:p>
    <w:p w:rsidR="00AC09E6" w:rsidRPr="00AC09E6" w:rsidRDefault="00AC09E6"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sidRPr="00AC09E6">
        <w:rPr>
          <w:rFonts w:ascii="Times New Roman" w:hAnsi="Times New Roman" w:cs="Times New Roman"/>
          <w:sz w:val="24"/>
          <w:szCs w:val="24"/>
          <w:lang w:val="sv-SE"/>
        </w:rPr>
        <w:t xml:space="preserve">A.Djazuli menulis buku dengan judul </w:t>
      </w:r>
      <w:r w:rsidRPr="00AC09E6">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Pr="00AC09E6">
        <w:rPr>
          <w:rFonts w:ascii="Times New Roman" w:hAnsi="Times New Roman" w:cs="Times New Roman"/>
          <w:i/>
          <w:iCs/>
          <w:sz w:val="24"/>
          <w:szCs w:val="24"/>
          <w:lang w:val="sv-SE"/>
        </w:rPr>
        <w:t>: Implementasi Kemaslahatan Umat dalam Rambu-rambu Syariah</w:t>
      </w:r>
      <w:r w:rsidRPr="00AC09E6">
        <w:rPr>
          <w:rFonts w:ascii="Times New Roman" w:hAnsi="Times New Roman" w:cs="Times New Roman"/>
          <w:sz w:val="24"/>
          <w:szCs w:val="24"/>
          <w:lang w:val="sv-SE"/>
        </w:rPr>
        <w:t>. Penulisnya membatasi isi buku yang dia tulis hanya membahas empat diluar bab pendahuluan, yaitu: (1)  </w:t>
      </w:r>
      <w:r w:rsidRPr="00AC09E6">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Pr="00AC09E6">
        <w:rPr>
          <w:rFonts w:ascii="Times New Roman" w:hAnsi="Times New Roman" w:cs="Times New Roman"/>
          <w:i/>
          <w:iCs/>
          <w:sz w:val="24"/>
          <w:szCs w:val="24"/>
          <w:lang w:val="sv-SE"/>
        </w:rPr>
        <w:t xml:space="preserve"> dusturiyyah</w:t>
      </w:r>
      <w:r w:rsidRPr="00AC09E6">
        <w:rPr>
          <w:rFonts w:ascii="Times New Roman" w:hAnsi="Times New Roman" w:cs="Times New Roman"/>
          <w:sz w:val="24"/>
          <w:szCs w:val="24"/>
          <w:lang w:val="sv-SE"/>
        </w:rPr>
        <w:t>, yaitu membahas pengaturan dan perundang-undangan yang dituntut oleh hal ihwal kenegaraan dari segi persesuain dengan prinsip-prinsip agama dan merupakan realitas kemaslahatan menusia serta memenuhi kebutuhannya; (2)  </w:t>
      </w:r>
      <w:r w:rsidRPr="00AC09E6">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Pr="00AC09E6">
        <w:rPr>
          <w:rFonts w:ascii="Times New Roman" w:hAnsi="Times New Roman" w:cs="Times New Roman"/>
          <w:i/>
          <w:iCs/>
          <w:sz w:val="24"/>
          <w:szCs w:val="24"/>
          <w:lang w:val="sv-SE"/>
        </w:rPr>
        <w:t xml:space="preserve"> dawliyyah</w:t>
      </w:r>
      <w:r w:rsidRPr="00AC09E6">
        <w:rPr>
          <w:rFonts w:ascii="Times New Roman" w:hAnsi="Times New Roman" w:cs="Times New Roman"/>
          <w:sz w:val="24"/>
          <w:szCs w:val="24"/>
          <w:lang w:val="sv-SE"/>
        </w:rPr>
        <w:t>, yang mengatur antara warga Negara dengan lembaga Negara dari negara yang satu dengan warga Negara dan lembaga negara dari Negara lain (3)</w:t>
      </w:r>
      <w:r w:rsidRPr="00AC09E6">
        <w:rPr>
          <w:rFonts w:ascii="Times New Roman" w:hAnsi="Times New Roman" w:cs="Times New Roman"/>
          <w:i/>
          <w:iCs/>
          <w:sz w:val="24"/>
          <w:szCs w:val="24"/>
          <w:lang w:val="sv-SE"/>
        </w:rPr>
        <w:t xml:space="preserve"> fiqh </w:t>
      </w:r>
      <w:r w:rsidR="00881BDC">
        <w:rPr>
          <w:rFonts w:ascii="Times New Roman" w:hAnsi="Times New Roman" w:cs="Times New Roman"/>
          <w:i/>
          <w:iCs/>
          <w:sz w:val="24"/>
          <w:szCs w:val="24"/>
          <w:lang w:val="sv-SE"/>
        </w:rPr>
        <w:t xml:space="preserve">siyāsah </w:t>
      </w:r>
      <w:r w:rsidRPr="00AC09E6">
        <w:rPr>
          <w:rFonts w:ascii="Times New Roman" w:hAnsi="Times New Roman" w:cs="Times New Roman"/>
          <w:i/>
          <w:iCs/>
          <w:sz w:val="24"/>
          <w:szCs w:val="24"/>
          <w:lang w:val="sv-SE"/>
        </w:rPr>
        <w:t xml:space="preserve"> maliyyah</w:t>
      </w:r>
      <w:r w:rsidRPr="00AC09E6">
        <w:rPr>
          <w:rFonts w:ascii="Times New Roman" w:hAnsi="Times New Roman" w:cs="Times New Roman"/>
          <w:sz w:val="24"/>
          <w:szCs w:val="24"/>
          <w:lang w:val="sv-SE"/>
        </w:rPr>
        <w:t xml:space="preserve">, yang mengatur tentang pemasukan pengelolaan, dan pengeluaran uang milik Negara dan (4) </w:t>
      </w:r>
      <w:r w:rsidRPr="00AC09E6">
        <w:rPr>
          <w:rFonts w:ascii="Times New Roman" w:hAnsi="Times New Roman" w:cs="Times New Roman"/>
          <w:i/>
          <w:iCs/>
          <w:sz w:val="24"/>
          <w:szCs w:val="24"/>
          <w:lang w:val="sv-SE"/>
        </w:rPr>
        <w:t>hifzh al-Ummah</w:t>
      </w:r>
      <w:r w:rsidRPr="00AC09E6">
        <w:rPr>
          <w:rFonts w:ascii="Times New Roman" w:hAnsi="Times New Roman" w:cs="Times New Roman"/>
          <w:sz w:val="24"/>
          <w:szCs w:val="24"/>
          <w:lang w:val="sv-SE"/>
        </w:rPr>
        <w:t xml:space="preserve"> sebagai Maqashid Syari’ah.</w:t>
      </w:r>
      <w:r>
        <w:rPr>
          <w:rStyle w:val="FootnoteReference"/>
          <w:rFonts w:ascii="Times New Roman" w:hAnsi="Times New Roman" w:cs="Times New Roman"/>
          <w:sz w:val="24"/>
          <w:szCs w:val="24"/>
        </w:rPr>
        <w:footnoteReference w:id="77"/>
      </w:r>
      <w:r w:rsidRPr="00AC09E6">
        <w:rPr>
          <w:rFonts w:ascii="Times New Roman" w:hAnsi="Times New Roman" w:cs="Times New Roman"/>
          <w:sz w:val="24"/>
          <w:szCs w:val="24"/>
          <w:lang w:val="sv-SE"/>
        </w:rPr>
        <w:t xml:space="preserve"> </w:t>
      </w:r>
    </w:p>
    <w:p w:rsidR="009B35E5" w:rsidRPr="00843832" w:rsidRDefault="009B35E5"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sidRPr="00B44FD9">
        <w:rPr>
          <w:rFonts w:ascii="Times New Roman" w:hAnsi="Times New Roman" w:cs="Times New Roman"/>
          <w:sz w:val="24"/>
          <w:szCs w:val="24"/>
          <w:lang w:val="sv-SE"/>
        </w:rPr>
        <w:t xml:space="preserve">Muhammad Iqbal menulis buku yang berjudul </w:t>
      </w:r>
      <w:r w:rsidRPr="00B44FD9">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Pr="00B44FD9">
        <w:rPr>
          <w:rFonts w:ascii="Times New Roman" w:hAnsi="Times New Roman" w:cs="Times New Roman"/>
          <w:i/>
          <w:iCs/>
          <w:sz w:val="24"/>
          <w:szCs w:val="24"/>
          <w:lang w:val="sv-SE"/>
        </w:rPr>
        <w:t>: Kontekstualisasi Doktrin Politik Islam</w:t>
      </w:r>
      <w:r>
        <w:rPr>
          <w:rFonts w:ascii="Times New Roman" w:hAnsi="Times New Roman" w:cs="Times New Roman"/>
          <w:sz w:val="24"/>
          <w:szCs w:val="24"/>
          <w:lang w:val="sv-SE"/>
        </w:rPr>
        <w:t xml:space="preserve">. Isi buku ini memuat </w:t>
      </w:r>
      <w:r w:rsidRPr="00843832">
        <w:rPr>
          <w:rFonts w:ascii="Times New Roman" w:hAnsi="Times New Roman" w:cs="Times New Roman"/>
          <w:sz w:val="24"/>
          <w:szCs w:val="24"/>
          <w:lang w:val="sv-SE"/>
        </w:rPr>
        <w:t>tiga hal</w:t>
      </w:r>
      <w:r>
        <w:rPr>
          <w:rFonts w:ascii="Times New Roman" w:hAnsi="Times New Roman" w:cs="Times New Roman"/>
          <w:sz w:val="24"/>
          <w:szCs w:val="24"/>
          <w:lang w:val="sv-SE"/>
        </w:rPr>
        <w:t xml:space="preserve"> yaitu sebagai berikut:(1)</w:t>
      </w:r>
      <w:r w:rsidRPr="00843832">
        <w:rPr>
          <w:rFonts w:ascii="Times New Roman" w:hAnsi="Times New Roman" w:cs="Times New Roman"/>
          <w:sz w:val="24"/>
          <w:szCs w:val="24"/>
          <w:lang w:val="sv-SE"/>
        </w:rPr>
        <w:t>Politik perundang-undangan, yang meliputi</w:t>
      </w:r>
      <w:r>
        <w:rPr>
          <w:rFonts w:ascii="Times New Roman" w:hAnsi="Times New Roman" w:cs="Times New Roman"/>
          <w:sz w:val="24"/>
          <w:szCs w:val="24"/>
          <w:lang w:val="sv-SE"/>
        </w:rPr>
        <w:t xml:space="preserve"> pengkajian tentang penetapan hu</w:t>
      </w:r>
      <w:r w:rsidRPr="00843832">
        <w:rPr>
          <w:rFonts w:ascii="Times New Roman" w:hAnsi="Times New Roman" w:cs="Times New Roman"/>
          <w:sz w:val="24"/>
          <w:szCs w:val="24"/>
          <w:lang w:val="sv-SE"/>
        </w:rPr>
        <w:t xml:space="preserve">kum oleh lembaga legislatif, peradilan oleh lembaga yudikatif dan administrasi pemerintahan oleh eksekutif. </w:t>
      </w:r>
      <w:r w:rsidRPr="00843832">
        <w:rPr>
          <w:rFonts w:ascii="Times New Roman" w:hAnsi="Times New Roman" w:cs="Times New Roman"/>
          <w:sz w:val="24"/>
          <w:szCs w:val="24"/>
        </w:rPr>
        <w:t>(2) Politik luar negeri, yang mencakup hubungan keperdataan antara warga Negara muslim dengan warga negara non mu</w:t>
      </w:r>
      <w:r>
        <w:rPr>
          <w:rFonts w:ascii="Times New Roman" w:hAnsi="Times New Roman" w:cs="Times New Roman"/>
          <w:sz w:val="24"/>
          <w:szCs w:val="24"/>
        </w:rPr>
        <w:t>slim yang berbeda kebangsaan (hu</w:t>
      </w:r>
      <w:r w:rsidRPr="00843832">
        <w:rPr>
          <w:rFonts w:ascii="Times New Roman" w:hAnsi="Times New Roman" w:cs="Times New Roman"/>
          <w:sz w:val="24"/>
          <w:szCs w:val="24"/>
        </w:rPr>
        <w:t xml:space="preserve">kum perdata internasional) dan hubungan diplomatik antara Negara muslim dan Negara non muslim (hubungan internasional). (3) politik keuangan dan moneter yang meliputi sumber keuangan Negara, pos-pos </w:t>
      </w:r>
      <w:r w:rsidRPr="00843832">
        <w:rPr>
          <w:rFonts w:ascii="Times New Roman" w:hAnsi="Times New Roman" w:cs="Times New Roman"/>
          <w:sz w:val="24"/>
          <w:szCs w:val="24"/>
        </w:rPr>
        <w:lastRenderedPageBreak/>
        <w:t>pengeluaran dan belanja Negara, perdagangan internasional, kepentingn/hak-hak public, pajakdan perbankan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8"/>
      </w:r>
    </w:p>
    <w:p w:rsidR="00AC43B8" w:rsidRPr="00CF3C0F" w:rsidRDefault="00AC43B8" w:rsidP="002C0A33">
      <w:pPr>
        <w:pStyle w:val="ListParagraph"/>
        <w:numPr>
          <w:ilvl w:val="0"/>
          <w:numId w:val="12"/>
        </w:numPr>
        <w:autoSpaceDE w:val="0"/>
        <w:autoSpaceDN w:val="0"/>
        <w:adjustRightInd w:val="0"/>
        <w:spacing w:after="0" w:line="360" w:lineRule="auto"/>
        <w:ind w:left="810"/>
        <w:jc w:val="both"/>
        <w:rPr>
          <w:rFonts w:ascii="Times New Roman" w:hAnsi="Times New Roman" w:cs="Times New Roman"/>
          <w:sz w:val="24"/>
          <w:szCs w:val="24"/>
          <w:lang w:val="sv-SE" w:eastAsia="en-GB"/>
        </w:rPr>
      </w:pPr>
      <w:r w:rsidRPr="00CF3C0F">
        <w:rPr>
          <w:rFonts w:asciiTheme="majorBidi" w:hAnsiTheme="majorBidi" w:cstheme="majorBidi"/>
          <w:sz w:val="24"/>
          <w:szCs w:val="24"/>
          <w:lang w:val="sv-SE"/>
        </w:rPr>
        <w:t xml:space="preserve">Beni Ahmad Saebani, </w:t>
      </w:r>
      <w:r w:rsidRPr="00CF3C0F">
        <w:rPr>
          <w:rFonts w:asciiTheme="majorBidi" w:hAnsiTheme="majorBidi" w:cstheme="majorBidi"/>
          <w:i/>
          <w:iCs/>
          <w:sz w:val="24"/>
          <w:szCs w:val="24"/>
          <w:lang w:val="sv-SE"/>
        </w:rPr>
        <w:t xml:space="preserve">Fiqh </w:t>
      </w:r>
      <w:r w:rsidR="002E2524">
        <w:rPr>
          <w:rFonts w:asciiTheme="majorBidi" w:hAnsiTheme="majorBidi" w:cstheme="majorBidi"/>
          <w:i/>
          <w:iCs/>
          <w:sz w:val="24"/>
          <w:szCs w:val="24"/>
          <w:lang w:val="sv-SE"/>
        </w:rPr>
        <w:t>Siyāsah</w:t>
      </w:r>
      <w:r w:rsidRPr="00CF3C0F">
        <w:rPr>
          <w:rFonts w:asciiTheme="majorBidi" w:hAnsiTheme="majorBidi" w:cstheme="majorBidi"/>
          <w:i/>
          <w:iCs/>
          <w:sz w:val="24"/>
          <w:szCs w:val="24"/>
          <w:lang w:val="sv-SE"/>
        </w:rPr>
        <w:t>, Termonologi dan Lintas sejarah Politik Islam Sejak Muhammad Saw hingga khulafa Al-Rasyidun</w:t>
      </w:r>
      <w:r w:rsidR="005068C0" w:rsidRPr="00CF3C0F">
        <w:rPr>
          <w:rFonts w:asciiTheme="majorBidi" w:hAnsiTheme="majorBidi" w:cstheme="majorBidi"/>
          <w:i/>
          <w:iCs/>
          <w:sz w:val="24"/>
          <w:szCs w:val="24"/>
          <w:lang w:val="sv-SE"/>
        </w:rPr>
        <w:t>.</w:t>
      </w:r>
      <w:r w:rsidR="008B3EE2" w:rsidRPr="00CF3C0F">
        <w:rPr>
          <w:rFonts w:asciiTheme="majorBidi" w:hAnsiTheme="majorBidi" w:cstheme="majorBidi"/>
          <w:sz w:val="24"/>
          <w:szCs w:val="24"/>
          <w:lang w:val="sv-SE"/>
        </w:rPr>
        <w:t xml:space="preserve"> </w:t>
      </w:r>
      <w:r w:rsidR="005068C0" w:rsidRPr="00CF3C0F">
        <w:rPr>
          <w:rFonts w:asciiTheme="majorBidi" w:hAnsiTheme="majorBidi" w:cstheme="majorBidi"/>
          <w:sz w:val="24"/>
          <w:szCs w:val="24"/>
          <w:lang w:val="sv-SE"/>
        </w:rPr>
        <w:t xml:space="preserve">Dalam buku ini </w:t>
      </w:r>
      <w:r w:rsidR="00F709DD" w:rsidRPr="00CF3C0F">
        <w:rPr>
          <w:rFonts w:asciiTheme="majorBidi" w:hAnsiTheme="majorBidi" w:cstheme="majorBidi"/>
          <w:sz w:val="24"/>
          <w:szCs w:val="24"/>
          <w:lang w:val="sv-SE"/>
        </w:rPr>
        <w:t>penulisnya memuat lima bab pembahasan, bab pertama membahasa kar</w:t>
      </w:r>
      <w:r w:rsidR="002E2524">
        <w:rPr>
          <w:rFonts w:asciiTheme="majorBidi" w:hAnsiTheme="majorBidi" w:cstheme="majorBidi"/>
          <w:sz w:val="24"/>
          <w:szCs w:val="24"/>
          <w:lang w:val="sv-SE"/>
        </w:rPr>
        <w:t>akteristik Fiqh si</w:t>
      </w:r>
      <w:r w:rsidR="00F709DD" w:rsidRPr="00CF3C0F">
        <w:rPr>
          <w:rFonts w:asciiTheme="majorBidi" w:hAnsiTheme="majorBidi" w:cstheme="majorBidi"/>
          <w:sz w:val="24"/>
          <w:szCs w:val="24"/>
          <w:lang w:val="sv-SE"/>
        </w:rPr>
        <w:t xml:space="preserve">yasah, kemudian Manfaat fiqh </w:t>
      </w:r>
      <w:r w:rsidR="00881BDC">
        <w:rPr>
          <w:rFonts w:asciiTheme="majorBidi" w:hAnsiTheme="majorBidi" w:cstheme="majorBidi"/>
          <w:sz w:val="24"/>
          <w:szCs w:val="24"/>
          <w:lang w:val="sv-SE"/>
        </w:rPr>
        <w:t xml:space="preserve">siyāsah </w:t>
      </w:r>
      <w:r w:rsidR="00F709DD" w:rsidRPr="00CF3C0F">
        <w:rPr>
          <w:rFonts w:asciiTheme="majorBidi" w:hAnsiTheme="majorBidi" w:cstheme="majorBidi"/>
          <w:sz w:val="24"/>
          <w:szCs w:val="24"/>
          <w:lang w:val="sv-SE"/>
        </w:rPr>
        <w:t xml:space="preserve"> dan hubungannya de</w:t>
      </w:r>
      <w:r w:rsidR="002E2524">
        <w:rPr>
          <w:rFonts w:asciiTheme="majorBidi" w:hAnsiTheme="majorBidi" w:cstheme="majorBidi"/>
          <w:sz w:val="24"/>
          <w:szCs w:val="24"/>
          <w:lang w:val="sv-SE"/>
        </w:rPr>
        <w:t>ngan ilmu lain, nilai dasar fiqh si</w:t>
      </w:r>
      <w:r w:rsidR="00F709DD" w:rsidRPr="00CF3C0F">
        <w:rPr>
          <w:rFonts w:asciiTheme="majorBidi" w:hAnsiTheme="majorBidi" w:cstheme="majorBidi"/>
          <w:sz w:val="24"/>
          <w:szCs w:val="24"/>
          <w:lang w:val="sv-SE"/>
        </w:rPr>
        <w:t xml:space="preserve">yasah, </w:t>
      </w:r>
      <w:r w:rsidR="00881BDC">
        <w:rPr>
          <w:rFonts w:asciiTheme="majorBidi" w:hAnsiTheme="majorBidi" w:cstheme="majorBidi"/>
          <w:sz w:val="24"/>
          <w:szCs w:val="24"/>
          <w:lang w:val="sv-SE"/>
        </w:rPr>
        <w:t xml:space="preserve">siyāsah </w:t>
      </w:r>
      <w:r w:rsidR="00F709DD" w:rsidRPr="00CF3C0F">
        <w:rPr>
          <w:rFonts w:asciiTheme="majorBidi" w:hAnsiTheme="majorBidi" w:cstheme="majorBidi"/>
          <w:sz w:val="24"/>
          <w:szCs w:val="24"/>
          <w:lang w:val="sv-SE"/>
        </w:rPr>
        <w:t xml:space="preserve"> </w:t>
      </w:r>
      <w:r w:rsidR="00CC1D08">
        <w:rPr>
          <w:rFonts w:asciiTheme="majorBidi" w:hAnsiTheme="majorBidi" w:cstheme="majorBidi"/>
          <w:sz w:val="24"/>
          <w:szCs w:val="24"/>
          <w:lang w:val="sv-SE"/>
        </w:rPr>
        <w:t>Syar‘iyah</w:t>
      </w:r>
      <w:r w:rsidR="00F709DD" w:rsidRPr="00CF3C0F">
        <w:rPr>
          <w:rFonts w:asciiTheme="majorBidi" w:hAnsiTheme="majorBidi" w:cstheme="majorBidi"/>
          <w:sz w:val="24"/>
          <w:szCs w:val="24"/>
          <w:lang w:val="sv-SE"/>
        </w:rPr>
        <w:t xml:space="preserve"> dalam perspektif sejarah dan ditutup dengan pembahasan terakhir yaitu pemerintahan Islam pada masa Al-Khulafa Ar-Rasyidun.</w:t>
      </w:r>
      <w:r w:rsidR="008B3EE2" w:rsidRPr="00CF3C0F">
        <w:rPr>
          <w:rStyle w:val="FootnoteReference"/>
          <w:rFonts w:asciiTheme="majorBidi" w:hAnsiTheme="majorBidi" w:cstheme="majorBidi"/>
          <w:sz w:val="24"/>
          <w:szCs w:val="24"/>
          <w:lang w:val="sv-SE"/>
        </w:rPr>
        <w:footnoteReference w:id="79"/>
      </w:r>
    </w:p>
    <w:p w:rsidR="00F02465" w:rsidRPr="00AA7556" w:rsidRDefault="00AC43B8" w:rsidP="00AA7556">
      <w:pPr>
        <w:spacing w:line="360" w:lineRule="auto"/>
        <w:ind w:firstLine="810"/>
        <w:jc w:val="both"/>
        <w:rPr>
          <w:rFonts w:asciiTheme="majorBidi" w:hAnsiTheme="majorBidi" w:cstheme="majorBidi"/>
          <w:sz w:val="24"/>
          <w:szCs w:val="24"/>
          <w:lang w:val="sv-SE"/>
        </w:rPr>
      </w:pPr>
      <w:r w:rsidRPr="0084470C">
        <w:rPr>
          <w:rFonts w:asciiTheme="majorBidi" w:hAnsiTheme="majorBidi" w:cstheme="majorBidi"/>
          <w:sz w:val="24"/>
          <w:szCs w:val="24"/>
          <w:lang w:val="sv-SE"/>
        </w:rPr>
        <w:t>Dari upaya menghimpun beberapa tulisan sebagaimana dipaparkan diata</w:t>
      </w:r>
      <w:r>
        <w:rPr>
          <w:rFonts w:asciiTheme="majorBidi" w:hAnsiTheme="majorBidi" w:cstheme="majorBidi"/>
          <w:sz w:val="24"/>
          <w:szCs w:val="24"/>
          <w:lang w:val="sv-SE"/>
        </w:rPr>
        <w:t>s, penulis belum menemukan suat</w:t>
      </w:r>
      <w:r w:rsidRPr="0084470C">
        <w:rPr>
          <w:rFonts w:asciiTheme="majorBidi" w:hAnsiTheme="majorBidi" w:cstheme="majorBidi"/>
          <w:sz w:val="24"/>
          <w:szCs w:val="24"/>
          <w:lang w:val="sv-SE"/>
        </w:rPr>
        <w:t>u tulisan yang secara khusus dan mendalam mengupas tentang</w:t>
      </w:r>
      <w:r w:rsidR="003731CC">
        <w:rPr>
          <w:rFonts w:asciiTheme="majorBidi" w:hAnsiTheme="majorBidi" w:cstheme="majorBidi"/>
          <w:sz w:val="24"/>
          <w:szCs w:val="24"/>
          <w:lang w:val="sv-SE"/>
        </w:rPr>
        <w:t xml:space="preserve"> </w:t>
      </w:r>
      <w:r w:rsidRPr="0025010D">
        <w:rPr>
          <w:rFonts w:ascii="Times New Roman" w:hAnsi="Times New Roman" w:cs="Times New Roman"/>
          <w:sz w:val="24"/>
          <w:szCs w:val="24"/>
          <w:lang w:val="sv-SE"/>
        </w:rPr>
        <w:t>”</w:t>
      </w:r>
      <w:r w:rsidR="003731CC">
        <w:rPr>
          <w:rFonts w:ascii="Times New Roman" w:hAnsi="Times New Roman" w:cs="Times New Roman"/>
          <w:sz w:val="24"/>
          <w:szCs w:val="24"/>
          <w:lang w:val="sv-SE"/>
        </w:rPr>
        <w:t xml:space="preserve"> </w:t>
      </w:r>
      <w:r w:rsidR="003731CC" w:rsidRPr="007E6AC9">
        <w:rPr>
          <w:rFonts w:asciiTheme="majorBidi" w:hAnsiTheme="majorBidi" w:cstheme="majorBidi"/>
          <w:sz w:val="24"/>
          <w:szCs w:val="24"/>
          <w:lang w:val="sv-SE"/>
        </w:rPr>
        <w:t xml:space="preserve">Fatwa Majelis Ulama Indonesia </w:t>
      </w:r>
      <w:r w:rsidR="003731CC">
        <w:rPr>
          <w:rFonts w:asciiTheme="majorBidi" w:hAnsiTheme="majorBidi" w:cstheme="majorBidi"/>
          <w:sz w:val="24"/>
          <w:szCs w:val="24"/>
          <w:lang w:val="sv-SE"/>
        </w:rPr>
        <w:t xml:space="preserve">Dan </w:t>
      </w:r>
      <w:r w:rsidR="003731CC" w:rsidRPr="007E6AC9">
        <w:rPr>
          <w:rFonts w:asciiTheme="majorBidi" w:hAnsiTheme="majorBidi" w:cstheme="majorBidi"/>
          <w:sz w:val="24"/>
          <w:szCs w:val="24"/>
          <w:lang w:val="sv-SE"/>
        </w:rPr>
        <w:t>Pembaruan Hukum Keluarga</w:t>
      </w:r>
      <w:r w:rsidR="003731CC">
        <w:rPr>
          <w:rFonts w:asciiTheme="majorBidi" w:hAnsiTheme="majorBidi" w:cstheme="majorBidi"/>
          <w:sz w:val="24"/>
          <w:szCs w:val="24"/>
          <w:lang w:val="sv-SE"/>
        </w:rPr>
        <w:t xml:space="preserve"> Islam</w:t>
      </w:r>
      <w:r w:rsidR="003731CC" w:rsidRPr="007E6AC9">
        <w:rPr>
          <w:rFonts w:asciiTheme="majorBidi" w:hAnsiTheme="majorBidi" w:cstheme="majorBidi"/>
          <w:sz w:val="24"/>
          <w:szCs w:val="24"/>
          <w:lang w:val="sv-SE"/>
        </w:rPr>
        <w:t xml:space="preserve"> (Studi Perspektif </w:t>
      </w:r>
      <w:r w:rsidR="003731CC" w:rsidRPr="00AA7556">
        <w:rPr>
          <w:rFonts w:asciiTheme="majorBidi" w:hAnsiTheme="majorBidi" w:cstheme="majorBidi"/>
          <w:i/>
          <w:iCs/>
          <w:sz w:val="24"/>
          <w:szCs w:val="24"/>
          <w:lang w:val="sv-SE"/>
        </w:rPr>
        <w:t xml:space="preserve">Siyāsah  </w:t>
      </w:r>
      <w:r w:rsidR="00CC1D08" w:rsidRPr="00AA7556">
        <w:rPr>
          <w:rFonts w:asciiTheme="majorBidi" w:hAnsiTheme="majorBidi" w:cstheme="majorBidi"/>
          <w:i/>
          <w:iCs/>
          <w:sz w:val="24"/>
          <w:szCs w:val="24"/>
          <w:lang w:val="sv-SE"/>
        </w:rPr>
        <w:t>Syar‘i</w:t>
      </w:r>
      <w:r w:rsidR="00AA7556" w:rsidRPr="00AA7556">
        <w:rPr>
          <w:rFonts w:asciiTheme="majorBidi" w:hAnsiTheme="majorBidi" w:cstheme="majorBidi"/>
          <w:i/>
          <w:iCs/>
          <w:sz w:val="24"/>
          <w:szCs w:val="24"/>
          <w:lang w:val="sv-SE"/>
        </w:rPr>
        <w:t>y</w:t>
      </w:r>
      <w:r w:rsidR="00CC1D08" w:rsidRPr="00AA7556">
        <w:rPr>
          <w:rFonts w:asciiTheme="majorBidi" w:hAnsiTheme="majorBidi" w:cstheme="majorBidi"/>
          <w:i/>
          <w:iCs/>
          <w:sz w:val="24"/>
          <w:szCs w:val="24"/>
          <w:lang w:val="sv-SE"/>
        </w:rPr>
        <w:t>yah</w:t>
      </w:r>
      <w:r w:rsidR="003731CC" w:rsidRPr="007E6AC9">
        <w:rPr>
          <w:rFonts w:asciiTheme="majorBidi" w:hAnsiTheme="majorBidi" w:cstheme="majorBidi"/>
          <w:sz w:val="24"/>
          <w:szCs w:val="24"/>
          <w:lang w:val="sv-SE"/>
        </w:rPr>
        <w:t>)</w:t>
      </w:r>
      <w:r w:rsidR="003731CC">
        <w:rPr>
          <w:rFonts w:asciiTheme="majorBidi" w:hAnsiTheme="majorBidi" w:cstheme="majorBidi"/>
          <w:sz w:val="24"/>
          <w:szCs w:val="24"/>
          <w:lang w:val="sv-SE"/>
        </w:rPr>
        <w:t xml:space="preserve">” </w:t>
      </w:r>
      <w:r w:rsidR="001F5A87">
        <w:rPr>
          <w:rFonts w:asciiTheme="majorBidi" w:hAnsiTheme="majorBidi" w:cstheme="majorBidi"/>
          <w:sz w:val="24"/>
          <w:szCs w:val="24"/>
          <w:lang w:val="sv-SE"/>
        </w:rPr>
        <w:t xml:space="preserve">Jadi perbedaan penelitian ini dengan penelitian sebelumnya adalah; </w:t>
      </w:r>
      <w:r w:rsidR="001F5A87" w:rsidRPr="001F5A87">
        <w:rPr>
          <w:rFonts w:asciiTheme="majorBidi" w:hAnsiTheme="majorBidi" w:cstheme="majorBidi"/>
          <w:i/>
          <w:iCs/>
          <w:sz w:val="24"/>
          <w:szCs w:val="24"/>
          <w:lang w:val="sv-SE"/>
        </w:rPr>
        <w:t>pertama</w:t>
      </w:r>
      <w:r w:rsidR="001F5A87">
        <w:rPr>
          <w:rFonts w:asciiTheme="majorBidi" w:hAnsiTheme="majorBidi" w:cstheme="majorBidi"/>
          <w:sz w:val="24"/>
          <w:szCs w:val="24"/>
          <w:lang w:val="sv-SE"/>
        </w:rPr>
        <w:t>, da</w:t>
      </w:r>
      <w:r w:rsidR="00BE7E09">
        <w:rPr>
          <w:rFonts w:asciiTheme="majorBidi" w:hAnsiTheme="majorBidi" w:cstheme="majorBidi"/>
          <w:sz w:val="24"/>
          <w:szCs w:val="24"/>
          <w:lang w:val="sv-SE"/>
        </w:rPr>
        <w:t>lam penelitian ini alat analisa</w:t>
      </w:r>
      <w:r w:rsidR="001F5A87">
        <w:rPr>
          <w:rFonts w:asciiTheme="majorBidi" w:hAnsiTheme="majorBidi" w:cstheme="majorBidi"/>
          <w:sz w:val="24"/>
          <w:szCs w:val="24"/>
          <w:lang w:val="sv-SE"/>
        </w:rPr>
        <w:t xml:space="preserve"> ya</w:t>
      </w:r>
      <w:r w:rsidR="00AA7556">
        <w:rPr>
          <w:rFonts w:asciiTheme="majorBidi" w:hAnsiTheme="majorBidi" w:cstheme="majorBidi"/>
          <w:sz w:val="24"/>
          <w:szCs w:val="24"/>
          <w:lang w:val="sv-SE"/>
        </w:rPr>
        <w:t xml:space="preserve">ng dipakai adalah perspektif </w:t>
      </w:r>
      <w:r w:rsidR="00AA7556" w:rsidRPr="00AA7556">
        <w:rPr>
          <w:rFonts w:asciiTheme="majorBidi" w:hAnsiTheme="majorBidi" w:cstheme="majorBidi"/>
          <w:i/>
          <w:iCs/>
          <w:sz w:val="24"/>
          <w:szCs w:val="24"/>
          <w:lang w:val="sv-SE"/>
        </w:rPr>
        <w:t>si</w:t>
      </w:r>
      <w:r w:rsidR="00AA7556">
        <w:rPr>
          <w:rFonts w:asciiTheme="majorBidi" w:hAnsiTheme="majorBidi" w:cstheme="majorBidi"/>
          <w:i/>
          <w:iCs/>
          <w:sz w:val="24"/>
          <w:szCs w:val="24"/>
          <w:lang w:val="sv-SE"/>
        </w:rPr>
        <w:t xml:space="preserve">yasah </w:t>
      </w:r>
      <w:r w:rsidR="00CC1D08" w:rsidRPr="00AA7556">
        <w:rPr>
          <w:rFonts w:asciiTheme="majorBidi" w:hAnsiTheme="majorBidi" w:cstheme="majorBidi"/>
          <w:i/>
          <w:iCs/>
          <w:sz w:val="24"/>
          <w:szCs w:val="24"/>
          <w:lang w:val="sv-SE"/>
        </w:rPr>
        <w:t>syar‘i</w:t>
      </w:r>
      <w:r w:rsidR="00AA7556" w:rsidRPr="00AA7556">
        <w:rPr>
          <w:rFonts w:asciiTheme="majorBidi" w:hAnsiTheme="majorBidi" w:cstheme="majorBidi"/>
          <w:i/>
          <w:iCs/>
          <w:sz w:val="24"/>
          <w:szCs w:val="24"/>
          <w:lang w:val="sv-SE"/>
        </w:rPr>
        <w:t>y</w:t>
      </w:r>
      <w:r w:rsidR="00CC1D08" w:rsidRPr="00AA7556">
        <w:rPr>
          <w:rFonts w:asciiTheme="majorBidi" w:hAnsiTheme="majorBidi" w:cstheme="majorBidi"/>
          <w:i/>
          <w:iCs/>
          <w:sz w:val="24"/>
          <w:szCs w:val="24"/>
          <w:lang w:val="sv-SE"/>
        </w:rPr>
        <w:t>yah</w:t>
      </w:r>
      <w:r w:rsidR="000161CF">
        <w:rPr>
          <w:rFonts w:asciiTheme="majorBidi" w:hAnsiTheme="majorBidi" w:cstheme="majorBidi"/>
          <w:sz w:val="24"/>
          <w:szCs w:val="24"/>
          <w:lang w:val="sv-SE"/>
        </w:rPr>
        <w:t xml:space="preserve"> dimana</w:t>
      </w:r>
      <w:r w:rsidR="001F5A87">
        <w:rPr>
          <w:rFonts w:asciiTheme="majorBidi" w:hAnsiTheme="majorBidi" w:cstheme="majorBidi"/>
          <w:sz w:val="24"/>
          <w:szCs w:val="24"/>
          <w:lang w:val="sv-SE"/>
        </w:rPr>
        <w:t xml:space="preserve"> maslahat merupakan salah satu kajiannya</w:t>
      </w:r>
      <w:r w:rsidR="001F5A87" w:rsidRPr="001F5A87">
        <w:rPr>
          <w:rFonts w:asciiTheme="majorBidi" w:hAnsiTheme="majorBidi" w:cstheme="majorBidi"/>
          <w:i/>
          <w:iCs/>
          <w:sz w:val="24"/>
          <w:szCs w:val="24"/>
          <w:lang w:val="sv-SE"/>
        </w:rPr>
        <w:t>. Kedua</w:t>
      </w:r>
      <w:r w:rsidR="001F5A87">
        <w:rPr>
          <w:rFonts w:asciiTheme="majorBidi" w:hAnsiTheme="majorBidi" w:cstheme="majorBidi"/>
          <w:sz w:val="24"/>
          <w:szCs w:val="24"/>
          <w:lang w:val="sv-SE"/>
        </w:rPr>
        <w:t>, fatwa yang dikaji dalam penelitian ini khusus hukum keluarga dimana belum dikaji pada penelitian sebelumnya, sepert</w:t>
      </w:r>
      <w:r w:rsidR="001446E1">
        <w:rPr>
          <w:rFonts w:asciiTheme="majorBidi" w:hAnsiTheme="majorBidi" w:cstheme="majorBidi"/>
          <w:sz w:val="24"/>
          <w:szCs w:val="24"/>
          <w:lang w:val="sv-SE"/>
        </w:rPr>
        <w:t>i fatwa cerai diluar pengadilan, fatwa status anak diluar nikah, dll.</w:t>
      </w:r>
      <w:r w:rsidR="00CC7850">
        <w:rPr>
          <w:rFonts w:asciiTheme="majorBidi" w:hAnsiTheme="majorBidi" w:cstheme="majorBidi"/>
          <w:sz w:val="24"/>
          <w:szCs w:val="24"/>
          <w:lang w:val="sv-SE"/>
        </w:rPr>
        <w:t xml:space="preserve"> </w:t>
      </w:r>
      <w:r w:rsidRPr="00692494">
        <w:rPr>
          <w:rFonts w:asciiTheme="majorBidi" w:hAnsiTheme="majorBidi" w:cstheme="majorBidi"/>
          <w:sz w:val="24"/>
          <w:szCs w:val="24"/>
          <w:lang w:val="sv-SE"/>
        </w:rPr>
        <w:t xml:space="preserve">Dengan dimikian, </w:t>
      </w:r>
      <w:r>
        <w:rPr>
          <w:rFonts w:asciiTheme="majorBidi" w:hAnsiTheme="majorBidi" w:cstheme="majorBidi"/>
          <w:sz w:val="24"/>
          <w:szCs w:val="24"/>
          <w:lang w:val="sv-SE"/>
        </w:rPr>
        <w:t>judul</w:t>
      </w:r>
      <w:r w:rsidRPr="00692494">
        <w:rPr>
          <w:rFonts w:asciiTheme="majorBidi" w:hAnsiTheme="majorBidi" w:cstheme="majorBidi"/>
          <w:sz w:val="24"/>
          <w:szCs w:val="24"/>
          <w:lang w:val="sv-SE"/>
        </w:rPr>
        <w:t xml:space="preserve"> ini </w:t>
      </w:r>
      <w:r>
        <w:rPr>
          <w:rFonts w:asciiTheme="majorBidi" w:hAnsiTheme="majorBidi" w:cstheme="majorBidi"/>
          <w:sz w:val="24"/>
          <w:szCs w:val="24"/>
          <w:lang w:val="sv-SE"/>
        </w:rPr>
        <w:t>layak untuk diajukan sebagai sebuah penelitian.</w:t>
      </w:r>
    </w:p>
    <w:p w:rsidR="00BC41DD" w:rsidRPr="00026814" w:rsidRDefault="00BC41DD" w:rsidP="00A33E46">
      <w:pPr>
        <w:pStyle w:val="ListParagraph"/>
        <w:numPr>
          <w:ilvl w:val="0"/>
          <w:numId w:val="9"/>
        </w:numPr>
        <w:spacing w:after="0" w:line="360" w:lineRule="auto"/>
        <w:ind w:left="360"/>
        <w:jc w:val="both"/>
        <w:rPr>
          <w:rFonts w:asciiTheme="majorBidi" w:hAnsiTheme="majorBidi" w:cstheme="majorBidi"/>
          <w:b/>
          <w:bCs/>
          <w:sz w:val="24"/>
          <w:szCs w:val="24"/>
          <w:lang w:val="sv-SE"/>
        </w:rPr>
      </w:pPr>
      <w:r w:rsidRPr="00026814">
        <w:rPr>
          <w:rFonts w:asciiTheme="majorBidi" w:hAnsiTheme="majorBidi" w:cstheme="majorBidi"/>
          <w:b/>
          <w:bCs/>
          <w:sz w:val="24"/>
          <w:szCs w:val="24"/>
          <w:lang w:val="sv-SE"/>
        </w:rPr>
        <w:t>Kerangka Pikir</w:t>
      </w:r>
    </w:p>
    <w:p w:rsidR="00FC0022" w:rsidRPr="00FC0022" w:rsidRDefault="00C042AF" w:rsidP="00FE6378">
      <w:pPr>
        <w:pStyle w:val="ListParagraph"/>
        <w:spacing w:after="0" w:line="360" w:lineRule="auto"/>
        <w:ind w:left="0" w:firstLine="720"/>
        <w:jc w:val="both"/>
        <w:rPr>
          <w:rFonts w:asciiTheme="majorBidi" w:hAnsiTheme="majorBidi" w:cstheme="majorBidi"/>
          <w:sz w:val="24"/>
          <w:szCs w:val="24"/>
          <w:lang w:val="sv-SE"/>
        </w:rPr>
      </w:pPr>
      <w:r>
        <w:rPr>
          <w:rFonts w:asciiTheme="majorBidi" w:hAnsiTheme="majorBidi" w:cstheme="majorBidi"/>
          <w:sz w:val="24"/>
          <w:szCs w:val="24"/>
          <w:lang w:val="sv-SE"/>
        </w:rPr>
        <w:t>Di</w:t>
      </w:r>
      <w:r w:rsidR="006C415B">
        <w:rPr>
          <w:rFonts w:asciiTheme="majorBidi" w:hAnsiTheme="majorBidi" w:cstheme="majorBidi"/>
          <w:sz w:val="24"/>
          <w:szCs w:val="24"/>
          <w:lang w:val="sv-SE"/>
        </w:rPr>
        <w:t xml:space="preserve"> </w:t>
      </w:r>
      <w:r w:rsidR="00E951B4">
        <w:rPr>
          <w:rFonts w:asciiTheme="majorBidi" w:hAnsiTheme="majorBidi" w:cstheme="majorBidi"/>
          <w:sz w:val="24"/>
          <w:szCs w:val="24"/>
          <w:lang w:val="sv-SE"/>
        </w:rPr>
        <w:t xml:space="preserve">atas telah dijelaskan bahwa pokok masalah yang hendak dijadikan kajian dalam penelitian ini adalah </w:t>
      </w:r>
      <w:r w:rsidR="001F7990" w:rsidRPr="001F7990">
        <w:rPr>
          <w:rFonts w:asciiTheme="majorBidi" w:hAnsiTheme="majorBidi" w:cstheme="majorBidi"/>
          <w:sz w:val="24"/>
          <w:szCs w:val="24"/>
          <w:lang w:val="sv-SE"/>
        </w:rPr>
        <w:t xml:space="preserve">fatwa </w:t>
      </w:r>
      <w:r w:rsidR="001F7990">
        <w:rPr>
          <w:rFonts w:asciiTheme="majorBidi" w:hAnsiTheme="majorBidi" w:cstheme="majorBidi"/>
          <w:sz w:val="24"/>
          <w:szCs w:val="24"/>
          <w:lang w:val="sv-SE"/>
        </w:rPr>
        <w:t xml:space="preserve">hukum keluarga yang dikeluarkan </w:t>
      </w:r>
      <w:r w:rsidR="007D72F5">
        <w:rPr>
          <w:rFonts w:asciiTheme="majorBidi" w:hAnsiTheme="majorBidi" w:cstheme="majorBidi"/>
          <w:sz w:val="24"/>
          <w:szCs w:val="24"/>
          <w:lang w:val="sv-SE"/>
        </w:rPr>
        <w:t>oleh lembaga yang mendapat otoritas b</w:t>
      </w:r>
      <w:r w:rsidR="00F9379E">
        <w:rPr>
          <w:rFonts w:asciiTheme="majorBidi" w:hAnsiTheme="majorBidi" w:cstheme="majorBidi"/>
          <w:sz w:val="24"/>
          <w:szCs w:val="24"/>
          <w:lang w:val="sv-SE"/>
        </w:rPr>
        <w:t>erfat</w:t>
      </w:r>
      <w:r w:rsidR="007D72F5">
        <w:rPr>
          <w:rFonts w:asciiTheme="majorBidi" w:hAnsiTheme="majorBidi" w:cstheme="majorBidi"/>
          <w:sz w:val="24"/>
          <w:szCs w:val="24"/>
          <w:lang w:val="sv-SE"/>
        </w:rPr>
        <w:t xml:space="preserve">wa yaitu Majelis Ulama </w:t>
      </w:r>
      <w:r w:rsidR="00F9379E">
        <w:rPr>
          <w:rFonts w:asciiTheme="majorBidi" w:hAnsiTheme="majorBidi" w:cstheme="majorBidi"/>
          <w:sz w:val="24"/>
          <w:szCs w:val="24"/>
          <w:lang w:val="sv-SE"/>
        </w:rPr>
        <w:t>I</w:t>
      </w:r>
      <w:r w:rsidR="00F54FE5">
        <w:rPr>
          <w:rFonts w:asciiTheme="majorBidi" w:hAnsiTheme="majorBidi" w:cstheme="majorBidi"/>
          <w:sz w:val="24"/>
          <w:szCs w:val="24"/>
          <w:lang w:val="sv-SE"/>
        </w:rPr>
        <w:t>ndonesia</w:t>
      </w:r>
      <w:r w:rsidR="00AA7556">
        <w:rPr>
          <w:rFonts w:asciiTheme="majorBidi" w:hAnsiTheme="majorBidi" w:cstheme="majorBidi"/>
          <w:sz w:val="24"/>
          <w:szCs w:val="24"/>
          <w:lang w:val="sv-SE"/>
        </w:rPr>
        <w:t>, dan studinya</w:t>
      </w:r>
      <w:r w:rsidR="00F54FE5">
        <w:rPr>
          <w:rFonts w:asciiTheme="majorBidi" w:hAnsiTheme="majorBidi" w:cstheme="majorBidi"/>
          <w:sz w:val="24"/>
          <w:szCs w:val="24"/>
          <w:lang w:val="sv-SE"/>
        </w:rPr>
        <w:t xml:space="preserve"> dalam perspektif </w:t>
      </w:r>
      <w:r w:rsidR="00881BDC">
        <w:rPr>
          <w:rFonts w:asciiTheme="majorBidi" w:hAnsiTheme="majorBidi" w:cstheme="majorBidi"/>
          <w:i/>
          <w:iCs/>
          <w:sz w:val="24"/>
          <w:szCs w:val="24"/>
          <w:lang w:val="sv-SE"/>
        </w:rPr>
        <w:t xml:space="preserve">siyāsah </w:t>
      </w:r>
      <w:r w:rsidR="00CC1D08">
        <w:rPr>
          <w:rFonts w:asciiTheme="majorBidi" w:hAnsiTheme="majorBidi" w:cstheme="majorBidi"/>
          <w:i/>
          <w:iCs/>
          <w:sz w:val="24"/>
          <w:szCs w:val="24"/>
          <w:lang w:val="sv-SE"/>
        </w:rPr>
        <w:t>syar‘i</w:t>
      </w:r>
      <w:r w:rsidR="00AA7556">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yah</w:t>
      </w:r>
      <w:r w:rsidR="007D72F5">
        <w:rPr>
          <w:rFonts w:asciiTheme="majorBidi" w:hAnsiTheme="majorBidi" w:cstheme="majorBidi"/>
          <w:sz w:val="24"/>
          <w:szCs w:val="24"/>
          <w:lang w:val="sv-SE"/>
        </w:rPr>
        <w:t xml:space="preserve">. </w:t>
      </w:r>
      <w:r w:rsidR="00FC0022" w:rsidRPr="00E951B4">
        <w:rPr>
          <w:rFonts w:asciiTheme="majorBidi" w:hAnsiTheme="majorBidi" w:cstheme="majorBidi"/>
          <w:sz w:val="24"/>
          <w:szCs w:val="24"/>
          <w:lang w:val="sv-SE"/>
        </w:rPr>
        <w:t>Definisi fatwa menurut Kamus Besar Bahasa Indonesia ada dua, yaitu:</w:t>
      </w:r>
      <w:r w:rsidR="00CB5DE7">
        <w:rPr>
          <w:rFonts w:asciiTheme="majorBidi" w:hAnsiTheme="majorBidi" w:cstheme="majorBidi"/>
          <w:sz w:val="24"/>
          <w:szCs w:val="24"/>
          <w:lang w:val="sv-SE"/>
        </w:rPr>
        <w:t xml:space="preserve"> </w:t>
      </w:r>
      <w:r w:rsidR="00FC0022" w:rsidRPr="00E951B4">
        <w:rPr>
          <w:rFonts w:asciiTheme="majorBidi" w:hAnsiTheme="majorBidi" w:cstheme="majorBidi"/>
          <w:sz w:val="24"/>
          <w:szCs w:val="24"/>
          <w:lang w:val="sv-SE"/>
        </w:rPr>
        <w:t xml:space="preserve">(1) jawaban berupa keputusan atau pendapat yang diberikan </w:t>
      </w:r>
      <w:r w:rsidR="00FC0022" w:rsidRPr="00FC0022">
        <w:rPr>
          <w:rFonts w:asciiTheme="majorBidi" w:hAnsiTheme="majorBidi" w:cstheme="majorBidi"/>
          <w:sz w:val="24"/>
          <w:szCs w:val="24"/>
          <w:lang w:val="sv-SE"/>
        </w:rPr>
        <w:t>oleh mufti/ahli te</w:t>
      </w:r>
      <w:r w:rsidR="006C415B">
        <w:rPr>
          <w:rFonts w:asciiTheme="majorBidi" w:hAnsiTheme="majorBidi" w:cstheme="majorBidi"/>
          <w:sz w:val="24"/>
          <w:szCs w:val="24"/>
          <w:lang w:val="sv-SE"/>
        </w:rPr>
        <w:t>ntang suatu masalah dan (2) nase</w:t>
      </w:r>
      <w:r w:rsidR="00FC0022" w:rsidRPr="00FC0022">
        <w:rPr>
          <w:rFonts w:asciiTheme="majorBidi" w:hAnsiTheme="majorBidi" w:cstheme="majorBidi"/>
          <w:sz w:val="24"/>
          <w:szCs w:val="24"/>
          <w:lang w:val="sv-SE"/>
        </w:rPr>
        <w:t xml:space="preserve">hat </w:t>
      </w:r>
      <w:r w:rsidR="00FC0022" w:rsidRPr="00FC0022">
        <w:rPr>
          <w:rFonts w:asciiTheme="majorBidi" w:hAnsiTheme="majorBidi" w:cstheme="majorBidi"/>
          <w:sz w:val="24"/>
          <w:szCs w:val="24"/>
          <w:lang w:val="sv-SE"/>
        </w:rPr>
        <w:lastRenderedPageBreak/>
        <w:t>orang alim, pelajaran baik, dan pituah.</w:t>
      </w:r>
      <w:r w:rsidR="00FC0022" w:rsidRPr="00E0760D">
        <w:rPr>
          <w:rStyle w:val="FootnoteReference"/>
          <w:rFonts w:asciiTheme="majorBidi" w:hAnsiTheme="majorBidi" w:cstheme="majorBidi"/>
          <w:sz w:val="24"/>
          <w:szCs w:val="24"/>
        </w:rPr>
        <w:footnoteReference w:id="80"/>
      </w:r>
      <w:r w:rsidR="00FC0022" w:rsidRPr="007D72F5">
        <w:rPr>
          <w:rFonts w:asciiTheme="majorBidi" w:hAnsiTheme="majorBidi" w:cstheme="majorBidi"/>
          <w:sz w:val="24"/>
          <w:szCs w:val="24"/>
          <w:lang w:val="sv-SE"/>
        </w:rPr>
        <w:t xml:space="preserve"> Fatwa dalam definisi klasik bersifat opsional ”</w:t>
      </w:r>
      <w:r w:rsidR="00FC0022" w:rsidRPr="007D72F5">
        <w:rPr>
          <w:rFonts w:asciiTheme="majorBidi" w:hAnsiTheme="majorBidi" w:cstheme="majorBidi"/>
          <w:i/>
          <w:iCs/>
          <w:sz w:val="24"/>
          <w:szCs w:val="24"/>
          <w:lang w:val="sv-SE"/>
        </w:rPr>
        <w:t>ikhtiy</w:t>
      </w:r>
      <w:r w:rsidR="00FE6378">
        <w:rPr>
          <w:rFonts w:asciiTheme="majorBidi" w:hAnsiTheme="majorBidi" w:cstheme="majorBidi"/>
          <w:i/>
          <w:iCs/>
          <w:sz w:val="24"/>
          <w:szCs w:val="24"/>
          <w:lang w:val="sv-SE"/>
        </w:rPr>
        <w:t>ā</w:t>
      </w:r>
      <w:r w:rsidR="00FC0022" w:rsidRPr="007D72F5">
        <w:rPr>
          <w:rFonts w:asciiTheme="majorBidi" w:hAnsiTheme="majorBidi" w:cstheme="majorBidi"/>
          <w:i/>
          <w:iCs/>
          <w:sz w:val="24"/>
          <w:szCs w:val="24"/>
          <w:lang w:val="sv-SE"/>
        </w:rPr>
        <w:t>riah</w:t>
      </w:r>
      <w:r w:rsidR="00FC0022" w:rsidRPr="007D72F5">
        <w:rPr>
          <w:rFonts w:asciiTheme="majorBidi" w:hAnsiTheme="majorBidi" w:cstheme="majorBidi"/>
          <w:sz w:val="24"/>
          <w:szCs w:val="24"/>
          <w:lang w:val="sv-SE"/>
        </w:rPr>
        <w:t xml:space="preserve">” (pilihan yang tidak mengikat secara legal, meskipun mengikat secara moral bagi </w:t>
      </w:r>
      <w:r w:rsidR="00FC0022" w:rsidRPr="007D72F5">
        <w:rPr>
          <w:rFonts w:asciiTheme="majorBidi" w:hAnsiTheme="majorBidi" w:cstheme="majorBidi"/>
          <w:i/>
          <w:iCs/>
          <w:sz w:val="24"/>
          <w:szCs w:val="24"/>
          <w:lang w:val="sv-SE"/>
        </w:rPr>
        <w:t>mustafti</w:t>
      </w:r>
      <w:r w:rsidR="00FC0022" w:rsidRPr="007D72F5">
        <w:rPr>
          <w:rFonts w:asciiTheme="majorBidi" w:hAnsiTheme="majorBidi" w:cstheme="majorBidi"/>
          <w:sz w:val="24"/>
          <w:szCs w:val="24"/>
          <w:lang w:val="sv-SE"/>
        </w:rPr>
        <w:t xml:space="preserve"> (pihak yang meminta fatwa), sedang</w:t>
      </w:r>
      <w:r w:rsidR="00C41881" w:rsidRPr="007D72F5">
        <w:rPr>
          <w:rFonts w:asciiTheme="majorBidi" w:hAnsiTheme="majorBidi" w:cstheme="majorBidi"/>
          <w:sz w:val="24"/>
          <w:szCs w:val="24"/>
          <w:lang w:val="sv-SE"/>
        </w:rPr>
        <w:t xml:space="preserve"> bagi selain mustafti bersifat </w:t>
      </w:r>
      <w:r w:rsidR="003A721D" w:rsidRPr="007D72F5">
        <w:rPr>
          <w:rFonts w:asciiTheme="majorBidi" w:hAnsiTheme="majorBidi" w:cstheme="majorBidi"/>
          <w:sz w:val="24"/>
          <w:szCs w:val="24"/>
          <w:lang w:val="sv-SE"/>
        </w:rPr>
        <w:t>’</w:t>
      </w:r>
      <w:r w:rsidR="003A721D" w:rsidRPr="007D72F5">
        <w:rPr>
          <w:rFonts w:asciiTheme="majorBidi" w:hAnsiTheme="majorBidi" w:cstheme="majorBidi"/>
          <w:i/>
          <w:iCs/>
          <w:sz w:val="24"/>
          <w:szCs w:val="24"/>
          <w:lang w:val="sv-SE"/>
        </w:rPr>
        <w:t>i</w:t>
      </w:r>
      <w:r w:rsidR="00FC0022" w:rsidRPr="007D72F5">
        <w:rPr>
          <w:rFonts w:asciiTheme="majorBidi" w:hAnsiTheme="majorBidi" w:cstheme="majorBidi"/>
          <w:i/>
          <w:iCs/>
          <w:sz w:val="24"/>
          <w:szCs w:val="24"/>
          <w:lang w:val="sv-SE"/>
        </w:rPr>
        <w:t>l</w:t>
      </w:r>
      <w:r w:rsidR="00FE6378">
        <w:rPr>
          <w:rFonts w:asciiTheme="majorBidi" w:hAnsiTheme="majorBidi" w:cstheme="majorBidi"/>
          <w:i/>
          <w:iCs/>
          <w:sz w:val="24"/>
          <w:szCs w:val="24"/>
          <w:lang w:val="sv-SE"/>
        </w:rPr>
        <w:t>ā</w:t>
      </w:r>
      <w:r w:rsidR="00FC0022" w:rsidRPr="007D72F5">
        <w:rPr>
          <w:rFonts w:asciiTheme="majorBidi" w:hAnsiTheme="majorBidi" w:cstheme="majorBidi"/>
          <w:i/>
          <w:iCs/>
          <w:sz w:val="24"/>
          <w:szCs w:val="24"/>
          <w:lang w:val="sv-SE"/>
        </w:rPr>
        <w:t>miyah</w:t>
      </w:r>
      <w:r w:rsidR="00FC0022" w:rsidRPr="007D72F5">
        <w:rPr>
          <w:rFonts w:asciiTheme="majorBidi" w:hAnsiTheme="majorBidi" w:cstheme="majorBidi"/>
          <w:sz w:val="24"/>
          <w:szCs w:val="24"/>
          <w:lang w:val="sv-SE"/>
        </w:rPr>
        <w:t xml:space="preserve"> atau informatif yang lebih dari sekedar wacana. </w:t>
      </w:r>
      <w:r w:rsidR="00FC0022" w:rsidRPr="00E0760D">
        <w:rPr>
          <w:rFonts w:asciiTheme="majorBidi" w:hAnsiTheme="majorBidi" w:cstheme="majorBidi"/>
          <w:sz w:val="24"/>
          <w:szCs w:val="24"/>
        </w:rPr>
        <w:t xml:space="preserve">Mereka terbuka untuk mengambil fatwa yang sama </w:t>
      </w:r>
      <w:r w:rsidR="00C41881">
        <w:rPr>
          <w:rFonts w:asciiTheme="majorBidi" w:hAnsiTheme="majorBidi" w:cstheme="majorBidi"/>
          <w:sz w:val="24"/>
          <w:szCs w:val="24"/>
        </w:rPr>
        <w:t>atau meminta fatwa kepada mufti</w:t>
      </w:r>
      <w:r w:rsidR="00FC0022" w:rsidRPr="00E0760D">
        <w:rPr>
          <w:rFonts w:asciiTheme="majorBidi" w:hAnsiTheme="majorBidi" w:cstheme="majorBidi"/>
          <w:sz w:val="24"/>
          <w:szCs w:val="24"/>
        </w:rPr>
        <w:t xml:space="preserve"> yang lain.</w:t>
      </w:r>
      <w:r w:rsidR="00FC0022" w:rsidRPr="00E0760D">
        <w:rPr>
          <w:rStyle w:val="FootnoteReference"/>
          <w:rFonts w:asciiTheme="majorBidi" w:hAnsiTheme="majorBidi" w:cstheme="majorBidi"/>
          <w:sz w:val="24"/>
          <w:szCs w:val="24"/>
        </w:rPr>
        <w:footnoteReference w:id="81"/>
      </w:r>
    </w:p>
    <w:p w:rsidR="001921CF" w:rsidRPr="00AA7556" w:rsidRDefault="00FC0022" w:rsidP="00907A80">
      <w:pPr>
        <w:pStyle w:val="ListParagraph"/>
        <w:spacing w:line="360" w:lineRule="auto"/>
        <w:ind w:left="0" w:firstLine="540"/>
        <w:jc w:val="both"/>
        <w:rPr>
          <w:rFonts w:asciiTheme="majorBidi" w:hAnsiTheme="majorBidi" w:cstheme="majorBidi"/>
        </w:rPr>
      </w:pPr>
      <w:r w:rsidRPr="00806AB4">
        <w:rPr>
          <w:rFonts w:asciiTheme="majorBidi" w:hAnsiTheme="majorBidi" w:cstheme="majorBidi"/>
          <w:sz w:val="24"/>
          <w:szCs w:val="24"/>
        </w:rPr>
        <w:t xml:space="preserve">Fatwa adalah jawaban resmi terhadap pertanyaan dan persoalan yang menyangkut masalah hukum. Fatwa berasal dari kata bahasa </w:t>
      </w:r>
      <w:r w:rsidR="00AA7556" w:rsidRPr="00806AB4">
        <w:rPr>
          <w:rFonts w:asciiTheme="majorBidi" w:hAnsiTheme="majorBidi" w:cstheme="majorBidi"/>
          <w:sz w:val="24"/>
          <w:szCs w:val="24"/>
        </w:rPr>
        <w:t>A</w:t>
      </w:r>
      <w:r w:rsidRPr="00806AB4">
        <w:rPr>
          <w:rFonts w:asciiTheme="majorBidi" w:hAnsiTheme="majorBidi" w:cstheme="majorBidi"/>
          <w:sz w:val="24"/>
          <w:szCs w:val="24"/>
        </w:rPr>
        <w:t xml:space="preserve">rab </w:t>
      </w:r>
      <w:r w:rsidRPr="00AA7556">
        <w:rPr>
          <w:rFonts w:asciiTheme="majorBidi" w:hAnsiTheme="majorBidi" w:cstheme="majorBidi"/>
          <w:i/>
          <w:iCs/>
          <w:sz w:val="24"/>
          <w:szCs w:val="24"/>
        </w:rPr>
        <w:t>al-ift</w:t>
      </w:r>
      <w:r w:rsidR="00AA7556" w:rsidRPr="00AA7556">
        <w:rPr>
          <w:rFonts w:asciiTheme="majorBidi" w:hAnsiTheme="majorBidi" w:cstheme="majorBidi"/>
          <w:i/>
          <w:iCs/>
          <w:sz w:val="24"/>
          <w:szCs w:val="24"/>
        </w:rPr>
        <w:t>ā</w:t>
      </w:r>
      <w:r w:rsidRPr="00AA7556">
        <w:rPr>
          <w:rFonts w:asciiTheme="majorBidi" w:hAnsiTheme="majorBidi" w:cstheme="majorBidi"/>
          <w:i/>
          <w:iCs/>
          <w:sz w:val="24"/>
          <w:szCs w:val="24"/>
        </w:rPr>
        <w:t>’</w:t>
      </w:r>
      <w:r w:rsidRPr="00806AB4">
        <w:rPr>
          <w:rFonts w:asciiTheme="majorBidi" w:hAnsiTheme="majorBidi" w:cstheme="majorBidi"/>
          <w:sz w:val="24"/>
          <w:szCs w:val="24"/>
        </w:rPr>
        <w:t xml:space="preserve">, </w:t>
      </w:r>
      <w:r w:rsidRPr="00AA7556">
        <w:rPr>
          <w:rFonts w:asciiTheme="majorBidi" w:hAnsiTheme="majorBidi" w:cstheme="majorBidi"/>
          <w:i/>
          <w:iCs/>
          <w:sz w:val="24"/>
          <w:szCs w:val="24"/>
        </w:rPr>
        <w:t>al-fatw</w:t>
      </w:r>
      <w:r w:rsidR="00AA7556" w:rsidRPr="00AA7556">
        <w:rPr>
          <w:rFonts w:asciiTheme="majorBidi" w:hAnsiTheme="majorBidi" w:cstheme="majorBidi"/>
          <w:i/>
          <w:iCs/>
          <w:sz w:val="24"/>
          <w:szCs w:val="24"/>
        </w:rPr>
        <w:t>ā</w:t>
      </w:r>
      <w:r w:rsidRPr="00AA7556">
        <w:rPr>
          <w:rFonts w:asciiTheme="majorBidi" w:hAnsiTheme="majorBidi" w:cstheme="majorBidi"/>
          <w:i/>
          <w:iCs/>
          <w:sz w:val="24"/>
          <w:szCs w:val="24"/>
        </w:rPr>
        <w:t xml:space="preserve"> </w:t>
      </w:r>
      <w:r w:rsidRPr="00806AB4">
        <w:rPr>
          <w:rFonts w:asciiTheme="majorBidi" w:hAnsiTheme="majorBidi" w:cstheme="majorBidi"/>
          <w:sz w:val="24"/>
          <w:szCs w:val="24"/>
        </w:rPr>
        <w:t>yang secara sederhana berarti “pemberian keputusan”. Fatwa bukanlah sebuah keputusan hukum yang dibuat dengan gampang, atau yang disebut dengan membuat hukum tanpa dasar. Dari sini dimengerti bahwa fatwa pada hakikatnya adalah memberi jawaban hukum atas persoalan yang tidak diketemu</w:t>
      </w:r>
      <w:r w:rsidR="003A721D">
        <w:rPr>
          <w:rFonts w:asciiTheme="majorBidi" w:hAnsiTheme="majorBidi" w:cstheme="majorBidi"/>
          <w:sz w:val="24"/>
          <w:szCs w:val="24"/>
        </w:rPr>
        <w:t xml:space="preserve">kan dalam </w:t>
      </w:r>
      <w:r w:rsidR="00972E98">
        <w:rPr>
          <w:rFonts w:asciiTheme="majorBidi" w:hAnsiTheme="majorBidi" w:cstheme="majorBidi"/>
          <w:sz w:val="24"/>
          <w:szCs w:val="24"/>
        </w:rPr>
        <w:t>Al-Qur’ān</w:t>
      </w:r>
      <w:r w:rsidR="003A721D">
        <w:rPr>
          <w:rFonts w:asciiTheme="majorBidi" w:hAnsiTheme="majorBidi" w:cstheme="majorBidi"/>
          <w:sz w:val="24"/>
          <w:szCs w:val="24"/>
        </w:rPr>
        <w:t xml:space="preserve"> maupun hadi</w:t>
      </w:r>
      <w:r w:rsidRPr="00806AB4">
        <w:rPr>
          <w:rFonts w:asciiTheme="majorBidi" w:hAnsiTheme="majorBidi" w:cstheme="majorBidi"/>
          <w:sz w:val="24"/>
          <w:szCs w:val="24"/>
        </w:rPr>
        <w:t>s atau memberi penegasan kembali akan keduduk</w:t>
      </w:r>
      <w:r>
        <w:rPr>
          <w:rFonts w:asciiTheme="majorBidi" w:hAnsiTheme="majorBidi" w:cstheme="majorBidi"/>
          <w:sz w:val="24"/>
          <w:szCs w:val="24"/>
        </w:rPr>
        <w:t>an suatu persoalan dalam kaca</w:t>
      </w:r>
      <w:r w:rsidRPr="00806AB4">
        <w:rPr>
          <w:rFonts w:asciiTheme="majorBidi" w:hAnsiTheme="majorBidi" w:cstheme="majorBidi"/>
          <w:sz w:val="24"/>
          <w:szCs w:val="24"/>
        </w:rPr>
        <w:t>mata ajaran Islam.</w:t>
      </w:r>
      <w:r w:rsidRPr="00806AB4">
        <w:rPr>
          <w:rStyle w:val="FootnoteReference"/>
          <w:rFonts w:asciiTheme="majorBidi" w:hAnsiTheme="majorBidi" w:cstheme="majorBidi"/>
          <w:sz w:val="24"/>
          <w:szCs w:val="24"/>
        </w:rPr>
        <w:footnoteReference w:id="82"/>
      </w:r>
      <w:r w:rsidR="00DE5758">
        <w:rPr>
          <w:rFonts w:asciiTheme="majorBidi" w:hAnsiTheme="majorBidi" w:cstheme="majorBidi"/>
          <w:sz w:val="24"/>
          <w:szCs w:val="24"/>
        </w:rPr>
        <w:t xml:space="preserve"> </w:t>
      </w:r>
      <w:r>
        <w:rPr>
          <w:rFonts w:asciiTheme="majorBidi" w:hAnsiTheme="majorBidi" w:cstheme="majorBidi"/>
          <w:sz w:val="24"/>
          <w:szCs w:val="24"/>
        </w:rPr>
        <w:t>Berfatwa sesungguhnya merupakan kegitan ijtihad</w:t>
      </w:r>
      <w:r w:rsidRPr="004D4B96">
        <w:rPr>
          <w:rFonts w:asciiTheme="majorBidi" w:hAnsiTheme="majorBidi" w:cstheme="majorBidi"/>
          <w:sz w:val="24"/>
          <w:szCs w:val="24"/>
        </w:rPr>
        <w:t>,</w:t>
      </w:r>
      <w:r>
        <w:rPr>
          <w:rFonts w:asciiTheme="majorBidi" w:hAnsiTheme="majorBidi" w:cstheme="majorBidi"/>
          <w:sz w:val="24"/>
          <w:szCs w:val="24"/>
        </w:rPr>
        <w:t xml:space="preserve"> </w:t>
      </w:r>
      <w:r w:rsidRPr="004D4B96">
        <w:rPr>
          <w:rFonts w:asciiTheme="majorBidi" w:hAnsiTheme="majorBidi" w:cstheme="majorBidi"/>
          <w:sz w:val="24"/>
          <w:szCs w:val="24"/>
        </w:rPr>
        <w:t>Seorang</w:t>
      </w:r>
      <w:r>
        <w:rPr>
          <w:rFonts w:asciiTheme="majorBidi" w:hAnsiTheme="majorBidi" w:cstheme="majorBidi"/>
          <w:sz w:val="24"/>
          <w:szCs w:val="24"/>
        </w:rPr>
        <w:t xml:space="preserve"> </w:t>
      </w:r>
      <w:r w:rsidRPr="004D4B96">
        <w:rPr>
          <w:rFonts w:asciiTheme="majorBidi" w:hAnsiTheme="majorBidi" w:cstheme="majorBidi"/>
          <w:sz w:val="24"/>
          <w:szCs w:val="24"/>
        </w:rPr>
        <w:t>mujtahid</w:t>
      </w:r>
      <w:r>
        <w:rPr>
          <w:rFonts w:asciiTheme="majorBidi" w:hAnsiTheme="majorBidi" w:cstheme="majorBidi"/>
          <w:sz w:val="24"/>
          <w:szCs w:val="24"/>
        </w:rPr>
        <w:t xml:space="preserve"> </w:t>
      </w:r>
      <w:r w:rsidRPr="004D4B96">
        <w:rPr>
          <w:rFonts w:asciiTheme="majorBidi" w:hAnsiTheme="majorBidi" w:cstheme="majorBidi"/>
          <w:sz w:val="24"/>
          <w:szCs w:val="24"/>
        </w:rPr>
        <w:t>yang</w:t>
      </w:r>
      <w:r>
        <w:rPr>
          <w:rFonts w:asciiTheme="majorBidi" w:hAnsiTheme="majorBidi" w:cstheme="majorBidi"/>
          <w:sz w:val="24"/>
          <w:szCs w:val="24"/>
        </w:rPr>
        <w:t xml:space="preserve"> </w:t>
      </w:r>
      <w:r w:rsidRPr="004D4B96">
        <w:rPr>
          <w:rFonts w:asciiTheme="majorBidi" w:hAnsiTheme="majorBidi" w:cstheme="majorBidi"/>
          <w:sz w:val="24"/>
          <w:szCs w:val="24"/>
        </w:rPr>
        <w:t>berusaha</w:t>
      </w:r>
      <w:r>
        <w:rPr>
          <w:rFonts w:asciiTheme="majorBidi" w:hAnsiTheme="majorBidi" w:cstheme="majorBidi"/>
          <w:sz w:val="24"/>
          <w:szCs w:val="24"/>
        </w:rPr>
        <w:t xml:space="preserve"> untuk mengeluarkan hukum atas suatu permasalahan keagamaan, paling </w:t>
      </w:r>
      <w:r w:rsidRPr="004D4B96">
        <w:rPr>
          <w:rFonts w:asciiTheme="majorBidi" w:hAnsiTheme="majorBidi" w:cstheme="majorBidi"/>
          <w:sz w:val="24"/>
          <w:szCs w:val="24"/>
        </w:rPr>
        <w:t>tidak, dia harus memahami</w:t>
      </w:r>
      <w:r>
        <w:rPr>
          <w:rFonts w:asciiTheme="majorBidi" w:hAnsiTheme="majorBidi" w:cstheme="majorBidi"/>
          <w:sz w:val="24"/>
          <w:szCs w:val="24"/>
        </w:rPr>
        <w:t xml:space="preserve"> dengan baik ilmu Ushul al-Fiqh,</w:t>
      </w:r>
      <w:r w:rsidRPr="004D4B96">
        <w:rPr>
          <w:rFonts w:asciiTheme="majorBidi" w:hAnsiTheme="majorBidi" w:cstheme="majorBidi"/>
          <w:sz w:val="24"/>
          <w:szCs w:val="24"/>
        </w:rPr>
        <w:t xml:space="preserve"> kaedah</w:t>
      </w:r>
      <w:r>
        <w:rPr>
          <w:rFonts w:asciiTheme="majorBidi" w:hAnsiTheme="majorBidi" w:cstheme="majorBidi"/>
          <w:sz w:val="24"/>
          <w:szCs w:val="24"/>
        </w:rPr>
        <w:t xml:space="preserve"> </w:t>
      </w:r>
      <w:r w:rsidR="00555E01">
        <w:rPr>
          <w:rFonts w:asciiTheme="majorBidi" w:hAnsiTheme="majorBidi" w:cstheme="majorBidi"/>
          <w:sz w:val="24"/>
          <w:szCs w:val="24"/>
        </w:rPr>
        <w:t>bahasa Arab</w:t>
      </w:r>
      <w:r w:rsidRPr="004D4B96">
        <w:rPr>
          <w:rFonts w:asciiTheme="majorBidi" w:hAnsiTheme="majorBidi" w:cstheme="majorBidi"/>
          <w:sz w:val="24"/>
          <w:szCs w:val="24"/>
        </w:rPr>
        <w:t xml:space="preserve">, </w:t>
      </w:r>
      <w:r>
        <w:rPr>
          <w:rFonts w:asciiTheme="majorBidi" w:hAnsiTheme="majorBidi" w:cstheme="majorBidi"/>
          <w:i/>
          <w:iCs/>
          <w:sz w:val="24"/>
          <w:szCs w:val="24"/>
        </w:rPr>
        <w:t>maq</w:t>
      </w:r>
      <w:r w:rsidR="00FE6378">
        <w:rPr>
          <w:rFonts w:asciiTheme="majorBidi" w:hAnsiTheme="majorBidi" w:cstheme="majorBidi"/>
          <w:i/>
          <w:iCs/>
          <w:sz w:val="24"/>
          <w:szCs w:val="24"/>
          <w:lang w:val="sv-SE"/>
        </w:rPr>
        <w:t>ā</w:t>
      </w:r>
      <w:r>
        <w:rPr>
          <w:rFonts w:asciiTheme="majorBidi" w:hAnsiTheme="majorBidi" w:cstheme="majorBidi"/>
          <w:i/>
          <w:iCs/>
          <w:sz w:val="24"/>
          <w:szCs w:val="24"/>
        </w:rPr>
        <w:t>sid</w:t>
      </w:r>
      <w:r w:rsidR="000642FF">
        <w:rPr>
          <w:rFonts w:asciiTheme="majorBidi" w:hAnsiTheme="majorBidi" w:cstheme="majorBidi"/>
          <w:i/>
          <w:iCs/>
          <w:sz w:val="24"/>
          <w:szCs w:val="24"/>
        </w:rPr>
        <w:t xml:space="preserve"> </w:t>
      </w:r>
      <w:r w:rsidR="00555E01">
        <w:rPr>
          <w:rFonts w:asciiTheme="majorBidi" w:hAnsiTheme="majorBidi" w:cstheme="majorBidi"/>
          <w:i/>
          <w:iCs/>
          <w:sz w:val="24"/>
          <w:szCs w:val="24"/>
        </w:rPr>
        <w:t>asy-</w:t>
      </w:r>
      <w:r w:rsidRPr="004D4B96">
        <w:rPr>
          <w:rFonts w:asciiTheme="majorBidi" w:hAnsiTheme="majorBidi" w:cstheme="majorBidi"/>
          <w:i/>
          <w:iCs/>
          <w:sz w:val="24"/>
          <w:szCs w:val="24"/>
        </w:rPr>
        <w:t>syari’ah</w:t>
      </w:r>
      <w:r>
        <w:rPr>
          <w:rFonts w:asciiTheme="majorBidi" w:hAnsiTheme="majorBidi" w:cstheme="majorBidi"/>
          <w:sz w:val="24"/>
          <w:szCs w:val="24"/>
        </w:rPr>
        <w:t xml:space="preserve">, metode penguatan </w:t>
      </w:r>
      <w:r w:rsidR="00907A80">
        <w:rPr>
          <w:rFonts w:asciiTheme="majorBidi" w:hAnsiTheme="majorBidi" w:cstheme="majorBidi"/>
          <w:i/>
          <w:iCs/>
          <w:sz w:val="24"/>
          <w:szCs w:val="24"/>
        </w:rPr>
        <w:t>(thu</w:t>
      </w:r>
      <w:r w:rsidRPr="004D4B96">
        <w:rPr>
          <w:rFonts w:asciiTheme="majorBidi" w:hAnsiTheme="majorBidi" w:cstheme="majorBidi"/>
          <w:i/>
          <w:iCs/>
          <w:sz w:val="24"/>
          <w:szCs w:val="24"/>
        </w:rPr>
        <w:t>ruq</w:t>
      </w:r>
      <w:r w:rsidR="00907A80">
        <w:rPr>
          <w:rFonts w:asciiTheme="majorBidi" w:hAnsiTheme="majorBidi" w:cstheme="majorBidi"/>
          <w:i/>
          <w:iCs/>
          <w:sz w:val="24"/>
          <w:szCs w:val="24"/>
          <w:lang w:val="sv-SE"/>
        </w:rPr>
        <w:t>ā</w:t>
      </w:r>
      <w:r w:rsidRPr="004D4B96">
        <w:rPr>
          <w:rFonts w:asciiTheme="majorBidi" w:hAnsiTheme="majorBidi" w:cstheme="majorBidi"/>
          <w:i/>
          <w:iCs/>
          <w:sz w:val="24"/>
          <w:szCs w:val="24"/>
        </w:rPr>
        <w:t>t-tarjih</w:t>
      </w:r>
      <w:r w:rsidRPr="004D4B96">
        <w:rPr>
          <w:rFonts w:asciiTheme="majorBidi" w:hAnsiTheme="majorBidi" w:cstheme="majorBidi"/>
          <w:sz w:val="24"/>
          <w:szCs w:val="24"/>
        </w:rPr>
        <w:t>)</w:t>
      </w:r>
      <w:r>
        <w:rPr>
          <w:rFonts w:asciiTheme="majorBidi" w:hAnsiTheme="majorBidi" w:cstheme="majorBidi"/>
          <w:sz w:val="24"/>
          <w:szCs w:val="24"/>
        </w:rPr>
        <w:t xml:space="preserve"> antara dua dalil syar'iy yang bertentangan, </w:t>
      </w:r>
      <w:r w:rsidRPr="00B7150C">
        <w:rPr>
          <w:rFonts w:asciiTheme="majorBidi" w:hAnsiTheme="majorBidi" w:cstheme="majorBidi"/>
          <w:i/>
          <w:iCs/>
          <w:sz w:val="24"/>
          <w:szCs w:val="24"/>
        </w:rPr>
        <w:t>nasikh</w:t>
      </w:r>
      <w:r>
        <w:rPr>
          <w:rFonts w:asciiTheme="majorBidi" w:hAnsiTheme="majorBidi" w:cstheme="majorBidi"/>
          <w:sz w:val="24"/>
          <w:szCs w:val="24"/>
        </w:rPr>
        <w:t xml:space="preserve"> dan </w:t>
      </w:r>
      <w:r w:rsidRPr="00B7150C">
        <w:rPr>
          <w:rFonts w:asciiTheme="majorBidi" w:hAnsiTheme="majorBidi" w:cstheme="majorBidi"/>
          <w:i/>
          <w:iCs/>
          <w:sz w:val="24"/>
          <w:szCs w:val="24"/>
        </w:rPr>
        <w:t>mans</w:t>
      </w:r>
      <w:r w:rsidR="00907A80" w:rsidRPr="00907A80">
        <w:rPr>
          <w:rFonts w:asciiTheme="majorBidi" w:hAnsiTheme="majorBidi" w:cstheme="majorBidi"/>
          <w:i/>
          <w:iCs/>
          <w:sz w:val="24"/>
          <w:szCs w:val="24"/>
          <w:lang w:val="fi-FI"/>
        </w:rPr>
        <w:t>ū</w:t>
      </w:r>
      <w:r w:rsidRPr="00B7150C">
        <w:rPr>
          <w:rFonts w:asciiTheme="majorBidi" w:hAnsiTheme="majorBidi" w:cstheme="majorBidi"/>
          <w:i/>
          <w:iCs/>
          <w:sz w:val="24"/>
          <w:szCs w:val="24"/>
        </w:rPr>
        <w:t>kh</w:t>
      </w:r>
      <w:r>
        <w:rPr>
          <w:rFonts w:asciiTheme="majorBidi" w:hAnsiTheme="majorBidi" w:cstheme="majorBidi"/>
          <w:sz w:val="24"/>
          <w:szCs w:val="24"/>
        </w:rPr>
        <w:t>.</w:t>
      </w:r>
      <w:r>
        <w:rPr>
          <w:rStyle w:val="FootnoteReference"/>
          <w:rFonts w:asciiTheme="majorBidi" w:hAnsiTheme="majorBidi" w:cstheme="majorBidi"/>
          <w:sz w:val="24"/>
          <w:szCs w:val="24"/>
        </w:rPr>
        <w:footnoteReference w:id="83"/>
      </w:r>
    </w:p>
    <w:p w:rsidR="007416AA" w:rsidRDefault="007D72F5" w:rsidP="00907A80">
      <w:pPr>
        <w:tabs>
          <w:tab w:val="left" w:pos="630"/>
        </w:tabs>
        <w:spacing w:after="0" w:line="360" w:lineRule="auto"/>
        <w:ind w:firstLine="630"/>
        <w:jc w:val="both"/>
        <w:rPr>
          <w:rFonts w:asciiTheme="majorBidi" w:hAnsiTheme="majorBidi" w:cstheme="majorBidi"/>
          <w:sz w:val="24"/>
          <w:szCs w:val="24"/>
        </w:rPr>
      </w:pPr>
      <w:r w:rsidRPr="00B7150C">
        <w:rPr>
          <w:rFonts w:asciiTheme="majorBidi" w:hAnsiTheme="majorBidi" w:cstheme="majorBidi"/>
          <w:sz w:val="24"/>
          <w:szCs w:val="24"/>
        </w:rPr>
        <w:t xml:space="preserve">Sementara </w:t>
      </w:r>
      <w:r w:rsidR="00B7150C">
        <w:rPr>
          <w:rFonts w:asciiTheme="majorBidi" w:hAnsiTheme="majorBidi" w:cstheme="majorBidi"/>
          <w:sz w:val="24"/>
          <w:szCs w:val="24"/>
        </w:rPr>
        <w:t xml:space="preserve">pengertian </w:t>
      </w:r>
      <w:r w:rsidR="00C62F4F" w:rsidRPr="00B7150C">
        <w:rPr>
          <w:rFonts w:asciiTheme="majorBidi" w:hAnsiTheme="majorBidi" w:cstheme="majorBidi"/>
          <w:sz w:val="24"/>
          <w:szCs w:val="24"/>
        </w:rPr>
        <w:t xml:space="preserve">Hukum Keluarga </w:t>
      </w:r>
      <w:r w:rsidRPr="00B7150C">
        <w:rPr>
          <w:rFonts w:asciiTheme="majorBidi" w:hAnsiTheme="majorBidi" w:cstheme="majorBidi"/>
          <w:sz w:val="24"/>
          <w:szCs w:val="24"/>
        </w:rPr>
        <w:t>adalah</w:t>
      </w:r>
      <w:r w:rsidR="00B7150C">
        <w:rPr>
          <w:rFonts w:asciiTheme="majorBidi" w:hAnsiTheme="majorBidi" w:cstheme="majorBidi"/>
          <w:sz w:val="24"/>
          <w:szCs w:val="24"/>
        </w:rPr>
        <w:t xml:space="preserve"> hukum tentang hubungan manusia dengan keluarganya, yang dimulai dari perkawinan sampai berakhir pada pembagian warisan karena ada anggota kelu</w:t>
      </w:r>
      <w:r w:rsidR="009B7906">
        <w:rPr>
          <w:rFonts w:asciiTheme="majorBidi" w:hAnsiTheme="majorBidi" w:cstheme="majorBidi"/>
          <w:sz w:val="24"/>
          <w:szCs w:val="24"/>
        </w:rPr>
        <w:t>a</w:t>
      </w:r>
      <w:r w:rsidR="00B7150C">
        <w:rPr>
          <w:rFonts w:asciiTheme="majorBidi" w:hAnsiTheme="majorBidi" w:cstheme="majorBidi"/>
          <w:sz w:val="24"/>
          <w:szCs w:val="24"/>
        </w:rPr>
        <w:t>rga yang meninggal dunia</w:t>
      </w:r>
      <w:r w:rsidR="00B7150C">
        <w:rPr>
          <w:rStyle w:val="FootnoteReference"/>
          <w:rFonts w:asciiTheme="majorBidi" w:hAnsiTheme="majorBidi" w:cstheme="majorBidi"/>
          <w:sz w:val="24"/>
          <w:szCs w:val="24"/>
        </w:rPr>
        <w:footnoteReference w:id="84"/>
      </w:r>
      <w:r w:rsidR="00B7150C">
        <w:rPr>
          <w:rFonts w:asciiTheme="majorBidi" w:hAnsiTheme="majorBidi" w:cstheme="majorBidi"/>
          <w:sz w:val="24"/>
          <w:szCs w:val="24"/>
        </w:rPr>
        <w:t>.</w:t>
      </w:r>
      <w:r w:rsidRPr="00B7150C">
        <w:rPr>
          <w:rFonts w:asciiTheme="majorBidi" w:hAnsiTheme="majorBidi" w:cstheme="majorBidi"/>
          <w:sz w:val="24"/>
          <w:szCs w:val="24"/>
        </w:rPr>
        <w:t xml:space="preserve"> </w:t>
      </w:r>
      <w:r w:rsidR="0054526B">
        <w:rPr>
          <w:rFonts w:asciiTheme="majorBidi" w:hAnsiTheme="majorBidi" w:cstheme="majorBidi"/>
          <w:sz w:val="24"/>
          <w:szCs w:val="24"/>
        </w:rPr>
        <w:t xml:space="preserve"> </w:t>
      </w:r>
      <w:r w:rsidR="00B7150C">
        <w:rPr>
          <w:rFonts w:asciiTheme="majorBidi" w:hAnsiTheme="majorBidi" w:cstheme="majorBidi"/>
          <w:sz w:val="24"/>
          <w:szCs w:val="24"/>
        </w:rPr>
        <w:t xml:space="preserve">Secara umum cakupan dari </w:t>
      </w:r>
      <w:r w:rsidR="003F7FDA">
        <w:rPr>
          <w:rFonts w:asciiTheme="majorBidi" w:hAnsiTheme="majorBidi" w:cstheme="majorBidi"/>
          <w:sz w:val="24"/>
          <w:szCs w:val="24"/>
        </w:rPr>
        <w:t>hu</w:t>
      </w:r>
      <w:r w:rsidR="00B7150C">
        <w:rPr>
          <w:rFonts w:asciiTheme="majorBidi" w:hAnsiTheme="majorBidi" w:cstheme="majorBidi"/>
          <w:sz w:val="24"/>
          <w:szCs w:val="24"/>
        </w:rPr>
        <w:t>kum keluarga berdasarkan definisi ini terdiri atas tiga aspek pokok, yakni: 1). Hukum Keluarga (</w:t>
      </w:r>
      <w:r w:rsidR="00B7150C" w:rsidRPr="003F7FDA">
        <w:rPr>
          <w:rFonts w:asciiTheme="majorBidi" w:hAnsiTheme="majorBidi" w:cstheme="majorBidi"/>
          <w:i/>
          <w:iCs/>
          <w:sz w:val="24"/>
          <w:szCs w:val="24"/>
        </w:rPr>
        <w:t>Usrah</w:t>
      </w:r>
      <w:r w:rsidR="00B7150C">
        <w:rPr>
          <w:rFonts w:asciiTheme="majorBidi" w:hAnsiTheme="majorBidi" w:cstheme="majorBidi"/>
          <w:sz w:val="24"/>
          <w:szCs w:val="24"/>
        </w:rPr>
        <w:t xml:space="preserve">) yang dimulai dari peminangan sampai </w:t>
      </w:r>
      <w:r w:rsidR="00B7150C">
        <w:rPr>
          <w:rFonts w:asciiTheme="majorBidi" w:hAnsiTheme="majorBidi" w:cstheme="majorBidi"/>
          <w:sz w:val="24"/>
          <w:szCs w:val="24"/>
        </w:rPr>
        <w:lastRenderedPageBreak/>
        <w:t xml:space="preserve">perpisahan, baik karena ada yang wafat ataupun karena terjadi perceraian. 2) Hukum kekayaan keluarga ( </w:t>
      </w:r>
      <w:r w:rsidR="00B7150C" w:rsidRPr="003F7FDA">
        <w:rPr>
          <w:rFonts w:asciiTheme="majorBidi" w:hAnsiTheme="majorBidi" w:cstheme="majorBidi"/>
          <w:i/>
          <w:iCs/>
          <w:sz w:val="24"/>
          <w:szCs w:val="24"/>
        </w:rPr>
        <w:t>Amw</w:t>
      </w:r>
      <w:r w:rsidR="00907A80">
        <w:rPr>
          <w:rFonts w:asciiTheme="majorBidi" w:hAnsiTheme="majorBidi" w:cstheme="majorBidi"/>
          <w:i/>
          <w:iCs/>
          <w:sz w:val="24"/>
          <w:szCs w:val="24"/>
        </w:rPr>
        <w:t>ā</w:t>
      </w:r>
      <w:r w:rsidR="00B7150C" w:rsidRPr="003F7FDA">
        <w:rPr>
          <w:rFonts w:asciiTheme="majorBidi" w:hAnsiTheme="majorBidi" w:cstheme="majorBidi"/>
          <w:i/>
          <w:iCs/>
          <w:sz w:val="24"/>
          <w:szCs w:val="24"/>
        </w:rPr>
        <w:t>l</w:t>
      </w:r>
      <w:r w:rsidR="0054526B">
        <w:rPr>
          <w:rFonts w:asciiTheme="majorBidi" w:hAnsiTheme="majorBidi" w:cstheme="majorBidi"/>
          <w:sz w:val="24"/>
          <w:szCs w:val="24"/>
        </w:rPr>
        <w:t>)</w:t>
      </w:r>
      <w:r w:rsidR="00B7150C">
        <w:rPr>
          <w:rFonts w:asciiTheme="majorBidi" w:hAnsiTheme="majorBidi" w:cstheme="majorBidi"/>
          <w:sz w:val="24"/>
          <w:szCs w:val="24"/>
        </w:rPr>
        <w:t xml:space="preserve"> yang mencakup waris, wasiat, wakaf, dan sejenisnya yang berkaitan. 3) Hukum perwalian terhadap anak yang belum dewasa.</w:t>
      </w:r>
      <w:r w:rsidR="00B7150C">
        <w:rPr>
          <w:rStyle w:val="FootnoteReference"/>
          <w:rFonts w:asciiTheme="majorBidi" w:hAnsiTheme="majorBidi" w:cstheme="majorBidi"/>
          <w:sz w:val="24"/>
          <w:szCs w:val="24"/>
        </w:rPr>
        <w:footnoteReference w:id="85"/>
      </w:r>
      <w:r w:rsidR="007416AA">
        <w:rPr>
          <w:rFonts w:asciiTheme="majorBidi" w:hAnsiTheme="majorBidi" w:cstheme="majorBidi"/>
          <w:sz w:val="24"/>
          <w:szCs w:val="24"/>
        </w:rPr>
        <w:t xml:space="preserve"> </w:t>
      </w:r>
    </w:p>
    <w:p w:rsidR="00E951B4" w:rsidRPr="00AA7556" w:rsidRDefault="0054526B" w:rsidP="00907A80">
      <w:pPr>
        <w:tabs>
          <w:tab w:val="left" w:pos="630"/>
        </w:tabs>
        <w:spacing w:after="0" w:line="360" w:lineRule="auto"/>
        <w:ind w:firstLine="630"/>
        <w:jc w:val="both"/>
        <w:rPr>
          <w:rFonts w:asciiTheme="majorBidi" w:hAnsiTheme="majorBidi" w:cstheme="majorBidi"/>
          <w:sz w:val="24"/>
          <w:szCs w:val="24"/>
        </w:rPr>
      </w:pPr>
      <w:r>
        <w:rPr>
          <w:rFonts w:asciiTheme="majorBidi" w:hAnsiTheme="majorBidi" w:cstheme="majorBidi"/>
          <w:sz w:val="24"/>
          <w:szCs w:val="24"/>
        </w:rPr>
        <w:t xml:space="preserve">Sedangakan pengertian </w:t>
      </w:r>
      <w:r w:rsidR="00881BDC">
        <w:rPr>
          <w:rFonts w:asciiTheme="majorBidi" w:hAnsiTheme="majorBidi" w:cstheme="majorBidi"/>
          <w:i/>
          <w:iCs/>
          <w:sz w:val="24"/>
          <w:szCs w:val="24"/>
        </w:rPr>
        <w:t>siyāsah</w:t>
      </w:r>
      <w:r w:rsidR="000642FF">
        <w:rPr>
          <w:rFonts w:asciiTheme="majorBidi" w:hAnsiTheme="majorBidi" w:cstheme="majorBidi"/>
          <w:i/>
          <w:iCs/>
          <w:sz w:val="24"/>
          <w:szCs w:val="24"/>
        </w:rPr>
        <w:t xml:space="preserve"> </w:t>
      </w:r>
      <w:r w:rsidR="003A36E1">
        <w:rPr>
          <w:rFonts w:asciiTheme="majorBidi" w:hAnsiTheme="majorBidi" w:cstheme="majorBidi"/>
          <w:sz w:val="24"/>
          <w:szCs w:val="24"/>
        </w:rPr>
        <w:t xml:space="preserve">secara bahasa berarti mengatur, mengendalikan, mengurus atau membuat keputusan, sebagaimana dalam kalimat </w:t>
      </w:r>
      <w:r w:rsidR="003A36E1" w:rsidRPr="00C62F4F">
        <w:rPr>
          <w:rFonts w:asciiTheme="majorBidi" w:hAnsiTheme="majorBidi" w:cstheme="majorBidi"/>
          <w:i/>
          <w:iCs/>
          <w:sz w:val="24"/>
          <w:szCs w:val="24"/>
        </w:rPr>
        <w:t>sas</w:t>
      </w:r>
      <w:r w:rsidR="00907A80">
        <w:rPr>
          <w:rFonts w:asciiTheme="majorBidi" w:hAnsiTheme="majorBidi" w:cstheme="majorBidi"/>
          <w:i/>
          <w:iCs/>
          <w:sz w:val="24"/>
          <w:szCs w:val="24"/>
        </w:rPr>
        <w:t>ā</w:t>
      </w:r>
      <w:r w:rsidR="003A36E1" w:rsidRPr="00C62F4F">
        <w:rPr>
          <w:rFonts w:asciiTheme="majorBidi" w:hAnsiTheme="majorBidi" w:cstheme="majorBidi"/>
          <w:i/>
          <w:iCs/>
          <w:sz w:val="24"/>
          <w:szCs w:val="24"/>
        </w:rPr>
        <w:t xml:space="preserve"> al-qaum</w:t>
      </w:r>
      <w:r w:rsidR="003A36E1">
        <w:rPr>
          <w:rFonts w:asciiTheme="majorBidi" w:hAnsiTheme="majorBidi" w:cstheme="majorBidi"/>
          <w:sz w:val="24"/>
          <w:szCs w:val="24"/>
        </w:rPr>
        <w:t xml:space="preserve">, mengatur kaum, memerintah dan memimpin. Sementara secara istilah adalah pengurusan kemaslahatan umat manusia sesuai dengan </w:t>
      </w:r>
      <w:r w:rsidR="007416AA" w:rsidRPr="0002177B">
        <w:rPr>
          <w:rFonts w:asciiTheme="majorBidi" w:hAnsiTheme="majorBidi" w:cstheme="majorBidi"/>
        </w:rPr>
        <w:t>syar</w:t>
      </w:r>
      <w:r w:rsidR="007416AA">
        <w:rPr>
          <w:rFonts w:asciiTheme="majorBidi" w:hAnsiTheme="majorBidi" w:cstheme="majorBidi"/>
        </w:rPr>
        <w:t>a</w:t>
      </w:r>
      <w:r w:rsidR="007416AA">
        <w:t>‘</w:t>
      </w:r>
      <w:r w:rsidR="00AA7556">
        <w:rPr>
          <w:rFonts w:asciiTheme="majorBidi" w:hAnsiTheme="majorBidi" w:cstheme="majorBidi"/>
          <w:sz w:val="24"/>
          <w:szCs w:val="24"/>
        </w:rPr>
        <w:t>.</w:t>
      </w:r>
      <w:r w:rsidR="003A36E1">
        <w:rPr>
          <w:rStyle w:val="FootnoteReference"/>
          <w:rFonts w:asciiTheme="majorBidi" w:hAnsiTheme="majorBidi" w:cstheme="majorBidi"/>
          <w:sz w:val="24"/>
          <w:szCs w:val="24"/>
        </w:rPr>
        <w:footnoteReference w:id="86"/>
      </w:r>
      <w:r w:rsidR="007416AA">
        <w:rPr>
          <w:rFonts w:asciiTheme="majorBidi" w:hAnsiTheme="majorBidi" w:cstheme="majorBidi"/>
          <w:sz w:val="24"/>
          <w:szCs w:val="24"/>
        </w:rPr>
        <w:t xml:space="preserve">Pengertian lain dari </w:t>
      </w:r>
      <w:r w:rsidR="007416AA">
        <w:rPr>
          <w:rFonts w:asciiTheme="majorBidi" w:hAnsiTheme="majorBidi" w:cstheme="majorBidi"/>
          <w:i/>
          <w:iCs/>
          <w:sz w:val="24"/>
          <w:szCs w:val="24"/>
        </w:rPr>
        <w:t>s</w:t>
      </w:r>
      <w:r w:rsidR="000642FF">
        <w:rPr>
          <w:rFonts w:asciiTheme="majorBidi" w:hAnsiTheme="majorBidi" w:cstheme="majorBidi"/>
          <w:i/>
          <w:iCs/>
          <w:sz w:val="24"/>
          <w:szCs w:val="24"/>
        </w:rPr>
        <w:t xml:space="preserve">iyāsah </w:t>
      </w:r>
      <w:r w:rsidR="00CC4FB5" w:rsidRPr="0054526B">
        <w:rPr>
          <w:rFonts w:asciiTheme="majorBidi" w:hAnsiTheme="majorBidi" w:cstheme="majorBidi"/>
          <w:i/>
          <w:iCs/>
          <w:sz w:val="24"/>
          <w:szCs w:val="24"/>
        </w:rPr>
        <w:t>syar</w:t>
      </w:r>
      <w:r w:rsidR="00CB5DE7">
        <w:rPr>
          <w:rFonts w:asciiTheme="majorBidi" w:hAnsiTheme="majorBidi" w:cstheme="majorBidi"/>
          <w:i/>
          <w:iCs/>
          <w:sz w:val="24"/>
          <w:szCs w:val="24"/>
        </w:rPr>
        <w:t>i</w:t>
      </w:r>
      <w:r w:rsidR="007416AA">
        <w:t>‘</w:t>
      </w:r>
      <w:r w:rsidR="00AA7556">
        <w:rPr>
          <w:rFonts w:asciiTheme="majorBidi" w:hAnsiTheme="majorBidi" w:cstheme="majorBidi"/>
          <w:i/>
          <w:iCs/>
          <w:sz w:val="24"/>
          <w:szCs w:val="24"/>
        </w:rPr>
        <w:t>y</w:t>
      </w:r>
      <w:r w:rsidR="00CC4FB5" w:rsidRPr="0054526B">
        <w:rPr>
          <w:rFonts w:asciiTheme="majorBidi" w:hAnsiTheme="majorBidi" w:cstheme="majorBidi"/>
          <w:i/>
          <w:iCs/>
          <w:sz w:val="24"/>
          <w:szCs w:val="24"/>
        </w:rPr>
        <w:t>yah</w:t>
      </w:r>
      <w:r w:rsidR="00CC4FB5">
        <w:rPr>
          <w:rFonts w:asciiTheme="majorBidi" w:hAnsiTheme="majorBidi" w:cstheme="majorBidi"/>
          <w:sz w:val="24"/>
          <w:szCs w:val="24"/>
        </w:rPr>
        <w:t xml:space="preserve"> adalah pengurusan hal-hal yang bersifat umum bagi Negara Islam dengan cara menjamin perwujudan kemaslahatan dan penolakan kemudharatan dengan tidak melampawi batas-batas syariah dan pokok-pokok </w:t>
      </w:r>
      <w:r w:rsidR="00CC4FB5" w:rsidRPr="007416AA">
        <w:rPr>
          <w:rFonts w:asciiTheme="majorBidi" w:hAnsiTheme="majorBidi" w:cstheme="majorBidi"/>
          <w:i/>
          <w:iCs/>
          <w:sz w:val="24"/>
          <w:szCs w:val="24"/>
        </w:rPr>
        <w:t>syari</w:t>
      </w:r>
      <w:r w:rsidR="007416AA" w:rsidRPr="007416AA">
        <w:rPr>
          <w:i/>
          <w:iCs/>
        </w:rPr>
        <w:t>‘</w:t>
      </w:r>
      <w:r w:rsidR="00CC4FB5" w:rsidRPr="007416AA">
        <w:rPr>
          <w:rFonts w:asciiTheme="majorBidi" w:hAnsiTheme="majorBidi" w:cstheme="majorBidi"/>
          <w:i/>
          <w:iCs/>
          <w:sz w:val="24"/>
          <w:szCs w:val="24"/>
        </w:rPr>
        <w:t>ah</w:t>
      </w:r>
      <w:r w:rsidR="00CC4FB5">
        <w:rPr>
          <w:rFonts w:asciiTheme="majorBidi" w:hAnsiTheme="majorBidi" w:cstheme="majorBidi"/>
          <w:sz w:val="24"/>
          <w:szCs w:val="24"/>
        </w:rPr>
        <w:t xml:space="preserve"> yang </w:t>
      </w:r>
      <w:r w:rsidR="00CC4FB5" w:rsidRPr="007416AA">
        <w:rPr>
          <w:rFonts w:asciiTheme="majorBidi" w:hAnsiTheme="majorBidi" w:cstheme="majorBidi"/>
          <w:i/>
          <w:iCs/>
          <w:sz w:val="24"/>
          <w:szCs w:val="24"/>
        </w:rPr>
        <w:t>kulliy</w:t>
      </w:r>
      <w:r w:rsidR="00CC4FB5">
        <w:rPr>
          <w:rFonts w:asciiTheme="majorBidi" w:hAnsiTheme="majorBidi" w:cstheme="majorBidi"/>
          <w:sz w:val="24"/>
          <w:szCs w:val="24"/>
        </w:rPr>
        <w:t>, meskipun tidak sesuai pendapat ulama-ulama mujtahid.</w:t>
      </w:r>
      <w:r w:rsidR="00CC4FB5">
        <w:rPr>
          <w:rStyle w:val="FootnoteReference"/>
          <w:rFonts w:asciiTheme="majorBidi" w:hAnsiTheme="majorBidi" w:cstheme="majorBidi"/>
          <w:sz w:val="24"/>
          <w:szCs w:val="24"/>
        </w:rPr>
        <w:footnoteReference w:id="87"/>
      </w:r>
      <w:r w:rsidR="00AA7556">
        <w:rPr>
          <w:rFonts w:asciiTheme="majorBidi" w:hAnsiTheme="majorBidi" w:cstheme="majorBidi"/>
          <w:sz w:val="24"/>
          <w:szCs w:val="24"/>
        </w:rPr>
        <w:t xml:space="preserve"> </w:t>
      </w:r>
      <w:r w:rsidR="00E951B4">
        <w:rPr>
          <w:rFonts w:asciiTheme="majorBidi" w:hAnsiTheme="majorBidi" w:cstheme="majorBidi"/>
          <w:sz w:val="24"/>
          <w:szCs w:val="24"/>
          <w:lang w:val="sv-SE"/>
        </w:rPr>
        <w:t xml:space="preserve">Sejalan dengan pokok masalah yang ada dalam penelitian ini, maka teori yang dapat digunakan untuk menganalisa dan menjawab permasalahan </w:t>
      </w:r>
      <w:r w:rsidR="009E56E4">
        <w:rPr>
          <w:rFonts w:asciiTheme="majorBidi" w:hAnsiTheme="majorBidi" w:cstheme="majorBidi"/>
          <w:sz w:val="24"/>
          <w:szCs w:val="24"/>
          <w:lang w:val="sv-SE"/>
        </w:rPr>
        <w:t xml:space="preserve">kajian ini </w:t>
      </w:r>
      <w:r w:rsidR="00E951B4">
        <w:rPr>
          <w:rFonts w:asciiTheme="majorBidi" w:hAnsiTheme="majorBidi" w:cstheme="majorBidi"/>
          <w:sz w:val="24"/>
          <w:szCs w:val="24"/>
          <w:lang w:val="sv-SE"/>
        </w:rPr>
        <w:t>adalah:</w:t>
      </w:r>
    </w:p>
    <w:p w:rsidR="00C012EC" w:rsidRDefault="00C012EC" w:rsidP="005C28ED">
      <w:pPr>
        <w:pStyle w:val="ListParagraph"/>
        <w:numPr>
          <w:ilvl w:val="0"/>
          <w:numId w:val="5"/>
        </w:numPr>
        <w:spacing w:after="0" w:line="360" w:lineRule="auto"/>
        <w:ind w:left="630" w:hanging="270"/>
        <w:jc w:val="both"/>
        <w:rPr>
          <w:rFonts w:asciiTheme="majorBidi" w:hAnsiTheme="majorBidi" w:cstheme="majorBidi"/>
          <w:sz w:val="24"/>
          <w:szCs w:val="24"/>
          <w:lang w:val="sv-SE"/>
        </w:rPr>
      </w:pPr>
      <w:r>
        <w:rPr>
          <w:rFonts w:asciiTheme="majorBidi" w:hAnsiTheme="majorBidi" w:cstheme="majorBidi"/>
          <w:sz w:val="24"/>
          <w:szCs w:val="24"/>
          <w:lang w:val="sv-SE"/>
        </w:rPr>
        <w:t>Teori Mas</w:t>
      </w:r>
      <w:r w:rsidRPr="009169D6">
        <w:rPr>
          <w:rFonts w:asciiTheme="majorBidi" w:hAnsiTheme="majorBidi" w:cstheme="majorBidi"/>
          <w:sz w:val="24"/>
          <w:szCs w:val="24"/>
          <w:lang w:val="sv-SE"/>
        </w:rPr>
        <w:t>la</w:t>
      </w:r>
      <w:r w:rsidRPr="009169D6">
        <w:rPr>
          <w:rFonts w:asciiTheme="majorBidi" w:hAnsiTheme="majorBidi" w:cstheme="majorBidi"/>
          <w:sz w:val="24"/>
          <w:szCs w:val="24"/>
          <w:u w:val="single"/>
          <w:lang w:val="sv-SE"/>
        </w:rPr>
        <w:t>h</w:t>
      </w:r>
      <w:r w:rsidRPr="009169D6">
        <w:rPr>
          <w:rFonts w:asciiTheme="majorBidi" w:hAnsiTheme="majorBidi" w:cstheme="majorBidi"/>
          <w:sz w:val="24"/>
          <w:szCs w:val="24"/>
          <w:lang w:val="sv-SE"/>
        </w:rPr>
        <w:t>ah</w:t>
      </w:r>
      <w:r>
        <w:rPr>
          <w:rFonts w:asciiTheme="majorBidi" w:hAnsiTheme="majorBidi" w:cstheme="majorBidi"/>
          <w:sz w:val="24"/>
          <w:szCs w:val="24"/>
          <w:lang w:val="sv-SE"/>
        </w:rPr>
        <w:t xml:space="preserve"> </w:t>
      </w:r>
      <w:r w:rsidR="005C28ED" w:rsidRPr="00A0625A">
        <w:rPr>
          <w:rFonts w:asciiTheme="majorBidi" w:hAnsiTheme="majorBidi" w:cstheme="majorBidi"/>
          <w:sz w:val="24"/>
          <w:szCs w:val="24"/>
        </w:rPr>
        <w:t>al-Thūfī</w:t>
      </w:r>
      <w:r w:rsidR="005C28ED">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 </w:t>
      </w:r>
      <w:r w:rsidRPr="00BB6348">
        <w:rPr>
          <w:rFonts w:asciiTheme="majorBidi" w:hAnsiTheme="majorBidi" w:cstheme="majorBidi"/>
          <w:i/>
          <w:iCs/>
          <w:sz w:val="24"/>
          <w:szCs w:val="24"/>
          <w:lang w:val="sv-SE"/>
        </w:rPr>
        <w:t>Na</w:t>
      </w:r>
      <w:r w:rsidR="004F5898" w:rsidRPr="00D81B1C">
        <w:rPr>
          <w:rFonts w:asciiTheme="majorBidi" w:hAnsiTheme="majorBidi" w:cstheme="majorBidi"/>
          <w:color w:val="222222"/>
          <w:sz w:val="16"/>
          <w:szCs w:val="16"/>
        </w:rPr>
        <w:t>Ẓ</w:t>
      </w:r>
      <w:r w:rsidRPr="00BB6348">
        <w:rPr>
          <w:rFonts w:asciiTheme="majorBidi" w:hAnsiTheme="majorBidi" w:cstheme="majorBidi"/>
          <w:i/>
          <w:iCs/>
          <w:sz w:val="24"/>
          <w:szCs w:val="24"/>
          <w:lang w:val="sv-SE"/>
        </w:rPr>
        <w:t>ariyyah al-</w:t>
      </w:r>
      <w:r w:rsidRPr="009169D6">
        <w:rPr>
          <w:rFonts w:asciiTheme="majorBidi" w:hAnsiTheme="majorBidi" w:cstheme="majorBidi"/>
          <w:i/>
          <w:iCs/>
          <w:sz w:val="24"/>
          <w:szCs w:val="24"/>
          <w:lang w:val="sv-SE"/>
        </w:rPr>
        <w:t xml:space="preserve"> </w:t>
      </w:r>
      <w:r>
        <w:rPr>
          <w:rFonts w:asciiTheme="majorBidi" w:hAnsiTheme="majorBidi" w:cstheme="majorBidi"/>
          <w:i/>
          <w:iCs/>
          <w:sz w:val="24"/>
          <w:szCs w:val="24"/>
          <w:lang w:val="sv-SE"/>
        </w:rPr>
        <w:t>Mas</w:t>
      </w:r>
      <w:r w:rsidRPr="00DE5758">
        <w:rPr>
          <w:rFonts w:asciiTheme="majorBidi" w:hAnsiTheme="majorBidi" w:cstheme="majorBidi"/>
          <w:i/>
          <w:iCs/>
          <w:sz w:val="24"/>
          <w:szCs w:val="24"/>
          <w:lang w:val="sv-SE"/>
        </w:rPr>
        <w:t>la</w:t>
      </w:r>
      <w:r w:rsidRPr="00DE5758">
        <w:rPr>
          <w:rFonts w:asciiTheme="majorBidi" w:hAnsiTheme="majorBidi" w:cstheme="majorBidi"/>
          <w:i/>
          <w:iCs/>
          <w:sz w:val="24"/>
          <w:szCs w:val="24"/>
          <w:u w:val="single"/>
          <w:lang w:val="sv-SE"/>
        </w:rPr>
        <w:t>h</w:t>
      </w:r>
      <w:r w:rsidRPr="00DE5758">
        <w:rPr>
          <w:rFonts w:asciiTheme="majorBidi" w:hAnsiTheme="majorBidi" w:cstheme="majorBidi"/>
          <w:i/>
          <w:iCs/>
          <w:sz w:val="24"/>
          <w:szCs w:val="24"/>
          <w:lang w:val="sv-SE"/>
        </w:rPr>
        <w:t>ah</w:t>
      </w:r>
      <w:r>
        <w:rPr>
          <w:rFonts w:asciiTheme="majorBidi" w:hAnsiTheme="majorBidi" w:cstheme="majorBidi"/>
          <w:i/>
          <w:iCs/>
          <w:sz w:val="24"/>
          <w:szCs w:val="24"/>
          <w:lang w:val="sv-SE"/>
        </w:rPr>
        <w:t xml:space="preserve"> </w:t>
      </w:r>
      <w:r w:rsidR="005C28ED" w:rsidRPr="005C28ED">
        <w:rPr>
          <w:rFonts w:asciiTheme="majorBidi" w:hAnsiTheme="majorBidi" w:cstheme="majorBidi"/>
          <w:i/>
          <w:iCs/>
          <w:sz w:val="24"/>
          <w:szCs w:val="24"/>
        </w:rPr>
        <w:t>al-Thūfī</w:t>
      </w:r>
      <w:r>
        <w:rPr>
          <w:rFonts w:asciiTheme="majorBidi" w:hAnsiTheme="majorBidi" w:cstheme="majorBidi"/>
          <w:sz w:val="24"/>
          <w:szCs w:val="24"/>
          <w:lang w:val="sv-SE"/>
        </w:rPr>
        <w:t>)</w:t>
      </w:r>
    </w:p>
    <w:p w:rsidR="00C012EC" w:rsidRPr="001164B3" w:rsidRDefault="00C012EC" w:rsidP="00107B70">
      <w:pPr>
        <w:spacing w:after="0" w:line="360" w:lineRule="auto"/>
        <w:ind w:firstLine="720"/>
        <w:jc w:val="both"/>
        <w:rPr>
          <w:rFonts w:asciiTheme="majorBidi" w:eastAsiaTheme="minorHAnsi" w:hAnsiTheme="majorBidi" w:cstheme="majorBidi"/>
          <w:sz w:val="24"/>
          <w:szCs w:val="24"/>
        </w:rPr>
      </w:pPr>
      <w:r>
        <w:rPr>
          <w:rFonts w:asciiTheme="majorBidi" w:hAnsiTheme="majorBidi" w:cstheme="majorBidi"/>
          <w:sz w:val="24"/>
          <w:szCs w:val="24"/>
          <w:lang w:val="sv-SE"/>
        </w:rPr>
        <w:t>Mas</w:t>
      </w:r>
      <w:r w:rsidRPr="009169D6">
        <w:rPr>
          <w:rFonts w:asciiTheme="majorBidi" w:hAnsiTheme="majorBidi" w:cstheme="majorBidi"/>
          <w:sz w:val="24"/>
          <w:szCs w:val="24"/>
          <w:lang w:val="sv-SE"/>
        </w:rPr>
        <w:t>la</w:t>
      </w:r>
      <w:r w:rsidRPr="009169D6">
        <w:rPr>
          <w:rFonts w:asciiTheme="majorBidi" w:hAnsiTheme="majorBidi" w:cstheme="majorBidi"/>
          <w:sz w:val="24"/>
          <w:szCs w:val="24"/>
          <w:u w:val="single"/>
          <w:lang w:val="sv-SE"/>
        </w:rPr>
        <w:t>h</w:t>
      </w:r>
      <w:r w:rsidRPr="009169D6">
        <w:rPr>
          <w:rFonts w:asciiTheme="majorBidi" w:hAnsiTheme="majorBidi" w:cstheme="majorBidi"/>
          <w:sz w:val="24"/>
          <w:szCs w:val="24"/>
          <w:lang w:val="sv-SE"/>
        </w:rPr>
        <w:t>ah</w:t>
      </w:r>
      <w:r w:rsidRPr="001164B3">
        <w:rPr>
          <w:rFonts w:asciiTheme="majorBidi" w:eastAsiaTheme="minorHAnsi" w:hAnsiTheme="majorBidi" w:cstheme="majorBidi"/>
          <w:sz w:val="24"/>
          <w:szCs w:val="24"/>
        </w:rPr>
        <w:t xml:space="preserve"> sendiri secara etimologi berasal dari kata </w:t>
      </w:r>
      <w:r w:rsidRPr="001164B3">
        <w:rPr>
          <w:rFonts w:asciiTheme="majorBidi" w:eastAsiaTheme="minorHAnsi" w:hAnsiTheme="majorBidi" w:cstheme="majorBidi"/>
          <w:i/>
          <w:iCs/>
          <w:sz w:val="24"/>
          <w:szCs w:val="24"/>
        </w:rPr>
        <w:t>ṣala</w:t>
      </w:r>
      <w:r w:rsidRPr="001164B3">
        <w:rPr>
          <w:rFonts w:asciiTheme="majorBidi" w:hAnsiTheme="majorBidi" w:cstheme="majorBidi"/>
          <w:i/>
          <w:iCs/>
          <w:sz w:val="24"/>
          <w:szCs w:val="24"/>
          <w:u w:val="single"/>
          <w:lang w:val="sv-SE"/>
        </w:rPr>
        <w:t>h</w:t>
      </w:r>
      <w:r w:rsidRPr="001164B3">
        <w:rPr>
          <w:rFonts w:asciiTheme="majorBidi" w:eastAsiaTheme="minorHAnsi" w:hAnsiTheme="majorBidi" w:cstheme="majorBidi"/>
          <w:i/>
          <w:iCs/>
          <w:sz w:val="24"/>
          <w:szCs w:val="24"/>
        </w:rPr>
        <w:t xml:space="preserve">a </w:t>
      </w:r>
      <w:r w:rsidRPr="001164B3">
        <w:rPr>
          <w:rFonts w:asciiTheme="majorBidi" w:eastAsiaTheme="minorHAnsi" w:hAnsiTheme="majorBidi" w:cstheme="majorBidi"/>
          <w:sz w:val="24"/>
          <w:szCs w:val="24"/>
        </w:rPr>
        <w:t xml:space="preserve">atau </w:t>
      </w:r>
      <w:r w:rsidRPr="001164B3">
        <w:rPr>
          <w:rFonts w:asciiTheme="majorBidi" w:eastAsiaTheme="minorHAnsi" w:hAnsiTheme="majorBidi" w:cstheme="majorBidi"/>
          <w:i/>
          <w:iCs/>
          <w:sz w:val="24"/>
          <w:szCs w:val="24"/>
        </w:rPr>
        <w:t>ṣalu</w:t>
      </w:r>
      <w:r w:rsidRPr="001164B3">
        <w:rPr>
          <w:rFonts w:asciiTheme="majorBidi" w:hAnsiTheme="majorBidi" w:cstheme="majorBidi"/>
          <w:i/>
          <w:iCs/>
          <w:sz w:val="24"/>
          <w:szCs w:val="24"/>
          <w:u w:val="single"/>
          <w:lang w:val="sv-SE"/>
        </w:rPr>
        <w:t>h</w:t>
      </w:r>
      <w:r w:rsidRPr="001164B3">
        <w:rPr>
          <w:rFonts w:asciiTheme="majorBidi" w:eastAsiaTheme="minorHAnsi" w:hAnsiTheme="majorBidi" w:cstheme="majorBidi"/>
          <w:i/>
          <w:iCs/>
          <w:sz w:val="24"/>
          <w:szCs w:val="24"/>
        </w:rPr>
        <w:t>a</w:t>
      </w:r>
      <w:r w:rsidRPr="001164B3">
        <w:rPr>
          <w:rFonts w:asciiTheme="majorBidi" w:eastAsiaTheme="minorHAnsi" w:hAnsiTheme="majorBidi" w:cstheme="majorBidi"/>
          <w:sz w:val="24"/>
          <w:szCs w:val="24"/>
        </w:rPr>
        <w:t xml:space="preserve">. Kata kerja </w:t>
      </w:r>
      <w:r w:rsidRPr="001164B3">
        <w:rPr>
          <w:rFonts w:asciiTheme="majorBidi" w:eastAsiaTheme="minorHAnsi" w:hAnsiTheme="majorBidi" w:cstheme="majorBidi"/>
          <w:i/>
          <w:iCs/>
          <w:sz w:val="24"/>
          <w:szCs w:val="24"/>
        </w:rPr>
        <w:t>ṣalu</w:t>
      </w:r>
      <w:r w:rsidRPr="001164B3">
        <w:rPr>
          <w:rFonts w:asciiTheme="majorBidi" w:hAnsiTheme="majorBidi" w:cstheme="majorBidi"/>
          <w:i/>
          <w:iCs/>
          <w:sz w:val="24"/>
          <w:szCs w:val="24"/>
          <w:u w:val="single"/>
          <w:lang w:val="sv-SE"/>
        </w:rPr>
        <w:t>h</w:t>
      </w:r>
      <w:r w:rsidRPr="001164B3">
        <w:rPr>
          <w:rFonts w:asciiTheme="majorBidi" w:eastAsiaTheme="minorHAnsi" w:hAnsiTheme="majorBidi" w:cstheme="majorBidi"/>
          <w:i/>
          <w:iCs/>
          <w:sz w:val="24"/>
          <w:szCs w:val="24"/>
        </w:rPr>
        <w:t>a</w:t>
      </w:r>
      <w:r w:rsidRPr="001164B3">
        <w:rPr>
          <w:rFonts w:asciiTheme="majorBidi" w:eastAsiaTheme="minorHAnsi" w:hAnsiTheme="majorBidi" w:cstheme="majorBidi"/>
          <w:sz w:val="24"/>
          <w:szCs w:val="24"/>
        </w:rPr>
        <w:t xml:space="preserve"> digunakan </w:t>
      </w:r>
      <w:r w:rsidR="00725D45">
        <w:rPr>
          <w:rFonts w:asciiTheme="majorBidi" w:eastAsiaTheme="minorHAnsi" w:hAnsiTheme="majorBidi" w:cstheme="majorBidi"/>
          <w:sz w:val="24"/>
          <w:szCs w:val="24"/>
        </w:rPr>
        <w:t xml:space="preserve">dalam pengertian </w:t>
      </w:r>
      <w:r w:rsidRPr="001164B3">
        <w:rPr>
          <w:rFonts w:asciiTheme="majorBidi" w:eastAsiaTheme="minorHAnsi" w:hAnsiTheme="majorBidi" w:cstheme="majorBidi"/>
          <w:sz w:val="24"/>
          <w:szCs w:val="24"/>
        </w:rPr>
        <w:t>untuk menunjukkan sesuatu telah menjadi baik, adil, aman, dan yang menunjukkan atas kebajikan-kebajikan tersebut.</w:t>
      </w:r>
      <w:r>
        <w:rPr>
          <w:rStyle w:val="FootnoteReference"/>
          <w:rFonts w:asciiTheme="majorBidi" w:eastAsiaTheme="minorHAnsi" w:hAnsiTheme="majorBidi" w:cstheme="majorBidi"/>
          <w:sz w:val="24"/>
          <w:szCs w:val="24"/>
        </w:rPr>
        <w:footnoteReference w:id="88"/>
      </w:r>
      <w:r w:rsidRPr="001164B3">
        <w:rPr>
          <w:rFonts w:asciiTheme="majorBidi" w:eastAsiaTheme="minorHAnsi" w:hAnsiTheme="majorBidi" w:cstheme="majorBidi"/>
          <w:sz w:val="24"/>
          <w:szCs w:val="24"/>
        </w:rPr>
        <w:t xml:space="preserve"> </w:t>
      </w:r>
      <w:r w:rsidR="00725D45">
        <w:rPr>
          <w:rFonts w:asciiTheme="majorBidi" w:eastAsiaTheme="minorHAnsi" w:hAnsiTheme="majorBidi" w:cstheme="majorBidi"/>
          <w:sz w:val="24"/>
          <w:szCs w:val="24"/>
        </w:rPr>
        <w:t xml:space="preserve">Adapun </w:t>
      </w:r>
      <w:r w:rsidRPr="001164B3">
        <w:rPr>
          <w:rFonts w:asciiTheme="majorBidi" w:eastAsiaTheme="minorHAnsi" w:hAnsiTheme="majorBidi" w:cstheme="majorBidi"/>
          <w:sz w:val="24"/>
          <w:szCs w:val="24"/>
        </w:rPr>
        <w:t xml:space="preserve">Jamak dari lafaz </w:t>
      </w:r>
      <w:r w:rsidRPr="001164B3">
        <w:rPr>
          <w:rFonts w:asciiTheme="majorBidi" w:eastAsiaTheme="minorHAnsi" w:hAnsiTheme="majorBidi" w:cstheme="majorBidi"/>
          <w:i/>
          <w:iCs/>
          <w:sz w:val="24"/>
          <w:szCs w:val="24"/>
        </w:rPr>
        <w:t xml:space="preserve">maṣlaḥah </w:t>
      </w:r>
      <w:r w:rsidRPr="001164B3">
        <w:rPr>
          <w:rFonts w:asciiTheme="majorBidi" w:eastAsiaTheme="minorHAnsi" w:hAnsiTheme="majorBidi" w:cstheme="majorBidi"/>
          <w:sz w:val="24"/>
          <w:szCs w:val="24"/>
        </w:rPr>
        <w:t xml:space="preserve">adalah </w:t>
      </w:r>
      <w:r w:rsidRPr="001164B3">
        <w:rPr>
          <w:rFonts w:asciiTheme="majorBidi" w:eastAsiaTheme="minorHAnsi" w:hAnsiTheme="majorBidi" w:cstheme="majorBidi"/>
          <w:i/>
          <w:iCs/>
          <w:sz w:val="24"/>
          <w:szCs w:val="24"/>
        </w:rPr>
        <w:t>maṣāliḥ</w:t>
      </w:r>
      <w:r w:rsidRPr="001164B3">
        <w:rPr>
          <w:rFonts w:asciiTheme="majorBidi" w:eastAsiaTheme="minorHAnsi" w:hAnsiTheme="majorBidi" w:cstheme="majorBidi"/>
          <w:sz w:val="24"/>
          <w:szCs w:val="24"/>
        </w:rPr>
        <w:t>.</w:t>
      </w:r>
      <w:r>
        <w:rPr>
          <w:rStyle w:val="FootnoteReference"/>
          <w:rFonts w:asciiTheme="majorBidi" w:eastAsiaTheme="minorHAnsi" w:hAnsiTheme="majorBidi" w:cstheme="majorBidi"/>
          <w:sz w:val="24"/>
          <w:szCs w:val="24"/>
        </w:rPr>
        <w:footnoteReference w:id="89"/>
      </w:r>
      <w:r w:rsidRPr="001164B3">
        <w:rPr>
          <w:rFonts w:asciiTheme="majorBidi" w:eastAsiaTheme="minorHAnsi" w:hAnsiTheme="majorBidi" w:cstheme="majorBidi"/>
          <w:sz w:val="24"/>
          <w:szCs w:val="24"/>
        </w:rPr>
        <w:t xml:space="preserve"> Atau</w:t>
      </w:r>
      <w:r>
        <w:rPr>
          <w:rFonts w:asciiTheme="majorBidi" w:eastAsiaTheme="minorHAnsi" w:hAnsiTheme="majorBidi" w:cstheme="majorBidi"/>
          <w:sz w:val="24"/>
          <w:szCs w:val="24"/>
        </w:rPr>
        <w:t xml:space="preserve"> </w:t>
      </w:r>
      <w:r w:rsidRPr="001164B3">
        <w:rPr>
          <w:rFonts w:asciiTheme="majorBidi" w:eastAsiaTheme="minorHAnsi" w:hAnsiTheme="majorBidi" w:cstheme="majorBidi"/>
          <w:sz w:val="24"/>
          <w:szCs w:val="24"/>
        </w:rPr>
        <w:t xml:space="preserve">berasal dari kata </w:t>
      </w:r>
      <w:r w:rsidRPr="001164B3">
        <w:rPr>
          <w:rFonts w:asciiTheme="majorBidi" w:eastAsiaTheme="minorHAnsi" w:hAnsiTheme="majorBidi" w:cstheme="majorBidi"/>
          <w:i/>
          <w:iCs/>
          <w:sz w:val="24"/>
          <w:szCs w:val="24"/>
        </w:rPr>
        <w:t xml:space="preserve">iṣlāḥ </w:t>
      </w:r>
      <w:r w:rsidRPr="001164B3">
        <w:rPr>
          <w:rFonts w:asciiTheme="majorBidi" w:eastAsiaTheme="minorHAnsi" w:hAnsiTheme="majorBidi" w:cstheme="majorBidi"/>
          <w:sz w:val="24"/>
          <w:szCs w:val="24"/>
        </w:rPr>
        <w:t xml:space="preserve">atau </w:t>
      </w:r>
      <w:r w:rsidRPr="001164B3">
        <w:rPr>
          <w:rFonts w:asciiTheme="majorBidi" w:eastAsiaTheme="minorHAnsi" w:hAnsiTheme="majorBidi" w:cstheme="majorBidi"/>
          <w:i/>
          <w:iCs/>
          <w:sz w:val="24"/>
          <w:szCs w:val="24"/>
        </w:rPr>
        <w:t xml:space="preserve">al-ṣulḥ </w:t>
      </w:r>
      <w:r w:rsidRPr="001164B3">
        <w:rPr>
          <w:rFonts w:asciiTheme="majorBidi" w:eastAsiaTheme="minorHAnsi" w:hAnsiTheme="majorBidi" w:cstheme="majorBidi"/>
          <w:sz w:val="24"/>
          <w:szCs w:val="24"/>
        </w:rPr>
        <w:t xml:space="preserve">yang berarti damai dan tenteram. Damai berorientasi kepada fisik dan tenteram berorientasi pada jiwa, sehingga menurut al-Shāṭibī (w. </w:t>
      </w:r>
      <w:r w:rsidRPr="001164B3">
        <w:rPr>
          <w:rFonts w:asciiTheme="majorBidi" w:eastAsiaTheme="minorHAnsi" w:hAnsiTheme="majorBidi" w:cstheme="majorBidi"/>
          <w:sz w:val="24"/>
          <w:szCs w:val="24"/>
        </w:rPr>
        <w:lastRenderedPageBreak/>
        <w:t>790 H) maslahat berarti perolehan manfaat dan penolakan</w:t>
      </w:r>
      <w:r>
        <w:rPr>
          <w:rFonts w:asciiTheme="majorBidi" w:eastAsiaTheme="minorHAnsi" w:hAnsiTheme="majorBidi" w:cstheme="majorBidi"/>
          <w:sz w:val="24"/>
          <w:szCs w:val="24"/>
        </w:rPr>
        <w:t xml:space="preserve"> terhadap segala bentuk kemudharat</w:t>
      </w:r>
      <w:r w:rsidRPr="001164B3">
        <w:rPr>
          <w:rFonts w:asciiTheme="majorBidi" w:eastAsiaTheme="minorHAnsi" w:hAnsiTheme="majorBidi" w:cstheme="majorBidi"/>
          <w:sz w:val="24"/>
          <w:szCs w:val="24"/>
        </w:rPr>
        <w:t>an atau kesukaran.</w:t>
      </w:r>
      <w:r>
        <w:rPr>
          <w:rStyle w:val="FootnoteReference"/>
          <w:rFonts w:asciiTheme="majorBidi" w:eastAsiaTheme="minorHAnsi" w:hAnsiTheme="majorBidi" w:cstheme="majorBidi"/>
          <w:sz w:val="24"/>
          <w:szCs w:val="24"/>
        </w:rPr>
        <w:footnoteReference w:id="90"/>
      </w:r>
    </w:p>
    <w:p w:rsidR="00C012EC" w:rsidRDefault="00C012EC" w:rsidP="00FD4587">
      <w:pPr>
        <w:pStyle w:val="ListParagraph"/>
        <w:spacing w:after="0" w:line="360" w:lineRule="auto"/>
        <w:ind w:left="0" w:firstLine="720"/>
        <w:jc w:val="both"/>
        <w:rPr>
          <w:rFonts w:ascii="Times New Roman" w:hAnsi="Times New Roman" w:cs="Times New Roman"/>
          <w:spacing w:val="6"/>
          <w:sz w:val="24"/>
          <w:szCs w:val="24"/>
          <w:lang w:val="sv-SE"/>
        </w:rPr>
      </w:pPr>
      <w:r w:rsidRPr="00DE5758">
        <w:rPr>
          <w:rFonts w:asciiTheme="majorBidi" w:hAnsiTheme="majorBidi" w:cstheme="majorBidi"/>
          <w:i/>
          <w:iCs/>
          <w:sz w:val="24"/>
          <w:szCs w:val="24"/>
          <w:lang w:val="sv-SE"/>
        </w:rPr>
        <w:t>Mashla</w:t>
      </w:r>
      <w:r w:rsidRPr="00DE5758">
        <w:rPr>
          <w:rFonts w:asciiTheme="majorBidi" w:hAnsiTheme="majorBidi" w:cstheme="majorBidi"/>
          <w:i/>
          <w:iCs/>
          <w:sz w:val="24"/>
          <w:szCs w:val="24"/>
          <w:u w:val="single"/>
          <w:lang w:val="sv-SE"/>
        </w:rPr>
        <w:t>h</w:t>
      </w:r>
      <w:r w:rsidRPr="00DE5758">
        <w:rPr>
          <w:rFonts w:asciiTheme="majorBidi" w:hAnsiTheme="majorBidi" w:cstheme="majorBidi"/>
          <w:i/>
          <w:iCs/>
          <w:sz w:val="24"/>
          <w:szCs w:val="24"/>
          <w:lang w:val="sv-SE"/>
        </w:rPr>
        <w:t>ah</w:t>
      </w:r>
      <w:r w:rsidRPr="00DE5758">
        <w:rPr>
          <w:rFonts w:asciiTheme="majorBidi" w:hAnsiTheme="majorBidi" w:cstheme="majorBidi"/>
          <w:sz w:val="24"/>
          <w:szCs w:val="24"/>
          <w:lang w:val="sv-SE"/>
        </w:rPr>
        <w:t xml:space="preserve"> dimaknai</w:t>
      </w:r>
      <w:r w:rsidRPr="00DE5758">
        <w:rPr>
          <w:rFonts w:asciiTheme="majorBidi" w:hAnsiTheme="majorBidi" w:cstheme="majorBidi"/>
          <w:i/>
          <w:iCs/>
          <w:sz w:val="24"/>
          <w:szCs w:val="24"/>
          <w:lang w:val="sv-SE"/>
        </w:rPr>
        <w:t xml:space="preserve"> </w:t>
      </w:r>
      <w:r w:rsidRPr="00DE5758">
        <w:rPr>
          <w:rFonts w:asciiTheme="majorBidi" w:hAnsiTheme="majorBidi" w:cstheme="majorBidi"/>
          <w:sz w:val="24"/>
          <w:szCs w:val="24"/>
          <w:lang w:val="sv-SE"/>
        </w:rPr>
        <w:t>Sebagai perbuatan yang bersifat mendatangkan kebaikan maupun manfaat baik secara berkelanjutan dalam setiap waktu maupun pada sebagian besarnya saja, baik dirasakan oleh orang banyak maupun beberapa orang saja dari mereka”.</w:t>
      </w:r>
      <w:r w:rsidRPr="0085335F">
        <w:rPr>
          <w:rStyle w:val="FootnoteReference"/>
          <w:rFonts w:asciiTheme="majorBidi" w:hAnsiTheme="majorBidi" w:cstheme="majorBidi"/>
          <w:sz w:val="24"/>
          <w:szCs w:val="24"/>
        </w:rPr>
        <w:footnoteReference w:id="91"/>
      </w:r>
      <w:r w:rsidRPr="00DE5758">
        <w:rPr>
          <w:rFonts w:asciiTheme="majorBidi" w:hAnsiTheme="majorBidi" w:cstheme="majorBidi"/>
          <w:sz w:val="24"/>
          <w:szCs w:val="24"/>
          <w:lang w:val="sv-SE"/>
        </w:rPr>
        <w:t xml:space="preserve"> </w:t>
      </w:r>
      <w:r w:rsidR="00907A80">
        <w:rPr>
          <w:rFonts w:ascii="Times New Roman" w:hAnsi="Times New Roman" w:cs="Times New Roman"/>
          <w:spacing w:val="6"/>
          <w:sz w:val="24"/>
          <w:szCs w:val="24"/>
          <w:lang w:val="sv-SE"/>
        </w:rPr>
        <w:t>Syariat</w:t>
      </w:r>
      <w:r w:rsidRPr="00DE5758">
        <w:rPr>
          <w:rFonts w:ascii="Times New Roman" w:hAnsi="Times New Roman" w:cs="Times New Roman"/>
          <w:spacing w:val="6"/>
          <w:sz w:val="24"/>
          <w:szCs w:val="24"/>
          <w:lang w:val="sv-SE"/>
        </w:rPr>
        <w:t xml:space="preserve"> Islam diturunkan untuk merealisasikan </w:t>
      </w:r>
      <w:r w:rsidRPr="00DE5758">
        <w:rPr>
          <w:rFonts w:ascii="Times New Roman" w:hAnsi="Times New Roman" w:cs="Times New Roman"/>
          <w:i/>
          <w:iCs/>
          <w:spacing w:val="6"/>
          <w:sz w:val="24"/>
          <w:szCs w:val="24"/>
          <w:lang w:val="sv-SE"/>
        </w:rPr>
        <w:t>ma</w:t>
      </w:r>
      <w:r w:rsidR="00FD4587" w:rsidRPr="009260BA">
        <w:rPr>
          <w:rFonts w:asciiTheme="majorBidi" w:hAnsiTheme="majorBidi" w:cstheme="majorBidi"/>
          <w:i/>
          <w:iCs/>
          <w:color w:val="222222"/>
          <w:sz w:val="24"/>
          <w:szCs w:val="24"/>
        </w:rPr>
        <w:t>ṣ</w:t>
      </w:r>
      <w:r w:rsidRPr="00DE5758">
        <w:rPr>
          <w:rFonts w:ascii="Times New Roman" w:hAnsi="Times New Roman" w:cs="Times New Roman"/>
          <w:i/>
          <w:iCs/>
          <w:spacing w:val="6"/>
          <w:sz w:val="24"/>
          <w:szCs w:val="24"/>
          <w:lang w:val="sv-SE"/>
        </w:rPr>
        <w:t>la</w:t>
      </w:r>
      <w:r w:rsidRPr="00DE5758">
        <w:rPr>
          <w:rFonts w:ascii="Times New Roman" w:hAnsi="Times New Roman" w:cs="Times New Roman"/>
          <w:i/>
          <w:iCs/>
          <w:spacing w:val="6"/>
          <w:sz w:val="24"/>
          <w:szCs w:val="24"/>
          <w:u w:val="single"/>
          <w:lang w:val="sv-SE"/>
        </w:rPr>
        <w:t>h</w:t>
      </w:r>
      <w:r w:rsidRPr="00DE5758">
        <w:rPr>
          <w:rFonts w:ascii="Times New Roman" w:hAnsi="Times New Roman" w:cs="Times New Roman"/>
          <w:i/>
          <w:iCs/>
          <w:spacing w:val="6"/>
          <w:sz w:val="24"/>
          <w:szCs w:val="24"/>
          <w:lang w:val="sv-SE"/>
        </w:rPr>
        <w:t>ah</w:t>
      </w:r>
      <w:r w:rsidRPr="00DE5758">
        <w:rPr>
          <w:rFonts w:ascii="Times New Roman" w:hAnsi="Times New Roman" w:cs="Times New Roman"/>
          <w:spacing w:val="6"/>
          <w:sz w:val="24"/>
          <w:szCs w:val="24"/>
          <w:lang w:val="sv-SE"/>
        </w:rPr>
        <w:t xml:space="preserve"> secara mutlak, kemaslahatan duniawi dan ukhrawi. Kemaslahatan yang dimaksud bukanlah kemaslahatan dengan mengikuti hawa nafsu belaka, tetapi kemaslahatan duniawi yang mengarah kepada kemaslahatan ukhrawi sesuai dengan tuntunan Ilahi.</w:t>
      </w:r>
      <w:r>
        <w:rPr>
          <w:rStyle w:val="FootnoteReference"/>
          <w:rFonts w:ascii="Times New Roman" w:hAnsi="Times New Roman" w:cs="Times New Roman"/>
          <w:spacing w:val="6"/>
          <w:sz w:val="24"/>
          <w:szCs w:val="24"/>
          <w:lang w:val="sv-SE"/>
        </w:rPr>
        <w:footnoteReference w:id="92"/>
      </w:r>
      <w:r w:rsidRPr="00DE5758">
        <w:rPr>
          <w:rFonts w:ascii="Times New Roman" w:hAnsi="Times New Roman" w:cs="Times New Roman"/>
          <w:spacing w:val="6"/>
          <w:sz w:val="24"/>
          <w:szCs w:val="24"/>
          <w:lang w:val="sv-SE"/>
        </w:rPr>
        <w:t xml:space="preserve"> </w:t>
      </w:r>
    </w:p>
    <w:p w:rsidR="00C012EC" w:rsidRPr="000541F1" w:rsidRDefault="00C012EC" w:rsidP="00FD4587">
      <w:pPr>
        <w:pStyle w:val="ListParagraph"/>
        <w:spacing w:after="0" w:line="360" w:lineRule="auto"/>
        <w:ind w:left="0" w:firstLine="720"/>
        <w:jc w:val="both"/>
        <w:rPr>
          <w:rFonts w:asciiTheme="majorBidi" w:hAnsiTheme="majorBidi" w:cstheme="majorBidi"/>
          <w:sz w:val="24"/>
          <w:szCs w:val="24"/>
          <w:lang w:val="sv-SE"/>
        </w:rPr>
      </w:pPr>
      <w:r>
        <w:rPr>
          <w:rFonts w:asciiTheme="majorBidi" w:hAnsiTheme="majorBidi" w:cstheme="majorBidi"/>
          <w:sz w:val="24"/>
          <w:szCs w:val="24"/>
          <w:lang w:val="sv-SE"/>
        </w:rPr>
        <w:t xml:space="preserve">Maslahat menurut </w:t>
      </w:r>
      <w:r w:rsidR="005C28ED">
        <w:rPr>
          <w:rFonts w:asciiTheme="majorBidi" w:hAnsiTheme="majorBidi" w:cstheme="majorBidi"/>
          <w:sz w:val="24"/>
          <w:szCs w:val="24"/>
          <w:lang w:val="sv-SE"/>
        </w:rPr>
        <w:t>al-Thūfī</w:t>
      </w:r>
      <w:r w:rsidR="005763AA">
        <w:rPr>
          <w:rFonts w:asciiTheme="majorBidi" w:hAnsiTheme="majorBidi" w:cstheme="majorBidi"/>
          <w:sz w:val="24"/>
          <w:szCs w:val="24"/>
          <w:lang w:val="sv-SE"/>
        </w:rPr>
        <w:t xml:space="preserve"> </w:t>
      </w:r>
      <w:r w:rsidR="00907A80">
        <w:rPr>
          <w:rFonts w:asciiTheme="majorBidi" w:hAnsiTheme="majorBidi" w:cstheme="majorBidi"/>
          <w:sz w:val="24"/>
          <w:szCs w:val="24"/>
          <w:lang w:val="sv-SE"/>
        </w:rPr>
        <w:t>(</w:t>
      </w:r>
      <w:r w:rsidR="00D041BE">
        <w:rPr>
          <w:rFonts w:asciiTheme="majorBidi" w:hAnsiTheme="majorBidi" w:cstheme="majorBidi"/>
          <w:sz w:val="24"/>
          <w:szCs w:val="24"/>
          <w:lang w:val="sv-SE"/>
        </w:rPr>
        <w:t>w. 716 H)</w:t>
      </w:r>
      <w:r w:rsidR="005763AA">
        <w:rPr>
          <w:rFonts w:asciiTheme="majorBidi" w:hAnsiTheme="majorBidi" w:cstheme="majorBidi"/>
          <w:sz w:val="24"/>
          <w:szCs w:val="24"/>
          <w:lang w:val="sv-SE"/>
        </w:rPr>
        <w:t xml:space="preserve"> </w:t>
      </w:r>
      <w:r>
        <w:rPr>
          <w:rFonts w:asciiTheme="majorBidi" w:hAnsiTheme="majorBidi" w:cstheme="majorBidi"/>
          <w:sz w:val="24"/>
          <w:szCs w:val="24"/>
          <w:lang w:val="sv-SE"/>
        </w:rPr>
        <w:t>adalah sebab yang meng</w:t>
      </w:r>
      <w:r w:rsidR="004F5898">
        <w:rPr>
          <w:rFonts w:asciiTheme="majorBidi" w:hAnsiTheme="majorBidi" w:cstheme="majorBidi"/>
          <w:sz w:val="24"/>
          <w:szCs w:val="24"/>
          <w:lang w:val="sv-SE"/>
        </w:rPr>
        <w:t>antarkan kepada tujuan</w:t>
      </w:r>
      <w:r w:rsidR="00907A80">
        <w:rPr>
          <w:rFonts w:asciiTheme="majorBidi" w:hAnsiTheme="majorBidi" w:cstheme="majorBidi"/>
          <w:sz w:val="24"/>
          <w:szCs w:val="24"/>
          <w:lang w:val="sv-SE"/>
        </w:rPr>
        <w:t xml:space="preserve"> </w:t>
      </w:r>
      <w:r w:rsidR="004F5898" w:rsidRPr="00FD4587">
        <w:rPr>
          <w:rFonts w:asciiTheme="majorBidi" w:hAnsiTheme="majorBidi" w:cstheme="majorBidi"/>
          <w:i/>
          <w:iCs/>
          <w:sz w:val="24"/>
          <w:szCs w:val="24"/>
          <w:lang w:val="sv-SE"/>
        </w:rPr>
        <w:t>sy</w:t>
      </w:r>
      <w:r w:rsidR="00FD4587" w:rsidRPr="00D041BE">
        <w:rPr>
          <w:rFonts w:asciiTheme="majorBidi" w:eastAsiaTheme="minorHAnsi" w:hAnsiTheme="majorBidi" w:cstheme="majorBidi"/>
          <w:i/>
          <w:iCs/>
          <w:sz w:val="24"/>
          <w:szCs w:val="24"/>
          <w:lang w:val="sv-SE"/>
        </w:rPr>
        <w:t>ā</w:t>
      </w:r>
      <w:r w:rsidR="004F5898" w:rsidRPr="00FD4587">
        <w:rPr>
          <w:rFonts w:asciiTheme="majorBidi" w:hAnsiTheme="majorBidi" w:cstheme="majorBidi"/>
          <w:i/>
          <w:iCs/>
          <w:sz w:val="24"/>
          <w:szCs w:val="24"/>
          <w:lang w:val="sv-SE"/>
        </w:rPr>
        <w:t>ri</w:t>
      </w:r>
      <w:r w:rsidR="00FD4587" w:rsidRPr="00D041BE">
        <w:rPr>
          <w:lang w:val="sv-SE"/>
        </w:rPr>
        <w:t>‘</w:t>
      </w:r>
      <w:r w:rsidR="004F5898">
        <w:rPr>
          <w:rFonts w:asciiTheme="majorBidi" w:hAnsiTheme="majorBidi" w:cstheme="majorBidi"/>
          <w:sz w:val="24"/>
          <w:szCs w:val="24"/>
          <w:lang w:val="sv-SE"/>
        </w:rPr>
        <w:t>(</w:t>
      </w:r>
      <w:r>
        <w:rPr>
          <w:rFonts w:asciiTheme="majorBidi" w:hAnsiTheme="majorBidi" w:cstheme="majorBidi"/>
          <w:sz w:val="24"/>
          <w:szCs w:val="24"/>
          <w:lang w:val="sv-SE"/>
        </w:rPr>
        <w:t>Allah) baik ibadah maupun adat istiadat.</w:t>
      </w:r>
      <w:r>
        <w:rPr>
          <w:rStyle w:val="FootnoteReference"/>
          <w:rFonts w:asciiTheme="majorBidi" w:hAnsiTheme="majorBidi" w:cstheme="majorBidi"/>
          <w:sz w:val="24"/>
          <w:szCs w:val="24"/>
          <w:lang w:val="sv-SE"/>
        </w:rPr>
        <w:footnoteReference w:id="93"/>
      </w:r>
      <w:r>
        <w:rPr>
          <w:rFonts w:asciiTheme="majorBidi" w:hAnsiTheme="majorBidi" w:cstheme="majorBidi"/>
          <w:sz w:val="24"/>
          <w:szCs w:val="24"/>
          <w:lang w:val="sv-SE"/>
        </w:rPr>
        <w:t xml:space="preserve"> </w:t>
      </w:r>
      <w:r w:rsidR="004F5898">
        <w:rPr>
          <w:rFonts w:ascii="Times New Roman" w:eastAsiaTheme="minorHAnsi" w:hAnsi="Times New Roman" w:cs="Times New Roman"/>
          <w:sz w:val="24"/>
          <w:szCs w:val="24"/>
        </w:rPr>
        <w:t xml:space="preserve">Dalam mengutarakan teori </w:t>
      </w:r>
      <w:r w:rsidR="004F5898" w:rsidRPr="00DE5758">
        <w:rPr>
          <w:rFonts w:asciiTheme="majorBidi" w:hAnsiTheme="majorBidi" w:cstheme="majorBidi"/>
          <w:i/>
          <w:iCs/>
          <w:sz w:val="24"/>
          <w:szCs w:val="24"/>
          <w:lang w:val="sv-SE"/>
        </w:rPr>
        <w:t>ma</w:t>
      </w:r>
      <w:r w:rsidR="00FD4587" w:rsidRPr="009260BA">
        <w:rPr>
          <w:rFonts w:asciiTheme="majorBidi" w:hAnsiTheme="majorBidi" w:cstheme="majorBidi"/>
          <w:i/>
          <w:iCs/>
          <w:color w:val="222222"/>
          <w:sz w:val="24"/>
          <w:szCs w:val="24"/>
        </w:rPr>
        <w:t>ṣ</w:t>
      </w:r>
      <w:r w:rsidR="004F5898" w:rsidRPr="00DE5758">
        <w:rPr>
          <w:rFonts w:asciiTheme="majorBidi" w:hAnsiTheme="majorBidi" w:cstheme="majorBidi"/>
          <w:i/>
          <w:iCs/>
          <w:sz w:val="24"/>
          <w:szCs w:val="24"/>
          <w:lang w:val="sv-SE"/>
        </w:rPr>
        <w:t>la</w:t>
      </w:r>
      <w:r w:rsidR="004F5898" w:rsidRPr="00DE5758">
        <w:rPr>
          <w:rFonts w:asciiTheme="majorBidi" w:hAnsiTheme="majorBidi" w:cstheme="majorBidi"/>
          <w:i/>
          <w:iCs/>
          <w:sz w:val="24"/>
          <w:szCs w:val="24"/>
          <w:u w:val="single"/>
          <w:lang w:val="sv-SE"/>
        </w:rPr>
        <w:t>h</w:t>
      </w:r>
      <w:r w:rsidR="004F5898" w:rsidRPr="00DE5758">
        <w:rPr>
          <w:rFonts w:asciiTheme="majorBidi" w:hAnsiTheme="majorBidi" w:cstheme="majorBidi"/>
          <w:i/>
          <w:iCs/>
          <w:sz w:val="24"/>
          <w:szCs w:val="24"/>
          <w:lang w:val="sv-SE"/>
        </w:rPr>
        <w:t>ah</w:t>
      </w:r>
      <w:r w:rsidR="004F5898">
        <w:rPr>
          <w:rFonts w:asciiTheme="majorBidi" w:hAnsiTheme="majorBidi" w:cstheme="majorBidi"/>
          <w:i/>
          <w:iCs/>
          <w:sz w:val="24"/>
          <w:szCs w:val="24"/>
          <w:lang w:val="sv-SE"/>
        </w:rPr>
        <w:t>nya</w:t>
      </w:r>
      <w:r w:rsidRPr="00BB0DFB">
        <w:rPr>
          <w:rFonts w:ascii="Times New Roman" w:eastAsiaTheme="minorHAnsi" w:hAnsi="Times New Roman" w:cs="Times New Roman"/>
          <w:sz w:val="24"/>
          <w:szCs w:val="24"/>
        </w:rPr>
        <w:t xml:space="preserve">, </w:t>
      </w:r>
      <w:r w:rsidR="005C28ED">
        <w:rPr>
          <w:rFonts w:ascii="Times New Roman" w:eastAsiaTheme="minorHAnsi" w:hAnsi="Times New Roman" w:cs="Times New Roman"/>
          <w:sz w:val="24"/>
          <w:szCs w:val="24"/>
        </w:rPr>
        <w:t>al-Thūfī</w:t>
      </w:r>
      <w:r>
        <w:rPr>
          <w:rFonts w:ascii="Times New Roman" w:eastAsiaTheme="minorHAnsi" w:hAnsi="Times New Roman" w:cs="Times New Roman"/>
          <w:sz w:val="24"/>
          <w:szCs w:val="24"/>
        </w:rPr>
        <w:t xml:space="preserve"> menyandarkan pada lima</w:t>
      </w:r>
      <w:r w:rsidRPr="00BB0DFB">
        <w:rPr>
          <w:rFonts w:ascii="Times New Roman" w:eastAsiaTheme="minorHAnsi" w:hAnsi="Times New Roman" w:cs="Times New Roman"/>
          <w:sz w:val="24"/>
          <w:szCs w:val="24"/>
        </w:rPr>
        <w:t xml:space="preserve"> prinsip utama</w:t>
      </w:r>
      <w:r>
        <w:rPr>
          <w:rFonts w:ascii="Times New Roman" w:eastAsiaTheme="minorHAnsi" w:hAnsi="Times New Roman" w:cs="Times New Roman"/>
          <w:sz w:val="24"/>
          <w:szCs w:val="24"/>
        </w:rPr>
        <w:t xml:space="preserve">, yaitu : </w:t>
      </w:r>
      <w:r w:rsidRPr="00BB0DFB">
        <w:rPr>
          <w:rFonts w:ascii="Times New Roman" w:eastAsiaTheme="minorHAnsi" w:hAnsi="Times New Roman" w:cs="Times New Roman"/>
          <w:sz w:val="24"/>
          <w:szCs w:val="24"/>
        </w:rPr>
        <w:t xml:space="preserve"> </w:t>
      </w:r>
    </w:p>
    <w:p w:rsidR="00C012EC" w:rsidRPr="00FD4587" w:rsidRDefault="00C012EC" w:rsidP="00FD4587">
      <w:pPr>
        <w:pStyle w:val="ListParagraph"/>
        <w:spacing w:line="360" w:lineRule="auto"/>
        <w:ind w:left="0" w:firstLine="630"/>
        <w:jc w:val="both"/>
        <w:rPr>
          <w:rFonts w:asciiTheme="majorBidi" w:hAnsiTheme="majorBidi" w:cstheme="majorBidi"/>
          <w:i/>
          <w:iCs/>
          <w:rtl/>
          <w:lang w:val="sv-SE"/>
        </w:rPr>
      </w:pPr>
      <w:r w:rsidRPr="00FD4587">
        <w:rPr>
          <w:rFonts w:ascii="Times New Roman" w:eastAsiaTheme="minorHAnsi" w:hAnsi="Times New Roman" w:cs="Times New Roman"/>
          <w:sz w:val="24"/>
          <w:szCs w:val="24"/>
          <w:lang w:val="sv-SE"/>
        </w:rPr>
        <w:t xml:space="preserve">Pertama, </w:t>
      </w:r>
      <w:r w:rsidRPr="00FD4587">
        <w:rPr>
          <w:rFonts w:ascii="Times New Roman" w:eastAsiaTheme="minorHAnsi" w:hAnsi="Times New Roman" w:cs="Times New Roman"/>
          <w:i/>
          <w:iCs/>
          <w:sz w:val="24"/>
          <w:szCs w:val="24"/>
          <w:lang w:val="sv-SE"/>
        </w:rPr>
        <w:t>istiql</w:t>
      </w:r>
      <w:r w:rsidR="00FD4587" w:rsidRPr="00FD4587">
        <w:rPr>
          <w:rFonts w:asciiTheme="majorBidi" w:eastAsiaTheme="minorHAnsi" w:hAnsiTheme="majorBidi" w:cstheme="majorBidi"/>
          <w:i/>
          <w:iCs/>
          <w:sz w:val="24"/>
          <w:szCs w:val="24"/>
          <w:lang w:val="sv-SE"/>
        </w:rPr>
        <w:t>ā</w:t>
      </w:r>
      <w:r w:rsidRPr="00FD4587">
        <w:rPr>
          <w:rFonts w:ascii="Times New Roman" w:eastAsiaTheme="minorHAnsi" w:hAnsi="Times New Roman" w:cs="Times New Roman"/>
          <w:i/>
          <w:iCs/>
          <w:sz w:val="24"/>
          <w:szCs w:val="24"/>
          <w:lang w:val="sv-SE"/>
        </w:rPr>
        <w:t>l al-‘uq</w:t>
      </w:r>
      <w:r w:rsidR="00FD4587" w:rsidRPr="00FD4587">
        <w:rPr>
          <w:rFonts w:asciiTheme="majorBidi" w:hAnsiTheme="majorBidi" w:cstheme="majorBidi"/>
          <w:i/>
          <w:iCs/>
          <w:lang w:val="sv-SE"/>
        </w:rPr>
        <w:t>ū</w:t>
      </w:r>
      <w:r w:rsidRPr="00FD4587">
        <w:rPr>
          <w:rFonts w:ascii="Times New Roman" w:eastAsiaTheme="minorHAnsi" w:hAnsi="Times New Roman" w:cs="Times New Roman"/>
          <w:i/>
          <w:iCs/>
          <w:sz w:val="24"/>
          <w:szCs w:val="24"/>
          <w:lang w:val="sv-SE"/>
        </w:rPr>
        <w:t>l bi idr</w:t>
      </w:r>
      <w:r w:rsidR="00FD4587" w:rsidRPr="00FD4587">
        <w:rPr>
          <w:rFonts w:asciiTheme="majorBidi" w:eastAsiaTheme="minorHAnsi" w:hAnsiTheme="majorBidi" w:cstheme="majorBidi"/>
          <w:i/>
          <w:iCs/>
          <w:sz w:val="24"/>
          <w:szCs w:val="24"/>
          <w:lang w:val="sv-SE"/>
        </w:rPr>
        <w:t>ā</w:t>
      </w:r>
      <w:r w:rsidRPr="00FD4587">
        <w:rPr>
          <w:rFonts w:ascii="Times New Roman" w:eastAsiaTheme="minorHAnsi" w:hAnsi="Times New Roman" w:cs="Times New Roman"/>
          <w:i/>
          <w:iCs/>
          <w:sz w:val="24"/>
          <w:szCs w:val="24"/>
          <w:lang w:val="sv-SE"/>
        </w:rPr>
        <w:t>k al-ma</w:t>
      </w:r>
      <w:r w:rsidR="00FD4587" w:rsidRPr="00FD4587">
        <w:rPr>
          <w:rFonts w:asciiTheme="majorBidi" w:hAnsiTheme="majorBidi" w:cstheme="majorBidi"/>
          <w:i/>
          <w:iCs/>
          <w:color w:val="222222"/>
          <w:sz w:val="24"/>
          <w:szCs w:val="24"/>
          <w:lang w:val="sv-SE"/>
        </w:rPr>
        <w:t>ṣ</w:t>
      </w:r>
      <w:r w:rsidR="00FD4587" w:rsidRPr="00FD4587">
        <w:rPr>
          <w:rFonts w:asciiTheme="majorBidi" w:eastAsiaTheme="minorHAnsi" w:hAnsiTheme="majorBidi" w:cstheme="majorBidi"/>
          <w:i/>
          <w:iCs/>
          <w:sz w:val="24"/>
          <w:szCs w:val="24"/>
          <w:lang w:val="sv-SE"/>
        </w:rPr>
        <w:t>ā</w:t>
      </w:r>
      <w:r w:rsidRPr="00FD4587">
        <w:rPr>
          <w:rFonts w:ascii="Times New Roman" w:eastAsiaTheme="minorHAnsi" w:hAnsi="Times New Roman" w:cs="Times New Roman"/>
          <w:i/>
          <w:iCs/>
          <w:sz w:val="24"/>
          <w:szCs w:val="24"/>
          <w:lang w:val="sv-SE"/>
        </w:rPr>
        <w:t>lih wa al-maf</w:t>
      </w:r>
      <w:r w:rsidR="00FD4587" w:rsidRPr="00FD4587">
        <w:rPr>
          <w:rFonts w:asciiTheme="majorBidi" w:eastAsiaTheme="minorHAnsi" w:hAnsiTheme="majorBidi" w:cstheme="majorBidi"/>
          <w:i/>
          <w:iCs/>
          <w:sz w:val="24"/>
          <w:szCs w:val="24"/>
          <w:lang w:val="sv-SE"/>
        </w:rPr>
        <w:t>ā</w:t>
      </w:r>
      <w:r w:rsidRPr="00FD4587">
        <w:rPr>
          <w:rFonts w:ascii="Times New Roman" w:eastAsiaTheme="minorHAnsi" w:hAnsi="Times New Roman" w:cs="Times New Roman"/>
          <w:i/>
          <w:iCs/>
          <w:sz w:val="24"/>
          <w:szCs w:val="24"/>
          <w:lang w:val="sv-SE"/>
        </w:rPr>
        <w:t>sid</w:t>
      </w:r>
      <w:r w:rsidRPr="00FD4587">
        <w:rPr>
          <w:rFonts w:ascii="Times New Roman" w:eastAsiaTheme="minorHAnsi" w:hAnsi="Times New Roman" w:cs="Times New Roman"/>
          <w:sz w:val="24"/>
          <w:szCs w:val="24"/>
          <w:lang w:val="sv-SE"/>
        </w:rPr>
        <w:t xml:space="preserve">. </w:t>
      </w:r>
      <w:r>
        <w:rPr>
          <w:rFonts w:ascii="Times New Roman" w:eastAsiaTheme="minorHAnsi" w:hAnsi="Times New Roman" w:cs="Times New Roman" w:hint="cs"/>
          <w:sz w:val="24"/>
          <w:szCs w:val="24"/>
          <w:rtl/>
        </w:rPr>
        <w:t>( استقلال العقول بإدراك المصالح والمفاسد)</w:t>
      </w:r>
      <w:r w:rsidRPr="002B4C98">
        <w:rPr>
          <w:rFonts w:ascii="Times New Roman" w:eastAsiaTheme="minorHAnsi" w:hAnsi="Times New Roman" w:cs="Times New Roman"/>
          <w:sz w:val="24"/>
          <w:szCs w:val="24"/>
          <w:lang w:val="sv-SE"/>
        </w:rPr>
        <w:t xml:space="preserve"> Bahwa secara independen akal mampu mengetahui kebaikan dan keburukan. Istilah </w:t>
      </w:r>
      <w:r w:rsidRPr="002B4C98">
        <w:rPr>
          <w:rFonts w:asciiTheme="majorBidi" w:hAnsiTheme="majorBidi" w:cstheme="majorBidi"/>
          <w:i/>
          <w:iCs/>
          <w:sz w:val="24"/>
          <w:szCs w:val="24"/>
          <w:lang w:val="sv-SE"/>
        </w:rPr>
        <w:t xml:space="preserve">Idrāk </w:t>
      </w:r>
      <w:r w:rsidRPr="002B4C98">
        <w:rPr>
          <w:rFonts w:asciiTheme="majorBidi" w:hAnsiTheme="majorBidi" w:cstheme="majorBidi"/>
          <w:sz w:val="24"/>
          <w:szCs w:val="24"/>
          <w:lang w:val="sv-SE"/>
        </w:rPr>
        <w:t xml:space="preserve">yang ia istilahkan bermakna fungsi akal dalam mengetahui kebaikan dan keburukan, bukan bermakna akal sebagai </w:t>
      </w:r>
      <w:r w:rsidRPr="002B4C98">
        <w:rPr>
          <w:rFonts w:asciiTheme="majorBidi" w:hAnsiTheme="majorBidi" w:cstheme="majorBidi"/>
          <w:i/>
          <w:iCs/>
          <w:sz w:val="24"/>
          <w:szCs w:val="24"/>
          <w:lang w:val="sv-SE"/>
        </w:rPr>
        <w:t xml:space="preserve">isbāt </w:t>
      </w:r>
      <w:r w:rsidRPr="002B4C98">
        <w:rPr>
          <w:rFonts w:asciiTheme="majorBidi" w:hAnsiTheme="majorBidi" w:cstheme="majorBidi"/>
          <w:sz w:val="24"/>
          <w:szCs w:val="24"/>
          <w:lang w:val="sv-SE"/>
        </w:rPr>
        <w:t>guna menetapkan kebaikan dan keburukan.</w:t>
      </w:r>
      <w:r>
        <w:rPr>
          <w:rStyle w:val="FootnoteReference"/>
          <w:rFonts w:asciiTheme="majorBidi" w:hAnsiTheme="majorBidi" w:cstheme="majorBidi"/>
          <w:sz w:val="24"/>
          <w:szCs w:val="24"/>
        </w:rPr>
        <w:footnoteReference w:id="94"/>
      </w:r>
      <w:r w:rsidRPr="002B4C98">
        <w:rPr>
          <w:rFonts w:asciiTheme="majorBidi" w:hAnsiTheme="majorBidi" w:cstheme="majorBidi"/>
          <w:sz w:val="24"/>
          <w:szCs w:val="24"/>
          <w:lang w:val="sv-SE"/>
        </w:rPr>
        <w:t xml:space="preserve"> </w:t>
      </w:r>
      <w:r w:rsidR="00FD4587">
        <w:rPr>
          <w:rFonts w:ascii="Times New Roman" w:eastAsiaTheme="minorHAnsi" w:hAnsi="Times New Roman" w:cs="Times New Roman"/>
          <w:sz w:val="24"/>
          <w:szCs w:val="24"/>
        </w:rPr>
        <w:t xml:space="preserve">Pendirian </w:t>
      </w:r>
      <w:r w:rsidR="005C28ED">
        <w:rPr>
          <w:rFonts w:ascii="Times New Roman" w:eastAsiaTheme="minorHAnsi" w:hAnsi="Times New Roman" w:cs="Times New Roman"/>
          <w:sz w:val="24"/>
          <w:szCs w:val="24"/>
        </w:rPr>
        <w:t>al-Thūfī</w:t>
      </w:r>
      <w:r w:rsidR="00FD4587">
        <w:rPr>
          <w:rFonts w:ascii="Times New Roman" w:eastAsiaTheme="minorHAnsi" w:hAnsi="Times New Roman" w:cs="Times New Roman"/>
          <w:sz w:val="24"/>
          <w:szCs w:val="24"/>
        </w:rPr>
        <w:t xml:space="preserve"> bahwa </w:t>
      </w:r>
      <w:r w:rsidR="00FD4587" w:rsidRPr="00BB0DFB">
        <w:rPr>
          <w:rFonts w:ascii="Times New Roman" w:eastAsiaTheme="minorHAnsi" w:hAnsi="Times New Roman" w:cs="Times New Roman"/>
          <w:sz w:val="24"/>
          <w:szCs w:val="24"/>
        </w:rPr>
        <w:t>u</w:t>
      </w:r>
      <w:r w:rsidRPr="00BB0DFB">
        <w:rPr>
          <w:rFonts w:ascii="Times New Roman" w:eastAsiaTheme="minorHAnsi" w:hAnsi="Times New Roman" w:cs="Times New Roman"/>
          <w:sz w:val="24"/>
          <w:szCs w:val="24"/>
        </w:rPr>
        <w:t xml:space="preserve">ntuk menentukan suatu mashlahah atau </w:t>
      </w:r>
      <w:r>
        <w:rPr>
          <w:rFonts w:ascii="Times New Roman" w:eastAsiaTheme="minorHAnsi" w:hAnsi="Times New Roman" w:cs="Times New Roman"/>
          <w:sz w:val="24"/>
          <w:szCs w:val="24"/>
        </w:rPr>
        <w:t>kemafsadatan cukup dengan akal,</w:t>
      </w:r>
      <w:r w:rsidRPr="00BB0DFB">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tanpa harus mela</w:t>
      </w:r>
      <w:r w:rsidR="00FD4587">
        <w:rPr>
          <w:rFonts w:ascii="Times New Roman" w:eastAsiaTheme="minorHAnsi" w:hAnsi="Times New Roman" w:cs="Times New Roman"/>
          <w:sz w:val="24"/>
          <w:szCs w:val="24"/>
        </w:rPr>
        <w:t xml:space="preserve">lui wahyu. </w:t>
      </w:r>
      <w:r w:rsidR="00FD4587" w:rsidRPr="00BB0DFB">
        <w:rPr>
          <w:rFonts w:ascii="Times New Roman" w:eastAsiaTheme="minorHAnsi" w:hAnsi="Times New Roman" w:cs="Times New Roman"/>
          <w:sz w:val="24"/>
          <w:szCs w:val="24"/>
        </w:rPr>
        <w:t>T</w:t>
      </w:r>
      <w:r w:rsidRPr="00BB0DFB">
        <w:rPr>
          <w:rFonts w:ascii="Times New Roman" w:eastAsiaTheme="minorHAnsi" w:hAnsi="Times New Roman" w:cs="Times New Roman"/>
          <w:sz w:val="24"/>
          <w:szCs w:val="24"/>
        </w:rPr>
        <w:t xml:space="preserve">etapi, </w:t>
      </w:r>
      <w:r w:rsidR="005C28ED">
        <w:rPr>
          <w:rFonts w:ascii="Times New Roman" w:eastAsiaTheme="minorHAnsi" w:hAnsi="Times New Roman" w:cs="Times New Roman"/>
          <w:sz w:val="24"/>
          <w:szCs w:val="24"/>
        </w:rPr>
        <w:t>al-Thūfī</w:t>
      </w:r>
      <w:r w:rsidRPr="00BB0DFB">
        <w:rPr>
          <w:rFonts w:ascii="Times New Roman" w:eastAsiaTheme="minorHAnsi" w:hAnsi="Times New Roman" w:cs="Times New Roman"/>
          <w:sz w:val="24"/>
          <w:szCs w:val="24"/>
        </w:rPr>
        <w:t xml:space="preserve"> membatasi kemandirian akal itu dalam bidang </w:t>
      </w:r>
      <w:r>
        <w:rPr>
          <w:rFonts w:ascii="Times New Roman" w:eastAsiaTheme="minorHAnsi" w:hAnsi="Times New Roman" w:cs="Times New Roman"/>
          <w:sz w:val="24"/>
          <w:szCs w:val="24"/>
        </w:rPr>
        <w:t>mu</w:t>
      </w:r>
      <w:r w:rsidR="00FD4587">
        <w:t>‘</w:t>
      </w:r>
      <w:r>
        <w:rPr>
          <w:rFonts w:ascii="Times New Roman" w:eastAsiaTheme="minorHAnsi" w:hAnsi="Times New Roman" w:cs="Times New Roman"/>
          <w:sz w:val="24"/>
          <w:szCs w:val="24"/>
        </w:rPr>
        <w:t xml:space="preserve">amalah dan adat istiadat. </w:t>
      </w:r>
      <w:r w:rsidR="005C28ED">
        <w:rPr>
          <w:rFonts w:asciiTheme="majorBidi" w:hAnsiTheme="majorBidi" w:cstheme="majorBidi"/>
          <w:sz w:val="24"/>
          <w:szCs w:val="24"/>
        </w:rPr>
        <w:t>Al-Thūfī</w:t>
      </w:r>
      <w:r>
        <w:rPr>
          <w:rFonts w:asciiTheme="majorBidi" w:hAnsiTheme="majorBidi" w:cstheme="majorBidi"/>
          <w:sz w:val="24"/>
          <w:szCs w:val="24"/>
        </w:rPr>
        <w:t xml:space="preserve"> berpandangan bahwa apab</w:t>
      </w:r>
      <w:r w:rsidRPr="00915EBF">
        <w:rPr>
          <w:rFonts w:asciiTheme="majorBidi" w:hAnsiTheme="majorBidi" w:cstheme="majorBidi"/>
          <w:sz w:val="24"/>
          <w:szCs w:val="24"/>
        </w:rPr>
        <w:t xml:space="preserve">ila nash tidak </w:t>
      </w:r>
      <w:r w:rsidRPr="00915EBF">
        <w:rPr>
          <w:rFonts w:asciiTheme="majorBidi" w:hAnsiTheme="majorBidi" w:cstheme="majorBidi"/>
          <w:sz w:val="24"/>
          <w:szCs w:val="24"/>
        </w:rPr>
        <w:lastRenderedPageBreak/>
        <w:t>mengatur suatu kemaslahatan pada suatu permasalahan maka berarti nash secara otomatis telah membolehkan akal dalam menemukan kemaslahatan tersebut. Sama halnya dengan ketika syari</w:t>
      </w:r>
      <w:r>
        <w:rPr>
          <w:rFonts w:asciiTheme="majorBidi" w:hAnsiTheme="majorBidi" w:cstheme="majorBidi"/>
          <w:sz w:val="24"/>
          <w:szCs w:val="24"/>
        </w:rPr>
        <w:t>’</w:t>
      </w:r>
      <w:r w:rsidRPr="00915EBF">
        <w:rPr>
          <w:rFonts w:asciiTheme="majorBidi" w:hAnsiTheme="majorBidi" w:cstheme="majorBidi"/>
          <w:sz w:val="24"/>
          <w:szCs w:val="24"/>
        </w:rPr>
        <w:t>at tidak menyebutkan dan menetapkan hukum secara rinci, maka perinciannya disempurnakan melalui proses ijtihad</w:t>
      </w:r>
      <w:r>
        <w:rPr>
          <w:rFonts w:asciiTheme="majorBidi" w:hAnsiTheme="majorBidi" w:cstheme="majorBidi"/>
          <w:sz w:val="24"/>
          <w:szCs w:val="24"/>
        </w:rPr>
        <w:t>.</w:t>
      </w:r>
      <w:r>
        <w:rPr>
          <w:rStyle w:val="FootnoteReference"/>
          <w:rFonts w:asciiTheme="majorBidi" w:hAnsiTheme="majorBidi" w:cstheme="majorBidi"/>
          <w:sz w:val="24"/>
          <w:szCs w:val="24"/>
        </w:rPr>
        <w:footnoteReference w:id="95"/>
      </w:r>
    </w:p>
    <w:p w:rsidR="00C012EC" w:rsidRPr="00FD4587" w:rsidRDefault="00C012EC" w:rsidP="004B6436">
      <w:pPr>
        <w:pStyle w:val="ListParagraph"/>
        <w:spacing w:line="360" w:lineRule="auto"/>
        <w:ind w:left="0" w:firstLine="630"/>
        <w:jc w:val="both"/>
        <w:rPr>
          <w:rFonts w:asciiTheme="majorBidi" w:hAnsiTheme="majorBidi" w:cstheme="majorBidi"/>
          <w:i/>
          <w:iCs/>
        </w:rPr>
      </w:pPr>
      <w:r w:rsidRPr="000E1C09">
        <w:rPr>
          <w:rFonts w:asciiTheme="majorBidi" w:eastAsiaTheme="minorHAnsi" w:hAnsiTheme="majorBidi" w:cstheme="majorBidi"/>
          <w:color w:val="222222"/>
          <w:sz w:val="24"/>
          <w:szCs w:val="24"/>
        </w:rPr>
        <w:t xml:space="preserve">Kedua, </w:t>
      </w:r>
      <w:r w:rsidRPr="000E1C09">
        <w:rPr>
          <w:rFonts w:asciiTheme="majorBidi" w:eastAsiaTheme="minorHAnsi" w:hAnsiTheme="majorBidi" w:cstheme="majorBidi"/>
          <w:i/>
          <w:iCs/>
          <w:color w:val="222222"/>
          <w:sz w:val="24"/>
          <w:szCs w:val="24"/>
        </w:rPr>
        <w:t>al-</w:t>
      </w:r>
      <w:r w:rsidR="00FD4587" w:rsidRPr="00DE5758">
        <w:rPr>
          <w:rFonts w:ascii="Times New Roman" w:hAnsi="Times New Roman" w:cs="Times New Roman"/>
          <w:i/>
          <w:iCs/>
          <w:spacing w:val="6"/>
          <w:sz w:val="24"/>
          <w:szCs w:val="24"/>
          <w:lang w:val="sv-SE"/>
        </w:rPr>
        <w:t>ma</w:t>
      </w:r>
      <w:r w:rsidR="00FD4587" w:rsidRPr="009260BA">
        <w:rPr>
          <w:rFonts w:asciiTheme="majorBidi" w:hAnsiTheme="majorBidi" w:cstheme="majorBidi"/>
          <w:i/>
          <w:iCs/>
          <w:color w:val="222222"/>
          <w:sz w:val="24"/>
          <w:szCs w:val="24"/>
        </w:rPr>
        <w:t>ṣ</w:t>
      </w:r>
      <w:r w:rsidR="00FD4587" w:rsidRPr="00DE5758">
        <w:rPr>
          <w:rFonts w:ascii="Times New Roman" w:hAnsi="Times New Roman" w:cs="Times New Roman"/>
          <w:i/>
          <w:iCs/>
          <w:spacing w:val="6"/>
          <w:sz w:val="24"/>
          <w:szCs w:val="24"/>
          <w:lang w:val="sv-SE"/>
        </w:rPr>
        <w:t>la</w:t>
      </w:r>
      <w:r w:rsidR="00FD4587" w:rsidRPr="00DE5758">
        <w:rPr>
          <w:rFonts w:ascii="Times New Roman" w:hAnsi="Times New Roman" w:cs="Times New Roman"/>
          <w:i/>
          <w:iCs/>
          <w:spacing w:val="6"/>
          <w:sz w:val="24"/>
          <w:szCs w:val="24"/>
          <w:u w:val="single"/>
          <w:lang w:val="sv-SE"/>
        </w:rPr>
        <w:t>h</w:t>
      </w:r>
      <w:r w:rsidR="00FD4587" w:rsidRPr="00DE5758">
        <w:rPr>
          <w:rFonts w:ascii="Times New Roman" w:hAnsi="Times New Roman" w:cs="Times New Roman"/>
          <w:i/>
          <w:iCs/>
          <w:spacing w:val="6"/>
          <w:sz w:val="24"/>
          <w:szCs w:val="24"/>
          <w:lang w:val="sv-SE"/>
        </w:rPr>
        <w:t>ah</w:t>
      </w:r>
      <w:r w:rsidRPr="000E1C09">
        <w:rPr>
          <w:rFonts w:asciiTheme="majorBidi" w:eastAsiaTheme="minorHAnsi" w:hAnsiTheme="majorBidi" w:cstheme="majorBidi"/>
          <w:i/>
          <w:iCs/>
          <w:color w:val="222222"/>
          <w:sz w:val="24"/>
          <w:szCs w:val="24"/>
        </w:rPr>
        <w:t xml:space="preserve"> dal</w:t>
      </w:r>
      <w:r w:rsidR="00FD4587" w:rsidRPr="0094142F">
        <w:rPr>
          <w:rFonts w:asciiTheme="majorBidi" w:hAnsiTheme="majorBidi" w:cstheme="majorBidi"/>
          <w:i/>
          <w:iCs/>
        </w:rPr>
        <w:t>ī</w:t>
      </w:r>
      <w:r w:rsidRPr="000E1C09">
        <w:rPr>
          <w:rFonts w:asciiTheme="majorBidi" w:eastAsiaTheme="minorHAnsi" w:hAnsiTheme="majorBidi" w:cstheme="majorBidi"/>
          <w:i/>
          <w:iCs/>
          <w:color w:val="222222"/>
          <w:sz w:val="24"/>
          <w:szCs w:val="24"/>
        </w:rPr>
        <w:t xml:space="preserve">l </w:t>
      </w:r>
      <w:r w:rsidRPr="004B6436">
        <w:rPr>
          <w:rFonts w:asciiTheme="majorBidi" w:eastAsiaTheme="minorHAnsi" w:hAnsiTheme="majorBidi" w:cstheme="majorBidi"/>
          <w:i/>
          <w:iCs/>
          <w:color w:val="222222"/>
          <w:sz w:val="24"/>
          <w:szCs w:val="24"/>
        </w:rPr>
        <w:t>syar</w:t>
      </w:r>
      <w:r w:rsidR="00FD4587" w:rsidRPr="004B6436">
        <w:rPr>
          <w:rFonts w:asciiTheme="majorBidi" w:hAnsiTheme="majorBidi" w:cstheme="majorBidi"/>
          <w:i/>
          <w:iCs/>
        </w:rPr>
        <w:t>‘</w:t>
      </w:r>
      <w:r w:rsidR="004B6436" w:rsidRPr="004B6436">
        <w:rPr>
          <w:rFonts w:asciiTheme="majorBidi" w:hAnsiTheme="majorBidi" w:cstheme="majorBidi"/>
          <w:i/>
          <w:iCs/>
          <w:sz w:val="24"/>
          <w:szCs w:val="24"/>
        </w:rPr>
        <w:t>ī</w:t>
      </w:r>
      <w:r w:rsidRPr="004B6436">
        <w:rPr>
          <w:rFonts w:asciiTheme="majorBidi" w:eastAsiaTheme="minorHAnsi" w:hAnsiTheme="majorBidi" w:cstheme="majorBidi"/>
          <w:i/>
          <w:iCs/>
          <w:color w:val="222222"/>
          <w:sz w:val="24"/>
          <w:szCs w:val="24"/>
        </w:rPr>
        <w:t xml:space="preserve">, </w:t>
      </w:r>
      <w:r w:rsidRPr="000E1C09">
        <w:rPr>
          <w:rFonts w:asciiTheme="majorBidi" w:eastAsiaTheme="minorHAnsi" w:hAnsiTheme="majorBidi" w:cstheme="majorBidi"/>
          <w:i/>
          <w:iCs/>
          <w:color w:val="222222"/>
          <w:sz w:val="24"/>
          <w:szCs w:val="24"/>
        </w:rPr>
        <w:t>mustaqill ‘an al-nu</w:t>
      </w:r>
      <w:r w:rsidR="00FD4587" w:rsidRPr="009260BA">
        <w:rPr>
          <w:rFonts w:asciiTheme="majorBidi" w:hAnsiTheme="majorBidi" w:cstheme="majorBidi"/>
          <w:i/>
          <w:iCs/>
          <w:color w:val="222222"/>
          <w:sz w:val="24"/>
          <w:szCs w:val="24"/>
        </w:rPr>
        <w:t>ṣ</w:t>
      </w:r>
      <w:r w:rsidR="00FD4587" w:rsidRPr="00FD4587">
        <w:rPr>
          <w:rFonts w:asciiTheme="majorBidi" w:hAnsiTheme="majorBidi" w:cstheme="majorBidi"/>
          <w:i/>
          <w:iCs/>
          <w:lang w:val="sv-SE"/>
        </w:rPr>
        <w:t>ū</w:t>
      </w:r>
      <w:r w:rsidR="00FD4587" w:rsidRPr="009260BA">
        <w:rPr>
          <w:rFonts w:asciiTheme="majorBidi" w:hAnsiTheme="majorBidi" w:cstheme="majorBidi"/>
          <w:i/>
          <w:iCs/>
          <w:color w:val="222222"/>
          <w:sz w:val="24"/>
          <w:szCs w:val="24"/>
        </w:rPr>
        <w:t>ṣ</w:t>
      </w:r>
      <w:r w:rsidRPr="000E1C09">
        <w:rPr>
          <w:rFonts w:asciiTheme="majorBidi" w:eastAsiaTheme="minorHAnsi" w:hAnsiTheme="majorBidi" w:cstheme="majorBidi"/>
          <w:color w:val="222222"/>
          <w:sz w:val="24"/>
          <w:szCs w:val="24"/>
        </w:rPr>
        <w:t>.</w:t>
      </w:r>
      <w:r>
        <w:rPr>
          <w:rFonts w:asciiTheme="majorBidi" w:eastAsiaTheme="minorHAnsi" w:hAnsiTheme="majorBidi" w:cstheme="majorBidi"/>
          <w:color w:val="222222"/>
          <w:sz w:val="24"/>
          <w:szCs w:val="24"/>
        </w:rPr>
        <w:t xml:space="preserve"> </w:t>
      </w:r>
      <w:r>
        <w:rPr>
          <w:rFonts w:asciiTheme="majorBidi" w:eastAsiaTheme="minorHAnsi" w:hAnsiTheme="majorBidi" w:cstheme="majorBidi" w:hint="cs"/>
          <w:color w:val="222222"/>
          <w:sz w:val="24"/>
          <w:szCs w:val="24"/>
          <w:rtl/>
        </w:rPr>
        <w:t>( المصلحة دليل شرعي مستقل عن النصوص )</w:t>
      </w:r>
      <w:r>
        <w:rPr>
          <w:rFonts w:asciiTheme="majorBidi" w:eastAsiaTheme="minorHAnsi" w:hAnsiTheme="majorBidi" w:cstheme="majorBidi"/>
          <w:color w:val="222222"/>
          <w:sz w:val="24"/>
          <w:szCs w:val="24"/>
        </w:rPr>
        <w:t xml:space="preserve"> </w:t>
      </w:r>
      <w:r w:rsidR="00F04399" w:rsidRPr="00DE5758">
        <w:rPr>
          <w:rFonts w:ascii="Times New Roman" w:hAnsi="Times New Roman" w:cs="Times New Roman"/>
          <w:i/>
          <w:iCs/>
          <w:spacing w:val="6"/>
          <w:sz w:val="24"/>
          <w:szCs w:val="24"/>
          <w:lang w:val="sv-SE"/>
        </w:rPr>
        <w:t>Ma</w:t>
      </w:r>
      <w:r w:rsidR="00F04399" w:rsidRPr="009260BA">
        <w:rPr>
          <w:rFonts w:asciiTheme="majorBidi" w:hAnsiTheme="majorBidi" w:cstheme="majorBidi"/>
          <w:i/>
          <w:iCs/>
          <w:color w:val="222222"/>
          <w:sz w:val="24"/>
          <w:szCs w:val="24"/>
        </w:rPr>
        <w:t>ṣ</w:t>
      </w:r>
      <w:r w:rsidR="00F04399" w:rsidRPr="00DE5758">
        <w:rPr>
          <w:rFonts w:ascii="Times New Roman" w:hAnsi="Times New Roman" w:cs="Times New Roman"/>
          <w:i/>
          <w:iCs/>
          <w:spacing w:val="6"/>
          <w:sz w:val="24"/>
          <w:szCs w:val="24"/>
          <w:lang w:val="sv-SE"/>
        </w:rPr>
        <w:t>la</w:t>
      </w:r>
      <w:r w:rsidR="00F04399" w:rsidRPr="00DE5758">
        <w:rPr>
          <w:rFonts w:ascii="Times New Roman" w:hAnsi="Times New Roman" w:cs="Times New Roman"/>
          <w:i/>
          <w:iCs/>
          <w:spacing w:val="6"/>
          <w:sz w:val="24"/>
          <w:szCs w:val="24"/>
          <w:u w:val="single"/>
          <w:lang w:val="sv-SE"/>
        </w:rPr>
        <w:t>h</w:t>
      </w:r>
      <w:r w:rsidR="00F04399" w:rsidRPr="00DE5758">
        <w:rPr>
          <w:rFonts w:ascii="Times New Roman" w:hAnsi="Times New Roman" w:cs="Times New Roman"/>
          <w:i/>
          <w:iCs/>
          <w:spacing w:val="6"/>
          <w:sz w:val="24"/>
          <w:szCs w:val="24"/>
          <w:lang w:val="sv-SE"/>
        </w:rPr>
        <w:t>ah</w:t>
      </w:r>
      <w:r w:rsidRPr="000E1C09">
        <w:rPr>
          <w:rFonts w:asciiTheme="majorBidi" w:eastAsiaTheme="minorHAnsi" w:hAnsiTheme="majorBidi" w:cstheme="majorBidi"/>
          <w:color w:val="222222"/>
          <w:sz w:val="24"/>
          <w:szCs w:val="24"/>
        </w:rPr>
        <w:t xml:space="preserve"> </w:t>
      </w:r>
      <w:r w:rsidRPr="000E1C09">
        <w:rPr>
          <w:rFonts w:asciiTheme="majorBidi" w:eastAsiaTheme="minorHAnsi" w:hAnsiTheme="majorBidi" w:cstheme="majorBidi"/>
          <w:color w:val="000000"/>
          <w:sz w:val="24"/>
          <w:szCs w:val="24"/>
        </w:rPr>
        <w:t xml:space="preserve">merupakan </w:t>
      </w:r>
      <w:r w:rsidRPr="000E1C09">
        <w:rPr>
          <w:rFonts w:asciiTheme="majorBidi" w:eastAsiaTheme="minorHAnsi" w:hAnsiTheme="majorBidi" w:cstheme="majorBidi"/>
          <w:color w:val="222222"/>
          <w:sz w:val="24"/>
          <w:szCs w:val="24"/>
        </w:rPr>
        <w:t xml:space="preserve">dalil </w:t>
      </w:r>
      <w:r w:rsidRPr="00F04399">
        <w:rPr>
          <w:rFonts w:asciiTheme="majorBidi" w:eastAsiaTheme="minorHAnsi" w:hAnsiTheme="majorBidi" w:cstheme="majorBidi"/>
          <w:i/>
          <w:iCs/>
          <w:color w:val="222222"/>
          <w:sz w:val="24"/>
          <w:szCs w:val="24"/>
        </w:rPr>
        <w:t>syar</w:t>
      </w:r>
      <w:r w:rsidR="00F04399" w:rsidRPr="00F04399">
        <w:rPr>
          <w:i/>
          <w:iCs/>
        </w:rPr>
        <w:t>‘</w:t>
      </w:r>
      <w:r w:rsidRPr="00F04399">
        <w:rPr>
          <w:rFonts w:asciiTheme="majorBidi" w:eastAsiaTheme="minorHAnsi" w:hAnsiTheme="majorBidi" w:cstheme="majorBidi"/>
          <w:i/>
          <w:iCs/>
          <w:color w:val="222222"/>
          <w:sz w:val="24"/>
          <w:szCs w:val="24"/>
        </w:rPr>
        <w:t>i</w:t>
      </w:r>
      <w:r w:rsidRPr="000E1C09">
        <w:rPr>
          <w:rFonts w:asciiTheme="majorBidi" w:eastAsiaTheme="minorHAnsi" w:hAnsiTheme="majorBidi" w:cstheme="majorBidi"/>
          <w:color w:val="222222"/>
          <w:sz w:val="24"/>
          <w:szCs w:val="24"/>
        </w:rPr>
        <w:t xml:space="preserve"> yang independen dalam batas</w:t>
      </w:r>
      <w:r>
        <w:rPr>
          <w:rFonts w:asciiTheme="majorBidi" w:eastAsiaTheme="minorHAnsi" w:hAnsiTheme="majorBidi" w:cstheme="majorBidi"/>
          <w:color w:val="222222"/>
          <w:sz w:val="24"/>
          <w:szCs w:val="24"/>
        </w:rPr>
        <w:t xml:space="preserve"> </w:t>
      </w:r>
      <w:r w:rsidRPr="000E1C09">
        <w:rPr>
          <w:rFonts w:asciiTheme="majorBidi" w:eastAsiaTheme="minorHAnsi" w:hAnsiTheme="majorBidi" w:cstheme="majorBidi"/>
          <w:color w:val="222222"/>
          <w:sz w:val="24"/>
          <w:szCs w:val="24"/>
        </w:rPr>
        <w:t xml:space="preserve">pengertian bahwa validitas kehujjahan </w:t>
      </w:r>
      <w:r w:rsidR="00F04399" w:rsidRPr="00DE5758">
        <w:rPr>
          <w:rFonts w:ascii="Times New Roman" w:hAnsi="Times New Roman" w:cs="Times New Roman"/>
          <w:i/>
          <w:iCs/>
          <w:spacing w:val="6"/>
          <w:sz w:val="24"/>
          <w:szCs w:val="24"/>
          <w:lang w:val="sv-SE"/>
        </w:rPr>
        <w:t>ma</w:t>
      </w:r>
      <w:r w:rsidR="00F04399" w:rsidRPr="009260BA">
        <w:rPr>
          <w:rFonts w:asciiTheme="majorBidi" w:hAnsiTheme="majorBidi" w:cstheme="majorBidi"/>
          <w:i/>
          <w:iCs/>
          <w:color w:val="222222"/>
          <w:sz w:val="24"/>
          <w:szCs w:val="24"/>
        </w:rPr>
        <w:t>ṣ</w:t>
      </w:r>
      <w:r w:rsidR="00F04399" w:rsidRPr="00DE5758">
        <w:rPr>
          <w:rFonts w:ascii="Times New Roman" w:hAnsi="Times New Roman" w:cs="Times New Roman"/>
          <w:i/>
          <w:iCs/>
          <w:spacing w:val="6"/>
          <w:sz w:val="24"/>
          <w:szCs w:val="24"/>
          <w:lang w:val="sv-SE"/>
        </w:rPr>
        <w:t>la</w:t>
      </w:r>
      <w:r w:rsidR="00F04399" w:rsidRPr="00DE5758">
        <w:rPr>
          <w:rFonts w:ascii="Times New Roman" w:hAnsi="Times New Roman" w:cs="Times New Roman"/>
          <w:i/>
          <w:iCs/>
          <w:spacing w:val="6"/>
          <w:sz w:val="24"/>
          <w:szCs w:val="24"/>
          <w:u w:val="single"/>
          <w:lang w:val="sv-SE"/>
        </w:rPr>
        <w:t>h</w:t>
      </w:r>
      <w:r w:rsidR="00F04399" w:rsidRPr="00DE5758">
        <w:rPr>
          <w:rFonts w:ascii="Times New Roman" w:hAnsi="Times New Roman" w:cs="Times New Roman"/>
          <w:i/>
          <w:iCs/>
          <w:spacing w:val="6"/>
          <w:sz w:val="24"/>
          <w:szCs w:val="24"/>
          <w:lang w:val="sv-SE"/>
        </w:rPr>
        <w:t>ah</w:t>
      </w:r>
      <w:r w:rsidRPr="000E1C09">
        <w:rPr>
          <w:rFonts w:asciiTheme="majorBidi" w:eastAsiaTheme="minorHAnsi" w:hAnsiTheme="majorBidi" w:cstheme="majorBidi"/>
          <w:color w:val="222222"/>
          <w:sz w:val="24"/>
          <w:szCs w:val="24"/>
        </w:rPr>
        <w:t xml:space="preserve"> tidak memiliki</w:t>
      </w:r>
      <w:r>
        <w:rPr>
          <w:rFonts w:asciiTheme="majorBidi" w:eastAsiaTheme="minorHAnsi" w:hAnsiTheme="majorBidi" w:cstheme="majorBidi"/>
          <w:color w:val="222222"/>
          <w:sz w:val="24"/>
          <w:szCs w:val="24"/>
        </w:rPr>
        <w:t xml:space="preserve"> </w:t>
      </w:r>
      <w:r w:rsidRPr="000E1C09">
        <w:rPr>
          <w:rFonts w:asciiTheme="majorBidi" w:eastAsiaTheme="minorHAnsi" w:hAnsiTheme="majorBidi" w:cstheme="majorBidi"/>
          <w:color w:val="222222"/>
          <w:sz w:val="24"/>
          <w:szCs w:val="24"/>
        </w:rPr>
        <w:t xml:space="preserve">ketergantungan dengan nash. Sebaliknya keberadaan </w:t>
      </w:r>
      <w:r w:rsidR="00F04399" w:rsidRPr="00DE5758">
        <w:rPr>
          <w:rFonts w:ascii="Times New Roman" w:hAnsi="Times New Roman" w:cs="Times New Roman"/>
          <w:i/>
          <w:iCs/>
          <w:spacing w:val="6"/>
          <w:sz w:val="24"/>
          <w:szCs w:val="24"/>
          <w:lang w:val="sv-SE"/>
        </w:rPr>
        <w:t>ma</w:t>
      </w:r>
      <w:r w:rsidR="00F04399" w:rsidRPr="009260BA">
        <w:rPr>
          <w:rFonts w:asciiTheme="majorBidi" w:hAnsiTheme="majorBidi" w:cstheme="majorBidi"/>
          <w:i/>
          <w:iCs/>
          <w:color w:val="222222"/>
          <w:sz w:val="24"/>
          <w:szCs w:val="24"/>
        </w:rPr>
        <w:t>ṣ</w:t>
      </w:r>
      <w:r w:rsidR="00F04399" w:rsidRPr="00DE5758">
        <w:rPr>
          <w:rFonts w:ascii="Times New Roman" w:hAnsi="Times New Roman" w:cs="Times New Roman"/>
          <w:i/>
          <w:iCs/>
          <w:spacing w:val="6"/>
          <w:sz w:val="24"/>
          <w:szCs w:val="24"/>
          <w:lang w:val="sv-SE"/>
        </w:rPr>
        <w:t>la</w:t>
      </w:r>
      <w:r w:rsidR="00F04399" w:rsidRPr="00DE5758">
        <w:rPr>
          <w:rFonts w:ascii="Times New Roman" w:hAnsi="Times New Roman" w:cs="Times New Roman"/>
          <w:i/>
          <w:iCs/>
          <w:spacing w:val="6"/>
          <w:sz w:val="24"/>
          <w:szCs w:val="24"/>
          <w:u w:val="single"/>
          <w:lang w:val="sv-SE"/>
        </w:rPr>
        <w:t>h</w:t>
      </w:r>
      <w:r w:rsidR="00F04399" w:rsidRPr="00DE5758">
        <w:rPr>
          <w:rFonts w:ascii="Times New Roman" w:hAnsi="Times New Roman" w:cs="Times New Roman"/>
          <w:i/>
          <w:iCs/>
          <w:spacing w:val="6"/>
          <w:sz w:val="24"/>
          <w:szCs w:val="24"/>
          <w:lang w:val="sv-SE"/>
        </w:rPr>
        <w:t>ah</w:t>
      </w:r>
      <w:r w:rsidRPr="000E1C09">
        <w:rPr>
          <w:rFonts w:asciiTheme="majorBidi" w:eastAsiaTheme="minorHAnsi" w:hAnsiTheme="majorBidi" w:cstheme="majorBidi"/>
          <w:color w:val="222222"/>
          <w:sz w:val="24"/>
          <w:szCs w:val="24"/>
        </w:rPr>
        <w:t xml:space="preserve"> dapat</w:t>
      </w:r>
      <w:r>
        <w:rPr>
          <w:rFonts w:asciiTheme="majorBidi" w:eastAsiaTheme="minorHAnsi" w:hAnsiTheme="majorBidi" w:cstheme="majorBidi"/>
          <w:color w:val="222222"/>
          <w:sz w:val="24"/>
          <w:szCs w:val="24"/>
        </w:rPr>
        <w:t xml:space="preserve"> </w:t>
      </w:r>
      <w:r w:rsidRPr="000E1C09">
        <w:rPr>
          <w:rFonts w:asciiTheme="majorBidi" w:eastAsiaTheme="minorHAnsi" w:hAnsiTheme="majorBidi" w:cstheme="majorBidi"/>
          <w:color w:val="222222"/>
          <w:sz w:val="24"/>
          <w:szCs w:val="24"/>
        </w:rPr>
        <w:t xml:space="preserve">ditunjukkan dengan membuktikan secara empirik melalui </w:t>
      </w:r>
      <w:r>
        <w:rPr>
          <w:rFonts w:asciiTheme="majorBidi" w:eastAsiaTheme="minorHAnsi" w:hAnsiTheme="majorBidi" w:cstheme="majorBidi"/>
          <w:color w:val="222222"/>
          <w:sz w:val="24"/>
          <w:szCs w:val="24"/>
        </w:rPr>
        <w:t xml:space="preserve">hukum </w:t>
      </w:r>
      <w:r w:rsidRPr="000E1C09">
        <w:rPr>
          <w:rFonts w:asciiTheme="majorBidi" w:eastAsiaTheme="minorHAnsi" w:hAnsiTheme="majorBidi" w:cstheme="majorBidi"/>
          <w:color w:val="222222"/>
          <w:sz w:val="24"/>
          <w:szCs w:val="24"/>
        </w:rPr>
        <w:t>kebiasaan</w:t>
      </w:r>
      <w:r>
        <w:rPr>
          <w:rFonts w:asciiTheme="majorBidi" w:eastAsiaTheme="minorHAnsi" w:hAnsiTheme="majorBidi" w:cstheme="majorBidi"/>
          <w:color w:val="222222"/>
          <w:sz w:val="24"/>
          <w:szCs w:val="24"/>
        </w:rPr>
        <w:t xml:space="preserve"> (adat istiadat)</w:t>
      </w:r>
      <w:r w:rsidRPr="000E1C09">
        <w:rPr>
          <w:rFonts w:asciiTheme="majorBidi" w:eastAsiaTheme="minorHAnsi" w:hAnsiTheme="majorBidi" w:cstheme="majorBidi"/>
          <w:color w:val="222222"/>
          <w:sz w:val="24"/>
          <w:szCs w:val="24"/>
        </w:rPr>
        <w:t>.</w:t>
      </w:r>
      <w:r>
        <w:rPr>
          <w:rStyle w:val="FootnoteReference"/>
          <w:rFonts w:asciiTheme="majorBidi" w:eastAsiaTheme="minorHAnsi" w:hAnsiTheme="majorBidi" w:cstheme="majorBidi"/>
          <w:color w:val="222222"/>
          <w:sz w:val="24"/>
          <w:szCs w:val="24"/>
        </w:rPr>
        <w:footnoteReference w:id="96"/>
      </w:r>
    </w:p>
    <w:p w:rsidR="00C012EC" w:rsidRPr="0013595F" w:rsidRDefault="00C012EC" w:rsidP="004B6436">
      <w:pPr>
        <w:pStyle w:val="ListParagraph"/>
        <w:autoSpaceDE w:val="0"/>
        <w:autoSpaceDN w:val="0"/>
        <w:adjustRightInd w:val="0"/>
        <w:spacing w:after="0" w:line="360" w:lineRule="auto"/>
        <w:ind w:left="0" w:firstLine="720"/>
        <w:jc w:val="both"/>
        <w:rPr>
          <w:rFonts w:asciiTheme="majorBidi" w:eastAsiaTheme="minorHAnsi" w:hAnsiTheme="majorBidi" w:cstheme="majorBidi"/>
          <w:sz w:val="24"/>
          <w:szCs w:val="24"/>
          <w:lang w:val="sv-SE"/>
        </w:rPr>
      </w:pPr>
      <w:r w:rsidRPr="000541F1">
        <w:rPr>
          <w:rFonts w:asciiTheme="majorBidi" w:eastAsiaTheme="minorHAnsi" w:hAnsiTheme="majorBidi" w:cstheme="majorBidi"/>
          <w:sz w:val="24"/>
          <w:szCs w:val="24"/>
          <w:lang w:val="sv-SE"/>
        </w:rPr>
        <w:t xml:space="preserve">Ketiga, </w:t>
      </w:r>
      <w:r w:rsidR="004B6436" w:rsidRPr="000541F1">
        <w:rPr>
          <w:rFonts w:asciiTheme="majorBidi" w:eastAsiaTheme="minorHAnsi" w:hAnsiTheme="majorBidi" w:cstheme="majorBidi"/>
          <w:i/>
          <w:iCs/>
          <w:sz w:val="24"/>
          <w:szCs w:val="24"/>
          <w:lang w:val="sv-SE"/>
        </w:rPr>
        <w:t>m</w:t>
      </w:r>
      <w:r w:rsidRPr="000541F1">
        <w:rPr>
          <w:rFonts w:asciiTheme="majorBidi" w:eastAsiaTheme="minorHAnsi" w:hAnsiTheme="majorBidi" w:cstheme="majorBidi"/>
          <w:i/>
          <w:iCs/>
          <w:sz w:val="24"/>
          <w:szCs w:val="24"/>
          <w:lang w:val="sv-SE"/>
        </w:rPr>
        <w:t>aj</w:t>
      </w:r>
      <w:r w:rsidR="004B6436" w:rsidRPr="004B6436">
        <w:rPr>
          <w:rFonts w:asciiTheme="majorBidi" w:hAnsiTheme="majorBidi" w:cstheme="majorBidi"/>
          <w:i/>
          <w:iCs/>
          <w:sz w:val="24"/>
          <w:szCs w:val="24"/>
        </w:rPr>
        <w:t>ā</w:t>
      </w:r>
      <w:r w:rsidRPr="000541F1">
        <w:rPr>
          <w:rFonts w:asciiTheme="majorBidi" w:eastAsiaTheme="minorHAnsi" w:hAnsiTheme="majorBidi" w:cstheme="majorBidi"/>
          <w:i/>
          <w:iCs/>
          <w:sz w:val="24"/>
          <w:szCs w:val="24"/>
          <w:lang w:val="sv-SE"/>
        </w:rPr>
        <w:t>l al-‘amal bi al-</w:t>
      </w:r>
      <w:r w:rsidR="004B6436" w:rsidRPr="00DE5758">
        <w:rPr>
          <w:rFonts w:ascii="Times New Roman" w:hAnsi="Times New Roman" w:cs="Times New Roman"/>
          <w:i/>
          <w:iCs/>
          <w:spacing w:val="6"/>
          <w:sz w:val="24"/>
          <w:szCs w:val="24"/>
          <w:lang w:val="sv-SE"/>
        </w:rPr>
        <w:t>ma</w:t>
      </w:r>
      <w:r w:rsidR="004B6436" w:rsidRPr="009260BA">
        <w:rPr>
          <w:rFonts w:asciiTheme="majorBidi" w:hAnsiTheme="majorBidi" w:cstheme="majorBidi"/>
          <w:i/>
          <w:iCs/>
          <w:color w:val="222222"/>
          <w:sz w:val="24"/>
          <w:szCs w:val="24"/>
        </w:rPr>
        <w:t>ṣ</w:t>
      </w:r>
      <w:r w:rsidR="004B6436" w:rsidRPr="00DE5758">
        <w:rPr>
          <w:rFonts w:ascii="Times New Roman" w:hAnsi="Times New Roman" w:cs="Times New Roman"/>
          <w:i/>
          <w:iCs/>
          <w:spacing w:val="6"/>
          <w:sz w:val="24"/>
          <w:szCs w:val="24"/>
          <w:lang w:val="sv-SE"/>
        </w:rPr>
        <w:t>la</w:t>
      </w:r>
      <w:r w:rsidR="004B6436" w:rsidRPr="00DE5758">
        <w:rPr>
          <w:rFonts w:ascii="Times New Roman" w:hAnsi="Times New Roman" w:cs="Times New Roman"/>
          <w:i/>
          <w:iCs/>
          <w:spacing w:val="6"/>
          <w:sz w:val="24"/>
          <w:szCs w:val="24"/>
          <w:u w:val="single"/>
          <w:lang w:val="sv-SE"/>
        </w:rPr>
        <w:t>h</w:t>
      </w:r>
      <w:r w:rsidR="004B6436" w:rsidRPr="00DE5758">
        <w:rPr>
          <w:rFonts w:ascii="Times New Roman" w:hAnsi="Times New Roman" w:cs="Times New Roman"/>
          <w:i/>
          <w:iCs/>
          <w:spacing w:val="6"/>
          <w:sz w:val="24"/>
          <w:szCs w:val="24"/>
          <w:lang w:val="sv-SE"/>
        </w:rPr>
        <w:t>ah</w:t>
      </w:r>
      <w:r w:rsidRPr="000541F1">
        <w:rPr>
          <w:rFonts w:asciiTheme="majorBidi" w:eastAsiaTheme="minorHAnsi" w:hAnsiTheme="majorBidi" w:cstheme="majorBidi"/>
          <w:i/>
          <w:iCs/>
          <w:sz w:val="24"/>
          <w:szCs w:val="24"/>
          <w:lang w:val="sv-SE"/>
        </w:rPr>
        <w:t xml:space="preserve"> huwa al-mu</w:t>
      </w:r>
      <w:r w:rsidR="004B6436">
        <w:t>‘</w:t>
      </w:r>
      <w:r w:rsidR="004B6436" w:rsidRPr="004B6436">
        <w:rPr>
          <w:rFonts w:asciiTheme="majorBidi" w:hAnsiTheme="majorBidi" w:cstheme="majorBidi"/>
          <w:i/>
          <w:iCs/>
          <w:sz w:val="24"/>
          <w:szCs w:val="24"/>
        </w:rPr>
        <w:t>ā</w:t>
      </w:r>
      <w:r w:rsidRPr="000541F1">
        <w:rPr>
          <w:rFonts w:asciiTheme="majorBidi" w:eastAsiaTheme="minorHAnsi" w:hAnsiTheme="majorBidi" w:cstheme="majorBidi"/>
          <w:i/>
          <w:iCs/>
          <w:sz w:val="24"/>
          <w:szCs w:val="24"/>
          <w:lang w:val="sv-SE"/>
        </w:rPr>
        <w:t>malah wa al- ‘</w:t>
      </w:r>
      <w:r w:rsidR="004B6436" w:rsidRPr="004B6436">
        <w:rPr>
          <w:rFonts w:asciiTheme="majorBidi" w:hAnsiTheme="majorBidi" w:cstheme="majorBidi"/>
          <w:i/>
          <w:iCs/>
          <w:sz w:val="24"/>
          <w:szCs w:val="24"/>
        </w:rPr>
        <w:t>ā</w:t>
      </w:r>
      <w:r w:rsidRPr="000541F1">
        <w:rPr>
          <w:rFonts w:asciiTheme="majorBidi" w:eastAsiaTheme="minorHAnsi" w:hAnsiTheme="majorBidi" w:cstheme="majorBidi"/>
          <w:i/>
          <w:iCs/>
          <w:sz w:val="24"/>
          <w:szCs w:val="24"/>
          <w:lang w:val="sv-SE"/>
        </w:rPr>
        <w:t>dat duna al-‘ibadah wa al-muqaddar</w:t>
      </w:r>
      <w:r w:rsidR="004B6436" w:rsidRPr="004B6436">
        <w:rPr>
          <w:rFonts w:asciiTheme="majorBidi" w:hAnsiTheme="majorBidi" w:cstheme="majorBidi"/>
          <w:i/>
          <w:iCs/>
          <w:sz w:val="24"/>
          <w:szCs w:val="24"/>
        </w:rPr>
        <w:t>ā</w:t>
      </w:r>
      <w:r w:rsidRPr="000541F1">
        <w:rPr>
          <w:rFonts w:asciiTheme="majorBidi" w:eastAsiaTheme="minorHAnsi" w:hAnsiTheme="majorBidi" w:cstheme="majorBidi"/>
          <w:i/>
          <w:iCs/>
          <w:sz w:val="24"/>
          <w:szCs w:val="24"/>
          <w:lang w:val="sv-SE"/>
        </w:rPr>
        <w:t>t</w:t>
      </w:r>
      <w:r w:rsidRPr="000541F1">
        <w:rPr>
          <w:rFonts w:asciiTheme="majorBidi" w:eastAsiaTheme="minorHAnsi" w:hAnsiTheme="majorBidi" w:cstheme="majorBidi"/>
          <w:sz w:val="24"/>
          <w:szCs w:val="24"/>
          <w:lang w:val="sv-SE"/>
        </w:rPr>
        <w:t xml:space="preserve">, </w:t>
      </w:r>
      <w:r w:rsidRPr="000541F1">
        <w:rPr>
          <w:rFonts w:asciiTheme="majorBidi" w:eastAsiaTheme="minorHAnsi" w:hAnsiTheme="majorBidi" w:cstheme="majorBidi"/>
          <w:sz w:val="24"/>
          <w:szCs w:val="24"/>
          <w:rtl/>
          <w:lang w:val="sv-SE"/>
        </w:rPr>
        <w:t>(مجال العمل بالمصلحة هو المعاملة والعاداة دون العبادة و المقدرات )</w:t>
      </w:r>
      <w:r w:rsidR="004B6436">
        <w:rPr>
          <w:rFonts w:asciiTheme="majorBidi" w:eastAsiaTheme="minorHAnsi" w:hAnsiTheme="majorBidi" w:cstheme="majorBidi"/>
          <w:sz w:val="24"/>
          <w:szCs w:val="24"/>
          <w:lang w:val="sv-SE"/>
        </w:rPr>
        <w:t xml:space="preserve">. </w:t>
      </w:r>
      <w:r>
        <w:rPr>
          <w:rFonts w:asciiTheme="majorBidi" w:eastAsiaTheme="minorHAnsi" w:hAnsiTheme="majorBidi" w:cstheme="majorBidi"/>
          <w:sz w:val="24"/>
          <w:szCs w:val="24"/>
          <w:lang w:val="sv-SE"/>
        </w:rPr>
        <w:t>Mas</w:t>
      </w:r>
      <w:r w:rsidRPr="000541F1">
        <w:rPr>
          <w:rFonts w:asciiTheme="majorBidi" w:eastAsiaTheme="minorHAnsi" w:hAnsiTheme="majorBidi" w:cstheme="majorBidi"/>
          <w:sz w:val="24"/>
          <w:szCs w:val="24"/>
          <w:lang w:val="sv-SE"/>
        </w:rPr>
        <w:t>lahah hanya berlaku dalam bidang mu’amalah dan adat kebiasaan, sedangkan dalam bidang ibadat (</w:t>
      </w:r>
      <w:r w:rsidRPr="000541F1">
        <w:rPr>
          <w:rFonts w:asciiTheme="majorBidi" w:eastAsiaTheme="minorHAnsi" w:hAnsiTheme="majorBidi" w:cstheme="majorBidi"/>
          <w:i/>
          <w:iCs/>
          <w:sz w:val="24"/>
          <w:szCs w:val="24"/>
          <w:lang w:val="sv-SE"/>
        </w:rPr>
        <w:t>ma</w:t>
      </w:r>
      <w:r w:rsidR="004B6436" w:rsidRPr="00D44F72">
        <w:rPr>
          <w:rFonts w:ascii="Times New Roman" w:hAnsi="Times New Roman" w:cs="Times New Roman"/>
          <w:i/>
          <w:iCs/>
          <w:sz w:val="24"/>
          <w:szCs w:val="24"/>
          <w:u w:val="single"/>
          <w:lang w:val="id-ID"/>
        </w:rPr>
        <w:t>h</w:t>
      </w:r>
      <w:r w:rsidRPr="000541F1">
        <w:rPr>
          <w:rFonts w:asciiTheme="majorBidi" w:eastAsiaTheme="minorHAnsi" w:hAnsiTheme="majorBidi" w:cstheme="majorBidi"/>
          <w:i/>
          <w:iCs/>
          <w:sz w:val="24"/>
          <w:szCs w:val="24"/>
          <w:lang w:val="sv-SE"/>
        </w:rPr>
        <w:t>dah</w:t>
      </w:r>
      <w:r w:rsidRPr="000541F1">
        <w:rPr>
          <w:rFonts w:asciiTheme="majorBidi" w:eastAsiaTheme="minorHAnsi" w:hAnsiTheme="majorBidi" w:cstheme="majorBidi"/>
          <w:sz w:val="24"/>
          <w:szCs w:val="24"/>
          <w:lang w:val="sv-SE"/>
        </w:rPr>
        <w:t>) dan ibadah yang sudah jelas  ukuran-ukurannya ditetapkan syara’, seperti shalat zhuhur empat rakaat, puasa bulan Ramadlan selama sebulan, tawaf itu dilakukan tujuh kali, tidak termasuk objek mashlahah, karena masalah masalah terse</w:t>
      </w:r>
      <w:r>
        <w:rPr>
          <w:rFonts w:asciiTheme="majorBidi" w:eastAsiaTheme="minorHAnsi" w:hAnsiTheme="majorBidi" w:cstheme="majorBidi"/>
          <w:sz w:val="24"/>
          <w:szCs w:val="24"/>
          <w:lang w:val="sv-SE"/>
        </w:rPr>
        <w:t>but merupakan hak Allah semata.</w:t>
      </w:r>
    </w:p>
    <w:p w:rsidR="00C012EC" w:rsidRDefault="00C012EC" w:rsidP="004B6436">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335104">
        <w:rPr>
          <w:rFonts w:asciiTheme="majorBidi" w:eastAsiaTheme="minorHAnsi" w:hAnsiTheme="majorBidi" w:cstheme="majorBidi"/>
          <w:sz w:val="24"/>
          <w:szCs w:val="24"/>
          <w:lang w:val="sv-SE"/>
        </w:rPr>
        <w:t xml:space="preserve">Keempat, </w:t>
      </w:r>
      <w:r w:rsidR="004B6436" w:rsidRPr="000541F1">
        <w:rPr>
          <w:rFonts w:asciiTheme="majorBidi" w:eastAsiaTheme="minorHAnsi" w:hAnsiTheme="majorBidi" w:cstheme="majorBidi"/>
          <w:i/>
          <w:iCs/>
          <w:sz w:val="24"/>
          <w:szCs w:val="24"/>
          <w:lang w:val="sv-SE"/>
        </w:rPr>
        <w:t>al-</w:t>
      </w:r>
      <w:r w:rsidR="004B6436" w:rsidRPr="00DE5758">
        <w:rPr>
          <w:rFonts w:ascii="Times New Roman" w:hAnsi="Times New Roman" w:cs="Times New Roman"/>
          <w:i/>
          <w:iCs/>
          <w:spacing w:val="6"/>
          <w:sz w:val="24"/>
          <w:szCs w:val="24"/>
          <w:lang w:val="sv-SE"/>
        </w:rPr>
        <w:t>ma</w:t>
      </w:r>
      <w:r w:rsidR="004B6436" w:rsidRPr="00A241B2">
        <w:rPr>
          <w:rFonts w:asciiTheme="majorBidi" w:hAnsiTheme="majorBidi" w:cstheme="majorBidi"/>
          <w:i/>
          <w:iCs/>
          <w:color w:val="222222"/>
          <w:sz w:val="24"/>
          <w:szCs w:val="24"/>
          <w:lang w:val="sv-SE"/>
        </w:rPr>
        <w:t>ṣ</w:t>
      </w:r>
      <w:r w:rsidR="004B6436" w:rsidRPr="00DE5758">
        <w:rPr>
          <w:rFonts w:ascii="Times New Roman" w:hAnsi="Times New Roman" w:cs="Times New Roman"/>
          <w:i/>
          <w:iCs/>
          <w:spacing w:val="6"/>
          <w:sz w:val="24"/>
          <w:szCs w:val="24"/>
          <w:lang w:val="sv-SE"/>
        </w:rPr>
        <w:t>la</w:t>
      </w:r>
      <w:r w:rsidR="004B6436" w:rsidRPr="00DE5758">
        <w:rPr>
          <w:rFonts w:ascii="Times New Roman" w:hAnsi="Times New Roman" w:cs="Times New Roman"/>
          <w:i/>
          <w:iCs/>
          <w:spacing w:val="6"/>
          <w:sz w:val="24"/>
          <w:szCs w:val="24"/>
          <w:u w:val="single"/>
          <w:lang w:val="sv-SE"/>
        </w:rPr>
        <w:t>h</w:t>
      </w:r>
      <w:r w:rsidR="004B6436" w:rsidRPr="00DE5758">
        <w:rPr>
          <w:rFonts w:ascii="Times New Roman" w:hAnsi="Times New Roman" w:cs="Times New Roman"/>
          <w:i/>
          <w:iCs/>
          <w:spacing w:val="6"/>
          <w:sz w:val="24"/>
          <w:szCs w:val="24"/>
          <w:lang w:val="sv-SE"/>
        </w:rPr>
        <w:t>ah</w:t>
      </w:r>
      <w:r w:rsidR="004B6436" w:rsidRPr="000541F1">
        <w:rPr>
          <w:rFonts w:asciiTheme="majorBidi" w:eastAsiaTheme="minorHAnsi" w:hAnsiTheme="majorBidi" w:cstheme="majorBidi"/>
          <w:i/>
          <w:iCs/>
          <w:sz w:val="24"/>
          <w:szCs w:val="24"/>
          <w:lang w:val="sv-SE"/>
        </w:rPr>
        <w:t xml:space="preserve"> </w:t>
      </w:r>
      <w:r w:rsidRPr="00335104">
        <w:rPr>
          <w:rFonts w:asciiTheme="majorBidi" w:eastAsiaTheme="minorHAnsi" w:hAnsiTheme="majorBidi" w:cstheme="majorBidi"/>
          <w:i/>
          <w:iCs/>
          <w:color w:val="222222"/>
          <w:sz w:val="24"/>
          <w:szCs w:val="24"/>
          <w:lang w:val="sv-SE"/>
        </w:rPr>
        <w:t>Aqw</w:t>
      </w:r>
      <w:r w:rsidR="004B6436" w:rsidRPr="00A241B2">
        <w:rPr>
          <w:rFonts w:asciiTheme="majorBidi" w:hAnsiTheme="majorBidi" w:cstheme="majorBidi"/>
          <w:i/>
          <w:iCs/>
          <w:sz w:val="24"/>
          <w:szCs w:val="24"/>
          <w:lang w:val="sv-SE"/>
        </w:rPr>
        <w:t>ā</w:t>
      </w:r>
      <w:r w:rsidRPr="00335104">
        <w:rPr>
          <w:rFonts w:asciiTheme="majorBidi" w:eastAsiaTheme="minorHAnsi" w:hAnsiTheme="majorBidi" w:cstheme="majorBidi"/>
          <w:i/>
          <w:iCs/>
          <w:color w:val="222222"/>
          <w:sz w:val="24"/>
          <w:szCs w:val="24"/>
          <w:lang w:val="sv-SE"/>
        </w:rPr>
        <w:t xml:space="preserve"> Adillah al-Syar</w:t>
      </w:r>
      <w:r w:rsidR="004B6436" w:rsidRPr="00A241B2">
        <w:rPr>
          <w:lang w:val="sv-SE"/>
        </w:rPr>
        <w:t>‘</w:t>
      </w:r>
      <w:r w:rsidR="0086366B" w:rsidRPr="002B4C98">
        <w:rPr>
          <w:rFonts w:asciiTheme="majorBidi" w:hAnsiTheme="majorBidi" w:cstheme="majorBidi"/>
          <w:i/>
          <w:iCs/>
          <w:lang w:val="sv-SE"/>
        </w:rPr>
        <w:t>ī</w:t>
      </w:r>
      <w:r>
        <w:rPr>
          <w:rFonts w:asciiTheme="majorBidi" w:eastAsiaTheme="minorHAnsi" w:hAnsiTheme="majorBidi" w:cstheme="majorBidi" w:hint="cs"/>
          <w:color w:val="222222"/>
          <w:sz w:val="24"/>
          <w:szCs w:val="24"/>
          <w:rtl/>
        </w:rPr>
        <w:t>(</w:t>
      </w:r>
      <w:r>
        <w:rPr>
          <w:rFonts w:asciiTheme="majorBidi" w:eastAsiaTheme="minorHAnsi" w:hAnsiTheme="majorBidi" w:cstheme="majorBidi" w:hint="cs"/>
          <w:sz w:val="24"/>
          <w:szCs w:val="24"/>
          <w:rtl/>
        </w:rPr>
        <w:t xml:space="preserve">المصلحة أقوى أدلة الشرعي) </w:t>
      </w:r>
      <w:r w:rsidRPr="00335104">
        <w:rPr>
          <w:rFonts w:asciiTheme="majorBidi" w:eastAsiaTheme="minorHAnsi" w:hAnsiTheme="majorBidi" w:cstheme="majorBidi"/>
          <w:color w:val="222222"/>
          <w:sz w:val="24"/>
          <w:szCs w:val="24"/>
          <w:lang w:val="sv-SE"/>
        </w:rPr>
        <w:t xml:space="preserve">Kemashlahatan merupakan dalil syara’ yang paling kuat. </w:t>
      </w:r>
      <w:r w:rsidRPr="00335104">
        <w:rPr>
          <w:rFonts w:asciiTheme="majorBidi" w:eastAsiaTheme="minorHAnsi" w:hAnsiTheme="majorBidi" w:cstheme="majorBidi"/>
          <w:sz w:val="24"/>
          <w:szCs w:val="24"/>
          <w:lang w:val="sv-SE"/>
        </w:rPr>
        <w:t xml:space="preserve">Oleh sebab itu, apabila nash dan ijma’ bertentangan dengan mashlahat, didahulukan mashlahat dengan cara </w:t>
      </w:r>
      <w:r w:rsidRPr="00335104">
        <w:rPr>
          <w:rFonts w:asciiTheme="majorBidi" w:eastAsiaTheme="minorHAnsi" w:hAnsiTheme="majorBidi" w:cstheme="majorBidi"/>
          <w:i/>
          <w:iCs/>
          <w:sz w:val="24"/>
          <w:szCs w:val="24"/>
          <w:lang w:val="sv-SE"/>
        </w:rPr>
        <w:t>takhs</w:t>
      </w:r>
      <w:r w:rsidR="0086366B" w:rsidRPr="0086366B">
        <w:rPr>
          <w:rFonts w:asciiTheme="majorBidi" w:hAnsiTheme="majorBidi" w:cstheme="majorBidi"/>
          <w:i/>
          <w:iCs/>
          <w:lang w:val="sv-SE"/>
        </w:rPr>
        <w:t>ī</w:t>
      </w:r>
      <w:r w:rsidRPr="00335104">
        <w:rPr>
          <w:rFonts w:asciiTheme="majorBidi" w:eastAsiaTheme="minorHAnsi" w:hAnsiTheme="majorBidi" w:cstheme="majorBidi"/>
          <w:i/>
          <w:iCs/>
          <w:sz w:val="24"/>
          <w:szCs w:val="24"/>
          <w:lang w:val="sv-SE"/>
        </w:rPr>
        <w:t xml:space="preserve">s </w:t>
      </w:r>
      <w:r w:rsidRPr="00335104">
        <w:rPr>
          <w:rFonts w:asciiTheme="majorBidi" w:eastAsiaTheme="minorHAnsi" w:hAnsiTheme="majorBidi" w:cstheme="majorBidi"/>
          <w:sz w:val="24"/>
          <w:szCs w:val="24"/>
          <w:lang w:val="sv-SE"/>
        </w:rPr>
        <w:t xml:space="preserve">dan </w:t>
      </w:r>
      <w:r w:rsidRPr="00335104">
        <w:rPr>
          <w:rFonts w:asciiTheme="majorBidi" w:eastAsiaTheme="minorHAnsi" w:hAnsiTheme="majorBidi" w:cstheme="majorBidi"/>
          <w:i/>
          <w:iCs/>
          <w:sz w:val="24"/>
          <w:szCs w:val="24"/>
          <w:lang w:val="sv-SE"/>
        </w:rPr>
        <w:t>bay</w:t>
      </w:r>
      <w:r w:rsidR="0086366B" w:rsidRPr="00FD4587">
        <w:rPr>
          <w:rFonts w:asciiTheme="majorBidi" w:eastAsiaTheme="minorHAnsi" w:hAnsiTheme="majorBidi" w:cstheme="majorBidi"/>
          <w:i/>
          <w:iCs/>
          <w:sz w:val="24"/>
          <w:szCs w:val="24"/>
          <w:lang w:val="sv-SE"/>
        </w:rPr>
        <w:t>ā</w:t>
      </w:r>
      <w:r w:rsidRPr="00335104">
        <w:rPr>
          <w:rFonts w:asciiTheme="majorBidi" w:eastAsiaTheme="minorHAnsi" w:hAnsiTheme="majorBidi" w:cstheme="majorBidi"/>
          <w:i/>
          <w:iCs/>
          <w:sz w:val="24"/>
          <w:szCs w:val="24"/>
          <w:lang w:val="sv-SE"/>
        </w:rPr>
        <w:t xml:space="preserve">n </w:t>
      </w:r>
      <w:r w:rsidRPr="00335104">
        <w:rPr>
          <w:rFonts w:asciiTheme="majorBidi" w:eastAsiaTheme="minorHAnsi" w:hAnsiTheme="majorBidi" w:cstheme="majorBidi"/>
          <w:sz w:val="24"/>
          <w:szCs w:val="24"/>
          <w:lang w:val="sv-SE"/>
        </w:rPr>
        <w:t>nash tersebut</w:t>
      </w:r>
      <w:r>
        <w:rPr>
          <w:rStyle w:val="FootnoteReference"/>
          <w:rFonts w:asciiTheme="majorBidi" w:eastAsiaTheme="minorHAnsi" w:hAnsiTheme="majorBidi" w:cstheme="majorBidi"/>
          <w:sz w:val="24"/>
          <w:szCs w:val="24"/>
          <w:lang w:val="sv-SE"/>
        </w:rPr>
        <w:footnoteReference w:id="97"/>
      </w:r>
      <w:r w:rsidRPr="00335104">
        <w:rPr>
          <w:rFonts w:asciiTheme="majorBidi" w:eastAsiaTheme="minorHAnsi" w:hAnsiTheme="majorBidi" w:cstheme="majorBidi"/>
          <w:sz w:val="24"/>
          <w:szCs w:val="24"/>
          <w:lang w:val="sv-SE"/>
        </w:rPr>
        <w:t>.</w:t>
      </w:r>
      <w:r>
        <w:rPr>
          <w:rFonts w:asciiTheme="majorBidi" w:eastAsiaTheme="minorHAnsi" w:hAnsiTheme="majorBidi" w:cstheme="majorBidi" w:hint="cs"/>
          <w:sz w:val="24"/>
          <w:szCs w:val="24"/>
          <w:rtl/>
        </w:rPr>
        <w:t>(فإن خالفاهما وجب تقديم رعاية المصلحة عليهما )</w:t>
      </w:r>
      <w:r w:rsidRPr="00335104">
        <w:rPr>
          <w:rFonts w:asciiTheme="majorBidi" w:eastAsiaTheme="minorHAnsi" w:hAnsiTheme="majorBidi" w:cstheme="majorBidi"/>
          <w:sz w:val="24"/>
          <w:szCs w:val="24"/>
          <w:lang w:val="sv-SE"/>
        </w:rPr>
        <w:t xml:space="preserve"> Bagi </w:t>
      </w:r>
      <w:r w:rsidR="005C28ED">
        <w:rPr>
          <w:rFonts w:asciiTheme="majorBidi" w:eastAsiaTheme="minorHAnsi" w:hAnsiTheme="majorBidi" w:cstheme="majorBidi"/>
          <w:sz w:val="24"/>
          <w:szCs w:val="24"/>
          <w:lang w:val="sv-SE"/>
        </w:rPr>
        <w:t>al-Thūfī</w:t>
      </w:r>
      <w:r w:rsidRPr="00335104">
        <w:rPr>
          <w:rFonts w:asciiTheme="majorBidi" w:eastAsiaTheme="minorHAnsi" w:hAnsiTheme="majorBidi" w:cstheme="majorBidi"/>
          <w:sz w:val="24"/>
          <w:szCs w:val="24"/>
          <w:lang w:val="sv-SE"/>
        </w:rPr>
        <w:t xml:space="preserve"> mashlahah itu bukan hanya merupakan dalil ketika tidak adanya nash dan ijma’ ketika terjadi pertentangan antara keduanya. </w:t>
      </w:r>
      <w:r w:rsidRPr="000541F1">
        <w:rPr>
          <w:rFonts w:asciiTheme="majorBidi" w:eastAsiaTheme="minorHAnsi" w:hAnsiTheme="majorBidi" w:cstheme="majorBidi"/>
          <w:sz w:val="24"/>
          <w:szCs w:val="24"/>
          <w:lang w:val="sv-SE"/>
        </w:rPr>
        <w:t xml:space="preserve">Pengutamaan mashlahah atas nash dan ijma’ tersebut, </w:t>
      </w:r>
      <w:r w:rsidR="005C28ED">
        <w:rPr>
          <w:rFonts w:asciiTheme="majorBidi" w:eastAsiaTheme="minorHAnsi" w:hAnsiTheme="majorBidi" w:cstheme="majorBidi"/>
          <w:sz w:val="24"/>
          <w:szCs w:val="24"/>
          <w:lang w:val="sv-SE"/>
        </w:rPr>
        <w:t>al-Thūfī</w:t>
      </w:r>
      <w:r w:rsidRPr="000541F1">
        <w:rPr>
          <w:rFonts w:asciiTheme="majorBidi" w:eastAsiaTheme="minorHAnsi" w:hAnsiTheme="majorBidi" w:cstheme="majorBidi"/>
          <w:sz w:val="24"/>
          <w:szCs w:val="24"/>
          <w:lang w:val="sv-SE"/>
        </w:rPr>
        <w:t xml:space="preserve"> lakukan dengan cara </w:t>
      </w:r>
      <w:r w:rsidRPr="000541F1">
        <w:rPr>
          <w:rFonts w:asciiTheme="majorBidi" w:eastAsiaTheme="minorHAnsi" w:hAnsiTheme="majorBidi" w:cstheme="majorBidi"/>
          <w:i/>
          <w:iCs/>
          <w:sz w:val="24"/>
          <w:szCs w:val="24"/>
          <w:lang w:val="sv-SE"/>
        </w:rPr>
        <w:t>bay</w:t>
      </w:r>
      <w:r w:rsidR="0086366B" w:rsidRPr="00FD4587">
        <w:rPr>
          <w:rFonts w:asciiTheme="majorBidi" w:eastAsiaTheme="minorHAnsi" w:hAnsiTheme="majorBidi" w:cstheme="majorBidi"/>
          <w:i/>
          <w:iCs/>
          <w:sz w:val="24"/>
          <w:szCs w:val="24"/>
          <w:lang w:val="sv-SE"/>
        </w:rPr>
        <w:t>ā</w:t>
      </w:r>
      <w:r w:rsidRPr="000541F1">
        <w:rPr>
          <w:rFonts w:asciiTheme="majorBidi" w:eastAsiaTheme="minorHAnsi" w:hAnsiTheme="majorBidi" w:cstheme="majorBidi"/>
          <w:i/>
          <w:iCs/>
          <w:sz w:val="24"/>
          <w:szCs w:val="24"/>
          <w:lang w:val="sv-SE"/>
        </w:rPr>
        <w:t xml:space="preserve">n </w:t>
      </w:r>
      <w:r w:rsidRPr="000541F1">
        <w:rPr>
          <w:rFonts w:asciiTheme="majorBidi" w:eastAsiaTheme="minorHAnsi" w:hAnsiTheme="majorBidi" w:cstheme="majorBidi"/>
          <w:sz w:val="24"/>
          <w:szCs w:val="24"/>
          <w:lang w:val="sv-SE"/>
        </w:rPr>
        <w:t xml:space="preserve">dan </w:t>
      </w:r>
      <w:r w:rsidRPr="000541F1">
        <w:rPr>
          <w:rFonts w:asciiTheme="majorBidi" w:eastAsiaTheme="minorHAnsi" w:hAnsiTheme="majorBidi" w:cstheme="majorBidi"/>
          <w:i/>
          <w:iCs/>
          <w:sz w:val="24"/>
          <w:szCs w:val="24"/>
          <w:lang w:val="sv-SE"/>
        </w:rPr>
        <w:t>takhs</w:t>
      </w:r>
      <w:r w:rsidR="0086366B" w:rsidRPr="0086366B">
        <w:rPr>
          <w:rFonts w:asciiTheme="majorBidi" w:hAnsiTheme="majorBidi" w:cstheme="majorBidi"/>
          <w:i/>
          <w:iCs/>
          <w:lang w:val="sv-SE"/>
        </w:rPr>
        <w:t>ī</w:t>
      </w:r>
      <w:r w:rsidRPr="000541F1">
        <w:rPr>
          <w:rFonts w:asciiTheme="majorBidi" w:eastAsiaTheme="minorHAnsi" w:hAnsiTheme="majorBidi" w:cstheme="majorBidi"/>
          <w:i/>
          <w:iCs/>
          <w:sz w:val="24"/>
          <w:szCs w:val="24"/>
          <w:lang w:val="sv-SE"/>
        </w:rPr>
        <w:t>s</w:t>
      </w:r>
      <w:r w:rsidRPr="000541F1">
        <w:rPr>
          <w:rFonts w:asciiTheme="majorBidi" w:eastAsiaTheme="minorHAnsi" w:hAnsiTheme="majorBidi" w:cstheme="majorBidi"/>
          <w:sz w:val="24"/>
          <w:szCs w:val="24"/>
          <w:lang w:val="sv-SE"/>
        </w:rPr>
        <w:t xml:space="preserve">; bukan dengan cara mengabaikan atau meninggalkan nash sama sekali, sebagaimana mendahulukan sunnah atas al-Qur’an dengan cara </w:t>
      </w:r>
      <w:r w:rsidRPr="000541F1">
        <w:rPr>
          <w:rFonts w:asciiTheme="majorBidi" w:eastAsiaTheme="minorHAnsi" w:hAnsiTheme="majorBidi" w:cstheme="majorBidi"/>
          <w:i/>
          <w:iCs/>
          <w:sz w:val="24"/>
          <w:szCs w:val="24"/>
          <w:lang w:val="sv-SE"/>
        </w:rPr>
        <w:t>bay</w:t>
      </w:r>
      <w:r w:rsidR="0086366B" w:rsidRPr="00FD4587">
        <w:rPr>
          <w:rFonts w:asciiTheme="majorBidi" w:eastAsiaTheme="minorHAnsi" w:hAnsiTheme="majorBidi" w:cstheme="majorBidi"/>
          <w:i/>
          <w:iCs/>
          <w:sz w:val="24"/>
          <w:szCs w:val="24"/>
          <w:lang w:val="sv-SE"/>
        </w:rPr>
        <w:t>ā</w:t>
      </w:r>
      <w:r w:rsidRPr="000541F1">
        <w:rPr>
          <w:rFonts w:asciiTheme="majorBidi" w:eastAsiaTheme="minorHAnsi" w:hAnsiTheme="majorBidi" w:cstheme="majorBidi"/>
          <w:i/>
          <w:iCs/>
          <w:sz w:val="24"/>
          <w:szCs w:val="24"/>
          <w:lang w:val="sv-SE"/>
        </w:rPr>
        <w:t>n</w:t>
      </w:r>
      <w:r w:rsidRPr="000541F1">
        <w:rPr>
          <w:rFonts w:asciiTheme="majorBidi" w:eastAsiaTheme="minorHAnsi" w:hAnsiTheme="majorBidi" w:cstheme="majorBidi"/>
          <w:sz w:val="24"/>
          <w:szCs w:val="24"/>
          <w:lang w:val="sv-SE"/>
        </w:rPr>
        <w:t xml:space="preserve">. </w:t>
      </w:r>
      <w:r w:rsidRPr="0013595F">
        <w:rPr>
          <w:rFonts w:asciiTheme="majorBidi" w:eastAsiaTheme="minorHAnsi" w:hAnsiTheme="majorBidi" w:cstheme="majorBidi"/>
          <w:sz w:val="24"/>
          <w:szCs w:val="24"/>
        </w:rPr>
        <w:t xml:space="preserve">Hal </w:t>
      </w:r>
      <w:r w:rsidRPr="0013595F">
        <w:rPr>
          <w:rFonts w:asciiTheme="majorBidi" w:eastAsiaTheme="minorHAnsi" w:hAnsiTheme="majorBidi" w:cstheme="majorBidi"/>
          <w:sz w:val="24"/>
          <w:szCs w:val="24"/>
        </w:rPr>
        <w:lastRenderedPageBreak/>
        <w:t xml:space="preserve">demikian </w:t>
      </w:r>
      <w:r w:rsidR="005C28ED">
        <w:rPr>
          <w:rFonts w:asciiTheme="majorBidi" w:eastAsiaTheme="minorHAnsi" w:hAnsiTheme="majorBidi" w:cstheme="majorBidi"/>
          <w:sz w:val="24"/>
          <w:szCs w:val="24"/>
        </w:rPr>
        <w:t>al-Thūfī</w:t>
      </w:r>
      <w:r w:rsidRPr="0013595F">
        <w:rPr>
          <w:rFonts w:asciiTheme="majorBidi" w:eastAsiaTheme="minorHAnsi" w:hAnsiTheme="majorBidi" w:cstheme="majorBidi"/>
          <w:sz w:val="24"/>
          <w:szCs w:val="24"/>
        </w:rPr>
        <w:t xml:space="preserve"> lakukan karena dalam pandangannya, </w:t>
      </w:r>
      <w:r w:rsidR="0086366B" w:rsidRPr="00DE5758">
        <w:rPr>
          <w:rFonts w:ascii="Times New Roman" w:hAnsi="Times New Roman" w:cs="Times New Roman"/>
          <w:i/>
          <w:iCs/>
          <w:spacing w:val="6"/>
          <w:sz w:val="24"/>
          <w:szCs w:val="24"/>
          <w:lang w:val="sv-SE"/>
        </w:rPr>
        <w:t>ma</w:t>
      </w:r>
      <w:r w:rsidR="0086366B" w:rsidRPr="009260BA">
        <w:rPr>
          <w:rFonts w:asciiTheme="majorBidi" w:hAnsiTheme="majorBidi" w:cstheme="majorBidi"/>
          <w:i/>
          <w:iCs/>
          <w:color w:val="222222"/>
          <w:sz w:val="24"/>
          <w:szCs w:val="24"/>
        </w:rPr>
        <w:t>ṣ</w:t>
      </w:r>
      <w:r w:rsidR="0086366B" w:rsidRPr="00DE5758">
        <w:rPr>
          <w:rFonts w:ascii="Times New Roman" w:hAnsi="Times New Roman" w:cs="Times New Roman"/>
          <w:i/>
          <w:iCs/>
          <w:spacing w:val="6"/>
          <w:sz w:val="24"/>
          <w:szCs w:val="24"/>
          <w:lang w:val="sv-SE"/>
        </w:rPr>
        <w:t>la</w:t>
      </w:r>
      <w:r w:rsidR="0086366B" w:rsidRPr="00DE5758">
        <w:rPr>
          <w:rFonts w:ascii="Times New Roman" w:hAnsi="Times New Roman" w:cs="Times New Roman"/>
          <w:i/>
          <w:iCs/>
          <w:spacing w:val="6"/>
          <w:sz w:val="24"/>
          <w:szCs w:val="24"/>
          <w:u w:val="single"/>
          <w:lang w:val="sv-SE"/>
        </w:rPr>
        <w:t>h</w:t>
      </w:r>
      <w:r w:rsidR="0086366B" w:rsidRPr="00DE5758">
        <w:rPr>
          <w:rFonts w:ascii="Times New Roman" w:hAnsi="Times New Roman" w:cs="Times New Roman"/>
          <w:i/>
          <w:iCs/>
          <w:spacing w:val="6"/>
          <w:sz w:val="24"/>
          <w:szCs w:val="24"/>
          <w:lang w:val="sv-SE"/>
        </w:rPr>
        <w:t>ah</w:t>
      </w:r>
      <w:r w:rsidRPr="0013595F">
        <w:rPr>
          <w:rFonts w:asciiTheme="majorBidi" w:eastAsiaTheme="minorHAnsi" w:hAnsiTheme="majorBidi" w:cstheme="majorBidi"/>
          <w:sz w:val="24"/>
          <w:szCs w:val="24"/>
        </w:rPr>
        <w:t xml:space="preserve"> itu bersumber dari sabda nabi saw.: </w:t>
      </w:r>
      <w:r w:rsidRPr="0013595F">
        <w:rPr>
          <w:rFonts w:asciiTheme="majorBidi" w:eastAsiaTheme="minorHAnsi" w:hAnsiTheme="majorBidi" w:cstheme="majorBidi"/>
          <w:i/>
          <w:iCs/>
          <w:sz w:val="24"/>
          <w:szCs w:val="24"/>
        </w:rPr>
        <w:t>la dar</w:t>
      </w:r>
      <w:r w:rsidR="0086366B" w:rsidRPr="00FD4587">
        <w:rPr>
          <w:rFonts w:asciiTheme="majorBidi" w:eastAsiaTheme="minorHAnsi" w:hAnsiTheme="majorBidi" w:cstheme="majorBidi"/>
          <w:i/>
          <w:iCs/>
          <w:sz w:val="24"/>
          <w:szCs w:val="24"/>
          <w:lang w:val="sv-SE"/>
        </w:rPr>
        <w:t>ā</w:t>
      </w:r>
      <w:r w:rsidRPr="0013595F">
        <w:rPr>
          <w:rFonts w:asciiTheme="majorBidi" w:eastAsiaTheme="minorHAnsi" w:hAnsiTheme="majorBidi" w:cstheme="majorBidi"/>
          <w:i/>
          <w:iCs/>
          <w:sz w:val="24"/>
          <w:szCs w:val="24"/>
        </w:rPr>
        <w:t>ra wa l</w:t>
      </w:r>
      <w:r w:rsidR="0086366B" w:rsidRPr="00FD4587">
        <w:rPr>
          <w:rFonts w:asciiTheme="majorBidi" w:eastAsiaTheme="minorHAnsi" w:hAnsiTheme="majorBidi" w:cstheme="majorBidi"/>
          <w:i/>
          <w:iCs/>
          <w:sz w:val="24"/>
          <w:szCs w:val="24"/>
          <w:lang w:val="sv-SE"/>
        </w:rPr>
        <w:t>ā</w:t>
      </w:r>
      <w:r w:rsidRPr="0013595F">
        <w:rPr>
          <w:rFonts w:asciiTheme="majorBidi" w:eastAsiaTheme="minorHAnsi" w:hAnsiTheme="majorBidi" w:cstheme="majorBidi"/>
          <w:i/>
          <w:iCs/>
          <w:sz w:val="24"/>
          <w:szCs w:val="24"/>
        </w:rPr>
        <w:t xml:space="preserve"> dir</w:t>
      </w:r>
      <w:r w:rsidR="0086366B" w:rsidRPr="00FD4587">
        <w:rPr>
          <w:rFonts w:asciiTheme="majorBidi" w:eastAsiaTheme="minorHAnsi" w:hAnsiTheme="majorBidi" w:cstheme="majorBidi"/>
          <w:i/>
          <w:iCs/>
          <w:sz w:val="24"/>
          <w:szCs w:val="24"/>
          <w:lang w:val="sv-SE"/>
        </w:rPr>
        <w:t>ā</w:t>
      </w:r>
      <w:r w:rsidRPr="0013595F">
        <w:rPr>
          <w:rFonts w:asciiTheme="majorBidi" w:eastAsiaTheme="minorHAnsi" w:hAnsiTheme="majorBidi" w:cstheme="majorBidi"/>
          <w:i/>
          <w:iCs/>
          <w:sz w:val="24"/>
          <w:szCs w:val="24"/>
        </w:rPr>
        <w:t xml:space="preserve">ra. </w:t>
      </w:r>
      <w:r w:rsidRPr="0013595F">
        <w:rPr>
          <w:rFonts w:asciiTheme="majorBidi" w:eastAsiaTheme="minorHAnsi" w:hAnsiTheme="majorBidi" w:cstheme="majorBidi"/>
          <w:sz w:val="24"/>
          <w:szCs w:val="24"/>
        </w:rPr>
        <w:t>Pengutamaan</w:t>
      </w:r>
      <w:r w:rsidRPr="0013595F">
        <w:rPr>
          <w:rFonts w:asciiTheme="majorBidi" w:eastAsiaTheme="minorHAnsi" w:hAnsiTheme="majorBidi" w:cstheme="majorBidi"/>
          <w:i/>
          <w:iCs/>
          <w:sz w:val="24"/>
          <w:szCs w:val="24"/>
        </w:rPr>
        <w:t xml:space="preserve"> </w:t>
      </w:r>
      <w:r w:rsidRPr="0013595F">
        <w:rPr>
          <w:rFonts w:asciiTheme="majorBidi" w:eastAsiaTheme="minorHAnsi" w:hAnsiTheme="majorBidi" w:cstheme="majorBidi"/>
          <w:sz w:val="24"/>
          <w:szCs w:val="24"/>
        </w:rPr>
        <w:t xml:space="preserve">dan mendahulukan </w:t>
      </w:r>
      <w:r w:rsidR="0086366B" w:rsidRPr="00DE5758">
        <w:rPr>
          <w:rFonts w:ascii="Times New Roman" w:hAnsi="Times New Roman" w:cs="Times New Roman"/>
          <w:i/>
          <w:iCs/>
          <w:spacing w:val="6"/>
          <w:sz w:val="24"/>
          <w:szCs w:val="24"/>
          <w:lang w:val="sv-SE"/>
        </w:rPr>
        <w:t>ma</w:t>
      </w:r>
      <w:r w:rsidR="0086366B" w:rsidRPr="009260BA">
        <w:rPr>
          <w:rFonts w:asciiTheme="majorBidi" w:hAnsiTheme="majorBidi" w:cstheme="majorBidi"/>
          <w:i/>
          <w:iCs/>
          <w:color w:val="222222"/>
          <w:sz w:val="24"/>
          <w:szCs w:val="24"/>
        </w:rPr>
        <w:t>ṣ</w:t>
      </w:r>
      <w:r w:rsidR="0086366B" w:rsidRPr="00DE5758">
        <w:rPr>
          <w:rFonts w:ascii="Times New Roman" w:hAnsi="Times New Roman" w:cs="Times New Roman"/>
          <w:i/>
          <w:iCs/>
          <w:spacing w:val="6"/>
          <w:sz w:val="24"/>
          <w:szCs w:val="24"/>
          <w:lang w:val="sv-SE"/>
        </w:rPr>
        <w:t>la</w:t>
      </w:r>
      <w:r w:rsidR="0086366B" w:rsidRPr="00DE5758">
        <w:rPr>
          <w:rFonts w:ascii="Times New Roman" w:hAnsi="Times New Roman" w:cs="Times New Roman"/>
          <w:i/>
          <w:iCs/>
          <w:spacing w:val="6"/>
          <w:sz w:val="24"/>
          <w:szCs w:val="24"/>
          <w:u w:val="single"/>
          <w:lang w:val="sv-SE"/>
        </w:rPr>
        <w:t>h</w:t>
      </w:r>
      <w:r w:rsidR="0086366B" w:rsidRPr="00DE5758">
        <w:rPr>
          <w:rFonts w:ascii="Times New Roman" w:hAnsi="Times New Roman" w:cs="Times New Roman"/>
          <w:i/>
          <w:iCs/>
          <w:spacing w:val="6"/>
          <w:sz w:val="24"/>
          <w:szCs w:val="24"/>
          <w:lang w:val="sv-SE"/>
        </w:rPr>
        <w:t>ah</w:t>
      </w:r>
      <w:r w:rsidRPr="0013595F">
        <w:rPr>
          <w:rFonts w:asciiTheme="majorBidi" w:eastAsiaTheme="minorHAnsi" w:hAnsiTheme="majorBidi" w:cstheme="majorBidi"/>
          <w:sz w:val="24"/>
          <w:szCs w:val="24"/>
        </w:rPr>
        <w:t xml:space="preserve"> atas nash ini ditempuh baik nash itu </w:t>
      </w:r>
      <w:r w:rsidRPr="0013595F">
        <w:rPr>
          <w:rFonts w:asciiTheme="majorBidi" w:eastAsiaTheme="minorHAnsi" w:hAnsiTheme="majorBidi" w:cstheme="majorBidi"/>
          <w:i/>
          <w:iCs/>
          <w:sz w:val="24"/>
          <w:szCs w:val="24"/>
        </w:rPr>
        <w:t>qath</w:t>
      </w:r>
      <w:r w:rsidR="0086366B">
        <w:t>‘</w:t>
      </w:r>
      <w:r>
        <w:rPr>
          <w:rFonts w:asciiTheme="majorBidi" w:eastAsiaTheme="minorHAnsi" w:hAnsiTheme="majorBidi" w:cstheme="majorBidi"/>
          <w:i/>
          <w:iCs/>
          <w:sz w:val="24"/>
          <w:szCs w:val="24"/>
        </w:rPr>
        <w:t xml:space="preserve">i </w:t>
      </w:r>
      <w:r w:rsidRPr="0013595F">
        <w:rPr>
          <w:rFonts w:asciiTheme="majorBidi" w:eastAsiaTheme="minorHAnsi" w:hAnsiTheme="majorBidi" w:cstheme="majorBidi"/>
          <w:sz w:val="24"/>
          <w:szCs w:val="24"/>
        </w:rPr>
        <w:t>dalam sanad dan matannya atau zhanny keduanya.</w:t>
      </w:r>
      <w:r>
        <w:rPr>
          <w:rStyle w:val="FootnoteReference"/>
          <w:rFonts w:asciiTheme="majorBidi" w:eastAsiaTheme="minorHAnsi" w:hAnsiTheme="majorBidi" w:cstheme="majorBidi"/>
          <w:sz w:val="24"/>
          <w:szCs w:val="24"/>
        </w:rPr>
        <w:footnoteReference w:id="98"/>
      </w:r>
    </w:p>
    <w:p w:rsidR="00C012EC" w:rsidRPr="000541F1" w:rsidRDefault="00C012EC" w:rsidP="00D041BE">
      <w:pPr>
        <w:autoSpaceDE w:val="0"/>
        <w:autoSpaceDN w:val="0"/>
        <w:adjustRightInd w:val="0"/>
        <w:spacing w:after="0" w:line="360" w:lineRule="auto"/>
        <w:ind w:firstLine="720"/>
        <w:jc w:val="both"/>
        <w:rPr>
          <w:rFonts w:asciiTheme="majorBidi" w:hAnsiTheme="majorBidi" w:cstheme="majorBidi"/>
          <w:sz w:val="24"/>
          <w:szCs w:val="24"/>
        </w:rPr>
      </w:pPr>
      <w:r w:rsidRPr="00824B16">
        <w:rPr>
          <w:rFonts w:asciiTheme="majorBidi" w:eastAsiaTheme="minorHAnsi" w:hAnsiTheme="majorBidi" w:cstheme="majorBidi"/>
          <w:sz w:val="24"/>
          <w:szCs w:val="24"/>
        </w:rPr>
        <w:t xml:space="preserve">Kelima, </w:t>
      </w:r>
      <w:r w:rsidRPr="00824B16">
        <w:rPr>
          <w:rFonts w:asciiTheme="majorBidi" w:hAnsiTheme="majorBidi" w:cstheme="majorBidi"/>
          <w:sz w:val="24"/>
          <w:szCs w:val="24"/>
        </w:rPr>
        <w:t>bahwa maslahat tersebut tidak boleh bertentangan dengan maslahat yang lebih besar,</w:t>
      </w:r>
      <w:r>
        <w:rPr>
          <w:rFonts w:asciiTheme="majorBidi" w:hAnsiTheme="majorBidi" w:cstheme="majorBidi"/>
          <w:sz w:val="24"/>
          <w:szCs w:val="24"/>
        </w:rPr>
        <w:t xml:space="preserve"> </w:t>
      </w:r>
      <w:r w:rsidRPr="00824B16">
        <w:rPr>
          <w:rFonts w:asciiTheme="majorBidi" w:hAnsiTheme="majorBidi" w:cstheme="majorBidi"/>
          <w:sz w:val="24"/>
          <w:szCs w:val="24"/>
        </w:rPr>
        <w:t>juga tidak boleh bertentangan dengan dalil khusus</w:t>
      </w:r>
      <w:r>
        <w:rPr>
          <w:rFonts w:asciiTheme="majorBidi" w:hAnsiTheme="majorBidi" w:cstheme="majorBidi"/>
          <w:sz w:val="24"/>
          <w:szCs w:val="24"/>
        </w:rPr>
        <w:t xml:space="preserve"> ( </w:t>
      </w:r>
      <w:r w:rsidRPr="00D041BE">
        <w:rPr>
          <w:rFonts w:asciiTheme="majorBidi" w:hAnsiTheme="majorBidi" w:cstheme="majorBidi"/>
          <w:i/>
          <w:iCs/>
          <w:sz w:val="24"/>
          <w:szCs w:val="24"/>
        </w:rPr>
        <w:t>qath</w:t>
      </w:r>
      <w:r w:rsidR="00D041BE">
        <w:t>‘</w:t>
      </w:r>
      <w:r w:rsidRPr="00D041BE">
        <w:rPr>
          <w:rFonts w:asciiTheme="majorBidi" w:hAnsiTheme="majorBidi" w:cstheme="majorBidi"/>
          <w:i/>
          <w:iCs/>
          <w:sz w:val="24"/>
          <w:szCs w:val="24"/>
        </w:rPr>
        <w:t>i</w:t>
      </w:r>
      <w:r>
        <w:rPr>
          <w:rFonts w:asciiTheme="majorBidi" w:hAnsiTheme="majorBidi" w:cstheme="majorBidi"/>
          <w:sz w:val="24"/>
          <w:szCs w:val="24"/>
        </w:rPr>
        <w:t>)</w:t>
      </w:r>
      <w:r w:rsidRPr="00824B16">
        <w:rPr>
          <w:rFonts w:asciiTheme="majorBidi" w:hAnsiTheme="majorBidi" w:cstheme="majorBidi"/>
          <w:sz w:val="24"/>
          <w:szCs w:val="24"/>
        </w:rPr>
        <w:t>. Karenanya ketika kasus terjadi dan secara nash telah ditentukan hukumnya berdasarkan dalil khusus (</w:t>
      </w:r>
      <w:r w:rsidRPr="00824B16">
        <w:rPr>
          <w:rFonts w:asciiTheme="majorBidi" w:hAnsiTheme="majorBidi" w:cstheme="majorBidi"/>
          <w:i/>
          <w:iCs/>
          <w:sz w:val="24"/>
          <w:szCs w:val="24"/>
        </w:rPr>
        <w:t>qaṭ</w:t>
      </w:r>
      <w:r>
        <w:rPr>
          <w:rFonts w:asciiTheme="majorBidi" w:hAnsiTheme="majorBidi" w:cstheme="majorBidi"/>
          <w:i/>
          <w:iCs/>
          <w:sz w:val="24"/>
          <w:szCs w:val="24"/>
        </w:rPr>
        <w:t>h’</w:t>
      </w:r>
      <w:r w:rsidR="00D041BE">
        <w:rPr>
          <w:rFonts w:asciiTheme="majorBidi" w:hAnsiTheme="majorBidi" w:cstheme="majorBidi"/>
          <w:i/>
          <w:iCs/>
          <w:sz w:val="24"/>
          <w:szCs w:val="24"/>
        </w:rPr>
        <w:t>i</w:t>
      </w:r>
      <w:r w:rsidRPr="00824B16">
        <w:rPr>
          <w:rFonts w:asciiTheme="majorBidi" w:hAnsiTheme="majorBidi" w:cstheme="majorBidi"/>
          <w:sz w:val="24"/>
          <w:szCs w:val="24"/>
        </w:rPr>
        <w:t>) maka itulah yang dipedomani.</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w:t>
      </w:r>
      <w:r w:rsidRPr="00F536D2">
        <w:rPr>
          <w:rFonts w:asciiTheme="majorBidi" w:hAnsiTheme="majorBidi" w:cstheme="majorBidi"/>
          <w:sz w:val="24"/>
          <w:szCs w:val="24"/>
        </w:rPr>
        <w:t>Secara terang al-Ṭūfī menyatakan bahwa dalam rangka mewujudkan prioritas kemaslahatan dan menghilangkan segala bentuk kerugian, maka pemberlakuan maslahat harus diutamakan atas argumen-argumen mazhab yang ada ata</w:t>
      </w:r>
      <w:r w:rsidR="00D041BE">
        <w:rPr>
          <w:rFonts w:asciiTheme="majorBidi" w:hAnsiTheme="majorBidi" w:cstheme="majorBidi"/>
          <w:sz w:val="24"/>
          <w:szCs w:val="24"/>
        </w:rPr>
        <w:t>u setidaknya mem</w:t>
      </w:r>
      <w:r w:rsidR="00204CDE">
        <w:rPr>
          <w:rFonts w:asciiTheme="majorBidi" w:hAnsiTheme="majorBidi" w:cstheme="majorBidi"/>
          <w:sz w:val="24"/>
          <w:szCs w:val="24"/>
        </w:rPr>
        <w:t>batasi aplikasi sumber-sumber hu</w:t>
      </w:r>
      <w:r w:rsidR="00D041BE">
        <w:rPr>
          <w:rFonts w:asciiTheme="majorBidi" w:hAnsiTheme="majorBidi" w:cstheme="majorBidi"/>
          <w:sz w:val="24"/>
          <w:szCs w:val="24"/>
        </w:rPr>
        <w:t xml:space="preserve">kum </w:t>
      </w:r>
      <w:r w:rsidRPr="00F536D2">
        <w:rPr>
          <w:rFonts w:asciiTheme="majorBidi" w:hAnsiTheme="majorBidi" w:cstheme="majorBidi"/>
          <w:sz w:val="24"/>
          <w:szCs w:val="24"/>
        </w:rPr>
        <w:t>tersebut.</w:t>
      </w:r>
      <w:r w:rsidRPr="00F536D2">
        <w:t xml:space="preserve"> </w:t>
      </w:r>
      <w:r w:rsidRPr="00F536D2">
        <w:rPr>
          <w:rFonts w:asciiTheme="majorBidi" w:hAnsiTheme="majorBidi" w:cstheme="majorBidi"/>
          <w:sz w:val="24"/>
          <w:szCs w:val="24"/>
        </w:rPr>
        <w:t xml:space="preserve">Sehingga terealisasi sebuah kemaslahatan sosial dan hilangnya kerugian sosial yang ditimbulkan oleh perbedaan masing-masing mazhab </w:t>
      </w:r>
      <w:r>
        <w:rPr>
          <w:rFonts w:asciiTheme="majorBidi" w:hAnsiTheme="majorBidi" w:cstheme="majorBidi"/>
          <w:sz w:val="24"/>
          <w:szCs w:val="24"/>
        </w:rPr>
        <w:t xml:space="preserve">hukum. </w:t>
      </w:r>
      <w:r>
        <w:rPr>
          <w:rStyle w:val="FootnoteReference"/>
          <w:rFonts w:asciiTheme="majorBidi" w:hAnsiTheme="majorBidi" w:cstheme="majorBidi"/>
          <w:sz w:val="24"/>
          <w:szCs w:val="24"/>
        </w:rPr>
        <w:footnoteReference w:id="100"/>
      </w:r>
    </w:p>
    <w:p w:rsidR="00C012EC" w:rsidRPr="00F13604" w:rsidRDefault="00C012EC" w:rsidP="00601FF9">
      <w:pPr>
        <w:pStyle w:val="ListParagraph"/>
        <w:spacing w:after="0" w:line="360" w:lineRule="auto"/>
        <w:ind w:left="0" w:firstLine="720"/>
        <w:jc w:val="both"/>
        <w:rPr>
          <w:rFonts w:asciiTheme="majorBidi" w:hAnsiTheme="majorBidi" w:cstheme="majorBidi"/>
          <w:spacing w:val="6"/>
          <w:sz w:val="24"/>
          <w:szCs w:val="24"/>
          <w:lang w:val="sv-SE"/>
        </w:rPr>
      </w:pPr>
      <w:r w:rsidRPr="000541F1">
        <w:rPr>
          <w:rFonts w:asciiTheme="majorBidi" w:hAnsiTheme="majorBidi" w:cstheme="majorBidi"/>
          <w:spacing w:val="6"/>
          <w:sz w:val="24"/>
          <w:szCs w:val="24"/>
          <w:lang w:val="sv-SE"/>
        </w:rPr>
        <w:t xml:space="preserve">Dalam teori ini, tampak sekali bahwa kemaslahatan adalah hal yang menjadi </w:t>
      </w:r>
      <w:r w:rsidR="001A055E">
        <w:rPr>
          <w:rFonts w:asciiTheme="majorBidi" w:hAnsiTheme="majorBidi" w:cstheme="majorBidi"/>
          <w:spacing w:val="6"/>
          <w:sz w:val="24"/>
          <w:szCs w:val="24"/>
          <w:lang w:val="sv-SE"/>
        </w:rPr>
        <w:t>tujuan diturunkannya syariat Islam</w:t>
      </w:r>
      <w:r w:rsidRPr="000541F1">
        <w:rPr>
          <w:rFonts w:asciiTheme="majorBidi" w:hAnsiTheme="majorBidi" w:cstheme="majorBidi"/>
          <w:spacing w:val="6"/>
          <w:sz w:val="24"/>
          <w:szCs w:val="24"/>
          <w:lang w:val="sv-SE"/>
        </w:rPr>
        <w:t>.</w:t>
      </w:r>
      <w:r w:rsidR="000A17F2">
        <w:rPr>
          <w:rFonts w:asciiTheme="majorBidi" w:hAnsiTheme="majorBidi" w:cstheme="majorBidi"/>
          <w:spacing w:val="6"/>
          <w:sz w:val="24"/>
          <w:szCs w:val="24"/>
          <w:lang w:val="sv-SE"/>
        </w:rPr>
        <w:t xml:space="preserve"> </w:t>
      </w:r>
      <w:r w:rsidRPr="00F13604">
        <w:rPr>
          <w:rFonts w:asciiTheme="majorBidi" w:eastAsiaTheme="minorHAnsi" w:hAnsiTheme="majorBidi" w:cstheme="majorBidi"/>
          <w:sz w:val="24"/>
          <w:szCs w:val="24"/>
          <w:lang w:val="sv-SE"/>
        </w:rPr>
        <w:t xml:space="preserve">Kemaslahatan dalam pengundangan hukum Islam diproyeksikan untuk memelihara </w:t>
      </w:r>
      <w:r w:rsidRPr="00F13604">
        <w:rPr>
          <w:rFonts w:asciiTheme="majorBidi" w:eastAsiaTheme="minorHAnsi" w:hAnsiTheme="majorBidi" w:cstheme="majorBidi"/>
          <w:i/>
          <w:iCs/>
          <w:sz w:val="24"/>
          <w:szCs w:val="24"/>
          <w:lang w:val="sv-SE"/>
        </w:rPr>
        <w:t>maqāṣid al-shar</w:t>
      </w:r>
      <w:r>
        <w:rPr>
          <w:rFonts w:asciiTheme="majorBidi" w:eastAsiaTheme="minorHAnsi" w:hAnsiTheme="majorBidi" w:cstheme="majorBidi"/>
          <w:i/>
          <w:iCs/>
          <w:sz w:val="24"/>
          <w:szCs w:val="24"/>
          <w:lang w:val="sv-SE"/>
        </w:rPr>
        <w:t>ī</w:t>
      </w:r>
      <w:r w:rsidR="00D041BE" w:rsidRPr="00D041BE">
        <w:rPr>
          <w:lang w:val="sv-SE"/>
        </w:rPr>
        <w:t>‘</w:t>
      </w:r>
      <w:r w:rsidRPr="00F13604">
        <w:rPr>
          <w:rFonts w:asciiTheme="majorBidi" w:eastAsiaTheme="minorHAnsi" w:hAnsiTheme="majorBidi" w:cstheme="majorBidi"/>
          <w:i/>
          <w:iCs/>
          <w:sz w:val="24"/>
          <w:szCs w:val="24"/>
          <w:lang w:val="sv-SE"/>
        </w:rPr>
        <w:t xml:space="preserve">ah </w:t>
      </w:r>
      <w:r w:rsidRPr="00F13604">
        <w:rPr>
          <w:rFonts w:asciiTheme="majorBidi" w:eastAsiaTheme="minorHAnsi" w:hAnsiTheme="majorBidi" w:cstheme="majorBidi"/>
          <w:sz w:val="24"/>
          <w:szCs w:val="24"/>
          <w:lang w:val="sv-SE"/>
        </w:rPr>
        <w:t xml:space="preserve">yang kemudian dikenal sebagai </w:t>
      </w:r>
      <w:r w:rsidRPr="00F13604">
        <w:rPr>
          <w:rFonts w:asciiTheme="majorBidi" w:eastAsiaTheme="minorHAnsi" w:hAnsiTheme="majorBidi" w:cstheme="majorBidi"/>
          <w:i/>
          <w:iCs/>
          <w:sz w:val="24"/>
          <w:szCs w:val="24"/>
          <w:lang w:val="sv-SE"/>
        </w:rPr>
        <w:t xml:space="preserve">al-kulliyah al-khamsah </w:t>
      </w:r>
      <w:r w:rsidRPr="00F13604">
        <w:rPr>
          <w:rFonts w:asciiTheme="majorBidi" w:eastAsiaTheme="minorHAnsi" w:hAnsiTheme="majorBidi" w:cstheme="majorBidi"/>
          <w:sz w:val="24"/>
          <w:szCs w:val="24"/>
          <w:lang w:val="sv-SE"/>
        </w:rPr>
        <w:t xml:space="preserve">(lima tujuan dasar dalam Islam). Kelima tujuan tersebut adalah </w:t>
      </w:r>
      <w:r w:rsidR="00D041BE" w:rsidRPr="00D44F72">
        <w:rPr>
          <w:rFonts w:ascii="Times New Roman" w:hAnsi="Times New Roman" w:cs="Times New Roman"/>
          <w:i/>
          <w:iCs/>
          <w:sz w:val="24"/>
          <w:szCs w:val="24"/>
          <w:u w:val="single"/>
          <w:lang w:val="id-ID"/>
        </w:rPr>
        <w:t>h</w:t>
      </w:r>
      <w:r w:rsidR="00D041BE" w:rsidRPr="00F13604">
        <w:rPr>
          <w:rFonts w:asciiTheme="majorBidi" w:eastAsiaTheme="minorHAnsi" w:hAnsiTheme="majorBidi" w:cstheme="majorBidi"/>
          <w:i/>
          <w:iCs/>
          <w:sz w:val="24"/>
          <w:szCs w:val="24"/>
          <w:lang w:val="sv-SE"/>
        </w:rPr>
        <w:t>ifẓ</w:t>
      </w:r>
      <w:r w:rsidRPr="00F13604">
        <w:rPr>
          <w:rFonts w:asciiTheme="majorBidi" w:eastAsiaTheme="minorHAnsi" w:hAnsiTheme="majorBidi" w:cstheme="majorBidi"/>
          <w:i/>
          <w:iCs/>
          <w:sz w:val="24"/>
          <w:szCs w:val="24"/>
          <w:lang w:val="sv-SE"/>
        </w:rPr>
        <w:t xml:space="preserve"> al-dīn </w:t>
      </w:r>
      <w:r w:rsidRPr="00F13604">
        <w:rPr>
          <w:rFonts w:asciiTheme="majorBidi" w:eastAsiaTheme="minorHAnsi" w:hAnsiTheme="majorBidi" w:cstheme="majorBidi"/>
          <w:sz w:val="24"/>
          <w:szCs w:val="24"/>
          <w:lang w:val="sv-SE"/>
        </w:rPr>
        <w:t xml:space="preserve">atau menjamin kebebasan dalam memilih agama, selanjutnya </w:t>
      </w:r>
      <w:r w:rsidR="00D041BE" w:rsidRPr="00D44F72">
        <w:rPr>
          <w:rFonts w:ascii="Times New Roman" w:hAnsi="Times New Roman" w:cs="Times New Roman"/>
          <w:i/>
          <w:iCs/>
          <w:sz w:val="24"/>
          <w:szCs w:val="24"/>
          <w:u w:val="single"/>
          <w:lang w:val="id-ID"/>
        </w:rPr>
        <w:t>h</w:t>
      </w:r>
      <w:r w:rsidRPr="00F13604">
        <w:rPr>
          <w:rFonts w:asciiTheme="majorBidi" w:eastAsiaTheme="minorHAnsi" w:hAnsiTheme="majorBidi" w:cstheme="majorBidi"/>
          <w:i/>
          <w:iCs/>
          <w:sz w:val="24"/>
          <w:szCs w:val="24"/>
          <w:lang w:val="sv-SE"/>
        </w:rPr>
        <w:t xml:space="preserve">ifẓ al-nafs </w:t>
      </w:r>
      <w:r w:rsidRPr="00F13604">
        <w:rPr>
          <w:rFonts w:asciiTheme="majorBidi" w:eastAsiaTheme="minorHAnsi" w:hAnsiTheme="majorBidi" w:cstheme="majorBidi"/>
          <w:sz w:val="24"/>
          <w:szCs w:val="24"/>
          <w:lang w:val="sv-SE"/>
        </w:rPr>
        <w:t>atau memelihara keberlangsungan hidup, menjamin kebebasan dalam mengeluarkan opini (</w:t>
      </w:r>
      <w:r w:rsidR="00D041BE" w:rsidRPr="00D44F72">
        <w:rPr>
          <w:rFonts w:ascii="Times New Roman" w:hAnsi="Times New Roman" w:cs="Times New Roman"/>
          <w:i/>
          <w:iCs/>
          <w:sz w:val="24"/>
          <w:szCs w:val="24"/>
          <w:u w:val="single"/>
          <w:lang w:val="id-ID"/>
        </w:rPr>
        <w:t>h</w:t>
      </w:r>
      <w:r w:rsidR="00D041BE" w:rsidRPr="00F13604">
        <w:rPr>
          <w:rFonts w:asciiTheme="majorBidi" w:eastAsiaTheme="minorHAnsi" w:hAnsiTheme="majorBidi" w:cstheme="majorBidi"/>
          <w:i/>
          <w:iCs/>
          <w:sz w:val="24"/>
          <w:szCs w:val="24"/>
          <w:lang w:val="sv-SE"/>
        </w:rPr>
        <w:t>ifẓ</w:t>
      </w:r>
      <w:r w:rsidRPr="00F13604">
        <w:rPr>
          <w:rFonts w:asciiTheme="majorBidi" w:eastAsiaTheme="minorHAnsi" w:hAnsiTheme="majorBidi" w:cstheme="majorBidi"/>
          <w:i/>
          <w:iCs/>
          <w:sz w:val="24"/>
          <w:szCs w:val="24"/>
          <w:lang w:val="sv-SE"/>
        </w:rPr>
        <w:t xml:space="preserve"> al-</w:t>
      </w:r>
      <w:r w:rsidR="005763AA" w:rsidRPr="00D041BE">
        <w:rPr>
          <w:lang w:val="sv-SE"/>
        </w:rPr>
        <w:t>‘</w:t>
      </w:r>
      <w:r w:rsidRPr="00F13604">
        <w:rPr>
          <w:rFonts w:asciiTheme="majorBidi" w:eastAsiaTheme="minorHAnsi" w:hAnsiTheme="majorBidi" w:cstheme="majorBidi"/>
          <w:i/>
          <w:iCs/>
          <w:sz w:val="24"/>
          <w:szCs w:val="24"/>
          <w:lang w:val="sv-SE"/>
        </w:rPr>
        <w:t>aql</w:t>
      </w:r>
      <w:r>
        <w:rPr>
          <w:rFonts w:asciiTheme="majorBidi" w:eastAsiaTheme="minorHAnsi" w:hAnsiTheme="majorBidi" w:cstheme="majorBidi"/>
          <w:sz w:val="24"/>
          <w:szCs w:val="24"/>
          <w:lang w:val="sv-SE"/>
        </w:rPr>
        <w:t xml:space="preserve">), menjamin pemilikan harta dan </w:t>
      </w:r>
      <w:r w:rsidRPr="00F13604">
        <w:rPr>
          <w:rFonts w:asciiTheme="majorBidi" w:eastAsiaTheme="minorHAnsi" w:hAnsiTheme="majorBidi" w:cstheme="majorBidi"/>
          <w:sz w:val="24"/>
          <w:szCs w:val="24"/>
          <w:lang w:val="sv-SE"/>
        </w:rPr>
        <w:t>property (</w:t>
      </w:r>
      <w:r w:rsidR="00D041BE" w:rsidRPr="00D44F72">
        <w:rPr>
          <w:rFonts w:ascii="Times New Roman" w:hAnsi="Times New Roman" w:cs="Times New Roman"/>
          <w:i/>
          <w:iCs/>
          <w:sz w:val="24"/>
          <w:szCs w:val="24"/>
          <w:u w:val="single"/>
          <w:lang w:val="id-ID"/>
        </w:rPr>
        <w:t>h</w:t>
      </w:r>
      <w:r w:rsidR="00D041BE" w:rsidRPr="00F13604">
        <w:rPr>
          <w:rFonts w:asciiTheme="majorBidi" w:eastAsiaTheme="minorHAnsi" w:hAnsiTheme="majorBidi" w:cstheme="majorBidi"/>
          <w:i/>
          <w:iCs/>
          <w:sz w:val="24"/>
          <w:szCs w:val="24"/>
          <w:lang w:val="sv-SE"/>
        </w:rPr>
        <w:t>ifẓ</w:t>
      </w:r>
      <w:r w:rsidRPr="00F13604">
        <w:rPr>
          <w:rFonts w:asciiTheme="majorBidi" w:eastAsiaTheme="minorHAnsi" w:hAnsiTheme="majorBidi" w:cstheme="majorBidi"/>
          <w:i/>
          <w:iCs/>
          <w:sz w:val="24"/>
          <w:szCs w:val="24"/>
          <w:lang w:val="sv-SE"/>
        </w:rPr>
        <w:t xml:space="preserve"> al-māl</w:t>
      </w:r>
      <w:r w:rsidRPr="00F13604">
        <w:rPr>
          <w:rFonts w:asciiTheme="majorBidi" w:eastAsiaTheme="minorHAnsi" w:hAnsiTheme="majorBidi" w:cstheme="majorBidi"/>
          <w:sz w:val="24"/>
          <w:szCs w:val="24"/>
          <w:lang w:val="sv-SE"/>
        </w:rPr>
        <w:t>), dan terakhir memelihara keberlangsungan keturunan, kehormatan, (</w:t>
      </w:r>
      <w:r w:rsidR="00D041BE" w:rsidRPr="00D44F72">
        <w:rPr>
          <w:rFonts w:ascii="Times New Roman" w:hAnsi="Times New Roman" w:cs="Times New Roman"/>
          <w:i/>
          <w:iCs/>
          <w:sz w:val="24"/>
          <w:szCs w:val="24"/>
          <w:u w:val="single"/>
          <w:lang w:val="id-ID"/>
        </w:rPr>
        <w:t>h</w:t>
      </w:r>
      <w:r w:rsidR="00D041BE" w:rsidRPr="00F13604">
        <w:rPr>
          <w:rFonts w:asciiTheme="majorBidi" w:eastAsiaTheme="minorHAnsi" w:hAnsiTheme="majorBidi" w:cstheme="majorBidi"/>
          <w:i/>
          <w:iCs/>
          <w:sz w:val="24"/>
          <w:szCs w:val="24"/>
          <w:lang w:val="sv-SE"/>
        </w:rPr>
        <w:t>ifẓ</w:t>
      </w:r>
      <w:r w:rsidRPr="00F13604">
        <w:rPr>
          <w:rFonts w:asciiTheme="majorBidi" w:eastAsiaTheme="minorHAnsi" w:hAnsiTheme="majorBidi" w:cstheme="majorBidi"/>
          <w:i/>
          <w:iCs/>
          <w:sz w:val="24"/>
          <w:szCs w:val="24"/>
          <w:lang w:val="sv-SE"/>
        </w:rPr>
        <w:t xml:space="preserve"> al-nasl wa al-</w:t>
      </w:r>
      <w:r w:rsidR="00D041BE" w:rsidRPr="00D041BE">
        <w:rPr>
          <w:lang w:val="sv-SE"/>
        </w:rPr>
        <w:t>‘</w:t>
      </w:r>
      <w:r w:rsidRPr="00F13604">
        <w:rPr>
          <w:rFonts w:asciiTheme="majorBidi" w:eastAsiaTheme="minorHAnsi" w:hAnsiTheme="majorBidi" w:cstheme="majorBidi"/>
          <w:i/>
          <w:iCs/>
          <w:sz w:val="24"/>
          <w:szCs w:val="24"/>
          <w:lang w:val="sv-SE"/>
        </w:rPr>
        <w:t>irḍ</w:t>
      </w:r>
      <w:r w:rsidRPr="00F13604">
        <w:rPr>
          <w:rFonts w:asciiTheme="majorBidi" w:eastAsiaTheme="minorHAnsi" w:hAnsiTheme="majorBidi" w:cstheme="majorBidi"/>
          <w:sz w:val="24"/>
          <w:szCs w:val="24"/>
          <w:lang w:val="sv-SE"/>
        </w:rPr>
        <w:t>).</w:t>
      </w:r>
      <w:r>
        <w:rPr>
          <w:rStyle w:val="FootnoteReference"/>
          <w:rFonts w:asciiTheme="majorBidi" w:eastAsiaTheme="minorHAnsi" w:hAnsiTheme="majorBidi" w:cstheme="majorBidi"/>
          <w:sz w:val="24"/>
          <w:szCs w:val="24"/>
          <w:lang w:val="sv-SE"/>
        </w:rPr>
        <w:footnoteReference w:id="101"/>
      </w:r>
      <w:r w:rsidRPr="00F13604">
        <w:rPr>
          <w:rFonts w:asciiTheme="majorBidi" w:eastAsiaTheme="minorHAnsi" w:hAnsiTheme="majorBidi" w:cstheme="majorBidi"/>
          <w:sz w:val="24"/>
          <w:szCs w:val="24"/>
          <w:lang w:val="sv-SE"/>
        </w:rPr>
        <w:t xml:space="preserve"> Jika kelima </w:t>
      </w:r>
      <w:r w:rsidRPr="00F13604">
        <w:rPr>
          <w:rFonts w:asciiTheme="majorBidi" w:eastAsiaTheme="minorHAnsi" w:hAnsiTheme="majorBidi" w:cstheme="majorBidi"/>
          <w:sz w:val="24"/>
          <w:szCs w:val="24"/>
          <w:lang w:val="sv-SE"/>
        </w:rPr>
        <w:lastRenderedPageBreak/>
        <w:t>tujuan tersebut terlaksana, maka itulah maslahat, sebaliknya, setiap hal yang menghalangi terealisasinya kelima tujuan tersebut maka itulah mafsadat.</w:t>
      </w:r>
    </w:p>
    <w:p w:rsidR="00C012EC" w:rsidRPr="000541F1" w:rsidRDefault="00C012EC" w:rsidP="00107B70">
      <w:pPr>
        <w:pStyle w:val="ListParagraph"/>
        <w:spacing w:after="0" w:line="360" w:lineRule="auto"/>
        <w:ind w:left="0" w:firstLine="720"/>
        <w:jc w:val="both"/>
        <w:rPr>
          <w:rFonts w:asciiTheme="majorBidi" w:hAnsiTheme="majorBidi" w:cstheme="majorBidi"/>
          <w:spacing w:val="6"/>
          <w:sz w:val="24"/>
          <w:szCs w:val="24"/>
          <w:lang w:val="sv-SE"/>
        </w:rPr>
      </w:pPr>
      <w:r w:rsidRPr="000541F1">
        <w:rPr>
          <w:rFonts w:asciiTheme="majorBidi" w:hAnsiTheme="majorBidi" w:cstheme="majorBidi"/>
          <w:spacing w:val="6"/>
          <w:sz w:val="24"/>
          <w:szCs w:val="24"/>
          <w:lang w:val="sv-SE"/>
        </w:rPr>
        <w:t xml:space="preserve"> Permasalahannya adalah bahwa kemaslahatan manusia dari satu masa ke masa lainnya dan dari satu tempat ke tempat lainnya mengalami perubahan, sesuai dengan situasi dan kondisi masa dan tempat itu. Oleh karenanya, sebuah produk fiqh yang dihasilkan pada masa tertentu belum tentu bisa diaplikasikan pada masa yang berbeda dengan masa itu; demikian juga bila sebuah produk dihasilkan di suatu tempat belum tentu pula bisa diaplikasikan di tempat lain.</w:t>
      </w:r>
      <w:r w:rsidRPr="000541F1">
        <w:rPr>
          <w:rStyle w:val="FootnoteReference"/>
          <w:rFonts w:asciiTheme="majorBidi" w:hAnsiTheme="majorBidi" w:cstheme="majorBidi"/>
          <w:spacing w:val="6"/>
          <w:sz w:val="24"/>
          <w:szCs w:val="24"/>
          <w:lang w:val="sv-SE"/>
        </w:rPr>
        <w:footnoteReference w:id="102"/>
      </w:r>
    </w:p>
    <w:p w:rsidR="00C012EC" w:rsidRPr="00D93D94" w:rsidRDefault="00C012EC" w:rsidP="005763AA">
      <w:pPr>
        <w:pStyle w:val="ListParagraph"/>
        <w:spacing w:line="360" w:lineRule="auto"/>
        <w:ind w:left="0" w:firstLine="720"/>
        <w:jc w:val="both"/>
        <w:rPr>
          <w:rFonts w:ascii="Times New Roman" w:hAnsi="Times New Roman" w:cs="Times New Roman"/>
          <w:spacing w:val="6"/>
          <w:sz w:val="24"/>
          <w:szCs w:val="24"/>
          <w:lang w:val="sv-SE"/>
        </w:rPr>
      </w:pPr>
      <w:r w:rsidRPr="00FD3337">
        <w:rPr>
          <w:rFonts w:ascii="Times New Roman" w:hAnsi="Times New Roman" w:cs="Times New Roman"/>
          <w:spacing w:val="6"/>
          <w:sz w:val="24"/>
          <w:szCs w:val="24"/>
          <w:lang w:val="sv-SE"/>
        </w:rPr>
        <w:t>Bila fiqh diterapkan secara se</w:t>
      </w:r>
      <w:r w:rsidR="0086366B">
        <w:rPr>
          <w:rFonts w:ascii="Times New Roman" w:hAnsi="Times New Roman" w:cs="Times New Roman"/>
          <w:spacing w:val="6"/>
          <w:sz w:val="24"/>
          <w:szCs w:val="24"/>
          <w:lang w:val="sv-SE"/>
        </w:rPr>
        <w:t>ragam, maka sangat mungkin just</w:t>
      </w:r>
      <w:r w:rsidRPr="00FD3337">
        <w:rPr>
          <w:rFonts w:ascii="Times New Roman" w:hAnsi="Times New Roman" w:cs="Times New Roman"/>
          <w:spacing w:val="6"/>
          <w:sz w:val="24"/>
          <w:szCs w:val="24"/>
          <w:lang w:val="sv-SE"/>
        </w:rPr>
        <w:t xml:space="preserve">ru menimbulkan kesulitan baru yang seharusnya dihilangkan oleh fiqh. Atas dasar inilah kemudian kaidah bahwa </w:t>
      </w:r>
      <w:r w:rsidRPr="000A17F2">
        <w:rPr>
          <w:rFonts w:asciiTheme="majorBidi" w:hAnsiTheme="majorBidi" w:cs="Traditional Arabic"/>
          <w:b/>
          <w:bCs/>
          <w:spacing w:val="6"/>
          <w:rtl/>
        </w:rPr>
        <w:t>لا ينكر تغير الأحكام المبنية على المصلحه والعرف</w:t>
      </w:r>
      <w:r w:rsidRPr="000A17F2">
        <w:rPr>
          <w:rFonts w:asciiTheme="majorBidi" w:hAnsiTheme="majorBidi" w:cs="Traditional Arabic"/>
          <w:b/>
          <w:bCs/>
          <w:spacing w:val="6"/>
          <w:sz w:val="28"/>
          <w:szCs w:val="28"/>
          <w:rtl/>
        </w:rPr>
        <w:t xml:space="preserve"> </w:t>
      </w:r>
      <w:r w:rsidRPr="000A17F2">
        <w:rPr>
          <w:rFonts w:asciiTheme="majorBidi" w:hAnsiTheme="majorBidi" w:cs="Traditional Arabic"/>
          <w:b/>
          <w:bCs/>
          <w:spacing w:val="6"/>
          <w:rtl/>
        </w:rPr>
        <w:t>بتغير الزمان</w:t>
      </w:r>
      <w:r w:rsidRPr="000A17F2">
        <w:rPr>
          <w:rStyle w:val="FootnoteReference"/>
          <w:rFonts w:asciiTheme="majorBidi" w:hAnsiTheme="majorBidi" w:cs="Traditional Arabic"/>
          <w:b/>
          <w:bCs/>
          <w:spacing w:val="6"/>
          <w:vertAlign w:val="baseline"/>
          <w:rtl/>
        </w:rPr>
        <w:t xml:space="preserve"> </w:t>
      </w:r>
      <w:r w:rsidRPr="0076695B">
        <w:rPr>
          <w:rStyle w:val="FootnoteReference"/>
          <w:rFonts w:ascii="Traditional Arabic" w:hAnsi="Traditional Arabic" w:cs="Traditional Arabic"/>
          <w:spacing w:val="6"/>
          <w:rtl/>
        </w:rPr>
        <w:footnoteReference w:id="103"/>
      </w:r>
      <w:r w:rsidRPr="0053360D">
        <w:rPr>
          <w:rFonts w:ascii="Times New Roman" w:hAnsi="Times New Roman" w:cs="Traditional Arabic" w:hint="cs"/>
          <w:spacing w:val="6"/>
          <w:rtl/>
        </w:rPr>
        <w:t xml:space="preserve"> </w:t>
      </w:r>
      <w:r w:rsidRPr="0053360D">
        <w:rPr>
          <w:rFonts w:ascii="Times New Roman" w:hAnsi="Times New Roman" w:cs="Traditional Arabic"/>
          <w:spacing w:val="6"/>
          <w:lang w:val="sv-SE"/>
        </w:rPr>
        <w:t xml:space="preserve"> </w:t>
      </w:r>
      <w:r w:rsidRPr="005763AA">
        <w:rPr>
          <w:rFonts w:asciiTheme="majorBidi" w:hAnsiTheme="majorBidi" w:cstheme="majorBidi"/>
          <w:spacing w:val="6"/>
          <w:sz w:val="24"/>
          <w:szCs w:val="24"/>
          <w:lang w:val="id-ID"/>
        </w:rPr>
        <w:t>(</w:t>
      </w:r>
      <w:r w:rsidRPr="005763AA">
        <w:rPr>
          <w:rFonts w:asciiTheme="majorBidi" w:hAnsiTheme="majorBidi" w:cstheme="majorBidi"/>
          <w:i/>
          <w:iCs/>
          <w:spacing w:val="6"/>
          <w:sz w:val="24"/>
          <w:szCs w:val="24"/>
          <w:lang w:val="sv-SE"/>
        </w:rPr>
        <w:t xml:space="preserve">tidak ditolak perubahan hukum yang dibangun oleh kemaslahatan dan </w:t>
      </w:r>
      <w:r w:rsidR="005763AA" w:rsidRPr="005763AA">
        <w:rPr>
          <w:rFonts w:asciiTheme="majorBidi" w:hAnsiTheme="majorBidi" w:cstheme="majorBidi"/>
          <w:sz w:val="24"/>
          <w:szCs w:val="24"/>
          <w:lang w:val="sv-SE"/>
        </w:rPr>
        <w:t>‘</w:t>
      </w:r>
      <w:r w:rsidRPr="005763AA">
        <w:rPr>
          <w:rFonts w:asciiTheme="majorBidi" w:hAnsiTheme="majorBidi" w:cstheme="majorBidi"/>
          <w:i/>
          <w:iCs/>
          <w:spacing w:val="6"/>
          <w:sz w:val="24"/>
          <w:szCs w:val="24"/>
          <w:lang w:val="sv-SE"/>
        </w:rPr>
        <w:t>urf karena perubahan zaman</w:t>
      </w:r>
      <w:r w:rsidRPr="005763AA">
        <w:rPr>
          <w:rFonts w:asciiTheme="majorBidi" w:hAnsiTheme="majorBidi" w:cstheme="majorBidi"/>
          <w:spacing w:val="6"/>
          <w:sz w:val="24"/>
          <w:szCs w:val="24"/>
          <w:lang w:val="sv-SE"/>
        </w:rPr>
        <w:t>)</w:t>
      </w:r>
      <w:r w:rsidRPr="00FD3337">
        <w:rPr>
          <w:rFonts w:ascii="Times New Roman" w:hAnsi="Times New Roman" w:cs="Times New Roman"/>
          <w:spacing w:val="6"/>
          <w:sz w:val="24"/>
          <w:szCs w:val="24"/>
          <w:lang w:val="sv-SE"/>
        </w:rPr>
        <w:t xml:space="preserve"> </w:t>
      </w:r>
      <w:r>
        <w:rPr>
          <w:rFonts w:ascii="Times New Roman" w:hAnsi="Times New Roman" w:cs="Times New Roman"/>
          <w:spacing w:val="6"/>
          <w:sz w:val="24"/>
          <w:szCs w:val="24"/>
          <w:lang w:val="sv-SE"/>
        </w:rPr>
        <w:t xml:space="preserve">dan juga kaedah </w:t>
      </w:r>
      <w:r>
        <w:rPr>
          <w:rStyle w:val="FootnoteReference"/>
          <w:rFonts w:ascii="Times New Roman" w:hAnsi="Times New Roman" w:cs="Times New Roman"/>
          <w:spacing w:val="6"/>
          <w:sz w:val="24"/>
          <w:szCs w:val="24"/>
          <w:lang w:val="sv-SE"/>
        </w:rPr>
        <w:footnoteReference w:id="104"/>
      </w:r>
      <w:r w:rsidRPr="0053360D">
        <w:rPr>
          <w:rFonts w:ascii="Arial" w:hAnsi="Arial" w:cs="Traditional Arabic"/>
          <w:b/>
          <w:bCs/>
          <w:rtl/>
        </w:rPr>
        <w:t>الحكم يدور</w:t>
      </w:r>
      <w:r w:rsidRPr="0053360D">
        <w:rPr>
          <w:rFonts w:ascii="Arial" w:hAnsi="Arial" w:cs="Traditional Arabic"/>
          <w:b/>
          <w:bCs/>
          <w:sz w:val="28"/>
          <w:szCs w:val="28"/>
          <w:rtl/>
        </w:rPr>
        <w:t xml:space="preserve"> </w:t>
      </w:r>
      <w:r w:rsidRPr="0053360D">
        <w:rPr>
          <w:rFonts w:ascii="Arial" w:hAnsi="Arial" w:cs="Traditional Arabic"/>
          <w:b/>
          <w:bCs/>
          <w:rtl/>
        </w:rPr>
        <w:t>مع العلة وجودا وعدما</w:t>
      </w:r>
      <w:r w:rsidRPr="0053360D">
        <w:rPr>
          <w:rFonts w:ascii="Times New Roman" w:hAnsi="Times New Roman" w:cs="Traditional Arabic"/>
          <w:b/>
          <w:bCs/>
          <w:spacing w:val="6"/>
          <w:lang w:val="sv-SE"/>
        </w:rPr>
        <w:t xml:space="preserve"> </w:t>
      </w:r>
      <w:r>
        <w:rPr>
          <w:rFonts w:ascii="Times New Roman" w:hAnsi="Times New Roman" w:cs="Times New Roman"/>
          <w:spacing w:val="6"/>
          <w:sz w:val="24"/>
          <w:szCs w:val="24"/>
          <w:lang w:val="sv-SE"/>
        </w:rPr>
        <w:t xml:space="preserve">( </w:t>
      </w:r>
      <w:r>
        <w:rPr>
          <w:rFonts w:ascii="Times New Roman" w:hAnsi="Times New Roman" w:cs="Times New Roman"/>
          <w:i/>
          <w:iCs/>
          <w:spacing w:val="6"/>
          <w:sz w:val="24"/>
          <w:szCs w:val="24"/>
          <w:lang w:val="sv-SE"/>
        </w:rPr>
        <w:t>hukum berobah</w:t>
      </w:r>
      <w:r w:rsidRPr="00D93D94">
        <w:rPr>
          <w:rFonts w:ascii="Times New Roman" w:hAnsi="Times New Roman" w:cs="Times New Roman"/>
          <w:i/>
          <w:iCs/>
          <w:spacing w:val="6"/>
          <w:sz w:val="24"/>
          <w:szCs w:val="24"/>
          <w:lang w:val="sv-SE"/>
        </w:rPr>
        <w:t xml:space="preserve"> sesuai dengan ada atau tidaknya </w:t>
      </w:r>
      <w:r w:rsidR="005763AA" w:rsidRPr="005763AA">
        <w:rPr>
          <w:lang w:val="sv-SE"/>
        </w:rPr>
        <w:t>‘</w:t>
      </w:r>
      <w:r w:rsidRPr="00D93D94">
        <w:rPr>
          <w:rFonts w:ascii="Times New Roman" w:hAnsi="Times New Roman" w:cs="Times New Roman"/>
          <w:i/>
          <w:iCs/>
          <w:spacing w:val="6"/>
          <w:sz w:val="24"/>
          <w:szCs w:val="24"/>
          <w:lang w:val="sv-SE"/>
        </w:rPr>
        <w:t>illat</w:t>
      </w:r>
      <w:r>
        <w:rPr>
          <w:rFonts w:ascii="Times New Roman" w:hAnsi="Times New Roman" w:cs="Times New Roman"/>
          <w:spacing w:val="6"/>
          <w:sz w:val="24"/>
          <w:szCs w:val="24"/>
          <w:lang w:val="sv-SE"/>
        </w:rPr>
        <w:t xml:space="preserve">) </w:t>
      </w:r>
      <w:r w:rsidRPr="00FD3337">
        <w:rPr>
          <w:rFonts w:ascii="Times New Roman" w:hAnsi="Times New Roman" w:cs="Times New Roman"/>
          <w:spacing w:val="6"/>
          <w:sz w:val="24"/>
          <w:szCs w:val="24"/>
          <w:lang w:val="sv-SE"/>
        </w:rPr>
        <w:t>menjadi sesuatu yang sangat logis. Kaidah ini, tampaknya menjadi kaidah yang sangat efektif untuk membuktikan bahwa syariat Islam adalah jalan hidup yang sangat fleksibel dan lentur sehingga dapat sesuai dengan segala masa dan tempat. Berdasarkan kaidah ini pula, seseorang tidak bisa menerapkan satu hukum fiqh untuk setiap individu dengan hasil simpulan sama</w:t>
      </w:r>
      <w:r>
        <w:rPr>
          <w:rStyle w:val="FootnoteReference"/>
          <w:rFonts w:ascii="Times New Roman" w:hAnsi="Times New Roman" w:cs="Times New Roman"/>
          <w:spacing w:val="6"/>
          <w:sz w:val="24"/>
          <w:szCs w:val="24"/>
          <w:lang w:val="sv-SE"/>
        </w:rPr>
        <w:footnoteReference w:id="105"/>
      </w:r>
      <w:r w:rsidRPr="00FD3337">
        <w:rPr>
          <w:rFonts w:ascii="Times New Roman" w:hAnsi="Times New Roman" w:cs="Times New Roman"/>
          <w:spacing w:val="6"/>
          <w:sz w:val="24"/>
          <w:szCs w:val="24"/>
          <w:lang w:val="sv-SE"/>
        </w:rPr>
        <w:t>.</w:t>
      </w:r>
    </w:p>
    <w:p w:rsidR="00C012EC" w:rsidRPr="00E8589A" w:rsidRDefault="00C012EC" w:rsidP="00E8589A">
      <w:pPr>
        <w:pStyle w:val="ListParagraph"/>
        <w:spacing w:line="360" w:lineRule="auto"/>
        <w:ind w:left="0" w:firstLine="720"/>
        <w:jc w:val="both"/>
        <w:rPr>
          <w:rFonts w:asciiTheme="majorBidi" w:hAnsiTheme="majorBidi" w:cstheme="majorBidi"/>
          <w:sz w:val="24"/>
          <w:szCs w:val="24"/>
          <w:lang w:val="sv-SE"/>
        </w:rPr>
      </w:pPr>
      <w:r w:rsidRPr="00603B7B">
        <w:rPr>
          <w:rFonts w:asciiTheme="majorBidi" w:hAnsiTheme="majorBidi" w:cstheme="majorBidi"/>
          <w:sz w:val="24"/>
          <w:szCs w:val="24"/>
          <w:lang w:val="id-ID"/>
        </w:rPr>
        <w:t xml:space="preserve">Allah menurunkan syariat ini </w:t>
      </w:r>
      <w:r w:rsidRPr="00603B7B">
        <w:rPr>
          <w:rFonts w:asciiTheme="majorBidi" w:hAnsiTheme="majorBidi" w:cstheme="majorBidi"/>
          <w:i/>
          <w:iCs/>
          <w:sz w:val="24"/>
          <w:szCs w:val="24"/>
          <w:lang w:val="id-ID"/>
        </w:rPr>
        <w:t>mu</w:t>
      </w:r>
      <w:r w:rsidR="00DE66A1" w:rsidRPr="00DE66A1">
        <w:rPr>
          <w:rFonts w:asciiTheme="majorBidi" w:hAnsiTheme="majorBidi" w:cstheme="majorBidi"/>
          <w:i/>
          <w:iCs/>
          <w:sz w:val="24"/>
          <w:szCs w:val="24"/>
          <w:lang w:val="sv-SE"/>
        </w:rPr>
        <w:t>’</w:t>
      </w:r>
      <w:r w:rsidRPr="00603B7B">
        <w:rPr>
          <w:rFonts w:asciiTheme="majorBidi" w:hAnsiTheme="majorBidi" w:cstheme="majorBidi"/>
          <w:i/>
          <w:iCs/>
          <w:sz w:val="24"/>
          <w:szCs w:val="24"/>
          <w:lang w:val="id-ID"/>
        </w:rPr>
        <w:t>abbadah</w:t>
      </w:r>
      <w:r w:rsidRPr="00603B7B">
        <w:rPr>
          <w:rFonts w:asciiTheme="majorBidi" w:hAnsiTheme="majorBidi" w:cstheme="majorBidi"/>
          <w:sz w:val="24"/>
          <w:szCs w:val="24"/>
          <w:lang w:val="id-ID"/>
        </w:rPr>
        <w:t xml:space="preserve"> dan</w:t>
      </w:r>
      <w:r w:rsidR="00DE66A1">
        <w:rPr>
          <w:rFonts w:asciiTheme="majorBidi" w:hAnsiTheme="majorBidi" w:cstheme="majorBidi"/>
          <w:i/>
          <w:iCs/>
          <w:sz w:val="24"/>
          <w:szCs w:val="24"/>
          <w:lang w:val="sv-SE"/>
        </w:rPr>
        <w:t xml:space="preserve"> </w:t>
      </w:r>
      <w:r w:rsidR="005C28ED">
        <w:rPr>
          <w:rFonts w:ascii="Times New Roman" w:hAnsi="Times New Roman" w:cs="Times New Roman"/>
          <w:i/>
          <w:iCs/>
          <w:spacing w:val="6"/>
          <w:sz w:val="24"/>
          <w:szCs w:val="24"/>
          <w:lang w:val="sv-SE"/>
        </w:rPr>
        <w:t>‘</w:t>
      </w:r>
      <w:r w:rsidR="00E8589A" w:rsidRPr="00E8589A">
        <w:rPr>
          <w:rFonts w:asciiTheme="majorBidi" w:hAnsiTheme="majorBidi" w:cstheme="majorBidi"/>
          <w:i/>
          <w:iCs/>
          <w:sz w:val="24"/>
          <w:szCs w:val="24"/>
          <w:lang w:val="sv-SE"/>
        </w:rPr>
        <w:t>ā</w:t>
      </w:r>
      <w:r w:rsidRPr="00603B7B">
        <w:rPr>
          <w:rFonts w:asciiTheme="majorBidi" w:hAnsiTheme="majorBidi" w:cstheme="majorBidi"/>
          <w:i/>
          <w:iCs/>
          <w:sz w:val="24"/>
          <w:szCs w:val="24"/>
          <w:lang w:val="id-ID"/>
        </w:rPr>
        <w:t>mmah</w:t>
      </w:r>
      <w:r w:rsidRPr="00603B7B">
        <w:rPr>
          <w:rFonts w:asciiTheme="majorBidi" w:hAnsiTheme="majorBidi" w:cstheme="majorBidi"/>
          <w:sz w:val="24"/>
          <w:szCs w:val="24"/>
          <w:lang w:val="id-ID"/>
        </w:rPr>
        <w:t xml:space="preserve"> kepada seluruh manusia, sudah barang tentu ini mengandaikan adanya sebentuk kemudahan dan </w:t>
      </w:r>
      <w:r w:rsidRPr="00603B7B">
        <w:rPr>
          <w:rFonts w:asciiTheme="majorBidi" w:hAnsiTheme="majorBidi" w:cstheme="majorBidi"/>
          <w:sz w:val="24"/>
          <w:szCs w:val="24"/>
          <w:lang w:val="id-ID"/>
        </w:rPr>
        <w:lastRenderedPageBreak/>
        <w:t>fleksibilitas agar dapat diterima secara terbuka oleh lintas generasi dan geografis</w:t>
      </w:r>
      <w:r w:rsidRPr="00E8589A">
        <w:rPr>
          <w:rFonts w:asciiTheme="majorBidi" w:hAnsiTheme="majorBidi" w:cstheme="majorBidi"/>
          <w:sz w:val="24"/>
          <w:szCs w:val="24"/>
          <w:lang w:val="sv-SE"/>
        </w:rPr>
        <w:t>.</w:t>
      </w:r>
      <w:r w:rsidRPr="00603B7B">
        <w:rPr>
          <w:rStyle w:val="FootnoteReference"/>
          <w:rFonts w:asciiTheme="majorBidi" w:hAnsiTheme="majorBidi" w:cstheme="majorBidi"/>
          <w:sz w:val="24"/>
          <w:szCs w:val="24"/>
          <w:lang w:val="id-ID"/>
        </w:rPr>
        <w:footnoteReference w:id="106"/>
      </w:r>
      <w:r w:rsidRPr="00E8589A">
        <w:rPr>
          <w:rFonts w:asciiTheme="majorBidi" w:hAnsiTheme="majorBidi" w:cstheme="majorBidi"/>
          <w:sz w:val="24"/>
          <w:szCs w:val="24"/>
          <w:lang w:val="sv-SE"/>
        </w:rPr>
        <w:t xml:space="preserve"> </w:t>
      </w:r>
    </w:p>
    <w:p w:rsidR="00BF2FEC" w:rsidRDefault="00C012EC" w:rsidP="00107B70">
      <w:pPr>
        <w:pStyle w:val="ListParagraph"/>
        <w:spacing w:line="360" w:lineRule="auto"/>
        <w:ind w:left="0" w:firstLine="720"/>
        <w:jc w:val="both"/>
        <w:rPr>
          <w:rFonts w:ascii="Times New Roman" w:hAnsi="Times New Roman" w:cs="Times New Roman"/>
          <w:spacing w:val="6"/>
          <w:sz w:val="24"/>
          <w:szCs w:val="24"/>
          <w:lang w:val="sv-SE"/>
        </w:rPr>
      </w:pPr>
      <w:r w:rsidRPr="00FD3337">
        <w:rPr>
          <w:rFonts w:ascii="Times New Roman" w:hAnsi="Times New Roman" w:cs="Times New Roman"/>
          <w:spacing w:val="6"/>
          <w:sz w:val="24"/>
          <w:szCs w:val="24"/>
          <w:lang w:val="sv-SE"/>
        </w:rPr>
        <w:t xml:space="preserve">Berdasarkan ini, tampaknya </w:t>
      </w:r>
      <w:r w:rsidRPr="00AE6EFF">
        <w:rPr>
          <w:rFonts w:asciiTheme="majorBidi" w:hAnsiTheme="majorBidi" w:cstheme="majorBidi"/>
          <w:i/>
          <w:iCs/>
          <w:sz w:val="24"/>
          <w:szCs w:val="24"/>
          <w:lang w:val="sv-SE"/>
        </w:rPr>
        <w:t>siyāsah</w:t>
      </w:r>
      <w:r w:rsidRPr="00AE6EFF">
        <w:rPr>
          <w:rFonts w:ascii="Times New Roman" w:hAnsi="Times New Roman" w:cs="Times New Roman"/>
          <w:i/>
          <w:iCs/>
          <w:spacing w:val="6"/>
          <w:sz w:val="24"/>
          <w:szCs w:val="24"/>
          <w:lang w:val="sv-SE"/>
        </w:rPr>
        <w:t xml:space="preserve"> </w:t>
      </w:r>
      <w:r w:rsidR="00CC1D08">
        <w:rPr>
          <w:rFonts w:ascii="Times New Roman" w:hAnsi="Times New Roman" w:cs="Times New Roman"/>
          <w:i/>
          <w:iCs/>
          <w:spacing w:val="6"/>
          <w:sz w:val="24"/>
          <w:szCs w:val="24"/>
          <w:lang w:val="sv-SE"/>
        </w:rPr>
        <w:t>syar‘iy</w:t>
      </w:r>
      <w:r w:rsidR="005C28ED">
        <w:rPr>
          <w:rFonts w:ascii="Times New Roman" w:hAnsi="Times New Roman" w:cs="Times New Roman"/>
          <w:i/>
          <w:iCs/>
          <w:spacing w:val="6"/>
          <w:sz w:val="24"/>
          <w:szCs w:val="24"/>
          <w:lang w:val="sv-SE"/>
        </w:rPr>
        <w:t>y</w:t>
      </w:r>
      <w:r w:rsidR="00CC1D08">
        <w:rPr>
          <w:rFonts w:ascii="Times New Roman" w:hAnsi="Times New Roman" w:cs="Times New Roman"/>
          <w:i/>
          <w:iCs/>
          <w:spacing w:val="6"/>
          <w:sz w:val="24"/>
          <w:szCs w:val="24"/>
          <w:lang w:val="sv-SE"/>
        </w:rPr>
        <w:t>ah</w:t>
      </w:r>
      <w:r w:rsidRPr="00FD3337">
        <w:rPr>
          <w:rFonts w:ascii="Times New Roman" w:hAnsi="Times New Roman" w:cs="Times New Roman"/>
          <w:i/>
          <w:iCs/>
          <w:spacing w:val="6"/>
          <w:sz w:val="24"/>
          <w:szCs w:val="24"/>
          <w:lang w:val="sv-SE"/>
        </w:rPr>
        <w:t xml:space="preserve"> </w:t>
      </w:r>
      <w:r w:rsidRPr="00FD3337">
        <w:rPr>
          <w:rFonts w:ascii="Times New Roman" w:hAnsi="Times New Roman" w:cs="Times New Roman"/>
          <w:spacing w:val="6"/>
          <w:sz w:val="24"/>
          <w:szCs w:val="24"/>
          <w:lang w:val="sv-SE"/>
        </w:rPr>
        <w:t>menjadi sesuatu yang niscaya dan harus dilakukan oleh setiap fuqaha atau bahkan oleh setiap individu dal</w:t>
      </w:r>
      <w:r>
        <w:rPr>
          <w:rFonts w:ascii="Times New Roman" w:hAnsi="Times New Roman" w:cs="Times New Roman"/>
          <w:spacing w:val="6"/>
          <w:sz w:val="24"/>
          <w:szCs w:val="24"/>
          <w:lang w:val="sv-SE"/>
        </w:rPr>
        <w:t>a</w:t>
      </w:r>
      <w:r w:rsidRPr="00FD3337">
        <w:rPr>
          <w:rFonts w:ascii="Times New Roman" w:hAnsi="Times New Roman" w:cs="Times New Roman"/>
          <w:spacing w:val="6"/>
          <w:sz w:val="24"/>
          <w:szCs w:val="24"/>
          <w:lang w:val="sv-SE"/>
        </w:rPr>
        <w:t xml:space="preserve">m </w:t>
      </w:r>
      <w:r>
        <w:rPr>
          <w:rFonts w:ascii="Times New Roman" w:hAnsi="Times New Roman" w:cs="Times New Roman"/>
          <w:spacing w:val="6"/>
          <w:sz w:val="24"/>
          <w:szCs w:val="24"/>
          <w:lang w:val="sv-SE"/>
        </w:rPr>
        <w:t>menetapkan suatu hukum, di</w:t>
      </w:r>
      <w:r w:rsidRPr="00FD3337">
        <w:rPr>
          <w:rFonts w:ascii="Times New Roman" w:hAnsi="Times New Roman" w:cs="Times New Roman"/>
          <w:spacing w:val="6"/>
          <w:sz w:val="24"/>
          <w:szCs w:val="24"/>
          <w:lang w:val="sv-SE"/>
        </w:rPr>
        <w:t>seti</w:t>
      </w:r>
      <w:r>
        <w:rPr>
          <w:rFonts w:ascii="Times New Roman" w:hAnsi="Times New Roman" w:cs="Times New Roman"/>
          <w:spacing w:val="6"/>
          <w:sz w:val="24"/>
          <w:szCs w:val="24"/>
          <w:lang w:val="sv-SE"/>
        </w:rPr>
        <w:t xml:space="preserve">ap tempat dan pada setiap masa. </w:t>
      </w:r>
      <w:r w:rsidRPr="00FD3337">
        <w:rPr>
          <w:rFonts w:ascii="Times New Roman" w:hAnsi="Times New Roman" w:cs="Times New Roman"/>
          <w:spacing w:val="6"/>
          <w:sz w:val="24"/>
          <w:szCs w:val="24"/>
          <w:lang w:val="sv-SE"/>
        </w:rPr>
        <w:t>Bila ini tidak dilakukan, maka tujuan utama syariah dalam merealisasikan maslahat duniawi untuk kepentingan ukhrawi sangat mung</w:t>
      </w:r>
      <w:r>
        <w:rPr>
          <w:rFonts w:ascii="Times New Roman" w:hAnsi="Times New Roman" w:cs="Times New Roman"/>
          <w:spacing w:val="6"/>
          <w:sz w:val="24"/>
          <w:szCs w:val="24"/>
          <w:lang w:val="sv-SE"/>
        </w:rPr>
        <w:t>kin mendapatkan kendala serius.</w:t>
      </w:r>
    </w:p>
    <w:p w:rsidR="00107B70" w:rsidRPr="00F02465" w:rsidRDefault="00107B70" w:rsidP="00107B70">
      <w:pPr>
        <w:spacing w:after="0" w:line="360" w:lineRule="auto"/>
        <w:jc w:val="both"/>
        <w:rPr>
          <w:rFonts w:ascii="Times New Roman" w:hAnsi="Times New Roman" w:cs="Times New Roman"/>
          <w:sz w:val="24"/>
          <w:szCs w:val="24"/>
          <w:lang w:val="en-ID"/>
        </w:rPr>
      </w:pPr>
      <w:r w:rsidRPr="00F02465">
        <w:rPr>
          <w:rFonts w:ascii="Times New Roman" w:hAnsi="Times New Roman" w:cs="Times New Roman"/>
          <w:sz w:val="24"/>
          <w:szCs w:val="24"/>
          <w:lang w:val="en-ID"/>
        </w:rPr>
        <w:t>2. Teori Politik Hukum Moh. Mahfud MD</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es-ES"/>
        </w:rPr>
      </w:pPr>
      <w:r w:rsidRPr="00F02465">
        <w:rPr>
          <w:rFonts w:ascii="Times New Roman" w:hAnsi="Times New Roman" w:cs="Times New Roman"/>
          <w:sz w:val="24"/>
          <w:szCs w:val="24"/>
        </w:rPr>
        <w:t xml:space="preserve">Moh. Mahfud MD adalah seorang pakar hukum tata negara, guru besar politik hukum. Dalam teori Politik Hukumnya menjelaskan pengertian Politik Hukum adalah” legal policy atau garis (kebijakan) resmi tentang hukum yang </w:t>
      </w:r>
      <w:r w:rsidR="00FB4F05" w:rsidRPr="00F02465">
        <w:rPr>
          <w:rFonts w:ascii="Times New Roman" w:hAnsi="Times New Roman" w:cs="Times New Roman"/>
          <w:sz w:val="24"/>
          <w:szCs w:val="24"/>
        </w:rPr>
        <w:t>akan di</w:t>
      </w:r>
      <w:r w:rsidRPr="00F02465">
        <w:rPr>
          <w:rFonts w:ascii="Times New Roman" w:hAnsi="Times New Roman" w:cs="Times New Roman"/>
          <w:sz w:val="24"/>
          <w:szCs w:val="24"/>
        </w:rPr>
        <w:t>berlakukan baik dengan pembuat hukum baru maupun dengan penggantian hukum lama, dalam rangka mencapai tujuan negara.</w:t>
      </w:r>
      <w:r w:rsidRPr="00F02465">
        <w:rPr>
          <w:rStyle w:val="FootnoteReference"/>
          <w:rFonts w:ascii="Times New Roman" w:hAnsi="Times New Roman" w:cs="Times New Roman"/>
          <w:sz w:val="24"/>
          <w:szCs w:val="24"/>
        </w:rPr>
        <w:footnoteReference w:id="107"/>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en-ID"/>
        </w:rPr>
      </w:pPr>
      <w:r w:rsidRPr="00F02465">
        <w:rPr>
          <w:rFonts w:ascii="Times New Roman" w:hAnsi="Times New Roman" w:cs="Times New Roman"/>
          <w:sz w:val="24"/>
          <w:szCs w:val="24"/>
          <w:lang w:val="en-ID"/>
        </w:rPr>
        <w:t xml:space="preserve">Sejalan dengan pengertian di atas beberapa ahli juga menjelaskan pengertian politik hukum. Diantaranya adalah </w:t>
      </w:r>
      <w:r w:rsidRPr="00F02465">
        <w:rPr>
          <w:rFonts w:ascii="Times New Roman" w:hAnsi="Times New Roman" w:cs="Times New Roman"/>
          <w:sz w:val="24"/>
          <w:szCs w:val="24"/>
          <w:lang w:val="id-ID"/>
        </w:rPr>
        <w:t>Teuku M</w:t>
      </w:r>
      <w:r w:rsidRPr="00F02465">
        <w:rPr>
          <w:rFonts w:ascii="Times New Roman" w:hAnsi="Times New Roman" w:cs="Times New Roman"/>
          <w:sz w:val="24"/>
          <w:szCs w:val="24"/>
        </w:rPr>
        <w:t>ohammad</w:t>
      </w:r>
      <w:r w:rsidRPr="00F02465">
        <w:rPr>
          <w:rFonts w:ascii="Times New Roman" w:hAnsi="Times New Roman" w:cs="Times New Roman"/>
          <w:sz w:val="24"/>
          <w:szCs w:val="24"/>
          <w:lang w:val="id-ID"/>
        </w:rPr>
        <w:t xml:space="preserve"> Radhie</w:t>
      </w:r>
      <w:r w:rsidRPr="00F02465">
        <w:rPr>
          <w:rFonts w:ascii="Times New Roman" w:hAnsi="Times New Roman" w:cs="Times New Roman"/>
          <w:sz w:val="24"/>
          <w:szCs w:val="24"/>
          <w:lang w:val="en-ID"/>
        </w:rPr>
        <w:t xml:space="preserve">, bahwa </w:t>
      </w:r>
      <w:r w:rsidRPr="00F02465">
        <w:rPr>
          <w:rFonts w:ascii="Times New Roman" w:hAnsi="Times New Roman" w:cs="Times New Roman"/>
          <w:sz w:val="24"/>
          <w:szCs w:val="24"/>
          <w:lang w:val="id-ID"/>
        </w:rPr>
        <w:t xml:space="preserve">Politik </w:t>
      </w:r>
      <w:r w:rsidRPr="00F02465">
        <w:rPr>
          <w:rFonts w:ascii="Times New Roman" w:hAnsi="Times New Roman" w:cs="Times New Roman"/>
          <w:sz w:val="24"/>
          <w:szCs w:val="24"/>
          <w:lang w:val="en-ID"/>
        </w:rPr>
        <w:t>H</w:t>
      </w:r>
      <w:r w:rsidRPr="00F02465">
        <w:rPr>
          <w:rFonts w:ascii="Times New Roman" w:hAnsi="Times New Roman" w:cs="Times New Roman"/>
          <w:sz w:val="24"/>
          <w:szCs w:val="24"/>
          <w:lang w:val="id-ID"/>
        </w:rPr>
        <w:t>ukum (</w:t>
      </w:r>
      <w:r w:rsidRPr="00F02465">
        <w:rPr>
          <w:rFonts w:ascii="Times New Roman" w:hAnsi="Times New Roman" w:cs="Times New Roman"/>
          <w:i/>
          <w:iCs/>
          <w:sz w:val="24"/>
          <w:szCs w:val="24"/>
          <w:lang w:val="id-ID"/>
        </w:rPr>
        <w:t>politic of law</w:t>
      </w:r>
      <w:r w:rsidRPr="00F02465">
        <w:rPr>
          <w:rFonts w:ascii="Times New Roman" w:hAnsi="Times New Roman" w:cs="Times New Roman"/>
          <w:sz w:val="24"/>
          <w:szCs w:val="24"/>
          <w:lang w:val="id-ID"/>
        </w:rPr>
        <w:t xml:space="preserve">), </w:t>
      </w:r>
      <w:r w:rsidRPr="00F02465">
        <w:rPr>
          <w:rFonts w:ascii="Times New Roman" w:hAnsi="Times New Roman" w:cs="Times New Roman"/>
          <w:sz w:val="24"/>
          <w:szCs w:val="24"/>
          <w:lang w:val="es-ES"/>
        </w:rPr>
        <w:t>menurutnya adalah</w:t>
      </w:r>
      <w:r w:rsidRPr="00F02465">
        <w:rPr>
          <w:rFonts w:ascii="Times New Roman" w:hAnsi="Times New Roman" w:cs="Times New Roman"/>
          <w:sz w:val="24"/>
          <w:szCs w:val="24"/>
          <w:lang w:val="id-ID"/>
        </w:rPr>
        <w:t xml:space="preserve"> pernyataan kehendak penguasa negara mengenai hukum yang berlaku di wilayahnya dan mengenai arah </w:t>
      </w:r>
      <w:r w:rsidRPr="00F02465">
        <w:rPr>
          <w:rFonts w:ascii="Times New Roman" w:hAnsi="Times New Roman" w:cs="Times New Roman"/>
          <w:sz w:val="24"/>
          <w:szCs w:val="24"/>
        </w:rPr>
        <w:t>per</w:t>
      </w:r>
      <w:r w:rsidRPr="00F02465">
        <w:rPr>
          <w:rFonts w:ascii="Times New Roman" w:hAnsi="Times New Roman" w:cs="Times New Roman"/>
          <w:sz w:val="24"/>
          <w:szCs w:val="24"/>
          <w:lang w:val="id-ID"/>
        </w:rPr>
        <w:t>kembangkan</w:t>
      </w:r>
      <w:r w:rsidRPr="00F02465">
        <w:rPr>
          <w:rFonts w:ascii="Times New Roman" w:hAnsi="Times New Roman" w:cs="Times New Roman"/>
          <w:sz w:val="24"/>
          <w:szCs w:val="24"/>
        </w:rPr>
        <w:t xml:space="preserve"> hukum yang di bangun</w:t>
      </w:r>
      <w:r w:rsidRPr="00F02465">
        <w:rPr>
          <w:rFonts w:ascii="Times New Roman" w:hAnsi="Times New Roman" w:cs="Times New Roman"/>
          <w:sz w:val="24"/>
          <w:szCs w:val="24"/>
          <w:lang w:val="en-ID"/>
        </w:rPr>
        <w:t>.</w:t>
      </w:r>
      <w:r w:rsidRPr="00F02465">
        <w:rPr>
          <w:rStyle w:val="FootnoteReference"/>
          <w:rFonts w:ascii="Times New Roman" w:hAnsi="Times New Roman" w:cs="Times New Roman"/>
          <w:sz w:val="24"/>
          <w:szCs w:val="24"/>
          <w:lang w:val="en-ID"/>
        </w:rPr>
        <w:footnoteReference w:id="108"/>
      </w:r>
      <w:r w:rsidRPr="00F02465">
        <w:rPr>
          <w:rFonts w:ascii="Times New Roman" w:hAnsi="Times New Roman" w:cs="Times New Roman"/>
          <w:sz w:val="24"/>
          <w:szCs w:val="24"/>
          <w:lang w:val="id-ID"/>
        </w:rPr>
        <w:t xml:space="preserve"> </w:t>
      </w:r>
      <w:r w:rsidRPr="00F02465">
        <w:rPr>
          <w:rFonts w:ascii="Times New Roman" w:hAnsi="Times New Roman" w:cs="Times New Roman"/>
          <w:sz w:val="24"/>
          <w:szCs w:val="24"/>
          <w:lang w:val="es-ES"/>
        </w:rPr>
        <w:t xml:space="preserve">Sementara </w:t>
      </w:r>
      <w:r w:rsidRPr="00F02465">
        <w:rPr>
          <w:rFonts w:ascii="Times New Roman" w:hAnsi="Times New Roman" w:cs="Times New Roman"/>
          <w:sz w:val="24"/>
          <w:szCs w:val="24"/>
          <w:lang w:val="id-ID"/>
        </w:rPr>
        <w:t xml:space="preserve">Hikmahanto Juwono, </w:t>
      </w:r>
      <w:r w:rsidRPr="00F02465">
        <w:rPr>
          <w:rFonts w:ascii="Times New Roman" w:hAnsi="Times New Roman" w:cs="Times New Roman"/>
          <w:sz w:val="24"/>
          <w:szCs w:val="24"/>
        </w:rPr>
        <w:t>Politik Hukum itu</w:t>
      </w:r>
      <w:r w:rsidRPr="00F02465">
        <w:rPr>
          <w:rFonts w:ascii="Times New Roman" w:hAnsi="Times New Roman" w:cs="Times New Roman"/>
          <w:sz w:val="24"/>
          <w:szCs w:val="24"/>
          <w:lang w:val="id-ID"/>
        </w:rPr>
        <w:t xml:space="preserve"> mencakup dua dimensi, yakni </w:t>
      </w:r>
      <w:r w:rsidRPr="00F02465">
        <w:rPr>
          <w:rFonts w:ascii="Times New Roman" w:hAnsi="Times New Roman" w:cs="Times New Roman"/>
          <w:i/>
          <w:iCs/>
          <w:sz w:val="24"/>
          <w:szCs w:val="24"/>
          <w:lang w:val="id-ID"/>
        </w:rPr>
        <w:t>basic policy</w:t>
      </w:r>
      <w:r w:rsidRPr="00F02465">
        <w:rPr>
          <w:rFonts w:ascii="Times New Roman" w:hAnsi="Times New Roman" w:cs="Times New Roman"/>
          <w:sz w:val="24"/>
          <w:szCs w:val="24"/>
          <w:lang w:val="id-ID"/>
        </w:rPr>
        <w:t xml:space="preserve"> dan </w:t>
      </w:r>
      <w:r w:rsidR="00F22EB8">
        <w:rPr>
          <w:rFonts w:ascii="Times New Roman" w:hAnsi="Times New Roman" w:cs="Times New Roman"/>
          <w:i/>
          <w:iCs/>
          <w:sz w:val="24"/>
          <w:szCs w:val="24"/>
          <w:lang w:val="id-ID"/>
        </w:rPr>
        <w:t>en</w:t>
      </w:r>
      <w:r w:rsidR="00F22EB8">
        <w:rPr>
          <w:rFonts w:ascii="Times New Roman" w:hAnsi="Times New Roman" w:cs="Times New Roman"/>
          <w:i/>
          <w:iCs/>
          <w:sz w:val="24"/>
          <w:szCs w:val="24"/>
        </w:rPr>
        <w:t>a</w:t>
      </w:r>
      <w:r w:rsidRPr="00F02465">
        <w:rPr>
          <w:rFonts w:ascii="Times New Roman" w:hAnsi="Times New Roman" w:cs="Times New Roman"/>
          <w:i/>
          <w:iCs/>
          <w:sz w:val="24"/>
          <w:szCs w:val="24"/>
          <w:lang w:val="id-ID"/>
        </w:rPr>
        <w:t>c</w:t>
      </w:r>
      <w:r w:rsidR="00F22EB8">
        <w:rPr>
          <w:rFonts w:ascii="Times New Roman" w:hAnsi="Times New Roman" w:cs="Times New Roman"/>
          <w:i/>
          <w:iCs/>
          <w:sz w:val="24"/>
          <w:szCs w:val="24"/>
        </w:rPr>
        <w:t>t</w:t>
      </w:r>
      <w:r w:rsidRPr="00F02465">
        <w:rPr>
          <w:rFonts w:ascii="Times New Roman" w:hAnsi="Times New Roman" w:cs="Times New Roman"/>
          <w:i/>
          <w:iCs/>
          <w:sz w:val="24"/>
          <w:szCs w:val="24"/>
          <w:lang w:val="id-ID"/>
        </w:rPr>
        <w:t>ment poli</w:t>
      </w:r>
      <w:r w:rsidRPr="00F02465">
        <w:rPr>
          <w:rFonts w:ascii="Times New Roman" w:hAnsi="Times New Roman" w:cs="Times New Roman"/>
          <w:i/>
          <w:iCs/>
          <w:sz w:val="24"/>
          <w:szCs w:val="24"/>
        </w:rPr>
        <w:t>c</w:t>
      </w:r>
      <w:r w:rsidRPr="00F02465">
        <w:rPr>
          <w:rFonts w:ascii="Times New Roman" w:hAnsi="Times New Roman" w:cs="Times New Roman"/>
          <w:i/>
          <w:iCs/>
          <w:sz w:val="24"/>
          <w:szCs w:val="24"/>
          <w:lang w:val="id-ID"/>
        </w:rPr>
        <w:t>y</w:t>
      </w:r>
      <w:r w:rsidRPr="00F02465">
        <w:rPr>
          <w:rFonts w:ascii="Times New Roman" w:hAnsi="Times New Roman" w:cs="Times New Roman"/>
          <w:sz w:val="24"/>
          <w:szCs w:val="24"/>
          <w:lang w:val="id-ID"/>
        </w:rPr>
        <w:t xml:space="preserve">. </w:t>
      </w:r>
      <w:r w:rsidRPr="00F02465">
        <w:rPr>
          <w:rFonts w:ascii="Times New Roman" w:hAnsi="Times New Roman" w:cs="Times New Roman"/>
          <w:i/>
          <w:iCs/>
          <w:sz w:val="24"/>
          <w:szCs w:val="24"/>
          <w:lang w:val="id-ID"/>
        </w:rPr>
        <w:t>Basic poli</w:t>
      </w:r>
      <w:r w:rsidRPr="00F02465">
        <w:rPr>
          <w:rFonts w:ascii="Times New Roman" w:hAnsi="Times New Roman" w:cs="Times New Roman"/>
          <w:i/>
          <w:iCs/>
          <w:sz w:val="24"/>
          <w:szCs w:val="24"/>
        </w:rPr>
        <w:t>c</w:t>
      </w:r>
      <w:r w:rsidRPr="00F02465">
        <w:rPr>
          <w:rFonts w:ascii="Times New Roman" w:hAnsi="Times New Roman" w:cs="Times New Roman"/>
          <w:i/>
          <w:iCs/>
          <w:sz w:val="24"/>
          <w:szCs w:val="24"/>
          <w:lang w:val="id-ID"/>
        </w:rPr>
        <w:t>y</w:t>
      </w:r>
      <w:r w:rsidRPr="00F02465">
        <w:rPr>
          <w:rFonts w:ascii="Times New Roman" w:hAnsi="Times New Roman" w:cs="Times New Roman"/>
          <w:sz w:val="24"/>
          <w:szCs w:val="24"/>
          <w:lang w:val="id-ID"/>
        </w:rPr>
        <w:t xml:space="preserve"> atau kebijakan dasar  adalah politik h</w:t>
      </w:r>
      <w:r w:rsidRPr="00F02465">
        <w:rPr>
          <w:rFonts w:ascii="Times New Roman" w:hAnsi="Times New Roman" w:cs="Times New Roman"/>
          <w:sz w:val="24"/>
          <w:szCs w:val="24"/>
          <w:lang w:val="en-ID"/>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n-ID"/>
        </w:rPr>
        <w:t>um</w:t>
      </w:r>
      <w:r w:rsidRPr="00F02465">
        <w:rPr>
          <w:rFonts w:ascii="Times New Roman" w:hAnsi="Times New Roman" w:cs="Times New Roman"/>
          <w:sz w:val="24"/>
          <w:szCs w:val="24"/>
          <w:lang w:val="id-ID"/>
        </w:rPr>
        <w:t xml:space="preserve"> yang menjadi dasar diadakan peraturan perundang-undangan. </w:t>
      </w:r>
      <w:r w:rsidR="00F22EB8" w:rsidRPr="00F02465">
        <w:rPr>
          <w:rFonts w:ascii="Times New Roman" w:hAnsi="Times New Roman" w:cs="Times New Roman"/>
          <w:i/>
          <w:iCs/>
          <w:sz w:val="24"/>
          <w:szCs w:val="24"/>
          <w:lang w:val="id-ID"/>
        </w:rPr>
        <w:t>e</w:t>
      </w:r>
      <w:r w:rsidRPr="00F02465">
        <w:rPr>
          <w:rFonts w:ascii="Times New Roman" w:hAnsi="Times New Roman" w:cs="Times New Roman"/>
          <w:i/>
          <w:iCs/>
          <w:sz w:val="24"/>
          <w:szCs w:val="24"/>
          <w:lang w:val="id-ID"/>
        </w:rPr>
        <w:t>nac</w:t>
      </w:r>
      <w:r w:rsidR="00F22EB8">
        <w:rPr>
          <w:rFonts w:ascii="Times New Roman" w:hAnsi="Times New Roman" w:cs="Times New Roman"/>
          <w:i/>
          <w:iCs/>
          <w:sz w:val="24"/>
          <w:szCs w:val="24"/>
        </w:rPr>
        <w:t>t</w:t>
      </w:r>
      <w:r w:rsidRPr="00F02465">
        <w:rPr>
          <w:rFonts w:ascii="Times New Roman" w:hAnsi="Times New Roman" w:cs="Times New Roman"/>
          <w:i/>
          <w:iCs/>
          <w:sz w:val="24"/>
          <w:szCs w:val="24"/>
          <w:lang w:val="id-ID"/>
        </w:rPr>
        <w:t>ment policy</w:t>
      </w:r>
      <w:r w:rsidRPr="00F02465">
        <w:rPr>
          <w:rFonts w:ascii="Times New Roman" w:hAnsi="Times New Roman" w:cs="Times New Roman"/>
          <w:sz w:val="24"/>
          <w:szCs w:val="24"/>
          <w:lang w:val="id-ID"/>
        </w:rPr>
        <w:t xml:space="preserve"> atau kebijakan pemberlakuan adalah tujuan dan alasan y</w:t>
      </w:r>
      <w:r w:rsidRPr="00F02465">
        <w:rPr>
          <w:rFonts w:ascii="Times New Roman" w:hAnsi="Times New Roman" w:cs="Times New Roman"/>
          <w:sz w:val="24"/>
          <w:szCs w:val="24"/>
          <w:lang w:val="en-ID"/>
        </w:rPr>
        <w:t>an</w:t>
      </w:r>
      <w:r w:rsidRPr="00F02465">
        <w:rPr>
          <w:rFonts w:ascii="Times New Roman" w:hAnsi="Times New Roman" w:cs="Times New Roman"/>
          <w:sz w:val="24"/>
          <w:szCs w:val="24"/>
          <w:lang w:val="id-ID"/>
        </w:rPr>
        <w:t>g muncu</w:t>
      </w:r>
      <w:r w:rsidRPr="00F02465">
        <w:rPr>
          <w:rFonts w:ascii="Times New Roman" w:hAnsi="Times New Roman" w:cs="Times New Roman"/>
          <w:sz w:val="24"/>
          <w:szCs w:val="24"/>
        </w:rPr>
        <w:t>l</w:t>
      </w:r>
      <w:r w:rsidRPr="00F02465">
        <w:rPr>
          <w:rFonts w:ascii="Times New Roman" w:hAnsi="Times New Roman" w:cs="Times New Roman"/>
          <w:sz w:val="24"/>
          <w:szCs w:val="24"/>
          <w:lang w:val="id-ID"/>
        </w:rPr>
        <w:t xml:space="preserve"> di balik pemberlakuan peraturan perundang-undangan</w:t>
      </w:r>
      <w:r w:rsidRPr="00F02465">
        <w:rPr>
          <w:rFonts w:ascii="Times New Roman" w:hAnsi="Times New Roman" w:cs="Times New Roman"/>
          <w:sz w:val="24"/>
          <w:szCs w:val="24"/>
          <w:lang w:val="en-ID"/>
        </w:rPr>
        <w:t>.</w:t>
      </w:r>
      <w:r w:rsidRPr="00F02465">
        <w:rPr>
          <w:rStyle w:val="FootnoteReference"/>
          <w:rFonts w:ascii="Times New Roman" w:hAnsi="Times New Roman" w:cs="Times New Roman"/>
          <w:sz w:val="24"/>
          <w:szCs w:val="24"/>
          <w:lang w:val="en-ID"/>
        </w:rPr>
        <w:footnoteReference w:id="109"/>
      </w:r>
      <w:r w:rsidRPr="00F02465">
        <w:rPr>
          <w:rFonts w:ascii="Times New Roman" w:hAnsi="Times New Roman" w:cs="Times New Roman"/>
          <w:sz w:val="24"/>
          <w:szCs w:val="24"/>
          <w:lang w:val="en-ID"/>
        </w:rPr>
        <w:t xml:space="preserve"> Pengertian lain oleh </w:t>
      </w:r>
      <w:r w:rsidRPr="00F02465">
        <w:rPr>
          <w:rFonts w:ascii="Times New Roman" w:hAnsi="Times New Roman" w:cs="Times New Roman"/>
          <w:sz w:val="24"/>
          <w:szCs w:val="24"/>
          <w:lang w:val="id-ID"/>
        </w:rPr>
        <w:t>Baqir Manan</w:t>
      </w:r>
      <w:r w:rsidRPr="00F02465">
        <w:rPr>
          <w:rFonts w:ascii="Times New Roman" w:hAnsi="Times New Roman" w:cs="Times New Roman"/>
          <w:sz w:val="24"/>
          <w:szCs w:val="24"/>
          <w:lang w:val="es-ES"/>
        </w:rPr>
        <w:t xml:space="preserve"> menyebut</w:t>
      </w:r>
      <w:r w:rsidRPr="00F02465">
        <w:rPr>
          <w:rFonts w:ascii="Times New Roman" w:hAnsi="Times New Roman" w:cs="Times New Roman"/>
          <w:sz w:val="24"/>
          <w:szCs w:val="24"/>
          <w:lang w:val="id-ID"/>
        </w:rPr>
        <w:t xml:space="preserve">, </w:t>
      </w:r>
      <w:r w:rsidRPr="00F02465">
        <w:rPr>
          <w:rFonts w:ascii="Times New Roman" w:hAnsi="Times New Roman" w:cs="Times New Roman"/>
          <w:sz w:val="24"/>
          <w:szCs w:val="24"/>
          <w:lang w:val="es-ES"/>
        </w:rPr>
        <w:t>P</w:t>
      </w:r>
      <w:r w:rsidRPr="00F02465">
        <w:rPr>
          <w:rFonts w:ascii="Times New Roman" w:hAnsi="Times New Roman" w:cs="Times New Roman"/>
          <w:sz w:val="24"/>
          <w:szCs w:val="24"/>
          <w:lang w:val="id-ID"/>
        </w:rPr>
        <w:t xml:space="preserve">olitik </w:t>
      </w:r>
      <w:r w:rsidRPr="00F02465">
        <w:rPr>
          <w:rFonts w:ascii="Times New Roman" w:hAnsi="Times New Roman" w:cs="Times New Roman"/>
          <w:sz w:val="24"/>
          <w:szCs w:val="24"/>
          <w:lang w:val="es-ES"/>
        </w:rPr>
        <w:t>Hu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s-ES"/>
        </w:rPr>
        <w:t>um</w:t>
      </w:r>
      <w:r w:rsidRPr="00F02465">
        <w:rPr>
          <w:rFonts w:ascii="Times New Roman" w:hAnsi="Times New Roman" w:cs="Times New Roman"/>
          <w:sz w:val="24"/>
          <w:szCs w:val="24"/>
          <w:lang w:val="id-ID"/>
        </w:rPr>
        <w:t xml:space="preserve"> </w:t>
      </w:r>
      <w:r w:rsidRPr="00F02465">
        <w:rPr>
          <w:rFonts w:ascii="Times New Roman" w:hAnsi="Times New Roman" w:cs="Times New Roman"/>
          <w:sz w:val="24"/>
          <w:szCs w:val="24"/>
          <w:lang w:val="id-ID"/>
        </w:rPr>
        <w:lastRenderedPageBreak/>
        <w:t>mencakup: politik pembentukan h</w:t>
      </w:r>
      <w:r w:rsidRPr="00F02465">
        <w:rPr>
          <w:rFonts w:ascii="Times New Roman" w:hAnsi="Times New Roman" w:cs="Times New Roman"/>
          <w:sz w:val="24"/>
          <w:szCs w:val="24"/>
          <w:lang w:val="es-ES"/>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s-ES"/>
        </w:rPr>
        <w:t>um</w:t>
      </w:r>
      <w:r w:rsidRPr="00F02465">
        <w:rPr>
          <w:rFonts w:ascii="Times New Roman" w:hAnsi="Times New Roman" w:cs="Times New Roman"/>
          <w:sz w:val="24"/>
          <w:szCs w:val="24"/>
          <w:lang w:val="id-ID"/>
        </w:rPr>
        <w:t>, politik penentuan h</w:t>
      </w:r>
      <w:r w:rsidRPr="00F02465">
        <w:rPr>
          <w:rFonts w:ascii="Times New Roman" w:hAnsi="Times New Roman" w:cs="Times New Roman"/>
          <w:sz w:val="24"/>
          <w:szCs w:val="24"/>
          <w:lang w:val="es-ES"/>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s-ES"/>
        </w:rPr>
        <w:t>um</w:t>
      </w:r>
      <w:r w:rsidRPr="00F02465">
        <w:rPr>
          <w:rFonts w:ascii="Times New Roman" w:hAnsi="Times New Roman" w:cs="Times New Roman"/>
          <w:sz w:val="24"/>
          <w:szCs w:val="24"/>
          <w:lang w:val="id-ID"/>
        </w:rPr>
        <w:t>, dan politik penerapan serta penegakan h</w:t>
      </w:r>
      <w:r w:rsidRPr="00F02465">
        <w:rPr>
          <w:rFonts w:ascii="Times New Roman" w:hAnsi="Times New Roman" w:cs="Times New Roman"/>
          <w:sz w:val="24"/>
          <w:szCs w:val="24"/>
          <w:lang w:val="es-ES"/>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s-ES"/>
        </w:rPr>
        <w:t>um</w:t>
      </w:r>
      <w:r w:rsidRPr="00F02465">
        <w:rPr>
          <w:rFonts w:ascii="Times New Roman" w:hAnsi="Times New Roman" w:cs="Times New Roman"/>
          <w:sz w:val="24"/>
          <w:szCs w:val="24"/>
          <w:lang w:val="id-ID"/>
        </w:rPr>
        <w:t>.</w:t>
      </w:r>
      <w:r w:rsidRPr="00F02465">
        <w:rPr>
          <w:rStyle w:val="FootnoteReference"/>
          <w:rFonts w:ascii="Times New Roman" w:hAnsi="Times New Roman" w:cs="Times New Roman"/>
          <w:sz w:val="24"/>
          <w:szCs w:val="24"/>
          <w:lang w:val="id-ID"/>
        </w:rPr>
        <w:footnoteReference w:id="110"/>
      </w:r>
      <w:r w:rsidRPr="00F02465">
        <w:rPr>
          <w:rFonts w:ascii="Times New Roman" w:hAnsi="Times New Roman" w:cs="Times New Roman"/>
          <w:sz w:val="24"/>
          <w:szCs w:val="24"/>
          <w:lang w:val="id-ID"/>
        </w:rPr>
        <w:t xml:space="preserve"> </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id-ID"/>
        </w:rPr>
      </w:pPr>
      <w:r w:rsidRPr="00F02465">
        <w:rPr>
          <w:rFonts w:ascii="Times New Roman" w:hAnsi="Times New Roman" w:cs="Times New Roman"/>
          <w:sz w:val="24"/>
          <w:szCs w:val="24"/>
          <w:lang w:val="id-ID"/>
        </w:rPr>
        <w:t xml:space="preserve">C.F.G. Sunaryati Hartono, Politik </w:t>
      </w:r>
      <w:r w:rsidRPr="00F02465">
        <w:rPr>
          <w:rFonts w:ascii="Times New Roman" w:hAnsi="Times New Roman" w:cs="Times New Roman"/>
          <w:sz w:val="24"/>
          <w:szCs w:val="24"/>
          <w:lang w:val="en-ID"/>
        </w:rPr>
        <w:t>Hu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n-ID"/>
        </w:rPr>
        <w:t>um</w:t>
      </w:r>
      <w:r w:rsidRPr="00F02465">
        <w:rPr>
          <w:rFonts w:ascii="Times New Roman" w:hAnsi="Times New Roman" w:cs="Times New Roman"/>
          <w:sz w:val="24"/>
          <w:szCs w:val="24"/>
          <w:lang w:val="id-ID"/>
        </w:rPr>
        <w:t xml:space="preserve"> mencakup. (1) pelaksanaan hukum yang telah ada secara konsisten, (2) pembangunan hukum yang intinya adalah pembaruan terhadap ketentuan hukum yang telah usang, penciptaan ketentuan baru yg diperlukan untuk memenuhi tuntutan pemkembangan (3) penegasan fungsi lembaga penegakan hukum dan pembina anggotanya, (4) meningkatkan kesadaran hukum masyarakat menurut persepsi kelompok elit pengambil kebijakan.</w:t>
      </w:r>
      <w:r w:rsidRPr="00F02465">
        <w:rPr>
          <w:rStyle w:val="FootnoteReference"/>
          <w:rFonts w:ascii="Times New Roman" w:hAnsi="Times New Roman" w:cs="Times New Roman"/>
          <w:sz w:val="24"/>
          <w:szCs w:val="24"/>
          <w:lang w:val="id-ID"/>
        </w:rPr>
        <w:footnoteReference w:id="111"/>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id-ID"/>
        </w:rPr>
      </w:pPr>
      <w:r w:rsidRPr="00F02465">
        <w:rPr>
          <w:rFonts w:ascii="Times New Roman" w:hAnsi="Times New Roman" w:cs="Times New Roman"/>
          <w:sz w:val="24"/>
          <w:szCs w:val="24"/>
          <w:lang w:val="es-ES"/>
        </w:rPr>
        <w:t xml:space="preserve">Berdasarkan beberapa pengertian di atas, maka substansi Politik Hukum menyangkut enam hal, yakni; (1) pembentukan hukum (2) </w:t>
      </w:r>
      <w:r w:rsidRPr="00F02465">
        <w:rPr>
          <w:rFonts w:ascii="Times New Roman" w:hAnsi="Times New Roman" w:cs="Times New Roman"/>
          <w:sz w:val="24"/>
          <w:szCs w:val="24"/>
          <w:lang w:val="id-ID"/>
        </w:rPr>
        <w:t>pelaksanaan hukum, (3) pembangunan hukum (4) penegasan fungsi lembaga penegakan hukum dan pembinaan anggotanya, (5) meningkatkan kesadaran hukum masyarakat, dan (6) bertujuan mencapai cita-cita bangsa dan tujuan Negara.</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rPr>
      </w:pPr>
      <w:r w:rsidRPr="00F02465">
        <w:rPr>
          <w:rFonts w:ascii="Times New Roman" w:hAnsi="Times New Roman" w:cs="Times New Roman"/>
          <w:sz w:val="24"/>
          <w:szCs w:val="24"/>
          <w:lang w:val="id-ID"/>
        </w:rPr>
        <w:t>Lebih jauh Politi</w:t>
      </w:r>
      <w:r w:rsidR="0074305E">
        <w:rPr>
          <w:rFonts w:ascii="Times New Roman" w:hAnsi="Times New Roman" w:cs="Times New Roman"/>
          <w:sz w:val="24"/>
          <w:szCs w:val="24"/>
          <w:lang w:val="id-ID"/>
        </w:rPr>
        <w:t>k hukum bagi Mahfud MD mencakup</w:t>
      </w:r>
      <w:r w:rsidR="0074305E" w:rsidRPr="0074305E">
        <w:rPr>
          <w:rFonts w:ascii="Times New Roman" w:hAnsi="Times New Roman" w:cs="Times New Roman"/>
          <w:sz w:val="24"/>
          <w:szCs w:val="24"/>
          <w:lang w:val="id-ID"/>
        </w:rPr>
        <w:t xml:space="preserve"> </w:t>
      </w:r>
      <w:r w:rsidRPr="00F02465">
        <w:rPr>
          <w:rFonts w:ascii="Times New Roman" w:hAnsi="Times New Roman" w:cs="Times New Roman"/>
          <w:sz w:val="24"/>
          <w:szCs w:val="24"/>
          <w:lang w:val="id-ID"/>
        </w:rPr>
        <w:t>pengertian bagaimana politik mempengaruhi hukum dengan cara melihat konfigurasi kekuatan yang di belakang pembuatan dan penegakan hukum.</w:t>
      </w:r>
      <w:r w:rsidRPr="00F02465">
        <w:rPr>
          <w:rStyle w:val="FootnoteReference"/>
          <w:rFonts w:ascii="Times New Roman" w:hAnsi="Times New Roman" w:cs="Times New Roman"/>
          <w:sz w:val="24"/>
          <w:szCs w:val="24"/>
          <w:lang w:val="id-ID"/>
        </w:rPr>
        <w:footnoteReference w:id="112"/>
      </w:r>
      <w:r w:rsidRPr="00F02465">
        <w:rPr>
          <w:rFonts w:ascii="Times New Roman" w:hAnsi="Times New Roman" w:cs="Times New Roman"/>
          <w:sz w:val="24"/>
          <w:szCs w:val="24"/>
          <w:lang w:val="id-ID"/>
        </w:rPr>
        <w:t xml:space="preserve"> </w:t>
      </w:r>
      <w:r w:rsidRPr="00F02465">
        <w:rPr>
          <w:rFonts w:ascii="Times New Roman" w:hAnsi="Times New Roman" w:cs="Times New Roman"/>
          <w:sz w:val="24"/>
          <w:szCs w:val="24"/>
          <w:lang w:val="en-ID"/>
        </w:rPr>
        <w:t xml:space="preserve">Kemudian disebut, </w:t>
      </w:r>
      <w:r w:rsidRPr="00F02465">
        <w:rPr>
          <w:rFonts w:ascii="Times New Roman" w:hAnsi="Times New Roman" w:cs="Times New Roman"/>
          <w:sz w:val="24"/>
          <w:szCs w:val="24"/>
          <w:lang w:val="id-ID"/>
        </w:rPr>
        <w:t>h</w:t>
      </w:r>
      <w:r w:rsidRPr="00F02465">
        <w:rPr>
          <w:rFonts w:ascii="Times New Roman" w:hAnsi="Times New Roman" w:cs="Times New Roman"/>
          <w:sz w:val="24"/>
          <w:szCs w:val="24"/>
          <w:lang w:val="en-ID"/>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n-ID"/>
        </w:rPr>
        <w:t>um</w:t>
      </w:r>
      <w:r w:rsidRPr="00F02465">
        <w:rPr>
          <w:rFonts w:ascii="Times New Roman" w:hAnsi="Times New Roman" w:cs="Times New Roman"/>
          <w:sz w:val="24"/>
          <w:szCs w:val="24"/>
          <w:lang w:val="id-ID"/>
        </w:rPr>
        <w:t xml:space="preserve"> adalah produk politik. Artinya h</w:t>
      </w:r>
      <w:r w:rsidRPr="00F02465">
        <w:rPr>
          <w:rFonts w:ascii="Times New Roman" w:hAnsi="Times New Roman" w:cs="Times New Roman"/>
          <w:sz w:val="24"/>
          <w:szCs w:val="24"/>
          <w:lang w:val="en-ID"/>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n-ID"/>
        </w:rPr>
        <w:t>um</w:t>
      </w:r>
      <w:r w:rsidRPr="00F02465">
        <w:rPr>
          <w:rFonts w:ascii="Times New Roman" w:hAnsi="Times New Roman" w:cs="Times New Roman"/>
          <w:sz w:val="24"/>
          <w:szCs w:val="24"/>
          <w:lang w:val="id-ID"/>
        </w:rPr>
        <w:t xml:space="preserve"> positif negara adalah produk keingin kelompok dominan politik yang berkuasa. </w:t>
      </w:r>
      <w:r w:rsidRPr="00F02465">
        <w:rPr>
          <w:rFonts w:ascii="Times New Roman" w:hAnsi="Times New Roman" w:cs="Times New Roman"/>
          <w:sz w:val="24"/>
          <w:szCs w:val="24"/>
          <w:lang w:val="en-ID"/>
        </w:rPr>
        <w:t>D</w:t>
      </w:r>
      <w:r w:rsidRPr="00F02465">
        <w:rPr>
          <w:rFonts w:ascii="Times New Roman" w:hAnsi="Times New Roman" w:cs="Times New Roman"/>
          <w:sz w:val="24"/>
          <w:szCs w:val="24"/>
          <w:lang w:val="id-ID"/>
        </w:rPr>
        <w:t>alam</w:t>
      </w:r>
      <w:r w:rsidRPr="00F02465">
        <w:rPr>
          <w:rFonts w:ascii="Times New Roman" w:hAnsi="Times New Roman" w:cs="Times New Roman"/>
          <w:sz w:val="24"/>
          <w:szCs w:val="24"/>
          <w:lang w:val="en-ID"/>
        </w:rPr>
        <w:t xml:space="preserve"> </w:t>
      </w:r>
      <w:r w:rsidRPr="00F02465">
        <w:rPr>
          <w:rFonts w:ascii="Times New Roman" w:hAnsi="Times New Roman" w:cs="Times New Roman"/>
          <w:sz w:val="24"/>
          <w:szCs w:val="24"/>
          <w:lang w:val="id-ID"/>
        </w:rPr>
        <w:t>negara konfigurasi demokrasi menghasilkan hukum responsif dan populis</w:t>
      </w:r>
      <w:r w:rsidRPr="00F02465">
        <w:rPr>
          <w:rFonts w:ascii="Times New Roman" w:hAnsi="Times New Roman" w:cs="Times New Roman"/>
          <w:sz w:val="24"/>
          <w:szCs w:val="24"/>
          <w:lang w:val="en-ID"/>
        </w:rPr>
        <w:t>, sementara</w:t>
      </w:r>
      <w:r w:rsidRPr="00F02465">
        <w:rPr>
          <w:rFonts w:ascii="Times New Roman" w:hAnsi="Times New Roman" w:cs="Times New Roman"/>
          <w:sz w:val="24"/>
          <w:szCs w:val="24"/>
          <w:lang w:val="id-ID"/>
        </w:rPr>
        <w:t xml:space="preserve"> negara yang konfigurasi politik otoriter melahirkan h</w:t>
      </w:r>
      <w:r w:rsidRPr="00F02465">
        <w:rPr>
          <w:rFonts w:ascii="Times New Roman" w:hAnsi="Times New Roman" w:cs="Times New Roman"/>
          <w:sz w:val="24"/>
          <w:szCs w:val="24"/>
          <w:lang w:val="en-ID"/>
        </w:rPr>
        <w:t>u</w:t>
      </w:r>
      <w:r w:rsidRPr="00F02465">
        <w:rPr>
          <w:rFonts w:ascii="Times New Roman" w:hAnsi="Times New Roman" w:cs="Times New Roman"/>
          <w:sz w:val="24"/>
          <w:szCs w:val="24"/>
          <w:lang w:val="id-ID"/>
        </w:rPr>
        <w:t>k</w:t>
      </w:r>
      <w:r w:rsidRPr="00F02465">
        <w:rPr>
          <w:rFonts w:ascii="Times New Roman" w:hAnsi="Times New Roman" w:cs="Times New Roman"/>
          <w:sz w:val="24"/>
          <w:szCs w:val="24"/>
          <w:lang w:val="en-ID"/>
        </w:rPr>
        <w:t>um</w:t>
      </w:r>
      <w:r w:rsidRPr="00F02465">
        <w:rPr>
          <w:rFonts w:ascii="Times New Roman" w:hAnsi="Times New Roman" w:cs="Times New Roman"/>
          <w:sz w:val="24"/>
          <w:szCs w:val="24"/>
          <w:lang w:val="id-ID"/>
        </w:rPr>
        <w:t xml:space="preserve"> konservatif, ortodoks, dan elitis.</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rPr>
      </w:pPr>
      <w:r w:rsidRPr="00F02465">
        <w:rPr>
          <w:rFonts w:ascii="Times New Roman" w:hAnsi="Times New Roman" w:cs="Times New Roman"/>
          <w:sz w:val="24"/>
          <w:szCs w:val="24"/>
        </w:rPr>
        <w:t xml:space="preserve">Dengan kata lain bahwa konfigurasi politik  akan berpengaruh terhadap karakter produk hukum. Konfigurasi politik yang demokratis akan melahirkan </w:t>
      </w:r>
      <w:r w:rsidRPr="00F02465">
        <w:rPr>
          <w:rFonts w:ascii="Times New Roman" w:hAnsi="Times New Roman" w:cs="Times New Roman"/>
          <w:sz w:val="24"/>
          <w:szCs w:val="24"/>
        </w:rPr>
        <w:lastRenderedPageBreak/>
        <w:t>produk hukum yang responsif. Sementara Konfigurasi politik yang otoriter akan melahirkan produk hukum yang konservatif.</w:t>
      </w:r>
      <w:r w:rsidRPr="00F02465">
        <w:rPr>
          <w:rStyle w:val="FootnoteReference"/>
          <w:rFonts w:ascii="Times New Roman" w:hAnsi="Times New Roman" w:cs="Times New Roman"/>
          <w:sz w:val="24"/>
          <w:szCs w:val="24"/>
        </w:rPr>
        <w:footnoteReference w:id="113"/>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rPr>
      </w:pPr>
      <w:r w:rsidRPr="00F02465">
        <w:rPr>
          <w:rFonts w:ascii="Times New Roman" w:hAnsi="Times New Roman" w:cs="Times New Roman"/>
          <w:sz w:val="24"/>
          <w:szCs w:val="24"/>
        </w:rPr>
        <w:t>Konfigurasi politik demokratis adalah susunan sistem politik yang membuka kesempatan (peluang) bagi partisipasi rakyat secara penuh untuk ikut aktif menentukan kebijaksanaan umum. Sementara konfigurasi politik otoriter adalah susunan sistem politik yang lebih memungkinkan negara berperan sangat aktif serta mengambil hampir seluruh inisiatif dalam pembuatan kebijaksanaan negara.</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rPr>
      </w:pPr>
      <w:r w:rsidRPr="00F02465">
        <w:rPr>
          <w:rFonts w:ascii="Times New Roman" w:hAnsi="Times New Roman" w:cs="Times New Roman"/>
          <w:sz w:val="24"/>
          <w:szCs w:val="24"/>
        </w:rPr>
        <w:t>Produk hukum yang responsif/populistik adalah produk hukum yang mencerminkan rasa keadilan dan memenuhi harapan masyarakat. Produk hukum konservatif/ortodoks/elitis adalah produk hukum yang isinya lebih mencerminkan visi sosial elit politik, lebih mencerminkan keinginan pemerintah, bersifat positivis-instrumentalis, yakni menjadi alat pelaksanaan ideologi dan program negara.</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rPr>
      </w:pPr>
      <w:r w:rsidRPr="00F02465">
        <w:rPr>
          <w:rFonts w:ascii="Times New Roman" w:hAnsi="Times New Roman" w:cs="Times New Roman"/>
          <w:sz w:val="24"/>
          <w:szCs w:val="24"/>
        </w:rPr>
        <w:t>Kaitan dengan konfigurasi politik demokratis, bahwa demokrasi liberal ditandai oleh adanya pembatasan-pembatasan tindakan pemerintah untuk memberikan perlindungan bagi individu dan kelompok-kelompok, dengan menyusun pergantian pimpinan secara berkala, tertib dan damai, melalui alat-alat perwakilan rakyat yang bekerja efektif.</w:t>
      </w:r>
      <w:r w:rsidRPr="00F02465">
        <w:rPr>
          <w:rStyle w:val="FootnoteReference"/>
          <w:rFonts w:ascii="Times New Roman" w:hAnsi="Times New Roman" w:cs="Times New Roman"/>
          <w:sz w:val="24"/>
          <w:szCs w:val="24"/>
        </w:rPr>
        <w:footnoteReference w:id="114"/>
      </w:r>
      <w:r w:rsidRPr="00F02465">
        <w:rPr>
          <w:rFonts w:ascii="Times New Roman" w:hAnsi="Times New Roman" w:cs="Times New Roman"/>
          <w:sz w:val="24"/>
          <w:szCs w:val="24"/>
        </w:rPr>
        <w:t xml:space="preserve"> </w:t>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en-ID"/>
        </w:rPr>
      </w:pPr>
      <w:r w:rsidRPr="00F02465">
        <w:rPr>
          <w:rFonts w:ascii="Times New Roman" w:hAnsi="Times New Roman" w:cs="Times New Roman"/>
          <w:sz w:val="24"/>
          <w:szCs w:val="24"/>
          <w:lang w:val="en-ID"/>
        </w:rPr>
        <w:t xml:space="preserve">Dengan demikian inti dari politik hukum adalah bagaimana </w:t>
      </w:r>
      <w:r w:rsidRPr="00F02465">
        <w:rPr>
          <w:rFonts w:ascii="Times New Roman" w:hAnsi="Times New Roman" w:cs="Times New Roman"/>
          <w:sz w:val="24"/>
          <w:szCs w:val="24"/>
          <w:lang w:val="id-ID"/>
        </w:rPr>
        <w:t>politik mempengaruhi hukum</w:t>
      </w:r>
      <w:r w:rsidRPr="00F02465">
        <w:rPr>
          <w:rFonts w:ascii="Times New Roman" w:hAnsi="Times New Roman" w:cs="Times New Roman"/>
          <w:sz w:val="24"/>
          <w:szCs w:val="24"/>
          <w:lang w:val="en-ID"/>
        </w:rPr>
        <w:t xml:space="preserve"> mulai dari </w:t>
      </w:r>
      <w:r w:rsidRPr="00F02465">
        <w:rPr>
          <w:rFonts w:ascii="Times New Roman" w:hAnsi="Times New Roman" w:cs="Times New Roman"/>
          <w:sz w:val="24"/>
          <w:szCs w:val="24"/>
          <w:lang w:val="es-ES"/>
        </w:rPr>
        <w:t xml:space="preserve">(1) pembentukan hukum (2) </w:t>
      </w:r>
      <w:r w:rsidRPr="00F02465">
        <w:rPr>
          <w:rFonts w:ascii="Times New Roman" w:hAnsi="Times New Roman" w:cs="Times New Roman"/>
          <w:sz w:val="24"/>
          <w:szCs w:val="24"/>
          <w:lang w:val="id-ID"/>
        </w:rPr>
        <w:t>pelaksanaan hukum, (3) pembangunan hukum (4) penegasan fungsi lembaga penegakan hukum dan pembinaan anggotanya, (5) meningkatkan kesadaran hukum masyarakat, dan (6) bertujuan mencapati cita-cita bangsa dan tujuan Negara</w:t>
      </w:r>
      <w:r w:rsidRPr="00F02465">
        <w:rPr>
          <w:rFonts w:ascii="Times New Roman" w:hAnsi="Times New Roman" w:cs="Times New Roman"/>
          <w:sz w:val="24"/>
          <w:szCs w:val="24"/>
          <w:lang w:val="en-ID"/>
        </w:rPr>
        <w:t>. Dengan demikian ada hubungan yang sangat dekat antara hukum dan politik (hubungan kausalitas).</w:t>
      </w:r>
    </w:p>
    <w:p w:rsidR="000C64A5" w:rsidRPr="00204CDE" w:rsidRDefault="00107B70" w:rsidP="00204CDE">
      <w:pPr>
        <w:pStyle w:val="ListParagraph"/>
        <w:spacing w:after="0" w:line="360" w:lineRule="auto"/>
        <w:ind w:left="0" w:firstLine="567"/>
        <w:jc w:val="both"/>
        <w:rPr>
          <w:rFonts w:ascii="Times New Roman" w:hAnsi="Times New Roman" w:cs="Times New Roman"/>
          <w:sz w:val="24"/>
          <w:szCs w:val="24"/>
          <w:lang w:val="en-ID"/>
        </w:rPr>
      </w:pPr>
      <w:r w:rsidRPr="00F02465">
        <w:rPr>
          <w:rFonts w:ascii="Times New Roman" w:hAnsi="Times New Roman" w:cs="Times New Roman"/>
          <w:sz w:val="24"/>
          <w:szCs w:val="24"/>
          <w:lang w:val="en-ID"/>
        </w:rPr>
        <w:t>Dalam sepanjang sejarah Negara Republik Indonesia telah terjadi perubahan-peruba</w:t>
      </w:r>
      <w:r w:rsidR="00E62E1A">
        <w:rPr>
          <w:rFonts w:ascii="Times New Roman" w:hAnsi="Times New Roman" w:cs="Times New Roman"/>
          <w:sz w:val="24"/>
          <w:szCs w:val="24"/>
          <w:lang w:val="en-ID"/>
        </w:rPr>
        <w:t>han politik secara bergantian (</w:t>
      </w:r>
      <w:r w:rsidRPr="00F02465">
        <w:rPr>
          <w:rFonts w:ascii="Times New Roman" w:hAnsi="Times New Roman" w:cs="Times New Roman"/>
          <w:sz w:val="24"/>
          <w:szCs w:val="24"/>
          <w:lang w:val="en-ID"/>
        </w:rPr>
        <w:t xml:space="preserve">berdasarkan periode sistem politik) antara konfigurasi politik yang demokratis dan konfigurasi politik yang </w:t>
      </w:r>
      <w:r w:rsidRPr="00F02465">
        <w:rPr>
          <w:rFonts w:ascii="Times New Roman" w:hAnsi="Times New Roman" w:cs="Times New Roman"/>
          <w:sz w:val="24"/>
          <w:szCs w:val="24"/>
          <w:lang w:val="en-ID"/>
        </w:rPr>
        <w:lastRenderedPageBreak/>
        <w:t>otoriter. Sejalan dengan perubahan-perubahan konfigurasi politik itu, karakter produk hukum juga berubah. Pada saat konfigurasi politik tampil secara demokratis, maka produk-produk hukum yang dilahirkannya berkarakter responsif, sebaliknya ketika konfigurasi politik tampil secara otoriter, hukum-hukum yang dilhairkannya berkarakter ortodoks. Semakin kental muatan hukum dengan masalah hubungan kekuasaan, semakin kuat pula pengaruh konfigurasi politik terhadap hukum tersebut.</w:t>
      </w:r>
      <w:r w:rsidRPr="00F02465">
        <w:rPr>
          <w:rStyle w:val="FootnoteReference"/>
          <w:rFonts w:ascii="Times New Roman" w:hAnsi="Times New Roman" w:cs="Times New Roman"/>
          <w:sz w:val="24"/>
          <w:szCs w:val="24"/>
          <w:lang w:val="en-ID"/>
        </w:rPr>
        <w:footnoteReference w:id="115"/>
      </w:r>
    </w:p>
    <w:p w:rsidR="00107B70" w:rsidRPr="00F02465" w:rsidRDefault="00107B70" w:rsidP="00107B70">
      <w:pPr>
        <w:pStyle w:val="ListParagraph"/>
        <w:spacing w:after="0" w:line="360" w:lineRule="auto"/>
        <w:ind w:left="0" w:firstLine="567"/>
        <w:jc w:val="both"/>
        <w:rPr>
          <w:rFonts w:ascii="Times New Roman" w:hAnsi="Times New Roman" w:cs="Times New Roman"/>
          <w:sz w:val="24"/>
          <w:szCs w:val="24"/>
          <w:lang w:val="en-ID"/>
        </w:rPr>
      </w:pPr>
      <w:r w:rsidRPr="00F02465">
        <w:rPr>
          <w:rFonts w:ascii="Times New Roman" w:hAnsi="Times New Roman" w:cs="Times New Roman"/>
          <w:sz w:val="24"/>
          <w:szCs w:val="24"/>
          <w:lang w:val="en-ID"/>
        </w:rPr>
        <w:t xml:space="preserve">Berikut tabel periodesisasi konfigurasi politik di Republik Indonesia </w:t>
      </w:r>
    </w:p>
    <w:tbl>
      <w:tblPr>
        <w:tblStyle w:val="TableGrid"/>
        <w:tblW w:w="0" w:type="auto"/>
        <w:tblLook w:val="04A0"/>
      </w:tblPr>
      <w:tblGrid>
        <w:gridCol w:w="1550"/>
        <w:gridCol w:w="3423"/>
        <w:gridCol w:w="3198"/>
      </w:tblGrid>
      <w:tr w:rsidR="00107B70" w:rsidTr="000B12D9">
        <w:tc>
          <w:tcPr>
            <w:tcW w:w="1728" w:type="dxa"/>
          </w:tcPr>
          <w:p w:rsidR="00107B70" w:rsidRPr="00F02465" w:rsidRDefault="00107B70" w:rsidP="000B12D9">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Periode</w:t>
            </w:r>
          </w:p>
        </w:tc>
        <w:tc>
          <w:tcPr>
            <w:tcW w:w="4050" w:type="dxa"/>
          </w:tcPr>
          <w:p w:rsidR="00107B70" w:rsidRPr="00F02465" w:rsidRDefault="00107B70" w:rsidP="000B12D9">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konfigurasi politik</w:t>
            </w:r>
          </w:p>
        </w:tc>
        <w:tc>
          <w:tcPr>
            <w:tcW w:w="3798" w:type="dxa"/>
          </w:tcPr>
          <w:p w:rsidR="00107B70" w:rsidRPr="00F02465" w:rsidRDefault="00107B70" w:rsidP="000B12D9">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Karakter Produk Hukum</w:t>
            </w:r>
          </w:p>
        </w:tc>
      </w:tr>
      <w:tr w:rsidR="00107B70" w:rsidTr="000B12D9">
        <w:tc>
          <w:tcPr>
            <w:tcW w:w="172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1945-1959</w:t>
            </w:r>
          </w:p>
        </w:tc>
        <w:tc>
          <w:tcPr>
            <w:tcW w:w="4050"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Demokrasi</w:t>
            </w:r>
          </w:p>
        </w:tc>
        <w:tc>
          <w:tcPr>
            <w:tcW w:w="379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Responsif</w:t>
            </w:r>
          </w:p>
        </w:tc>
      </w:tr>
      <w:tr w:rsidR="00107B70" w:rsidTr="000B12D9">
        <w:tc>
          <w:tcPr>
            <w:tcW w:w="172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1959-1966</w:t>
            </w:r>
          </w:p>
        </w:tc>
        <w:tc>
          <w:tcPr>
            <w:tcW w:w="4050"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Otoriter</w:t>
            </w:r>
          </w:p>
        </w:tc>
        <w:tc>
          <w:tcPr>
            <w:tcW w:w="379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Ortodoks</w:t>
            </w:r>
          </w:p>
        </w:tc>
      </w:tr>
      <w:tr w:rsidR="00107B70" w:rsidTr="000B12D9">
        <w:tc>
          <w:tcPr>
            <w:tcW w:w="172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1966-1998</w:t>
            </w:r>
          </w:p>
        </w:tc>
        <w:tc>
          <w:tcPr>
            <w:tcW w:w="4050"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Otoriter</w:t>
            </w:r>
          </w:p>
        </w:tc>
        <w:tc>
          <w:tcPr>
            <w:tcW w:w="379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Ortodoks</w:t>
            </w:r>
          </w:p>
        </w:tc>
      </w:tr>
      <w:tr w:rsidR="00107B70" w:rsidTr="000B12D9">
        <w:tc>
          <w:tcPr>
            <w:tcW w:w="172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1998-2018</w:t>
            </w:r>
          </w:p>
        </w:tc>
        <w:tc>
          <w:tcPr>
            <w:tcW w:w="4050"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Reformasi</w:t>
            </w:r>
          </w:p>
        </w:tc>
        <w:tc>
          <w:tcPr>
            <w:tcW w:w="3798" w:type="dxa"/>
          </w:tcPr>
          <w:p w:rsidR="00107B70" w:rsidRPr="00F02465" w:rsidRDefault="00107B70" w:rsidP="00CF0D47">
            <w:pPr>
              <w:pStyle w:val="ListParagraph"/>
              <w:spacing w:line="360" w:lineRule="auto"/>
              <w:ind w:left="0"/>
              <w:jc w:val="center"/>
              <w:rPr>
                <w:rFonts w:ascii="Times New Roman" w:hAnsi="Times New Roman" w:cs="Times New Roman"/>
                <w:sz w:val="24"/>
                <w:szCs w:val="24"/>
                <w:lang w:val="en-ID"/>
              </w:rPr>
            </w:pPr>
            <w:r w:rsidRPr="00F02465">
              <w:rPr>
                <w:rFonts w:ascii="Times New Roman" w:hAnsi="Times New Roman" w:cs="Times New Roman"/>
                <w:sz w:val="24"/>
                <w:szCs w:val="24"/>
                <w:lang w:val="en-ID"/>
              </w:rPr>
              <w:t>Responsif</w:t>
            </w:r>
          </w:p>
        </w:tc>
      </w:tr>
    </w:tbl>
    <w:p w:rsidR="00107B70" w:rsidRPr="00107B70" w:rsidRDefault="00107B70" w:rsidP="00107B70">
      <w:pPr>
        <w:spacing w:line="360" w:lineRule="auto"/>
        <w:jc w:val="both"/>
        <w:rPr>
          <w:rFonts w:ascii="Times New Roman" w:hAnsi="Times New Roman" w:cs="Times New Roman"/>
          <w:spacing w:val="6"/>
          <w:sz w:val="24"/>
          <w:szCs w:val="24"/>
          <w:lang w:val="sv-SE"/>
        </w:rPr>
      </w:pPr>
    </w:p>
    <w:p w:rsidR="00C008BA" w:rsidRPr="00C008BA" w:rsidRDefault="00E81DAA" w:rsidP="005B7E90">
      <w:pPr>
        <w:pStyle w:val="ListParagraph"/>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00C008BA" w:rsidRPr="00C008BA">
        <w:rPr>
          <w:rFonts w:ascii="Times New Roman" w:hAnsi="Times New Roman" w:cs="Times New Roman"/>
          <w:sz w:val="24"/>
          <w:szCs w:val="24"/>
        </w:rPr>
        <w:t xml:space="preserve">Teori </w:t>
      </w:r>
      <w:r w:rsidR="005B7E90" w:rsidRPr="0074305E">
        <w:rPr>
          <w:rFonts w:asciiTheme="majorBidi" w:hAnsiTheme="majorBidi" w:cstheme="majorBidi"/>
          <w:i/>
          <w:iCs/>
          <w:sz w:val="24"/>
          <w:szCs w:val="24"/>
          <w:lang w:val="sv-SE"/>
        </w:rPr>
        <w:t>Siyāsah</w:t>
      </w:r>
      <w:r w:rsidR="00BF2FEC" w:rsidRPr="0074305E">
        <w:rPr>
          <w:rFonts w:ascii="Times New Roman" w:hAnsi="Times New Roman" w:cs="Times New Roman"/>
          <w:i/>
          <w:iCs/>
          <w:sz w:val="24"/>
          <w:szCs w:val="24"/>
        </w:rPr>
        <w:t xml:space="preserve"> </w:t>
      </w:r>
      <w:r w:rsidR="00CC1D08" w:rsidRPr="0074305E">
        <w:rPr>
          <w:rFonts w:ascii="Times New Roman" w:hAnsi="Times New Roman" w:cs="Times New Roman"/>
          <w:i/>
          <w:iCs/>
          <w:sz w:val="24"/>
          <w:szCs w:val="24"/>
        </w:rPr>
        <w:t>Syar‘i</w:t>
      </w:r>
      <w:r w:rsidR="0074305E" w:rsidRPr="0074305E">
        <w:rPr>
          <w:rFonts w:ascii="Times New Roman" w:hAnsi="Times New Roman" w:cs="Times New Roman"/>
          <w:i/>
          <w:iCs/>
          <w:sz w:val="24"/>
          <w:szCs w:val="24"/>
        </w:rPr>
        <w:t>y</w:t>
      </w:r>
      <w:r w:rsidR="00CC1D08" w:rsidRPr="0074305E">
        <w:rPr>
          <w:rFonts w:ascii="Times New Roman" w:hAnsi="Times New Roman" w:cs="Times New Roman"/>
          <w:i/>
          <w:iCs/>
          <w:sz w:val="24"/>
          <w:szCs w:val="24"/>
        </w:rPr>
        <w:t>yah</w:t>
      </w:r>
      <w:r w:rsidR="005B7E90">
        <w:rPr>
          <w:rFonts w:ascii="Times New Roman" w:hAnsi="Times New Roman" w:cs="Times New Roman"/>
          <w:sz w:val="24"/>
          <w:szCs w:val="24"/>
        </w:rPr>
        <w:t xml:space="preserve"> Al-Mawardi </w:t>
      </w:r>
      <w:r w:rsidR="00BF2FEC">
        <w:rPr>
          <w:rFonts w:ascii="Times New Roman" w:hAnsi="Times New Roman" w:cs="Times New Roman"/>
          <w:sz w:val="24"/>
          <w:szCs w:val="24"/>
        </w:rPr>
        <w:t xml:space="preserve">( Teori </w:t>
      </w:r>
      <w:r w:rsidR="00BF2FEC" w:rsidRPr="00C008BA">
        <w:rPr>
          <w:rFonts w:ascii="Times New Roman" w:hAnsi="Times New Roman" w:cs="Times New Roman"/>
          <w:sz w:val="24"/>
          <w:szCs w:val="24"/>
        </w:rPr>
        <w:t>Kontrak Sosial</w:t>
      </w:r>
      <w:r w:rsidR="00BF2FEC">
        <w:rPr>
          <w:rFonts w:ascii="Times New Roman" w:hAnsi="Times New Roman" w:cs="Times New Roman"/>
          <w:sz w:val="24"/>
          <w:szCs w:val="24"/>
        </w:rPr>
        <w:t>)</w:t>
      </w:r>
    </w:p>
    <w:p w:rsidR="00C008BA" w:rsidRPr="00331D2C" w:rsidRDefault="00C008BA" w:rsidP="005763AA">
      <w:pPr>
        <w:pStyle w:val="ListParagraph"/>
        <w:spacing w:after="0" w:line="360" w:lineRule="auto"/>
        <w:ind w:left="0" w:firstLine="630"/>
        <w:jc w:val="both"/>
        <w:rPr>
          <w:rFonts w:ascii="Times New Roman" w:hAnsi="Times New Roman" w:cs="Times New Roman"/>
          <w:sz w:val="24"/>
          <w:szCs w:val="24"/>
        </w:rPr>
      </w:pPr>
      <w:r>
        <w:rPr>
          <w:rFonts w:ascii="Times New Roman" w:hAnsi="Times New Roman" w:cs="Times New Roman"/>
          <w:sz w:val="24"/>
          <w:szCs w:val="24"/>
        </w:rPr>
        <w:t>Al-Mawardi</w:t>
      </w:r>
      <w:r w:rsidR="00CF0D47">
        <w:rPr>
          <w:rFonts w:ascii="Times New Roman" w:hAnsi="Times New Roman" w:cs="Times New Roman"/>
          <w:sz w:val="24"/>
          <w:szCs w:val="24"/>
        </w:rPr>
        <w:t xml:space="preserve"> (</w:t>
      </w:r>
      <w:r w:rsidR="005763AA">
        <w:rPr>
          <w:rFonts w:ascii="Times New Roman" w:hAnsi="Times New Roman" w:cs="Times New Roman"/>
          <w:sz w:val="24"/>
          <w:szCs w:val="24"/>
        </w:rPr>
        <w:t xml:space="preserve">w </w:t>
      </w:r>
      <w:r w:rsidR="00B5311F">
        <w:rPr>
          <w:rFonts w:ascii="Times New Roman" w:hAnsi="Times New Roman" w:cs="Times New Roman"/>
          <w:sz w:val="24"/>
          <w:szCs w:val="24"/>
        </w:rPr>
        <w:t>450 H)</w:t>
      </w:r>
      <w:r>
        <w:rPr>
          <w:rFonts w:ascii="Times New Roman" w:hAnsi="Times New Roman" w:cs="Times New Roman"/>
          <w:sz w:val="24"/>
          <w:szCs w:val="24"/>
        </w:rPr>
        <w:t xml:space="preserve"> seorang tokoh pemikir politik Islam klasik dalam teori Kontrak Sosialnya berpendapat bahwa </w:t>
      </w:r>
      <w:r w:rsidRPr="003D18C9">
        <w:rPr>
          <w:rFonts w:ascii="Times New Roman" w:hAnsi="Times New Roman" w:cs="Times New Roman"/>
          <w:sz w:val="24"/>
          <w:szCs w:val="24"/>
        </w:rPr>
        <w:t xml:space="preserve">hubungan antara </w:t>
      </w:r>
      <w:r w:rsidRPr="00C04A45">
        <w:rPr>
          <w:rFonts w:ascii="Times New Roman" w:hAnsi="Times New Roman" w:cs="Times New Roman"/>
          <w:i/>
          <w:iCs/>
          <w:sz w:val="24"/>
          <w:szCs w:val="24"/>
        </w:rPr>
        <w:t>Ahl al-‘Aqdi</w:t>
      </w:r>
      <w:r w:rsidRPr="003D18C9">
        <w:rPr>
          <w:rFonts w:ascii="Times New Roman" w:hAnsi="Times New Roman" w:cs="Times New Roman"/>
          <w:sz w:val="24"/>
          <w:szCs w:val="24"/>
        </w:rPr>
        <w:t xml:space="preserve"> </w:t>
      </w:r>
      <w:r w:rsidRPr="00C04A45">
        <w:rPr>
          <w:rFonts w:ascii="Times New Roman" w:hAnsi="Times New Roman" w:cs="Times New Roman"/>
          <w:i/>
          <w:iCs/>
          <w:sz w:val="24"/>
          <w:szCs w:val="24"/>
        </w:rPr>
        <w:t>wa al-Halli</w:t>
      </w:r>
      <w:r w:rsidRPr="003D18C9">
        <w:rPr>
          <w:rFonts w:ascii="Times New Roman" w:hAnsi="Times New Roman" w:cs="Times New Roman"/>
          <w:sz w:val="24"/>
          <w:szCs w:val="24"/>
        </w:rPr>
        <w:t xml:space="preserve"> atau </w:t>
      </w:r>
      <w:r w:rsidRPr="00C04A45">
        <w:rPr>
          <w:rFonts w:ascii="Times New Roman" w:hAnsi="Times New Roman" w:cs="Times New Roman"/>
          <w:i/>
          <w:iCs/>
          <w:sz w:val="24"/>
          <w:szCs w:val="24"/>
        </w:rPr>
        <w:t>Ahl al-Ikhtiy</w:t>
      </w:r>
      <w:r w:rsidR="005763AA" w:rsidRPr="005763AA">
        <w:rPr>
          <w:rFonts w:asciiTheme="majorBidi" w:hAnsiTheme="majorBidi" w:cstheme="majorBidi"/>
          <w:i/>
          <w:iCs/>
          <w:sz w:val="24"/>
          <w:szCs w:val="24"/>
        </w:rPr>
        <w:t>ā</w:t>
      </w:r>
      <w:r w:rsidRPr="00C04A45">
        <w:rPr>
          <w:rFonts w:ascii="Times New Roman" w:hAnsi="Times New Roman" w:cs="Times New Roman"/>
          <w:i/>
          <w:iCs/>
          <w:sz w:val="24"/>
          <w:szCs w:val="24"/>
        </w:rPr>
        <w:t>r</w:t>
      </w:r>
      <w:r w:rsidRPr="003D18C9">
        <w:rPr>
          <w:rFonts w:ascii="Times New Roman" w:hAnsi="Times New Roman" w:cs="Times New Roman"/>
          <w:sz w:val="24"/>
          <w:szCs w:val="24"/>
        </w:rPr>
        <w:t xml:space="preserve"> dan imam atau kepala negara itu merupakan hubungan antara dua pihak peserta </w:t>
      </w:r>
      <w:r w:rsidRPr="00604ACC">
        <w:rPr>
          <w:rFonts w:ascii="Times New Roman" w:hAnsi="Times New Roman" w:cs="Times New Roman"/>
          <w:sz w:val="24"/>
          <w:szCs w:val="24"/>
        </w:rPr>
        <w:t>kontrak sosial</w:t>
      </w:r>
      <w:r w:rsidRPr="003D18C9">
        <w:rPr>
          <w:rFonts w:ascii="Times New Roman" w:hAnsi="Times New Roman" w:cs="Times New Roman"/>
          <w:sz w:val="24"/>
          <w:szCs w:val="24"/>
        </w:rPr>
        <w:t xml:space="preserve"> atau perjanjian atas dasar sukarela, satu kontrak atau persetujuan yang melahirkan kewajiban dan hak bagi kedua belah pihak atas dasar timbal balik. </w:t>
      </w:r>
      <w:r w:rsidRPr="00604ACC">
        <w:rPr>
          <w:rFonts w:asciiTheme="majorBidi" w:hAnsiTheme="majorBidi" w:cstheme="majorBidi"/>
          <w:sz w:val="24"/>
          <w:szCs w:val="24"/>
        </w:rPr>
        <w:t>Oleh karenanya maka imam, selain berhak untuk ditaati oleh rakyat dan untuk menuntut loyalitas penuh dari mereka, ia sebalikny</w:t>
      </w:r>
      <w:r w:rsidR="005763AA">
        <w:rPr>
          <w:rFonts w:asciiTheme="majorBidi" w:hAnsiTheme="majorBidi" w:cstheme="majorBidi"/>
          <w:sz w:val="24"/>
          <w:szCs w:val="24"/>
        </w:rPr>
        <w:t xml:space="preserve">a mempunyai kewajiban-kewajiban </w:t>
      </w:r>
      <w:r w:rsidRPr="00604ACC">
        <w:rPr>
          <w:rFonts w:asciiTheme="majorBidi" w:hAnsiTheme="majorBidi" w:cstheme="majorBidi"/>
          <w:sz w:val="24"/>
          <w:szCs w:val="24"/>
        </w:rPr>
        <w:t xml:space="preserve">yang harus dipenuhi terhadap rakyatnya, seperti </w:t>
      </w:r>
      <w:r w:rsidRPr="00604ACC">
        <w:rPr>
          <w:rFonts w:asciiTheme="majorBidi" w:hAnsiTheme="majorBidi" w:cstheme="majorBidi"/>
          <w:sz w:val="24"/>
          <w:szCs w:val="24"/>
        </w:rPr>
        <w:lastRenderedPageBreak/>
        <w:t>memberikan perlindungan kepada mereka dan mengelola kepentingan mereka dengan baik dan penuh rasa tanggung jawab.</w:t>
      </w:r>
      <w:r>
        <w:rPr>
          <w:rStyle w:val="FootnoteReference"/>
          <w:rFonts w:asciiTheme="majorBidi" w:hAnsiTheme="majorBidi" w:cstheme="majorBidi"/>
          <w:sz w:val="24"/>
          <w:szCs w:val="24"/>
        </w:rPr>
        <w:footnoteReference w:id="116"/>
      </w:r>
      <w:r w:rsidRPr="00604ACC">
        <w:rPr>
          <w:rFonts w:asciiTheme="majorBidi" w:hAnsiTheme="majorBidi" w:cstheme="majorBidi"/>
          <w:sz w:val="24"/>
          <w:szCs w:val="24"/>
        </w:rPr>
        <w:t xml:space="preserve"> </w:t>
      </w:r>
    </w:p>
    <w:p w:rsidR="00C008BA" w:rsidRDefault="00C008BA" w:rsidP="00107B70">
      <w:pPr>
        <w:spacing w:after="0" w:line="360" w:lineRule="auto"/>
        <w:ind w:firstLine="630"/>
        <w:jc w:val="both"/>
        <w:rPr>
          <w:rFonts w:asciiTheme="majorBidi" w:hAnsiTheme="majorBidi" w:cstheme="majorBidi"/>
          <w:sz w:val="24"/>
          <w:szCs w:val="24"/>
        </w:rPr>
      </w:pPr>
      <w:r w:rsidRPr="00C73F6B">
        <w:rPr>
          <w:rFonts w:asciiTheme="majorBidi" w:hAnsiTheme="majorBidi" w:cstheme="majorBidi"/>
          <w:sz w:val="24"/>
          <w:szCs w:val="24"/>
        </w:rPr>
        <w:t>Dalam hal ini al-Mawardi mengatakan bahwa apabila imam atau kepala negara telah melaksanakan kewajiban-kewajiban kepada umat, berarti ia telah menunaikan hak Allah berkenaan dengan hak dan tanggung jawab ummat. Dan saat yang demikian imam mempunyai dua macam hak terhadap ummat, yaitu hak untuk ditaati dan hak dibela selama imam tidak menyimpang dari dari garis yang telah ditetapkan.</w:t>
      </w:r>
      <w:r w:rsidRPr="00C73F6B">
        <w:rPr>
          <w:rStyle w:val="FootnoteReference"/>
          <w:rFonts w:asciiTheme="majorBidi" w:hAnsiTheme="majorBidi" w:cstheme="majorBidi"/>
          <w:sz w:val="24"/>
          <w:szCs w:val="24"/>
        </w:rPr>
        <w:footnoteReference w:id="117"/>
      </w:r>
    </w:p>
    <w:p w:rsidR="00C008BA" w:rsidRPr="000A6E22" w:rsidRDefault="00C008BA" w:rsidP="00B84BDE">
      <w:pPr>
        <w:spacing w:after="0" w:line="360" w:lineRule="auto"/>
        <w:ind w:firstLine="630"/>
        <w:jc w:val="both"/>
        <w:rPr>
          <w:rFonts w:asciiTheme="majorBidi" w:hAnsiTheme="majorBidi" w:cstheme="majorBidi"/>
          <w:sz w:val="24"/>
          <w:szCs w:val="24"/>
        </w:rPr>
      </w:pPr>
      <w:r>
        <w:rPr>
          <w:rFonts w:asciiTheme="majorBidi" w:hAnsiTheme="majorBidi" w:cstheme="majorBidi"/>
          <w:sz w:val="24"/>
          <w:szCs w:val="24"/>
        </w:rPr>
        <w:t xml:space="preserve">Dengan demikian </w:t>
      </w:r>
      <w:r w:rsidRPr="000A6E22">
        <w:rPr>
          <w:rFonts w:asciiTheme="majorBidi" w:hAnsiTheme="majorBidi" w:cstheme="majorBidi"/>
          <w:sz w:val="24"/>
          <w:szCs w:val="24"/>
        </w:rPr>
        <w:t>Al-Mawardi</w:t>
      </w:r>
      <w:r>
        <w:rPr>
          <w:rFonts w:asciiTheme="majorBidi" w:hAnsiTheme="majorBidi" w:cstheme="majorBidi"/>
          <w:sz w:val="24"/>
          <w:szCs w:val="24"/>
        </w:rPr>
        <w:t xml:space="preserve"> telah merumuskan </w:t>
      </w:r>
      <w:r w:rsidRPr="000A6E22">
        <w:rPr>
          <w:rFonts w:asciiTheme="majorBidi" w:hAnsiTheme="majorBidi" w:cstheme="majorBidi"/>
          <w:sz w:val="24"/>
          <w:szCs w:val="24"/>
        </w:rPr>
        <w:t>teori Kontrak Sosial dalam ketatanegaraan jauh sebelum sarjana–sarjana barat merumuskan teori itu</w:t>
      </w:r>
      <w:r>
        <w:rPr>
          <w:rFonts w:asciiTheme="majorBidi" w:hAnsiTheme="majorBidi" w:cstheme="majorBidi"/>
          <w:sz w:val="24"/>
          <w:szCs w:val="24"/>
        </w:rPr>
        <w:t>.</w:t>
      </w:r>
      <w:r>
        <w:rPr>
          <w:rStyle w:val="FootnoteReference"/>
          <w:rFonts w:asciiTheme="majorBidi" w:hAnsiTheme="majorBidi" w:cstheme="majorBidi"/>
          <w:sz w:val="24"/>
          <w:szCs w:val="24"/>
        </w:rPr>
        <w:footnoteReference w:id="118"/>
      </w:r>
      <w:r>
        <w:rPr>
          <w:rFonts w:asciiTheme="majorBidi" w:hAnsiTheme="majorBidi" w:cstheme="majorBidi"/>
          <w:sz w:val="24"/>
          <w:szCs w:val="24"/>
        </w:rPr>
        <w:t xml:space="preserve"> Tapi dari segi praktek, kontrak sosial telah terjadi jauh sebelumnya, yaitu antara Nabi Muhammad SAW dengan penduduk Madinah menjelang beliau hijrah ke kota itu yang dikenal dengan </w:t>
      </w:r>
      <w:r w:rsidR="00B84BDE" w:rsidRPr="00B5311F">
        <w:rPr>
          <w:rFonts w:asciiTheme="majorBidi" w:hAnsiTheme="majorBidi" w:cstheme="majorBidi"/>
          <w:sz w:val="24"/>
          <w:szCs w:val="24"/>
        </w:rPr>
        <w:t>bai‘at</w:t>
      </w:r>
      <w:r w:rsidRPr="00B5311F">
        <w:rPr>
          <w:rFonts w:asciiTheme="majorBidi" w:hAnsiTheme="majorBidi" w:cstheme="majorBidi"/>
          <w:sz w:val="24"/>
          <w:szCs w:val="24"/>
        </w:rPr>
        <w:t xml:space="preserve"> </w:t>
      </w:r>
      <w:r w:rsidR="00B84BDE" w:rsidRPr="00B5311F">
        <w:rPr>
          <w:rFonts w:asciiTheme="majorBidi" w:hAnsiTheme="majorBidi" w:cstheme="majorBidi"/>
          <w:sz w:val="24"/>
          <w:szCs w:val="24"/>
        </w:rPr>
        <w:t>‘</w:t>
      </w:r>
      <w:r w:rsidRPr="00B5311F">
        <w:rPr>
          <w:rFonts w:asciiTheme="majorBidi" w:hAnsiTheme="majorBidi" w:cstheme="majorBidi"/>
          <w:sz w:val="24"/>
          <w:szCs w:val="24"/>
        </w:rPr>
        <w:t>aqbah</w:t>
      </w:r>
      <w:r>
        <w:rPr>
          <w:rFonts w:asciiTheme="majorBidi" w:hAnsiTheme="majorBidi" w:cstheme="majorBidi"/>
          <w:sz w:val="24"/>
          <w:szCs w:val="24"/>
        </w:rPr>
        <w:t xml:space="preserve"> I dan II.</w:t>
      </w:r>
      <w:r>
        <w:rPr>
          <w:rStyle w:val="FootnoteReference"/>
          <w:rFonts w:asciiTheme="majorBidi" w:hAnsiTheme="majorBidi" w:cstheme="majorBidi"/>
          <w:sz w:val="24"/>
          <w:szCs w:val="24"/>
        </w:rPr>
        <w:footnoteReference w:id="119"/>
      </w:r>
    </w:p>
    <w:p w:rsidR="00C008BA" w:rsidRDefault="00B84BDE" w:rsidP="00B84BDE">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Menurut Al-Mawardi, d</w:t>
      </w:r>
      <w:r w:rsidR="00C008BA">
        <w:rPr>
          <w:rFonts w:ascii="Times New Roman" w:hAnsi="Times New Roman" w:cs="Times New Roman"/>
          <w:sz w:val="24"/>
          <w:szCs w:val="24"/>
        </w:rPr>
        <w:t xml:space="preserve">alam rangka menjamin kerjasama dan ikatan-ikatan sesama anggota masyarakat dalam kehidupan  bernegara, </w:t>
      </w:r>
      <w:r w:rsidR="00C008BA" w:rsidRPr="00303222">
        <w:rPr>
          <w:rFonts w:ascii="Times New Roman" w:hAnsi="Times New Roman" w:cs="Times New Roman"/>
          <w:sz w:val="24"/>
          <w:szCs w:val="24"/>
        </w:rPr>
        <w:t>memerlukan enam sendi utama:</w:t>
      </w:r>
      <w:r w:rsidR="00C008BA">
        <w:rPr>
          <w:rFonts w:ascii="Times New Roman" w:hAnsi="Times New Roman" w:cs="Times New Roman"/>
          <w:sz w:val="24"/>
          <w:szCs w:val="24"/>
        </w:rPr>
        <w:t xml:space="preserve"> </w:t>
      </w:r>
      <w:r w:rsidRPr="00524FFA">
        <w:rPr>
          <w:rFonts w:ascii="Times New Roman" w:hAnsi="Times New Roman" w:cs="Times New Roman"/>
          <w:i/>
          <w:iCs/>
          <w:sz w:val="24"/>
          <w:szCs w:val="24"/>
        </w:rPr>
        <w:t>P</w:t>
      </w:r>
      <w:r w:rsidR="00C008BA" w:rsidRPr="00524FFA">
        <w:rPr>
          <w:rFonts w:ascii="Times New Roman" w:hAnsi="Times New Roman" w:cs="Times New Roman"/>
          <w:i/>
          <w:iCs/>
          <w:sz w:val="24"/>
          <w:szCs w:val="24"/>
        </w:rPr>
        <w:t>ertama</w:t>
      </w:r>
      <w:r w:rsidR="00C008BA">
        <w:rPr>
          <w:rFonts w:ascii="Times New Roman" w:hAnsi="Times New Roman" w:cs="Times New Roman"/>
          <w:sz w:val="24"/>
          <w:szCs w:val="24"/>
        </w:rPr>
        <w:t xml:space="preserve">, berlandaskan agama yang berfungsi untuk mengendalikan diri dari godaan hawa nafsu dan menjadi tiang penyangga bagi kemaslahatan dan keutuhan Negara. </w:t>
      </w:r>
      <w:r w:rsidR="00C008BA" w:rsidRPr="00524FFA">
        <w:rPr>
          <w:rFonts w:ascii="Times New Roman" w:hAnsi="Times New Roman" w:cs="Times New Roman"/>
          <w:i/>
          <w:iCs/>
          <w:sz w:val="24"/>
          <w:szCs w:val="24"/>
        </w:rPr>
        <w:t>Kedua,</w:t>
      </w:r>
      <w:r w:rsidR="00C008BA">
        <w:rPr>
          <w:rFonts w:ascii="Times New Roman" w:hAnsi="Times New Roman" w:cs="Times New Roman"/>
          <w:sz w:val="24"/>
          <w:szCs w:val="24"/>
        </w:rPr>
        <w:t xml:space="preserve"> </w:t>
      </w:r>
      <w:r>
        <w:rPr>
          <w:rFonts w:ascii="Times New Roman" w:hAnsi="Times New Roman" w:cs="Times New Roman"/>
          <w:sz w:val="24"/>
          <w:szCs w:val="24"/>
        </w:rPr>
        <w:t>n</w:t>
      </w:r>
      <w:r w:rsidR="00C008BA">
        <w:rPr>
          <w:rFonts w:ascii="Times New Roman" w:hAnsi="Times New Roman" w:cs="Times New Roman"/>
          <w:sz w:val="24"/>
          <w:szCs w:val="24"/>
        </w:rPr>
        <w:t xml:space="preserve">egara yang harus memiliki </w:t>
      </w:r>
      <w:r>
        <w:rPr>
          <w:rFonts w:ascii="Times New Roman" w:hAnsi="Times New Roman" w:cs="Times New Roman"/>
          <w:sz w:val="24"/>
          <w:szCs w:val="24"/>
        </w:rPr>
        <w:t>r</w:t>
      </w:r>
      <w:r w:rsidR="00C008BA">
        <w:rPr>
          <w:rFonts w:ascii="Times New Roman" w:hAnsi="Times New Roman" w:cs="Times New Roman"/>
          <w:sz w:val="24"/>
          <w:szCs w:val="24"/>
        </w:rPr>
        <w:t>aja yang berkuasa. Ia berperan mengintegras</w:t>
      </w:r>
      <w:r w:rsidR="00B5311F">
        <w:rPr>
          <w:rFonts w:ascii="Times New Roman" w:hAnsi="Times New Roman" w:cs="Times New Roman"/>
          <w:sz w:val="24"/>
          <w:szCs w:val="24"/>
        </w:rPr>
        <w:t xml:space="preserve">ikan keinginan-keinginan rakyat </w:t>
      </w:r>
      <w:r w:rsidR="00C008BA">
        <w:rPr>
          <w:rFonts w:ascii="Times New Roman" w:hAnsi="Times New Roman" w:cs="Times New Roman"/>
          <w:sz w:val="24"/>
          <w:szCs w:val="24"/>
        </w:rPr>
        <w:t xml:space="preserve">yang beragam, membimbing Negara merealisir tujuan, memelihara agama, melindungi keamanan dan sumber rezeki rakyat. </w:t>
      </w:r>
      <w:r w:rsidR="00C008BA" w:rsidRPr="00524FFA">
        <w:rPr>
          <w:rFonts w:ascii="Times New Roman" w:hAnsi="Times New Roman" w:cs="Times New Roman"/>
          <w:i/>
          <w:iCs/>
          <w:sz w:val="24"/>
          <w:szCs w:val="24"/>
        </w:rPr>
        <w:t>Ketiga</w:t>
      </w:r>
      <w:r w:rsidR="00C008BA">
        <w:rPr>
          <w:rFonts w:ascii="Times New Roman" w:hAnsi="Times New Roman" w:cs="Times New Roman"/>
          <w:sz w:val="24"/>
          <w:szCs w:val="24"/>
        </w:rPr>
        <w:t xml:space="preserve">, </w:t>
      </w:r>
      <w:r w:rsidRPr="00303222">
        <w:rPr>
          <w:rFonts w:ascii="Times New Roman" w:hAnsi="Times New Roman" w:cs="Times New Roman"/>
          <w:sz w:val="24"/>
          <w:szCs w:val="24"/>
        </w:rPr>
        <w:t>k</w:t>
      </w:r>
      <w:r w:rsidR="00C008BA" w:rsidRPr="00303222">
        <w:rPr>
          <w:rFonts w:ascii="Times New Roman" w:hAnsi="Times New Roman" w:cs="Times New Roman"/>
          <w:sz w:val="24"/>
          <w:szCs w:val="24"/>
        </w:rPr>
        <w:t>eadilan yang menyeluruh</w:t>
      </w:r>
      <w:r w:rsidR="00C008BA">
        <w:rPr>
          <w:rFonts w:ascii="Times New Roman" w:hAnsi="Times New Roman" w:cs="Times New Roman"/>
          <w:sz w:val="24"/>
          <w:szCs w:val="24"/>
        </w:rPr>
        <w:t xml:space="preserve">. Terwujudnya keadilan akan menciptakan persatuan, membangkitkan kesetiaan rakyat, memakmurkan negeri, yang akhirnya mengamankan kedudukan penguasa. </w:t>
      </w:r>
      <w:r w:rsidR="00C008BA" w:rsidRPr="001258B0">
        <w:rPr>
          <w:rFonts w:ascii="Times New Roman" w:hAnsi="Times New Roman" w:cs="Times New Roman"/>
          <w:i/>
          <w:iCs/>
          <w:sz w:val="24"/>
          <w:szCs w:val="24"/>
        </w:rPr>
        <w:t>Keempat</w:t>
      </w:r>
      <w:r w:rsidR="00C008BA">
        <w:rPr>
          <w:rFonts w:ascii="Times New Roman" w:hAnsi="Times New Roman" w:cs="Times New Roman"/>
          <w:sz w:val="24"/>
          <w:szCs w:val="24"/>
        </w:rPr>
        <w:t xml:space="preserve">, </w:t>
      </w:r>
      <w:r>
        <w:rPr>
          <w:rFonts w:ascii="Times New Roman" w:hAnsi="Times New Roman" w:cs="Times New Roman"/>
          <w:sz w:val="24"/>
          <w:szCs w:val="24"/>
        </w:rPr>
        <w:t>k</w:t>
      </w:r>
      <w:r w:rsidR="00C008BA">
        <w:rPr>
          <w:rFonts w:ascii="Times New Roman" w:hAnsi="Times New Roman" w:cs="Times New Roman"/>
          <w:sz w:val="24"/>
          <w:szCs w:val="24"/>
        </w:rPr>
        <w:t xml:space="preserve">eamanan </w:t>
      </w:r>
      <w:r>
        <w:rPr>
          <w:rFonts w:ascii="Times New Roman" w:hAnsi="Times New Roman" w:cs="Times New Roman"/>
          <w:sz w:val="24"/>
          <w:szCs w:val="24"/>
        </w:rPr>
        <w:t>n</w:t>
      </w:r>
      <w:r w:rsidR="00C008BA">
        <w:rPr>
          <w:rFonts w:ascii="Times New Roman" w:hAnsi="Times New Roman" w:cs="Times New Roman"/>
          <w:sz w:val="24"/>
          <w:szCs w:val="24"/>
        </w:rPr>
        <w:t xml:space="preserve">egara. Keamanan akan mewujudkan ketenteraman batin rakyat dan cita-cita mereka dalam memperoleh kemaslahatan hidup. Keamanan </w:t>
      </w:r>
      <w:r w:rsidR="00C008BA">
        <w:rPr>
          <w:rFonts w:ascii="Times New Roman" w:hAnsi="Times New Roman" w:cs="Times New Roman"/>
          <w:sz w:val="24"/>
          <w:szCs w:val="24"/>
        </w:rPr>
        <w:lastRenderedPageBreak/>
        <w:t xml:space="preserve">adalah produk keadilan, dan aniaya adalah produk dari ketidak adilan. </w:t>
      </w:r>
      <w:r w:rsidR="00C008BA" w:rsidRPr="006A252E">
        <w:rPr>
          <w:rFonts w:ascii="Times New Roman" w:hAnsi="Times New Roman" w:cs="Times New Roman"/>
          <w:i/>
          <w:iCs/>
          <w:sz w:val="24"/>
          <w:szCs w:val="24"/>
        </w:rPr>
        <w:t>Kelima</w:t>
      </w:r>
      <w:r w:rsidR="00C008BA">
        <w:rPr>
          <w:rFonts w:ascii="Times New Roman" w:hAnsi="Times New Roman" w:cs="Times New Roman"/>
          <w:sz w:val="24"/>
          <w:szCs w:val="24"/>
        </w:rPr>
        <w:t xml:space="preserve">, </w:t>
      </w:r>
      <w:r>
        <w:rPr>
          <w:rFonts w:ascii="Times New Roman" w:hAnsi="Times New Roman" w:cs="Times New Roman"/>
          <w:sz w:val="24"/>
          <w:szCs w:val="24"/>
        </w:rPr>
        <w:t>w</w:t>
      </w:r>
      <w:r w:rsidR="00C008BA">
        <w:rPr>
          <w:rFonts w:ascii="Times New Roman" w:hAnsi="Times New Roman" w:cs="Times New Roman"/>
          <w:sz w:val="24"/>
          <w:szCs w:val="24"/>
        </w:rPr>
        <w:t xml:space="preserve">ilayah yang memiliki tanah subur. Tanah subur merupakan salah satu potensi yang dapat memberikan kesejahteraan atau kekayaan materil kepada rakyat dan </w:t>
      </w:r>
      <w:r>
        <w:rPr>
          <w:rFonts w:ascii="Times New Roman" w:hAnsi="Times New Roman" w:cs="Times New Roman"/>
          <w:sz w:val="24"/>
          <w:szCs w:val="24"/>
        </w:rPr>
        <w:t>n</w:t>
      </w:r>
      <w:r w:rsidR="00C008BA">
        <w:rPr>
          <w:rFonts w:ascii="Times New Roman" w:hAnsi="Times New Roman" w:cs="Times New Roman"/>
          <w:sz w:val="24"/>
          <w:szCs w:val="24"/>
        </w:rPr>
        <w:t xml:space="preserve">egara. </w:t>
      </w:r>
      <w:r w:rsidR="00C008BA" w:rsidRPr="006A252E">
        <w:rPr>
          <w:rFonts w:ascii="Times New Roman" w:hAnsi="Times New Roman" w:cs="Times New Roman"/>
          <w:i/>
          <w:iCs/>
          <w:sz w:val="24"/>
          <w:szCs w:val="24"/>
        </w:rPr>
        <w:t>Keenam</w:t>
      </w:r>
      <w:r w:rsidR="00C008BA">
        <w:rPr>
          <w:rFonts w:ascii="Times New Roman" w:hAnsi="Times New Roman" w:cs="Times New Roman"/>
          <w:sz w:val="24"/>
          <w:szCs w:val="24"/>
        </w:rPr>
        <w:t xml:space="preserve">, harapan yang optimis. Generasi sekarang punya ikatan erat dengan generasi akan datang, maka generasi sekarang pewaris generasi lalu. Karenanya harus dipersiapkan generasi yang bersikap optimis sehingga ia mampu mencukupi kebutuhannya. Sebaliknya generasi yang pesimis akan digilas oleh waktu dan perkembangan zaman dan tak mungkin bertahan. </w:t>
      </w:r>
      <w:r w:rsidR="00C008BA">
        <w:rPr>
          <w:rStyle w:val="FootnoteReference"/>
          <w:rFonts w:ascii="Times New Roman" w:hAnsi="Times New Roman" w:cs="Times New Roman"/>
          <w:sz w:val="24"/>
          <w:szCs w:val="24"/>
        </w:rPr>
        <w:footnoteReference w:id="120"/>
      </w:r>
    </w:p>
    <w:p w:rsidR="004E7256" w:rsidRPr="00C85834" w:rsidRDefault="004E7256" w:rsidP="00CF0D47">
      <w:pPr>
        <w:pStyle w:val="ListParagraph"/>
        <w:spacing w:after="0" w:line="360" w:lineRule="auto"/>
        <w:ind w:left="0" w:firstLine="630"/>
        <w:jc w:val="both"/>
        <w:rPr>
          <w:i/>
          <w:iCs/>
          <w:sz w:val="24"/>
          <w:szCs w:val="24"/>
          <w:u w:val="single"/>
          <w:lang w:val="sv-SE"/>
        </w:rPr>
      </w:pPr>
      <w:r w:rsidRPr="00C85834">
        <w:rPr>
          <w:rFonts w:asciiTheme="majorBidi" w:hAnsiTheme="majorBidi" w:cstheme="majorBidi"/>
          <w:sz w:val="24"/>
          <w:szCs w:val="24"/>
          <w:lang w:val="sv-SE"/>
        </w:rPr>
        <w:t xml:space="preserve">Dalam landasan dasar teori </w:t>
      </w:r>
      <w:r w:rsidR="00B84BDE" w:rsidRPr="00C85834">
        <w:rPr>
          <w:rFonts w:asciiTheme="majorBidi" w:hAnsiTheme="majorBidi" w:cstheme="majorBidi"/>
          <w:i/>
          <w:iCs/>
          <w:sz w:val="24"/>
          <w:szCs w:val="24"/>
          <w:lang w:val="sv-SE"/>
        </w:rPr>
        <w:t>siyāsah</w:t>
      </w:r>
      <w:r w:rsidR="00B84BDE" w:rsidRPr="00C85834">
        <w:rPr>
          <w:rFonts w:ascii="Times New Roman" w:hAnsi="Times New Roman" w:cs="Times New Roman"/>
          <w:i/>
          <w:iCs/>
          <w:sz w:val="24"/>
          <w:szCs w:val="24"/>
        </w:rPr>
        <w:t xml:space="preserve"> syar‘iyyah</w:t>
      </w:r>
      <w:r w:rsidR="00B84BDE" w:rsidRPr="00C85834">
        <w:rPr>
          <w:rFonts w:ascii="Times New Roman" w:hAnsi="Times New Roman" w:cs="Times New Roman"/>
          <w:sz w:val="24"/>
          <w:szCs w:val="24"/>
        </w:rPr>
        <w:t xml:space="preserve"> </w:t>
      </w:r>
      <w:r w:rsidRPr="00C85834">
        <w:rPr>
          <w:rFonts w:asciiTheme="majorBidi" w:hAnsiTheme="majorBidi" w:cstheme="majorBidi"/>
          <w:sz w:val="24"/>
          <w:szCs w:val="24"/>
          <w:lang w:val="sv-SE"/>
        </w:rPr>
        <w:t>klasik mengharuskan suatu kebijakan itu</w:t>
      </w:r>
      <w:r w:rsidR="00B84BDE" w:rsidRPr="00C85834">
        <w:rPr>
          <w:rFonts w:asciiTheme="majorBidi" w:hAnsiTheme="majorBidi" w:cstheme="majorBidi"/>
          <w:sz w:val="24"/>
          <w:szCs w:val="24"/>
          <w:lang w:val="sv-SE"/>
        </w:rPr>
        <w:t xml:space="preserve"> harus dilandasi beberapa hal</w:t>
      </w:r>
      <w:r w:rsidRPr="00C85834">
        <w:rPr>
          <w:rFonts w:asciiTheme="majorBidi" w:hAnsiTheme="majorBidi" w:cstheme="majorBidi"/>
          <w:sz w:val="24"/>
          <w:szCs w:val="24"/>
          <w:lang w:val="sv-SE"/>
        </w:rPr>
        <w:t xml:space="preserve">; 1) </w:t>
      </w:r>
      <w:r w:rsidR="00CF0D47" w:rsidRPr="00C85834">
        <w:rPr>
          <w:rFonts w:asciiTheme="majorBidi" w:hAnsiTheme="majorBidi" w:cstheme="majorBidi"/>
          <w:sz w:val="24"/>
          <w:szCs w:val="24"/>
          <w:lang w:val="sv-SE"/>
        </w:rPr>
        <w:t>T</w:t>
      </w:r>
      <w:r w:rsidRPr="00C85834">
        <w:rPr>
          <w:rFonts w:asciiTheme="majorBidi" w:hAnsiTheme="majorBidi" w:cstheme="majorBidi"/>
          <w:sz w:val="24"/>
          <w:szCs w:val="24"/>
          <w:lang w:val="sv-SE"/>
        </w:rPr>
        <w:t>idak ber</w:t>
      </w:r>
      <w:r w:rsidR="00CF0D47">
        <w:rPr>
          <w:rFonts w:asciiTheme="majorBidi" w:hAnsiTheme="majorBidi" w:cstheme="majorBidi"/>
          <w:sz w:val="24"/>
          <w:szCs w:val="24"/>
          <w:lang w:val="sv-SE"/>
        </w:rPr>
        <w:t>tentangan dengan syariat Islam;</w:t>
      </w:r>
      <w:r w:rsidRPr="00C85834">
        <w:rPr>
          <w:rFonts w:asciiTheme="majorBidi" w:hAnsiTheme="majorBidi" w:cstheme="majorBidi"/>
          <w:sz w:val="24"/>
          <w:szCs w:val="24"/>
          <w:lang w:val="sv-SE"/>
        </w:rPr>
        <w:t>2) Meletakkan persamaan k</w:t>
      </w:r>
      <w:r w:rsidR="00B5311F">
        <w:rPr>
          <w:rFonts w:asciiTheme="majorBidi" w:hAnsiTheme="majorBidi" w:cstheme="majorBidi"/>
          <w:sz w:val="24"/>
          <w:szCs w:val="24"/>
          <w:lang w:val="sv-SE"/>
        </w:rPr>
        <w:t>edudukan manusia di depan hukum</w:t>
      </w:r>
      <w:r w:rsidR="00CF108C">
        <w:rPr>
          <w:rFonts w:asciiTheme="majorBidi" w:hAnsiTheme="majorBidi" w:cstheme="majorBidi"/>
          <w:sz w:val="24"/>
          <w:szCs w:val="24"/>
          <w:lang w:val="sv-SE"/>
        </w:rPr>
        <w:t xml:space="preserve"> </w:t>
      </w:r>
      <w:r w:rsidRPr="00C85834">
        <w:rPr>
          <w:rFonts w:asciiTheme="majorBidi" w:hAnsiTheme="majorBidi" w:cstheme="majorBidi"/>
          <w:sz w:val="24"/>
          <w:szCs w:val="24"/>
          <w:lang w:val="sv-SE"/>
        </w:rPr>
        <w:t>(</w:t>
      </w:r>
      <w:r w:rsidRPr="00C85834">
        <w:rPr>
          <w:rFonts w:asciiTheme="majorBidi" w:hAnsiTheme="majorBidi" w:cstheme="majorBidi"/>
          <w:i/>
          <w:iCs/>
          <w:sz w:val="24"/>
          <w:szCs w:val="24"/>
          <w:lang w:val="sv-SE"/>
        </w:rPr>
        <w:t>al-</w:t>
      </w:r>
      <w:r w:rsidR="00B84BDE" w:rsidRPr="00C85834">
        <w:rPr>
          <w:rFonts w:asciiTheme="majorBidi" w:hAnsiTheme="majorBidi" w:cstheme="majorBidi"/>
          <w:i/>
          <w:iCs/>
          <w:sz w:val="24"/>
          <w:szCs w:val="24"/>
          <w:lang w:val="sv-SE"/>
        </w:rPr>
        <w:t>m</w:t>
      </w:r>
      <w:r w:rsidRPr="00C85834">
        <w:rPr>
          <w:rFonts w:asciiTheme="majorBidi" w:hAnsiTheme="majorBidi" w:cstheme="majorBidi"/>
          <w:i/>
          <w:iCs/>
          <w:sz w:val="24"/>
          <w:szCs w:val="24"/>
          <w:lang w:val="sv-SE"/>
        </w:rPr>
        <w:t>us</w:t>
      </w:r>
      <w:r w:rsidR="00B84BDE" w:rsidRPr="00C85834">
        <w:rPr>
          <w:rFonts w:asciiTheme="majorBidi" w:hAnsiTheme="majorBidi" w:cstheme="majorBidi"/>
          <w:i/>
          <w:iCs/>
          <w:sz w:val="24"/>
          <w:szCs w:val="24"/>
          <w:lang w:val="sv-SE"/>
        </w:rPr>
        <w:t>ā</w:t>
      </w:r>
      <w:r w:rsidRPr="00C85834">
        <w:rPr>
          <w:rFonts w:asciiTheme="majorBidi" w:hAnsiTheme="majorBidi" w:cstheme="majorBidi"/>
          <w:i/>
          <w:iCs/>
          <w:sz w:val="24"/>
          <w:szCs w:val="24"/>
          <w:lang w:val="sv-SE"/>
        </w:rPr>
        <w:t>wah</w:t>
      </w:r>
      <w:r w:rsidR="00CF0D47">
        <w:rPr>
          <w:rFonts w:asciiTheme="majorBidi" w:hAnsiTheme="majorBidi" w:cstheme="majorBidi"/>
          <w:sz w:val="24"/>
          <w:szCs w:val="24"/>
          <w:lang w:val="sv-SE"/>
        </w:rPr>
        <w:t>).</w:t>
      </w:r>
      <w:r w:rsidR="00B84BDE" w:rsidRPr="00C85834">
        <w:rPr>
          <w:rFonts w:asciiTheme="majorBidi" w:hAnsiTheme="majorBidi" w:cstheme="majorBidi"/>
          <w:sz w:val="24"/>
          <w:szCs w:val="24"/>
          <w:lang w:val="sv-SE"/>
        </w:rPr>
        <w:t xml:space="preserve">3) </w:t>
      </w:r>
      <w:r w:rsidR="0053360D">
        <w:rPr>
          <w:rFonts w:asciiTheme="majorBidi" w:hAnsiTheme="majorBidi" w:cstheme="majorBidi"/>
          <w:sz w:val="24"/>
          <w:szCs w:val="24"/>
          <w:lang w:val="sv-SE"/>
        </w:rPr>
        <w:t xml:space="preserve">Tidak </w:t>
      </w:r>
      <w:r w:rsidRPr="00C85834">
        <w:rPr>
          <w:rFonts w:asciiTheme="majorBidi" w:hAnsiTheme="majorBidi" w:cstheme="majorBidi"/>
          <w:sz w:val="24"/>
          <w:szCs w:val="24"/>
          <w:lang w:val="sv-SE"/>
        </w:rPr>
        <w:t>memberatkan masyarakat yang akan melaksanakannya (</w:t>
      </w:r>
      <w:r w:rsidR="00CF108C">
        <w:rPr>
          <w:rFonts w:asciiTheme="majorBidi" w:hAnsiTheme="majorBidi" w:cstheme="majorBidi"/>
          <w:i/>
          <w:iCs/>
          <w:sz w:val="24"/>
          <w:szCs w:val="24"/>
          <w:lang w:val="sv-SE"/>
        </w:rPr>
        <w:t xml:space="preserve">‘adam </w:t>
      </w:r>
      <w:r w:rsidRPr="00C85834">
        <w:rPr>
          <w:rFonts w:asciiTheme="majorBidi" w:hAnsiTheme="majorBidi" w:cstheme="majorBidi"/>
          <w:i/>
          <w:iCs/>
          <w:sz w:val="24"/>
          <w:szCs w:val="24"/>
          <w:lang w:val="sv-SE"/>
        </w:rPr>
        <w:t>al-</w:t>
      </w:r>
      <w:r w:rsidRPr="00C85834">
        <w:rPr>
          <w:rFonts w:asciiTheme="majorBidi" w:hAnsiTheme="majorBidi" w:cstheme="majorBidi"/>
          <w:i/>
          <w:iCs/>
          <w:sz w:val="24"/>
          <w:szCs w:val="24"/>
          <w:u w:val="single"/>
          <w:lang w:val="id-ID"/>
        </w:rPr>
        <w:t>h</w:t>
      </w:r>
      <w:r w:rsidRPr="00C85834">
        <w:rPr>
          <w:rFonts w:asciiTheme="majorBidi" w:hAnsiTheme="majorBidi" w:cstheme="majorBidi"/>
          <w:i/>
          <w:iCs/>
          <w:sz w:val="24"/>
          <w:szCs w:val="24"/>
          <w:lang w:val="sv-SE"/>
        </w:rPr>
        <w:t>arj</w:t>
      </w:r>
      <w:r w:rsidR="00CF108C">
        <w:rPr>
          <w:rFonts w:asciiTheme="majorBidi" w:hAnsiTheme="majorBidi" w:cstheme="majorBidi"/>
          <w:sz w:val="24"/>
          <w:szCs w:val="24"/>
          <w:lang w:val="sv-SE"/>
        </w:rPr>
        <w:t>)</w:t>
      </w:r>
      <w:r w:rsidRPr="00C85834">
        <w:rPr>
          <w:rFonts w:asciiTheme="majorBidi" w:hAnsiTheme="majorBidi" w:cstheme="majorBidi"/>
          <w:sz w:val="24"/>
          <w:szCs w:val="24"/>
          <w:lang w:val="sv-SE"/>
        </w:rPr>
        <w:t xml:space="preserve"> 4) Menciptakan rasa keadilan dalam masyarakat (</w:t>
      </w:r>
      <w:r w:rsidR="00B84BDE" w:rsidRPr="00C85834">
        <w:rPr>
          <w:rFonts w:asciiTheme="majorBidi" w:hAnsiTheme="majorBidi" w:cstheme="majorBidi"/>
          <w:i/>
          <w:iCs/>
          <w:sz w:val="24"/>
          <w:szCs w:val="24"/>
          <w:lang w:val="sv-SE"/>
        </w:rPr>
        <w:t>ta</w:t>
      </w:r>
      <w:r w:rsidR="00B84BDE" w:rsidRPr="00C85834">
        <w:rPr>
          <w:rFonts w:asciiTheme="majorBidi" w:hAnsiTheme="majorBidi" w:cstheme="majorBidi"/>
          <w:i/>
          <w:iCs/>
          <w:sz w:val="24"/>
          <w:szCs w:val="24"/>
          <w:u w:val="single"/>
          <w:lang w:val="id-ID"/>
        </w:rPr>
        <w:t>h</w:t>
      </w:r>
      <w:r w:rsidR="00B84BDE" w:rsidRPr="00C85834">
        <w:rPr>
          <w:rFonts w:asciiTheme="majorBidi" w:hAnsiTheme="majorBidi" w:cstheme="majorBidi"/>
          <w:i/>
          <w:iCs/>
          <w:sz w:val="24"/>
          <w:szCs w:val="24"/>
          <w:lang w:val="sv-SE"/>
        </w:rPr>
        <w:t xml:space="preserve">qīq </w:t>
      </w:r>
      <w:r w:rsidRPr="00C85834">
        <w:rPr>
          <w:rFonts w:asciiTheme="majorBidi" w:hAnsiTheme="majorBidi" w:cstheme="majorBidi"/>
          <w:i/>
          <w:iCs/>
          <w:sz w:val="24"/>
          <w:szCs w:val="24"/>
          <w:lang w:val="sv-SE"/>
        </w:rPr>
        <w:t>al-‘ad</w:t>
      </w:r>
      <w:r w:rsidR="00C85834" w:rsidRPr="00C85834">
        <w:rPr>
          <w:rFonts w:asciiTheme="majorBidi" w:hAnsiTheme="majorBidi" w:cstheme="majorBidi"/>
          <w:i/>
          <w:iCs/>
          <w:sz w:val="24"/>
          <w:szCs w:val="24"/>
          <w:lang w:val="sv-SE"/>
        </w:rPr>
        <w:t>ā</w:t>
      </w:r>
      <w:r w:rsidRPr="00C85834">
        <w:rPr>
          <w:rFonts w:asciiTheme="majorBidi" w:hAnsiTheme="majorBidi" w:cstheme="majorBidi"/>
          <w:i/>
          <w:iCs/>
          <w:sz w:val="24"/>
          <w:szCs w:val="24"/>
          <w:lang w:val="sv-SE"/>
        </w:rPr>
        <w:t>lah</w:t>
      </w:r>
      <w:r w:rsidRPr="00C85834">
        <w:rPr>
          <w:rFonts w:asciiTheme="majorBidi" w:hAnsiTheme="majorBidi" w:cstheme="majorBidi"/>
          <w:sz w:val="24"/>
          <w:szCs w:val="24"/>
          <w:lang w:val="sv-SE"/>
        </w:rPr>
        <w:t xml:space="preserve">), 5) Menciptakan kemaslahatan dan menolak kemudharatan </w:t>
      </w:r>
      <w:r w:rsidR="00C85834" w:rsidRPr="00C85834">
        <w:rPr>
          <w:rFonts w:asciiTheme="majorBidi" w:hAnsiTheme="majorBidi" w:cstheme="majorBidi"/>
          <w:sz w:val="24"/>
          <w:szCs w:val="24"/>
          <w:lang w:val="sv-SE"/>
        </w:rPr>
        <w:t xml:space="preserve">( </w:t>
      </w:r>
      <w:r w:rsidR="00C85834" w:rsidRPr="00C85834">
        <w:rPr>
          <w:rFonts w:asciiTheme="majorBidi" w:hAnsiTheme="majorBidi" w:cstheme="majorBidi"/>
          <w:i/>
          <w:iCs/>
          <w:sz w:val="24"/>
          <w:szCs w:val="24"/>
          <w:lang w:val="sv-SE"/>
        </w:rPr>
        <w:t>jalb al-ma</w:t>
      </w:r>
      <w:r w:rsidR="00C85834" w:rsidRPr="00C85834">
        <w:rPr>
          <w:rFonts w:asciiTheme="majorBidi" w:hAnsiTheme="majorBidi" w:cstheme="majorBidi"/>
          <w:i/>
          <w:iCs/>
          <w:color w:val="222222"/>
          <w:sz w:val="24"/>
          <w:szCs w:val="24"/>
          <w:lang w:val="sv-SE"/>
        </w:rPr>
        <w:t>ṣ</w:t>
      </w:r>
      <w:r w:rsidR="00C85834" w:rsidRPr="00C85834">
        <w:rPr>
          <w:rFonts w:asciiTheme="majorBidi" w:hAnsiTheme="majorBidi" w:cstheme="majorBidi"/>
          <w:i/>
          <w:iCs/>
          <w:sz w:val="24"/>
          <w:szCs w:val="24"/>
          <w:lang w:val="sv-SE"/>
        </w:rPr>
        <w:t>āli</w:t>
      </w:r>
      <w:r w:rsidR="00C85834" w:rsidRPr="00C85834">
        <w:rPr>
          <w:rFonts w:asciiTheme="majorBidi" w:hAnsiTheme="majorBidi" w:cstheme="majorBidi"/>
          <w:i/>
          <w:iCs/>
          <w:sz w:val="24"/>
          <w:szCs w:val="24"/>
          <w:u w:val="single"/>
          <w:lang w:val="sv-SE"/>
        </w:rPr>
        <w:t>h</w:t>
      </w:r>
      <w:r w:rsidR="00CF0D47">
        <w:rPr>
          <w:rFonts w:asciiTheme="majorBidi" w:hAnsiTheme="majorBidi" w:cstheme="majorBidi"/>
          <w:i/>
          <w:iCs/>
          <w:sz w:val="24"/>
          <w:szCs w:val="24"/>
          <w:u w:val="single"/>
          <w:lang w:val="sv-SE"/>
        </w:rPr>
        <w:t xml:space="preserve"> </w:t>
      </w:r>
      <w:r w:rsidR="00C85834" w:rsidRPr="00C85834">
        <w:rPr>
          <w:rFonts w:asciiTheme="majorBidi" w:hAnsiTheme="majorBidi" w:cstheme="majorBidi"/>
          <w:i/>
          <w:iCs/>
          <w:sz w:val="24"/>
          <w:szCs w:val="24"/>
          <w:lang w:val="sv-SE"/>
        </w:rPr>
        <w:t>wa daf</w:t>
      </w:r>
      <w:r w:rsidR="00C85834" w:rsidRPr="00C85834">
        <w:rPr>
          <w:rFonts w:asciiTheme="majorBidi" w:hAnsiTheme="majorBidi" w:cstheme="majorBidi"/>
          <w:sz w:val="24"/>
          <w:szCs w:val="24"/>
          <w:lang w:val="sv-SE"/>
        </w:rPr>
        <w:t>‘</w:t>
      </w:r>
      <w:r w:rsidR="00C85834" w:rsidRPr="00C85834">
        <w:rPr>
          <w:rFonts w:asciiTheme="majorBidi" w:hAnsiTheme="majorBidi" w:cstheme="majorBidi"/>
          <w:i/>
          <w:iCs/>
          <w:sz w:val="24"/>
          <w:szCs w:val="24"/>
          <w:lang w:val="sv-SE"/>
        </w:rPr>
        <w:t>u al- mafāsid</w:t>
      </w:r>
      <w:r w:rsidRPr="00C85834">
        <w:rPr>
          <w:rFonts w:asciiTheme="majorBidi" w:hAnsiTheme="majorBidi" w:cstheme="majorBidi"/>
          <w:sz w:val="24"/>
          <w:szCs w:val="24"/>
          <w:lang w:val="sv-SE"/>
        </w:rPr>
        <w:t>)</w:t>
      </w:r>
      <w:r w:rsidR="00C85834">
        <w:rPr>
          <w:rFonts w:asciiTheme="majorBidi" w:hAnsiTheme="majorBidi" w:cstheme="majorBidi"/>
          <w:sz w:val="24"/>
          <w:szCs w:val="24"/>
          <w:lang w:val="sv-SE"/>
        </w:rPr>
        <w:t>.</w:t>
      </w:r>
      <w:r w:rsidRPr="00C85834">
        <w:rPr>
          <w:rStyle w:val="FootnoteReference"/>
          <w:rFonts w:asciiTheme="majorBidi" w:hAnsiTheme="majorBidi" w:cstheme="majorBidi"/>
          <w:sz w:val="24"/>
          <w:szCs w:val="24"/>
        </w:rPr>
        <w:footnoteReference w:id="121"/>
      </w:r>
      <w:r w:rsidRPr="00C85834">
        <w:rPr>
          <w:rFonts w:asciiTheme="majorBidi" w:hAnsiTheme="majorBidi" w:cstheme="majorBidi"/>
          <w:sz w:val="24"/>
          <w:szCs w:val="24"/>
          <w:lang w:val="sv-SE"/>
        </w:rPr>
        <w:t xml:space="preserve"> </w:t>
      </w:r>
    </w:p>
    <w:p w:rsidR="00C008BA" w:rsidRPr="00615429" w:rsidRDefault="00C008BA" w:rsidP="0053360D">
      <w:pPr>
        <w:spacing w:after="0" w:line="360" w:lineRule="auto"/>
        <w:ind w:firstLine="630"/>
        <w:jc w:val="both"/>
        <w:rPr>
          <w:rFonts w:ascii="Times New Roman" w:hAnsi="Times New Roman" w:cs="Times New Roman"/>
          <w:sz w:val="24"/>
          <w:szCs w:val="24"/>
          <w:lang w:val="sv-SE"/>
        </w:rPr>
      </w:pPr>
      <w:r w:rsidRPr="004E7256">
        <w:rPr>
          <w:rFonts w:ascii="Times New Roman" w:hAnsi="Times New Roman" w:cs="Times New Roman"/>
          <w:sz w:val="24"/>
          <w:szCs w:val="24"/>
          <w:lang w:val="sv-SE"/>
        </w:rPr>
        <w:t xml:space="preserve">Dalam kaitannya dengan pembentukan suatu </w:t>
      </w:r>
      <w:r w:rsidR="00C85834" w:rsidRPr="004E7256">
        <w:rPr>
          <w:rFonts w:ascii="Times New Roman" w:hAnsi="Times New Roman" w:cs="Times New Roman"/>
          <w:sz w:val="24"/>
          <w:szCs w:val="24"/>
          <w:lang w:val="sv-SE"/>
        </w:rPr>
        <w:t>n</w:t>
      </w:r>
      <w:r w:rsidRPr="004E7256">
        <w:rPr>
          <w:rFonts w:ascii="Times New Roman" w:hAnsi="Times New Roman" w:cs="Times New Roman"/>
          <w:sz w:val="24"/>
          <w:szCs w:val="24"/>
          <w:lang w:val="sv-SE"/>
        </w:rPr>
        <w:t>egara, Al-Mawardi berpendapat bahwa manusia itu adalah makhluk sosial, tidak mungkin seseorang mampu mencukupi hajat hidupnya sendiri, kecuali berhubungan dengan orang lain.</w:t>
      </w:r>
      <w:r>
        <w:rPr>
          <w:rStyle w:val="FootnoteReference"/>
          <w:rFonts w:ascii="Times New Roman" w:hAnsi="Times New Roman" w:cs="Times New Roman"/>
          <w:sz w:val="24"/>
          <w:szCs w:val="24"/>
        </w:rPr>
        <w:footnoteReference w:id="122"/>
      </w:r>
      <w:r w:rsidRPr="004E7256">
        <w:rPr>
          <w:rFonts w:ascii="Times New Roman" w:hAnsi="Times New Roman" w:cs="Times New Roman"/>
          <w:sz w:val="24"/>
          <w:szCs w:val="24"/>
          <w:lang w:val="sv-SE"/>
        </w:rPr>
        <w:t xml:space="preserve"> </w:t>
      </w:r>
      <w:r w:rsidRPr="00615429">
        <w:rPr>
          <w:rFonts w:ascii="Times New Roman" w:hAnsi="Times New Roman" w:cs="Times New Roman"/>
          <w:sz w:val="24"/>
          <w:szCs w:val="24"/>
          <w:lang w:val="sv-SE"/>
        </w:rPr>
        <w:t xml:space="preserve">Oleh sebeb itu dibutuhkan organisasi atau </w:t>
      </w:r>
      <w:r w:rsidR="00C85834" w:rsidRPr="00615429">
        <w:rPr>
          <w:rFonts w:ascii="Times New Roman" w:hAnsi="Times New Roman" w:cs="Times New Roman"/>
          <w:sz w:val="24"/>
          <w:szCs w:val="24"/>
          <w:lang w:val="sv-SE"/>
        </w:rPr>
        <w:t>n</w:t>
      </w:r>
      <w:r w:rsidRPr="00615429">
        <w:rPr>
          <w:rFonts w:ascii="Times New Roman" w:hAnsi="Times New Roman" w:cs="Times New Roman"/>
          <w:sz w:val="24"/>
          <w:szCs w:val="24"/>
          <w:lang w:val="sv-SE"/>
        </w:rPr>
        <w:t xml:space="preserve">egara. </w:t>
      </w:r>
    </w:p>
    <w:p w:rsidR="00C008BA" w:rsidRDefault="00C008BA" w:rsidP="00CF0D47">
      <w:pPr>
        <w:spacing w:after="0" w:line="360" w:lineRule="auto"/>
        <w:ind w:firstLine="630"/>
        <w:jc w:val="both"/>
        <w:rPr>
          <w:rFonts w:ascii="Times New Roman" w:hAnsi="Times New Roman" w:cs="Times New Roman"/>
          <w:sz w:val="24"/>
          <w:szCs w:val="24"/>
        </w:rPr>
      </w:pPr>
      <w:r w:rsidRPr="00615429">
        <w:rPr>
          <w:rFonts w:asciiTheme="majorBidi" w:hAnsiTheme="majorBidi" w:cstheme="majorBidi"/>
          <w:sz w:val="24"/>
          <w:szCs w:val="24"/>
          <w:lang w:val="sv-SE"/>
        </w:rPr>
        <w:t>Dalam teorinya al-Mawardi tidak mendikotomikan antara pemimpin politik dan pemimpin agama.</w:t>
      </w:r>
      <w:r w:rsidRPr="00615429">
        <w:rPr>
          <w:rFonts w:asciiTheme="minorBidi" w:hAnsiTheme="minorBidi"/>
          <w:sz w:val="24"/>
          <w:szCs w:val="24"/>
          <w:lang w:val="sv-SE"/>
        </w:rPr>
        <w:t xml:space="preserve"> </w:t>
      </w:r>
      <w:r w:rsidRPr="00615429">
        <w:rPr>
          <w:rFonts w:ascii="Times New Roman" w:hAnsi="Times New Roman" w:cs="Times New Roman"/>
          <w:sz w:val="24"/>
          <w:szCs w:val="24"/>
          <w:lang w:val="sv-SE"/>
        </w:rPr>
        <w:t xml:space="preserve">maka Imam atau khalifah, raja, sultan atau kepala </w:t>
      </w:r>
      <w:r w:rsidR="00C85834" w:rsidRPr="00615429">
        <w:rPr>
          <w:rFonts w:ascii="Times New Roman" w:hAnsi="Times New Roman" w:cs="Times New Roman"/>
          <w:sz w:val="24"/>
          <w:szCs w:val="24"/>
          <w:lang w:val="sv-SE"/>
        </w:rPr>
        <w:t>n</w:t>
      </w:r>
      <w:r w:rsidRPr="00615429">
        <w:rPr>
          <w:rFonts w:ascii="Times New Roman" w:hAnsi="Times New Roman" w:cs="Times New Roman"/>
          <w:sz w:val="24"/>
          <w:szCs w:val="24"/>
          <w:lang w:val="sv-SE"/>
        </w:rPr>
        <w:t xml:space="preserve">egara memegang dua kekuasaan sekaligus, kekuasaan politik mengatur </w:t>
      </w:r>
      <w:r w:rsidR="00C85834" w:rsidRPr="00615429">
        <w:rPr>
          <w:rFonts w:ascii="Times New Roman" w:hAnsi="Times New Roman" w:cs="Times New Roman"/>
          <w:sz w:val="24"/>
          <w:szCs w:val="24"/>
          <w:lang w:val="sv-SE"/>
        </w:rPr>
        <w:t>n</w:t>
      </w:r>
      <w:r w:rsidRPr="00615429">
        <w:rPr>
          <w:rFonts w:ascii="Times New Roman" w:hAnsi="Times New Roman" w:cs="Times New Roman"/>
          <w:sz w:val="24"/>
          <w:szCs w:val="24"/>
          <w:lang w:val="sv-SE"/>
        </w:rPr>
        <w:t xml:space="preserve">egara, </w:t>
      </w:r>
      <w:r w:rsidR="00C85834">
        <w:rPr>
          <w:rFonts w:ascii="Times New Roman" w:hAnsi="Times New Roman" w:cs="Times New Roman"/>
          <w:sz w:val="24"/>
          <w:szCs w:val="24"/>
          <w:lang w:val="sv-SE"/>
        </w:rPr>
        <w:t>dan kekuasaan agama. Hal ini tam</w:t>
      </w:r>
      <w:r w:rsidRPr="00615429">
        <w:rPr>
          <w:rFonts w:ascii="Times New Roman" w:hAnsi="Times New Roman" w:cs="Times New Roman"/>
          <w:sz w:val="24"/>
          <w:szCs w:val="24"/>
          <w:lang w:val="sv-SE"/>
        </w:rPr>
        <w:t xml:space="preserve">pak dalam pendahuluan kitabnya </w:t>
      </w:r>
      <w:r w:rsidRPr="00615429">
        <w:rPr>
          <w:rFonts w:ascii="Times New Roman" w:hAnsi="Times New Roman" w:cs="Times New Roman"/>
          <w:i/>
          <w:iCs/>
          <w:sz w:val="24"/>
          <w:szCs w:val="24"/>
          <w:lang w:val="sv-SE"/>
        </w:rPr>
        <w:t>Al-A</w:t>
      </w:r>
      <w:r w:rsidR="00C85834" w:rsidRPr="00C85834">
        <w:rPr>
          <w:rFonts w:asciiTheme="majorBidi" w:hAnsiTheme="majorBidi" w:cstheme="majorBidi"/>
          <w:i/>
          <w:iCs/>
          <w:sz w:val="24"/>
          <w:szCs w:val="24"/>
          <w:u w:val="single"/>
          <w:lang w:val="id-ID"/>
        </w:rPr>
        <w:t>h</w:t>
      </w:r>
      <w:r w:rsidRPr="00615429">
        <w:rPr>
          <w:rFonts w:ascii="Times New Roman" w:hAnsi="Times New Roman" w:cs="Times New Roman"/>
          <w:i/>
          <w:iCs/>
          <w:sz w:val="24"/>
          <w:szCs w:val="24"/>
          <w:lang w:val="sv-SE"/>
        </w:rPr>
        <w:t>k</w:t>
      </w:r>
      <w:r w:rsidR="00C85834" w:rsidRPr="00C85834">
        <w:rPr>
          <w:rFonts w:asciiTheme="majorBidi" w:hAnsiTheme="majorBidi" w:cstheme="majorBidi"/>
          <w:i/>
          <w:iCs/>
          <w:sz w:val="24"/>
          <w:szCs w:val="24"/>
          <w:lang w:val="sv-SE"/>
        </w:rPr>
        <w:t>ā</w:t>
      </w:r>
      <w:r w:rsidRPr="00615429">
        <w:rPr>
          <w:rFonts w:ascii="Times New Roman" w:hAnsi="Times New Roman" w:cs="Times New Roman"/>
          <w:i/>
          <w:iCs/>
          <w:sz w:val="24"/>
          <w:szCs w:val="24"/>
          <w:lang w:val="sv-SE"/>
        </w:rPr>
        <w:t>m al-Sulth</w:t>
      </w:r>
      <w:r w:rsidR="00C85834" w:rsidRPr="00C85834">
        <w:rPr>
          <w:rFonts w:asciiTheme="majorBidi" w:hAnsiTheme="majorBidi" w:cstheme="majorBidi"/>
          <w:i/>
          <w:iCs/>
          <w:sz w:val="24"/>
          <w:szCs w:val="24"/>
          <w:lang w:val="sv-SE"/>
        </w:rPr>
        <w:t>ā</w:t>
      </w:r>
      <w:r w:rsidRPr="00615429">
        <w:rPr>
          <w:rFonts w:ascii="Times New Roman" w:hAnsi="Times New Roman" w:cs="Times New Roman"/>
          <w:i/>
          <w:iCs/>
          <w:sz w:val="24"/>
          <w:szCs w:val="24"/>
          <w:lang w:val="sv-SE"/>
        </w:rPr>
        <w:t>niyah</w:t>
      </w:r>
      <w:r w:rsidRPr="00615429">
        <w:rPr>
          <w:rFonts w:ascii="Times New Roman" w:hAnsi="Times New Roman" w:cs="Times New Roman"/>
          <w:sz w:val="24"/>
          <w:szCs w:val="24"/>
          <w:lang w:val="sv-SE"/>
        </w:rPr>
        <w:t xml:space="preserve">” Sesungguhnya Allah menjadikan bagi umat seorang pemimpin untuk menggantikan fungsi Nabi untuk melindungi agama, dan Dia mempercayakan kepadanya memegang kekuasaan politik untuk mengelola urusan agama yang </w:t>
      </w:r>
      <w:r w:rsidRPr="00615429">
        <w:rPr>
          <w:rFonts w:ascii="Times New Roman" w:hAnsi="Times New Roman" w:cs="Times New Roman"/>
          <w:sz w:val="24"/>
          <w:szCs w:val="24"/>
          <w:lang w:val="sv-SE"/>
        </w:rPr>
        <w:lastRenderedPageBreak/>
        <w:t xml:space="preserve">disyari’atkan dan mengatur terwujudnya kemaslahatan umat. </w:t>
      </w:r>
      <w:r w:rsidRPr="00CF0D47">
        <w:rPr>
          <w:rFonts w:ascii="Times New Roman" w:hAnsi="Times New Roman" w:cs="Times New Roman"/>
          <w:sz w:val="24"/>
          <w:szCs w:val="24"/>
          <w:lang w:val="sv-SE"/>
        </w:rPr>
        <w:t>Di</w:t>
      </w:r>
      <w:r w:rsidR="00CF0D47" w:rsidRPr="00CF0D47">
        <w:rPr>
          <w:rFonts w:ascii="Times New Roman" w:hAnsi="Times New Roman" w:cs="Times New Roman"/>
          <w:sz w:val="24"/>
          <w:szCs w:val="24"/>
          <w:lang w:val="sv-SE"/>
        </w:rPr>
        <w:t xml:space="preserve"> </w:t>
      </w:r>
      <w:r>
        <w:rPr>
          <w:rFonts w:ascii="Times New Roman" w:hAnsi="Times New Roman" w:cs="Times New Roman"/>
          <w:sz w:val="24"/>
          <w:szCs w:val="24"/>
        </w:rPr>
        <w:t>tempat lain Al-Mawardi mengatakan: “Imamah dibentuk untuk menggantikan fungsi kenabian guna memelihara agama dan mengatur dunia.”</w:t>
      </w:r>
      <w:r>
        <w:rPr>
          <w:rStyle w:val="FootnoteReference"/>
          <w:rFonts w:ascii="Times New Roman" w:hAnsi="Times New Roman" w:cs="Times New Roman"/>
          <w:sz w:val="24"/>
          <w:szCs w:val="24"/>
        </w:rPr>
        <w:footnoteReference w:id="123"/>
      </w:r>
    </w:p>
    <w:p w:rsidR="00E81DAA" w:rsidRPr="00C008BA" w:rsidRDefault="00C008BA" w:rsidP="00226FB5">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Pernyataan ini mengandung arti bahwa seorang imam adalah pemimpin agama di satu pihak, dan pemimpin politik dipihak lain. Sifa</w:t>
      </w:r>
      <w:r w:rsidR="00C85834">
        <w:rPr>
          <w:rFonts w:ascii="Times New Roman" w:hAnsi="Times New Roman" w:cs="Times New Roman"/>
          <w:sz w:val="24"/>
          <w:szCs w:val="24"/>
        </w:rPr>
        <w:t>t kepemimpinan ini pula yang tam</w:t>
      </w:r>
      <w:r>
        <w:rPr>
          <w:rFonts w:ascii="Times New Roman" w:hAnsi="Times New Roman" w:cs="Times New Roman"/>
          <w:sz w:val="24"/>
          <w:szCs w:val="24"/>
        </w:rPr>
        <w:t>pak dalam diri Nabi Muhammad SAW sebagai Rasul Allah di</w:t>
      </w:r>
      <w:r w:rsidR="00C85834">
        <w:rPr>
          <w:rFonts w:ascii="Times New Roman" w:hAnsi="Times New Roman" w:cs="Times New Roman"/>
          <w:sz w:val="24"/>
          <w:szCs w:val="24"/>
        </w:rPr>
        <w:t xml:space="preserve"> </w:t>
      </w:r>
      <w:r>
        <w:rPr>
          <w:rFonts w:ascii="Times New Roman" w:hAnsi="Times New Roman" w:cs="Times New Roman"/>
          <w:sz w:val="24"/>
          <w:szCs w:val="24"/>
        </w:rPr>
        <w:t xml:space="preserve">satu pihak dan sebagai pemimpin masyarakat atau kepala </w:t>
      </w:r>
      <w:r w:rsidR="00C85834">
        <w:rPr>
          <w:rFonts w:ascii="Times New Roman" w:hAnsi="Times New Roman" w:cs="Times New Roman"/>
          <w:sz w:val="24"/>
          <w:szCs w:val="24"/>
        </w:rPr>
        <w:t>n</w:t>
      </w:r>
      <w:r>
        <w:rPr>
          <w:rFonts w:ascii="Times New Roman" w:hAnsi="Times New Roman" w:cs="Times New Roman"/>
          <w:sz w:val="24"/>
          <w:szCs w:val="24"/>
        </w:rPr>
        <w:t>egara di</w:t>
      </w:r>
      <w:r w:rsidR="00C85834">
        <w:rPr>
          <w:rFonts w:ascii="Times New Roman" w:hAnsi="Times New Roman" w:cs="Times New Roman"/>
          <w:sz w:val="24"/>
          <w:szCs w:val="24"/>
        </w:rPr>
        <w:t xml:space="preserve"> </w:t>
      </w:r>
      <w:r>
        <w:rPr>
          <w:rFonts w:ascii="Times New Roman" w:hAnsi="Times New Roman" w:cs="Times New Roman"/>
          <w:sz w:val="24"/>
          <w:szCs w:val="24"/>
        </w:rPr>
        <w:t>pihak lain. Demiki</w:t>
      </w:r>
      <w:r w:rsidR="00DE20C2">
        <w:rPr>
          <w:rFonts w:ascii="Times New Roman" w:hAnsi="Times New Roman" w:cs="Times New Roman"/>
          <w:sz w:val="24"/>
          <w:szCs w:val="24"/>
        </w:rPr>
        <w:t>an</w:t>
      </w:r>
      <w:r>
        <w:rPr>
          <w:rFonts w:ascii="Times New Roman" w:hAnsi="Times New Roman" w:cs="Times New Roman"/>
          <w:sz w:val="24"/>
          <w:szCs w:val="24"/>
        </w:rPr>
        <w:t xml:space="preserve"> juga dalam diri khulafaurrasyidin, mereka memegang kepemimpinan agama dan kepemimpinan politik sekaligus.</w:t>
      </w:r>
      <w:r>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w:t>
      </w:r>
    </w:p>
    <w:p w:rsidR="00254AC6" w:rsidRPr="00165426" w:rsidRDefault="00E81DAA" w:rsidP="00C85834">
      <w:pPr>
        <w:pStyle w:val="ListParagraph"/>
        <w:widowControl w:val="0"/>
        <w:kinsoku w:val="0"/>
        <w:overflowPunct w:val="0"/>
        <w:spacing w:after="0" w:line="360" w:lineRule="auto"/>
        <w:ind w:left="630"/>
        <w:jc w:val="both"/>
        <w:textAlignment w:val="baseline"/>
        <w:rPr>
          <w:rFonts w:asciiTheme="majorBidi" w:hAnsiTheme="majorBidi" w:cstheme="majorBidi"/>
          <w:spacing w:val="-1"/>
          <w:sz w:val="24"/>
          <w:szCs w:val="24"/>
        </w:rPr>
      </w:pPr>
      <w:r>
        <w:rPr>
          <w:rFonts w:asciiTheme="majorBidi" w:hAnsiTheme="majorBidi" w:cstheme="majorBidi"/>
          <w:spacing w:val="-1"/>
          <w:sz w:val="24"/>
          <w:szCs w:val="24"/>
        </w:rPr>
        <w:t xml:space="preserve">4. </w:t>
      </w:r>
      <w:r w:rsidR="00254AC6" w:rsidRPr="002815EA">
        <w:rPr>
          <w:rFonts w:asciiTheme="majorBidi" w:hAnsiTheme="majorBidi" w:cstheme="majorBidi"/>
          <w:spacing w:val="-1"/>
          <w:sz w:val="24"/>
          <w:szCs w:val="24"/>
        </w:rPr>
        <w:t xml:space="preserve">Teori </w:t>
      </w:r>
      <w:r w:rsidR="00C85834" w:rsidRPr="0074305E">
        <w:rPr>
          <w:rFonts w:asciiTheme="majorBidi" w:hAnsiTheme="majorBidi" w:cstheme="majorBidi"/>
          <w:i/>
          <w:iCs/>
          <w:sz w:val="24"/>
          <w:szCs w:val="24"/>
          <w:lang w:val="sv-SE"/>
        </w:rPr>
        <w:t>Siyāsah</w:t>
      </w:r>
      <w:r w:rsidR="00C85834" w:rsidRPr="0074305E">
        <w:rPr>
          <w:rFonts w:ascii="Times New Roman" w:hAnsi="Times New Roman" w:cs="Times New Roman"/>
          <w:i/>
          <w:iCs/>
          <w:sz w:val="24"/>
          <w:szCs w:val="24"/>
        </w:rPr>
        <w:t xml:space="preserve"> Syar‘iyyah</w:t>
      </w:r>
      <w:r w:rsidR="00C85834">
        <w:rPr>
          <w:rFonts w:ascii="Times New Roman" w:hAnsi="Times New Roman" w:cs="Times New Roman"/>
          <w:sz w:val="24"/>
          <w:szCs w:val="24"/>
        </w:rPr>
        <w:t xml:space="preserve"> </w:t>
      </w:r>
      <w:r w:rsidR="00254AC6" w:rsidRPr="002815EA">
        <w:rPr>
          <w:rFonts w:asciiTheme="majorBidi" w:hAnsiTheme="majorBidi" w:cstheme="majorBidi"/>
          <w:spacing w:val="-1"/>
          <w:sz w:val="24"/>
          <w:szCs w:val="24"/>
        </w:rPr>
        <w:t>Muhammad Husain Haikal (</w:t>
      </w:r>
      <w:r w:rsidR="00F16B7B">
        <w:rPr>
          <w:rFonts w:asciiTheme="majorBidi" w:hAnsiTheme="majorBidi" w:cstheme="majorBidi"/>
          <w:spacing w:val="-1"/>
          <w:sz w:val="24"/>
          <w:szCs w:val="24"/>
        </w:rPr>
        <w:t xml:space="preserve">Teori </w:t>
      </w:r>
      <w:r w:rsidR="00F16B7B" w:rsidRPr="007F2FC0">
        <w:rPr>
          <w:rFonts w:asciiTheme="majorBidi" w:hAnsiTheme="majorBidi" w:cstheme="majorBidi"/>
          <w:spacing w:val="-5"/>
          <w:sz w:val="24"/>
          <w:szCs w:val="24"/>
        </w:rPr>
        <w:t>Spiritual</w:t>
      </w:r>
      <w:r w:rsidR="00254AC6" w:rsidRPr="002815EA">
        <w:rPr>
          <w:rFonts w:asciiTheme="majorBidi" w:hAnsiTheme="majorBidi" w:cstheme="majorBidi"/>
          <w:spacing w:val="-1"/>
          <w:sz w:val="24"/>
          <w:szCs w:val="24"/>
        </w:rPr>
        <w:t>)</w:t>
      </w:r>
      <w:r w:rsidR="00254AC6">
        <w:rPr>
          <w:rFonts w:asciiTheme="majorBidi" w:hAnsiTheme="majorBidi" w:cstheme="majorBidi"/>
          <w:spacing w:val="-1"/>
          <w:sz w:val="24"/>
          <w:szCs w:val="24"/>
        </w:rPr>
        <w:t>.</w:t>
      </w:r>
      <w:r w:rsidR="00254AC6" w:rsidRPr="002815EA">
        <w:rPr>
          <w:rFonts w:asciiTheme="majorBidi" w:hAnsiTheme="majorBidi" w:cstheme="majorBidi"/>
          <w:spacing w:val="-1"/>
          <w:sz w:val="24"/>
          <w:szCs w:val="24"/>
        </w:rPr>
        <w:t xml:space="preserve"> </w:t>
      </w:r>
    </w:p>
    <w:p w:rsidR="00254AC6" w:rsidRPr="00BD0A38" w:rsidRDefault="00CF0D47" w:rsidP="00CF0D47">
      <w:pPr>
        <w:pStyle w:val="ListParagraph"/>
        <w:widowControl w:val="0"/>
        <w:kinsoku w:val="0"/>
        <w:overflowPunct w:val="0"/>
        <w:spacing w:after="0" w:line="360" w:lineRule="auto"/>
        <w:ind w:left="0" w:firstLine="720"/>
        <w:jc w:val="both"/>
        <w:textAlignment w:val="baseline"/>
        <w:rPr>
          <w:rFonts w:asciiTheme="majorBidi" w:hAnsiTheme="majorBidi" w:cstheme="majorBidi"/>
          <w:spacing w:val="-1"/>
          <w:sz w:val="24"/>
          <w:szCs w:val="24"/>
        </w:rPr>
      </w:pPr>
      <w:r>
        <w:rPr>
          <w:rFonts w:asciiTheme="majorBidi" w:hAnsiTheme="majorBidi" w:cstheme="majorBidi"/>
          <w:sz w:val="24"/>
          <w:szCs w:val="24"/>
        </w:rPr>
        <w:t xml:space="preserve">Muhammad Husein </w:t>
      </w:r>
      <w:r w:rsidR="00254AC6">
        <w:rPr>
          <w:rFonts w:asciiTheme="majorBidi" w:hAnsiTheme="majorBidi" w:cstheme="majorBidi"/>
          <w:sz w:val="24"/>
          <w:szCs w:val="24"/>
        </w:rPr>
        <w:t>Haikal</w:t>
      </w:r>
      <w:r>
        <w:rPr>
          <w:rFonts w:asciiTheme="majorBidi" w:hAnsiTheme="majorBidi" w:cstheme="majorBidi"/>
          <w:sz w:val="24"/>
          <w:szCs w:val="24"/>
        </w:rPr>
        <w:t xml:space="preserve"> (1888-1945 M)</w:t>
      </w:r>
      <w:r w:rsidR="00254AC6">
        <w:rPr>
          <w:rFonts w:asciiTheme="majorBidi" w:hAnsiTheme="majorBidi" w:cstheme="majorBidi"/>
          <w:sz w:val="24"/>
          <w:szCs w:val="24"/>
        </w:rPr>
        <w:t xml:space="preserve"> adalah seorang tokoh politik Islam Modern yang ber</w:t>
      </w:r>
      <w:r w:rsidR="00254AC6" w:rsidRPr="00BD0A38">
        <w:rPr>
          <w:rFonts w:asciiTheme="majorBidi" w:hAnsiTheme="majorBidi" w:cstheme="majorBidi"/>
          <w:sz w:val="24"/>
          <w:szCs w:val="24"/>
        </w:rPr>
        <w:t xml:space="preserve">pendapat bahwa Islam tidak menentukan sistem dan bentuk </w:t>
      </w:r>
      <w:r w:rsidR="00254AC6" w:rsidRPr="00BD0A38">
        <w:rPr>
          <w:rFonts w:asciiTheme="majorBidi" w:hAnsiTheme="majorBidi" w:cstheme="majorBidi"/>
          <w:spacing w:val="-4"/>
          <w:sz w:val="24"/>
          <w:szCs w:val="24"/>
        </w:rPr>
        <w:t>pemerintaha</w:t>
      </w:r>
      <w:r>
        <w:rPr>
          <w:rFonts w:asciiTheme="majorBidi" w:hAnsiTheme="majorBidi" w:cstheme="majorBidi"/>
          <w:spacing w:val="-4"/>
          <w:sz w:val="24"/>
          <w:szCs w:val="24"/>
        </w:rPr>
        <w:t xml:space="preserve">n yang harus diikuti oleh umat, </w:t>
      </w:r>
      <w:r w:rsidR="00254AC6" w:rsidRPr="00BD0A38">
        <w:rPr>
          <w:rFonts w:asciiTheme="majorBidi" w:hAnsiTheme="majorBidi" w:cstheme="majorBidi"/>
          <w:spacing w:val="-4"/>
          <w:sz w:val="24"/>
          <w:szCs w:val="24"/>
        </w:rPr>
        <w:t>akan tetapi ia meletakkan kaidah-kaidah bagi tingkah laku dan muamalah dalam kehidupan antar manusia. Kaidah-kadiah itu menjadi dasar untuk menetapkan sistem peme</w:t>
      </w:r>
      <w:r w:rsidR="00254AC6" w:rsidRPr="00BD0A38">
        <w:rPr>
          <w:rFonts w:asciiTheme="majorBidi" w:hAnsiTheme="majorBidi" w:cstheme="majorBidi"/>
          <w:spacing w:val="-4"/>
          <w:sz w:val="24"/>
          <w:szCs w:val="24"/>
        </w:rPr>
        <w:softHyphen/>
        <w:t>rintahan yang berkembang sepanjang sejarah.</w:t>
      </w:r>
      <w:r w:rsidR="00254AC6" w:rsidRPr="007F2FC0">
        <w:rPr>
          <w:rStyle w:val="FootnoteReference"/>
          <w:rFonts w:asciiTheme="majorBidi" w:hAnsiTheme="majorBidi" w:cstheme="majorBidi"/>
          <w:spacing w:val="-4"/>
          <w:sz w:val="24"/>
          <w:szCs w:val="24"/>
        </w:rPr>
        <w:footnoteReference w:id="125"/>
      </w:r>
    </w:p>
    <w:p w:rsidR="00AC1939" w:rsidRDefault="00254AC6" w:rsidP="0043346B">
      <w:pPr>
        <w:widowControl w:val="0"/>
        <w:kinsoku w:val="0"/>
        <w:overflowPunct w:val="0"/>
        <w:spacing w:before="20" w:after="0" w:line="360" w:lineRule="auto"/>
        <w:ind w:left="90" w:firstLine="720"/>
        <w:jc w:val="both"/>
        <w:textAlignment w:val="baseline"/>
        <w:rPr>
          <w:rFonts w:asciiTheme="majorBidi" w:hAnsiTheme="majorBidi" w:cstheme="majorBidi"/>
          <w:spacing w:val="-5"/>
          <w:sz w:val="24"/>
          <w:szCs w:val="24"/>
        </w:rPr>
      </w:pPr>
      <w:r w:rsidRPr="007F2FC0">
        <w:rPr>
          <w:rFonts w:asciiTheme="majorBidi" w:hAnsiTheme="majorBidi" w:cstheme="majorBidi"/>
          <w:spacing w:val="-5"/>
          <w:sz w:val="24"/>
          <w:szCs w:val="24"/>
        </w:rPr>
        <w:t>Walaupun Islam tidak menetapkan sistem pemerintahan, namun Islam, menurut Haikal, meletakkan prinsip-prinsip dasar peradaban manusia yang akan berkemb</w:t>
      </w:r>
      <w:r>
        <w:rPr>
          <w:rFonts w:asciiTheme="majorBidi" w:hAnsiTheme="majorBidi" w:cstheme="majorBidi"/>
          <w:spacing w:val="-5"/>
          <w:sz w:val="24"/>
          <w:szCs w:val="24"/>
        </w:rPr>
        <w:t>ang sepanjang zaman sesuai perke</w:t>
      </w:r>
      <w:r w:rsidRPr="007F2FC0">
        <w:rPr>
          <w:rFonts w:asciiTheme="majorBidi" w:hAnsiTheme="majorBidi" w:cstheme="majorBidi"/>
          <w:spacing w:val="-5"/>
          <w:sz w:val="24"/>
          <w:szCs w:val="24"/>
        </w:rPr>
        <w:t>mbangan pengetahuan manusia dan pemikirannya. Dasar Islam bagi peradaban manusia itu bersifat spiritual yang akan membimbing manusia mengatur perilak</w:t>
      </w:r>
      <w:r>
        <w:rPr>
          <w:rFonts w:asciiTheme="majorBidi" w:hAnsiTheme="majorBidi" w:cstheme="majorBidi"/>
          <w:spacing w:val="-5"/>
          <w:sz w:val="24"/>
          <w:szCs w:val="24"/>
        </w:rPr>
        <w:t>unya dan hubungan baik dengan se</w:t>
      </w:r>
      <w:r w:rsidRPr="007F2FC0">
        <w:rPr>
          <w:rFonts w:asciiTheme="majorBidi" w:hAnsiTheme="majorBidi" w:cstheme="majorBidi"/>
          <w:spacing w:val="-5"/>
          <w:sz w:val="24"/>
          <w:szCs w:val="24"/>
        </w:rPr>
        <w:t>samanya dalam kehidupan berdasarkan persauda</w:t>
      </w:r>
      <w:r w:rsidRPr="007F2FC0">
        <w:rPr>
          <w:rFonts w:asciiTheme="majorBidi" w:hAnsiTheme="majorBidi" w:cstheme="majorBidi"/>
          <w:spacing w:val="-5"/>
          <w:sz w:val="24"/>
          <w:szCs w:val="24"/>
        </w:rPr>
        <w:softHyphen/>
        <w:t>raan, kasih sayang, kebajikan dan takwa, yang pada gilirannya mengatur kehidupan ekonomi bagi masyarakat manusia.</w:t>
      </w:r>
      <w:r w:rsidRPr="007F2FC0">
        <w:rPr>
          <w:rStyle w:val="FootnoteReference"/>
          <w:rFonts w:asciiTheme="majorBidi" w:hAnsiTheme="majorBidi" w:cstheme="majorBidi"/>
          <w:spacing w:val="-5"/>
          <w:sz w:val="24"/>
          <w:szCs w:val="24"/>
        </w:rPr>
        <w:footnoteReference w:id="126"/>
      </w:r>
    </w:p>
    <w:p w:rsidR="00254AC6" w:rsidRDefault="00254AC6" w:rsidP="0043346B">
      <w:pPr>
        <w:widowControl w:val="0"/>
        <w:kinsoku w:val="0"/>
        <w:overflowPunct w:val="0"/>
        <w:spacing w:before="20" w:after="0" w:line="360" w:lineRule="auto"/>
        <w:ind w:left="180" w:firstLine="540"/>
        <w:jc w:val="both"/>
        <w:textAlignment w:val="baseline"/>
        <w:rPr>
          <w:rFonts w:asciiTheme="majorBidi" w:hAnsiTheme="majorBidi" w:cstheme="majorBidi"/>
          <w:spacing w:val="-5"/>
          <w:sz w:val="24"/>
          <w:szCs w:val="24"/>
        </w:rPr>
      </w:pPr>
      <w:r>
        <w:rPr>
          <w:rFonts w:asciiTheme="majorBidi" w:hAnsiTheme="majorBidi" w:cstheme="majorBidi"/>
          <w:spacing w:val="-5"/>
          <w:sz w:val="24"/>
          <w:szCs w:val="24"/>
        </w:rPr>
        <w:t xml:space="preserve">Adapun dasar-dasar yang diajarkan Islam bagi pengaturan tingkah laku dan </w:t>
      </w:r>
      <w:r>
        <w:rPr>
          <w:rFonts w:asciiTheme="majorBidi" w:hAnsiTheme="majorBidi" w:cstheme="majorBidi"/>
          <w:spacing w:val="-5"/>
          <w:sz w:val="24"/>
          <w:szCs w:val="24"/>
        </w:rPr>
        <w:lastRenderedPageBreak/>
        <w:t xml:space="preserve">hubungan antar sesama, yang kemudian menjadi titik tolak bagi sistem politik yang  bersifat </w:t>
      </w:r>
      <w:r w:rsidRPr="007F2FC0">
        <w:rPr>
          <w:rFonts w:asciiTheme="majorBidi" w:hAnsiTheme="majorBidi" w:cstheme="majorBidi"/>
          <w:spacing w:val="-5"/>
          <w:sz w:val="24"/>
          <w:szCs w:val="24"/>
        </w:rPr>
        <w:t xml:space="preserve">spiritual </w:t>
      </w:r>
      <w:r>
        <w:rPr>
          <w:rFonts w:asciiTheme="majorBidi" w:hAnsiTheme="majorBidi" w:cstheme="majorBidi"/>
          <w:spacing w:val="-5"/>
          <w:sz w:val="24"/>
          <w:szCs w:val="24"/>
        </w:rPr>
        <w:t xml:space="preserve">itu adalah : </w:t>
      </w:r>
      <w:r w:rsidRPr="00622818">
        <w:rPr>
          <w:rFonts w:asciiTheme="majorBidi" w:hAnsiTheme="majorBidi" w:cstheme="majorBidi"/>
          <w:i/>
          <w:iCs/>
          <w:spacing w:val="-5"/>
          <w:sz w:val="24"/>
          <w:szCs w:val="24"/>
        </w:rPr>
        <w:t>Pertama</w:t>
      </w:r>
      <w:r>
        <w:rPr>
          <w:rFonts w:asciiTheme="majorBidi" w:hAnsiTheme="majorBidi" w:cstheme="majorBidi"/>
          <w:spacing w:val="-5"/>
          <w:sz w:val="24"/>
          <w:szCs w:val="24"/>
        </w:rPr>
        <w:t xml:space="preserve">, Prinsip Tauhid, yaitu iman kepada Allah, tidak ada Tuhan kecuali Dia dan </w:t>
      </w:r>
      <w:r w:rsidR="005F6C73">
        <w:rPr>
          <w:rFonts w:asciiTheme="majorBidi" w:hAnsiTheme="majorBidi" w:cstheme="majorBidi"/>
          <w:spacing w:val="-5"/>
          <w:sz w:val="24"/>
          <w:szCs w:val="24"/>
        </w:rPr>
        <w:t>w</w:t>
      </w:r>
      <w:r>
        <w:rPr>
          <w:rFonts w:asciiTheme="majorBidi" w:hAnsiTheme="majorBidi" w:cstheme="majorBidi"/>
          <w:spacing w:val="-5"/>
          <w:sz w:val="24"/>
          <w:szCs w:val="24"/>
        </w:rPr>
        <w:t xml:space="preserve">ajib beribadah kepadaNya”. </w:t>
      </w:r>
    </w:p>
    <w:p w:rsidR="00254AC6" w:rsidRDefault="00254AC6" w:rsidP="0043346B">
      <w:pPr>
        <w:widowControl w:val="0"/>
        <w:kinsoku w:val="0"/>
        <w:overflowPunct w:val="0"/>
        <w:spacing w:before="20" w:after="0" w:line="360" w:lineRule="auto"/>
        <w:ind w:left="180" w:firstLine="540"/>
        <w:jc w:val="both"/>
        <w:textAlignment w:val="baseline"/>
        <w:rPr>
          <w:rFonts w:asciiTheme="majorBidi" w:hAnsiTheme="majorBidi" w:cstheme="majorBidi"/>
          <w:spacing w:val="-5"/>
          <w:sz w:val="24"/>
          <w:szCs w:val="24"/>
        </w:rPr>
      </w:pPr>
      <w:r>
        <w:rPr>
          <w:rFonts w:asciiTheme="majorBidi" w:hAnsiTheme="majorBidi" w:cstheme="majorBidi"/>
          <w:spacing w:val="-5"/>
          <w:sz w:val="24"/>
          <w:szCs w:val="24"/>
        </w:rPr>
        <w:t>Prinsip dasar Tauhid ini berimplikasi kepada adanya pengakuan prinsip-prinsip persamaan, persaudaraan dan kebebasan. Semua orang m</w:t>
      </w:r>
      <w:r w:rsidR="005F6C73">
        <w:rPr>
          <w:rFonts w:asciiTheme="majorBidi" w:hAnsiTheme="majorBidi" w:cstheme="majorBidi"/>
          <w:spacing w:val="-5"/>
          <w:sz w:val="24"/>
          <w:szCs w:val="24"/>
        </w:rPr>
        <w:t>ukmin sama derajatnya di hadapan</w:t>
      </w:r>
      <w:r>
        <w:rPr>
          <w:rFonts w:asciiTheme="majorBidi" w:hAnsiTheme="majorBidi" w:cstheme="majorBidi"/>
          <w:spacing w:val="-5"/>
          <w:sz w:val="24"/>
          <w:szCs w:val="24"/>
        </w:rPr>
        <w:t xml:space="preserve"> Allah, Sunnahnya berlaku bagi semua dengan adil, tidak ada perbedaan di</w:t>
      </w:r>
      <w:r w:rsidR="005F6C73">
        <w:rPr>
          <w:rFonts w:asciiTheme="majorBidi" w:hAnsiTheme="majorBidi" w:cstheme="majorBidi"/>
          <w:spacing w:val="-5"/>
          <w:sz w:val="24"/>
          <w:szCs w:val="24"/>
        </w:rPr>
        <w:t xml:space="preserve"> </w:t>
      </w:r>
      <w:r>
        <w:rPr>
          <w:rFonts w:asciiTheme="majorBidi" w:hAnsiTheme="majorBidi" w:cstheme="majorBidi"/>
          <w:spacing w:val="-5"/>
          <w:sz w:val="24"/>
          <w:szCs w:val="24"/>
        </w:rPr>
        <w:t xml:space="preserve">antara mereka. Tidak ada keutamaan orang Arab atas bukan Arab kecuali </w:t>
      </w:r>
      <w:r w:rsidR="005F6C73">
        <w:rPr>
          <w:rFonts w:asciiTheme="majorBidi" w:hAnsiTheme="majorBidi" w:cstheme="majorBidi"/>
          <w:spacing w:val="-5"/>
          <w:sz w:val="24"/>
          <w:szCs w:val="24"/>
        </w:rPr>
        <w:t>k</w:t>
      </w:r>
      <w:r>
        <w:rPr>
          <w:rFonts w:asciiTheme="majorBidi" w:hAnsiTheme="majorBidi" w:cstheme="majorBidi"/>
          <w:spacing w:val="-5"/>
          <w:sz w:val="24"/>
          <w:szCs w:val="24"/>
        </w:rPr>
        <w:t xml:space="preserve">arena </w:t>
      </w:r>
      <w:r w:rsidR="005F6C73">
        <w:rPr>
          <w:rFonts w:asciiTheme="majorBidi" w:hAnsiTheme="majorBidi" w:cstheme="majorBidi"/>
          <w:spacing w:val="-5"/>
          <w:sz w:val="24"/>
          <w:szCs w:val="24"/>
        </w:rPr>
        <w:t>t</w:t>
      </w:r>
      <w:r>
        <w:rPr>
          <w:rFonts w:asciiTheme="majorBidi" w:hAnsiTheme="majorBidi" w:cstheme="majorBidi"/>
          <w:spacing w:val="-5"/>
          <w:sz w:val="24"/>
          <w:szCs w:val="24"/>
        </w:rPr>
        <w:t>akwanya</w:t>
      </w:r>
      <w:r w:rsidR="005F6C73">
        <w:rPr>
          <w:rFonts w:asciiTheme="majorBidi" w:hAnsiTheme="majorBidi" w:cstheme="majorBidi"/>
          <w:spacing w:val="-5"/>
          <w:sz w:val="24"/>
          <w:szCs w:val="24"/>
        </w:rPr>
        <w:t xml:space="preserve"> (</w:t>
      </w:r>
      <w:r>
        <w:rPr>
          <w:rFonts w:asciiTheme="majorBidi" w:hAnsiTheme="majorBidi" w:cstheme="majorBidi"/>
          <w:spacing w:val="-5"/>
          <w:sz w:val="24"/>
          <w:szCs w:val="24"/>
        </w:rPr>
        <w:t xml:space="preserve">kesetaraan </w:t>
      </w:r>
      <w:r w:rsidR="005F6C73">
        <w:rPr>
          <w:rFonts w:asciiTheme="majorBidi" w:hAnsiTheme="majorBidi" w:cstheme="majorBidi"/>
          <w:spacing w:val="-5"/>
          <w:sz w:val="24"/>
          <w:szCs w:val="24"/>
        </w:rPr>
        <w:t>g</w:t>
      </w:r>
      <w:r>
        <w:rPr>
          <w:rFonts w:asciiTheme="majorBidi" w:hAnsiTheme="majorBidi" w:cstheme="majorBidi"/>
          <w:spacing w:val="-5"/>
          <w:sz w:val="24"/>
          <w:szCs w:val="24"/>
        </w:rPr>
        <w:t xml:space="preserve">ender dan </w:t>
      </w:r>
      <w:r w:rsidR="005F6C73">
        <w:rPr>
          <w:rFonts w:asciiTheme="majorBidi" w:hAnsiTheme="majorBidi" w:cstheme="majorBidi"/>
          <w:spacing w:val="-5"/>
          <w:sz w:val="24"/>
          <w:szCs w:val="24"/>
        </w:rPr>
        <w:t>e</w:t>
      </w:r>
      <w:r w:rsidR="005949F4">
        <w:rPr>
          <w:rFonts w:asciiTheme="majorBidi" w:hAnsiTheme="majorBidi" w:cstheme="majorBidi"/>
          <w:spacing w:val="-5"/>
          <w:sz w:val="24"/>
          <w:szCs w:val="24"/>
        </w:rPr>
        <w:t xml:space="preserve">tnis), </w:t>
      </w:r>
      <w:r>
        <w:rPr>
          <w:rFonts w:asciiTheme="majorBidi" w:hAnsiTheme="majorBidi" w:cstheme="majorBidi"/>
          <w:spacing w:val="-5"/>
          <w:sz w:val="24"/>
          <w:szCs w:val="24"/>
        </w:rPr>
        <w:t>Seluruh manusia akan mendapat balasan dan imbalan sesuai amal masing-masing. Manusia satu sama lain bersaudara yang mewajibkan mereka saling mengasihi. Karena itu tidak akan sempurna iman seseorang sehingga ia mencintai saudaranya sebagaimana ia mencintai dirinya sendiri. Manusia memiliki kebebasan dalam segala hal (HAM), termasuk kebebasan memilik</w:t>
      </w:r>
      <w:r w:rsidR="00825ABA">
        <w:rPr>
          <w:rFonts w:asciiTheme="majorBidi" w:hAnsiTheme="majorBidi" w:cstheme="majorBidi"/>
          <w:spacing w:val="-5"/>
          <w:sz w:val="24"/>
          <w:szCs w:val="24"/>
        </w:rPr>
        <w:t>i</w:t>
      </w:r>
      <w:r>
        <w:rPr>
          <w:rFonts w:asciiTheme="majorBidi" w:hAnsiTheme="majorBidi" w:cstheme="majorBidi"/>
          <w:spacing w:val="-5"/>
          <w:sz w:val="24"/>
          <w:szCs w:val="24"/>
        </w:rPr>
        <w:t xml:space="preserve"> akidah. Tidak ada paksaan untuk memasuki suatu agama, dan tidak ada iman setelah tunduk kepada hujjah dan ajaran yang baik.</w:t>
      </w:r>
      <w:r>
        <w:rPr>
          <w:rStyle w:val="FootnoteReference"/>
          <w:rFonts w:asciiTheme="majorBidi" w:hAnsiTheme="majorBidi" w:cstheme="majorBidi"/>
          <w:spacing w:val="-5"/>
          <w:sz w:val="24"/>
          <w:szCs w:val="24"/>
        </w:rPr>
        <w:footnoteReference w:id="127"/>
      </w:r>
      <w:r>
        <w:rPr>
          <w:rFonts w:asciiTheme="majorBidi" w:hAnsiTheme="majorBidi" w:cstheme="majorBidi"/>
          <w:spacing w:val="-5"/>
          <w:sz w:val="24"/>
          <w:szCs w:val="24"/>
        </w:rPr>
        <w:t xml:space="preserve"> </w:t>
      </w:r>
    </w:p>
    <w:p w:rsidR="00254AC6" w:rsidRDefault="00254AC6" w:rsidP="0043346B">
      <w:pPr>
        <w:widowControl w:val="0"/>
        <w:kinsoku w:val="0"/>
        <w:overflowPunct w:val="0"/>
        <w:spacing w:before="20" w:after="0" w:line="360" w:lineRule="auto"/>
        <w:ind w:left="180" w:firstLine="540"/>
        <w:jc w:val="both"/>
        <w:textAlignment w:val="baseline"/>
        <w:rPr>
          <w:rFonts w:asciiTheme="majorBidi" w:hAnsiTheme="majorBidi" w:cstheme="majorBidi"/>
          <w:spacing w:val="-5"/>
          <w:sz w:val="24"/>
          <w:szCs w:val="24"/>
        </w:rPr>
      </w:pPr>
      <w:r w:rsidRPr="00DF729D">
        <w:rPr>
          <w:rFonts w:asciiTheme="majorBidi" w:hAnsiTheme="majorBidi" w:cstheme="majorBidi"/>
          <w:i/>
          <w:iCs/>
          <w:spacing w:val="-5"/>
          <w:sz w:val="24"/>
          <w:szCs w:val="24"/>
        </w:rPr>
        <w:t>Kedua</w:t>
      </w:r>
      <w:r>
        <w:rPr>
          <w:rFonts w:asciiTheme="majorBidi" w:hAnsiTheme="majorBidi" w:cstheme="majorBidi"/>
          <w:spacing w:val="-5"/>
          <w:sz w:val="24"/>
          <w:szCs w:val="24"/>
        </w:rPr>
        <w:t>, meyakini adanya hukum alam atau sunnatullah di alam semesta, termasuk kehidupan manusia. Sunnatullah itu tidak akan berubah, karena itu manusia harus tunduk mengikutinya, tidak boleh menyimpang darinya, sebab segala sesuatu termasuk kehidupan umat telah di tetapkan ukuran dan kadarnya.</w:t>
      </w:r>
    </w:p>
    <w:p w:rsidR="007F2C1B" w:rsidRPr="00615429" w:rsidRDefault="00254AC6" w:rsidP="00350E54">
      <w:pPr>
        <w:widowControl w:val="0"/>
        <w:kinsoku w:val="0"/>
        <w:overflowPunct w:val="0"/>
        <w:spacing w:before="20" w:after="0" w:line="360" w:lineRule="auto"/>
        <w:ind w:left="180" w:firstLine="540"/>
        <w:jc w:val="both"/>
        <w:textAlignment w:val="baseline"/>
        <w:rPr>
          <w:rFonts w:asciiTheme="majorBidi" w:hAnsiTheme="majorBidi" w:cstheme="majorBidi"/>
          <w:spacing w:val="-5"/>
          <w:sz w:val="24"/>
          <w:szCs w:val="24"/>
          <w:lang w:val="sv-SE"/>
        </w:rPr>
      </w:pPr>
      <w:r>
        <w:rPr>
          <w:rFonts w:asciiTheme="majorBidi" w:hAnsiTheme="majorBidi" w:cstheme="majorBidi"/>
          <w:i/>
          <w:iCs/>
          <w:spacing w:val="-5"/>
          <w:sz w:val="24"/>
          <w:szCs w:val="24"/>
        </w:rPr>
        <w:t xml:space="preserve">Ketiga, </w:t>
      </w:r>
      <w:r>
        <w:rPr>
          <w:rFonts w:asciiTheme="majorBidi" w:hAnsiTheme="majorBidi" w:cstheme="majorBidi"/>
          <w:spacing w:val="-5"/>
          <w:sz w:val="24"/>
          <w:szCs w:val="24"/>
        </w:rPr>
        <w:t>Persamaan antar sesama manusia. Kayakinan yang mengesakan Allah dan mengakui sunnatullah di alam semesta membawa kepada persamaan di antara manusia di hadapan Allah, dan ketundukan mereka atas dasar persamaan itu. Atas prinsip persamaan inilah orang Arab mengadakan hubungan dengan bangsa-bangsa lain. Bersamaan dengan itu pula Islam tidak boleh dipaksanakan kepada manusia dengan pe</w:t>
      </w:r>
      <w:r w:rsidR="001618C0">
        <w:rPr>
          <w:rFonts w:asciiTheme="majorBidi" w:hAnsiTheme="majorBidi" w:cstheme="majorBidi"/>
          <w:spacing w:val="-5"/>
          <w:sz w:val="24"/>
          <w:szCs w:val="24"/>
        </w:rPr>
        <w:t>dang, Karena itu kebebasan beragam</w:t>
      </w:r>
      <w:r>
        <w:rPr>
          <w:rFonts w:asciiTheme="majorBidi" w:hAnsiTheme="majorBidi" w:cstheme="majorBidi"/>
          <w:spacing w:val="-5"/>
          <w:sz w:val="24"/>
          <w:szCs w:val="24"/>
        </w:rPr>
        <w:t>a dan k</w:t>
      </w:r>
      <w:r w:rsidR="00E8589A">
        <w:rPr>
          <w:rFonts w:asciiTheme="majorBidi" w:hAnsiTheme="majorBidi" w:cstheme="majorBidi"/>
          <w:spacing w:val="-5"/>
          <w:sz w:val="24"/>
          <w:szCs w:val="24"/>
        </w:rPr>
        <w:t xml:space="preserve">ebebasan berpendapat dijamin. </w:t>
      </w:r>
      <w:r>
        <w:rPr>
          <w:rFonts w:asciiTheme="majorBidi" w:hAnsiTheme="majorBidi" w:cstheme="majorBidi"/>
          <w:spacing w:val="-5"/>
          <w:sz w:val="24"/>
          <w:szCs w:val="24"/>
        </w:rPr>
        <w:t xml:space="preserve">Akidah tauhid, mempercayai hukum alam dan persamaan membawa persamaan penuh anatar laki-laki dan perempuan, hak dan kwajiban masing-masing sama ( </w:t>
      </w:r>
      <w:r w:rsidR="004A715F">
        <w:rPr>
          <w:rFonts w:asciiTheme="majorBidi" w:hAnsiTheme="majorBidi" w:cstheme="majorBidi"/>
          <w:spacing w:val="-5"/>
          <w:sz w:val="24"/>
          <w:szCs w:val="24"/>
        </w:rPr>
        <w:t>kesetaraan gender</w:t>
      </w:r>
      <w:r>
        <w:rPr>
          <w:rFonts w:asciiTheme="majorBidi" w:hAnsiTheme="majorBidi" w:cstheme="majorBidi"/>
          <w:spacing w:val="-5"/>
          <w:sz w:val="24"/>
          <w:szCs w:val="24"/>
        </w:rPr>
        <w:t xml:space="preserve">). Prinsip persamaan ini dipandang sebagai dasar peradaban manusia, prinsip ini harus dijadikan bagian dari dasar sistem Islam bagi </w:t>
      </w:r>
      <w:r>
        <w:rPr>
          <w:rFonts w:asciiTheme="majorBidi" w:hAnsiTheme="majorBidi" w:cstheme="majorBidi"/>
          <w:spacing w:val="-5"/>
          <w:sz w:val="24"/>
          <w:szCs w:val="24"/>
        </w:rPr>
        <w:lastRenderedPageBreak/>
        <w:t>pemerintahan.</w:t>
      </w:r>
      <w:r>
        <w:rPr>
          <w:rStyle w:val="FootnoteReference"/>
          <w:rFonts w:asciiTheme="majorBidi" w:hAnsiTheme="majorBidi" w:cstheme="majorBidi"/>
          <w:spacing w:val="-5"/>
          <w:sz w:val="24"/>
          <w:szCs w:val="24"/>
        </w:rPr>
        <w:footnoteReference w:id="128"/>
      </w:r>
      <w:r w:rsidR="007F2C1B">
        <w:rPr>
          <w:rFonts w:asciiTheme="majorBidi" w:hAnsiTheme="majorBidi" w:cstheme="majorBidi"/>
          <w:spacing w:val="-5"/>
          <w:sz w:val="24"/>
          <w:szCs w:val="24"/>
        </w:rPr>
        <w:t xml:space="preserve"> </w:t>
      </w:r>
      <w:r w:rsidR="007F2C1B" w:rsidRPr="00FC1400">
        <w:rPr>
          <w:rFonts w:asciiTheme="majorBidi" w:hAnsiTheme="majorBidi" w:cstheme="majorBidi"/>
          <w:sz w:val="24"/>
          <w:szCs w:val="24"/>
          <w:lang w:val="sv-SE"/>
        </w:rPr>
        <w:t xml:space="preserve">Dalam </w:t>
      </w:r>
      <w:r w:rsidR="004A715F" w:rsidRPr="00FC1400">
        <w:rPr>
          <w:rFonts w:asciiTheme="majorBidi" w:hAnsiTheme="majorBidi" w:cstheme="majorBidi"/>
          <w:sz w:val="24"/>
          <w:szCs w:val="24"/>
          <w:lang w:val="sv-SE"/>
        </w:rPr>
        <w:t>t</w:t>
      </w:r>
      <w:r w:rsidR="007F2C1B" w:rsidRPr="00FC1400">
        <w:rPr>
          <w:rFonts w:asciiTheme="majorBidi" w:hAnsiTheme="majorBidi" w:cstheme="majorBidi"/>
          <w:sz w:val="24"/>
          <w:szCs w:val="24"/>
          <w:lang w:val="sv-SE"/>
        </w:rPr>
        <w:t xml:space="preserve">eori </w:t>
      </w:r>
      <w:r w:rsidR="004A715F" w:rsidRPr="0074305E">
        <w:rPr>
          <w:rFonts w:asciiTheme="majorBidi" w:hAnsiTheme="majorBidi" w:cstheme="majorBidi"/>
          <w:i/>
          <w:iCs/>
          <w:sz w:val="24"/>
          <w:szCs w:val="24"/>
          <w:lang w:val="sv-SE"/>
        </w:rPr>
        <w:t>siyāsah</w:t>
      </w:r>
      <w:r w:rsidR="004A715F" w:rsidRPr="0074305E">
        <w:rPr>
          <w:rFonts w:ascii="Times New Roman" w:hAnsi="Times New Roman" w:cs="Times New Roman"/>
          <w:i/>
          <w:iCs/>
          <w:sz w:val="24"/>
          <w:szCs w:val="24"/>
        </w:rPr>
        <w:t xml:space="preserve"> syar‘iyyah</w:t>
      </w:r>
      <w:r w:rsidR="004A715F">
        <w:rPr>
          <w:rFonts w:ascii="Times New Roman" w:hAnsi="Times New Roman" w:cs="Times New Roman"/>
          <w:sz w:val="24"/>
          <w:szCs w:val="24"/>
        </w:rPr>
        <w:t xml:space="preserve"> </w:t>
      </w:r>
      <w:r w:rsidR="007F2C1B" w:rsidRPr="00FC1400">
        <w:rPr>
          <w:rFonts w:asciiTheme="majorBidi" w:hAnsiTheme="majorBidi" w:cstheme="majorBidi"/>
          <w:sz w:val="24"/>
          <w:szCs w:val="24"/>
          <w:lang w:val="sv-SE"/>
        </w:rPr>
        <w:t>modern mengharuskan suatu kebijaksanaan politik dalam sebuah negara itu sesuai dengan prinsip-prinsip syari’at Islam dan menghargai hak-hak manusia yang paling asasi.</w:t>
      </w:r>
      <w:r w:rsidR="007F2C1B">
        <w:rPr>
          <w:rFonts w:asciiTheme="majorBidi" w:hAnsiTheme="majorBidi" w:cstheme="majorBidi"/>
          <w:sz w:val="24"/>
          <w:szCs w:val="24"/>
          <w:lang w:val="sv-SE"/>
        </w:rPr>
        <w:t xml:space="preserve">( HAM ) </w:t>
      </w:r>
      <w:r w:rsidR="007F2C1B" w:rsidRPr="00FC1400">
        <w:rPr>
          <w:rStyle w:val="FootnoteReference"/>
          <w:rFonts w:asciiTheme="majorBidi" w:hAnsiTheme="majorBidi" w:cstheme="majorBidi"/>
          <w:sz w:val="24"/>
          <w:szCs w:val="24"/>
        </w:rPr>
        <w:footnoteReference w:id="129"/>
      </w:r>
    </w:p>
    <w:p w:rsidR="00254AC6" w:rsidRPr="00615429" w:rsidRDefault="00254AC6" w:rsidP="00350E54">
      <w:pPr>
        <w:widowControl w:val="0"/>
        <w:kinsoku w:val="0"/>
        <w:overflowPunct w:val="0"/>
        <w:spacing w:before="20" w:after="0" w:line="360" w:lineRule="auto"/>
        <w:ind w:left="180" w:firstLine="630"/>
        <w:jc w:val="both"/>
        <w:textAlignment w:val="baseline"/>
        <w:rPr>
          <w:rFonts w:asciiTheme="majorBidi" w:hAnsiTheme="majorBidi" w:cstheme="majorBidi"/>
          <w:spacing w:val="-5"/>
          <w:sz w:val="24"/>
          <w:szCs w:val="24"/>
          <w:lang w:val="sv-SE"/>
        </w:rPr>
      </w:pPr>
      <w:r w:rsidRPr="00615429">
        <w:rPr>
          <w:rFonts w:asciiTheme="majorBidi" w:hAnsiTheme="majorBidi" w:cstheme="majorBidi"/>
          <w:spacing w:val="-5"/>
          <w:sz w:val="24"/>
          <w:szCs w:val="24"/>
          <w:lang w:val="sv-SE"/>
        </w:rPr>
        <w:t>Prinsip-prinsip dasar inilah menurut Haikal yang dilaksanakan dalam pemerintahan periode awal Islam dan pengaruhnya berkembang secara nya</w:t>
      </w:r>
      <w:r w:rsidR="00350E54">
        <w:rPr>
          <w:rFonts w:asciiTheme="majorBidi" w:hAnsiTheme="majorBidi" w:cstheme="majorBidi"/>
          <w:spacing w:val="-5"/>
          <w:sz w:val="24"/>
          <w:szCs w:val="24"/>
          <w:lang w:val="sv-SE"/>
        </w:rPr>
        <w:t xml:space="preserve">ta di negeri-negeri </w:t>
      </w:r>
      <w:r w:rsidRPr="00615429">
        <w:rPr>
          <w:rFonts w:asciiTheme="majorBidi" w:hAnsiTheme="majorBidi" w:cstheme="majorBidi"/>
          <w:spacing w:val="-5"/>
          <w:sz w:val="24"/>
          <w:szCs w:val="24"/>
          <w:lang w:val="sv-SE"/>
        </w:rPr>
        <w:t>Arab.</w:t>
      </w:r>
      <w:r w:rsidR="00350E54">
        <w:rPr>
          <w:rFonts w:asciiTheme="majorBidi" w:hAnsiTheme="majorBidi" w:cstheme="majorBidi"/>
          <w:spacing w:val="-5"/>
          <w:sz w:val="24"/>
          <w:szCs w:val="24"/>
          <w:lang w:val="sv-SE"/>
        </w:rPr>
        <w:t xml:space="preserve"> </w:t>
      </w:r>
      <w:r w:rsidRPr="00615429">
        <w:rPr>
          <w:rFonts w:asciiTheme="majorBidi" w:hAnsiTheme="majorBidi" w:cstheme="majorBidi"/>
          <w:spacing w:val="-5"/>
          <w:sz w:val="24"/>
          <w:szCs w:val="24"/>
          <w:lang w:val="sv-SE"/>
        </w:rPr>
        <w:t>Tapi dalam perkembangannya kemudian sejalan dengan perkembangan masa, meluasnya wilayah kekuasaan Islam dan peristiwa-peristiwa sejarah, mulailah masuk pengaruh-pengaruh asing yang kadang-kadang bertentangan dengan prinsip –prinsip tersebut.</w:t>
      </w:r>
    </w:p>
    <w:p w:rsidR="00254AC6" w:rsidRPr="007F2FC0" w:rsidRDefault="00254AC6" w:rsidP="00350E54">
      <w:pPr>
        <w:widowControl w:val="0"/>
        <w:kinsoku w:val="0"/>
        <w:overflowPunct w:val="0"/>
        <w:spacing w:before="20" w:after="0" w:line="360" w:lineRule="auto"/>
        <w:ind w:left="180" w:firstLine="630"/>
        <w:jc w:val="both"/>
        <w:textAlignment w:val="baseline"/>
        <w:rPr>
          <w:rFonts w:asciiTheme="majorBidi" w:hAnsiTheme="majorBidi" w:cstheme="majorBidi"/>
          <w:spacing w:val="-3"/>
          <w:sz w:val="24"/>
          <w:szCs w:val="24"/>
        </w:rPr>
      </w:pPr>
      <w:r w:rsidRPr="007F2FC0">
        <w:rPr>
          <w:rFonts w:asciiTheme="majorBidi" w:hAnsiTheme="majorBidi" w:cstheme="majorBidi"/>
          <w:spacing w:val="-2"/>
          <w:sz w:val="24"/>
          <w:szCs w:val="24"/>
        </w:rPr>
        <w:t xml:space="preserve">Oleh karena itu, menurut Haikal, sistem pemerintahan yang Islami adalah sistem yang berusaha merealisir prinsip-prinsip </w:t>
      </w:r>
      <w:r w:rsidRPr="007F2FC0">
        <w:rPr>
          <w:rFonts w:asciiTheme="majorBidi" w:hAnsiTheme="majorBidi" w:cstheme="majorBidi"/>
          <w:spacing w:val="-3"/>
          <w:sz w:val="24"/>
          <w:szCs w:val="24"/>
        </w:rPr>
        <w:t>ajaran Islam yang berpijak pada keyakinan yang benar pada Allah, mengakui Sunnah-Nya di alam semesta yang dapat diperoleh oleh akal bebas manusia dan memikirkannya secara kontinyu, saling tolong menolong kerjasama atas dasar saling mencintai. Setiap individu melaksanakan kewajibannya kepada Allah dan masyarakat, dan masyarakat menunaikan kewajibannya kepada Allah dan individu seluruhnya atas dasar persamaan.</w:t>
      </w:r>
      <w:r w:rsidRPr="007F2FC0">
        <w:rPr>
          <w:rStyle w:val="FootnoteReference"/>
          <w:rFonts w:asciiTheme="majorBidi" w:hAnsiTheme="majorBidi" w:cstheme="majorBidi"/>
          <w:spacing w:val="-3"/>
          <w:sz w:val="24"/>
          <w:szCs w:val="24"/>
        </w:rPr>
        <w:footnoteReference w:id="130"/>
      </w:r>
    </w:p>
    <w:p w:rsidR="00254AC6" w:rsidRPr="00AC1939" w:rsidRDefault="00254AC6" w:rsidP="00787FD4">
      <w:pPr>
        <w:widowControl w:val="0"/>
        <w:kinsoku w:val="0"/>
        <w:overflowPunct w:val="0"/>
        <w:spacing w:before="20" w:after="0" w:line="360" w:lineRule="auto"/>
        <w:ind w:left="180" w:firstLine="540"/>
        <w:jc w:val="both"/>
        <w:textAlignment w:val="baseline"/>
        <w:rPr>
          <w:rFonts w:asciiTheme="majorBidi" w:hAnsiTheme="majorBidi" w:cstheme="majorBidi"/>
          <w:sz w:val="24"/>
          <w:szCs w:val="24"/>
        </w:rPr>
      </w:pPr>
      <w:r w:rsidRPr="007F2FC0">
        <w:rPr>
          <w:rFonts w:asciiTheme="majorBidi" w:hAnsiTheme="majorBidi" w:cstheme="majorBidi"/>
          <w:spacing w:val="-5"/>
          <w:sz w:val="24"/>
          <w:szCs w:val="24"/>
        </w:rPr>
        <w:t>Pandangan Haikal tersebut menunjukkan bahwa Yang pen</w:t>
      </w:r>
      <w:r w:rsidRPr="007F2FC0">
        <w:rPr>
          <w:rFonts w:asciiTheme="majorBidi" w:hAnsiTheme="majorBidi" w:cstheme="majorBidi"/>
          <w:spacing w:val="-5"/>
          <w:sz w:val="24"/>
          <w:szCs w:val="24"/>
        </w:rPr>
        <w:softHyphen/>
        <w:t>ting-baginya bukan sistem, melainkan terealisirnya prinsip-prinsip ajaran Islam. Sebab, sistem pemerintahan Islam yang-berkem</w:t>
      </w:r>
      <w:r w:rsidRPr="007F2FC0">
        <w:rPr>
          <w:rFonts w:asciiTheme="majorBidi" w:hAnsiTheme="majorBidi" w:cstheme="majorBidi"/>
          <w:spacing w:val="-5"/>
          <w:sz w:val="24"/>
          <w:szCs w:val="24"/>
        </w:rPr>
        <w:softHyphen/>
        <w:t xml:space="preserve">bang dalam sejarah tidak hanya ditentukan oleh prinsip-prinsip ajaran saja (faktor </w:t>
      </w:r>
      <w:r w:rsidR="00744D17" w:rsidRPr="00744D17">
        <w:rPr>
          <w:rFonts w:asciiTheme="majorBidi" w:hAnsiTheme="majorBidi" w:cstheme="majorBidi"/>
          <w:i/>
          <w:iCs/>
          <w:spacing w:val="-5"/>
          <w:sz w:val="24"/>
          <w:szCs w:val="24"/>
        </w:rPr>
        <w:t>inter</w:t>
      </w:r>
      <w:r w:rsidRPr="00744D17">
        <w:rPr>
          <w:rFonts w:asciiTheme="majorBidi" w:hAnsiTheme="majorBidi" w:cstheme="majorBidi"/>
          <w:i/>
          <w:iCs/>
          <w:spacing w:val="-5"/>
          <w:sz w:val="24"/>
          <w:szCs w:val="24"/>
        </w:rPr>
        <w:t>n</w:t>
      </w:r>
      <w:r w:rsidRPr="007F2FC0">
        <w:rPr>
          <w:rFonts w:asciiTheme="majorBidi" w:hAnsiTheme="majorBidi" w:cstheme="majorBidi"/>
          <w:spacing w:val="-5"/>
          <w:sz w:val="24"/>
          <w:szCs w:val="24"/>
        </w:rPr>
        <w:t>), tapi juga dipengaruhi oleh situasi lingkungan, sejarah, budaya dan tingkat perkembangan peradab</w:t>
      </w:r>
      <w:r w:rsidRPr="007F2FC0">
        <w:rPr>
          <w:rFonts w:asciiTheme="majorBidi" w:hAnsiTheme="majorBidi" w:cstheme="majorBidi"/>
          <w:spacing w:val="-5"/>
          <w:sz w:val="24"/>
          <w:szCs w:val="24"/>
        </w:rPr>
        <w:softHyphen/>
        <w:t>an dan intelektual. Hal ini terbukti dalam sejarah betapa corak dan bentuk pemerintahan Islam sangat beragam, yang terkadang ber</w:t>
      </w:r>
      <w:r w:rsidRPr="007F2FC0">
        <w:rPr>
          <w:rFonts w:asciiTheme="majorBidi" w:hAnsiTheme="majorBidi" w:cstheme="majorBidi"/>
          <w:sz w:val="24"/>
          <w:szCs w:val="24"/>
        </w:rPr>
        <w:t>tentangan dengan prinsip-prinsip ajaran Islam.</w:t>
      </w:r>
      <w:r w:rsidRPr="007F2FC0">
        <w:rPr>
          <w:rStyle w:val="FootnoteReference"/>
          <w:rFonts w:asciiTheme="majorBidi" w:hAnsiTheme="majorBidi" w:cstheme="majorBidi"/>
          <w:sz w:val="24"/>
          <w:szCs w:val="24"/>
        </w:rPr>
        <w:footnoteReference w:id="131"/>
      </w:r>
    </w:p>
    <w:p w:rsidR="00A42C5D" w:rsidRPr="00C16A93" w:rsidRDefault="00254AC6" w:rsidP="00226FB5">
      <w:pPr>
        <w:pStyle w:val="ListParagraph"/>
        <w:spacing w:line="360" w:lineRule="auto"/>
        <w:ind w:left="180" w:firstLine="540"/>
        <w:jc w:val="both"/>
        <w:rPr>
          <w:rFonts w:asciiTheme="majorBidi" w:hAnsiTheme="majorBidi" w:cstheme="majorBidi"/>
          <w:spacing w:val="6"/>
          <w:sz w:val="24"/>
          <w:szCs w:val="24"/>
        </w:rPr>
      </w:pPr>
      <w:r w:rsidRPr="00C16A93">
        <w:rPr>
          <w:rFonts w:asciiTheme="majorBidi" w:hAnsiTheme="majorBidi" w:cstheme="majorBidi"/>
          <w:spacing w:val="6"/>
          <w:sz w:val="24"/>
          <w:szCs w:val="24"/>
          <w:lang w:val="id-ID"/>
        </w:rPr>
        <w:lastRenderedPageBreak/>
        <w:t xml:space="preserve">Berkaitan dengan fatwa Majelis Ulama Indonesia, </w:t>
      </w:r>
      <w:r w:rsidR="00744D17" w:rsidRPr="00C16A93">
        <w:rPr>
          <w:rFonts w:asciiTheme="majorBidi" w:hAnsiTheme="majorBidi" w:cstheme="majorBidi"/>
          <w:spacing w:val="6"/>
          <w:sz w:val="24"/>
          <w:szCs w:val="24"/>
        </w:rPr>
        <w:t xml:space="preserve">tampaknya dinamika </w:t>
      </w:r>
      <w:r w:rsidRPr="00C16A93">
        <w:rPr>
          <w:rFonts w:asciiTheme="majorBidi" w:hAnsiTheme="majorBidi" w:cstheme="majorBidi"/>
          <w:spacing w:val="6"/>
          <w:sz w:val="24"/>
          <w:szCs w:val="24"/>
        </w:rPr>
        <w:t>peranan MUI tidak bisa lepas dari dinamika kehidupan berbangsa dan bernegara. Pasang surut kondisi sosial politik Indonesia sangat berpengaruh dalam langgam dan starategi MUI (</w:t>
      </w:r>
      <w:r w:rsidRPr="00C16A93">
        <w:rPr>
          <w:rFonts w:asciiTheme="majorBidi" w:hAnsiTheme="majorBidi" w:cstheme="majorBidi"/>
          <w:i/>
          <w:iCs/>
          <w:spacing w:val="6"/>
          <w:sz w:val="24"/>
          <w:szCs w:val="24"/>
        </w:rPr>
        <w:t>siyāsah  syar’iyyah</w:t>
      </w:r>
      <w:r w:rsidRPr="00C16A93">
        <w:rPr>
          <w:rFonts w:asciiTheme="majorBidi" w:hAnsiTheme="majorBidi" w:cstheme="majorBidi"/>
          <w:spacing w:val="6"/>
          <w:sz w:val="24"/>
          <w:szCs w:val="24"/>
        </w:rPr>
        <w:t xml:space="preserve">). Hal ini mengingat MUI merupakan bagian tak terpisahakan dari komponen bangsa Indonesia. </w:t>
      </w:r>
      <w:r w:rsidRPr="00C16A93">
        <w:rPr>
          <w:rFonts w:asciiTheme="majorBidi" w:hAnsiTheme="majorBidi" w:cstheme="majorBidi"/>
          <w:spacing w:val="6"/>
          <w:sz w:val="24"/>
          <w:szCs w:val="24"/>
          <w:lang w:val="sv-SE"/>
        </w:rPr>
        <w:t>Penelitian</w:t>
      </w:r>
      <w:r w:rsidRPr="00C16A93">
        <w:rPr>
          <w:rFonts w:asciiTheme="majorBidi" w:hAnsiTheme="majorBidi" w:cstheme="majorBidi"/>
          <w:spacing w:val="6"/>
          <w:sz w:val="24"/>
          <w:szCs w:val="24"/>
          <w:lang w:val="id-ID"/>
        </w:rPr>
        <w:t xml:space="preserve"> ini berupaya menguji hasil upaya </w:t>
      </w:r>
      <w:r w:rsidR="00352AE0" w:rsidRPr="00C16A93">
        <w:rPr>
          <w:rFonts w:asciiTheme="majorBidi" w:hAnsiTheme="majorBidi" w:cstheme="majorBidi"/>
          <w:spacing w:val="6"/>
          <w:sz w:val="24"/>
          <w:szCs w:val="24"/>
          <w:lang w:val="sv-SE"/>
        </w:rPr>
        <w:t xml:space="preserve">MUI dalam merumuskan </w:t>
      </w:r>
      <w:r w:rsidRPr="00C16A93">
        <w:rPr>
          <w:rFonts w:asciiTheme="majorBidi" w:hAnsiTheme="majorBidi" w:cstheme="majorBidi"/>
          <w:spacing w:val="6"/>
          <w:sz w:val="24"/>
          <w:szCs w:val="24"/>
          <w:lang w:val="id-ID"/>
        </w:rPr>
        <w:t xml:space="preserve">fatwa, apakah fatwa-fatwa itu </w:t>
      </w:r>
      <w:r w:rsidRPr="00C16A93">
        <w:rPr>
          <w:rFonts w:asciiTheme="majorBidi" w:hAnsiTheme="majorBidi" w:cstheme="majorBidi"/>
          <w:spacing w:val="6"/>
          <w:sz w:val="24"/>
          <w:szCs w:val="24"/>
        </w:rPr>
        <w:t>relevan dengan</w:t>
      </w:r>
      <w:r w:rsidR="00935775" w:rsidRPr="00C16A93">
        <w:rPr>
          <w:rFonts w:asciiTheme="majorBidi" w:hAnsiTheme="majorBidi" w:cstheme="majorBidi"/>
          <w:spacing w:val="6"/>
          <w:sz w:val="24"/>
          <w:szCs w:val="24"/>
        </w:rPr>
        <w:t xml:space="preserve"> </w:t>
      </w:r>
      <w:r w:rsidRPr="00C16A93">
        <w:rPr>
          <w:rFonts w:asciiTheme="majorBidi" w:hAnsiTheme="majorBidi" w:cstheme="majorBidi"/>
          <w:i/>
          <w:iCs/>
          <w:sz w:val="24"/>
          <w:szCs w:val="24"/>
        </w:rPr>
        <w:t>siyāsah</w:t>
      </w:r>
      <w:r w:rsidRPr="00C16A93">
        <w:rPr>
          <w:rFonts w:asciiTheme="majorBidi" w:hAnsiTheme="majorBidi" w:cstheme="majorBidi"/>
          <w:i/>
          <w:iCs/>
          <w:spacing w:val="6"/>
          <w:sz w:val="24"/>
          <w:szCs w:val="24"/>
        </w:rPr>
        <w:t xml:space="preserve"> </w:t>
      </w:r>
      <w:r w:rsidR="00CC1D08" w:rsidRPr="00C16A93">
        <w:rPr>
          <w:rFonts w:asciiTheme="majorBidi" w:hAnsiTheme="majorBidi" w:cstheme="majorBidi"/>
          <w:i/>
          <w:iCs/>
          <w:spacing w:val="6"/>
          <w:sz w:val="24"/>
          <w:szCs w:val="24"/>
        </w:rPr>
        <w:t>syar‘i</w:t>
      </w:r>
      <w:r w:rsidR="008C6CDA" w:rsidRPr="00C16A93">
        <w:rPr>
          <w:rFonts w:asciiTheme="majorBidi" w:hAnsiTheme="majorBidi" w:cstheme="majorBidi"/>
          <w:i/>
          <w:iCs/>
          <w:spacing w:val="6"/>
          <w:sz w:val="24"/>
          <w:szCs w:val="24"/>
        </w:rPr>
        <w:t>y</w:t>
      </w:r>
      <w:r w:rsidR="00CC1D08" w:rsidRPr="00C16A93">
        <w:rPr>
          <w:rFonts w:asciiTheme="majorBidi" w:hAnsiTheme="majorBidi" w:cstheme="majorBidi"/>
          <w:i/>
          <w:iCs/>
          <w:spacing w:val="6"/>
          <w:sz w:val="24"/>
          <w:szCs w:val="24"/>
        </w:rPr>
        <w:t>yah</w:t>
      </w:r>
      <w:r w:rsidRPr="00C16A93">
        <w:rPr>
          <w:rFonts w:asciiTheme="majorBidi" w:hAnsiTheme="majorBidi" w:cstheme="majorBidi"/>
          <w:spacing w:val="6"/>
          <w:sz w:val="24"/>
          <w:szCs w:val="24"/>
          <w:lang w:val="id-ID"/>
        </w:rPr>
        <w:t xml:space="preserve"> </w:t>
      </w:r>
      <w:r w:rsidR="004227B8" w:rsidRPr="00C16A93">
        <w:rPr>
          <w:rFonts w:asciiTheme="majorBidi" w:hAnsiTheme="majorBidi" w:cstheme="majorBidi"/>
          <w:spacing w:val="6"/>
          <w:sz w:val="24"/>
          <w:szCs w:val="24"/>
        </w:rPr>
        <w:t xml:space="preserve"> </w:t>
      </w:r>
      <w:r w:rsidR="00C16A93">
        <w:rPr>
          <w:rFonts w:asciiTheme="majorBidi" w:hAnsiTheme="majorBidi" w:cstheme="majorBidi"/>
          <w:spacing w:val="6"/>
          <w:sz w:val="24"/>
          <w:szCs w:val="24"/>
        </w:rPr>
        <w:t>dalam upaya pemba</w:t>
      </w:r>
      <w:r w:rsidRPr="00C16A93">
        <w:rPr>
          <w:rFonts w:asciiTheme="majorBidi" w:hAnsiTheme="majorBidi" w:cstheme="majorBidi"/>
          <w:spacing w:val="6"/>
          <w:sz w:val="24"/>
          <w:szCs w:val="24"/>
        </w:rPr>
        <w:t xml:space="preserve">ruan hukum keluarga Islam di Indonesia. </w:t>
      </w:r>
    </w:p>
    <w:p w:rsidR="00BC41DD" w:rsidRPr="00026814" w:rsidRDefault="00BC41DD" w:rsidP="00A33E46">
      <w:pPr>
        <w:pStyle w:val="ListParagraph"/>
        <w:numPr>
          <w:ilvl w:val="0"/>
          <w:numId w:val="9"/>
        </w:numPr>
        <w:spacing w:after="0" w:line="360" w:lineRule="auto"/>
        <w:ind w:left="360"/>
        <w:jc w:val="both"/>
        <w:rPr>
          <w:rFonts w:asciiTheme="majorBidi" w:hAnsiTheme="majorBidi" w:cstheme="majorBidi"/>
          <w:b/>
          <w:bCs/>
          <w:sz w:val="24"/>
          <w:szCs w:val="24"/>
          <w:lang w:val="sv-SE"/>
        </w:rPr>
      </w:pPr>
      <w:r w:rsidRPr="00026814">
        <w:rPr>
          <w:rFonts w:asciiTheme="majorBidi" w:hAnsiTheme="majorBidi" w:cstheme="majorBidi"/>
          <w:b/>
          <w:bCs/>
          <w:sz w:val="24"/>
          <w:szCs w:val="24"/>
          <w:lang w:val="sv-SE"/>
        </w:rPr>
        <w:t>Metode Penelitian</w:t>
      </w:r>
    </w:p>
    <w:p w:rsidR="00BC41DD" w:rsidRPr="0084470C" w:rsidRDefault="00D25081" w:rsidP="00226FB5">
      <w:pPr>
        <w:spacing w:after="0" w:line="360" w:lineRule="auto"/>
        <w:ind w:left="90" w:firstLine="630"/>
        <w:contextualSpacing/>
        <w:jc w:val="both"/>
        <w:rPr>
          <w:rFonts w:asciiTheme="majorBidi" w:hAnsiTheme="majorBidi" w:cstheme="majorBidi"/>
          <w:bCs/>
          <w:sz w:val="24"/>
          <w:szCs w:val="24"/>
          <w:lang w:val="sv-SE" w:eastAsia="en-GB"/>
        </w:rPr>
      </w:pPr>
      <w:bookmarkStart w:id="5" w:name="OLE_LINK224"/>
      <w:bookmarkStart w:id="6" w:name="OLE_LINK223"/>
      <w:r>
        <w:rPr>
          <w:rFonts w:asciiTheme="majorBidi" w:hAnsiTheme="majorBidi" w:cstheme="majorBidi"/>
          <w:bCs/>
          <w:sz w:val="24"/>
          <w:szCs w:val="24"/>
          <w:lang w:val="sv-SE" w:eastAsia="en-GB"/>
        </w:rPr>
        <w:t>Pene</w:t>
      </w:r>
      <w:r w:rsidR="00BC41DD">
        <w:rPr>
          <w:rFonts w:asciiTheme="majorBidi" w:hAnsiTheme="majorBidi" w:cstheme="majorBidi"/>
          <w:bCs/>
          <w:sz w:val="24"/>
          <w:szCs w:val="24"/>
          <w:lang w:val="sv-SE" w:eastAsia="en-GB"/>
        </w:rPr>
        <w:t>litian ini merupakan penelitian terhadap fatwa ulama yang merupakan salah satu produk pemikiran hukum Islam.</w:t>
      </w:r>
      <w:r w:rsidR="00BC41DD">
        <w:rPr>
          <w:rStyle w:val="FootnoteReference"/>
          <w:rFonts w:asciiTheme="majorBidi" w:hAnsiTheme="majorBidi" w:cstheme="majorBidi"/>
          <w:bCs/>
          <w:sz w:val="24"/>
          <w:szCs w:val="24"/>
          <w:lang w:val="sv-SE" w:eastAsia="en-GB"/>
        </w:rPr>
        <w:footnoteReference w:id="132"/>
      </w:r>
      <w:r w:rsidR="00BC41DD">
        <w:rPr>
          <w:rFonts w:asciiTheme="majorBidi" w:hAnsiTheme="majorBidi" w:cstheme="majorBidi"/>
          <w:bCs/>
          <w:sz w:val="24"/>
          <w:szCs w:val="24"/>
          <w:lang w:val="sv-SE" w:eastAsia="en-GB"/>
        </w:rPr>
        <w:t xml:space="preserve"> Maka </w:t>
      </w:r>
      <w:r w:rsidR="00BC41DD" w:rsidRPr="0084470C">
        <w:rPr>
          <w:rFonts w:asciiTheme="majorBidi" w:hAnsiTheme="majorBidi" w:cstheme="majorBidi"/>
          <w:bCs/>
          <w:sz w:val="24"/>
          <w:szCs w:val="24"/>
          <w:lang w:val="sv-SE" w:eastAsia="en-GB"/>
        </w:rPr>
        <w:t>dalam pembahasan penelitian ini, penulis menggunakan metod</w:t>
      </w:r>
      <w:r w:rsidR="0025575E">
        <w:rPr>
          <w:rFonts w:asciiTheme="majorBidi" w:hAnsiTheme="majorBidi" w:cstheme="majorBidi"/>
          <w:bCs/>
          <w:sz w:val="24"/>
          <w:szCs w:val="24"/>
          <w:lang w:val="sv-SE" w:eastAsia="en-GB"/>
        </w:rPr>
        <w:t xml:space="preserve">e </w:t>
      </w:r>
      <w:r w:rsidR="00BC41DD" w:rsidRPr="0084470C">
        <w:rPr>
          <w:rFonts w:asciiTheme="majorBidi" w:hAnsiTheme="majorBidi" w:cstheme="majorBidi"/>
          <w:bCs/>
          <w:sz w:val="24"/>
          <w:szCs w:val="24"/>
          <w:lang w:val="sv-SE" w:eastAsia="en-GB"/>
        </w:rPr>
        <w:t>sebagai berikut:</w:t>
      </w:r>
    </w:p>
    <w:p w:rsidR="00BC41DD" w:rsidRPr="0084470C" w:rsidRDefault="00BC41DD" w:rsidP="00A33E46">
      <w:pPr>
        <w:numPr>
          <w:ilvl w:val="0"/>
          <w:numId w:val="1"/>
        </w:numPr>
        <w:tabs>
          <w:tab w:val="clear" w:pos="720"/>
          <w:tab w:val="num" w:pos="270"/>
        </w:tabs>
        <w:spacing w:after="0" w:line="360" w:lineRule="auto"/>
        <w:ind w:left="360" w:firstLine="0"/>
        <w:contextualSpacing/>
        <w:jc w:val="both"/>
        <w:rPr>
          <w:rFonts w:asciiTheme="majorBidi" w:hAnsiTheme="majorBidi" w:cstheme="majorBidi"/>
          <w:bCs/>
          <w:sz w:val="24"/>
          <w:szCs w:val="24"/>
          <w:lang w:val="sv-SE" w:eastAsia="en-GB"/>
        </w:rPr>
      </w:pPr>
      <w:r>
        <w:rPr>
          <w:rFonts w:asciiTheme="majorBidi" w:hAnsiTheme="majorBidi" w:cstheme="majorBidi"/>
          <w:bCs/>
          <w:sz w:val="24"/>
          <w:szCs w:val="24"/>
          <w:lang w:val="sv-SE" w:eastAsia="en-GB"/>
        </w:rPr>
        <w:t xml:space="preserve"> </w:t>
      </w:r>
      <w:r w:rsidRPr="0084470C">
        <w:rPr>
          <w:rFonts w:asciiTheme="majorBidi" w:hAnsiTheme="majorBidi" w:cstheme="majorBidi"/>
          <w:bCs/>
          <w:sz w:val="24"/>
          <w:szCs w:val="24"/>
          <w:lang w:val="sv-SE" w:eastAsia="en-GB"/>
        </w:rPr>
        <w:t>Jenis Penelitian.</w:t>
      </w:r>
    </w:p>
    <w:p w:rsidR="00BC41DD" w:rsidRPr="0084470C" w:rsidRDefault="00BC41DD" w:rsidP="00A33E46">
      <w:pPr>
        <w:pStyle w:val="msonormalcxspmiddlecxspmiddle"/>
        <w:spacing w:before="0" w:beforeAutospacing="0" w:after="0" w:afterAutospacing="0" w:line="360" w:lineRule="auto"/>
        <w:ind w:left="450" w:firstLine="720"/>
        <w:contextualSpacing/>
        <w:jc w:val="both"/>
        <w:rPr>
          <w:rFonts w:asciiTheme="majorBidi" w:hAnsiTheme="majorBidi" w:cstheme="majorBidi"/>
          <w:lang w:val="sv-SE"/>
        </w:rPr>
      </w:pPr>
      <w:r w:rsidRPr="0084470C">
        <w:rPr>
          <w:rFonts w:asciiTheme="majorBidi" w:hAnsiTheme="majorBidi" w:cstheme="majorBidi"/>
          <w:bCs/>
          <w:lang w:val="sv-SE"/>
        </w:rPr>
        <w:t xml:space="preserve">Seperti tergambar dalam pembatasan dan rumusan masalah, maka jenis penelitian ini adalah </w:t>
      </w:r>
      <w:r w:rsidRPr="0084470C">
        <w:rPr>
          <w:rFonts w:asciiTheme="majorBidi" w:hAnsiTheme="majorBidi" w:cstheme="majorBidi"/>
          <w:i/>
          <w:iCs/>
          <w:lang w:val="sv-SE"/>
        </w:rPr>
        <w:t>library research</w:t>
      </w:r>
      <w:r w:rsidRPr="0084470C">
        <w:rPr>
          <w:rFonts w:asciiTheme="majorBidi" w:hAnsiTheme="majorBidi" w:cstheme="majorBidi"/>
          <w:lang w:val="sv-SE"/>
        </w:rPr>
        <w:t xml:space="preserve"> (kajian kepustakaan) yaitu dengan cara penelusuran, pengumpulan, mengklarifikasi serta menela’ah data-data dari berbagai </w:t>
      </w:r>
      <w:r w:rsidRPr="0025575E">
        <w:rPr>
          <w:rFonts w:asciiTheme="majorBidi" w:hAnsiTheme="majorBidi" w:cstheme="majorBidi"/>
          <w:lang w:val="sv-SE"/>
        </w:rPr>
        <w:t>literatur</w:t>
      </w:r>
      <w:r w:rsidR="0025575E">
        <w:rPr>
          <w:rFonts w:asciiTheme="majorBidi" w:hAnsiTheme="majorBidi" w:cstheme="majorBidi"/>
          <w:lang w:val="sv-SE"/>
        </w:rPr>
        <w:t xml:space="preserve"> </w:t>
      </w:r>
      <w:r w:rsidRPr="0084470C">
        <w:rPr>
          <w:rFonts w:asciiTheme="majorBidi" w:hAnsiTheme="majorBidi" w:cstheme="majorBidi"/>
          <w:lang w:val="sv-SE"/>
        </w:rPr>
        <w:t>yang berkaitan dengan inti permasalahan guna mendapatkan asas-asas dan konsep tentang persoalan yang menjadi obyek penelitian</w:t>
      </w:r>
      <w:r w:rsidRPr="0084470C">
        <w:rPr>
          <w:rStyle w:val="FootnoteReference"/>
          <w:rFonts w:asciiTheme="majorBidi" w:hAnsiTheme="majorBidi" w:cstheme="majorBidi"/>
          <w:lang w:val="sv-SE"/>
        </w:rPr>
        <w:footnoteReference w:id="133"/>
      </w:r>
      <w:r w:rsidRPr="0084470C">
        <w:rPr>
          <w:rFonts w:asciiTheme="majorBidi" w:hAnsiTheme="majorBidi" w:cstheme="majorBidi"/>
          <w:lang w:val="sv-SE"/>
        </w:rPr>
        <w:t xml:space="preserve"> yaitu masalah</w:t>
      </w:r>
      <w:r>
        <w:rPr>
          <w:rFonts w:asciiTheme="majorBidi" w:hAnsiTheme="majorBidi" w:cstheme="majorBidi"/>
          <w:lang w:val="sv-SE"/>
        </w:rPr>
        <w:t xml:space="preserve"> penarapan </w:t>
      </w:r>
      <w:r w:rsidR="00881BDC">
        <w:rPr>
          <w:rFonts w:asciiTheme="majorBidi" w:hAnsiTheme="majorBidi" w:cstheme="majorBidi"/>
          <w:i/>
          <w:iCs/>
          <w:lang w:val="sv-SE"/>
        </w:rPr>
        <w:t xml:space="preserve">siyāsah </w:t>
      </w:r>
      <w:r w:rsidRPr="00DC162C">
        <w:rPr>
          <w:rFonts w:asciiTheme="majorBidi" w:hAnsiTheme="majorBidi" w:cstheme="majorBidi"/>
          <w:i/>
          <w:iCs/>
          <w:lang w:val="sv-SE"/>
        </w:rPr>
        <w:t xml:space="preserve"> </w:t>
      </w:r>
      <w:r w:rsidR="00CC1D08">
        <w:rPr>
          <w:rFonts w:asciiTheme="majorBidi" w:hAnsiTheme="majorBidi" w:cstheme="majorBidi"/>
          <w:i/>
          <w:iCs/>
          <w:lang w:val="sv-SE"/>
        </w:rPr>
        <w:t>syar‘iyah</w:t>
      </w:r>
      <w:r>
        <w:rPr>
          <w:rFonts w:asciiTheme="majorBidi" w:hAnsiTheme="majorBidi" w:cstheme="majorBidi"/>
          <w:lang w:val="sv-SE"/>
        </w:rPr>
        <w:t xml:space="preserve"> dalam</w:t>
      </w:r>
      <w:r w:rsidRPr="0084470C">
        <w:rPr>
          <w:rFonts w:asciiTheme="majorBidi" w:hAnsiTheme="majorBidi" w:cstheme="majorBidi"/>
          <w:lang w:val="sv-SE"/>
        </w:rPr>
        <w:t xml:space="preserve"> </w:t>
      </w:r>
      <w:bookmarkEnd w:id="5"/>
      <w:bookmarkEnd w:id="6"/>
      <w:r>
        <w:rPr>
          <w:lang w:val="sv-SE"/>
        </w:rPr>
        <w:t xml:space="preserve">fatwa hukum keluarga yang dikeluarkan oleh Majelis Ulama Indonesia. </w:t>
      </w:r>
    </w:p>
    <w:p w:rsidR="005B5766" w:rsidRPr="005B5766" w:rsidRDefault="00BC41DD" w:rsidP="00A33E46">
      <w:pPr>
        <w:pStyle w:val="ListParagraph"/>
        <w:numPr>
          <w:ilvl w:val="0"/>
          <w:numId w:val="1"/>
        </w:numPr>
        <w:tabs>
          <w:tab w:val="clear" w:pos="720"/>
          <w:tab w:val="num" w:pos="630"/>
        </w:tabs>
        <w:spacing w:after="0" w:line="360" w:lineRule="auto"/>
        <w:ind w:left="360" w:firstLine="0"/>
        <w:jc w:val="both"/>
        <w:rPr>
          <w:rFonts w:asciiTheme="majorBidi" w:hAnsiTheme="majorBidi" w:cstheme="majorBidi"/>
          <w:sz w:val="24"/>
          <w:szCs w:val="24"/>
          <w:lang w:val="sv-SE" w:eastAsia="en-GB"/>
        </w:rPr>
      </w:pPr>
      <w:r w:rsidRPr="005B5766">
        <w:rPr>
          <w:rFonts w:asciiTheme="majorBidi" w:hAnsiTheme="majorBidi" w:cstheme="majorBidi"/>
          <w:sz w:val="24"/>
          <w:szCs w:val="24"/>
          <w:lang w:val="sv-SE" w:eastAsia="en-GB"/>
        </w:rPr>
        <w:t>Sifat Penelitian.</w:t>
      </w:r>
    </w:p>
    <w:p w:rsidR="00C259B9" w:rsidRPr="00D026E3" w:rsidRDefault="005A359F" w:rsidP="00A33E46">
      <w:pPr>
        <w:pStyle w:val="ListParagraph"/>
        <w:spacing w:after="0" w:line="360" w:lineRule="auto"/>
        <w:ind w:left="450" w:firstLine="630"/>
        <w:jc w:val="both"/>
        <w:rPr>
          <w:rFonts w:asciiTheme="majorBidi" w:hAnsiTheme="majorBidi" w:cstheme="majorBidi"/>
          <w:sz w:val="24"/>
          <w:szCs w:val="24"/>
          <w:lang w:val="sv-SE" w:eastAsia="en-GB"/>
        </w:rPr>
      </w:pPr>
      <w:r>
        <w:rPr>
          <w:rFonts w:asciiTheme="majorBidi" w:hAnsiTheme="majorBidi" w:cstheme="majorBidi"/>
          <w:sz w:val="24"/>
          <w:szCs w:val="24"/>
          <w:lang w:val="sv-SE" w:eastAsia="en-GB"/>
        </w:rPr>
        <w:t xml:space="preserve">Penelitian ini </w:t>
      </w:r>
      <w:r w:rsidR="00BC41DD" w:rsidRPr="005B5766">
        <w:rPr>
          <w:rFonts w:asciiTheme="majorBidi" w:hAnsiTheme="majorBidi" w:cstheme="majorBidi"/>
          <w:sz w:val="24"/>
          <w:szCs w:val="24"/>
          <w:lang w:val="sv-SE" w:eastAsia="en-GB"/>
        </w:rPr>
        <w:t>bersifat</w:t>
      </w:r>
      <w:r>
        <w:rPr>
          <w:rFonts w:asciiTheme="majorBidi" w:hAnsiTheme="majorBidi" w:cstheme="majorBidi"/>
          <w:sz w:val="24"/>
          <w:szCs w:val="24"/>
          <w:lang w:val="sv-SE" w:eastAsia="en-GB"/>
        </w:rPr>
        <w:t xml:space="preserve"> </w:t>
      </w:r>
      <w:r w:rsidR="00BC41DD" w:rsidRPr="005B5766">
        <w:rPr>
          <w:rFonts w:asciiTheme="majorBidi" w:hAnsiTheme="majorBidi" w:cstheme="majorBidi"/>
          <w:i/>
          <w:iCs/>
          <w:sz w:val="24"/>
          <w:szCs w:val="24"/>
          <w:lang w:val="sv-SE" w:eastAsia="en-GB"/>
        </w:rPr>
        <w:t>deskriptif analitik</w:t>
      </w:r>
      <w:r>
        <w:rPr>
          <w:rFonts w:asciiTheme="majorBidi" w:hAnsiTheme="majorBidi" w:cstheme="majorBidi"/>
          <w:sz w:val="24"/>
          <w:szCs w:val="24"/>
          <w:lang w:val="sv-SE" w:eastAsia="en-GB"/>
        </w:rPr>
        <w:t xml:space="preserve">, </w:t>
      </w:r>
      <w:r w:rsidR="00BC41DD" w:rsidRPr="005B5766">
        <w:rPr>
          <w:rFonts w:asciiTheme="majorBidi" w:hAnsiTheme="majorBidi" w:cstheme="majorBidi"/>
          <w:sz w:val="24"/>
          <w:szCs w:val="24"/>
          <w:lang w:val="sv-SE" w:eastAsia="en-GB"/>
        </w:rPr>
        <w:t>yaitu dengan menggambarkan dan menguraikan secara sistematis materi-materi pembahasan yang yang diperoleh dari berbagai sumber kemudian dianalisa untuk memperoleh hasil penelitian.</w:t>
      </w:r>
      <w:r w:rsidR="00BC41DD" w:rsidRPr="0084470C">
        <w:rPr>
          <w:rStyle w:val="FootnoteReference"/>
          <w:rFonts w:asciiTheme="majorBidi" w:hAnsiTheme="majorBidi" w:cstheme="majorBidi"/>
          <w:sz w:val="24"/>
          <w:szCs w:val="24"/>
          <w:lang w:val="sv-SE" w:eastAsia="en-GB"/>
        </w:rPr>
        <w:footnoteReference w:id="134"/>
      </w:r>
    </w:p>
    <w:p w:rsidR="00BC41DD" w:rsidRPr="0084470C" w:rsidRDefault="00BC41DD" w:rsidP="00A33E46">
      <w:pPr>
        <w:pStyle w:val="ListParagraph"/>
        <w:spacing w:after="0" w:line="360" w:lineRule="auto"/>
        <w:ind w:left="0" w:firstLine="450"/>
        <w:jc w:val="both"/>
        <w:rPr>
          <w:rFonts w:asciiTheme="majorBidi" w:hAnsiTheme="majorBidi" w:cstheme="majorBidi"/>
          <w:sz w:val="24"/>
          <w:szCs w:val="24"/>
          <w:lang w:val="sv-SE" w:eastAsia="en-GB"/>
        </w:rPr>
      </w:pPr>
      <w:r w:rsidRPr="0084470C">
        <w:rPr>
          <w:rFonts w:asciiTheme="majorBidi" w:hAnsiTheme="majorBidi" w:cstheme="majorBidi"/>
          <w:sz w:val="24"/>
          <w:szCs w:val="24"/>
          <w:lang w:val="sv-SE" w:eastAsia="en-GB"/>
        </w:rPr>
        <w:lastRenderedPageBreak/>
        <w:t>3. Sumber Data</w:t>
      </w:r>
    </w:p>
    <w:p w:rsidR="00BC41DD" w:rsidRPr="008B02A1" w:rsidRDefault="00BC41DD" w:rsidP="00A33E46">
      <w:pPr>
        <w:spacing w:after="0" w:line="360" w:lineRule="auto"/>
        <w:ind w:left="450" w:firstLine="630"/>
        <w:jc w:val="both"/>
        <w:rPr>
          <w:rFonts w:asciiTheme="majorBidi" w:hAnsiTheme="majorBidi" w:cstheme="majorBidi"/>
          <w:sz w:val="24"/>
          <w:szCs w:val="24"/>
          <w:lang w:val="sv-SE"/>
        </w:rPr>
      </w:pPr>
      <w:r w:rsidRPr="008B02A1">
        <w:rPr>
          <w:rFonts w:asciiTheme="majorBidi" w:hAnsiTheme="majorBidi" w:cstheme="majorBidi"/>
          <w:sz w:val="24"/>
          <w:szCs w:val="24"/>
          <w:lang w:val="sv-SE"/>
        </w:rPr>
        <w:t>Dalam penelitian ini ada dua sumber</w:t>
      </w:r>
      <w:r w:rsidR="00975574" w:rsidRPr="008B02A1">
        <w:rPr>
          <w:rFonts w:asciiTheme="majorBidi" w:hAnsiTheme="majorBidi" w:cstheme="majorBidi"/>
          <w:sz w:val="24"/>
          <w:szCs w:val="24"/>
          <w:lang w:val="sv-SE"/>
        </w:rPr>
        <w:t xml:space="preserve"> data</w:t>
      </w:r>
      <w:r w:rsidRPr="008B02A1">
        <w:rPr>
          <w:rFonts w:asciiTheme="majorBidi" w:hAnsiTheme="majorBidi" w:cstheme="majorBidi"/>
          <w:sz w:val="24"/>
          <w:szCs w:val="24"/>
          <w:lang w:val="sv-SE"/>
        </w:rPr>
        <w:t xml:space="preserve"> yang menjadi landasan</w:t>
      </w:r>
      <w:r w:rsidR="00062BE1" w:rsidRPr="008B02A1">
        <w:rPr>
          <w:rFonts w:asciiTheme="majorBidi" w:hAnsiTheme="majorBidi" w:cstheme="majorBidi"/>
          <w:sz w:val="24"/>
          <w:szCs w:val="24"/>
          <w:lang w:val="sv-SE"/>
        </w:rPr>
        <w:t xml:space="preserve">; </w:t>
      </w:r>
      <w:r w:rsidRPr="008B02A1">
        <w:rPr>
          <w:rFonts w:asciiTheme="majorBidi" w:hAnsiTheme="majorBidi" w:cstheme="majorBidi"/>
          <w:i/>
          <w:iCs/>
          <w:sz w:val="24"/>
          <w:szCs w:val="24"/>
          <w:lang w:val="sv-SE"/>
        </w:rPr>
        <w:t xml:space="preserve">pertama </w:t>
      </w:r>
      <w:r w:rsidRPr="008B02A1">
        <w:rPr>
          <w:rFonts w:asciiTheme="majorBidi" w:hAnsiTheme="majorBidi" w:cstheme="majorBidi"/>
          <w:sz w:val="24"/>
          <w:szCs w:val="24"/>
          <w:lang w:val="sv-SE"/>
        </w:rPr>
        <w:t xml:space="preserve">adalah data yang diperoleh dari sumber utama atau sumber </w:t>
      </w:r>
      <w:r w:rsidRPr="008B02A1">
        <w:rPr>
          <w:rFonts w:asciiTheme="majorBidi" w:hAnsiTheme="majorBidi" w:cstheme="majorBidi"/>
          <w:i/>
          <w:iCs/>
          <w:sz w:val="24"/>
          <w:szCs w:val="24"/>
          <w:lang w:val="sv-SE"/>
        </w:rPr>
        <w:t>primer,</w:t>
      </w:r>
      <w:r w:rsidRPr="008B02A1">
        <w:rPr>
          <w:rStyle w:val="FootnoteReference"/>
          <w:rFonts w:asciiTheme="majorBidi" w:hAnsiTheme="majorBidi" w:cstheme="majorBidi"/>
          <w:sz w:val="24"/>
          <w:szCs w:val="24"/>
        </w:rPr>
        <w:footnoteReference w:id="135"/>
      </w:r>
      <w:r w:rsidRPr="008B02A1">
        <w:rPr>
          <w:rFonts w:asciiTheme="majorBidi" w:hAnsiTheme="majorBidi" w:cstheme="majorBidi"/>
          <w:sz w:val="24"/>
          <w:szCs w:val="24"/>
          <w:lang w:val="sv-SE"/>
        </w:rPr>
        <w:t xml:space="preserve"> yaitu data yang diperoleh dari Komisi fatw</w:t>
      </w:r>
      <w:r w:rsidR="00095880" w:rsidRPr="008B02A1">
        <w:rPr>
          <w:rFonts w:asciiTheme="majorBidi" w:hAnsiTheme="majorBidi" w:cstheme="majorBidi"/>
          <w:sz w:val="24"/>
          <w:szCs w:val="24"/>
          <w:lang w:val="sv-SE"/>
        </w:rPr>
        <w:t>a MUI seputar fatwa permas</w:t>
      </w:r>
      <w:r w:rsidR="00062BE1" w:rsidRPr="008B02A1">
        <w:rPr>
          <w:rFonts w:asciiTheme="majorBidi" w:hAnsiTheme="majorBidi" w:cstheme="majorBidi"/>
          <w:sz w:val="24"/>
          <w:szCs w:val="24"/>
          <w:lang w:val="sv-SE"/>
        </w:rPr>
        <w:t>a</w:t>
      </w:r>
      <w:r w:rsidR="00095880" w:rsidRPr="008B02A1">
        <w:rPr>
          <w:rFonts w:asciiTheme="majorBidi" w:hAnsiTheme="majorBidi" w:cstheme="majorBidi"/>
          <w:sz w:val="24"/>
          <w:szCs w:val="24"/>
          <w:lang w:val="sv-SE"/>
        </w:rPr>
        <w:t xml:space="preserve">lahan </w:t>
      </w:r>
      <w:r w:rsidR="00215D7C" w:rsidRPr="008B02A1">
        <w:rPr>
          <w:rFonts w:asciiTheme="majorBidi" w:hAnsiTheme="majorBidi" w:cstheme="majorBidi"/>
          <w:sz w:val="24"/>
          <w:szCs w:val="24"/>
          <w:lang w:val="sv-SE"/>
        </w:rPr>
        <w:t>hukum keluarga, kemudian buku</w:t>
      </w:r>
      <w:r w:rsidRPr="008B02A1">
        <w:rPr>
          <w:rFonts w:asciiTheme="majorBidi" w:hAnsiTheme="majorBidi" w:cstheme="majorBidi"/>
          <w:sz w:val="24"/>
          <w:szCs w:val="24"/>
          <w:lang w:val="sv-SE"/>
        </w:rPr>
        <w:t>–buku yang membahas masalah fatwa,</w:t>
      </w:r>
      <w:r w:rsidR="00975574" w:rsidRPr="008B02A1">
        <w:rPr>
          <w:rFonts w:asciiTheme="majorBidi" w:hAnsiTheme="majorBidi" w:cstheme="majorBidi"/>
          <w:sz w:val="24"/>
          <w:szCs w:val="24"/>
          <w:lang w:val="sv-SE"/>
        </w:rPr>
        <w:t xml:space="preserve"> baik dalam kitab-kitab klasik maupun kontemporer,</w:t>
      </w:r>
      <w:r w:rsidRPr="008B02A1">
        <w:rPr>
          <w:rFonts w:asciiTheme="majorBidi" w:hAnsiTheme="majorBidi" w:cstheme="majorBidi"/>
          <w:sz w:val="24"/>
          <w:szCs w:val="24"/>
          <w:lang w:val="sv-SE"/>
        </w:rPr>
        <w:t xml:space="preserve"> buku yang mebahas </w:t>
      </w:r>
      <w:r w:rsidR="00881BDC">
        <w:rPr>
          <w:rFonts w:asciiTheme="majorBidi" w:hAnsiTheme="majorBidi" w:cstheme="majorBidi"/>
          <w:i/>
          <w:iCs/>
          <w:sz w:val="24"/>
          <w:szCs w:val="24"/>
          <w:lang w:val="sv-SE"/>
        </w:rPr>
        <w:t xml:space="preserve">siyāsah </w:t>
      </w:r>
      <w:r w:rsidR="007A1795" w:rsidRPr="008B02A1">
        <w:rPr>
          <w:rFonts w:asciiTheme="majorBidi" w:hAnsiTheme="majorBidi" w:cstheme="majorBidi"/>
          <w:i/>
          <w:iCs/>
          <w:sz w:val="24"/>
          <w:szCs w:val="24"/>
          <w:lang w:val="sv-SE"/>
        </w:rPr>
        <w:t xml:space="preserve"> </w:t>
      </w:r>
      <w:r w:rsidR="00CC1D08">
        <w:rPr>
          <w:rFonts w:asciiTheme="majorBidi" w:hAnsiTheme="majorBidi" w:cstheme="majorBidi"/>
          <w:i/>
          <w:iCs/>
          <w:sz w:val="24"/>
          <w:szCs w:val="24"/>
          <w:lang w:val="sv-SE"/>
        </w:rPr>
        <w:t>syar‘iy</w:t>
      </w:r>
      <w:r w:rsidR="00350B80">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ah</w:t>
      </w:r>
      <w:r w:rsidR="007A1795" w:rsidRPr="008B02A1">
        <w:rPr>
          <w:rFonts w:asciiTheme="majorBidi" w:hAnsiTheme="majorBidi" w:cstheme="majorBidi"/>
          <w:sz w:val="24"/>
          <w:szCs w:val="24"/>
          <w:lang w:val="sv-SE"/>
        </w:rPr>
        <w:t xml:space="preserve"> </w:t>
      </w:r>
      <w:r w:rsidRPr="008B02A1">
        <w:rPr>
          <w:rFonts w:asciiTheme="majorBidi" w:hAnsiTheme="majorBidi" w:cstheme="majorBidi"/>
          <w:sz w:val="24"/>
          <w:szCs w:val="24"/>
          <w:lang w:val="sv-SE"/>
        </w:rPr>
        <w:t xml:space="preserve">seperti,  </w:t>
      </w:r>
      <w:r w:rsidR="00975574" w:rsidRPr="008B02A1">
        <w:rPr>
          <w:rFonts w:ascii="Times New Roman" w:hAnsi="Times New Roman" w:cs="Times New Roman"/>
          <w:sz w:val="24"/>
          <w:szCs w:val="24"/>
          <w:lang w:val="sv-SE"/>
        </w:rPr>
        <w:t>karya Imam</w:t>
      </w:r>
      <w:r w:rsidR="00142CB9" w:rsidRPr="008B02A1">
        <w:rPr>
          <w:rFonts w:ascii="Times New Roman" w:hAnsi="Times New Roman" w:cs="Times New Roman"/>
          <w:sz w:val="24"/>
          <w:szCs w:val="24"/>
          <w:lang w:val="sv-SE"/>
        </w:rPr>
        <w:t xml:space="preserve"> Ibnu Taymiyyah (728 H) yaitu,  </w:t>
      </w:r>
      <w:r w:rsidR="00142CB9" w:rsidRPr="008B02A1">
        <w:rPr>
          <w:rFonts w:ascii="Times New Roman" w:hAnsi="Times New Roman" w:cs="Times New Roman"/>
          <w:i/>
          <w:iCs/>
          <w:sz w:val="24"/>
          <w:szCs w:val="24"/>
          <w:lang w:val="sv-SE"/>
        </w:rPr>
        <w:t>Al-</w:t>
      </w:r>
      <w:r w:rsidR="00881BDC">
        <w:rPr>
          <w:rFonts w:ascii="Times New Roman" w:hAnsi="Times New Roman" w:cs="Times New Roman"/>
          <w:i/>
          <w:iCs/>
          <w:sz w:val="24"/>
          <w:szCs w:val="24"/>
          <w:lang w:val="sv-SE"/>
        </w:rPr>
        <w:t xml:space="preserve">Siyāsah </w:t>
      </w:r>
      <w:r w:rsidR="00142CB9" w:rsidRPr="008B02A1">
        <w:rPr>
          <w:rFonts w:ascii="Times New Roman" w:hAnsi="Times New Roman" w:cs="Times New Roman"/>
          <w:i/>
          <w:iCs/>
          <w:sz w:val="24"/>
          <w:szCs w:val="24"/>
          <w:lang w:val="sv-SE"/>
        </w:rPr>
        <w:t xml:space="preserve"> al-Syar`iyyah fi Ishlah al-Ra`i wa al-Ra`iyyah</w:t>
      </w:r>
      <w:r w:rsidR="00142CB9" w:rsidRPr="008B02A1">
        <w:rPr>
          <w:rFonts w:ascii="Times New Roman" w:hAnsi="Times New Roman" w:cs="Times New Roman"/>
          <w:sz w:val="24"/>
          <w:szCs w:val="24"/>
          <w:lang w:val="sv-SE"/>
        </w:rPr>
        <w:t>.</w:t>
      </w:r>
      <w:r w:rsidR="00975574" w:rsidRPr="008B02A1">
        <w:rPr>
          <w:rFonts w:ascii="Times New Roman" w:hAnsi="Times New Roman" w:cs="Times New Roman"/>
          <w:sz w:val="24"/>
          <w:szCs w:val="24"/>
          <w:lang w:val="sv-SE"/>
        </w:rPr>
        <w:t xml:space="preserve"> Begitu juga kitab</w:t>
      </w:r>
      <w:r w:rsidR="00142CB9" w:rsidRPr="008B02A1">
        <w:rPr>
          <w:rFonts w:ascii="Times New Roman" w:hAnsi="Times New Roman" w:cs="Times New Roman"/>
          <w:sz w:val="24"/>
          <w:szCs w:val="24"/>
          <w:lang w:val="sv-SE"/>
        </w:rPr>
        <w:t xml:space="preserve"> </w:t>
      </w:r>
      <w:r w:rsidR="00142CB9" w:rsidRPr="008B02A1">
        <w:rPr>
          <w:rFonts w:ascii="Times New Roman" w:hAnsi="Times New Roman" w:cs="Times New Roman"/>
          <w:i/>
          <w:iCs/>
          <w:sz w:val="24"/>
          <w:szCs w:val="24"/>
          <w:lang w:val="sv-SE"/>
        </w:rPr>
        <w:t>Al-Thuruq al-Hukmiyyah fi al-</w:t>
      </w:r>
      <w:r w:rsidR="00881BDC">
        <w:rPr>
          <w:rFonts w:ascii="Times New Roman" w:hAnsi="Times New Roman" w:cs="Times New Roman"/>
          <w:i/>
          <w:iCs/>
          <w:sz w:val="24"/>
          <w:szCs w:val="24"/>
          <w:lang w:val="sv-SE"/>
        </w:rPr>
        <w:t xml:space="preserve">Siyāsah </w:t>
      </w:r>
      <w:r w:rsidR="00142CB9" w:rsidRPr="008B02A1">
        <w:rPr>
          <w:rFonts w:ascii="Times New Roman" w:hAnsi="Times New Roman" w:cs="Times New Roman"/>
          <w:i/>
          <w:iCs/>
          <w:sz w:val="24"/>
          <w:szCs w:val="24"/>
          <w:lang w:val="sv-SE"/>
        </w:rPr>
        <w:t xml:space="preserve"> al-Syar`iyyah</w:t>
      </w:r>
      <w:r w:rsidR="00142CB9" w:rsidRPr="008B02A1">
        <w:rPr>
          <w:rFonts w:ascii="Times New Roman" w:hAnsi="Times New Roman" w:cs="Times New Roman"/>
          <w:sz w:val="24"/>
          <w:szCs w:val="24"/>
          <w:lang w:val="sv-SE"/>
        </w:rPr>
        <w:t xml:space="preserve"> karya Ibnu Qayyim al-Jauzi (751 H). </w:t>
      </w:r>
      <w:r w:rsidR="00142CB9" w:rsidRPr="008B02A1">
        <w:rPr>
          <w:rFonts w:ascii="Times New Roman" w:hAnsi="Times New Roman" w:cs="Times New Roman"/>
          <w:i/>
          <w:iCs/>
          <w:sz w:val="24"/>
          <w:szCs w:val="24"/>
          <w:lang w:val="sv-SE"/>
        </w:rPr>
        <w:t>Al-Ahkam al-Sulthaniyyah</w:t>
      </w:r>
      <w:r w:rsidR="00142CB9" w:rsidRPr="008B02A1">
        <w:rPr>
          <w:rFonts w:ascii="Times New Roman" w:hAnsi="Times New Roman" w:cs="Times New Roman"/>
          <w:sz w:val="24"/>
          <w:szCs w:val="24"/>
          <w:lang w:val="sv-SE"/>
        </w:rPr>
        <w:t xml:space="preserve"> </w:t>
      </w:r>
      <w:r w:rsidR="006A6770" w:rsidRPr="008B02A1">
        <w:rPr>
          <w:rFonts w:ascii="Times New Roman" w:hAnsi="Times New Roman" w:cs="Times New Roman"/>
          <w:sz w:val="24"/>
          <w:szCs w:val="24"/>
          <w:lang w:val="sv-SE"/>
        </w:rPr>
        <w:t>karangan Al-Mawardi (450 H)</w:t>
      </w:r>
      <w:r w:rsidR="00142CB9" w:rsidRPr="008B02A1">
        <w:rPr>
          <w:rFonts w:ascii="Times New Roman" w:hAnsi="Times New Roman" w:cs="Times New Roman"/>
          <w:sz w:val="24"/>
          <w:szCs w:val="24"/>
          <w:lang w:val="sv-SE"/>
        </w:rPr>
        <w:t xml:space="preserve"> dan </w:t>
      </w:r>
      <w:r w:rsidR="00142CB9" w:rsidRPr="008B02A1">
        <w:rPr>
          <w:rFonts w:ascii="Times New Roman" w:hAnsi="Times New Roman" w:cs="Times New Roman"/>
          <w:i/>
          <w:iCs/>
          <w:sz w:val="24"/>
          <w:szCs w:val="24"/>
          <w:lang w:val="sv-SE"/>
        </w:rPr>
        <w:t>Al-Ahkam al-Sulthaniyyah</w:t>
      </w:r>
      <w:r w:rsidR="00142CB9" w:rsidRPr="008B02A1">
        <w:rPr>
          <w:rFonts w:ascii="Times New Roman" w:hAnsi="Times New Roman" w:cs="Times New Roman"/>
          <w:sz w:val="24"/>
          <w:szCs w:val="24"/>
          <w:lang w:val="sv-SE"/>
        </w:rPr>
        <w:t xml:space="preserve"> karangan </w:t>
      </w:r>
      <w:r w:rsidR="00E9703A">
        <w:rPr>
          <w:rFonts w:ascii="Times New Roman" w:hAnsi="Times New Roman" w:cs="Times New Roman"/>
          <w:sz w:val="24"/>
          <w:szCs w:val="24"/>
          <w:lang w:val="sv-SE"/>
        </w:rPr>
        <w:t>Abū</w:t>
      </w:r>
      <w:r w:rsidR="00142CB9" w:rsidRPr="008B02A1">
        <w:rPr>
          <w:rFonts w:ascii="Times New Roman" w:hAnsi="Times New Roman" w:cs="Times New Roman"/>
          <w:sz w:val="24"/>
          <w:szCs w:val="24"/>
          <w:lang w:val="sv-SE"/>
        </w:rPr>
        <w:t xml:space="preserve">Ya`la (458 H). </w:t>
      </w:r>
      <w:r w:rsidR="00142CB9" w:rsidRPr="008B02A1">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00142CB9" w:rsidRPr="008B02A1">
        <w:rPr>
          <w:rFonts w:ascii="Times New Roman" w:hAnsi="Times New Roman" w:cs="Times New Roman"/>
          <w:i/>
          <w:iCs/>
          <w:sz w:val="24"/>
          <w:szCs w:val="24"/>
          <w:lang w:val="sv-SE"/>
        </w:rPr>
        <w:t>: Implementasi Kemaslahatan Umat dalam Rambu-rambu Syariah</w:t>
      </w:r>
      <w:r w:rsidR="00975574" w:rsidRPr="008B02A1">
        <w:rPr>
          <w:rFonts w:ascii="Times New Roman" w:hAnsi="Times New Roman" w:cs="Times New Roman"/>
          <w:sz w:val="24"/>
          <w:szCs w:val="24"/>
          <w:lang w:val="sv-SE"/>
        </w:rPr>
        <w:t xml:space="preserve"> karya </w:t>
      </w:r>
      <w:r w:rsidR="00142CB9" w:rsidRPr="008B02A1">
        <w:rPr>
          <w:rFonts w:ascii="Times New Roman" w:hAnsi="Times New Roman" w:cs="Times New Roman"/>
          <w:sz w:val="24"/>
          <w:szCs w:val="24"/>
          <w:lang w:val="sv-SE"/>
        </w:rPr>
        <w:t xml:space="preserve"> </w:t>
      </w:r>
      <w:r w:rsidR="00975574" w:rsidRPr="008B02A1">
        <w:rPr>
          <w:rFonts w:ascii="Times New Roman" w:hAnsi="Times New Roman" w:cs="Times New Roman"/>
          <w:sz w:val="24"/>
          <w:szCs w:val="24"/>
          <w:lang w:val="sv-SE"/>
        </w:rPr>
        <w:t xml:space="preserve">A. Djazuli. </w:t>
      </w:r>
      <w:r w:rsidR="003876CA" w:rsidRPr="008B02A1">
        <w:rPr>
          <w:rFonts w:ascii="Times New Roman" w:hAnsi="Times New Roman" w:cs="Times New Roman"/>
          <w:i/>
          <w:iCs/>
          <w:sz w:val="24"/>
          <w:szCs w:val="24"/>
          <w:lang w:val="sv-SE"/>
        </w:rPr>
        <w:t xml:space="preserve">Fiqh </w:t>
      </w:r>
      <w:r w:rsidR="00881BDC">
        <w:rPr>
          <w:rFonts w:ascii="Times New Roman" w:hAnsi="Times New Roman" w:cs="Times New Roman"/>
          <w:i/>
          <w:iCs/>
          <w:sz w:val="24"/>
          <w:szCs w:val="24"/>
          <w:lang w:val="sv-SE"/>
        </w:rPr>
        <w:t xml:space="preserve">Siyāsah </w:t>
      </w:r>
      <w:r w:rsidR="003876CA" w:rsidRPr="008B02A1">
        <w:rPr>
          <w:rFonts w:ascii="Times New Roman" w:hAnsi="Times New Roman" w:cs="Times New Roman"/>
          <w:i/>
          <w:iCs/>
          <w:sz w:val="24"/>
          <w:szCs w:val="24"/>
          <w:lang w:val="sv-SE"/>
        </w:rPr>
        <w:t xml:space="preserve">: Kontekstualisasi Doktrin Politik Islam </w:t>
      </w:r>
      <w:r w:rsidR="003876CA" w:rsidRPr="008B02A1">
        <w:rPr>
          <w:rFonts w:ascii="Times New Roman" w:hAnsi="Times New Roman" w:cs="Times New Roman"/>
          <w:sz w:val="24"/>
          <w:szCs w:val="24"/>
          <w:lang w:val="sv-SE"/>
        </w:rPr>
        <w:t>tulisan</w:t>
      </w:r>
      <w:r w:rsidR="003876CA" w:rsidRPr="008B02A1">
        <w:rPr>
          <w:rFonts w:ascii="Times New Roman" w:hAnsi="Times New Roman" w:cs="Times New Roman"/>
          <w:i/>
          <w:iCs/>
          <w:sz w:val="24"/>
          <w:szCs w:val="24"/>
          <w:lang w:val="sv-SE"/>
        </w:rPr>
        <w:t xml:space="preserve"> </w:t>
      </w:r>
      <w:r w:rsidR="00142CB9" w:rsidRPr="008B02A1">
        <w:rPr>
          <w:rFonts w:ascii="Times New Roman" w:hAnsi="Times New Roman" w:cs="Times New Roman"/>
          <w:sz w:val="24"/>
          <w:szCs w:val="24"/>
          <w:lang w:val="sv-SE"/>
        </w:rPr>
        <w:t>Muhammad Iqbal d</w:t>
      </w:r>
      <w:r w:rsidR="003876CA" w:rsidRPr="008B02A1">
        <w:rPr>
          <w:rFonts w:ascii="Times New Roman" w:hAnsi="Times New Roman" w:cs="Times New Roman"/>
          <w:sz w:val="24"/>
          <w:szCs w:val="24"/>
          <w:lang w:val="sv-SE"/>
        </w:rPr>
        <w:t>engan.</w:t>
      </w:r>
      <w:r w:rsidR="003876CA" w:rsidRPr="008B02A1">
        <w:rPr>
          <w:rFonts w:asciiTheme="majorBidi" w:hAnsiTheme="majorBidi" w:cstheme="majorBidi"/>
          <w:i/>
          <w:iCs/>
          <w:sz w:val="24"/>
          <w:szCs w:val="24"/>
          <w:lang w:val="sv-SE"/>
        </w:rPr>
        <w:t xml:space="preserve"> Fiqh </w:t>
      </w:r>
      <w:r w:rsidR="00881BDC">
        <w:rPr>
          <w:rFonts w:asciiTheme="majorBidi" w:hAnsiTheme="majorBidi" w:cstheme="majorBidi"/>
          <w:i/>
          <w:iCs/>
          <w:sz w:val="24"/>
          <w:szCs w:val="24"/>
          <w:lang w:val="sv-SE"/>
        </w:rPr>
        <w:t xml:space="preserve">Siyāsah </w:t>
      </w:r>
      <w:r w:rsidR="003876CA" w:rsidRPr="008B02A1">
        <w:rPr>
          <w:rFonts w:asciiTheme="majorBidi" w:hAnsiTheme="majorBidi" w:cstheme="majorBidi"/>
          <w:i/>
          <w:iCs/>
          <w:sz w:val="24"/>
          <w:szCs w:val="24"/>
          <w:lang w:val="sv-SE"/>
        </w:rPr>
        <w:t>, Termonologi dan Lintas sejarah Politik Islam Sejak Muhammad SAW Hingga Khulafa Al-Rasyidun</w:t>
      </w:r>
      <w:r w:rsidR="003876CA" w:rsidRPr="008B02A1">
        <w:rPr>
          <w:rFonts w:ascii="Times New Roman" w:hAnsi="Times New Roman" w:cs="Times New Roman"/>
          <w:sz w:val="24"/>
          <w:szCs w:val="24"/>
          <w:lang w:val="sv-SE"/>
        </w:rPr>
        <w:t xml:space="preserve"> </w:t>
      </w:r>
      <w:r w:rsidR="00142CB9" w:rsidRPr="008B02A1">
        <w:rPr>
          <w:rFonts w:ascii="Times New Roman" w:hAnsi="Times New Roman" w:cs="Times New Roman"/>
          <w:sz w:val="24"/>
          <w:szCs w:val="24"/>
          <w:lang w:val="sv-SE"/>
        </w:rPr>
        <w:t xml:space="preserve"> </w:t>
      </w:r>
      <w:r w:rsidR="003876CA" w:rsidRPr="008B02A1">
        <w:rPr>
          <w:rFonts w:ascii="Times New Roman" w:hAnsi="Times New Roman" w:cs="Times New Roman"/>
          <w:sz w:val="24"/>
          <w:szCs w:val="24"/>
          <w:lang w:val="sv-SE"/>
        </w:rPr>
        <w:t xml:space="preserve">Karya </w:t>
      </w:r>
      <w:r w:rsidR="00142CB9" w:rsidRPr="008B02A1">
        <w:rPr>
          <w:rFonts w:asciiTheme="majorBidi" w:hAnsiTheme="majorBidi" w:cstheme="majorBidi"/>
          <w:sz w:val="24"/>
          <w:szCs w:val="24"/>
          <w:lang w:val="sv-SE"/>
        </w:rPr>
        <w:t xml:space="preserve">Beni Ahmad Saebani, </w:t>
      </w:r>
      <w:r w:rsidR="007A1795" w:rsidRPr="008B02A1">
        <w:rPr>
          <w:rFonts w:ascii="Times New Roman" w:hAnsi="Times New Roman" w:cs="Times New Roman"/>
          <w:sz w:val="24"/>
          <w:szCs w:val="24"/>
          <w:lang w:val="sv-SE"/>
        </w:rPr>
        <w:t>serta buku-buku-buku</w:t>
      </w:r>
      <w:r w:rsidR="00142CB9" w:rsidRPr="008B02A1">
        <w:rPr>
          <w:rFonts w:ascii="Times New Roman" w:hAnsi="Times New Roman" w:cs="Times New Roman"/>
          <w:sz w:val="24"/>
          <w:szCs w:val="24"/>
          <w:lang w:val="sv-SE"/>
        </w:rPr>
        <w:t xml:space="preserve"> </w:t>
      </w:r>
      <w:r w:rsidRPr="008B02A1">
        <w:rPr>
          <w:rFonts w:ascii="Times New Roman" w:hAnsi="Times New Roman" w:cs="Times New Roman"/>
          <w:sz w:val="24"/>
          <w:szCs w:val="24"/>
          <w:lang w:val="sv-SE"/>
        </w:rPr>
        <w:t>lain</w:t>
      </w:r>
      <w:r w:rsidR="007A1795" w:rsidRPr="008B02A1">
        <w:rPr>
          <w:rFonts w:ascii="Times New Roman" w:hAnsi="Times New Roman" w:cs="Times New Roman"/>
          <w:sz w:val="24"/>
          <w:szCs w:val="24"/>
          <w:lang w:val="sv-SE"/>
        </w:rPr>
        <w:t>nya</w:t>
      </w:r>
      <w:r w:rsidRPr="008B02A1">
        <w:rPr>
          <w:rFonts w:ascii="Times New Roman" w:hAnsi="Times New Roman" w:cs="Times New Roman"/>
          <w:sz w:val="24"/>
          <w:szCs w:val="24"/>
          <w:lang w:val="sv-SE"/>
        </w:rPr>
        <w:t>.</w:t>
      </w:r>
    </w:p>
    <w:p w:rsidR="00BC41DD" w:rsidRPr="00F2155E" w:rsidRDefault="00BC41DD" w:rsidP="00A33E46">
      <w:pPr>
        <w:pStyle w:val="ListParagraph"/>
        <w:tabs>
          <w:tab w:val="left" w:pos="1440"/>
        </w:tabs>
        <w:spacing w:line="360" w:lineRule="auto"/>
        <w:ind w:left="450" w:firstLine="630"/>
        <w:jc w:val="both"/>
        <w:rPr>
          <w:rFonts w:asciiTheme="majorBidi" w:hAnsiTheme="majorBidi" w:cstheme="majorBidi"/>
          <w:sz w:val="24"/>
          <w:szCs w:val="24"/>
        </w:rPr>
      </w:pPr>
      <w:r w:rsidRPr="0084470C">
        <w:rPr>
          <w:rFonts w:asciiTheme="majorBidi" w:hAnsiTheme="majorBidi" w:cstheme="majorBidi"/>
          <w:i/>
          <w:iCs/>
          <w:sz w:val="24"/>
          <w:szCs w:val="24"/>
        </w:rPr>
        <w:t>Kedua</w:t>
      </w:r>
      <w:r>
        <w:rPr>
          <w:rFonts w:asciiTheme="majorBidi" w:hAnsiTheme="majorBidi" w:cstheme="majorBidi"/>
          <w:i/>
          <w:iCs/>
          <w:sz w:val="24"/>
          <w:szCs w:val="24"/>
        </w:rPr>
        <w:t>,</w:t>
      </w:r>
      <w:r w:rsidRPr="0084470C">
        <w:rPr>
          <w:rFonts w:asciiTheme="majorBidi" w:hAnsiTheme="majorBidi" w:cstheme="majorBidi"/>
          <w:i/>
          <w:iCs/>
          <w:sz w:val="24"/>
          <w:szCs w:val="24"/>
        </w:rPr>
        <w:t xml:space="preserve"> </w:t>
      </w:r>
      <w:r w:rsidRPr="00ED367B">
        <w:rPr>
          <w:rFonts w:asciiTheme="majorBidi" w:hAnsiTheme="majorBidi" w:cstheme="majorBidi"/>
          <w:sz w:val="24"/>
          <w:szCs w:val="24"/>
        </w:rPr>
        <w:t>sumber penunjang</w:t>
      </w:r>
      <w:r w:rsidRPr="0084470C">
        <w:rPr>
          <w:rFonts w:asciiTheme="majorBidi" w:hAnsiTheme="majorBidi" w:cstheme="majorBidi"/>
          <w:sz w:val="24"/>
          <w:szCs w:val="24"/>
        </w:rPr>
        <w:t xml:space="preserve"> dari penelitian ini yang merupakan sumber </w:t>
      </w:r>
      <w:r w:rsidRPr="005B5766">
        <w:rPr>
          <w:rFonts w:asciiTheme="majorBidi" w:hAnsiTheme="majorBidi" w:cstheme="majorBidi"/>
          <w:sz w:val="24"/>
          <w:szCs w:val="24"/>
        </w:rPr>
        <w:t>skunder</w:t>
      </w:r>
      <w:r>
        <w:rPr>
          <w:rFonts w:asciiTheme="majorBidi" w:hAnsiTheme="majorBidi" w:cstheme="majorBidi"/>
          <w:i/>
          <w:iCs/>
          <w:sz w:val="24"/>
          <w:szCs w:val="24"/>
        </w:rPr>
        <w:t xml:space="preserve">. </w:t>
      </w:r>
      <w:r w:rsidRPr="0084470C">
        <w:rPr>
          <w:rFonts w:asciiTheme="majorBidi" w:hAnsiTheme="majorBidi" w:cstheme="majorBidi"/>
          <w:sz w:val="24"/>
          <w:szCs w:val="24"/>
        </w:rPr>
        <w:t xml:space="preserve">Untuk memperoleh data </w:t>
      </w:r>
      <w:r>
        <w:rPr>
          <w:rFonts w:asciiTheme="majorBidi" w:hAnsiTheme="majorBidi" w:cstheme="majorBidi"/>
          <w:sz w:val="24"/>
          <w:szCs w:val="24"/>
        </w:rPr>
        <w:t>penunjang dalam penelit</w:t>
      </w:r>
      <w:r w:rsidR="00F67495">
        <w:rPr>
          <w:rFonts w:asciiTheme="majorBidi" w:hAnsiTheme="majorBidi" w:cstheme="majorBidi"/>
          <w:sz w:val="24"/>
          <w:szCs w:val="24"/>
        </w:rPr>
        <w:t>ian ini  diambil dari literatur</w:t>
      </w:r>
      <w:r>
        <w:rPr>
          <w:rFonts w:asciiTheme="majorBidi" w:hAnsiTheme="majorBidi" w:cstheme="majorBidi"/>
          <w:sz w:val="24"/>
          <w:szCs w:val="24"/>
        </w:rPr>
        <w:t xml:space="preserve">-literatur yang berkaitan dengan topik penelitian seperti </w:t>
      </w:r>
      <w:r w:rsidR="0097288B">
        <w:rPr>
          <w:rFonts w:asciiTheme="majorBidi" w:hAnsiTheme="majorBidi" w:cstheme="majorBidi"/>
          <w:sz w:val="24"/>
          <w:szCs w:val="24"/>
        </w:rPr>
        <w:t xml:space="preserve">Tafsir, Hadis, Ushul </w:t>
      </w:r>
      <w:r w:rsidR="0025575E">
        <w:rPr>
          <w:rFonts w:asciiTheme="majorBidi" w:hAnsiTheme="majorBidi" w:cstheme="majorBidi"/>
          <w:sz w:val="24"/>
          <w:szCs w:val="24"/>
        </w:rPr>
        <w:t>F</w:t>
      </w:r>
      <w:r w:rsidR="0097288B">
        <w:rPr>
          <w:rFonts w:asciiTheme="majorBidi" w:hAnsiTheme="majorBidi" w:cstheme="majorBidi"/>
          <w:sz w:val="24"/>
          <w:szCs w:val="24"/>
        </w:rPr>
        <w:t xml:space="preserve">iqh, </w:t>
      </w:r>
      <w:r w:rsidR="0025575E">
        <w:rPr>
          <w:rFonts w:asciiTheme="majorBidi" w:hAnsiTheme="majorBidi" w:cstheme="majorBidi"/>
          <w:sz w:val="24"/>
          <w:szCs w:val="24"/>
        </w:rPr>
        <w:t>F</w:t>
      </w:r>
      <w:r w:rsidR="0097288B">
        <w:rPr>
          <w:rFonts w:asciiTheme="majorBidi" w:hAnsiTheme="majorBidi" w:cstheme="majorBidi"/>
          <w:sz w:val="24"/>
          <w:szCs w:val="24"/>
        </w:rPr>
        <w:t xml:space="preserve">iqh, Tarikh Tasyri’ </w:t>
      </w:r>
      <w:r>
        <w:rPr>
          <w:rFonts w:asciiTheme="majorBidi" w:hAnsiTheme="majorBidi" w:cstheme="majorBidi"/>
          <w:sz w:val="24"/>
          <w:szCs w:val="24"/>
        </w:rPr>
        <w:t xml:space="preserve">dan sebagainya. </w:t>
      </w:r>
      <w:r w:rsidR="006F1882">
        <w:rPr>
          <w:rFonts w:asciiTheme="majorBidi" w:hAnsiTheme="majorBidi" w:cstheme="majorBidi"/>
          <w:sz w:val="24"/>
          <w:szCs w:val="24"/>
        </w:rPr>
        <w:t>Untuk memperkuat data kepustakaan, penulis juga berusaha menggali data e</w:t>
      </w:r>
      <w:r w:rsidR="004B24BA">
        <w:rPr>
          <w:rFonts w:asciiTheme="majorBidi" w:hAnsiTheme="majorBidi" w:cstheme="majorBidi"/>
          <w:sz w:val="24"/>
          <w:szCs w:val="24"/>
        </w:rPr>
        <w:t xml:space="preserve">mpiris berupa wawancara dengan </w:t>
      </w:r>
      <w:r w:rsidR="008B02A1">
        <w:rPr>
          <w:rFonts w:asciiTheme="majorBidi" w:hAnsiTheme="majorBidi" w:cstheme="majorBidi"/>
          <w:sz w:val="24"/>
          <w:szCs w:val="24"/>
        </w:rPr>
        <w:t xml:space="preserve">Ketua </w:t>
      </w:r>
      <w:r w:rsidR="004B24BA">
        <w:rPr>
          <w:rFonts w:asciiTheme="majorBidi" w:hAnsiTheme="majorBidi" w:cstheme="majorBidi"/>
          <w:sz w:val="24"/>
          <w:szCs w:val="24"/>
        </w:rPr>
        <w:t xml:space="preserve">Komisi fatwa dan pengurus Majelis Ulama Indonesia Pusat. </w:t>
      </w:r>
      <w:r>
        <w:rPr>
          <w:rFonts w:asciiTheme="majorBidi" w:hAnsiTheme="majorBidi" w:cstheme="majorBidi"/>
          <w:sz w:val="24"/>
          <w:szCs w:val="24"/>
        </w:rPr>
        <w:t xml:space="preserve"> </w:t>
      </w:r>
    </w:p>
    <w:p w:rsidR="00BC41DD" w:rsidRPr="00C257C9" w:rsidRDefault="00C257C9" w:rsidP="00A33E46">
      <w:pPr>
        <w:spacing w:after="0" w:line="360" w:lineRule="auto"/>
        <w:ind w:firstLine="450"/>
        <w:jc w:val="both"/>
        <w:rPr>
          <w:rFonts w:asciiTheme="majorBidi" w:hAnsiTheme="majorBidi" w:cstheme="majorBidi"/>
          <w:sz w:val="24"/>
          <w:szCs w:val="24"/>
          <w:lang w:val="sv-SE" w:eastAsia="en-GB"/>
        </w:rPr>
      </w:pPr>
      <w:bookmarkStart w:id="7" w:name="OLE_LINK230"/>
      <w:bookmarkStart w:id="8" w:name="OLE_LINK229"/>
      <w:r>
        <w:rPr>
          <w:rFonts w:asciiTheme="majorBidi" w:hAnsiTheme="majorBidi" w:cstheme="majorBidi"/>
          <w:sz w:val="24"/>
          <w:szCs w:val="24"/>
          <w:lang w:val="sv-SE" w:eastAsia="en-GB"/>
        </w:rPr>
        <w:t>4.</w:t>
      </w:r>
      <w:r w:rsidR="00C16A93">
        <w:rPr>
          <w:rFonts w:asciiTheme="majorBidi" w:hAnsiTheme="majorBidi" w:cstheme="majorBidi"/>
          <w:sz w:val="24"/>
          <w:szCs w:val="24"/>
          <w:lang w:val="sv-SE" w:eastAsia="en-GB"/>
        </w:rPr>
        <w:t xml:space="preserve"> </w:t>
      </w:r>
      <w:r w:rsidR="006A166A" w:rsidRPr="00C257C9">
        <w:rPr>
          <w:rFonts w:asciiTheme="majorBidi" w:hAnsiTheme="majorBidi" w:cstheme="majorBidi"/>
          <w:sz w:val="24"/>
          <w:szCs w:val="24"/>
          <w:lang w:val="sv-SE" w:eastAsia="en-GB"/>
        </w:rPr>
        <w:t xml:space="preserve">Teknik Pengolahan dan </w:t>
      </w:r>
      <w:r w:rsidR="00A51F33" w:rsidRPr="00C257C9">
        <w:rPr>
          <w:rFonts w:asciiTheme="majorBidi" w:hAnsiTheme="majorBidi" w:cstheme="majorBidi"/>
          <w:sz w:val="24"/>
          <w:szCs w:val="24"/>
          <w:lang w:val="sv-SE" w:eastAsia="en-GB"/>
        </w:rPr>
        <w:t>Analis</w:t>
      </w:r>
      <w:r w:rsidR="006A166A" w:rsidRPr="00C257C9">
        <w:rPr>
          <w:rFonts w:asciiTheme="majorBidi" w:hAnsiTheme="majorBidi" w:cstheme="majorBidi"/>
          <w:sz w:val="24"/>
          <w:szCs w:val="24"/>
          <w:lang w:val="sv-SE" w:eastAsia="en-GB"/>
        </w:rPr>
        <w:t>is</w:t>
      </w:r>
      <w:r w:rsidR="00BC41DD" w:rsidRPr="00C257C9">
        <w:rPr>
          <w:rFonts w:asciiTheme="majorBidi" w:hAnsiTheme="majorBidi" w:cstheme="majorBidi"/>
          <w:sz w:val="24"/>
          <w:szCs w:val="24"/>
          <w:lang w:val="sv-SE" w:eastAsia="en-GB"/>
        </w:rPr>
        <w:t xml:space="preserve"> Data</w:t>
      </w:r>
    </w:p>
    <w:p w:rsidR="00BC41DD" w:rsidRDefault="003E003A" w:rsidP="00C16A93">
      <w:pPr>
        <w:pStyle w:val="ListParagraph"/>
        <w:spacing w:after="0" w:line="360" w:lineRule="auto"/>
        <w:ind w:left="540" w:firstLine="630"/>
        <w:jc w:val="both"/>
        <w:rPr>
          <w:rFonts w:asciiTheme="majorBidi" w:hAnsiTheme="majorBidi" w:cstheme="majorBidi"/>
          <w:sz w:val="24"/>
          <w:szCs w:val="24"/>
          <w:lang w:val="sv-SE" w:eastAsia="en-GB"/>
        </w:rPr>
      </w:pPr>
      <w:r>
        <w:rPr>
          <w:rFonts w:asciiTheme="majorBidi" w:hAnsiTheme="majorBidi" w:cstheme="majorBidi"/>
          <w:sz w:val="24"/>
          <w:szCs w:val="24"/>
          <w:lang w:val="sv-SE" w:eastAsia="en-GB"/>
        </w:rPr>
        <w:t>Adapun teknik</w:t>
      </w:r>
      <w:r w:rsidR="006A166A">
        <w:rPr>
          <w:rFonts w:asciiTheme="majorBidi" w:hAnsiTheme="majorBidi" w:cstheme="majorBidi"/>
          <w:sz w:val="24"/>
          <w:szCs w:val="24"/>
          <w:lang w:val="sv-SE" w:eastAsia="en-GB"/>
        </w:rPr>
        <w:t xml:space="preserve"> pengolahan data adalah data yang telah terkumpul kemudian di telaah, dilihat mana yang relevan dengan pengembangan dan pembaruan hukum Islam di Indonesia dewasa ini, khususnya menyangkut hukum keluarga, selanjutnya diadakan analisis data. </w:t>
      </w:r>
      <w:r w:rsidR="00BC41DD" w:rsidRPr="0084470C">
        <w:rPr>
          <w:rFonts w:asciiTheme="majorBidi" w:hAnsiTheme="majorBidi" w:cstheme="majorBidi"/>
          <w:sz w:val="24"/>
          <w:szCs w:val="24"/>
          <w:lang w:val="sv-SE" w:eastAsia="en-GB"/>
        </w:rPr>
        <w:t xml:space="preserve">Analisis data merupakan satu cara yang dipakai untuk menganalisa, mempelajari serta </w:t>
      </w:r>
      <w:r w:rsidR="00BC41DD" w:rsidRPr="0084470C">
        <w:rPr>
          <w:rFonts w:asciiTheme="majorBidi" w:hAnsiTheme="majorBidi" w:cstheme="majorBidi"/>
          <w:sz w:val="24"/>
          <w:szCs w:val="24"/>
          <w:lang w:val="sv-SE" w:eastAsia="en-GB"/>
        </w:rPr>
        <w:lastRenderedPageBreak/>
        <w:t>mengolah data tertentu sehingga dapat diambil suatu kesimpulan yang kongkrit tentang persoalan yang diteliti dan dibahas.</w:t>
      </w:r>
      <w:r w:rsidR="00BC41DD" w:rsidRPr="0084470C">
        <w:rPr>
          <w:rStyle w:val="FootnoteReference"/>
          <w:rFonts w:asciiTheme="majorBidi" w:hAnsiTheme="majorBidi" w:cstheme="majorBidi"/>
          <w:sz w:val="24"/>
          <w:szCs w:val="24"/>
          <w:lang w:val="sv-SE" w:eastAsia="en-GB"/>
        </w:rPr>
        <w:footnoteReference w:id="136"/>
      </w:r>
      <w:r w:rsidR="00BC41DD" w:rsidRPr="0084470C">
        <w:rPr>
          <w:rFonts w:asciiTheme="majorBidi" w:hAnsiTheme="majorBidi" w:cstheme="majorBidi"/>
          <w:sz w:val="24"/>
          <w:szCs w:val="24"/>
          <w:lang w:val="sv-SE" w:eastAsia="en-GB"/>
        </w:rPr>
        <w:t xml:space="preserve"> </w:t>
      </w:r>
      <w:r w:rsidR="00BC41DD">
        <w:rPr>
          <w:rFonts w:asciiTheme="majorBidi" w:hAnsiTheme="majorBidi" w:cstheme="majorBidi"/>
          <w:sz w:val="24"/>
          <w:szCs w:val="24"/>
          <w:lang w:val="sv-SE" w:eastAsia="en-GB"/>
        </w:rPr>
        <w:t>Data yang diperoleh dari telaah kepustakaan baik sumber primer maupun sekunder diolah dan dianalisis dengan menggunakan pendekatan yuridis filosofis dengan menggunakan ilmu Ushul Fiqh khusus</w:t>
      </w:r>
      <w:r w:rsidR="00F67495">
        <w:rPr>
          <w:rFonts w:asciiTheme="majorBidi" w:hAnsiTheme="majorBidi" w:cstheme="majorBidi"/>
          <w:sz w:val="24"/>
          <w:szCs w:val="24"/>
          <w:lang w:val="sv-SE" w:eastAsia="en-GB"/>
        </w:rPr>
        <w:t>nya</w:t>
      </w:r>
      <w:r w:rsidR="00BC41DD">
        <w:rPr>
          <w:rFonts w:asciiTheme="majorBidi" w:hAnsiTheme="majorBidi" w:cstheme="majorBidi"/>
          <w:sz w:val="24"/>
          <w:szCs w:val="24"/>
          <w:lang w:val="sv-SE" w:eastAsia="en-GB"/>
        </w:rPr>
        <w:t xml:space="preserve"> ilmu </w:t>
      </w:r>
      <w:r w:rsidR="00C16A93">
        <w:rPr>
          <w:rFonts w:asciiTheme="majorBidi" w:hAnsiTheme="majorBidi" w:cstheme="majorBidi"/>
          <w:i/>
          <w:iCs/>
          <w:sz w:val="24"/>
          <w:szCs w:val="24"/>
          <w:lang w:val="sv-SE" w:eastAsia="en-GB"/>
        </w:rPr>
        <w:t>si</w:t>
      </w:r>
      <w:r w:rsidR="00831E63" w:rsidRPr="000C5EEC">
        <w:rPr>
          <w:rFonts w:asciiTheme="majorBidi" w:hAnsiTheme="majorBidi" w:cstheme="majorBidi"/>
          <w:i/>
          <w:iCs/>
          <w:sz w:val="24"/>
          <w:szCs w:val="24"/>
          <w:lang w:val="sv-SE" w:eastAsia="en-GB"/>
        </w:rPr>
        <w:t>y</w:t>
      </w:r>
      <w:r w:rsidR="00C16A93">
        <w:rPr>
          <w:rFonts w:ascii="Times New Roman" w:hAnsi="Times New Roman" w:cs="Times New Roman"/>
          <w:i/>
          <w:iCs/>
          <w:sz w:val="24"/>
          <w:szCs w:val="24"/>
          <w:lang w:val="sv-SE"/>
        </w:rPr>
        <w:t>ā</w:t>
      </w:r>
      <w:r w:rsidR="00831E63" w:rsidRPr="000C5EEC">
        <w:rPr>
          <w:rFonts w:asciiTheme="majorBidi" w:hAnsiTheme="majorBidi" w:cstheme="majorBidi"/>
          <w:i/>
          <w:iCs/>
          <w:sz w:val="24"/>
          <w:szCs w:val="24"/>
          <w:lang w:val="sv-SE" w:eastAsia="en-GB"/>
        </w:rPr>
        <w:t>sah</w:t>
      </w:r>
      <w:r w:rsidR="00BC41DD" w:rsidRPr="000C5EEC">
        <w:rPr>
          <w:rFonts w:asciiTheme="majorBidi" w:hAnsiTheme="majorBidi" w:cstheme="majorBidi"/>
          <w:i/>
          <w:iCs/>
          <w:sz w:val="24"/>
          <w:szCs w:val="24"/>
          <w:lang w:val="sv-SE" w:eastAsia="en-GB"/>
        </w:rPr>
        <w:t xml:space="preserve"> </w:t>
      </w:r>
      <w:r w:rsidR="005B5766" w:rsidRPr="000C5EEC">
        <w:rPr>
          <w:rFonts w:asciiTheme="majorBidi" w:hAnsiTheme="majorBidi" w:cstheme="majorBidi"/>
          <w:i/>
          <w:iCs/>
          <w:sz w:val="24"/>
          <w:szCs w:val="24"/>
          <w:lang w:val="sv-SE" w:eastAsia="en-GB"/>
        </w:rPr>
        <w:t>a</w:t>
      </w:r>
      <w:r w:rsidR="00BC41DD" w:rsidRPr="000C5EEC">
        <w:rPr>
          <w:rFonts w:asciiTheme="majorBidi" w:hAnsiTheme="majorBidi" w:cstheme="majorBidi"/>
          <w:i/>
          <w:iCs/>
          <w:sz w:val="24"/>
          <w:szCs w:val="24"/>
          <w:lang w:val="sv-SE" w:eastAsia="en-GB"/>
        </w:rPr>
        <w:t>l-</w:t>
      </w:r>
      <w:r w:rsidR="00CC1D08">
        <w:rPr>
          <w:rFonts w:asciiTheme="majorBidi" w:hAnsiTheme="majorBidi" w:cstheme="majorBidi"/>
          <w:i/>
          <w:iCs/>
          <w:sz w:val="24"/>
          <w:szCs w:val="24"/>
          <w:lang w:val="sv-SE" w:eastAsia="en-GB"/>
        </w:rPr>
        <w:t>syar‘iyah</w:t>
      </w:r>
      <w:r w:rsidR="00BC41DD">
        <w:rPr>
          <w:rFonts w:asciiTheme="majorBidi" w:hAnsiTheme="majorBidi" w:cstheme="majorBidi"/>
          <w:sz w:val="24"/>
          <w:szCs w:val="24"/>
          <w:lang w:val="sv-SE" w:eastAsia="en-GB"/>
        </w:rPr>
        <w:t xml:space="preserve"> sebagai tolak ukurnya. Hasil analisis tersebut kemudian mengantarkan penulis pada kesimpulan. Proses penarikan kesimpulan dilakukan dengan menggunakan metode induktif deduktif.</w:t>
      </w:r>
    </w:p>
    <w:p w:rsidR="00445A5F" w:rsidRDefault="00BC41DD" w:rsidP="00482634">
      <w:pPr>
        <w:spacing w:after="0" w:line="360" w:lineRule="auto"/>
        <w:ind w:left="540" w:firstLine="630"/>
        <w:contextualSpacing/>
        <w:jc w:val="both"/>
        <w:rPr>
          <w:rFonts w:asciiTheme="majorBidi" w:hAnsiTheme="majorBidi" w:cstheme="majorBidi"/>
          <w:sz w:val="24"/>
          <w:szCs w:val="24"/>
          <w:lang w:val="sv-SE" w:eastAsia="en-GB"/>
        </w:rPr>
      </w:pPr>
      <w:r>
        <w:rPr>
          <w:rFonts w:asciiTheme="majorBidi" w:hAnsiTheme="majorBidi" w:cstheme="majorBidi"/>
          <w:sz w:val="24"/>
          <w:szCs w:val="24"/>
          <w:lang w:val="sv-SE" w:eastAsia="en-GB"/>
        </w:rPr>
        <w:t>Teknik</w:t>
      </w:r>
      <w:r w:rsidR="0025575E">
        <w:rPr>
          <w:rFonts w:asciiTheme="majorBidi" w:hAnsiTheme="majorBidi" w:cstheme="majorBidi"/>
          <w:sz w:val="24"/>
          <w:szCs w:val="24"/>
          <w:lang w:val="sv-SE" w:eastAsia="en-GB"/>
        </w:rPr>
        <w:t xml:space="preserve"> penulisan berpedoman pada buku “Pedoman </w:t>
      </w:r>
      <w:r>
        <w:rPr>
          <w:rFonts w:asciiTheme="majorBidi" w:hAnsiTheme="majorBidi" w:cstheme="majorBidi"/>
          <w:sz w:val="24"/>
          <w:szCs w:val="24"/>
          <w:lang w:val="sv-SE" w:eastAsia="en-GB"/>
        </w:rPr>
        <w:t>Penyusunan Tesis/Disertasi  yang diterbitkan oleh Pascasarjana Institut Agama Islam Negeri</w:t>
      </w:r>
      <w:r w:rsidR="00C259B9">
        <w:rPr>
          <w:rFonts w:asciiTheme="majorBidi" w:hAnsiTheme="majorBidi" w:cstheme="majorBidi"/>
          <w:sz w:val="24"/>
          <w:szCs w:val="24"/>
          <w:lang w:val="sv-SE" w:eastAsia="en-GB"/>
        </w:rPr>
        <w:t xml:space="preserve"> (IAIN)</w:t>
      </w:r>
      <w:r>
        <w:rPr>
          <w:rFonts w:asciiTheme="majorBidi" w:hAnsiTheme="majorBidi" w:cstheme="majorBidi"/>
          <w:sz w:val="24"/>
          <w:szCs w:val="24"/>
          <w:lang w:val="sv-SE" w:eastAsia="en-GB"/>
        </w:rPr>
        <w:t xml:space="preserve"> Raden Intan </w:t>
      </w:r>
      <w:r w:rsidR="000C5EEC">
        <w:rPr>
          <w:rFonts w:asciiTheme="majorBidi" w:hAnsiTheme="majorBidi" w:cstheme="majorBidi"/>
          <w:sz w:val="24"/>
          <w:szCs w:val="24"/>
          <w:lang w:val="sv-SE" w:eastAsia="en-GB"/>
        </w:rPr>
        <w:t>Lampung tahun 2015</w:t>
      </w:r>
      <w:r>
        <w:rPr>
          <w:rFonts w:asciiTheme="majorBidi" w:hAnsiTheme="majorBidi" w:cstheme="majorBidi"/>
          <w:sz w:val="24"/>
          <w:szCs w:val="24"/>
          <w:lang w:val="sv-SE" w:eastAsia="en-GB"/>
        </w:rPr>
        <w:t xml:space="preserve">. </w:t>
      </w:r>
    </w:p>
    <w:bookmarkEnd w:id="7"/>
    <w:bookmarkEnd w:id="8"/>
    <w:p w:rsidR="00BC41DD" w:rsidRPr="00026814" w:rsidRDefault="005B5766" w:rsidP="00A33E46">
      <w:pPr>
        <w:pStyle w:val="ListParagraph"/>
        <w:numPr>
          <w:ilvl w:val="0"/>
          <w:numId w:val="9"/>
        </w:numPr>
        <w:spacing w:after="0" w:line="360" w:lineRule="auto"/>
        <w:ind w:left="360"/>
        <w:jc w:val="both"/>
        <w:rPr>
          <w:rFonts w:asciiTheme="majorBidi" w:hAnsiTheme="majorBidi" w:cstheme="majorBidi"/>
          <w:b/>
          <w:bCs/>
          <w:sz w:val="24"/>
          <w:szCs w:val="24"/>
          <w:lang w:val="sv-SE"/>
        </w:rPr>
      </w:pPr>
      <w:r w:rsidRPr="00026814">
        <w:rPr>
          <w:rFonts w:asciiTheme="majorBidi" w:hAnsiTheme="majorBidi" w:cstheme="majorBidi"/>
          <w:b/>
          <w:bCs/>
          <w:sz w:val="24"/>
          <w:szCs w:val="24"/>
          <w:lang w:val="sv-SE"/>
        </w:rPr>
        <w:t>Si</w:t>
      </w:r>
      <w:r w:rsidR="00B270FF">
        <w:rPr>
          <w:rFonts w:asciiTheme="majorBidi" w:hAnsiTheme="majorBidi" w:cstheme="majorBidi"/>
          <w:b/>
          <w:bCs/>
          <w:sz w:val="24"/>
          <w:szCs w:val="24"/>
          <w:lang w:val="sv-SE"/>
        </w:rPr>
        <w:t>s</w:t>
      </w:r>
      <w:r w:rsidRPr="00026814">
        <w:rPr>
          <w:rFonts w:asciiTheme="majorBidi" w:hAnsiTheme="majorBidi" w:cstheme="majorBidi"/>
          <w:b/>
          <w:bCs/>
          <w:sz w:val="24"/>
          <w:szCs w:val="24"/>
          <w:lang w:val="sv-SE"/>
        </w:rPr>
        <w:t>te</w:t>
      </w:r>
      <w:r w:rsidR="00BC41DD" w:rsidRPr="00026814">
        <w:rPr>
          <w:rFonts w:asciiTheme="majorBidi" w:hAnsiTheme="majorBidi" w:cstheme="majorBidi"/>
          <w:b/>
          <w:bCs/>
          <w:sz w:val="24"/>
          <w:szCs w:val="24"/>
          <w:lang w:val="sv-SE"/>
        </w:rPr>
        <w:t>matika Penulisan</w:t>
      </w:r>
    </w:p>
    <w:p w:rsidR="00750BD8" w:rsidRPr="00917F93" w:rsidRDefault="00BC41DD" w:rsidP="00750BD8">
      <w:pPr>
        <w:pStyle w:val="ListParagraph"/>
        <w:spacing w:after="0" w:line="360" w:lineRule="auto"/>
        <w:ind w:left="0" w:firstLine="720"/>
        <w:jc w:val="both"/>
        <w:rPr>
          <w:rFonts w:ascii="Times New Roman" w:hAnsi="Times New Roman" w:cs="Times New Roman"/>
          <w:sz w:val="24"/>
          <w:szCs w:val="24"/>
          <w:lang w:val="sv-SE"/>
        </w:rPr>
      </w:pPr>
      <w:bookmarkStart w:id="9" w:name="OLE_LINK236"/>
      <w:bookmarkStart w:id="10" w:name="OLE_LINK235"/>
      <w:r w:rsidRPr="00FC20CC">
        <w:rPr>
          <w:rFonts w:ascii="Times New Roman" w:hAnsi="Times New Roman" w:cs="Times New Roman"/>
          <w:sz w:val="24"/>
          <w:szCs w:val="24"/>
          <w:lang w:val="sv-SE"/>
        </w:rPr>
        <w:t xml:space="preserve"> </w:t>
      </w:r>
      <w:r w:rsidR="00750BD8" w:rsidRPr="00FC20CC">
        <w:rPr>
          <w:rFonts w:ascii="Times New Roman" w:hAnsi="Times New Roman" w:cs="Times New Roman"/>
          <w:sz w:val="24"/>
          <w:szCs w:val="24"/>
          <w:lang w:val="sv-SE"/>
        </w:rPr>
        <w:t xml:space="preserve">Bab pertama, berupa pendahuluan yang dijadikan sebagai kerangka acuan dan dasar pijakan bagi pembahasan penelitian ini. Maka pada bab ini akan dijelaskan apa yang melatarbelakangi penelitian ini kemudian permasalahan itu dirumuskan dalam bentuk </w:t>
      </w:r>
      <w:r w:rsidR="00750BD8" w:rsidRPr="002A712C">
        <w:rPr>
          <w:rFonts w:asciiTheme="majorBidi" w:hAnsiTheme="majorBidi" w:cstheme="majorBidi"/>
          <w:sz w:val="24"/>
          <w:szCs w:val="24"/>
        </w:rPr>
        <w:t xml:space="preserve">identifikasi </w:t>
      </w:r>
      <w:r w:rsidR="00EE36A7" w:rsidRPr="002A712C">
        <w:rPr>
          <w:rFonts w:asciiTheme="majorBidi" w:hAnsiTheme="majorBidi" w:cstheme="majorBidi"/>
          <w:sz w:val="24"/>
          <w:szCs w:val="24"/>
        </w:rPr>
        <w:t>m</w:t>
      </w:r>
      <w:r w:rsidR="00750BD8" w:rsidRPr="002A712C">
        <w:rPr>
          <w:rFonts w:asciiTheme="majorBidi" w:hAnsiTheme="majorBidi" w:cstheme="majorBidi"/>
          <w:sz w:val="24"/>
          <w:szCs w:val="24"/>
        </w:rPr>
        <w:t>asalah</w:t>
      </w:r>
      <w:r w:rsidR="00750BD8">
        <w:rPr>
          <w:rFonts w:asciiTheme="majorBidi" w:hAnsiTheme="majorBidi" w:cstheme="majorBidi"/>
          <w:sz w:val="24"/>
          <w:szCs w:val="24"/>
        </w:rPr>
        <w:t xml:space="preserve">, </w:t>
      </w:r>
      <w:r w:rsidR="00750BD8" w:rsidRPr="002A712C">
        <w:rPr>
          <w:rFonts w:asciiTheme="majorBidi" w:hAnsiTheme="majorBidi" w:cstheme="majorBidi"/>
          <w:sz w:val="24"/>
          <w:szCs w:val="24"/>
        </w:rPr>
        <w:t xml:space="preserve">batasan masalah </w:t>
      </w:r>
      <w:r w:rsidR="00750BD8">
        <w:rPr>
          <w:rFonts w:asciiTheme="majorBidi" w:hAnsiTheme="majorBidi" w:cstheme="majorBidi"/>
          <w:sz w:val="24"/>
          <w:szCs w:val="24"/>
        </w:rPr>
        <w:t xml:space="preserve">dan </w:t>
      </w:r>
      <w:r w:rsidR="00750BD8" w:rsidRPr="002A712C">
        <w:rPr>
          <w:rFonts w:ascii="Times New Roman" w:hAnsi="Times New Roman" w:cs="Times New Roman"/>
          <w:sz w:val="24"/>
          <w:szCs w:val="24"/>
          <w:lang w:val="sv-SE"/>
        </w:rPr>
        <w:t xml:space="preserve">rumusan masalah. Kemudia baru dijelaskan tujuan </w:t>
      </w:r>
      <w:r w:rsidR="00750BD8" w:rsidRPr="002A712C">
        <w:rPr>
          <w:rFonts w:asciiTheme="majorBidi" w:hAnsiTheme="majorBidi" w:cstheme="majorBidi"/>
          <w:sz w:val="24"/>
          <w:szCs w:val="24"/>
        </w:rPr>
        <w:t>dan</w:t>
      </w:r>
      <w:r w:rsidR="00750BD8" w:rsidRPr="002A712C">
        <w:rPr>
          <w:rFonts w:asciiTheme="majorBidi" w:hAnsiTheme="majorBidi" w:cstheme="majorBidi"/>
          <w:b/>
          <w:bCs/>
          <w:sz w:val="24"/>
          <w:szCs w:val="24"/>
        </w:rPr>
        <w:t xml:space="preserve"> </w:t>
      </w:r>
      <w:r w:rsidR="00EE36A7" w:rsidRPr="002A712C">
        <w:rPr>
          <w:rFonts w:asciiTheme="majorBidi" w:hAnsiTheme="majorBidi" w:cstheme="majorBidi"/>
          <w:sz w:val="24"/>
          <w:szCs w:val="24"/>
        </w:rPr>
        <w:t>k</w:t>
      </w:r>
      <w:r w:rsidR="00750BD8" w:rsidRPr="002A712C">
        <w:rPr>
          <w:rFonts w:asciiTheme="majorBidi" w:hAnsiTheme="majorBidi" w:cstheme="majorBidi"/>
          <w:sz w:val="24"/>
          <w:szCs w:val="24"/>
        </w:rPr>
        <w:t xml:space="preserve">egunaan </w:t>
      </w:r>
      <w:r w:rsidR="00750BD8" w:rsidRPr="002A712C">
        <w:rPr>
          <w:rFonts w:ascii="Times New Roman" w:hAnsi="Times New Roman" w:cs="Times New Roman"/>
          <w:sz w:val="24"/>
          <w:szCs w:val="24"/>
          <w:lang w:val="sv-SE"/>
        </w:rPr>
        <w:t>dari diadakannya penelitian ini,</w:t>
      </w:r>
      <w:r w:rsidR="00750BD8">
        <w:rPr>
          <w:rFonts w:ascii="Times New Roman" w:hAnsi="Times New Roman" w:cs="Times New Roman"/>
          <w:sz w:val="24"/>
          <w:szCs w:val="24"/>
          <w:lang w:val="sv-SE"/>
        </w:rPr>
        <w:t xml:space="preserve"> </w:t>
      </w:r>
      <w:r w:rsidR="00750BD8" w:rsidRPr="002A712C">
        <w:rPr>
          <w:rFonts w:ascii="Times New Roman" w:hAnsi="Times New Roman" w:cs="Times New Roman"/>
          <w:sz w:val="24"/>
          <w:szCs w:val="24"/>
          <w:lang w:val="sv-SE"/>
        </w:rPr>
        <w:t xml:space="preserve">manfaat dan signifikansi penelitian. Setelah itu juga dipaparkan penelitian terdahulu yang relevan dengan kajian ini. Dalam bab ini juga disebutkan </w:t>
      </w:r>
      <w:r w:rsidR="00EE36A7" w:rsidRPr="002A712C">
        <w:rPr>
          <w:rFonts w:ascii="Times New Roman" w:hAnsi="Times New Roman" w:cs="Times New Roman"/>
          <w:sz w:val="24"/>
          <w:szCs w:val="24"/>
          <w:lang w:val="sv-SE"/>
        </w:rPr>
        <w:t>k</w:t>
      </w:r>
      <w:r w:rsidR="00750BD8" w:rsidRPr="002A712C">
        <w:rPr>
          <w:rFonts w:ascii="Times New Roman" w:hAnsi="Times New Roman" w:cs="Times New Roman"/>
          <w:sz w:val="24"/>
          <w:szCs w:val="24"/>
          <w:lang w:val="sv-SE"/>
        </w:rPr>
        <w:t xml:space="preserve">erangka pikir serta </w:t>
      </w:r>
      <w:r w:rsidR="00EE36A7" w:rsidRPr="002A712C">
        <w:rPr>
          <w:rFonts w:ascii="Times New Roman" w:hAnsi="Times New Roman" w:cs="Times New Roman"/>
          <w:sz w:val="24"/>
          <w:szCs w:val="24"/>
          <w:lang w:val="sv-SE"/>
        </w:rPr>
        <w:t>t</w:t>
      </w:r>
      <w:r w:rsidR="00750BD8" w:rsidRPr="002A712C">
        <w:rPr>
          <w:rFonts w:ascii="Times New Roman" w:hAnsi="Times New Roman" w:cs="Times New Roman"/>
          <w:sz w:val="24"/>
          <w:szCs w:val="24"/>
          <w:lang w:val="sv-SE"/>
        </w:rPr>
        <w:t>eori yang dipakai untuk menganalisa permasalahan.</w:t>
      </w:r>
      <w:r w:rsidR="00750BD8">
        <w:rPr>
          <w:rFonts w:ascii="Times New Roman" w:hAnsi="Times New Roman" w:cs="Times New Roman"/>
          <w:sz w:val="24"/>
          <w:szCs w:val="24"/>
          <w:lang w:val="sv-SE"/>
        </w:rPr>
        <w:t xml:space="preserve"> Setelah itu baru </w:t>
      </w:r>
      <w:r w:rsidR="00EE36A7" w:rsidRPr="002A712C">
        <w:rPr>
          <w:rFonts w:asciiTheme="majorBidi" w:hAnsiTheme="majorBidi" w:cstheme="majorBidi"/>
          <w:sz w:val="24"/>
          <w:szCs w:val="24"/>
          <w:lang w:val="sv-SE"/>
        </w:rPr>
        <w:t>metode penelitian</w:t>
      </w:r>
      <w:r w:rsidR="00EE36A7">
        <w:rPr>
          <w:rFonts w:asciiTheme="majorBidi" w:hAnsiTheme="majorBidi" w:cstheme="majorBidi"/>
          <w:sz w:val="24"/>
          <w:szCs w:val="24"/>
          <w:lang w:val="sv-SE"/>
        </w:rPr>
        <w:t xml:space="preserve"> </w:t>
      </w:r>
      <w:r w:rsidR="00750BD8">
        <w:rPr>
          <w:rFonts w:asciiTheme="majorBidi" w:hAnsiTheme="majorBidi" w:cstheme="majorBidi"/>
          <w:sz w:val="24"/>
          <w:szCs w:val="24"/>
          <w:lang w:val="sv-SE"/>
        </w:rPr>
        <w:t xml:space="preserve">yang terdiri dari </w:t>
      </w:r>
      <w:r w:rsidR="00750BD8" w:rsidRPr="002A712C">
        <w:rPr>
          <w:rFonts w:asciiTheme="majorBidi" w:hAnsiTheme="majorBidi" w:cstheme="majorBidi"/>
          <w:sz w:val="24"/>
          <w:szCs w:val="24"/>
          <w:lang w:val="sv-SE"/>
        </w:rPr>
        <w:t xml:space="preserve"> </w:t>
      </w:r>
      <w:r w:rsidR="00750BD8" w:rsidRPr="0084470C">
        <w:rPr>
          <w:rFonts w:asciiTheme="majorBidi" w:hAnsiTheme="majorBidi" w:cstheme="majorBidi"/>
          <w:bCs/>
          <w:sz w:val="24"/>
          <w:szCs w:val="24"/>
          <w:lang w:val="sv-SE" w:eastAsia="en-GB"/>
        </w:rPr>
        <w:t>jenis penelitian</w:t>
      </w:r>
      <w:r w:rsidR="00750BD8">
        <w:rPr>
          <w:rFonts w:asciiTheme="majorBidi" w:hAnsiTheme="majorBidi" w:cstheme="majorBidi"/>
          <w:bCs/>
          <w:sz w:val="24"/>
          <w:szCs w:val="24"/>
          <w:lang w:val="sv-SE" w:eastAsia="en-GB"/>
        </w:rPr>
        <w:t xml:space="preserve">, </w:t>
      </w:r>
      <w:r w:rsidR="00750BD8" w:rsidRPr="00FD679D">
        <w:rPr>
          <w:rFonts w:asciiTheme="majorBidi" w:hAnsiTheme="majorBidi" w:cstheme="majorBidi"/>
          <w:sz w:val="24"/>
          <w:szCs w:val="24"/>
          <w:lang w:val="sv-SE" w:eastAsia="en-GB"/>
        </w:rPr>
        <w:t>sifat penelitian</w:t>
      </w:r>
      <w:r w:rsidR="00750BD8">
        <w:rPr>
          <w:rFonts w:asciiTheme="majorBidi" w:hAnsiTheme="majorBidi" w:cstheme="majorBidi"/>
          <w:sz w:val="24"/>
          <w:szCs w:val="24"/>
          <w:lang w:val="sv-SE" w:eastAsia="en-GB"/>
        </w:rPr>
        <w:t xml:space="preserve">, </w:t>
      </w:r>
      <w:r w:rsidR="00750BD8" w:rsidRPr="0084470C">
        <w:rPr>
          <w:rFonts w:asciiTheme="majorBidi" w:hAnsiTheme="majorBidi" w:cstheme="majorBidi"/>
          <w:sz w:val="24"/>
          <w:szCs w:val="24"/>
          <w:lang w:val="sv-SE" w:eastAsia="en-GB"/>
        </w:rPr>
        <w:t>sumber data</w:t>
      </w:r>
      <w:r w:rsidR="00750BD8">
        <w:rPr>
          <w:rFonts w:asciiTheme="majorBidi" w:hAnsiTheme="majorBidi" w:cstheme="majorBidi"/>
          <w:sz w:val="24"/>
          <w:szCs w:val="24"/>
          <w:lang w:val="sv-SE" w:eastAsia="en-GB"/>
        </w:rPr>
        <w:t xml:space="preserve"> serta </w:t>
      </w:r>
      <w:r w:rsidR="00750BD8" w:rsidRPr="00C257C9">
        <w:rPr>
          <w:rFonts w:asciiTheme="majorBidi" w:hAnsiTheme="majorBidi" w:cstheme="majorBidi"/>
          <w:sz w:val="24"/>
          <w:szCs w:val="24"/>
          <w:lang w:val="sv-SE" w:eastAsia="en-GB"/>
        </w:rPr>
        <w:t>teknik pengolahan dan analisis data</w:t>
      </w:r>
      <w:r w:rsidR="00750BD8">
        <w:rPr>
          <w:rFonts w:asciiTheme="majorBidi" w:hAnsiTheme="majorBidi" w:cstheme="majorBidi"/>
          <w:sz w:val="24"/>
          <w:szCs w:val="24"/>
          <w:lang w:val="sv-SE" w:eastAsia="en-GB"/>
        </w:rPr>
        <w:t xml:space="preserve">, </w:t>
      </w:r>
      <w:r w:rsidR="00750BD8" w:rsidRPr="00917F93">
        <w:rPr>
          <w:rFonts w:ascii="Times New Roman" w:hAnsi="Times New Roman" w:cs="Times New Roman"/>
          <w:sz w:val="24"/>
          <w:szCs w:val="24"/>
          <w:lang w:val="sv-SE"/>
        </w:rPr>
        <w:t>dan terakhir adalah sistematika penulisannya.</w:t>
      </w:r>
    </w:p>
    <w:p w:rsidR="0055118A" w:rsidRPr="00DC3BD5" w:rsidRDefault="0094655B" w:rsidP="00DF7A01">
      <w:pPr>
        <w:pStyle w:val="ListParagraph"/>
        <w:tabs>
          <w:tab w:val="left" w:pos="1620"/>
        </w:tabs>
        <w:spacing w:after="0" w:line="360" w:lineRule="auto"/>
        <w:ind w:left="0" w:firstLine="720"/>
        <w:jc w:val="both"/>
        <w:rPr>
          <w:rFonts w:asciiTheme="majorBidi" w:hAnsiTheme="majorBidi" w:cstheme="majorBidi"/>
          <w:sz w:val="24"/>
          <w:szCs w:val="24"/>
          <w:lang w:val="sv-SE"/>
        </w:rPr>
      </w:pPr>
      <w:r w:rsidRPr="00693EB7">
        <w:rPr>
          <w:rFonts w:asciiTheme="majorBidi" w:hAnsiTheme="majorBidi" w:cstheme="majorBidi"/>
          <w:sz w:val="24"/>
          <w:szCs w:val="24"/>
          <w:lang w:val="sv-SE"/>
        </w:rPr>
        <w:t xml:space="preserve">Bab dua, </w:t>
      </w:r>
      <w:r w:rsidR="00F05BD5">
        <w:rPr>
          <w:rFonts w:asciiTheme="majorBidi" w:hAnsiTheme="majorBidi" w:cstheme="majorBidi"/>
          <w:sz w:val="24"/>
          <w:szCs w:val="24"/>
          <w:lang w:val="sv-SE"/>
        </w:rPr>
        <w:t>sebagai pijakan te</w:t>
      </w:r>
      <w:r w:rsidR="00282142">
        <w:rPr>
          <w:rFonts w:asciiTheme="majorBidi" w:hAnsiTheme="majorBidi" w:cstheme="majorBidi"/>
          <w:sz w:val="24"/>
          <w:szCs w:val="24"/>
          <w:lang w:val="sv-SE"/>
        </w:rPr>
        <w:t xml:space="preserve">ori yang </w:t>
      </w:r>
      <w:r w:rsidRPr="00693EB7">
        <w:rPr>
          <w:rFonts w:asciiTheme="majorBidi" w:hAnsiTheme="majorBidi" w:cstheme="majorBidi"/>
          <w:sz w:val="24"/>
          <w:szCs w:val="24"/>
          <w:lang w:val="sv-SE"/>
        </w:rPr>
        <w:t xml:space="preserve">membahas </w:t>
      </w:r>
      <w:r w:rsidR="00282142">
        <w:rPr>
          <w:rFonts w:asciiTheme="majorBidi" w:hAnsiTheme="majorBidi" w:cstheme="majorBidi"/>
          <w:sz w:val="24"/>
          <w:szCs w:val="24"/>
          <w:lang w:val="sv-SE"/>
        </w:rPr>
        <w:t xml:space="preserve">masalah </w:t>
      </w:r>
      <w:r w:rsidR="00282142" w:rsidRPr="00693EB7">
        <w:rPr>
          <w:rFonts w:asciiTheme="majorBidi" w:hAnsiTheme="majorBidi" w:cstheme="majorBidi"/>
          <w:i/>
          <w:iCs/>
          <w:sz w:val="24"/>
          <w:szCs w:val="24"/>
          <w:lang w:val="sv-SE"/>
        </w:rPr>
        <w:t>s</w:t>
      </w:r>
      <w:r w:rsidR="00693EB7" w:rsidRPr="00693EB7">
        <w:rPr>
          <w:rFonts w:asciiTheme="majorBidi" w:hAnsiTheme="majorBidi" w:cstheme="majorBidi"/>
          <w:i/>
          <w:iCs/>
          <w:sz w:val="24"/>
          <w:szCs w:val="24"/>
          <w:lang w:val="sv-SE"/>
        </w:rPr>
        <w:t xml:space="preserve">iyāsah </w:t>
      </w:r>
      <w:r w:rsidR="00CC1D08">
        <w:rPr>
          <w:rFonts w:asciiTheme="majorBidi" w:hAnsiTheme="majorBidi" w:cstheme="majorBidi"/>
          <w:i/>
          <w:iCs/>
          <w:sz w:val="24"/>
          <w:szCs w:val="24"/>
          <w:lang w:val="sv-SE"/>
        </w:rPr>
        <w:t>syar‘iyah</w:t>
      </w:r>
      <w:r w:rsidR="00CA1C61" w:rsidRPr="00693EB7">
        <w:rPr>
          <w:rFonts w:asciiTheme="majorBidi" w:hAnsiTheme="majorBidi" w:cstheme="majorBidi"/>
          <w:sz w:val="24"/>
          <w:szCs w:val="24"/>
          <w:lang w:val="sv-SE"/>
        </w:rPr>
        <w:t xml:space="preserve"> </w:t>
      </w:r>
      <w:r w:rsidR="00EE36A7" w:rsidRPr="00693EB7">
        <w:rPr>
          <w:rFonts w:asciiTheme="majorBidi" w:hAnsiTheme="majorBidi" w:cstheme="majorBidi"/>
          <w:sz w:val="24"/>
          <w:szCs w:val="24"/>
          <w:lang w:val="sv-SE"/>
        </w:rPr>
        <w:t>sebagai landasan penenatapan hukum dalam Islam</w:t>
      </w:r>
      <w:r w:rsidRPr="00693EB7">
        <w:rPr>
          <w:rFonts w:asciiTheme="majorBidi" w:hAnsiTheme="majorBidi" w:cstheme="majorBidi"/>
          <w:sz w:val="24"/>
          <w:szCs w:val="24"/>
          <w:lang w:val="sv-SE"/>
        </w:rPr>
        <w:t xml:space="preserve">, </w:t>
      </w:r>
      <w:r w:rsidR="00CA1C61" w:rsidRPr="00693EB7">
        <w:rPr>
          <w:rFonts w:asciiTheme="majorBidi" w:hAnsiTheme="majorBidi" w:cstheme="majorBidi"/>
          <w:sz w:val="24"/>
          <w:szCs w:val="24"/>
          <w:lang w:val="sv-SE"/>
        </w:rPr>
        <w:t xml:space="preserve">yaitu meliputi; </w:t>
      </w:r>
      <w:r w:rsidR="00150080">
        <w:rPr>
          <w:rFonts w:asciiTheme="majorBidi" w:hAnsiTheme="majorBidi" w:cstheme="majorBidi"/>
          <w:sz w:val="24"/>
          <w:szCs w:val="24"/>
          <w:lang w:val="sv-SE"/>
        </w:rPr>
        <w:t xml:space="preserve">Karakteristik </w:t>
      </w:r>
      <w:r w:rsidR="00DF7A01" w:rsidRPr="00693EB7">
        <w:rPr>
          <w:rFonts w:asciiTheme="majorBidi" w:hAnsiTheme="majorBidi" w:cstheme="majorBidi"/>
          <w:i/>
          <w:iCs/>
          <w:sz w:val="24"/>
          <w:szCs w:val="24"/>
          <w:lang w:val="sv-SE"/>
        </w:rPr>
        <w:t xml:space="preserve">Siyāsah </w:t>
      </w:r>
      <w:r w:rsidR="00DF7A01">
        <w:rPr>
          <w:rFonts w:asciiTheme="majorBidi" w:hAnsiTheme="majorBidi" w:cstheme="majorBidi"/>
          <w:i/>
          <w:iCs/>
          <w:sz w:val="24"/>
          <w:szCs w:val="24"/>
          <w:lang w:val="sv-SE"/>
        </w:rPr>
        <w:t>Syar‘iyyah</w:t>
      </w:r>
      <w:r w:rsidR="00CA1C61" w:rsidRPr="00693EB7">
        <w:rPr>
          <w:rFonts w:asciiTheme="majorBidi" w:hAnsiTheme="majorBidi" w:cstheme="majorBidi"/>
          <w:sz w:val="24"/>
          <w:szCs w:val="24"/>
          <w:lang w:val="sv-SE"/>
        </w:rPr>
        <w:t xml:space="preserve">, </w:t>
      </w:r>
      <w:r w:rsidRPr="00693EB7">
        <w:rPr>
          <w:rFonts w:asciiTheme="majorBidi" w:hAnsiTheme="majorBidi" w:cstheme="majorBidi"/>
          <w:sz w:val="24"/>
          <w:szCs w:val="24"/>
          <w:lang w:val="sv-SE"/>
        </w:rPr>
        <w:t>Pengertian</w:t>
      </w:r>
      <w:r w:rsidR="0029141C" w:rsidRPr="00693EB7">
        <w:rPr>
          <w:rFonts w:asciiTheme="majorBidi" w:hAnsiTheme="majorBidi" w:cstheme="majorBidi"/>
          <w:sz w:val="24"/>
          <w:szCs w:val="24"/>
          <w:lang w:val="sv-SE"/>
        </w:rPr>
        <w:t xml:space="preserve"> </w:t>
      </w:r>
      <w:r w:rsidR="00693EB7" w:rsidRPr="00693EB7">
        <w:rPr>
          <w:rFonts w:asciiTheme="majorBidi" w:hAnsiTheme="majorBidi" w:cstheme="majorBidi"/>
          <w:i/>
          <w:iCs/>
          <w:sz w:val="24"/>
          <w:szCs w:val="24"/>
          <w:lang w:val="sv-SE"/>
        </w:rPr>
        <w:t>Siyāsah</w:t>
      </w:r>
      <w:r w:rsidR="00C374C1" w:rsidRPr="00693EB7">
        <w:rPr>
          <w:rFonts w:asciiTheme="majorBidi" w:hAnsiTheme="majorBidi" w:cstheme="majorBidi"/>
          <w:i/>
          <w:iCs/>
          <w:sz w:val="24"/>
          <w:szCs w:val="24"/>
          <w:lang w:val="sv-SE"/>
        </w:rPr>
        <w:t xml:space="preserve"> </w:t>
      </w:r>
      <w:r w:rsidR="00CC1D08">
        <w:rPr>
          <w:rFonts w:asciiTheme="majorBidi" w:hAnsiTheme="majorBidi" w:cstheme="majorBidi"/>
          <w:i/>
          <w:iCs/>
          <w:sz w:val="24"/>
          <w:szCs w:val="24"/>
          <w:lang w:val="sv-SE"/>
        </w:rPr>
        <w:t>Syar‘i</w:t>
      </w:r>
      <w:r w:rsidR="00DF7A01">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yah</w:t>
      </w:r>
      <w:r w:rsidR="00C374C1" w:rsidRPr="00693EB7">
        <w:rPr>
          <w:rFonts w:asciiTheme="majorBidi" w:hAnsiTheme="majorBidi" w:cstheme="majorBidi"/>
          <w:sz w:val="24"/>
          <w:szCs w:val="24"/>
          <w:lang w:val="sv-SE"/>
        </w:rPr>
        <w:t xml:space="preserve">, </w:t>
      </w:r>
      <w:r w:rsidR="0029141C" w:rsidRPr="00693EB7">
        <w:rPr>
          <w:rFonts w:asciiTheme="majorBidi" w:hAnsiTheme="majorBidi" w:cstheme="majorBidi"/>
          <w:sz w:val="24"/>
          <w:szCs w:val="24"/>
          <w:lang w:val="sv-SE"/>
        </w:rPr>
        <w:t>landasan</w:t>
      </w:r>
      <w:r w:rsidR="00C374C1" w:rsidRPr="00693EB7">
        <w:rPr>
          <w:rFonts w:asciiTheme="majorBidi" w:hAnsiTheme="majorBidi" w:cstheme="majorBidi"/>
          <w:sz w:val="24"/>
          <w:szCs w:val="24"/>
          <w:lang w:val="sv-SE"/>
        </w:rPr>
        <w:t xml:space="preserve"> dasar</w:t>
      </w:r>
      <w:r w:rsidRPr="00693EB7">
        <w:rPr>
          <w:rFonts w:asciiTheme="majorBidi" w:hAnsiTheme="majorBidi" w:cstheme="majorBidi"/>
          <w:sz w:val="24"/>
          <w:szCs w:val="24"/>
          <w:lang w:val="sv-SE"/>
        </w:rPr>
        <w:t xml:space="preserve"> </w:t>
      </w:r>
      <w:r w:rsidR="00EE36A7">
        <w:rPr>
          <w:rFonts w:asciiTheme="majorBidi" w:hAnsiTheme="majorBidi" w:cstheme="majorBidi"/>
          <w:i/>
          <w:iCs/>
          <w:sz w:val="24"/>
          <w:szCs w:val="24"/>
          <w:lang w:val="sv-SE"/>
        </w:rPr>
        <w:t>Si</w:t>
      </w:r>
      <w:r w:rsidRPr="00693EB7">
        <w:rPr>
          <w:rFonts w:asciiTheme="majorBidi" w:hAnsiTheme="majorBidi" w:cstheme="majorBidi"/>
          <w:i/>
          <w:iCs/>
          <w:sz w:val="24"/>
          <w:szCs w:val="24"/>
          <w:lang w:val="sv-SE"/>
        </w:rPr>
        <w:t>y</w:t>
      </w:r>
      <w:r w:rsidR="00EE36A7" w:rsidRPr="00693EB7">
        <w:rPr>
          <w:rFonts w:asciiTheme="majorBidi" w:hAnsiTheme="majorBidi" w:cstheme="majorBidi"/>
          <w:i/>
          <w:iCs/>
          <w:sz w:val="24"/>
          <w:szCs w:val="24"/>
          <w:lang w:val="sv-SE"/>
        </w:rPr>
        <w:t>ā</w:t>
      </w:r>
      <w:r w:rsidRPr="00693EB7">
        <w:rPr>
          <w:rFonts w:asciiTheme="majorBidi" w:hAnsiTheme="majorBidi" w:cstheme="majorBidi"/>
          <w:i/>
          <w:iCs/>
          <w:sz w:val="24"/>
          <w:szCs w:val="24"/>
          <w:lang w:val="sv-SE"/>
        </w:rPr>
        <w:t xml:space="preserve">sah </w:t>
      </w:r>
      <w:r w:rsidR="00CC1D08">
        <w:rPr>
          <w:rFonts w:asciiTheme="majorBidi" w:hAnsiTheme="majorBidi" w:cstheme="majorBidi"/>
          <w:i/>
          <w:iCs/>
          <w:sz w:val="24"/>
          <w:szCs w:val="24"/>
          <w:lang w:val="sv-SE"/>
        </w:rPr>
        <w:t>Syar‘iy</w:t>
      </w:r>
      <w:r w:rsidR="00EE36A7">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ah</w:t>
      </w:r>
      <w:r w:rsidR="00CA1C61" w:rsidRPr="00693EB7">
        <w:rPr>
          <w:rFonts w:asciiTheme="majorBidi" w:hAnsiTheme="majorBidi" w:cstheme="majorBidi"/>
          <w:sz w:val="24"/>
          <w:szCs w:val="24"/>
          <w:lang w:val="sv-SE"/>
        </w:rPr>
        <w:t xml:space="preserve">, </w:t>
      </w:r>
      <w:r w:rsidR="00693EB7" w:rsidRPr="00693EB7">
        <w:rPr>
          <w:rFonts w:asciiTheme="majorBidi" w:hAnsiTheme="majorBidi" w:cstheme="majorBidi"/>
          <w:i/>
          <w:iCs/>
          <w:sz w:val="24"/>
          <w:szCs w:val="24"/>
          <w:lang w:val="sv-SE"/>
        </w:rPr>
        <w:t>Siyāsah</w:t>
      </w:r>
      <w:r w:rsidRPr="00693EB7">
        <w:rPr>
          <w:rFonts w:asciiTheme="majorBidi" w:hAnsiTheme="majorBidi" w:cstheme="majorBidi"/>
          <w:i/>
          <w:iCs/>
          <w:sz w:val="24"/>
          <w:szCs w:val="24"/>
          <w:lang w:val="sv-SE"/>
        </w:rPr>
        <w:t xml:space="preserve"> </w:t>
      </w:r>
      <w:r w:rsidR="00CC1D08">
        <w:rPr>
          <w:rFonts w:asciiTheme="majorBidi" w:hAnsiTheme="majorBidi" w:cstheme="majorBidi"/>
          <w:i/>
          <w:iCs/>
          <w:sz w:val="24"/>
          <w:szCs w:val="24"/>
          <w:lang w:val="sv-SE"/>
        </w:rPr>
        <w:t>Syar‘i</w:t>
      </w:r>
      <w:r w:rsidR="00EE36A7">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yah</w:t>
      </w:r>
      <w:r w:rsidRPr="00693EB7">
        <w:rPr>
          <w:rFonts w:asciiTheme="majorBidi" w:hAnsiTheme="majorBidi" w:cstheme="majorBidi"/>
          <w:sz w:val="24"/>
          <w:szCs w:val="24"/>
          <w:lang w:val="sv-SE"/>
        </w:rPr>
        <w:t xml:space="preserve"> perspektif Sejarah</w:t>
      </w:r>
      <w:r w:rsidR="000C0254">
        <w:rPr>
          <w:rFonts w:asciiTheme="majorBidi" w:hAnsiTheme="majorBidi" w:cstheme="majorBidi"/>
          <w:sz w:val="24"/>
          <w:szCs w:val="24"/>
          <w:lang w:val="sv-SE"/>
        </w:rPr>
        <w:t xml:space="preserve">. </w:t>
      </w:r>
      <w:r w:rsidR="00CA1C61" w:rsidRPr="00693EB7">
        <w:rPr>
          <w:rFonts w:asciiTheme="majorBidi" w:hAnsiTheme="majorBidi" w:cstheme="majorBidi"/>
          <w:sz w:val="24"/>
          <w:szCs w:val="24"/>
          <w:lang w:val="sv-SE"/>
        </w:rPr>
        <w:t xml:space="preserve">Kemudian baru membahas </w:t>
      </w:r>
      <w:r w:rsidR="0029141C" w:rsidRPr="00693EB7">
        <w:rPr>
          <w:rFonts w:asciiTheme="majorBidi" w:hAnsiTheme="majorBidi" w:cstheme="majorBidi"/>
          <w:sz w:val="24"/>
          <w:szCs w:val="24"/>
          <w:lang w:val="sv-SE"/>
        </w:rPr>
        <w:t xml:space="preserve">tentang </w:t>
      </w:r>
      <w:r w:rsidR="00EE36A7" w:rsidRPr="00693EB7">
        <w:rPr>
          <w:rFonts w:asciiTheme="majorBidi" w:hAnsiTheme="majorBidi" w:cstheme="majorBidi"/>
          <w:sz w:val="24"/>
          <w:szCs w:val="24"/>
          <w:lang w:val="sv-SE"/>
        </w:rPr>
        <w:t>p</w:t>
      </w:r>
      <w:r w:rsidR="0029141C" w:rsidRPr="00693EB7">
        <w:rPr>
          <w:rFonts w:asciiTheme="majorBidi" w:hAnsiTheme="majorBidi" w:cstheme="majorBidi"/>
          <w:sz w:val="24"/>
          <w:szCs w:val="24"/>
          <w:lang w:val="sv-SE"/>
        </w:rPr>
        <w:t xml:space="preserve">endekatan dalam </w:t>
      </w:r>
      <w:r w:rsidR="00EE36A7" w:rsidRPr="00693EB7">
        <w:rPr>
          <w:rFonts w:asciiTheme="majorBidi" w:hAnsiTheme="majorBidi" w:cstheme="majorBidi"/>
          <w:sz w:val="24"/>
          <w:szCs w:val="24"/>
          <w:lang w:val="sv-SE"/>
        </w:rPr>
        <w:t>m</w:t>
      </w:r>
      <w:r w:rsidR="00C4410F" w:rsidRPr="00693EB7">
        <w:rPr>
          <w:rFonts w:asciiTheme="majorBidi" w:hAnsiTheme="majorBidi" w:cstheme="majorBidi"/>
          <w:sz w:val="24"/>
          <w:szCs w:val="24"/>
          <w:lang w:val="sv-SE"/>
        </w:rPr>
        <w:t xml:space="preserve">engkaji </w:t>
      </w:r>
      <w:r w:rsidR="00EE36A7" w:rsidRPr="00693EB7">
        <w:rPr>
          <w:rFonts w:asciiTheme="majorBidi" w:hAnsiTheme="majorBidi" w:cstheme="majorBidi"/>
          <w:i/>
          <w:iCs/>
          <w:sz w:val="24"/>
          <w:szCs w:val="24"/>
          <w:lang w:val="sv-SE"/>
        </w:rPr>
        <w:t>s</w:t>
      </w:r>
      <w:r w:rsidR="00693EB7" w:rsidRPr="00693EB7">
        <w:rPr>
          <w:rFonts w:asciiTheme="majorBidi" w:hAnsiTheme="majorBidi" w:cstheme="majorBidi"/>
          <w:i/>
          <w:iCs/>
          <w:sz w:val="24"/>
          <w:szCs w:val="24"/>
          <w:lang w:val="sv-SE"/>
        </w:rPr>
        <w:t xml:space="preserve">iyāsah </w:t>
      </w:r>
      <w:r w:rsidR="00EE36A7">
        <w:rPr>
          <w:rFonts w:asciiTheme="majorBidi" w:hAnsiTheme="majorBidi" w:cstheme="majorBidi"/>
          <w:i/>
          <w:iCs/>
          <w:sz w:val="24"/>
          <w:szCs w:val="24"/>
          <w:lang w:val="sv-SE"/>
        </w:rPr>
        <w:t>s</w:t>
      </w:r>
      <w:r w:rsidR="00CC1D08">
        <w:rPr>
          <w:rFonts w:asciiTheme="majorBidi" w:hAnsiTheme="majorBidi" w:cstheme="majorBidi"/>
          <w:i/>
          <w:iCs/>
          <w:sz w:val="24"/>
          <w:szCs w:val="24"/>
          <w:lang w:val="sv-SE"/>
        </w:rPr>
        <w:t>yar‘i</w:t>
      </w:r>
      <w:r w:rsidR="00EE36A7">
        <w:rPr>
          <w:rFonts w:asciiTheme="majorBidi" w:hAnsiTheme="majorBidi" w:cstheme="majorBidi"/>
          <w:i/>
          <w:iCs/>
          <w:sz w:val="24"/>
          <w:szCs w:val="24"/>
          <w:lang w:val="sv-SE"/>
        </w:rPr>
        <w:t>y</w:t>
      </w:r>
      <w:r w:rsidR="00CC1D08">
        <w:rPr>
          <w:rFonts w:asciiTheme="majorBidi" w:hAnsiTheme="majorBidi" w:cstheme="majorBidi"/>
          <w:i/>
          <w:iCs/>
          <w:sz w:val="24"/>
          <w:szCs w:val="24"/>
          <w:lang w:val="sv-SE"/>
        </w:rPr>
        <w:t>yah</w:t>
      </w:r>
      <w:r w:rsidR="00CA1C61" w:rsidRPr="00693EB7">
        <w:rPr>
          <w:rFonts w:asciiTheme="majorBidi" w:hAnsiTheme="majorBidi" w:cstheme="majorBidi"/>
          <w:sz w:val="24"/>
          <w:szCs w:val="24"/>
          <w:lang w:val="sv-SE"/>
        </w:rPr>
        <w:t xml:space="preserve">, pembahasannya meliputi; </w:t>
      </w:r>
      <w:r w:rsidR="00EE36A7" w:rsidRPr="00693EB7">
        <w:rPr>
          <w:rFonts w:asciiTheme="majorBidi" w:hAnsiTheme="majorBidi" w:cstheme="majorBidi"/>
          <w:sz w:val="24"/>
          <w:szCs w:val="24"/>
          <w:lang w:val="sv-SE"/>
        </w:rPr>
        <w:t>p</w:t>
      </w:r>
      <w:r w:rsidRPr="00693EB7">
        <w:rPr>
          <w:rFonts w:asciiTheme="majorBidi" w:hAnsiTheme="majorBidi" w:cstheme="majorBidi"/>
          <w:sz w:val="24"/>
          <w:szCs w:val="24"/>
          <w:lang w:val="sv-SE"/>
        </w:rPr>
        <w:t xml:space="preserve">endekatan </w:t>
      </w:r>
      <w:r w:rsidR="00EE36A7" w:rsidRPr="00693EB7">
        <w:rPr>
          <w:rFonts w:asciiTheme="majorBidi" w:hAnsiTheme="majorBidi" w:cstheme="majorBidi"/>
          <w:i/>
          <w:iCs/>
          <w:sz w:val="24"/>
          <w:szCs w:val="24"/>
          <w:lang w:val="sv-SE"/>
        </w:rPr>
        <w:t>Q</w:t>
      </w:r>
      <w:r w:rsidR="00693EB7" w:rsidRPr="00693EB7">
        <w:rPr>
          <w:rFonts w:asciiTheme="majorBidi" w:hAnsiTheme="majorBidi" w:cstheme="majorBidi"/>
          <w:i/>
          <w:iCs/>
          <w:sz w:val="24"/>
          <w:szCs w:val="24"/>
          <w:lang w:val="sv-SE"/>
        </w:rPr>
        <w:t>iyās</w:t>
      </w:r>
      <w:r w:rsidR="00CA1C61" w:rsidRPr="00693EB7">
        <w:rPr>
          <w:rFonts w:asciiTheme="majorBidi" w:hAnsiTheme="majorBidi" w:cstheme="majorBidi"/>
          <w:sz w:val="24"/>
          <w:szCs w:val="24"/>
          <w:lang w:val="sv-SE"/>
        </w:rPr>
        <w:t xml:space="preserve">, </w:t>
      </w:r>
      <w:r w:rsidR="00EE36A7" w:rsidRPr="00693EB7">
        <w:rPr>
          <w:rFonts w:asciiTheme="majorBidi" w:hAnsiTheme="majorBidi" w:cstheme="majorBidi"/>
          <w:sz w:val="24"/>
          <w:szCs w:val="24"/>
          <w:lang w:val="sv-SE"/>
        </w:rPr>
        <w:t xml:space="preserve">melalui metode </w:t>
      </w:r>
      <w:r w:rsidR="00693EB7" w:rsidRPr="00693EB7">
        <w:rPr>
          <w:rFonts w:asciiTheme="majorBidi" w:hAnsiTheme="majorBidi" w:cstheme="majorBidi"/>
          <w:i/>
          <w:iCs/>
          <w:sz w:val="24"/>
          <w:szCs w:val="24"/>
          <w:lang w:val="sv-SE"/>
        </w:rPr>
        <w:t>Isti</w:t>
      </w:r>
      <w:r w:rsidR="00693EB7" w:rsidRPr="00693EB7">
        <w:rPr>
          <w:rFonts w:asciiTheme="majorBidi" w:hAnsiTheme="majorBidi" w:cstheme="majorBidi"/>
          <w:i/>
          <w:iCs/>
          <w:sz w:val="24"/>
          <w:szCs w:val="24"/>
          <w:u w:val="single"/>
          <w:lang w:val="sv-SE"/>
        </w:rPr>
        <w:t>h</w:t>
      </w:r>
      <w:r w:rsidR="00693EB7" w:rsidRPr="00693EB7">
        <w:rPr>
          <w:rFonts w:asciiTheme="majorBidi" w:hAnsiTheme="majorBidi" w:cstheme="majorBidi"/>
          <w:i/>
          <w:iCs/>
          <w:sz w:val="24"/>
          <w:szCs w:val="24"/>
          <w:lang w:val="sv-SE"/>
        </w:rPr>
        <w:t>sān</w:t>
      </w:r>
      <w:r w:rsidR="00CA1C61" w:rsidRPr="00693EB7">
        <w:rPr>
          <w:rFonts w:asciiTheme="majorBidi" w:hAnsiTheme="majorBidi" w:cstheme="majorBidi"/>
          <w:sz w:val="24"/>
          <w:szCs w:val="24"/>
          <w:lang w:val="sv-SE"/>
        </w:rPr>
        <w:t xml:space="preserve">, </w:t>
      </w:r>
      <w:r w:rsidR="00EE36A7" w:rsidRPr="00693EB7">
        <w:rPr>
          <w:rFonts w:asciiTheme="majorBidi" w:hAnsiTheme="majorBidi" w:cstheme="majorBidi"/>
          <w:sz w:val="24"/>
          <w:szCs w:val="24"/>
          <w:lang w:val="sv-SE"/>
        </w:rPr>
        <w:t>p</w:t>
      </w:r>
      <w:r w:rsidR="00693EB7" w:rsidRPr="00693EB7">
        <w:rPr>
          <w:rFonts w:asciiTheme="majorBidi" w:hAnsiTheme="majorBidi" w:cstheme="majorBidi"/>
          <w:sz w:val="24"/>
          <w:szCs w:val="24"/>
          <w:lang w:val="sv-SE"/>
        </w:rPr>
        <w:t xml:space="preserve">endekatan </w:t>
      </w:r>
      <w:r w:rsidR="00EE36A7" w:rsidRPr="00693EB7">
        <w:rPr>
          <w:rFonts w:asciiTheme="majorBidi" w:hAnsiTheme="majorBidi" w:cstheme="majorBidi"/>
          <w:i/>
          <w:iCs/>
          <w:sz w:val="24"/>
          <w:szCs w:val="24"/>
          <w:lang w:val="sv-SE"/>
        </w:rPr>
        <w:t>Masla</w:t>
      </w:r>
      <w:r w:rsidR="00EE36A7" w:rsidRPr="00693EB7">
        <w:rPr>
          <w:rFonts w:asciiTheme="majorBidi" w:hAnsiTheme="majorBidi" w:cstheme="majorBidi"/>
          <w:i/>
          <w:iCs/>
          <w:sz w:val="24"/>
          <w:szCs w:val="24"/>
          <w:u w:val="single"/>
          <w:lang w:val="sv-SE"/>
        </w:rPr>
        <w:t>h</w:t>
      </w:r>
      <w:r w:rsidR="00EE36A7" w:rsidRPr="00693EB7">
        <w:rPr>
          <w:rFonts w:asciiTheme="majorBidi" w:hAnsiTheme="majorBidi" w:cstheme="majorBidi"/>
          <w:i/>
          <w:iCs/>
          <w:sz w:val="24"/>
          <w:szCs w:val="24"/>
          <w:lang w:val="sv-SE"/>
        </w:rPr>
        <w:t>ah Mursalah</w:t>
      </w:r>
      <w:r w:rsidR="00693EB7" w:rsidRPr="00693EB7">
        <w:rPr>
          <w:rFonts w:asciiTheme="majorBidi" w:hAnsiTheme="majorBidi" w:cstheme="majorBidi"/>
          <w:sz w:val="24"/>
          <w:szCs w:val="24"/>
          <w:lang w:val="sv-SE"/>
        </w:rPr>
        <w:t xml:space="preserve">, </w:t>
      </w:r>
      <w:r w:rsidR="00EE36A7" w:rsidRPr="00693EB7">
        <w:rPr>
          <w:rFonts w:asciiTheme="majorBidi" w:hAnsiTheme="majorBidi" w:cstheme="majorBidi"/>
          <w:sz w:val="24"/>
          <w:szCs w:val="24"/>
          <w:lang w:val="sv-SE"/>
        </w:rPr>
        <w:lastRenderedPageBreak/>
        <w:t>p</w:t>
      </w:r>
      <w:r w:rsidR="00693EB7" w:rsidRPr="00693EB7">
        <w:rPr>
          <w:rFonts w:asciiTheme="majorBidi" w:hAnsiTheme="majorBidi" w:cstheme="majorBidi"/>
          <w:sz w:val="24"/>
          <w:szCs w:val="24"/>
          <w:lang w:val="sv-SE"/>
        </w:rPr>
        <w:t xml:space="preserve">endekatan </w:t>
      </w:r>
      <w:r w:rsidR="00693EB7" w:rsidRPr="00693EB7">
        <w:rPr>
          <w:rFonts w:asciiTheme="majorBidi" w:hAnsiTheme="majorBidi" w:cstheme="majorBidi"/>
          <w:i/>
          <w:iCs/>
          <w:sz w:val="24"/>
          <w:szCs w:val="24"/>
          <w:lang w:val="sv-SE"/>
        </w:rPr>
        <w:t xml:space="preserve">Sadd al-Dzarī’ah, </w:t>
      </w:r>
      <w:r w:rsidR="00DF7A01" w:rsidRPr="00693EB7">
        <w:rPr>
          <w:rFonts w:asciiTheme="majorBidi" w:hAnsiTheme="majorBidi" w:cstheme="majorBidi"/>
          <w:sz w:val="24"/>
          <w:szCs w:val="24"/>
          <w:lang w:val="sv-SE"/>
        </w:rPr>
        <w:t xml:space="preserve">melalui pendekatan </w:t>
      </w:r>
      <w:r w:rsidR="00693EB7" w:rsidRPr="00693EB7">
        <w:rPr>
          <w:rFonts w:asciiTheme="majorBidi" w:hAnsiTheme="majorBidi" w:cstheme="majorBidi"/>
          <w:i/>
          <w:iCs/>
          <w:sz w:val="24"/>
          <w:szCs w:val="24"/>
          <w:lang w:val="sv-SE"/>
        </w:rPr>
        <w:t>Al</w:t>
      </w:r>
      <w:r w:rsidR="00693EB7" w:rsidRPr="00693EB7">
        <w:rPr>
          <w:rFonts w:asciiTheme="majorBidi" w:hAnsiTheme="majorBidi" w:cstheme="majorBidi"/>
          <w:sz w:val="24"/>
          <w:szCs w:val="24"/>
          <w:lang w:val="sv-SE"/>
        </w:rPr>
        <w:t>-</w:t>
      </w:r>
      <w:r w:rsidR="00693EB7" w:rsidRPr="00693EB7">
        <w:rPr>
          <w:rFonts w:asciiTheme="majorBidi" w:hAnsiTheme="majorBidi" w:cstheme="majorBidi"/>
          <w:i/>
          <w:iCs/>
          <w:sz w:val="24"/>
          <w:szCs w:val="24"/>
          <w:lang w:val="sv-SE"/>
        </w:rPr>
        <w:t xml:space="preserve">‘Urf </w:t>
      </w:r>
      <w:r w:rsidR="00150080">
        <w:rPr>
          <w:rFonts w:asciiTheme="majorBidi" w:hAnsiTheme="majorBidi" w:cstheme="majorBidi"/>
          <w:sz w:val="24"/>
          <w:szCs w:val="24"/>
          <w:lang w:val="sv-SE"/>
        </w:rPr>
        <w:t xml:space="preserve">dan Kaidah-kaidah fiqhiyah </w:t>
      </w:r>
      <w:r w:rsidR="00693EB7" w:rsidRPr="00693EB7">
        <w:rPr>
          <w:rFonts w:asciiTheme="majorBidi" w:hAnsiTheme="majorBidi" w:cstheme="majorBidi"/>
          <w:sz w:val="24"/>
          <w:szCs w:val="24"/>
          <w:lang w:val="sv-SE"/>
        </w:rPr>
        <w:t>(</w:t>
      </w:r>
      <w:r w:rsidR="00693EB7" w:rsidRPr="00693EB7">
        <w:rPr>
          <w:rFonts w:asciiTheme="majorBidi" w:hAnsiTheme="majorBidi" w:cstheme="majorBidi"/>
          <w:i/>
          <w:iCs/>
          <w:sz w:val="24"/>
          <w:szCs w:val="24"/>
          <w:lang w:val="sv-SE"/>
        </w:rPr>
        <w:t>Qawā‘id al- fiqhiyyah</w:t>
      </w:r>
      <w:r w:rsidR="00693EB7" w:rsidRPr="00693EB7">
        <w:rPr>
          <w:rFonts w:asciiTheme="majorBidi" w:hAnsiTheme="majorBidi" w:cstheme="majorBidi"/>
          <w:sz w:val="24"/>
          <w:szCs w:val="24"/>
          <w:lang w:val="sv-SE"/>
        </w:rPr>
        <w:t xml:space="preserve">). </w:t>
      </w:r>
      <w:r w:rsidR="009C17F8" w:rsidRPr="00693EB7">
        <w:rPr>
          <w:rFonts w:asciiTheme="majorBidi" w:hAnsiTheme="majorBidi" w:cstheme="majorBidi"/>
          <w:sz w:val="24"/>
          <w:szCs w:val="24"/>
          <w:lang w:val="sv-SE"/>
        </w:rPr>
        <w:t>K</w:t>
      </w:r>
      <w:r w:rsidR="00CA1C61" w:rsidRPr="00693EB7">
        <w:rPr>
          <w:rFonts w:asciiTheme="majorBidi" w:hAnsiTheme="majorBidi" w:cstheme="majorBidi"/>
          <w:sz w:val="24"/>
          <w:szCs w:val="24"/>
          <w:lang w:val="sv-SE"/>
        </w:rPr>
        <w:t xml:space="preserve">emudian baru membahas </w:t>
      </w:r>
      <w:r w:rsidR="0029141C" w:rsidRPr="00693EB7">
        <w:rPr>
          <w:rFonts w:asciiTheme="majorBidi" w:hAnsiTheme="majorBidi" w:cstheme="majorBidi"/>
          <w:sz w:val="24"/>
          <w:szCs w:val="24"/>
          <w:lang w:val="sv-SE"/>
        </w:rPr>
        <w:t xml:space="preserve">Inplemestasi </w:t>
      </w:r>
      <w:r w:rsidR="00693EB7" w:rsidRPr="00693EB7">
        <w:rPr>
          <w:rFonts w:asciiTheme="majorBidi" w:hAnsiTheme="majorBidi" w:cstheme="majorBidi"/>
          <w:i/>
          <w:iCs/>
          <w:sz w:val="24"/>
          <w:szCs w:val="24"/>
          <w:lang w:val="sv-SE"/>
        </w:rPr>
        <w:t xml:space="preserve">siyāsah </w:t>
      </w:r>
      <w:r w:rsidR="00881BDC" w:rsidRPr="00693EB7">
        <w:rPr>
          <w:rFonts w:asciiTheme="majorBidi" w:hAnsiTheme="majorBidi" w:cstheme="majorBidi"/>
          <w:i/>
          <w:iCs/>
          <w:sz w:val="24"/>
          <w:szCs w:val="24"/>
          <w:lang w:val="sv-SE"/>
        </w:rPr>
        <w:t>s</w:t>
      </w:r>
      <w:r w:rsidR="0029141C" w:rsidRPr="00693EB7">
        <w:rPr>
          <w:rFonts w:asciiTheme="majorBidi" w:hAnsiTheme="majorBidi" w:cstheme="majorBidi"/>
          <w:i/>
          <w:iCs/>
          <w:sz w:val="24"/>
          <w:szCs w:val="24"/>
          <w:lang w:val="sv-SE"/>
        </w:rPr>
        <w:t>yari’yah</w:t>
      </w:r>
      <w:r w:rsidR="0029141C" w:rsidRPr="00693EB7">
        <w:rPr>
          <w:rFonts w:asciiTheme="majorBidi" w:hAnsiTheme="majorBidi" w:cstheme="majorBidi"/>
          <w:sz w:val="24"/>
          <w:szCs w:val="24"/>
          <w:lang w:val="sv-SE"/>
        </w:rPr>
        <w:t xml:space="preserve"> dalam </w:t>
      </w:r>
      <w:r w:rsidR="00693EB7" w:rsidRPr="00693EB7">
        <w:rPr>
          <w:rFonts w:asciiTheme="majorBidi" w:hAnsiTheme="majorBidi" w:cstheme="majorBidi"/>
          <w:sz w:val="24"/>
          <w:szCs w:val="24"/>
          <w:lang w:val="sv-SE"/>
        </w:rPr>
        <w:t>L</w:t>
      </w:r>
      <w:r w:rsidR="0029141C" w:rsidRPr="00693EB7">
        <w:rPr>
          <w:rFonts w:asciiTheme="majorBidi" w:hAnsiTheme="majorBidi" w:cstheme="majorBidi"/>
          <w:sz w:val="24"/>
          <w:szCs w:val="24"/>
          <w:lang w:val="sv-SE"/>
        </w:rPr>
        <w:t>egislasi Hu</w:t>
      </w:r>
      <w:r w:rsidR="00DC3BD5">
        <w:rPr>
          <w:rFonts w:asciiTheme="majorBidi" w:hAnsiTheme="majorBidi" w:cstheme="majorBidi"/>
          <w:sz w:val="24"/>
          <w:szCs w:val="24"/>
          <w:lang w:val="sv-SE"/>
        </w:rPr>
        <w:t>kum Islam di Indonesia, dengan mengambil conoth</w:t>
      </w:r>
      <w:r w:rsidR="0029141C" w:rsidRPr="00693EB7">
        <w:rPr>
          <w:rFonts w:asciiTheme="majorBidi" w:hAnsiTheme="majorBidi" w:cstheme="majorBidi"/>
          <w:sz w:val="24"/>
          <w:szCs w:val="24"/>
          <w:lang w:val="sv-SE"/>
        </w:rPr>
        <w:t xml:space="preserve"> </w:t>
      </w:r>
      <w:r w:rsidR="00DC3BD5" w:rsidRPr="00DC3BD5">
        <w:rPr>
          <w:rFonts w:asciiTheme="majorBidi" w:hAnsiTheme="majorBidi" w:cstheme="majorBidi"/>
          <w:sz w:val="24"/>
          <w:szCs w:val="24"/>
          <w:lang w:val="sv-SE"/>
        </w:rPr>
        <w:t>l</w:t>
      </w:r>
      <w:r w:rsidR="00693EB7" w:rsidRPr="00DC3BD5">
        <w:rPr>
          <w:rFonts w:asciiTheme="majorBidi" w:hAnsiTheme="majorBidi" w:cstheme="majorBidi"/>
          <w:sz w:val="24"/>
          <w:szCs w:val="24"/>
          <w:lang w:val="sv-SE"/>
        </w:rPr>
        <w:t>ahirnya Undang-Undang No 1</w:t>
      </w:r>
      <w:r w:rsidR="00DC3BD5">
        <w:rPr>
          <w:rFonts w:asciiTheme="majorBidi" w:hAnsiTheme="majorBidi" w:cstheme="majorBidi"/>
          <w:sz w:val="24"/>
          <w:szCs w:val="24"/>
          <w:lang w:val="sv-SE"/>
        </w:rPr>
        <w:t xml:space="preserve"> Tahun 1974 Tentang Perkawinan. </w:t>
      </w:r>
      <w:r w:rsidR="0029141C" w:rsidRPr="00693EB7">
        <w:rPr>
          <w:rFonts w:asciiTheme="majorBidi" w:hAnsiTheme="majorBidi" w:cstheme="majorBidi"/>
          <w:sz w:val="24"/>
          <w:szCs w:val="24"/>
          <w:lang w:val="sv-SE"/>
        </w:rPr>
        <w:t>Setelah itu sebagai pembahasan penutup pada bab dua ini adalah Pembaruan Hukum Keluarga di Indonesia.</w:t>
      </w:r>
    </w:p>
    <w:p w:rsidR="00445CA6" w:rsidRPr="00E46936" w:rsidRDefault="00716C64" w:rsidP="00C16A93">
      <w:pPr>
        <w:spacing w:after="0" w:line="360" w:lineRule="auto"/>
        <w:ind w:firstLine="720"/>
        <w:jc w:val="both"/>
        <w:rPr>
          <w:rFonts w:asciiTheme="majorBidi" w:hAnsiTheme="majorBidi" w:cstheme="majorBidi"/>
          <w:sz w:val="24"/>
          <w:szCs w:val="24"/>
          <w:lang w:val="sv-SE"/>
        </w:rPr>
      </w:pPr>
      <w:bookmarkStart w:id="11" w:name="OLE_LINK238"/>
      <w:bookmarkStart w:id="12" w:name="OLE_LINK237"/>
      <w:r w:rsidRPr="00FC20CC">
        <w:rPr>
          <w:rFonts w:ascii="Times New Roman" w:hAnsi="Times New Roman" w:cs="Times New Roman"/>
          <w:sz w:val="24"/>
          <w:szCs w:val="24"/>
          <w:lang w:val="sv-SE"/>
        </w:rPr>
        <w:t xml:space="preserve">Bab </w:t>
      </w:r>
      <w:r w:rsidR="0042050D" w:rsidRPr="00FC20CC">
        <w:rPr>
          <w:rFonts w:ascii="Times New Roman" w:hAnsi="Times New Roman" w:cs="Times New Roman"/>
          <w:sz w:val="24"/>
          <w:szCs w:val="24"/>
          <w:lang w:val="sv-SE"/>
        </w:rPr>
        <w:t>T</w:t>
      </w:r>
      <w:r w:rsidR="006A6817" w:rsidRPr="00FC20CC">
        <w:rPr>
          <w:rFonts w:ascii="Times New Roman" w:hAnsi="Times New Roman" w:cs="Times New Roman"/>
          <w:sz w:val="24"/>
          <w:szCs w:val="24"/>
          <w:lang w:val="sv-SE"/>
        </w:rPr>
        <w:t>iga</w:t>
      </w:r>
      <w:r w:rsidRPr="00FC20CC">
        <w:rPr>
          <w:rFonts w:ascii="Times New Roman" w:hAnsi="Times New Roman" w:cs="Times New Roman"/>
          <w:sz w:val="24"/>
          <w:szCs w:val="24"/>
          <w:lang w:val="sv-SE"/>
        </w:rPr>
        <w:t xml:space="preserve">, </w:t>
      </w:r>
      <w:bookmarkEnd w:id="11"/>
      <w:bookmarkEnd w:id="12"/>
      <w:r w:rsidRPr="00FC20CC">
        <w:rPr>
          <w:rFonts w:ascii="Times New Roman" w:hAnsi="Times New Roman" w:cs="Times New Roman"/>
          <w:sz w:val="24"/>
          <w:szCs w:val="24"/>
          <w:lang w:val="sv-SE"/>
        </w:rPr>
        <w:t xml:space="preserve">adalah </w:t>
      </w:r>
      <w:r w:rsidR="00457E79">
        <w:rPr>
          <w:rFonts w:ascii="Times New Roman" w:hAnsi="Times New Roman" w:cs="Times New Roman"/>
          <w:sz w:val="24"/>
          <w:szCs w:val="24"/>
          <w:lang w:val="sv-SE"/>
        </w:rPr>
        <w:t xml:space="preserve">untuk memperkuat </w:t>
      </w:r>
      <w:r w:rsidR="00F05BD5">
        <w:rPr>
          <w:rFonts w:ascii="Times New Roman" w:hAnsi="Times New Roman" w:cs="Times New Roman"/>
          <w:sz w:val="24"/>
          <w:szCs w:val="24"/>
          <w:lang w:val="sv-SE"/>
        </w:rPr>
        <w:t>pijakan te</w:t>
      </w:r>
      <w:r w:rsidR="00445CA6">
        <w:rPr>
          <w:rFonts w:ascii="Times New Roman" w:hAnsi="Times New Roman" w:cs="Times New Roman"/>
          <w:sz w:val="24"/>
          <w:szCs w:val="24"/>
          <w:lang w:val="sv-SE"/>
        </w:rPr>
        <w:t>ori pada bab dua</w:t>
      </w:r>
      <w:r w:rsidR="00457E79">
        <w:rPr>
          <w:rFonts w:ascii="Times New Roman" w:hAnsi="Times New Roman" w:cs="Times New Roman"/>
          <w:sz w:val="24"/>
          <w:szCs w:val="24"/>
          <w:lang w:val="sv-SE"/>
        </w:rPr>
        <w:t xml:space="preserve">, dan </w:t>
      </w:r>
      <w:r w:rsidR="00445CA6">
        <w:rPr>
          <w:rFonts w:ascii="Times New Roman" w:hAnsi="Times New Roman" w:cs="Times New Roman"/>
          <w:sz w:val="24"/>
          <w:szCs w:val="24"/>
          <w:lang w:val="sv-SE"/>
        </w:rPr>
        <w:t>untuk melihat sejauh mana MUI memperhatikan</w:t>
      </w:r>
      <w:r w:rsidR="00457E79">
        <w:rPr>
          <w:rFonts w:ascii="Times New Roman" w:hAnsi="Times New Roman" w:cs="Times New Roman"/>
          <w:sz w:val="24"/>
          <w:szCs w:val="24"/>
          <w:lang w:val="sv-SE"/>
        </w:rPr>
        <w:t xml:space="preserve"> </w:t>
      </w:r>
      <w:r w:rsidR="00DF7A01" w:rsidRPr="00693EB7">
        <w:rPr>
          <w:rFonts w:asciiTheme="majorBidi" w:hAnsiTheme="majorBidi" w:cstheme="majorBidi"/>
          <w:i/>
          <w:iCs/>
          <w:sz w:val="24"/>
          <w:szCs w:val="24"/>
          <w:lang w:val="sv-SE"/>
        </w:rPr>
        <w:t xml:space="preserve">siyāsah </w:t>
      </w:r>
      <w:r w:rsidR="00DF7A01">
        <w:rPr>
          <w:rFonts w:asciiTheme="majorBidi" w:hAnsiTheme="majorBidi" w:cstheme="majorBidi"/>
          <w:i/>
          <w:iCs/>
          <w:sz w:val="24"/>
          <w:szCs w:val="24"/>
          <w:lang w:val="sv-SE"/>
        </w:rPr>
        <w:t>syar‘iyyah</w:t>
      </w:r>
      <w:r w:rsidR="00DF7A01">
        <w:rPr>
          <w:rFonts w:ascii="Times New Roman" w:hAnsi="Times New Roman" w:cs="Times New Roman"/>
          <w:sz w:val="24"/>
          <w:szCs w:val="24"/>
          <w:lang w:val="sv-SE"/>
        </w:rPr>
        <w:t xml:space="preserve"> </w:t>
      </w:r>
      <w:r w:rsidR="00457E79">
        <w:rPr>
          <w:rFonts w:ascii="Times New Roman" w:hAnsi="Times New Roman" w:cs="Times New Roman"/>
          <w:sz w:val="24"/>
          <w:szCs w:val="24"/>
          <w:lang w:val="sv-SE"/>
        </w:rPr>
        <w:t xml:space="preserve">dalam fatwanya. </w:t>
      </w:r>
      <w:r w:rsidR="00445CA6">
        <w:rPr>
          <w:rFonts w:ascii="Times New Roman" w:hAnsi="Times New Roman" w:cs="Times New Roman"/>
          <w:sz w:val="24"/>
          <w:szCs w:val="24"/>
          <w:lang w:val="sv-SE"/>
        </w:rPr>
        <w:t xml:space="preserve">Maka pada pada bab ini </w:t>
      </w:r>
      <w:r w:rsidRPr="00FC20CC">
        <w:rPr>
          <w:rFonts w:ascii="Times New Roman" w:hAnsi="Times New Roman" w:cs="Times New Roman"/>
          <w:sz w:val="24"/>
          <w:szCs w:val="24"/>
          <w:lang w:val="sv-SE"/>
        </w:rPr>
        <w:t xml:space="preserve">membahas tentang </w:t>
      </w:r>
      <w:r w:rsidR="00DF7A01" w:rsidRPr="00FC20CC">
        <w:rPr>
          <w:rFonts w:asciiTheme="majorBidi" w:hAnsiTheme="majorBidi" w:cstheme="majorBidi"/>
          <w:sz w:val="24"/>
          <w:szCs w:val="24"/>
          <w:lang w:val="sv-SE"/>
        </w:rPr>
        <w:t>kelembagaan dan metodologi penetapan fatwa majelis ulama indonesia,</w:t>
      </w:r>
      <w:r w:rsidRPr="00FC20CC">
        <w:rPr>
          <w:rFonts w:asciiTheme="majorBidi" w:hAnsiTheme="majorBidi" w:cstheme="majorBidi"/>
          <w:sz w:val="24"/>
          <w:szCs w:val="24"/>
          <w:lang w:val="sv-SE"/>
        </w:rPr>
        <w:t xml:space="preserve"> yaitu, meliputi; </w:t>
      </w:r>
      <w:r w:rsidR="00DF7A01" w:rsidRPr="00FC20CC">
        <w:rPr>
          <w:rFonts w:asciiTheme="majorBidi" w:hAnsiTheme="majorBidi" w:cstheme="majorBidi"/>
          <w:sz w:val="24"/>
          <w:szCs w:val="24"/>
          <w:lang w:val="sv-SE"/>
        </w:rPr>
        <w:t xml:space="preserve">selayang pandang </w:t>
      </w:r>
      <w:r w:rsidR="00DF7A01">
        <w:rPr>
          <w:rFonts w:asciiTheme="majorBidi" w:hAnsiTheme="majorBidi" w:cstheme="majorBidi"/>
          <w:sz w:val="24"/>
          <w:szCs w:val="24"/>
          <w:lang w:val="sv-SE"/>
        </w:rPr>
        <w:t xml:space="preserve">berdirinya </w:t>
      </w:r>
      <w:r w:rsidR="00DF7A01" w:rsidRPr="00FC20CC">
        <w:rPr>
          <w:rFonts w:asciiTheme="majorBidi" w:hAnsiTheme="majorBidi" w:cstheme="majorBidi"/>
          <w:sz w:val="24"/>
          <w:szCs w:val="24"/>
          <w:lang w:val="sv-SE"/>
        </w:rPr>
        <w:t xml:space="preserve">MUI, </w:t>
      </w:r>
      <w:r w:rsidR="00DF7A01" w:rsidRPr="00457E79">
        <w:rPr>
          <w:rFonts w:asciiTheme="majorBidi" w:hAnsiTheme="majorBidi" w:cstheme="majorBidi"/>
          <w:sz w:val="24"/>
          <w:szCs w:val="24"/>
          <w:lang w:val="sv-SE"/>
        </w:rPr>
        <w:t xml:space="preserve">visi, misi serta fungsi dan peran pokok </w:t>
      </w:r>
      <w:r w:rsidR="00693EB7" w:rsidRPr="00457E79">
        <w:rPr>
          <w:rFonts w:asciiTheme="majorBidi" w:hAnsiTheme="majorBidi" w:cstheme="majorBidi"/>
          <w:sz w:val="24"/>
          <w:szCs w:val="24"/>
          <w:lang w:val="sv-SE"/>
        </w:rPr>
        <w:t xml:space="preserve">MUI, </w:t>
      </w:r>
      <w:r w:rsidR="00693EB7">
        <w:rPr>
          <w:rFonts w:asciiTheme="majorBidi" w:hAnsiTheme="majorBidi" w:cstheme="majorBidi"/>
          <w:sz w:val="24"/>
          <w:szCs w:val="24"/>
          <w:lang w:val="sv-SE"/>
        </w:rPr>
        <w:t xml:space="preserve"> </w:t>
      </w:r>
      <w:r w:rsidR="00DF7A01" w:rsidRPr="00457E79">
        <w:rPr>
          <w:rFonts w:asciiTheme="majorBidi" w:hAnsiTheme="majorBidi" w:cstheme="majorBidi"/>
          <w:sz w:val="24"/>
          <w:szCs w:val="24"/>
          <w:lang w:val="sv-SE"/>
        </w:rPr>
        <w:t>p</w:t>
      </w:r>
      <w:r w:rsidR="00693EB7" w:rsidRPr="00457E79">
        <w:rPr>
          <w:rFonts w:asciiTheme="majorBidi" w:hAnsiTheme="majorBidi" w:cstheme="majorBidi"/>
          <w:sz w:val="24"/>
          <w:szCs w:val="24"/>
          <w:lang w:val="sv-SE"/>
        </w:rPr>
        <w:t xml:space="preserve">erangkat </w:t>
      </w:r>
      <w:r w:rsidR="00DF7A01" w:rsidRPr="00457E79">
        <w:rPr>
          <w:rFonts w:asciiTheme="majorBidi" w:hAnsiTheme="majorBidi" w:cstheme="majorBidi"/>
          <w:sz w:val="24"/>
          <w:szCs w:val="24"/>
          <w:lang w:val="sv-SE"/>
        </w:rPr>
        <w:t xml:space="preserve">organisasi, komisi, lembaga dan badan </w:t>
      </w:r>
      <w:r w:rsidR="00693EB7" w:rsidRPr="00457E79">
        <w:rPr>
          <w:rFonts w:asciiTheme="majorBidi" w:hAnsiTheme="majorBidi" w:cstheme="majorBidi"/>
          <w:sz w:val="24"/>
          <w:szCs w:val="24"/>
          <w:lang w:val="sv-SE"/>
        </w:rPr>
        <w:t xml:space="preserve">MUI. </w:t>
      </w:r>
      <w:r w:rsidR="00693EB7" w:rsidRPr="00FC20CC">
        <w:rPr>
          <w:rFonts w:asciiTheme="majorBidi" w:hAnsiTheme="majorBidi" w:cstheme="majorBidi"/>
          <w:sz w:val="24"/>
          <w:szCs w:val="24"/>
          <w:lang w:val="sv-SE"/>
        </w:rPr>
        <w:t>K</w:t>
      </w:r>
      <w:r w:rsidRPr="00FC20CC">
        <w:rPr>
          <w:rFonts w:asciiTheme="majorBidi" w:hAnsiTheme="majorBidi" w:cstheme="majorBidi"/>
          <w:sz w:val="24"/>
          <w:szCs w:val="24"/>
          <w:lang w:val="sv-SE"/>
        </w:rPr>
        <w:t xml:space="preserve">emudian baru membahas </w:t>
      </w:r>
      <w:r w:rsidR="00693EB7">
        <w:rPr>
          <w:rFonts w:asciiTheme="majorBidi" w:hAnsiTheme="majorBidi" w:cstheme="majorBidi"/>
          <w:sz w:val="24"/>
          <w:szCs w:val="24"/>
          <w:lang w:val="sv-SE"/>
        </w:rPr>
        <w:t xml:space="preserve"> </w:t>
      </w:r>
      <w:r w:rsidR="00DF7A01" w:rsidRPr="00E46936">
        <w:rPr>
          <w:rFonts w:asciiTheme="majorBidi" w:hAnsiTheme="majorBidi" w:cstheme="majorBidi"/>
          <w:sz w:val="24"/>
          <w:szCs w:val="24"/>
          <w:lang w:val="sv-SE"/>
        </w:rPr>
        <w:t>m</w:t>
      </w:r>
      <w:r w:rsidR="00693EB7" w:rsidRPr="00E46936">
        <w:rPr>
          <w:rFonts w:asciiTheme="majorBidi" w:hAnsiTheme="majorBidi" w:cstheme="majorBidi"/>
          <w:sz w:val="24"/>
          <w:szCs w:val="24"/>
          <w:lang w:val="sv-SE"/>
        </w:rPr>
        <w:t xml:space="preserve">etode </w:t>
      </w:r>
      <w:r w:rsidR="00693EB7" w:rsidRPr="00E46936">
        <w:rPr>
          <w:rFonts w:asciiTheme="majorBidi" w:hAnsiTheme="majorBidi" w:cstheme="majorBidi"/>
          <w:i/>
          <w:iCs/>
          <w:sz w:val="24"/>
          <w:szCs w:val="24"/>
          <w:lang w:val="sv-SE"/>
        </w:rPr>
        <w:t>Istinbāṭ</w:t>
      </w:r>
      <w:r w:rsidR="00693EB7" w:rsidRPr="00E46936">
        <w:rPr>
          <w:rFonts w:asciiTheme="majorBidi" w:hAnsiTheme="majorBidi" w:cstheme="majorBidi"/>
          <w:sz w:val="24"/>
          <w:szCs w:val="24"/>
          <w:lang w:val="sv-SE"/>
        </w:rPr>
        <w:t xml:space="preserve"> </w:t>
      </w:r>
      <w:r w:rsidR="00693EB7" w:rsidRPr="00E46936">
        <w:rPr>
          <w:rFonts w:asciiTheme="majorBidi" w:hAnsiTheme="majorBidi" w:cstheme="majorBidi"/>
          <w:i/>
          <w:iCs/>
          <w:sz w:val="24"/>
          <w:szCs w:val="24"/>
          <w:lang w:val="sv-SE"/>
        </w:rPr>
        <w:t>Al-a</w:t>
      </w:r>
      <w:r w:rsidR="00693EB7" w:rsidRPr="00E46936">
        <w:rPr>
          <w:rFonts w:asciiTheme="majorBidi" w:hAnsiTheme="majorBidi" w:cstheme="majorBidi"/>
          <w:i/>
          <w:iCs/>
          <w:sz w:val="24"/>
          <w:szCs w:val="24"/>
          <w:u w:val="single"/>
          <w:lang w:val="sv-SE"/>
        </w:rPr>
        <w:t>h</w:t>
      </w:r>
      <w:r w:rsidR="00693EB7" w:rsidRPr="00E46936">
        <w:rPr>
          <w:rFonts w:asciiTheme="majorBidi" w:hAnsiTheme="majorBidi" w:cstheme="majorBidi"/>
          <w:i/>
          <w:iCs/>
          <w:sz w:val="24"/>
          <w:szCs w:val="24"/>
          <w:lang w:val="sv-SE"/>
        </w:rPr>
        <w:t xml:space="preserve">kām </w:t>
      </w:r>
      <w:r w:rsidR="00DF7A01" w:rsidRPr="00E46936">
        <w:rPr>
          <w:rFonts w:asciiTheme="majorBidi" w:hAnsiTheme="majorBidi" w:cstheme="majorBidi"/>
          <w:sz w:val="24"/>
          <w:szCs w:val="24"/>
          <w:lang w:val="sv-SE"/>
        </w:rPr>
        <w:t xml:space="preserve">pada </w:t>
      </w:r>
      <w:r w:rsidR="00DF7A01" w:rsidRPr="00693EB7">
        <w:rPr>
          <w:rFonts w:asciiTheme="majorBidi" w:hAnsiTheme="majorBidi" w:cstheme="majorBidi"/>
          <w:sz w:val="24"/>
          <w:szCs w:val="24"/>
          <w:lang w:val="sv-SE"/>
        </w:rPr>
        <w:t xml:space="preserve">fatwa </w:t>
      </w:r>
      <w:r w:rsidR="00693EB7" w:rsidRPr="00E46936">
        <w:rPr>
          <w:rFonts w:asciiTheme="majorBidi" w:hAnsiTheme="majorBidi" w:cstheme="majorBidi"/>
          <w:sz w:val="24"/>
          <w:szCs w:val="24"/>
          <w:lang w:val="sv-SE"/>
        </w:rPr>
        <w:t>Majelis Ulama Indonesia</w:t>
      </w:r>
      <w:r w:rsidR="00693EB7">
        <w:rPr>
          <w:rFonts w:asciiTheme="majorBidi" w:hAnsiTheme="majorBidi" w:cstheme="majorBidi"/>
          <w:sz w:val="24"/>
          <w:szCs w:val="24"/>
          <w:lang w:val="sv-SE"/>
        </w:rPr>
        <w:t xml:space="preserve">, meliputi; </w:t>
      </w:r>
      <w:r w:rsidR="00DF7A01" w:rsidRPr="00E46936">
        <w:rPr>
          <w:rFonts w:asciiTheme="majorBidi" w:hAnsiTheme="majorBidi" w:cstheme="majorBidi"/>
          <w:sz w:val="24"/>
          <w:szCs w:val="24"/>
          <w:lang w:val="sv-SE"/>
        </w:rPr>
        <w:t xml:space="preserve">pengertian fatwa dan historisnya </w:t>
      </w:r>
      <w:r w:rsidR="00693EB7" w:rsidRPr="00E46936">
        <w:rPr>
          <w:rFonts w:asciiTheme="majorBidi" w:hAnsiTheme="majorBidi" w:cstheme="majorBidi"/>
          <w:sz w:val="24"/>
          <w:szCs w:val="24"/>
          <w:lang w:val="sv-SE"/>
        </w:rPr>
        <w:t xml:space="preserve">, </w:t>
      </w:r>
      <w:r w:rsidR="00DF7A01" w:rsidRPr="00E46936">
        <w:rPr>
          <w:rFonts w:asciiTheme="majorBidi" w:hAnsiTheme="majorBidi" w:cstheme="majorBidi"/>
          <w:sz w:val="24"/>
          <w:szCs w:val="24"/>
          <w:lang w:val="sv-SE"/>
        </w:rPr>
        <w:t xml:space="preserve">peran dan tugas lembaga fatwa </w:t>
      </w:r>
      <w:r w:rsidR="00693EB7" w:rsidRPr="00E46936">
        <w:rPr>
          <w:rFonts w:asciiTheme="majorBidi" w:hAnsiTheme="majorBidi" w:cstheme="majorBidi"/>
          <w:sz w:val="24"/>
          <w:szCs w:val="24"/>
          <w:lang w:val="sv-SE"/>
        </w:rPr>
        <w:t xml:space="preserve">MUI, </w:t>
      </w:r>
      <w:r w:rsidR="00DF7A01" w:rsidRPr="00E46936">
        <w:rPr>
          <w:rFonts w:asciiTheme="majorBidi" w:hAnsiTheme="majorBidi" w:cstheme="majorBidi"/>
          <w:sz w:val="24"/>
          <w:szCs w:val="24"/>
          <w:lang w:val="sv-SE"/>
        </w:rPr>
        <w:t xml:space="preserve">dasar penetapan fatwa </w:t>
      </w:r>
      <w:r w:rsidR="00693EB7" w:rsidRPr="00E46936">
        <w:rPr>
          <w:rFonts w:asciiTheme="majorBidi" w:hAnsiTheme="majorBidi" w:cstheme="majorBidi"/>
          <w:sz w:val="24"/>
          <w:szCs w:val="24"/>
          <w:lang w:val="sv-SE"/>
        </w:rPr>
        <w:t>MUI,</w:t>
      </w:r>
      <w:r w:rsidR="00693EB7">
        <w:rPr>
          <w:rFonts w:asciiTheme="majorBidi" w:hAnsiTheme="majorBidi" w:cstheme="majorBidi"/>
          <w:sz w:val="24"/>
          <w:szCs w:val="24"/>
          <w:lang w:val="sv-SE"/>
        </w:rPr>
        <w:t xml:space="preserve"> </w:t>
      </w:r>
      <w:r w:rsidR="00DF7A01">
        <w:rPr>
          <w:rFonts w:asciiTheme="majorBidi" w:hAnsiTheme="majorBidi" w:cstheme="majorBidi"/>
          <w:sz w:val="24"/>
          <w:szCs w:val="24"/>
          <w:lang w:val="sv-SE"/>
        </w:rPr>
        <w:t>metode peneta</w:t>
      </w:r>
      <w:r w:rsidR="00DF7A01" w:rsidRPr="00E46936">
        <w:rPr>
          <w:rFonts w:asciiTheme="majorBidi" w:hAnsiTheme="majorBidi" w:cstheme="majorBidi"/>
          <w:sz w:val="24"/>
          <w:szCs w:val="24"/>
          <w:lang w:val="sv-SE"/>
        </w:rPr>
        <w:t xml:space="preserve">pan fatwa </w:t>
      </w:r>
      <w:r w:rsidR="00693EB7" w:rsidRPr="00E46936">
        <w:rPr>
          <w:rFonts w:asciiTheme="majorBidi" w:hAnsiTheme="majorBidi" w:cstheme="majorBidi"/>
          <w:sz w:val="24"/>
          <w:szCs w:val="24"/>
          <w:lang w:val="sv-SE"/>
        </w:rPr>
        <w:t xml:space="preserve">MUI, </w:t>
      </w:r>
      <w:r w:rsidR="00DF7A01" w:rsidRPr="00E46936">
        <w:rPr>
          <w:rFonts w:asciiTheme="majorBidi" w:hAnsiTheme="majorBidi" w:cstheme="majorBidi"/>
          <w:sz w:val="24"/>
          <w:szCs w:val="24"/>
          <w:lang w:val="sv-SE"/>
        </w:rPr>
        <w:t>prosedur, format, kewenangan dan wilayah fatwa</w:t>
      </w:r>
      <w:r w:rsidR="00693EB7" w:rsidRPr="00E46936">
        <w:rPr>
          <w:rFonts w:asciiTheme="majorBidi" w:hAnsiTheme="majorBidi" w:cstheme="majorBidi"/>
          <w:sz w:val="24"/>
          <w:szCs w:val="24"/>
          <w:lang w:val="sv-SE"/>
        </w:rPr>
        <w:t xml:space="preserve"> MUI, </w:t>
      </w:r>
      <w:r w:rsidR="00DF7A01" w:rsidRPr="00E46936">
        <w:rPr>
          <w:rFonts w:asciiTheme="majorBidi" w:hAnsiTheme="majorBidi" w:cstheme="majorBidi"/>
          <w:sz w:val="24"/>
          <w:szCs w:val="24"/>
          <w:lang w:val="sv-SE"/>
        </w:rPr>
        <w:t xml:space="preserve">pendekatan fatwa </w:t>
      </w:r>
      <w:r w:rsidR="00693EB7" w:rsidRPr="00E46936">
        <w:rPr>
          <w:rFonts w:asciiTheme="majorBidi" w:hAnsiTheme="majorBidi" w:cstheme="majorBidi"/>
          <w:sz w:val="24"/>
          <w:szCs w:val="24"/>
          <w:lang w:val="sv-SE"/>
        </w:rPr>
        <w:t>MUI</w:t>
      </w:r>
      <w:r w:rsidR="00445CA6" w:rsidRPr="00E46936">
        <w:rPr>
          <w:rFonts w:asciiTheme="majorBidi" w:hAnsiTheme="majorBidi" w:cstheme="majorBidi"/>
          <w:sz w:val="24"/>
          <w:szCs w:val="24"/>
          <w:lang w:val="sv-SE"/>
        </w:rPr>
        <w:t xml:space="preserve">, </w:t>
      </w:r>
      <w:r w:rsidR="00DF7A01" w:rsidRPr="00E46936">
        <w:rPr>
          <w:rFonts w:asciiTheme="majorBidi" w:hAnsiTheme="majorBidi" w:cstheme="majorBidi"/>
          <w:sz w:val="24"/>
          <w:szCs w:val="24"/>
          <w:lang w:val="sv-SE"/>
        </w:rPr>
        <w:t xml:space="preserve">dan kedudukan </w:t>
      </w:r>
      <w:r w:rsidR="00DF7A01" w:rsidRPr="00E46936">
        <w:rPr>
          <w:rFonts w:asciiTheme="majorBidi" w:hAnsiTheme="majorBidi" w:cstheme="majorBidi"/>
          <w:i/>
          <w:iCs/>
          <w:sz w:val="24"/>
          <w:szCs w:val="24"/>
          <w:lang w:val="sv-SE"/>
        </w:rPr>
        <w:t xml:space="preserve">siyāsah </w:t>
      </w:r>
      <w:r w:rsidR="00DF7A01">
        <w:rPr>
          <w:rFonts w:asciiTheme="majorBidi" w:hAnsiTheme="majorBidi" w:cstheme="majorBidi"/>
          <w:i/>
          <w:iCs/>
          <w:sz w:val="24"/>
          <w:szCs w:val="24"/>
          <w:lang w:val="sv-SE"/>
        </w:rPr>
        <w:t>syar‘iyyah</w:t>
      </w:r>
      <w:r w:rsidR="00DF7A01" w:rsidRPr="00E46936">
        <w:rPr>
          <w:rFonts w:asciiTheme="majorBidi" w:hAnsiTheme="majorBidi" w:cstheme="majorBidi"/>
          <w:sz w:val="24"/>
          <w:szCs w:val="24"/>
          <w:lang w:val="sv-SE"/>
        </w:rPr>
        <w:t xml:space="preserve"> dalam fatwa</w:t>
      </w:r>
      <w:r w:rsidR="00DF7A01">
        <w:rPr>
          <w:rFonts w:asciiTheme="majorBidi" w:hAnsiTheme="majorBidi" w:cstheme="majorBidi"/>
          <w:sz w:val="24"/>
          <w:szCs w:val="24"/>
          <w:lang w:val="sv-SE"/>
        </w:rPr>
        <w:t>.</w:t>
      </w:r>
    </w:p>
    <w:p w:rsidR="0042050D" w:rsidRDefault="00E46936" w:rsidP="00C16A93">
      <w:pPr>
        <w:spacing w:after="0" w:line="360" w:lineRule="auto"/>
        <w:ind w:firstLine="720"/>
        <w:jc w:val="both"/>
        <w:rPr>
          <w:rFonts w:asciiTheme="majorBidi" w:hAnsiTheme="majorBidi" w:cstheme="majorBidi"/>
          <w:sz w:val="24"/>
          <w:szCs w:val="24"/>
          <w:lang w:val="sv-SE"/>
        </w:rPr>
      </w:pPr>
      <w:r w:rsidRPr="00E46936">
        <w:rPr>
          <w:rFonts w:asciiTheme="majorBidi" w:hAnsiTheme="majorBidi" w:cstheme="majorBidi"/>
          <w:sz w:val="24"/>
          <w:szCs w:val="24"/>
          <w:lang w:val="sv-SE"/>
        </w:rPr>
        <w:t>Bab empat sebagai pembahasan inti dari penelitan ini, yaitu membaha</w:t>
      </w:r>
      <w:r>
        <w:rPr>
          <w:rFonts w:asciiTheme="majorBidi" w:hAnsiTheme="majorBidi" w:cstheme="majorBidi"/>
          <w:sz w:val="24"/>
          <w:szCs w:val="24"/>
          <w:lang w:val="sv-SE"/>
        </w:rPr>
        <w:t>s tentang</w:t>
      </w:r>
      <w:bookmarkStart w:id="13" w:name="OLE_LINK240"/>
      <w:bookmarkStart w:id="14" w:name="OLE_LINK239"/>
      <w:bookmarkEnd w:id="9"/>
      <w:bookmarkEnd w:id="10"/>
      <w:r>
        <w:rPr>
          <w:rFonts w:asciiTheme="majorBidi" w:hAnsiTheme="majorBidi" w:cstheme="majorBidi"/>
          <w:sz w:val="24"/>
          <w:szCs w:val="24"/>
          <w:lang w:val="sv-SE"/>
        </w:rPr>
        <w:t xml:space="preserve"> </w:t>
      </w:r>
      <w:r w:rsidR="005B2F3E" w:rsidRPr="009A560E">
        <w:rPr>
          <w:rFonts w:asciiTheme="majorBidi" w:hAnsiTheme="majorBidi" w:cstheme="majorBidi"/>
          <w:sz w:val="24"/>
          <w:szCs w:val="24"/>
          <w:lang w:val="sv-SE"/>
        </w:rPr>
        <w:t xml:space="preserve">fatwa-fatwa </w:t>
      </w:r>
      <w:r w:rsidR="00256C86" w:rsidRPr="009A560E">
        <w:rPr>
          <w:rFonts w:asciiTheme="majorBidi" w:hAnsiTheme="majorBidi" w:cstheme="majorBidi"/>
          <w:sz w:val="24"/>
          <w:szCs w:val="24"/>
          <w:lang w:val="sv-SE"/>
        </w:rPr>
        <w:t xml:space="preserve">MUI </w:t>
      </w:r>
      <w:r w:rsidR="005B2F3E" w:rsidRPr="009A560E">
        <w:rPr>
          <w:rFonts w:asciiTheme="majorBidi" w:hAnsiTheme="majorBidi" w:cstheme="majorBidi"/>
          <w:sz w:val="24"/>
          <w:szCs w:val="24"/>
          <w:lang w:val="sv-SE"/>
        </w:rPr>
        <w:t xml:space="preserve">tentang hukum keluarga konteks dan argumentasinya </w:t>
      </w:r>
      <w:r w:rsidR="00F96C43" w:rsidRPr="009A560E">
        <w:rPr>
          <w:rFonts w:asciiTheme="majorBidi" w:hAnsiTheme="majorBidi" w:cstheme="majorBidi"/>
          <w:sz w:val="24"/>
          <w:szCs w:val="24"/>
          <w:lang w:val="sv-SE"/>
        </w:rPr>
        <w:t xml:space="preserve">yang meliputi: </w:t>
      </w:r>
      <w:r w:rsidR="005B2F3E" w:rsidRPr="009A560E">
        <w:rPr>
          <w:rFonts w:asciiTheme="majorBidi" w:hAnsiTheme="majorBidi" w:cstheme="majorBidi"/>
          <w:sz w:val="24"/>
          <w:szCs w:val="24"/>
          <w:lang w:val="sv-SE"/>
        </w:rPr>
        <w:t>fatwa perkawinan beda agama</w:t>
      </w:r>
      <w:r w:rsidR="00B31501" w:rsidRPr="009A560E">
        <w:rPr>
          <w:rFonts w:asciiTheme="majorBidi" w:hAnsiTheme="majorBidi" w:cstheme="majorBidi"/>
          <w:sz w:val="24"/>
          <w:szCs w:val="24"/>
          <w:lang w:val="sv-SE"/>
        </w:rPr>
        <w:t xml:space="preserve">, </w:t>
      </w:r>
      <w:r w:rsidR="005B2F3E" w:rsidRPr="009A560E">
        <w:rPr>
          <w:rFonts w:asciiTheme="majorBidi" w:hAnsiTheme="majorBidi" w:cstheme="majorBidi"/>
          <w:sz w:val="24"/>
          <w:szCs w:val="24"/>
          <w:lang w:val="sv-SE"/>
        </w:rPr>
        <w:t>fatwa nikah di</w:t>
      </w:r>
      <w:r w:rsidR="005B2F3E">
        <w:rPr>
          <w:rFonts w:asciiTheme="majorBidi" w:hAnsiTheme="majorBidi" w:cstheme="majorBidi"/>
          <w:sz w:val="24"/>
          <w:szCs w:val="24"/>
          <w:lang w:val="sv-SE"/>
        </w:rPr>
        <w:t xml:space="preserve"> </w:t>
      </w:r>
      <w:r w:rsidR="005B2F3E" w:rsidRPr="009A560E">
        <w:rPr>
          <w:rFonts w:asciiTheme="majorBidi" w:hAnsiTheme="majorBidi" w:cstheme="majorBidi"/>
          <w:sz w:val="24"/>
          <w:szCs w:val="24"/>
          <w:lang w:val="sv-SE"/>
        </w:rPr>
        <w:t>bawah tangan</w:t>
      </w:r>
      <w:r w:rsidR="00B31501" w:rsidRPr="009A560E">
        <w:rPr>
          <w:rFonts w:asciiTheme="majorBidi" w:hAnsiTheme="majorBidi" w:cstheme="majorBidi"/>
          <w:sz w:val="24"/>
          <w:szCs w:val="24"/>
          <w:lang w:val="sv-SE"/>
        </w:rPr>
        <w:t xml:space="preserve">, </w:t>
      </w:r>
      <w:r w:rsidR="005B2F3E" w:rsidRPr="009A560E">
        <w:rPr>
          <w:rFonts w:asciiTheme="majorBidi" w:hAnsiTheme="majorBidi" w:cstheme="majorBidi"/>
          <w:sz w:val="24"/>
          <w:szCs w:val="24"/>
          <w:lang w:val="sv-SE"/>
        </w:rPr>
        <w:t xml:space="preserve">fatwa tentang talak diluar pengadilan, </w:t>
      </w:r>
      <w:bookmarkStart w:id="15" w:name="OLE_LINK242"/>
      <w:bookmarkStart w:id="16" w:name="OLE_LINK241"/>
      <w:bookmarkEnd w:id="13"/>
      <w:bookmarkEnd w:id="14"/>
      <w:r w:rsidR="005B2F3E" w:rsidRPr="009A560E">
        <w:rPr>
          <w:rFonts w:asciiTheme="majorBidi" w:hAnsiTheme="majorBidi" w:cstheme="majorBidi"/>
          <w:sz w:val="24"/>
          <w:szCs w:val="24"/>
          <w:lang w:val="sv-SE"/>
        </w:rPr>
        <w:t>fatwa kewarisan beda agama, fatwa tentang anak luar nikah dan  bab ini ditutup dengan pembahasan fatwa tentang pengasuhan anak bagi orangtua yang becerai k</w:t>
      </w:r>
      <w:r w:rsidR="005B2F3E">
        <w:rPr>
          <w:rFonts w:asciiTheme="majorBidi" w:hAnsiTheme="majorBidi" w:cstheme="majorBidi"/>
          <w:sz w:val="24"/>
          <w:szCs w:val="24"/>
          <w:lang w:val="sv-SE"/>
        </w:rPr>
        <w:t>arena beda agama</w:t>
      </w:r>
      <w:r w:rsidR="009A560E">
        <w:rPr>
          <w:rFonts w:asciiTheme="majorBidi" w:hAnsiTheme="majorBidi" w:cstheme="majorBidi"/>
          <w:sz w:val="24"/>
          <w:szCs w:val="24"/>
          <w:lang w:val="sv-SE"/>
        </w:rPr>
        <w:t>.</w:t>
      </w:r>
    </w:p>
    <w:p w:rsidR="00C34462" w:rsidRDefault="00E46936" w:rsidP="00C16A93">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Bab lima sebagai bab analisa dari pembahasan yang terdahulu</w:t>
      </w:r>
      <w:r w:rsidR="009A560E" w:rsidRPr="00976781">
        <w:rPr>
          <w:rFonts w:ascii="Times New Roman" w:hAnsi="Times New Roman" w:cs="Times New Roman"/>
          <w:sz w:val="24"/>
          <w:szCs w:val="24"/>
          <w:lang w:val="sv-SE"/>
        </w:rPr>
        <w:t>,</w:t>
      </w:r>
      <w:r>
        <w:rPr>
          <w:rFonts w:ascii="Times New Roman" w:hAnsi="Times New Roman" w:cs="Times New Roman"/>
          <w:sz w:val="24"/>
          <w:szCs w:val="24"/>
          <w:lang w:val="sv-SE"/>
        </w:rPr>
        <w:t xml:space="preserve"> yaitu </w:t>
      </w:r>
      <w:r w:rsidR="009A560E" w:rsidRPr="00976781">
        <w:rPr>
          <w:rFonts w:ascii="Times New Roman" w:hAnsi="Times New Roman" w:cs="Times New Roman"/>
          <w:sz w:val="24"/>
          <w:szCs w:val="24"/>
          <w:lang w:val="sv-SE"/>
        </w:rPr>
        <w:t xml:space="preserve"> memuat</w:t>
      </w:r>
      <w:r w:rsidR="009A560E" w:rsidRPr="00976781">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pembahasan </w:t>
      </w:r>
      <w:r w:rsidR="00C34462">
        <w:rPr>
          <w:rFonts w:asciiTheme="majorBidi" w:hAnsiTheme="majorBidi" w:cstheme="majorBidi"/>
          <w:sz w:val="24"/>
          <w:szCs w:val="24"/>
          <w:lang w:val="sv-SE"/>
        </w:rPr>
        <w:t>a</w:t>
      </w:r>
      <w:r>
        <w:rPr>
          <w:rFonts w:asciiTheme="majorBidi" w:hAnsiTheme="majorBidi" w:cstheme="majorBidi"/>
          <w:sz w:val="24"/>
          <w:szCs w:val="24"/>
          <w:lang w:val="sv-SE"/>
        </w:rPr>
        <w:t xml:space="preserve">nalisis </w:t>
      </w:r>
      <w:r w:rsidR="005B2F3E" w:rsidRPr="00C06DE6">
        <w:rPr>
          <w:rFonts w:asciiTheme="majorBidi" w:hAnsiTheme="majorBidi" w:cstheme="majorBidi"/>
          <w:sz w:val="24"/>
          <w:szCs w:val="24"/>
          <w:lang w:val="sv-SE"/>
        </w:rPr>
        <w:t>relevansi fatwa Majelis Ulama Indonesia</w:t>
      </w:r>
      <w:r w:rsidR="00C34462">
        <w:rPr>
          <w:rFonts w:asciiTheme="majorBidi" w:hAnsiTheme="majorBidi" w:cstheme="majorBidi"/>
          <w:sz w:val="24"/>
          <w:szCs w:val="24"/>
          <w:lang w:val="sv-SE"/>
        </w:rPr>
        <w:t xml:space="preserve"> (MUI)</w:t>
      </w:r>
      <w:r w:rsidR="00C16A93">
        <w:rPr>
          <w:rFonts w:asciiTheme="majorBidi" w:hAnsiTheme="majorBidi" w:cstheme="majorBidi"/>
          <w:sz w:val="24"/>
          <w:szCs w:val="24"/>
          <w:lang w:val="sv-SE"/>
        </w:rPr>
        <w:t xml:space="preserve"> dalam pemba</w:t>
      </w:r>
      <w:r w:rsidR="005B2F3E" w:rsidRPr="00C06DE6">
        <w:rPr>
          <w:rFonts w:asciiTheme="majorBidi" w:hAnsiTheme="majorBidi" w:cstheme="majorBidi"/>
          <w:sz w:val="24"/>
          <w:szCs w:val="24"/>
          <w:lang w:val="sv-SE"/>
        </w:rPr>
        <w:t xml:space="preserve">ruan  </w:t>
      </w:r>
      <w:r w:rsidRPr="00C06DE6">
        <w:rPr>
          <w:rFonts w:asciiTheme="majorBidi" w:hAnsiTheme="majorBidi" w:cstheme="majorBidi"/>
          <w:sz w:val="24"/>
          <w:szCs w:val="24"/>
          <w:lang w:val="sv-SE"/>
        </w:rPr>
        <w:t>Hukum Keluarga Islam di Indonesia</w:t>
      </w:r>
      <w:r>
        <w:rPr>
          <w:rFonts w:asciiTheme="majorBidi" w:hAnsiTheme="majorBidi" w:cstheme="majorBidi"/>
          <w:sz w:val="24"/>
          <w:szCs w:val="24"/>
          <w:lang w:val="sv-SE"/>
        </w:rPr>
        <w:t>, yang meliputi;</w:t>
      </w:r>
      <w:r>
        <w:rPr>
          <w:rFonts w:ascii="Times New Roman" w:hAnsi="Times New Roman" w:cs="Times New Roman"/>
          <w:sz w:val="24"/>
          <w:szCs w:val="24"/>
          <w:lang w:val="sv-SE"/>
        </w:rPr>
        <w:t xml:space="preserve"> </w:t>
      </w:r>
      <w:r w:rsidR="00C34462" w:rsidRPr="00C34462">
        <w:rPr>
          <w:rFonts w:asciiTheme="majorBidi" w:hAnsiTheme="majorBidi" w:cstheme="majorBidi"/>
          <w:lang w:val="sv-SE"/>
        </w:rPr>
        <w:t xml:space="preserve">peran fatwa </w:t>
      </w:r>
      <w:r w:rsidR="00C34462" w:rsidRPr="00C06DE6">
        <w:rPr>
          <w:rFonts w:asciiTheme="majorBidi" w:hAnsiTheme="majorBidi" w:cstheme="majorBidi"/>
          <w:sz w:val="24"/>
          <w:szCs w:val="24"/>
          <w:lang w:val="sv-SE"/>
        </w:rPr>
        <w:t xml:space="preserve">Majelis Ulama Indonesia </w:t>
      </w:r>
      <w:r w:rsidR="00C34462">
        <w:rPr>
          <w:rFonts w:asciiTheme="majorBidi" w:hAnsiTheme="majorBidi" w:cstheme="majorBidi"/>
          <w:sz w:val="24"/>
          <w:szCs w:val="24"/>
          <w:lang w:val="sv-SE"/>
        </w:rPr>
        <w:t>(</w:t>
      </w:r>
      <w:r w:rsidR="00C34462" w:rsidRPr="00C34462">
        <w:rPr>
          <w:rFonts w:asciiTheme="majorBidi" w:hAnsiTheme="majorBidi" w:cstheme="majorBidi"/>
          <w:lang w:val="sv-SE"/>
        </w:rPr>
        <w:t>MUI</w:t>
      </w:r>
      <w:r w:rsidR="00C34462">
        <w:rPr>
          <w:rFonts w:asciiTheme="majorBidi" w:hAnsiTheme="majorBidi" w:cstheme="majorBidi"/>
          <w:lang w:val="sv-SE"/>
        </w:rPr>
        <w:t>)</w:t>
      </w:r>
      <w:r w:rsidR="00C34462" w:rsidRPr="00C34462">
        <w:rPr>
          <w:rFonts w:asciiTheme="majorBidi" w:hAnsiTheme="majorBidi" w:cstheme="majorBidi"/>
          <w:lang w:val="sv-SE"/>
        </w:rPr>
        <w:t xml:space="preserve"> dalam membangun Hukum Keluarga Islam</w:t>
      </w:r>
      <w:r w:rsidR="00C34462">
        <w:rPr>
          <w:rFonts w:ascii="Times New Roman" w:hAnsi="Times New Roman" w:cs="Times New Roman"/>
          <w:sz w:val="24"/>
          <w:szCs w:val="24"/>
          <w:lang w:val="sv-SE"/>
        </w:rPr>
        <w:t xml:space="preserve"> </w:t>
      </w:r>
      <w:r w:rsidR="00C34462" w:rsidRPr="00C34462">
        <w:rPr>
          <w:rFonts w:asciiTheme="majorBidi" w:hAnsiTheme="majorBidi" w:cstheme="majorBidi"/>
          <w:lang w:val="sv-SE"/>
        </w:rPr>
        <w:t>Indonesia</w:t>
      </w:r>
      <w:r w:rsidR="00C34462">
        <w:rPr>
          <w:rFonts w:asciiTheme="majorBidi" w:hAnsiTheme="majorBidi" w:cstheme="majorBidi"/>
          <w:sz w:val="24"/>
          <w:szCs w:val="24"/>
          <w:lang w:val="sv-SE"/>
        </w:rPr>
        <w:t xml:space="preserve">, dan </w:t>
      </w:r>
      <w:r w:rsidR="00C34462" w:rsidRPr="00C34462">
        <w:rPr>
          <w:rFonts w:asciiTheme="majorBidi" w:hAnsiTheme="majorBidi" w:cstheme="majorBidi"/>
          <w:lang w:val="sv-SE"/>
        </w:rPr>
        <w:t xml:space="preserve">relevansi fatwa </w:t>
      </w:r>
      <w:r w:rsidR="00C34462" w:rsidRPr="00C06DE6">
        <w:rPr>
          <w:rFonts w:asciiTheme="majorBidi" w:hAnsiTheme="majorBidi" w:cstheme="majorBidi"/>
          <w:sz w:val="24"/>
          <w:szCs w:val="24"/>
          <w:lang w:val="sv-SE"/>
        </w:rPr>
        <w:t xml:space="preserve">Majelis Ulama Indonesia </w:t>
      </w:r>
      <w:r w:rsidR="00C34462">
        <w:rPr>
          <w:rFonts w:asciiTheme="majorBidi" w:hAnsiTheme="majorBidi" w:cstheme="majorBidi"/>
          <w:sz w:val="24"/>
          <w:szCs w:val="24"/>
          <w:lang w:val="sv-SE"/>
        </w:rPr>
        <w:t>(</w:t>
      </w:r>
      <w:r w:rsidR="00C34462" w:rsidRPr="00C34462">
        <w:rPr>
          <w:rFonts w:asciiTheme="majorBidi" w:hAnsiTheme="majorBidi" w:cstheme="majorBidi"/>
          <w:lang w:val="sv-SE"/>
        </w:rPr>
        <w:t>MUI</w:t>
      </w:r>
      <w:r w:rsidR="00C34462">
        <w:rPr>
          <w:rFonts w:asciiTheme="majorBidi" w:hAnsiTheme="majorBidi" w:cstheme="majorBidi"/>
          <w:lang w:val="sv-SE"/>
        </w:rPr>
        <w:t>)</w:t>
      </w:r>
      <w:r w:rsidR="00C34462" w:rsidRPr="00C34462">
        <w:rPr>
          <w:rFonts w:asciiTheme="majorBidi" w:hAnsiTheme="majorBidi" w:cstheme="majorBidi"/>
          <w:lang w:val="sv-SE"/>
        </w:rPr>
        <w:t xml:space="preserve"> dengan pembaruan Hukum </w:t>
      </w:r>
      <w:r w:rsidR="00C34462">
        <w:rPr>
          <w:rFonts w:ascii="Times New Roman" w:hAnsi="Times New Roman" w:cs="Times New Roman"/>
          <w:sz w:val="24"/>
          <w:szCs w:val="24"/>
          <w:lang w:val="sv-SE"/>
        </w:rPr>
        <w:t xml:space="preserve"> </w:t>
      </w:r>
      <w:r w:rsidR="00C34462" w:rsidRPr="00C34462">
        <w:rPr>
          <w:rFonts w:asciiTheme="majorBidi" w:hAnsiTheme="majorBidi" w:cstheme="majorBidi"/>
          <w:lang w:val="sv-SE"/>
        </w:rPr>
        <w:t>Keluarga Islam di Indonesia</w:t>
      </w:r>
      <w:r w:rsidR="00C34462">
        <w:rPr>
          <w:rFonts w:asciiTheme="majorBidi" w:hAnsiTheme="majorBidi" w:cstheme="majorBidi"/>
          <w:lang w:val="sv-SE"/>
        </w:rPr>
        <w:t>.</w:t>
      </w:r>
    </w:p>
    <w:p w:rsidR="00BC41DD" w:rsidRDefault="00BC41DD" w:rsidP="00C16A93">
      <w:pPr>
        <w:pStyle w:val="ListParagraph"/>
        <w:spacing w:after="0" w:line="360" w:lineRule="auto"/>
        <w:ind w:left="0" w:firstLine="720"/>
        <w:jc w:val="both"/>
        <w:rPr>
          <w:rFonts w:ascii="Times New Roman" w:hAnsi="Times New Roman" w:cs="Times New Roman"/>
          <w:sz w:val="24"/>
          <w:szCs w:val="24"/>
          <w:lang w:val="sv-SE"/>
        </w:rPr>
      </w:pPr>
      <w:bookmarkStart w:id="17" w:name="OLE_LINK244"/>
      <w:bookmarkStart w:id="18" w:name="OLE_LINK243"/>
      <w:bookmarkEnd w:id="15"/>
      <w:bookmarkEnd w:id="16"/>
      <w:r w:rsidRPr="00FC20CC">
        <w:rPr>
          <w:rFonts w:ascii="Times New Roman" w:hAnsi="Times New Roman" w:cs="Times New Roman"/>
          <w:sz w:val="24"/>
          <w:szCs w:val="24"/>
          <w:lang w:val="sv-SE"/>
        </w:rPr>
        <w:lastRenderedPageBreak/>
        <w:t xml:space="preserve">Bab </w:t>
      </w:r>
      <w:r w:rsidR="00C259B9" w:rsidRPr="00FC20CC">
        <w:rPr>
          <w:rFonts w:ascii="Times New Roman" w:hAnsi="Times New Roman" w:cs="Times New Roman"/>
          <w:sz w:val="24"/>
          <w:szCs w:val="24"/>
          <w:lang w:val="sv-SE"/>
        </w:rPr>
        <w:t>keenam</w:t>
      </w:r>
      <w:r w:rsidRPr="00FC20CC">
        <w:rPr>
          <w:rFonts w:ascii="Times New Roman" w:hAnsi="Times New Roman" w:cs="Times New Roman"/>
          <w:sz w:val="24"/>
          <w:szCs w:val="24"/>
          <w:lang w:val="sv-SE"/>
        </w:rPr>
        <w:t xml:space="preserve"> adalah bab pen</w:t>
      </w:r>
      <w:r w:rsidR="00FC20CC">
        <w:rPr>
          <w:rFonts w:ascii="Times New Roman" w:hAnsi="Times New Roman" w:cs="Times New Roman"/>
          <w:sz w:val="24"/>
          <w:szCs w:val="24"/>
          <w:lang w:val="sv-SE"/>
        </w:rPr>
        <w:t>utup yang memuat kesimpulan</w:t>
      </w:r>
      <w:r w:rsidR="00B30CA2" w:rsidRPr="00FC20CC">
        <w:rPr>
          <w:rFonts w:ascii="Times New Roman" w:hAnsi="Times New Roman" w:cs="Times New Roman"/>
          <w:sz w:val="24"/>
          <w:szCs w:val="24"/>
          <w:lang w:val="sv-SE"/>
        </w:rPr>
        <w:t xml:space="preserve">, </w:t>
      </w:r>
      <w:r w:rsidRPr="00FC20CC">
        <w:rPr>
          <w:rFonts w:ascii="Times New Roman" w:hAnsi="Times New Roman" w:cs="Times New Roman"/>
          <w:sz w:val="24"/>
          <w:szCs w:val="24"/>
          <w:lang w:val="sv-SE"/>
        </w:rPr>
        <w:t xml:space="preserve">saran-saran </w:t>
      </w:r>
      <w:r w:rsidR="00B30CA2" w:rsidRPr="00FC20CC">
        <w:rPr>
          <w:rFonts w:ascii="Times New Roman" w:hAnsi="Times New Roman" w:cs="Times New Roman"/>
          <w:sz w:val="24"/>
          <w:szCs w:val="24"/>
          <w:lang w:val="sv-SE"/>
        </w:rPr>
        <w:t xml:space="preserve">dan rekomendasi </w:t>
      </w:r>
      <w:r w:rsidRPr="00FC20CC">
        <w:rPr>
          <w:rFonts w:ascii="Times New Roman" w:hAnsi="Times New Roman" w:cs="Times New Roman"/>
          <w:sz w:val="24"/>
          <w:szCs w:val="24"/>
          <w:lang w:val="sv-SE"/>
        </w:rPr>
        <w:t>dari pembahasan penelitian ini. Selanjutnya daftar pustaka dan lampiran-lampiran.</w:t>
      </w:r>
      <w:bookmarkEnd w:id="17"/>
      <w:bookmarkEnd w:id="18"/>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lang w:val="sv-SE"/>
        </w:rPr>
      </w:pPr>
    </w:p>
    <w:p w:rsidR="00343B61" w:rsidRPr="00910CE3" w:rsidRDefault="00343B61" w:rsidP="00343B61">
      <w:pPr>
        <w:tabs>
          <w:tab w:val="left" w:pos="1843"/>
        </w:tabs>
        <w:spacing w:line="360" w:lineRule="auto"/>
        <w:ind w:left="1350" w:hanging="1350"/>
        <w:jc w:val="center"/>
        <w:rPr>
          <w:rFonts w:asciiTheme="majorBidi" w:hAnsiTheme="majorBidi" w:cstheme="majorBidi"/>
          <w:sz w:val="24"/>
          <w:szCs w:val="24"/>
        </w:rPr>
      </w:pPr>
      <w:r w:rsidRPr="00910CE3">
        <w:rPr>
          <w:rFonts w:asciiTheme="majorBidi" w:hAnsiTheme="majorBidi" w:cstheme="majorBidi"/>
          <w:sz w:val="24"/>
          <w:szCs w:val="24"/>
        </w:rPr>
        <w:t>BAB II</w:t>
      </w:r>
    </w:p>
    <w:p w:rsidR="00343B61" w:rsidRDefault="00343B61" w:rsidP="00343B61">
      <w:pPr>
        <w:tabs>
          <w:tab w:val="left" w:pos="1843"/>
        </w:tabs>
        <w:spacing w:line="360" w:lineRule="auto"/>
        <w:ind w:left="1350" w:hanging="1350"/>
        <w:jc w:val="center"/>
        <w:rPr>
          <w:rFonts w:asciiTheme="majorBidi" w:hAnsiTheme="majorBidi" w:cstheme="majorBidi"/>
          <w:sz w:val="24"/>
          <w:szCs w:val="24"/>
        </w:rPr>
      </w:pPr>
      <w:r w:rsidRPr="009E1965">
        <w:rPr>
          <w:rFonts w:asciiTheme="majorBidi" w:hAnsiTheme="majorBidi" w:cstheme="majorBidi"/>
          <w:i/>
          <w:iCs/>
          <w:sz w:val="24"/>
          <w:szCs w:val="24"/>
        </w:rPr>
        <w:t>SIYĀSAH SYAR’IYYAH</w:t>
      </w:r>
      <w:r>
        <w:rPr>
          <w:rFonts w:asciiTheme="majorBidi" w:hAnsiTheme="majorBidi" w:cstheme="majorBidi"/>
          <w:sz w:val="24"/>
          <w:szCs w:val="24"/>
        </w:rPr>
        <w:t xml:space="preserve"> SEBAGAI ACUAN </w:t>
      </w:r>
      <w:r w:rsidRPr="00910CE3">
        <w:rPr>
          <w:rFonts w:asciiTheme="majorBidi" w:hAnsiTheme="majorBidi" w:cstheme="majorBidi"/>
          <w:sz w:val="24"/>
          <w:szCs w:val="24"/>
        </w:rPr>
        <w:t>DALAM PEMBARUAN</w:t>
      </w:r>
    </w:p>
    <w:p w:rsidR="00343B61" w:rsidRPr="00910CE3" w:rsidRDefault="00343B61" w:rsidP="00343B61">
      <w:pPr>
        <w:tabs>
          <w:tab w:val="left" w:pos="1843"/>
        </w:tabs>
        <w:spacing w:line="360" w:lineRule="auto"/>
        <w:ind w:left="1350" w:hanging="1350"/>
        <w:jc w:val="center"/>
        <w:rPr>
          <w:rFonts w:asciiTheme="majorBidi" w:hAnsiTheme="majorBidi" w:cstheme="majorBidi"/>
          <w:sz w:val="24"/>
          <w:szCs w:val="24"/>
        </w:rPr>
      </w:pPr>
      <w:r w:rsidRPr="00910CE3">
        <w:rPr>
          <w:rFonts w:asciiTheme="majorBidi" w:hAnsiTheme="majorBidi" w:cstheme="majorBidi"/>
          <w:sz w:val="24"/>
          <w:szCs w:val="24"/>
        </w:rPr>
        <w:t xml:space="preserve"> HUKUM </w:t>
      </w:r>
      <w:r>
        <w:rPr>
          <w:rFonts w:asciiTheme="majorBidi" w:hAnsiTheme="majorBidi" w:cstheme="majorBidi"/>
          <w:sz w:val="24"/>
          <w:szCs w:val="24"/>
        </w:rPr>
        <w:t xml:space="preserve">KELUARGA </w:t>
      </w:r>
      <w:r w:rsidRPr="00910CE3">
        <w:rPr>
          <w:rFonts w:asciiTheme="majorBidi" w:hAnsiTheme="majorBidi" w:cstheme="majorBidi"/>
          <w:sz w:val="24"/>
          <w:szCs w:val="24"/>
        </w:rPr>
        <w:t>ISLAM</w:t>
      </w:r>
    </w:p>
    <w:p w:rsidR="00343B61" w:rsidRPr="00910CE3" w:rsidRDefault="00343B61" w:rsidP="00343B61">
      <w:pPr>
        <w:pStyle w:val="ListParagraph"/>
        <w:numPr>
          <w:ilvl w:val="0"/>
          <w:numId w:val="11"/>
        </w:numPr>
        <w:tabs>
          <w:tab w:val="left" w:pos="1843"/>
        </w:tabs>
        <w:spacing w:line="360" w:lineRule="auto"/>
        <w:ind w:left="360"/>
        <w:jc w:val="both"/>
        <w:rPr>
          <w:rFonts w:asciiTheme="majorBidi" w:hAnsiTheme="majorBidi" w:cstheme="majorBidi"/>
          <w:sz w:val="24"/>
          <w:szCs w:val="24"/>
        </w:rPr>
      </w:pPr>
      <w:r w:rsidRPr="00910CE3">
        <w:rPr>
          <w:rFonts w:asciiTheme="majorBidi" w:hAnsiTheme="majorBidi" w:cstheme="majorBidi"/>
          <w:sz w:val="24"/>
          <w:szCs w:val="24"/>
        </w:rPr>
        <w:t xml:space="preserve">Karakteristik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p>
    <w:p w:rsidR="00343B61" w:rsidRPr="00910CE3" w:rsidRDefault="00343B61" w:rsidP="002C0A33">
      <w:pPr>
        <w:pStyle w:val="ListParagraph"/>
        <w:numPr>
          <w:ilvl w:val="0"/>
          <w:numId w:val="14"/>
        </w:numPr>
        <w:tabs>
          <w:tab w:val="left" w:pos="900"/>
        </w:tabs>
        <w:spacing w:line="360" w:lineRule="auto"/>
        <w:ind w:left="630" w:hanging="270"/>
        <w:jc w:val="both"/>
        <w:rPr>
          <w:rFonts w:asciiTheme="majorBidi" w:hAnsiTheme="majorBidi" w:cstheme="majorBidi"/>
          <w:sz w:val="24"/>
          <w:szCs w:val="24"/>
        </w:rPr>
      </w:pPr>
      <w:r w:rsidRPr="00910CE3">
        <w:rPr>
          <w:rFonts w:asciiTheme="majorBidi" w:hAnsiTheme="majorBidi" w:cstheme="majorBidi"/>
          <w:sz w:val="24"/>
          <w:szCs w:val="24"/>
        </w:rPr>
        <w:t xml:space="preserve">Pengertian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p>
    <w:p w:rsidR="00343B61" w:rsidRPr="00910CE3" w:rsidRDefault="00343B61" w:rsidP="00343B61">
      <w:pPr>
        <w:pStyle w:val="ListParagraph"/>
        <w:spacing w:line="360" w:lineRule="auto"/>
        <w:ind w:left="0" w:firstLine="720"/>
        <w:jc w:val="both"/>
        <w:rPr>
          <w:rFonts w:asciiTheme="majorBidi" w:hAnsiTheme="majorBidi" w:cstheme="majorBidi"/>
          <w:i/>
          <w:iCs/>
          <w:sz w:val="24"/>
          <w:szCs w:val="24"/>
        </w:rPr>
      </w:pPr>
      <w:r w:rsidRPr="00910CE3">
        <w:rPr>
          <w:rFonts w:asciiTheme="majorBidi" w:hAnsiTheme="majorBidi" w:cstheme="majorBidi"/>
          <w:sz w:val="24"/>
          <w:szCs w:val="24"/>
        </w:rPr>
        <w:lastRenderedPageBreak/>
        <w:t xml:space="preserve">Kata </w:t>
      </w:r>
      <w:r w:rsidRPr="00910CE3">
        <w:rPr>
          <w:rFonts w:asciiTheme="majorBidi" w:hAnsiTheme="majorBidi" w:cstheme="majorBidi"/>
          <w:i/>
          <w:iCs/>
          <w:sz w:val="24"/>
          <w:szCs w:val="24"/>
        </w:rPr>
        <w:t>siyāsah</w:t>
      </w:r>
      <w:r w:rsidRPr="00910CE3">
        <w:rPr>
          <w:rFonts w:asciiTheme="majorBidi" w:hAnsiTheme="majorBidi" w:cstheme="majorBidi"/>
          <w:sz w:val="24"/>
          <w:szCs w:val="24"/>
        </w:rPr>
        <w:t xml:space="preserve"> </w:t>
      </w:r>
      <w:r w:rsidRPr="00910CE3">
        <w:rPr>
          <w:rFonts w:asciiTheme="majorBidi" w:hAnsiTheme="majorBidi" w:cstheme="majorBidi" w:hint="cs"/>
          <w:sz w:val="26"/>
          <w:szCs w:val="26"/>
          <w:rtl/>
        </w:rPr>
        <w:t>(</w:t>
      </w:r>
      <w:r w:rsidRPr="00DE5206">
        <w:rPr>
          <w:rFonts w:asciiTheme="majorBidi" w:hAnsiTheme="majorBidi" w:cs="Traditional Arabic" w:hint="cs"/>
          <w:sz w:val="26"/>
          <w:szCs w:val="26"/>
          <w:rtl/>
        </w:rPr>
        <w:t xml:space="preserve"> سياسة</w:t>
      </w:r>
      <w:r w:rsidRPr="00910CE3">
        <w:rPr>
          <w:rFonts w:asciiTheme="majorBidi" w:hAnsiTheme="majorBidi" w:cstheme="majorBidi" w:hint="cs"/>
          <w:sz w:val="26"/>
          <w:szCs w:val="26"/>
          <w:rtl/>
        </w:rPr>
        <w:t xml:space="preserve"> )</w:t>
      </w:r>
      <w:r w:rsidRPr="00910CE3">
        <w:rPr>
          <w:rFonts w:asciiTheme="majorBidi" w:hAnsiTheme="majorBidi" w:cstheme="majorBidi"/>
          <w:sz w:val="26"/>
          <w:szCs w:val="26"/>
        </w:rPr>
        <w:t xml:space="preserve"> </w:t>
      </w:r>
      <w:r w:rsidRPr="00910CE3">
        <w:rPr>
          <w:rFonts w:asciiTheme="majorBidi" w:hAnsiTheme="majorBidi" w:cstheme="majorBidi"/>
          <w:sz w:val="24"/>
          <w:szCs w:val="24"/>
        </w:rPr>
        <w:t xml:space="preserve">berasal dari kata </w:t>
      </w:r>
      <w:r w:rsidRPr="00910CE3">
        <w:rPr>
          <w:rFonts w:asciiTheme="majorBidi" w:hAnsiTheme="majorBidi" w:cstheme="majorBidi"/>
          <w:i/>
          <w:iCs/>
          <w:sz w:val="24"/>
          <w:szCs w:val="24"/>
        </w:rPr>
        <w:t>sāsa-yasūsu-siayāsah</w:t>
      </w:r>
      <w:r w:rsidRPr="00910CE3">
        <w:rPr>
          <w:rFonts w:asciiTheme="majorBidi" w:hAnsiTheme="majorBidi" w:cstheme="majorBidi"/>
          <w:sz w:val="24"/>
          <w:szCs w:val="24"/>
        </w:rPr>
        <w:t xml:space="preserve"> </w:t>
      </w:r>
      <w:r w:rsidRPr="00910CE3">
        <w:rPr>
          <w:rFonts w:asciiTheme="majorBidi" w:hAnsiTheme="majorBidi" w:cstheme="majorBidi" w:hint="cs"/>
          <w:sz w:val="24"/>
          <w:szCs w:val="24"/>
          <w:rtl/>
        </w:rPr>
        <w:t xml:space="preserve">( </w:t>
      </w:r>
      <w:r w:rsidRPr="00DE5206">
        <w:rPr>
          <w:rFonts w:asciiTheme="majorBidi" w:hAnsiTheme="majorBidi" w:cs="Traditional Arabic" w:hint="cs"/>
          <w:sz w:val="24"/>
          <w:szCs w:val="24"/>
          <w:rtl/>
        </w:rPr>
        <w:t>ساس-يسوس</w:t>
      </w:r>
      <w:r w:rsidRPr="00910CE3">
        <w:rPr>
          <w:rFonts w:asciiTheme="majorBidi" w:hAnsiTheme="majorBidi" w:cstheme="majorBidi" w:hint="cs"/>
          <w:sz w:val="24"/>
          <w:szCs w:val="24"/>
          <w:rtl/>
        </w:rPr>
        <w:t>-</w:t>
      </w:r>
      <w:r w:rsidRPr="00DE5206">
        <w:rPr>
          <w:rFonts w:asciiTheme="majorBidi" w:hAnsiTheme="majorBidi" w:cs="Traditional Arabic" w:hint="cs"/>
          <w:sz w:val="24"/>
          <w:szCs w:val="24"/>
          <w:rtl/>
        </w:rPr>
        <w:t>سياسة)</w:t>
      </w:r>
      <w:r w:rsidRPr="00DE5206">
        <w:rPr>
          <w:rFonts w:asciiTheme="majorBidi" w:hAnsiTheme="majorBidi" w:cs="Traditional Arabic"/>
          <w:sz w:val="24"/>
          <w:szCs w:val="24"/>
        </w:rPr>
        <w:t>.</w:t>
      </w:r>
      <w:r w:rsidRPr="00DE5206">
        <w:rPr>
          <w:rStyle w:val="FootnoteReference"/>
          <w:rFonts w:asciiTheme="majorBidi" w:hAnsiTheme="majorBidi" w:cs="Traditional Arabic"/>
          <w:sz w:val="24"/>
          <w:szCs w:val="24"/>
        </w:rPr>
        <w:footnoteReference w:id="137"/>
      </w:r>
      <w:r w:rsidRPr="00910CE3">
        <w:rPr>
          <w:rFonts w:asciiTheme="majorBidi" w:hAnsiTheme="majorBidi" w:cstheme="majorBidi"/>
          <w:sz w:val="24"/>
          <w:szCs w:val="24"/>
        </w:rPr>
        <w:t xml:space="preserve"> Dalam kamus Arab kata ini berarti mengatur </w:t>
      </w:r>
      <w:r w:rsidRPr="00DE5206">
        <w:rPr>
          <w:rFonts w:asciiTheme="majorBidi" w:hAnsiTheme="majorBidi" w:cs="Traditional Arabic"/>
          <w:sz w:val="24"/>
          <w:szCs w:val="24"/>
        </w:rPr>
        <w:t>(</w:t>
      </w:r>
      <w:r w:rsidRPr="00DE5206">
        <w:rPr>
          <w:rFonts w:ascii="Arial" w:hAnsi="Arial" w:cs="Traditional Arabic"/>
          <w:sz w:val="24"/>
          <w:szCs w:val="24"/>
          <w:rtl/>
        </w:rPr>
        <w:t>دَبَّرَهُ</w:t>
      </w:r>
      <w:r w:rsidRPr="00DE5206">
        <w:rPr>
          <w:rFonts w:asciiTheme="majorBidi" w:hAnsiTheme="majorBidi" w:cs="Traditional Arabic"/>
          <w:sz w:val="24"/>
          <w:szCs w:val="24"/>
        </w:rPr>
        <w:t xml:space="preserve"> ),</w:t>
      </w:r>
      <w:r w:rsidRPr="00910CE3">
        <w:rPr>
          <w:rFonts w:asciiTheme="majorBidi" w:hAnsiTheme="majorBidi" w:cstheme="majorBidi"/>
          <w:sz w:val="24"/>
          <w:szCs w:val="24"/>
        </w:rPr>
        <w:t xml:space="preserve"> mengurus urusannya </w:t>
      </w:r>
      <w:r w:rsidRPr="00DE5206">
        <w:rPr>
          <w:rFonts w:asciiTheme="majorBidi" w:hAnsiTheme="majorBidi" w:cs="Traditional Arabic"/>
          <w:sz w:val="24"/>
          <w:szCs w:val="24"/>
        </w:rPr>
        <w:t>(</w:t>
      </w:r>
      <w:r w:rsidRPr="00DE5206">
        <w:rPr>
          <w:rFonts w:ascii="Arial" w:hAnsi="Arial" w:cs="Traditional Arabic"/>
          <w:sz w:val="24"/>
          <w:szCs w:val="24"/>
          <w:rtl/>
        </w:rPr>
        <w:t>قَامَ بِأَمْرِه</w:t>
      </w:r>
      <w:r w:rsidRPr="00910CE3">
        <w:rPr>
          <w:rFonts w:ascii="Arial" w:hAnsi="Arial"/>
          <w:sz w:val="24"/>
          <w:szCs w:val="24"/>
          <w:rtl/>
        </w:rPr>
        <w:t>ِ</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38"/>
      </w:r>
      <w:r w:rsidRPr="00910CE3">
        <w:rPr>
          <w:rFonts w:asciiTheme="majorBidi" w:hAnsiTheme="majorBidi" w:cstheme="majorBidi"/>
          <w:sz w:val="24"/>
          <w:szCs w:val="24"/>
        </w:rPr>
        <w:t xml:space="preserve"> menyuruh dan memerintahkannya </w:t>
      </w:r>
      <w:r w:rsidRPr="00910CE3">
        <w:rPr>
          <w:rFonts w:ascii="Arial" w:eastAsiaTheme="minorHAnsi" w:hAnsi="Arial"/>
          <w:sz w:val="24"/>
          <w:szCs w:val="24"/>
        </w:rPr>
        <w:t xml:space="preserve"> (</w:t>
      </w:r>
      <w:r w:rsidRPr="00DE5206">
        <w:rPr>
          <w:rFonts w:ascii="Arial" w:eastAsiaTheme="minorHAnsi" w:hAnsi="Arial" w:cs="Traditional Arabic"/>
          <w:sz w:val="24"/>
          <w:szCs w:val="24"/>
          <w:rtl/>
        </w:rPr>
        <w:t>أمَرَ وأُمِرَ عليه</w:t>
      </w:r>
      <w:r w:rsidRPr="00910CE3">
        <w:rPr>
          <w:rFonts w:ascii="Arial" w:eastAsiaTheme="minorHAnsi" w:hAnsi="Arial"/>
          <w:sz w:val="24"/>
          <w:szCs w:val="24"/>
        </w:rPr>
        <w:t>)</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39"/>
      </w:r>
      <w:r w:rsidRPr="00910CE3">
        <w:rPr>
          <w:rFonts w:asciiTheme="majorBidi" w:hAnsiTheme="majorBidi" w:cstheme="majorBidi"/>
          <w:sz w:val="24"/>
          <w:szCs w:val="24"/>
        </w:rPr>
        <w:t xml:space="preserve"> Siyāsah bisa juga berarti mengemudi, mengendalikan, mengatur, politik, dan membuat kebijaksanaan.</w:t>
      </w:r>
      <w:r w:rsidRPr="00910CE3">
        <w:rPr>
          <w:rStyle w:val="FootnoteReference"/>
          <w:rFonts w:asciiTheme="majorBidi" w:hAnsiTheme="majorBidi" w:cstheme="majorBidi"/>
          <w:sz w:val="24"/>
          <w:szCs w:val="24"/>
        </w:rPr>
        <w:footnoteReference w:id="140"/>
      </w:r>
      <w:r w:rsidRPr="00910CE3">
        <w:rPr>
          <w:rFonts w:asciiTheme="majorBidi" w:hAnsiTheme="majorBidi" w:cstheme="majorBidi"/>
          <w:sz w:val="24"/>
          <w:szCs w:val="24"/>
        </w:rPr>
        <w:t xml:space="preserve"> Kata </w:t>
      </w:r>
      <w:r w:rsidRPr="00910CE3">
        <w:rPr>
          <w:rFonts w:asciiTheme="majorBidi" w:hAnsiTheme="majorBidi" w:cstheme="majorBidi"/>
          <w:i/>
          <w:iCs/>
          <w:sz w:val="24"/>
          <w:szCs w:val="24"/>
        </w:rPr>
        <w:t>sāsa</w:t>
      </w:r>
      <w:r w:rsidRPr="00910CE3">
        <w:rPr>
          <w:rFonts w:asciiTheme="majorBidi" w:hAnsiTheme="majorBidi" w:cstheme="majorBidi"/>
          <w:sz w:val="24"/>
          <w:szCs w:val="24"/>
        </w:rPr>
        <w:t xml:space="preserve"> sama dengan </w:t>
      </w:r>
      <w:r w:rsidRPr="00910CE3">
        <w:rPr>
          <w:rFonts w:asciiTheme="majorBidi" w:hAnsiTheme="majorBidi" w:cstheme="majorBidi"/>
          <w:i/>
          <w:iCs/>
          <w:sz w:val="24"/>
          <w:szCs w:val="24"/>
        </w:rPr>
        <w:t>govern</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to lead</w:t>
      </w:r>
      <w:r w:rsidRPr="00910CE3">
        <w:rPr>
          <w:rFonts w:asciiTheme="majorBidi" w:hAnsiTheme="majorBidi" w:cstheme="majorBidi"/>
          <w:sz w:val="24"/>
          <w:szCs w:val="24"/>
        </w:rPr>
        <w:t xml:space="preserve">.  Siyāsah sama dengan </w:t>
      </w:r>
      <w:r w:rsidRPr="00910CE3">
        <w:rPr>
          <w:rFonts w:asciiTheme="majorBidi" w:hAnsiTheme="majorBidi" w:cstheme="majorBidi"/>
          <w:i/>
          <w:iCs/>
          <w:sz w:val="24"/>
          <w:szCs w:val="24"/>
        </w:rPr>
        <w:t>policy</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of government, corprotion, etc</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41"/>
      </w:r>
      <w:r w:rsidRPr="00910CE3">
        <w:rPr>
          <w:rFonts w:asciiTheme="majorBidi" w:hAnsiTheme="majorBidi" w:cstheme="majorBidi"/>
          <w:sz w:val="24"/>
          <w:szCs w:val="24"/>
        </w:rPr>
        <w:t xml:space="preserve"> </w:t>
      </w:r>
      <w:r w:rsidRPr="00910CE3">
        <w:rPr>
          <w:rFonts w:asciiTheme="majorBidi" w:eastAsiaTheme="minorHAnsi" w:hAnsiTheme="majorBidi" w:cstheme="majorBidi"/>
          <w:sz w:val="24"/>
          <w:szCs w:val="24"/>
        </w:rPr>
        <w:t xml:space="preserve">Ahamd Mukhtar mengartikan </w:t>
      </w:r>
      <w:r w:rsidRPr="00910CE3">
        <w:rPr>
          <w:rFonts w:asciiTheme="majorBidi" w:eastAsiaTheme="minorHAnsi" w:hAnsiTheme="majorBidi" w:cstheme="majorBidi"/>
          <w:i/>
          <w:iCs/>
          <w:sz w:val="24"/>
          <w:szCs w:val="24"/>
        </w:rPr>
        <w:t xml:space="preserve">siyāsah </w:t>
      </w:r>
      <w:r w:rsidRPr="00910CE3">
        <w:rPr>
          <w:rFonts w:asciiTheme="majorBidi" w:eastAsiaTheme="minorHAnsi" w:hAnsiTheme="majorBidi" w:cstheme="majorBidi"/>
          <w:sz w:val="24"/>
          <w:szCs w:val="24"/>
        </w:rPr>
        <w:t xml:space="preserve"> dengan:</w:t>
      </w:r>
    </w:p>
    <w:p w:rsidR="00343B61" w:rsidRPr="00615EEA" w:rsidRDefault="00343B61" w:rsidP="00343B61">
      <w:pPr>
        <w:autoSpaceDE w:val="0"/>
        <w:autoSpaceDN w:val="0"/>
        <w:bidi/>
        <w:adjustRightInd w:val="0"/>
        <w:spacing w:after="0" w:line="360" w:lineRule="auto"/>
        <w:jc w:val="both"/>
        <w:rPr>
          <w:rFonts w:ascii="Arial" w:eastAsiaTheme="minorHAnsi" w:hAnsi="Arial" w:cs="Traditional Arabic"/>
          <w:sz w:val="28"/>
          <w:szCs w:val="28"/>
        </w:rPr>
      </w:pPr>
      <w:r w:rsidRPr="00615EEA">
        <w:rPr>
          <w:rFonts w:ascii="Adobe نسخ Medium" w:eastAsiaTheme="minorHAnsi" w:hAnsi="Adobe نسخ Medium" w:cs="Traditional Arabic"/>
          <w:sz w:val="28"/>
          <w:szCs w:val="28"/>
          <w:rtl/>
        </w:rPr>
        <w:t>ساس النَّاسَ: حَكَمهم، تولّى قيادتَهم وإدارةَ شئونهم</w:t>
      </w:r>
      <w:r w:rsidRPr="00615EEA">
        <w:rPr>
          <w:rFonts w:ascii="Adobe نسخ Medium" w:eastAsiaTheme="minorHAnsi" w:hAnsi="Adobe نسخ Medium" w:cs="Traditional Arabic" w:hint="cs"/>
          <w:sz w:val="28"/>
          <w:szCs w:val="28"/>
          <w:rtl/>
        </w:rPr>
        <w:t>،</w:t>
      </w:r>
      <w:r w:rsidRPr="00615EEA">
        <w:rPr>
          <w:rFonts w:ascii="Adobe نسخ Medium" w:eastAsiaTheme="minorHAnsi" w:hAnsi="Adobe نسخ Medium" w:cs="Traditional Arabic"/>
          <w:sz w:val="28"/>
          <w:szCs w:val="28"/>
          <w:rtl/>
        </w:rPr>
        <w:t>ساس الأمورَ: دبَّرها، أدارَها، قام بإصلاحها</w:t>
      </w:r>
      <w:r w:rsidRPr="00615EEA">
        <w:rPr>
          <w:rStyle w:val="FootnoteReference"/>
          <w:rFonts w:ascii="Arial" w:eastAsiaTheme="minorHAnsi" w:hAnsi="Arial" w:cs="Traditional Arabic"/>
          <w:sz w:val="28"/>
          <w:szCs w:val="28"/>
          <w:rtl/>
        </w:rPr>
        <w:footnoteReference w:id="142"/>
      </w:r>
    </w:p>
    <w:p w:rsidR="00343B61" w:rsidRDefault="00343B61" w:rsidP="00343B61">
      <w:pPr>
        <w:autoSpaceDE w:val="0"/>
        <w:autoSpaceDN w:val="0"/>
        <w:adjustRightInd w:val="0"/>
        <w:spacing w:after="0" w:line="240" w:lineRule="auto"/>
        <w:ind w:left="630"/>
        <w:jc w:val="both"/>
        <w:rPr>
          <w:rFonts w:asciiTheme="majorBidi" w:eastAsiaTheme="minorHAnsi" w:hAnsiTheme="majorBidi" w:cstheme="majorBidi"/>
          <w:i/>
          <w:iCs/>
          <w:sz w:val="24"/>
          <w:szCs w:val="24"/>
        </w:rPr>
      </w:pPr>
      <w:r w:rsidRPr="00910CE3">
        <w:rPr>
          <w:rFonts w:asciiTheme="majorBidi" w:eastAsiaTheme="minorHAnsi" w:hAnsiTheme="majorBidi" w:cstheme="majorBidi"/>
          <w:sz w:val="24"/>
          <w:szCs w:val="24"/>
        </w:rPr>
        <w:t>Artinya”</w:t>
      </w:r>
      <w:r w:rsidRPr="00910CE3">
        <w:rPr>
          <w:rFonts w:asciiTheme="majorBidi" w:eastAsiaTheme="minorHAnsi" w:hAnsiTheme="majorBidi" w:cstheme="majorBidi"/>
          <w:i/>
          <w:iCs/>
          <w:sz w:val="24"/>
          <w:szCs w:val="24"/>
        </w:rPr>
        <w:t xml:space="preserve"> S</w:t>
      </w:r>
      <w:r w:rsidRPr="00910CE3">
        <w:rPr>
          <w:rFonts w:asciiTheme="majorBidi" w:hAnsiTheme="majorBidi" w:cstheme="majorBidi"/>
          <w:i/>
          <w:iCs/>
          <w:sz w:val="24"/>
          <w:szCs w:val="24"/>
        </w:rPr>
        <w:t>ā</w:t>
      </w:r>
      <w:r w:rsidRPr="00910CE3">
        <w:rPr>
          <w:rFonts w:asciiTheme="majorBidi" w:eastAsiaTheme="minorHAnsi" w:hAnsiTheme="majorBidi" w:cstheme="majorBidi"/>
          <w:i/>
          <w:iCs/>
          <w:sz w:val="24"/>
          <w:szCs w:val="24"/>
        </w:rPr>
        <w:t>sa al-n</w:t>
      </w:r>
      <w:r w:rsidRPr="00910CE3">
        <w:rPr>
          <w:rFonts w:asciiTheme="majorBidi" w:hAnsiTheme="majorBidi" w:cstheme="majorBidi"/>
          <w:i/>
          <w:iCs/>
          <w:sz w:val="24"/>
          <w:szCs w:val="24"/>
        </w:rPr>
        <w:t>ā</w:t>
      </w:r>
      <w:r w:rsidRPr="00910CE3">
        <w:rPr>
          <w:rFonts w:asciiTheme="majorBidi" w:eastAsiaTheme="minorHAnsi" w:hAnsiTheme="majorBidi" w:cstheme="majorBidi"/>
          <w:i/>
          <w:iCs/>
          <w:sz w:val="24"/>
          <w:szCs w:val="24"/>
        </w:rPr>
        <w:t xml:space="preserve">s </w:t>
      </w:r>
      <w:r w:rsidRPr="00910CE3">
        <w:rPr>
          <w:rFonts w:asciiTheme="majorBidi" w:eastAsiaTheme="minorHAnsi" w:hAnsiTheme="majorBidi" w:cstheme="majorBidi"/>
          <w:sz w:val="24"/>
          <w:szCs w:val="24"/>
        </w:rPr>
        <w:t>(</w:t>
      </w:r>
      <w:r w:rsidRPr="00DE5206">
        <w:rPr>
          <w:rFonts w:asciiTheme="majorBidi" w:eastAsiaTheme="minorHAnsi" w:hAnsiTheme="majorBidi" w:cs="Traditional Arabic"/>
          <w:sz w:val="24"/>
          <w:szCs w:val="24"/>
          <w:rtl/>
        </w:rPr>
        <w:t>ساس النَّاسَ</w:t>
      </w:r>
      <w:r w:rsidRPr="00DE5206">
        <w:rPr>
          <w:rFonts w:asciiTheme="majorBidi" w:eastAsiaTheme="minorHAnsi" w:hAnsiTheme="majorBidi" w:cs="Traditional Arabic"/>
          <w:sz w:val="24"/>
          <w:szCs w:val="24"/>
        </w:rPr>
        <w:t>)</w:t>
      </w:r>
      <w:r w:rsidRPr="00910CE3">
        <w:rPr>
          <w:rFonts w:asciiTheme="majorBidi" w:eastAsiaTheme="minorHAnsi" w:hAnsiTheme="majorBidi" w:cstheme="majorBidi"/>
          <w:i/>
          <w:iCs/>
          <w:sz w:val="24"/>
          <w:szCs w:val="24"/>
        </w:rPr>
        <w:t xml:space="preserve"> : artinya memerintah manusia, bertindak memimpin dan mengatur urusan mereka, s</w:t>
      </w:r>
      <w:r w:rsidRPr="00910CE3">
        <w:rPr>
          <w:rFonts w:asciiTheme="majorBidi" w:hAnsiTheme="majorBidi" w:cstheme="majorBidi"/>
          <w:i/>
          <w:iCs/>
          <w:sz w:val="24"/>
          <w:szCs w:val="24"/>
        </w:rPr>
        <w:t>ā</w:t>
      </w:r>
      <w:r w:rsidRPr="00910CE3">
        <w:rPr>
          <w:rFonts w:asciiTheme="majorBidi" w:eastAsiaTheme="minorHAnsi" w:hAnsiTheme="majorBidi" w:cstheme="majorBidi"/>
          <w:i/>
          <w:iCs/>
          <w:sz w:val="24"/>
          <w:szCs w:val="24"/>
        </w:rPr>
        <w:t xml:space="preserve">sa al-umur </w:t>
      </w:r>
      <w:r w:rsidRPr="00910CE3">
        <w:rPr>
          <w:rFonts w:asciiTheme="majorBidi" w:eastAsiaTheme="minorHAnsi" w:hAnsiTheme="majorBidi" w:cstheme="majorBidi"/>
          <w:sz w:val="24"/>
          <w:szCs w:val="24"/>
        </w:rPr>
        <w:t>(</w:t>
      </w:r>
      <w:r w:rsidRPr="00DE5206">
        <w:rPr>
          <w:rFonts w:asciiTheme="majorBidi" w:eastAsiaTheme="minorHAnsi" w:hAnsiTheme="majorBidi" w:cs="Traditional Arabic"/>
          <w:sz w:val="24"/>
          <w:szCs w:val="24"/>
          <w:rtl/>
        </w:rPr>
        <w:t>ساس الأمورَ</w:t>
      </w:r>
      <w:r w:rsidRPr="00910CE3">
        <w:rPr>
          <w:rFonts w:asciiTheme="majorBidi" w:eastAsiaTheme="minorHAnsi" w:hAnsiTheme="majorBidi" w:cstheme="majorBidi"/>
          <w:sz w:val="24"/>
          <w:szCs w:val="24"/>
        </w:rPr>
        <w:t>)</w:t>
      </w:r>
      <w:r w:rsidRPr="00910CE3">
        <w:rPr>
          <w:rFonts w:asciiTheme="majorBidi" w:eastAsiaTheme="minorHAnsi" w:hAnsiTheme="majorBidi" w:cstheme="majorBidi"/>
          <w:i/>
          <w:iCs/>
          <w:sz w:val="24"/>
          <w:szCs w:val="24"/>
        </w:rPr>
        <w:t xml:space="preserve"> mengatur dan memenej urusannya, bertindak untuk kebaikan urusannya”</w:t>
      </w:r>
    </w:p>
    <w:p w:rsidR="00343B61" w:rsidRPr="00C24B1B" w:rsidRDefault="00343B61" w:rsidP="00343B61">
      <w:pPr>
        <w:autoSpaceDE w:val="0"/>
        <w:autoSpaceDN w:val="0"/>
        <w:adjustRightInd w:val="0"/>
        <w:spacing w:after="0" w:line="240" w:lineRule="auto"/>
        <w:ind w:left="630"/>
        <w:jc w:val="both"/>
        <w:rPr>
          <w:rFonts w:asciiTheme="majorBidi" w:eastAsiaTheme="minorHAnsi" w:hAnsiTheme="majorBidi" w:cstheme="majorBidi"/>
          <w:i/>
          <w:iCs/>
          <w:sz w:val="24"/>
          <w:szCs w:val="24"/>
        </w:rPr>
      </w:pPr>
    </w:p>
    <w:p w:rsidR="00343B61" w:rsidRPr="00910CE3" w:rsidRDefault="00343B61" w:rsidP="00343B61">
      <w:pPr>
        <w:spacing w:line="360" w:lineRule="auto"/>
        <w:ind w:firstLine="567"/>
        <w:jc w:val="both"/>
        <w:rPr>
          <w:rFonts w:asciiTheme="majorBidi" w:hAnsiTheme="majorBidi" w:cstheme="majorBidi"/>
          <w:sz w:val="24"/>
          <w:szCs w:val="24"/>
        </w:rPr>
      </w:pPr>
      <w:r w:rsidRPr="00910CE3">
        <w:rPr>
          <w:rFonts w:asciiTheme="majorBidi" w:hAnsiTheme="majorBidi" w:cstheme="majorBidi"/>
          <w:sz w:val="24"/>
          <w:szCs w:val="24"/>
        </w:rPr>
        <w:t>Sedangkan Ibn Manzh</w:t>
      </w:r>
      <w:r w:rsidRPr="003A5CEA">
        <w:rPr>
          <w:rFonts w:asciiTheme="majorBidi" w:hAnsiTheme="majorBidi" w:cstheme="majorBidi"/>
          <w:sz w:val="24"/>
          <w:szCs w:val="24"/>
          <w:lang w:val="fi-FI"/>
        </w:rPr>
        <w:t>ū</w:t>
      </w:r>
      <w:r w:rsidRPr="00910CE3">
        <w:rPr>
          <w:rFonts w:asciiTheme="majorBidi" w:hAnsiTheme="majorBidi" w:cstheme="majorBidi"/>
          <w:sz w:val="24"/>
          <w:szCs w:val="24"/>
        </w:rPr>
        <w:t>r</w:t>
      </w:r>
      <w:r>
        <w:rPr>
          <w:rFonts w:asciiTheme="majorBidi" w:hAnsiTheme="majorBidi" w:cstheme="majorBidi"/>
          <w:sz w:val="24"/>
          <w:szCs w:val="24"/>
        </w:rPr>
        <w:t xml:space="preserve"> (W.711 H)</w:t>
      </w:r>
      <w:r w:rsidRPr="00910CE3">
        <w:rPr>
          <w:rFonts w:asciiTheme="majorBidi" w:hAnsiTheme="majorBidi" w:cstheme="majorBidi"/>
          <w:sz w:val="24"/>
          <w:szCs w:val="24"/>
        </w:rPr>
        <w:t xml:space="preserve"> menjelaskan makna  </w:t>
      </w:r>
      <w:r w:rsidRPr="00910CE3">
        <w:rPr>
          <w:rFonts w:asciiTheme="majorBidi" w:hAnsiTheme="majorBidi" w:cstheme="majorBidi"/>
          <w:i/>
          <w:iCs/>
          <w:sz w:val="24"/>
          <w:szCs w:val="24"/>
        </w:rPr>
        <w:t xml:space="preserve">siyāsah </w:t>
      </w:r>
      <w:r w:rsidRPr="00910CE3">
        <w:rPr>
          <w:rFonts w:asciiTheme="majorBidi" w:hAnsiTheme="majorBidi" w:cstheme="majorBidi"/>
          <w:sz w:val="24"/>
          <w:szCs w:val="24"/>
        </w:rPr>
        <w:t xml:space="preserve"> dengan: </w:t>
      </w:r>
    </w:p>
    <w:p w:rsidR="00343B61" w:rsidRPr="00C24B1B" w:rsidRDefault="00343B61" w:rsidP="00343B61">
      <w:pPr>
        <w:bidi/>
        <w:spacing w:after="0" w:line="240" w:lineRule="auto"/>
        <w:ind w:firstLine="17"/>
        <w:jc w:val="both"/>
        <w:rPr>
          <w:rFonts w:ascii="Adobe نسخ Medium" w:hAnsi="Adobe نسخ Medium" w:cs="Adobe نسخ Medium"/>
          <w:sz w:val="32"/>
          <w:szCs w:val="32"/>
        </w:rPr>
      </w:pPr>
      <w:r w:rsidRPr="00DE5206">
        <w:rPr>
          <w:rFonts w:ascii="Adobe نسخ Medium" w:hAnsi="Adobe نسخ Medium" w:cs="Traditional Arabic"/>
          <w:sz w:val="32"/>
          <w:szCs w:val="32"/>
          <w:rtl/>
        </w:rPr>
        <w:t>السِّياسةُ القيامُ على الشيء بما يُصْلِحه</w:t>
      </w:r>
      <w:r w:rsidRPr="00C24B1B">
        <w:rPr>
          <w:rStyle w:val="FootnoteReference"/>
          <w:rFonts w:ascii="Adobe نسخ Medium" w:hAnsi="Adobe نسخ Medium" w:cs="Adobe نسخ Medium"/>
          <w:sz w:val="32"/>
          <w:szCs w:val="32"/>
          <w:rtl/>
        </w:rPr>
        <w:footnoteReference w:id="143"/>
      </w:r>
    </w:p>
    <w:p w:rsidR="00343B61" w:rsidRDefault="00343B61" w:rsidP="00343B61">
      <w:pPr>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 xml:space="preserve">Artinya; “ </w:t>
      </w:r>
      <w:r w:rsidRPr="00910CE3">
        <w:rPr>
          <w:rFonts w:asciiTheme="majorBidi" w:hAnsiTheme="majorBidi" w:cstheme="majorBidi"/>
          <w:i/>
          <w:iCs/>
          <w:sz w:val="24"/>
          <w:szCs w:val="24"/>
        </w:rPr>
        <w:t>siyāsah  adalah</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m</w:t>
      </w:r>
      <w:r>
        <w:rPr>
          <w:rFonts w:asciiTheme="majorBidi" w:hAnsiTheme="majorBidi" w:cstheme="majorBidi"/>
          <w:i/>
          <w:iCs/>
          <w:sz w:val="24"/>
          <w:szCs w:val="24"/>
        </w:rPr>
        <w:t>engurus</w:t>
      </w:r>
      <w:r w:rsidRPr="00910CE3">
        <w:rPr>
          <w:rFonts w:asciiTheme="majorBidi" w:hAnsiTheme="majorBidi" w:cstheme="majorBidi"/>
          <w:i/>
          <w:iCs/>
          <w:sz w:val="24"/>
          <w:szCs w:val="24"/>
        </w:rPr>
        <w:t xml:space="preserve"> sesuatu</w:t>
      </w:r>
      <w:r>
        <w:rPr>
          <w:rFonts w:asciiTheme="majorBidi" w:hAnsiTheme="majorBidi" w:cstheme="majorBidi"/>
          <w:i/>
          <w:iCs/>
          <w:sz w:val="24"/>
          <w:szCs w:val="24"/>
        </w:rPr>
        <w:t xml:space="preserve"> dengan cara yang membawa</w:t>
      </w:r>
      <w:r w:rsidRPr="00910CE3">
        <w:rPr>
          <w:rFonts w:asciiTheme="majorBidi" w:hAnsiTheme="majorBidi" w:cstheme="majorBidi"/>
          <w:i/>
          <w:iCs/>
          <w:sz w:val="24"/>
          <w:szCs w:val="24"/>
        </w:rPr>
        <w:t xml:space="preserve"> kemaslahatan</w:t>
      </w:r>
      <w:r>
        <w:rPr>
          <w:rFonts w:asciiTheme="majorBidi" w:hAnsiTheme="majorBidi" w:cstheme="majorBidi"/>
          <w:i/>
          <w:iCs/>
          <w:sz w:val="24"/>
          <w:szCs w:val="24"/>
        </w:rPr>
        <w:t xml:space="preserve"> untuknya</w:t>
      </w:r>
      <w:r w:rsidRPr="00910CE3">
        <w:rPr>
          <w:rFonts w:asciiTheme="majorBidi" w:hAnsiTheme="majorBidi" w:cstheme="majorBidi"/>
          <w:sz w:val="24"/>
          <w:szCs w:val="24"/>
        </w:rPr>
        <w:t>.</w:t>
      </w:r>
    </w:p>
    <w:p w:rsidR="00343B61" w:rsidRPr="00910CE3" w:rsidRDefault="00343B61" w:rsidP="00343B61">
      <w:pPr>
        <w:spacing w:after="0" w:line="240" w:lineRule="auto"/>
        <w:ind w:left="720"/>
        <w:jc w:val="both"/>
        <w:rPr>
          <w:rFonts w:asciiTheme="majorBidi" w:hAnsiTheme="majorBidi" w:cstheme="majorBidi"/>
          <w:sz w:val="24"/>
          <w:szCs w:val="24"/>
        </w:rPr>
      </w:pPr>
    </w:p>
    <w:p w:rsidR="00343B61" w:rsidRPr="00910CE3" w:rsidRDefault="00343B61" w:rsidP="00343B61">
      <w:pPr>
        <w:pStyle w:val="ListParagraph"/>
        <w:spacing w:after="0" w:line="360" w:lineRule="auto"/>
        <w:ind w:left="0" w:firstLine="720"/>
        <w:jc w:val="both"/>
        <w:rPr>
          <w:rFonts w:asciiTheme="majorBidi" w:hAnsiTheme="majorBidi" w:cstheme="majorBidi"/>
          <w:sz w:val="20"/>
          <w:szCs w:val="20"/>
        </w:rPr>
      </w:pPr>
      <w:r w:rsidRPr="00910CE3">
        <w:rPr>
          <w:rFonts w:asciiTheme="majorBidi" w:hAnsiTheme="majorBidi" w:cstheme="majorBidi"/>
          <w:sz w:val="24"/>
          <w:szCs w:val="24"/>
        </w:rPr>
        <w:lastRenderedPageBreak/>
        <w:t xml:space="preserve">Sementara di dalam </w:t>
      </w:r>
      <w:r w:rsidRPr="00910CE3">
        <w:rPr>
          <w:rFonts w:asciiTheme="majorBidi" w:hAnsiTheme="majorBidi" w:cstheme="majorBidi"/>
          <w:i/>
          <w:iCs/>
          <w:sz w:val="24"/>
          <w:szCs w:val="24"/>
        </w:rPr>
        <w:t>Al-Munjid</w:t>
      </w:r>
      <w:r w:rsidRPr="00910CE3">
        <w:rPr>
          <w:rFonts w:asciiTheme="majorBidi" w:hAnsiTheme="majorBidi" w:cstheme="majorBidi"/>
          <w:sz w:val="24"/>
          <w:szCs w:val="24"/>
        </w:rPr>
        <w:t xml:space="preserve"> disebutkan, </w:t>
      </w:r>
      <w:r w:rsidRPr="00910CE3">
        <w:rPr>
          <w:rFonts w:asciiTheme="majorBidi" w:hAnsiTheme="majorBidi" w:cstheme="majorBidi"/>
          <w:i/>
          <w:iCs/>
          <w:sz w:val="24"/>
          <w:szCs w:val="24"/>
        </w:rPr>
        <w:t xml:space="preserve">siyāsah </w:t>
      </w:r>
      <w:r w:rsidRPr="00910CE3">
        <w:rPr>
          <w:rFonts w:asciiTheme="majorBidi" w:hAnsiTheme="majorBidi" w:cstheme="majorBidi"/>
          <w:sz w:val="24"/>
          <w:szCs w:val="24"/>
        </w:rPr>
        <w:t xml:space="preserve"> adalah membuat kemaslahatan manusia dengan membimbing mereka ke</w:t>
      </w:r>
      <w:r>
        <w:rPr>
          <w:rFonts w:asciiTheme="majorBidi" w:hAnsiTheme="majorBidi" w:cstheme="majorBidi"/>
          <w:sz w:val="24"/>
          <w:szCs w:val="24"/>
        </w:rPr>
        <w:t xml:space="preserve"> </w:t>
      </w:r>
      <w:r w:rsidRPr="00910CE3">
        <w:rPr>
          <w:rFonts w:asciiTheme="majorBidi" w:hAnsiTheme="majorBidi" w:cstheme="majorBidi"/>
          <w:sz w:val="24"/>
          <w:szCs w:val="24"/>
        </w:rPr>
        <w:t>jalan yang menyelamatkan.</w:t>
      </w:r>
      <w:r w:rsidRPr="00910CE3">
        <w:rPr>
          <w:rStyle w:val="FootnoteReference"/>
          <w:rFonts w:asciiTheme="majorBidi" w:hAnsiTheme="majorBidi" w:cstheme="majorBidi"/>
          <w:sz w:val="24"/>
          <w:szCs w:val="24"/>
        </w:rPr>
        <w:footnoteReference w:id="144"/>
      </w:r>
      <w:r w:rsidRPr="00910CE3">
        <w:rPr>
          <w:rFonts w:asciiTheme="majorBidi" w:hAnsiTheme="majorBidi" w:cstheme="majorBidi"/>
          <w:sz w:val="24"/>
          <w:szCs w:val="24"/>
        </w:rPr>
        <w:t xml:space="preserve"> Senada dengan Luwis, Al-Qādhi Abi Al-Abbās </w:t>
      </w:r>
      <w:r w:rsidRPr="00910CE3">
        <w:rPr>
          <w:rFonts w:asciiTheme="majorBidi" w:eastAsiaTheme="minorHAnsi" w:hAnsiTheme="majorBidi" w:cstheme="majorBidi"/>
          <w:sz w:val="24"/>
          <w:szCs w:val="24"/>
        </w:rPr>
        <w:t xml:space="preserve">Al-Hantati mencoba menerangkan makna </w:t>
      </w:r>
      <w:r w:rsidRPr="00910CE3">
        <w:rPr>
          <w:rFonts w:asciiTheme="majorBidi" w:eastAsiaTheme="minorHAnsi" w:hAnsiTheme="majorBidi" w:cstheme="majorBidi"/>
          <w:i/>
          <w:iCs/>
          <w:sz w:val="24"/>
          <w:szCs w:val="24"/>
        </w:rPr>
        <w:t xml:space="preserve">siyāsah </w:t>
      </w:r>
      <w:r w:rsidRPr="00910CE3">
        <w:rPr>
          <w:rFonts w:asciiTheme="majorBidi" w:eastAsiaTheme="minorHAnsi" w:hAnsiTheme="majorBidi" w:cstheme="majorBidi"/>
          <w:sz w:val="24"/>
          <w:szCs w:val="24"/>
        </w:rPr>
        <w:t xml:space="preserve"> dengan:</w:t>
      </w:r>
    </w:p>
    <w:p w:rsidR="00343B61" w:rsidRPr="00910CE3" w:rsidRDefault="00343B61" w:rsidP="00343B61">
      <w:pPr>
        <w:bidi/>
        <w:spacing w:after="0" w:line="240" w:lineRule="auto"/>
        <w:ind w:firstLine="17"/>
        <w:jc w:val="both"/>
        <w:rPr>
          <w:rFonts w:asciiTheme="majorBidi" w:hAnsiTheme="majorBidi" w:cstheme="majorBidi"/>
          <w:sz w:val="28"/>
          <w:szCs w:val="28"/>
        </w:rPr>
      </w:pPr>
      <w:r w:rsidRPr="00910CE3">
        <w:rPr>
          <w:rFonts w:ascii="Arial" w:eastAsiaTheme="minorHAnsi" w:hAnsi="Arial"/>
          <w:sz w:val="28"/>
          <w:szCs w:val="28"/>
        </w:rPr>
        <w:t>“</w:t>
      </w:r>
      <w:r w:rsidRPr="00DE5206">
        <w:rPr>
          <w:rFonts w:ascii="Adobe نسخ Medium" w:eastAsiaTheme="minorHAnsi" w:hAnsi="Adobe نسخ Medium" w:cs="Traditional Arabic"/>
          <w:sz w:val="32"/>
          <w:szCs w:val="32"/>
          <w:rtl/>
        </w:rPr>
        <w:t>السياسة</w:t>
      </w:r>
      <w:r w:rsidRPr="00DE5206">
        <w:rPr>
          <w:rFonts w:ascii="Adobe نسخ Medium" w:eastAsiaTheme="minorHAnsi" w:hAnsi="Adobe نسخ Medium" w:cs="Traditional Arabic"/>
          <w:sz w:val="32"/>
          <w:szCs w:val="32"/>
        </w:rPr>
        <w:t xml:space="preserve"> </w:t>
      </w:r>
      <w:r w:rsidRPr="00DE5206">
        <w:rPr>
          <w:rFonts w:ascii="Adobe نسخ Medium" w:eastAsiaTheme="minorHAnsi" w:hAnsi="Adobe نسخ Medium" w:cs="Traditional Arabic"/>
          <w:sz w:val="32"/>
          <w:szCs w:val="32"/>
          <w:rtl/>
        </w:rPr>
        <w:t>استصلاح الخلق وإرشادهم إلى الطريق المنجي في الدنيا والآخرة</w:t>
      </w:r>
      <w:r w:rsidRPr="00910CE3">
        <w:rPr>
          <w:rFonts w:ascii="Arial" w:eastAsiaTheme="minorHAnsi" w:hAnsi="Arial"/>
          <w:sz w:val="28"/>
          <w:szCs w:val="28"/>
        </w:rPr>
        <w:t>”</w:t>
      </w:r>
      <w:r w:rsidRPr="00910CE3">
        <w:rPr>
          <w:rStyle w:val="FootnoteReference"/>
          <w:rFonts w:ascii="Arial" w:eastAsiaTheme="minorHAnsi" w:hAnsi="Arial"/>
          <w:sz w:val="28"/>
          <w:szCs w:val="28"/>
        </w:rPr>
        <w:footnoteReference w:id="145"/>
      </w:r>
    </w:p>
    <w:p w:rsidR="00343B61" w:rsidRDefault="00343B61" w:rsidP="00343B61">
      <w:pPr>
        <w:spacing w:after="0" w:line="240" w:lineRule="auto"/>
        <w:ind w:left="720"/>
        <w:jc w:val="both"/>
        <w:rPr>
          <w:rFonts w:asciiTheme="majorBidi" w:eastAsiaTheme="minorHAnsi" w:hAnsiTheme="majorBidi" w:cstheme="majorBidi"/>
          <w:sz w:val="24"/>
          <w:szCs w:val="24"/>
        </w:rPr>
      </w:pPr>
      <w:r w:rsidRPr="00910CE3">
        <w:rPr>
          <w:rFonts w:asciiTheme="majorBidi" w:hAnsiTheme="majorBidi" w:cstheme="majorBidi"/>
          <w:sz w:val="24"/>
          <w:szCs w:val="24"/>
        </w:rPr>
        <w:t xml:space="preserve">Artinya: </w:t>
      </w:r>
      <w:r w:rsidRPr="00910CE3">
        <w:rPr>
          <w:rFonts w:asciiTheme="majorBidi" w:eastAsiaTheme="minorHAnsi" w:hAnsiTheme="majorBidi" w:cstheme="majorBidi"/>
          <w:sz w:val="24"/>
          <w:szCs w:val="24"/>
        </w:rPr>
        <w:t>“</w:t>
      </w:r>
      <w:r w:rsidRPr="00910CE3">
        <w:rPr>
          <w:rFonts w:asciiTheme="majorBidi" w:eastAsiaTheme="minorHAnsi" w:hAnsiTheme="majorBidi" w:cstheme="majorBidi"/>
          <w:i/>
          <w:iCs/>
          <w:sz w:val="24"/>
          <w:szCs w:val="24"/>
        </w:rPr>
        <w:t>siyāsah adalah(cara) memperbaiki manusia serta mengarahkan mereka kejalan yang menyelamatkan</w:t>
      </w:r>
      <w:r>
        <w:rPr>
          <w:rFonts w:asciiTheme="majorBidi" w:eastAsiaTheme="minorHAnsi" w:hAnsiTheme="majorBidi" w:cstheme="majorBidi"/>
          <w:i/>
          <w:iCs/>
          <w:sz w:val="24"/>
          <w:szCs w:val="24"/>
        </w:rPr>
        <w:t xml:space="preserve">nya di </w:t>
      </w:r>
      <w:r w:rsidRPr="00910CE3">
        <w:rPr>
          <w:rFonts w:asciiTheme="majorBidi" w:eastAsiaTheme="minorHAnsi" w:hAnsiTheme="majorBidi" w:cstheme="majorBidi"/>
          <w:i/>
          <w:iCs/>
          <w:sz w:val="24"/>
          <w:szCs w:val="24"/>
        </w:rPr>
        <w:t>dunia dan akhirat</w:t>
      </w:r>
      <w:r w:rsidRPr="00910CE3">
        <w:rPr>
          <w:rFonts w:asciiTheme="majorBidi" w:eastAsiaTheme="minorHAnsi" w:hAnsiTheme="majorBidi" w:cstheme="majorBidi"/>
          <w:sz w:val="24"/>
          <w:szCs w:val="24"/>
        </w:rPr>
        <w:t xml:space="preserve">.” </w:t>
      </w:r>
    </w:p>
    <w:p w:rsidR="00343B61" w:rsidRPr="00910CE3" w:rsidRDefault="00343B61" w:rsidP="00343B61">
      <w:pPr>
        <w:spacing w:after="0" w:line="240" w:lineRule="auto"/>
        <w:ind w:left="720"/>
        <w:jc w:val="both"/>
        <w:rPr>
          <w:rFonts w:asciiTheme="majorBidi" w:eastAsiaTheme="minorHAnsi" w:hAnsiTheme="majorBidi" w:cstheme="majorBidi"/>
          <w:sz w:val="24"/>
          <w:szCs w:val="24"/>
        </w:rPr>
      </w:pP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eastAsiaTheme="minorHAnsi" w:hAnsiTheme="majorBidi" w:cstheme="majorBidi"/>
          <w:i/>
          <w:iCs/>
          <w:sz w:val="24"/>
          <w:szCs w:val="24"/>
        </w:rPr>
        <w:t>Siyāsah</w:t>
      </w:r>
      <w:r w:rsidRPr="00910CE3">
        <w:rPr>
          <w:rFonts w:asciiTheme="majorBidi" w:hAnsiTheme="majorBidi" w:cstheme="majorBidi"/>
          <w:sz w:val="24"/>
          <w:szCs w:val="24"/>
        </w:rPr>
        <w:t xml:space="preserve"> adalah ilmu pemerintahan untuk mengendalikan tugas dalam negeri maupun luar negeri, yaitu politik dalam negeri maupun politik luar negeri serta kemasyarakatan, yakni mengatur  kehidupan umum atas dasar keadilan dan  istiqomah.</w:t>
      </w:r>
      <w:r w:rsidRPr="00910CE3">
        <w:rPr>
          <w:rStyle w:val="FootnoteReference"/>
          <w:rFonts w:asciiTheme="majorBidi" w:hAnsiTheme="majorBidi" w:cstheme="majorBidi"/>
          <w:sz w:val="24"/>
          <w:szCs w:val="24"/>
        </w:rPr>
        <w:footnoteReference w:id="146"/>
      </w:r>
      <w:r w:rsidRPr="00910CE3">
        <w:rPr>
          <w:rFonts w:asciiTheme="majorBidi" w:hAnsiTheme="majorBidi" w:cstheme="majorBidi"/>
          <w:sz w:val="24"/>
          <w:szCs w:val="24"/>
        </w:rPr>
        <w:t xml:space="preserve"> </w:t>
      </w:r>
    </w:p>
    <w:p w:rsidR="00343B61" w:rsidRPr="00B42B46" w:rsidRDefault="00343B61" w:rsidP="00343B61">
      <w:pPr>
        <w:spacing w:after="0"/>
        <w:ind w:firstLine="810"/>
        <w:jc w:val="both"/>
        <w:rPr>
          <w:rFonts w:ascii="Times New Roman" w:hAnsi="Times New Roman" w:cs="Times New Roman"/>
          <w:color w:val="000000" w:themeColor="text1"/>
          <w:sz w:val="24"/>
          <w:szCs w:val="24"/>
        </w:rPr>
      </w:pPr>
      <w:r w:rsidRPr="00910CE3">
        <w:rPr>
          <w:rFonts w:asciiTheme="majorBidi" w:hAnsiTheme="majorBidi" w:cstheme="majorBidi"/>
          <w:sz w:val="24"/>
          <w:szCs w:val="24"/>
        </w:rPr>
        <w:t xml:space="preserve">Sementara </w:t>
      </w:r>
      <w:r>
        <w:rPr>
          <w:rFonts w:ascii="Times New Roman" w:hAnsi="Times New Roman" w:cs="Times New Roman"/>
          <w:color w:val="000000" w:themeColor="text1"/>
          <w:sz w:val="24"/>
          <w:szCs w:val="24"/>
        </w:rPr>
        <w:t xml:space="preserve">Abdul Wahhab </w:t>
      </w:r>
      <w:r w:rsidRPr="00415196">
        <w:rPr>
          <w:rFonts w:ascii="Times New Roman" w:hAnsi="Times New Roman" w:cs="Times New Roman"/>
          <w:color w:val="000000" w:themeColor="text1"/>
          <w:sz w:val="24"/>
          <w:szCs w:val="24"/>
          <w:lang w:val="id-ID"/>
        </w:rPr>
        <w:t>Khall</w:t>
      </w:r>
      <w:r w:rsidRPr="0028798D">
        <w:rPr>
          <w:rFonts w:ascii="Times New Roman" w:hAnsi="Times New Roman" w:cs="Times New Roman"/>
          <w:color w:val="000000" w:themeColor="text1"/>
          <w:sz w:val="24"/>
          <w:szCs w:val="24"/>
          <w:lang w:val="id-ID"/>
        </w:rPr>
        <w:t>ā</w:t>
      </w:r>
      <w:r w:rsidRPr="00415196">
        <w:rPr>
          <w:rFonts w:ascii="Times New Roman" w:hAnsi="Times New Roman" w:cs="Times New Roman"/>
          <w:color w:val="000000" w:themeColor="text1"/>
          <w:sz w:val="24"/>
          <w:szCs w:val="24"/>
          <w:lang w:val="id-ID"/>
        </w:rPr>
        <w:t>f</w:t>
      </w:r>
      <w:r>
        <w:rPr>
          <w:rFonts w:ascii="Times New Roman" w:hAnsi="Times New Roman" w:cs="Times New Roman"/>
          <w:color w:val="000000" w:themeColor="text1"/>
          <w:sz w:val="24"/>
          <w:szCs w:val="24"/>
        </w:rPr>
        <w:t xml:space="preserve"> (w.1357 H) </w:t>
      </w:r>
      <w:r w:rsidRPr="00910CE3">
        <w:rPr>
          <w:rFonts w:asciiTheme="majorBidi" w:hAnsiTheme="majorBidi" w:cstheme="majorBidi"/>
          <w:sz w:val="24"/>
          <w:szCs w:val="24"/>
        </w:rPr>
        <w:t xml:space="preserve">mendefinisikan </w:t>
      </w:r>
      <w:r w:rsidRPr="00910CE3">
        <w:rPr>
          <w:rFonts w:asciiTheme="majorBidi" w:eastAsiaTheme="minorHAnsi" w:hAnsiTheme="majorBidi" w:cstheme="majorBidi"/>
          <w:i/>
          <w:iCs/>
          <w:sz w:val="24"/>
          <w:szCs w:val="24"/>
        </w:rPr>
        <w:t>siyāsah</w:t>
      </w:r>
      <w:r w:rsidRPr="00910CE3">
        <w:rPr>
          <w:rFonts w:asciiTheme="majorBidi" w:hAnsiTheme="majorBidi" w:cstheme="majorBidi"/>
          <w:sz w:val="24"/>
          <w:szCs w:val="24"/>
        </w:rPr>
        <w:t xml:space="preserve"> dengan :</w:t>
      </w:r>
    </w:p>
    <w:p w:rsidR="00343B61" w:rsidRPr="00E25739" w:rsidRDefault="00343B61" w:rsidP="00343B61">
      <w:pPr>
        <w:bidi/>
        <w:spacing w:after="0" w:line="240" w:lineRule="auto"/>
        <w:ind w:firstLine="17"/>
        <w:jc w:val="both"/>
        <w:rPr>
          <w:rFonts w:asciiTheme="majorBidi" w:hAnsiTheme="majorBidi" w:cs="Traditional Arabic"/>
          <w:sz w:val="28"/>
          <w:szCs w:val="28"/>
          <w:rtl/>
        </w:rPr>
      </w:pPr>
      <w:r w:rsidRPr="00E25739">
        <w:rPr>
          <w:rFonts w:ascii="Adobe نسخ Medium" w:hAnsi="Adobe نسخ Medium" w:cs="Traditional Arabic"/>
          <w:sz w:val="32"/>
          <w:szCs w:val="32"/>
          <w:rtl/>
        </w:rPr>
        <w:t>القانون الموضوع لرعاية الأداب و المصالح وانتظام الأحوال</w:t>
      </w:r>
      <w:r w:rsidRPr="00E25739">
        <w:rPr>
          <w:rFonts w:asciiTheme="majorBidi" w:hAnsiTheme="majorBidi" w:cs="Traditional Arabic" w:hint="cs"/>
          <w:sz w:val="32"/>
          <w:szCs w:val="32"/>
          <w:rtl/>
        </w:rPr>
        <w:t xml:space="preserve"> </w:t>
      </w:r>
      <w:r w:rsidRPr="00E25739">
        <w:rPr>
          <w:rStyle w:val="FootnoteReference"/>
          <w:rFonts w:asciiTheme="majorBidi" w:hAnsiTheme="majorBidi" w:cs="Traditional Arabic"/>
          <w:sz w:val="28"/>
          <w:szCs w:val="28"/>
          <w:rtl/>
        </w:rPr>
        <w:footnoteReference w:id="147"/>
      </w:r>
    </w:p>
    <w:p w:rsidR="00343B61" w:rsidRDefault="00343B61" w:rsidP="00343B61">
      <w:pPr>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 xml:space="preserve">Undang-undang yang diletakkan untuk </w:t>
      </w:r>
      <w:r>
        <w:rPr>
          <w:rFonts w:asciiTheme="majorBidi" w:hAnsiTheme="majorBidi" w:cstheme="majorBidi"/>
          <w:i/>
          <w:iCs/>
          <w:sz w:val="24"/>
          <w:szCs w:val="24"/>
        </w:rPr>
        <w:t>menata etika</w:t>
      </w:r>
      <w:r w:rsidRPr="00910CE3">
        <w:rPr>
          <w:rFonts w:asciiTheme="majorBidi" w:hAnsiTheme="majorBidi" w:cstheme="majorBidi"/>
          <w:i/>
          <w:iCs/>
          <w:sz w:val="24"/>
          <w:szCs w:val="24"/>
        </w:rPr>
        <w:t xml:space="preserve"> dan kemaslahatan serta mengatur keadaan</w:t>
      </w:r>
      <w:r w:rsidRPr="00910CE3">
        <w:rPr>
          <w:rFonts w:asciiTheme="majorBidi" w:hAnsiTheme="majorBidi" w:cstheme="majorBidi"/>
          <w:sz w:val="24"/>
          <w:szCs w:val="24"/>
        </w:rPr>
        <w:t xml:space="preserve">.” </w:t>
      </w:r>
    </w:p>
    <w:p w:rsidR="00343B61" w:rsidRPr="00910CE3" w:rsidRDefault="00343B61" w:rsidP="00343B61">
      <w:pPr>
        <w:spacing w:after="0" w:line="240" w:lineRule="auto"/>
        <w:ind w:left="720"/>
        <w:jc w:val="both"/>
        <w:rPr>
          <w:rFonts w:asciiTheme="majorBidi" w:hAnsiTheme="majorBidi" w:cstheme="majorBidi"/>
          <w:sz w:val="24"/>
          <w:szCs w:val="24"/>
        </w:rPr>
      </w:pP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Definisi yang singkat dan padat dikemukakan oleh Bahansi Ahmad Fathi yang menyatakan </w:t>
      </w:r>
      <w:r w:rsidRPr="00910CE3">
        <w:rPr>
          <w:rFonts w:asciiTheme="majorBidi" w:eastAsiaTheme="minorHAnsi" w:hAnsiTheme="majorBidi" w:cstheme="majorBidi"/>
          <w:i/>
          <w:iCs/>
          <w:sz w:val="24"/>
          <w:szCs w:val="24"/>
        </w:rPr>
        <w:t>siyāsah</w:t>
      </w:r>
      <w:r w:rsidRPr="00910CE3">
        <w:rPr>
          <w:rFonts w:asciiTheme="majorBidi" w:hAnsiTheme="majorBidi" w:cstheme="majorBidi"/>
          <w:sz w:val="24"/>
          <w:szCs w:val="24"/>
        </w:rPr>
        <w:t xml:space="preserve"> adalah“ pengurusan kepentingan-kepentingan umat manusia sesuai dengan syara’.”</w:t>
      </w:r>
      <w:r w:rsidRPr="00910CE3">
        <w:rPr>
          <w:rStyle w:val="FootnoteReference"/>
          <w:rFonts w:asciiTheme="majorBidi" w:hAnsiTheme="majorBidi" w:cstheme="majorBidi"/>
          <w:sz w:val="24"/>
          <w:szCs w:val="24"/>
        </w:rPr>
        <w:footnoteReference w:id="148"/>
      </w:r>
      <w:r w:rsidRPr="00910CE3">
        <w:rPr>
          <w:rFonts w:asciiTheme="majorBidi" w:hAnsiTheme="majorBidi" w:cstheme="majorBidi"/>
          <w:sz w:val="24"/>
          <w:szCs w:val="24"/>
        </w:rPr>
        <w:t xml:space="preserve"> Dari beberapa pengertian diatas dapat disimpulkan bahwa </w:t>
      </w:r>
      <w:r w:rsidRPr="00910CE3">
        <w:rPr>
          <w:rFonts w:asciiTheme="majorBidi" w:hAnsiTheme="majorBidi" w:cstheme="majorBidi"/>
          <w:i/>
          <w:iCs/>
          <w:sz w:val="24"/>
          <w:szCs w:val="24"/>
        </w:rPr>
        <w:t>siyāsah</w:t>
      </w:r>
      <w:r>
        <w:rPr>
          <w:rFonts w:asciiTheme="majorBidi" w:hAnsiTheme="majorBidi" w:cstheme="majorBidi"/>
          <w:i/>
          <w:iCs/>
          <w:sz w:val="24"/>
          <w:szCs w:val="24"/>
        </w:rPr>
        <w:t xml:space="preserve"> </w:t>
      </w:r>
      <w:r w:rsidRPr="00910CE3">
        <w:rPr>
          <w:rFonts w:asciiTheme="majorBidi" w:hAnsiTheme="majorBidi" w:cstheme="majorBidi"/>
          <w:sz w:val="24"/>
          <w:szCs w:val="24"/>
        </w:rPr>
        <w:t xml:space="preserve">mengandung beberapa arti, yaitu mengatur, mengurus, memerintah, memimpin, membuat kebijaksanaan, pemerintahan dan politik. Dengan arti lain, bahwa mengatur, mengurus dan membuat kebijaksanaan atas sesuatu yang bersifat politis untuk mencapai suatu tujuan adalah </w:t>
      </w:r>
      <w:r w:rsidRPr="00910CE3">
        <w:rPr>
          <w:rFonts w:asciiTheme="majorBidi" w:hAnsiTheme="majorBidi" w:cstheme="majorBidi"/>
          <w:i/>
          <w:iCs/>
          <w:sz w:val="24"/>
          <w:szCs w:val="24"/>
        </w:rPr>
        <w:t>siyāsah.</w:t>
      </w:r>
    </w:p>
    <w:p w:rsidR="00343B61" w:rsidRPr="009E1965"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i/>
          <w:iCs/>
          <w:sz w:val="24"/>
          <w:szCs w:val="24"/>
        </w:rPr>
        <w:lastRenderedPageBreak/>
        <w:t>Syarī</w:t>
      </w:r>
      <w:r>
        <w:rPr>
          <w:rFonts w:asciiTheme="majorBidi" w:hAnsiTheme="majorBidi" w:cstheme="majorBidi"/>
          <w:i/>
          <w:iCs/>
          <w:sz w:val="24"/>
          <w:szCs w:val="24"/>
        </w:rPr>
        <w:t>‘</w:t>
      </w:r>
      <w:r w:rsidRPr="00910CE3">
        <w:rPr>
          <w:rFonts w:asciiTheme="majorBidi" w:hAnsiTheme="majorBidi" w:cstheme="majorBidi"/>
          <w:i/>
          <w:iCs/>
          <w:sz w:val="24"/>
          <w:szCs w:val="24"/>
        </w:rPr>
        <w:t xml:space="preserve">ah </w:t>
      </w:r>
      <w:r w:rsidRPr="00910CE3">
        <w:rPr>
          <w:rStyle w:val="FootnoteReference"/>
          <w:rFonts w:asciiTheme="majorBidi" w:hAnsiTheme="majorBidi" w:cstheme="majorBidi"/>
          <w:sz w:val="24"/>
          <w:szCs w:val="24"/>
        </w:rPr>
        <w:footnoteReference w:id="149"/>
      </w:r>
      <w:r w:rsidRPr="00910CE3">
        <w:rPr>
          <w:rFonts w:asciiTheme="majorBidi" w:hAnsiTheme="majorBidi" w:cstheme="majorBidi" w:hint="cs"/>
          <w:sz w:val="24"/>
          <w:szCs w:val="24"/>
          <w:rtl/>
        </w:rPr>
        <w:t>( شريعة )</w:t>
      </w:r>
      <w:r w:rsidRPr="00910CE3">
        <w:rPr>
          <w:rFonts w:asciiTheme="majorBidi" w:hAnsiTheme="majorBidi" w:cstheme="majorBidi"/>
          <w:sz w:val="24"/>
          <w:szCs w:val="24"/>
        </w:rPr>
        <w:t xml:space="preserve"> berasal dari kata </w:t>
      </w:r>
      <w:r w:rsidRPr="009E1965">
        <w:rPr>
          <w:rFonts w:asciiTheme="majorBidi" w:hAnsiTheme="majorBidi" w:cstheme="majorBidi"/>
          <w:i/>
          <w:iCs/>
          <w:sz w:val="24"/>
          <w:szCs w:val="24"/>
        </w:rPr>
        <w:t>syarra</w:t>
      </w:r>
      <w:r>
        <w:rPr>
          <w:rFonts w:asciiTheme="majorBidi" w:hAnsiTheme="majorBidi" w:cstheme="majorBidi"/>
          <w:i/>
          <w:iCs/>
          <w:sz w:val="24"/>
          <w:szCs w:val="24"/>
        </w:rPr>
        <w:t>‘</w:t>
      </w:r>
      <w:r w:rsidRPr="009E1965">
        <w:rPr>
          <w:rFonts w:asciiTheme="majorBidi" w:hAnsiTheme="majorBidi" w:cstheme="majorBidi"/>
          <w:i/>
          <w:iCs/>
          <w:sz w:val="24"/>
          <w:szCs w:val="24"/>
        </w:rPr>
        <w:t>a</w:t>
      </w:r>
      <w:r w:rsidRPr="00910CE3">
        <w:rPr>
          <w:rFonts w:asciiTheme="majorBidi" w:hAnsiTheme="majorBidi" w:cstheme="majorBidi" w:hint="cs"/>
          <w:sz w:val="24"/>
          <w:szCs w:val="24"/>
          <w:rtl/>
        </w:rPr>
        <w:t>( شرع )</w:t>
      </w:r>
      <w:r w:rsidRPr="00910CE3">
        <w:rPr>
          <w:rFonts w:asciiTheme="majorBidi" w:hAnsiTheme="majorBidi" w:cstheme="majorBidi"/>
          <w:sz w:val="24"/>
          <w:szCs w:val="24"/>
        </w:rPr>
        <w:t xml:space="preserve">. Makna harfiyah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adalah jalan menuju sumber air.</w:t>
      </w:r>
      <w:r w:rsidRPr="00910CE3">
        <w:rPr>
          <w:rStyle w:val="FootnoteReference"/>
          <w:rFonts w:asciiTheme="majorBidi" w:hAnsiTheme="majorBidi" w:cstheme="majorBidi"/>
          <w:sz w:val="24"/>
          <w:szCs w:val="24"/>
        </w:rPr>
        <w:footnoteReference w:id="150"/>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difahami sebagai agama keseluruhannya, mencakup </w:t>
      </w:r>
      <w:r w:rsidRPr="00910CE3">
        <w:rPr>
          <w:rFonts w:asciiTheme="majorBidi" w:hAnsiTheme="majorBidi" w:cstheme="majorBidi"/>
          <w:i/>
          <w:iCs/>
          <w:sz w:val="24"/>
          <w:szCs w:val="24"/>
        </w:rPr>
        <w:t>ushul</w:t>
      </w:r>
      <w:r w:rsidRPr="00910CE3">
        <w:rPr>
          <w:rFonts w:asciiTheme="majorBidi" w:hAnsiTheme="majorBidi" w:cstheme="majorBidi"/>
          <w:sz w:val="24"/>
          <w:szCs w:val="24"/>
        </w:rPr>
        <w:t xml:space="preserve"> dan </w:t>
      </w:r>
      <w:r w:rsidRPr="00910CE3">
        <w:rPr>
          <w:rFonts w:asciiTheme="majorBidi" w:hAnsiTheme="majorBidi" w:cstheme="majorBidi"/>
          <w:i/>
          <w:iCs/>
          <w:sz w:val="24"/>
          <w:szCs w:val="24"/>
        </w:rPr>
        <w:t>furu’</w:t>
      </w:r>
      <w:r w:rsidRPr="00910CE3">
        <w:rPr>
          <w:rFonts w:asciiTheme="majorBidi" w:hAnsiTheme="majorBidi" w:cstheme="majorBidi"/>
          <w:sz w:val="24"/>
          <w:szCs w:val="24"/>
        </w:rPr>
        <w:t>, akidah dan berupa amalan, teori maupun praktek, mulai dari ibadah, muamalat dan akhlak, yang masuk dalam  risalah Islam yang tekandung dalam al-Qur’ān dan al-Sunnah.</w:t>
      </w:r>
      <w:r w:rsidRPr="00910CE3">
        <w:rPr>
          <w:rStyle w:val="FootnoteReference"/>
          <w:rFonts w:asciiTheme="majorBidi" w:hAnsiTheme="majorBidi" w:cstheme="majorBidi"/>
          <w:sz w:val="24"/>
          <w:szCs w:val="24"/>
        </w:rPr>
        <w:footnoteReference w:id="151"/>
      </w:r>
      <w:r w:rsidRPr="00910CE3">
        <w:rPr>
          <w:rFonts w:asciiTheme="majorBidi" w:hAnsiTheme="majorBidi" w:cstheme="majorBidi"/>
          <w:sz w:val="24"/>
          <w:szCs w:val="24"/>
        </w:rPr>
        <w:t xml:space="preserve">. Menurut Abd al-Rozzaq al-Husaini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adalah:</w:t>
      </w:r>
    </w:p>
    <w:p w:rsidR="00343B61" w:rsidRPr="00734A93" w:rsidRDefault="00343B61" w:rsidP="00343B61">
      <w:pPr>
        <w:bidi/>
        <w:spacing w:after="0" w:line="240" w:lineRule="auto"/>
        <w:ind w:firstLine="17"/>
        <w:rPr>
          <w:rFonts w:ascii="Arial" w:hAnsi="Arial"/>
          <w:sz w:val="26"/>
          <w:szCs w:val="26"/>
        </w:rPr>
      </w:pPr>
      <w:r w:rsidRPr="00734A93">
        <w:rPr>
          <w:rFonts w:ascii="Adobe نسخ Medium" w:hAnsi="Adobe نسخ Medium" w:cs="Adobe نسخ Medium"/>
          <w:sz w:val="30"/>
          <w:szCs w:val="30"/>
          <w:rtl/>
        </w:rPr>
        <w:t>"</w:t>
      </w:r>
      <w:r w:rsidRPr="00734A93">
        <w:rPr>
          <w:rFonts w:ascii="Adobe نسخ Medium" w:hAnsi="Adobe نسخ Medium" w:cs="Traditional Arabic"/>
          <w:sz w:val="30"/>
          <w:szCs w:val="30"/>
          <w:rtl/>
        </w:rPr>
        <w:t>الشَّريعةُ ما سَنَّ الله من الدِّين وأَمرَ به ، كالصَّوم والصَّلاةِ ، والحَجِّ والزّكاة ، وسائر أَعمال البِرِّ</w:t>
      </w:r>
      <w:r w:rsidRPr="00734A93">
        <w:rPr>
          <w:rFonts w:ascii="Arial" w:hAnsi="Arial" w:cs="Traditional Arabic" w:hint="cs"/>
          <w:sz w:val="26"/>
          <w:szCs w:val="26"/>
          <w:rtl/>
        </w:rPr>
        <w:t>"</w:t>
      </w:r>
      <w:r w:rsidRPr="00734A93">
        <w:rPr>
          <w:rStyle w:val="FootnoteReference"/>
          <w:rFonts w:ascii="Arial" w:hAnsi="Arial" w:cs="Traditional Arabic"/>
          <w:sz w:val="26"/>
          <w:szCs w:val="26"/>
          <w:rtl/>
        </w:rPr>
        <w:footnoteReference w:id="152"/>
      </w:r>
    </w:p>
    <w:p w:rsidR="00343B61" w:rsidRPr="00910CE3" w:rsidRDefault="00343B61" w:rsidP="00343B61">
      <w:pPr>
        <w:spacing w:line="240" w:lineRule="auto"/>
        <w:ind w:left="81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Sesuatu yang Allah gariskan dan perintahkan dari agama, berupa puasa, sholat, haji, zakat dan berbagai amal kebaikan</w:t>
      </w:r>
      <w:r w:rsidRPr="00910CE3">
        <w:rPr>
          <w:rFonts w:asciiTheme="majorBidi" w:hAnsiTheme="majorBidi" w:cstheme="majorBidi"/>
          <w:sz w:val="24"/>
          <w:szCs w:val="24"/>
        </w:rPr>
        <w:t>”</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berarti jalan yang dilalui air untuk diminum  atau agama yang Allah wajibkan,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juga bisa berarti jalan besar.</w:t>
      </w:r>
      <w:r w:rsidRPr="00910CE3">
        <w:rPr>
          <w:rStyle w:val="FootnoteReference"/>
          <w:rFonts w:asciiTheme="majorBidi" w:hAnsiTheme="majorBidi" w:cstheme="majorBidi"/>
          <w:sz w:val="24"/>
          <w:szCs w:val="24"/>
        </w:rPr>
        <w:footnoteReference w:id="153"/>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juga diartikan sebagai jalan yang lurus atau </w:t>
      </w:r>
      <w:r w:rsidRPr="00910CE3">
        <w:rPr>
          <w:rFonts w:asciiTheme="majorBidi" w:hAnsiTheme="majorBidi" w:cstheme="majorBidi"/>
          <w:i/>
          <w:iCs/>
          <w:sz w:val="24"/>
          <w:szCs w:val="24"/>
        </w:rPr>
        <w:t>thariqatun mustaqimatun</w:t>
      </w:r>
      <w:r w:rsidRPr="00910CE3">
        <w:rPr>
          <w:rStyle w:val="FootnoteReference"/>
          <w:rFonts w:asciiTheme="majorBidi" w:hAnsiTheme="majorBidi" w:cstheme="majorBidi"/>
          <w:i/>
          <w:iCs/>
          <w:sz w:val="24"/>
          <w:szCs w:val="24"/>
        </w:rPr>
        <w:footnoteReference w:id="154"/>
      </w:r>
      <w:r w:rsidRPr="00910CE3">
        <w:rPr>
          <w:rFonts w:asciiTheme="majorBidi" w:hAnsiTheme="majorBidi" w:cstheme="majorBidi"/>
          <w:sz w:val="24"/>
          <w:szCs w:val="24"/>
        </w:rPr>
        <w:t xml:space="preserve"> sebagaimana diisyaratkan dalam al-Qur’ān surat Al-Jatsiyah ayat 18 :</w:t>
      </w:r>
    </w:p>
    <w:p w:rsidR="00343B61" w:rsidRPr="00910CE3" w:rsidRDefault="00343B61" w:rsidP="00343B61">
      <w:pPr>
        <w:autoSpaceDE w:val="0"/>
        <w:autoSpaceDN w:val="0"/>
        <w:bidi/>
        <w:adjustRightInd w:val="0"/>
        <w:spacing w:after="0" w:line="240" w:lineRule="auto"/>
        <w:jc w:val="both"/>
        <w:rPr>
          <w:rFonts w:ascii="(normal text)" w:hAnsi="(normal text)"/>
          <w:rtl/>
        </w:rPr>
      </w:pPr>
      <w:r w:rsidRPr="00910CE3">
        <w:rPr>
          <w:sz w:val="28"/>
          <w:szCs w:val="28"/>
        </w:rPr>
        <w:sym w:font="HQPB4" w:char="F0A2"/>
      </w:r>
      <w:r w:rsidRPr="00910CE3">
        <w:rPr>
          <w:sz w:val="28"/>
          <w:szCs w:val="28"/>
        </w:rPr>
        <w:sym w:font="HQPB2" w:char="F04F"/>
      </w:r>
      <w:r w:rsidRPr="00910CE3">
        <w:rPr>
          <w:sz w:val="28"/>
          <w:szCs w:val="28"/>
        </w:rPr>
        <w:sym w:font="HQPB4" w:char="F0E8"/>
      </w:r>
      <w:r w:rsidRPr="00910CE3">
        <w:rPr>
          <w:sz w:val="28"/>
          <w:szCs w:val="28"/>
        </w:rPr>
        <w:sym w:font="HQPB1" w:char="F04F"/>
      </w:r>
      <w:r w:rsidRPr="00910CE3">
        <w:rPr>
          <w:rFonts w:ascii="(normal text)" w:hAnsi="(normal text)"/>
          <w:rtl/>
        </w:rPr>
        <w:t xml:space="preserve"> </w:t>
      </w:r>
      <w:r w:rsidRPr="00910CE3">
        <w:rPr>
          <w:sz w:val="28"/>
          <w:szCs w:val="28"/>
        </w:rPr>
        <w:sym w:font="HQPB5" w:char="F079"/>
      </w:r>
      <w:r w:rsidRPr="00910CE3">
        <w:rPr>
          <w:sz w:val="28"/>
          <w:szCs w:val="28"/>
        </w:rPr>
        <w:sym w:font="HQPB2" w:char="F037"/>
      </w:r>
      <w:r w:rsidRPr="00910CE3">
        <w:rPr>
          <w:sz w:val="28"/>
          <w:szCs w:val="28"/>
        </w:rPr>
        <w:sym w:font="HQPB2" w:char="F0BB"/>
      </w:r>
      <w:r w:rsidRPr="00910CE3">
        <w:rPr>
          <w:sz w:val="28"/>
          <w:szCs w:val="28"/>
        </w:rPr>
        <w:sym w:font="HQPB5" w:char="F06F"/>
      </w:r>
      <w:r w:rsidRPr="00910CE3">
        <w:rPr>
          <w:sz w:val="28"/>
          <w:szCs w:val="28"/>
        </w:rPr>
        <w:sym w:font="HQPB2" w:char="F059"/>
      </w:r>
      <w:r w:rsidRPr="00910CE3">
        <w:rPr>
          <w:sz w:val="28"/>
          <w:szCs w:val="28"/>
        </w:rPr>
        <w:sym w:font="HQPB4" w:char="F0F9"/>
      </w:r>
      <w:r w:rsidRPr="00910CE3">
        <w:rPr>
          <w:sz w:val="28"/>
          <w:szCs w:val="28"/>
        </w:rPr>
        <w:sym w:font="HQPB2" w:char="F03D"/>
      </w:r>
      <w:r w:rsidRPr="00910CE3">
        <w:rPr>
          <w:sz w:val="28"/>
          <w:szCs w:val="28"/>
        </w:rPr>
        <w:sym w:font="HQPB5" w:char="F079"/>
      </w:r>
      <w:r w:rsidRPr="00910CE3">
        <w:rPr>
          <w:sz w:val="28"/>
          <w:szCs w:val="28"/>
        </w:rPr>
        <w:sym w:font="HQPB1" w:char="F0E8"/>
      </w:r>
      <w:r w:rsidRPr="00910CE3">
        <w:rPr>
          <w:sz w:val="28"/>
          <w:szCs w:val="28"/>
        </w:rPr>
        <w:sym w:font="HQPB5" w:char="F079"/>
      </w:r>
      <w:r w:rsidRPr="00910CE3">
        <w:rPr>
          <w:sz w:val="28"/>
          <w:szCs w:val="28"/>
        </w:rPr>
        <w:sym w:font="HQPB1" w:char="F05F"/>
      </w:r>
      <w:r w:rsidRPr="00910CE3">
        <w:rPr>
          <w:rFonts w:ascii="(normal text)" w:hAnsi="(normal text)"/>
          <w:rtl/>
        </w:rPr>
        <w:t xml:space="preserve"> </w:t>
      </w:r>
      <w:r w:rsidRPr="00910CE3">
        <w:rPr>
          <w:sz w:val="28"/>
          <w:szCs w:val="28"/>
        </w:rPr>
        <w:sym w:font="HQPB5" w:char="F034"/>
      </w:r>
      <w:r w:rsidRPr="00910CE3">
        <w:rPr>
          <w:sz w:val="28"/>
          <w:szCs w:val="28"/>
        </w:rPr>
        <w:sym w:font="HQPB2" w:char="F092"/>
      </w:r>
      <w:r w:rsidRPr="00910CE3">
        <w:rPr>
          <w:sz w:val="28"/>
          <w:szCs w:val="28"/>
        </w:rPr>
        <w:sym w:font="HQPB5" w:char="F06E"/>
      </w:r>
      <w:r w:rsidRPr="00910CE3">
        <w:rPr>
          <w:sz w:val="28"/>
          <w:szCs w:val="28"/>
        </w:rPr>
        <w:sym w:font="HQPB2" w:char="F03F"/>
      </w:r>
      <w:r w:rsidRPr="00910CE3">
        <w:rPr>
          <w:sz w:val="28"/>
          <w:szCs w:val="28"/>
        </w:rPr>
        <w:sym w:font="HQPB5" w:char="F074"/>
      </w:r>
      <w:r w:rsidRPr="00910CE3">
        <w:rPr>
          <w:sz w:val="28"/>
          <w:szCs w:val="28"/>
        </w:rPr>
        <w:sym w:font="HQPB1" w:char="F0E3"/>
      </w:r>
      <w:r w:rsidRPr="00910CE3">
        <w:rPr>
          <w:rFonts w:ascii="(normal text)" w:hAnsi="(normal text)"/>
          <w:rtl/>
        </w:rPr>
        <w:t xml:space="preserve"> </w:t>
      </w:r>
      <w:r w:rsidRPr="00910CE3">
        <w:rPr>
          <w:sz w:val="28"/>
          <w:szCs w:val="28"/>
        </w:rPr>
        <w:sym w:font="HQPB4" w:char="F037"/>
      </w:r>
      <w:r w:rsidRPr="00910CE3">
        <w:rPr>
          <w:sz w:val="28"/>
          <w:szCs w:val="28"/>
        </w:rPr>
        <w:sym w:font="HQPB2" w:char="F070"/>
      </w:r>
      <w:r w:rsidRPr="00910CE3">
        <w:rPr>
          <w:sz w:val="28"/>
          <w:szCs w:val="28"/>
        </w:rPr>
        <w:sym w:font="HQPB5" w:char="F079"/>
      </w:r>
      <w:r w:rsidRPr="00910CE3">
        <w:rPr>
          <w:sz w:val="28"/>
          <w:szCs w:val="28"/>
        </w:rPr>
        <w:sym w:font="HQPB1" w:char="F0E8"/>
      </w:r>
      <w:r w:rsidRPr="00910CE3">
        <w:rPr>
          <w:sz w:val="28"/>
          <w:szCs w:val="28"/>
        </w:rPr>
        <w:sym w:font="HQPB2" w:char="F083"/>
      </w:r>
      <w:r w:rsidRPr="00910CE3">
        <w:rPr>
          <w:sz w:val="28"/>
          <w:szCs w:val="28"/>
        </w:rPr>
        <w:sym w:font="HQPB4" w:char="F0CE"/>
      </w:r>
      <w:r w:rsidRPr="00910CE3">
        <w:rPr>
          <w:sz w:val="28"/>
          <w:szCs w:val="28"/>
        </w:rPr>
        <w:sym w:font="HQPB1" w:char="F08E"/>
      </w:r>
      <w:r w:rsidRPr="00910CE3">
        <w:rPr>
          <w:sz w:val="28"/>
          <w:szCs w:val="28"/>
        </w:rPr>
        <w:sym w:font="HQPB5" w:char="F09F"/>
      </w:r>
      <w:r w:rsidRPr="00910CE3">
        <w:rPr>
          <w:sz w:val="28"/>
          <w:szCs w:val="28"/>
        </w:rPr>
        <w:sym w:font="HQPB1" w:char="F0B0"/>
      </w:r>
      <w:r w:rsidRPr="00910CE3">
        <w:rPr>
          <w:rFonts w:ascii="(normal text)" w:hAnsi="(normal text)"/>
          <w:rtl/>
        </w:rPr>
        <w:t xml:space="preserve"> </w:t>
      </w:r>
      <w:r w:rsidRPr="00910CE3">
        <w:rPr>
          <w:sz w:val="28"/>
          <w:szCs w:val="28"/>
        </w:rPr>
        <w:sym w:font="HQPB5" w:char="F07A"/>
      </w:r>
      <w:r w:rsidRPr="00910CE3">
        <w:rPr>
          <w:sz w:val="28"/>
          <w:szCs w:val="28"/>
        </w:rPr>
        <w:sym w:font="HQPB2" w:char="F060"/>
      </w:r>
      <w:r w:rsidRPr="00910CE3">
        <w:rPr>
          <w:sz w:val="28"/>
          <w:szCs w:val="28"/>
        </w:rPr>
        <w:sym w:font="HQPB4" w:char="F0CF"/>
      </w:r>
      <w:r w:rsidRPr="00910CE3">
        <w:rPr>
          <w:sz w:val="28"/>
          <w:szCs w:val="28"/>
        </w:rPr>
        <w:sym w:font="HQPB4" w:char="F069"/>
      </w:r>
      <w:r w:rsidRPr="00910CE3">
        <w:rPr>
          <w:sz w:val="28"/>
          <w:szCs w:val="28"/>
        </w:rPr>
        <w:sym w:font="HQPB2" w:char="F042"/>
      </w:r>
      <w:r w:rsidRPr="00910CE3">
        <w:rPr>
          <w:rFonts w:ascii="(normal text)" w:hAnsi="(normal text)"/>
          <w:rtl/>
        </w:rPr>
        <w:t xml:space="preserve"> </w:t>
      </w:r>
      <w:r w:rsidRPr="00910CE3">
        <w:rPr>
          <w:sz w:val="28"/>
          <w:szCs w:val="28"/>
        </w:rPr>
        <w:sym w:font="HQPB4" w:char="F0CC"/>
      </w:r>
      <w:r w:rsidRPr="00910CE3">
        <w:rPr>
          <w:sz w:val="28"/>
          <w:szCs w:val="28"/>
        </w:rPr>
        <w:sym w:font="HQPB1" w:char="F08D"/>
      </w:r>
      <w:r w:rsidRPr="00910CE3">
        <w:rPr>
          <w:sz w:val="28"/>
          <w:szCs w:val="28"/>
        </w:rPr>
        <w:sym w:font="HQPB4" w:char="F0F8"/>
      </w:r>
      <w:r w:rsidRPr="00910CE3">
        <w:rPr>
          <w:sz w:val="28"/>
          <w:szCs w:val="28"/>
        </w:rPr>
        <w:sym w:font="HQPB2" w:char="F042"/>
      </w:r>
      <w:r w:rsidRPr="00910CE3">
        <w:rPr>
          <w:sz w:val="28"/>
          <w:szCs w:val="28"/>
        </w:rPr>
        <w:sym w:font="HQPB5" w:char="F046"/>
      </w:r>
      <w:r w:rsidRPr="00910CE3">
        <w:rPr>
          <w:sz w:val="28"/>
          <w:szCs w:val="28"/>
        </w:rPr>
        <w:sym w:font="HQPB2" w:char="F07B"/>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Pr>
          <w:rFonts w:hint="cs"/>
          <w:sz w:val="28"/>
          <w:szCs w:val="28"/>
          <w:rtl/>
        </w:rPr>
        <w:t>....</w:t>
      </w:r>
      <w:r w:rsidRPr="00910CE3">
        <w:rPr>
          <w:sz w:val="28"/>
          <w:szCs w:val="28"/>
        </w:rPr>
        <w:sym w:font="HQPB5" w:char="F074"/>
      </w:r>
      <w:r w:rsidRPr="00910CE3">
        <w:rPr>
          <w:rFonts w:ascii="(normal text)" w:hAnsi="(normal text)"/>
          <w:rtl/>
        </w:rPr>
        <w:t xml:space="preserve"> </w:t>
      </w:r>
      <w:r w:rsidRPr="00910CE3">
        <w:rPr>
          <w:sz w:val="28"/>
          <w:szCs w:val="28"/>
        </w:rPr>
        <w:sym w:font="HQPB2" w:char="F0C7"/>
      </w:r>
      <w:r w:rsidRPr="00910CE3">
        <w:rPr>
          <w:sz w:val="28"/>
          <w:szCs w:val="28"/>
        </w:rPr>
        <w:sym w:font="HQPB2" w:char="F0CA"/>
      </w:r>
      <w:r w:rsidRPr="00910CE3">
        <w:rPr>
          <w:sz w:val="28"/>
          <w:szCs w:val="28"/>
        </w:rPr>
        <w:sym w:font="HQPB2" w:char="F0D1"/>
      </w:r>
      <w:r w:rsidRPr="00910CE3">
        <w:rPr>
          <w:sz w:val="28"/>
          <w:szCs w:val="28"/>
        </w:rPr>
        <w:sym w:font="HQPB2" w:char="F0C8"/>
      </w:r>
      <w:r w:rsidRPr="00910CE3">
        <w:rPr>
          <w:rFonts w:ascii="(normal text)" w:hAnsi="(normal text)"/>
          <w:rtl/>
        </w:rPr>
        <w:t xml:space="preserve">   </w:t>
      </w:r>
    </w:p>
    <w:p w:rsidR="00343B61" w:rsidRPr="00910CE3"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 kemudian Kami jadikan kamu berada di atas suatu syariat (pe</w:t>
      </w:r>
      <w:r>
        <w:rPr>
          <w:rFonts w:asciiTheme="majorBidi" w:hAnsiTheme="majorBidi" w:cstheme="majorBidi"/>
          <w:i/>
          <w:iCs/>
          <w:sz w:val="24"/>
          <w:szCs w:val="24"/>
        </w:rPr>
        <w:t>raturan) dari urusan (agama itu.</w:t>
      </w:r>
      <w:r w:rsidRPr="00910CE3">
        <w:rPr>
          <w:rFonts w:asciiTheme="majorBidi" w:hAnsiTheme="majorBidi" w:cstheme="majorBidi"/>
          <w:i/>
          <w:iCs/>
          <w:sz w:val="24"/>
          <w:szCs w:val="24"/>
        </w:rPr>
        <w:t>.</w:t>
      </w:r>
      <w:r>
        <w:rPr>
          <w:rFonts w:asciiTheme="majorBidi" w:hAnsiTheme="majorBidi" w:cstheme="majorBidi"/>
          <w:i/>
          <w:iCs/>
          <w:sz w:val="24"/>
          <w:szCs w:val="24"/>
        </w:rPr>
        <w:t>.</w:t>
      </w:r>
      <w:r w:rsidRPr="00910CE3">
        <w:rPr>
          <w:rFonts w:asciiTheme="majorBidi" w:hAnsiTheme="majorBidi" w:cstheme="majorBidi"/>
          <w:i/>
          <w:iCs/>
          <w:sz w:val="24"/>
          <w:szCs w:val="24"/>
        </w:rPr>
        <w:t>”</w:t>
      </w:r>
      <w:r w:rsidRPr="00910CE3">
        <w:rPr>
          <w:rFonts w:ascii="(normal text)" w:hAnsi="(normal text)"/>
          <w:sz w:val="24"/>
          <w:szCs w:val="24"/>
        </w:rPr>
        <w:t xml:space="preserve"> ( QS. </w:t>
      </w:r>
      <w:r w:rsidRPr="00910CE3">
        <w:rPr>
          <w:rFonts w:asciiTheme="majorBidi" w:hAnsiTheme="majorBidi" w:cstheme="majorBidi"/>
          <w:sz w:val="24"/>
          <w:szCs w:val="24"/>
        </w:rPr>
        <w:t>Al-Jatsiyah [ 45]: 18 )</w:t>
      </w:r>
      <w:r w:rsidRPr="00910CE3">
        <w:rPr>
          <w:rStyle w:val="FootnoteReference"/>
          <w:rFonts w:asciiTheme="majorBidi" w:hAnsiTheme="majorBidi" w:cstheme="majorBidi"/>
          <w:sz w:val="24"/>
          <w:szCs w:val="24"/>
        </w:rPr>
        <w:footnoteReference w:id="155"/>
      </w:r>
    </w:p>
    <w:p w:rsidR="00343B61" w:rsidRPr="00910CE3" w:rsidRDefault="00343B61" w:rsidP="00343B61">
      <w:pPr>
        <w:autoSpaceDE w:val="0"/>
        <w:autoSpaceDN w:val="0"/>
        <w:adjustRightInd w:val="0"/>
        <w:spacing w:after="0" w:line="360" w:lineRule="auto"/>
        <w:ind w:left="720"/>
        <w:jc w:val="both"/>
        <w:rPr>
          <w:rFonts w:asciiTheme="majorBidi" w:hAnsiTheme="majorBidi" w:cstheme="majorBidi"/>
          <w:sz w:val="24"/>
          <w:szCs w:val="24"/>
        </w:rPr>
      </w:pPr>
    </w:p>
    <w:p w:rsidR="00343B61" w:rsidRPr="008265AD" w:rsidRDefault="00343B61" w:rsidP="00343B61">
      <w:pPr>
        <w:pStyle w:val="ListParagraph"/>
        <w:spacing w:after="0" w:line="360" w:lineRule="auto"/>
        <w:ind w:left="0" w:firstLine="720"/>
        <w:jc w:val="both"/>
        <w:rPr>
          <w:rFonts w:asciiTheme="majorBidi" w:hAnsiTheme="majorBidi" w:cstheme="majorBidi"/>
          <w:i/>
          <w:iCs/>
          <w:sz w:val="24"/>
          <w:szCs w:val="24"/>
        </w:rPr>
      </w:pPr>
      <w:r w:rsidRPr="00814116">
        <w:rPr>
          <w:rFonts w:asciiTheme="majorBidi" w:hAnsiTheme="majorBidi" w:cstheme="majorBidi"/>
          <w:sz w:val="24"/>
          <w:szCs w:val="24"/>
        </w:rPr>
        <w:t xml:space="preserve">Saebani mengatakan bahwa </w:t>
      </w:r>
      <w:r w:rsidRPr="00814116">
        <w:rPr>
          <w:rFonts w:asciiTheme="majorBidi" w:hAnsiTheme="majorBidi" w:cstheme="majorBidi"/>
          <w:i/>
          <w:iCs/>
          <w:sz w:val="24"/>
          <w:szCs w:val="24"/>
        </w:rPr>
        <w:t>syarī‘ah</w:t>
      </w:r>
      <w:r w:rsidRPr="00814116">
        <w:rPr>
          <w:rFonts w:asciiTheme="majorBidi" w:hAnsiTheme="majorBidi" w:cstheme="majorBidi"/>
          <w:sz w:val="24"/>
          <w:szCs w:val="24"/>
        </w:rPr>
        <w:t xml:space="preserve"> sama dengan hukum Islam, yakni tuntunan dan tuntutan, tata aturan yang harus ditaati dan diikuti oleh manusia </w:t>
      </w:r>
      <w:r w:rsidRPr="00814116">
        <w:rPr>
          <w:rFonts w:asciiTheme="majorBidi" w:hAnsiTheme="majorBidi" w:cstheme="majorBidi"/>
          <w:sz w:val="24"/>
          <w:szCs w:val="24"/>
        </w:rPr>
        <w:lastRenderedPageBreak/>
        <w:t xml:space="preserve">sebagai perwujudan pengamalan Al-Qur’ān dan As-sunnah serta ijma' para sahabat. syariat atau hukum Islam bersumber kepada dalil-dalil yang diperoleh melalui proses </w:t>
      </w:r>
      <w:r w:rsidRPr="00814116">
        <w:rPr>
          <w:rFonts w:asciiTheme="majorBidi" w:hAnsiTheme="majorBidi" w:cstheme="majorBidi"/>
          <w:i/>
          <w:iCs/>
          <w:sz w:val="24"/>
          <w:szCs w:val="24"/>
        </w:rPr>
        <w:t>istidlal</w:t>
      </w:r>
      <w:r w:rsidRPr="00814116">
        <w:rPr>
          <w:rFonts w:asciiTheme="majorBidi" w:hAnsiTheme="majorBidi" w:cstheme="majorBidi"/>
          <w:sz w:val="24"/>
          <w:szCs w:val="24"/>
        </w:rPr>
        <w:t xml:space="preserve"> atau </w:t>
      </w:r>
      <w:r w:rsidRPr="00814116">
        <w:rPr>
          <w:rFonts w:asciiTheme="majorBidi" w:hAnsiTheme="majorBidi" w:cstheme="majorBidi"/>
          <w:i/>
          <w:iCs/>
          <w:sz w:val="24"/>
          <w:szCs w:val="24"/>
        </w:rPr>
        <w:t>istinbāṭ</w:t>
      </w:r>
      <w:r w:rsidRPr="00814116">
        <w:rPr>
          <w:rFonts w:asciiTheme="majorBidi" w:hAnsiTheme="majorBidi" w:cstheme="majorBidi"/>
          <w:sz w:val="24"/>
          <w:szCs w:val="24"/>
        </w:rPr>
        <w:t xml:space="preserve"> </w:t>
      </w:r>
      <w:r w:rsidRPr="00814116">
        <w:rPr>
          <w:rFonts w:asciiTheme="majorBidi" w:hAnsiTheme="majorBidi" w:cstheme="majorBidi"/>
          <w:i/>
          <w:iCs/>
          <w:sz w:val="24"/>
          <w:szCs w:val="24"/>
        </w:rPr>
        <w:t>al-a</w:t>
      </w:r>
      <w:r w:rsidRPr="00814116">
        <w:rPr>
          <w:rFonts w:asciiTheme="majorBidi" w:hAnsiTheme="majorBidi" w:cstheme="majorBidi"/>
          <w:i/>
          <w:iCs/>
          <w:sz w:val="24"/>
          <w:szCs w:val="24"/>
          <w:u w:val="single"/>
        </w:rPr>
        <w:t>h</w:t>
      </w:r>
      <w:r w:rsidRPr="00814116">
        <w:rPr>
          <w:rFonts w:asciiTheme="majorBidi" w:hAnsiTheme="majorBidi" w:cstheme="majorBidi"/>
          <w:i/>
          <w:iCs/>
          <w:sz w:val="24"/>
          <w:szCs w:val="24"/>
        </w:rPr>
        <w:t>kām</w:t>
      </w:r>
      <w:r w:rsidRPr="008265AD">
        <w:rPr>
          <w:rFonts w:asciiTheme="majorBidi" w:hAnsiTheme="majorBidi" w:cstheme="majorBidi"/>
          <w:sz w:val="24"/>
          <w:szCs w:val="24"/>
        </w:rPr>
        <w:t>.</w:t>
      </w:r>
      <w:r w:rsidRPr="008265AD">
        <w:rPr>
          <w:rStyle w:val="FootnoteReference"/>
          <w:rFonts w:asciiTheme="majorBidi" w:hAnsiTheme="majorBidi" w:cstheme="majorBidi"/>
          <w:sz w:val="20"/>
          <w:szCs w:val="20"/>
        </w:rPr>
        <w:footnoteReference w:id="156"/>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Manna</w:t>
      </w:r>
      <w:r>
        <w:t>‘</w:t>
      </w:r>
      <w:r w:rsidRPr="00910CE3">
        <w:rPr>
          <w:rFonts w:asciiTheme="majorBidi" w:hAnsiTheme="majorBidi" w:cstheme="majorBidi"/>
          <w:sz w:val="24"/>
          <w:szCs w:val="24"/>
        </w:rPr>
        <w:t>Al-Qath</w:t>
      </w:r>
      <w:r w:rsidRPr="00AB7F0B">
        <w:rPr>
          <w:rFonts w:asciiTheme="majorBidi" w:hAnsiTheme="majorBidi" w:cstheme="majorBidi"/>
          <w:sz w:val="24"/>
          <w:szCs w:val="24"/>
        </w:rPr>
        <w:t>ā</w:t>
      </w:r>
      <w:r w:rsidRPr="00910CE3">
        <w:rPr>
          <w:rFonts w:asciiTheme="majorBidi" w:hAnsiTheme="majorBidi" w:cstheme="majorBidi"/>
          <w:sz w:val="24"/>
          <w:szCs w:val="24"/>
        </w:rPr>
        <w:t xml:space="preserve">n mengatakan bahwa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secara terminologis adalah hukum-hukum yang berasal atau produk Allah yang dilimpahkan kepada para Nabi-Nya, sebagaimana kepada Nabi Muhammad Saw sebagai Rasul pamungkas untuk didakwahkan kepada umat manusia agar mengikuti semua tuntunan  yang ada di dalamnya  berupa hukum-hukum Allah yang berkaitan dengan tata cara perbuatan manusia yang baik dan benar menurut aturan Allah. Cara berbuat manusia yang berkaitan dengan ibadah amaliah manusia dijelaskan oleh ilmu fiqh, sedangkan yang berkaitan dengan keyakinan atau keimanan dijelaskan oleh ilmu tauhid atau </w:t>
      </w:r>
      <w:r w:rsidRPr="00FD3058">
        <w:rPr>
          <w:rFonts w:asciiTheme="majorBidi" w:hAnsiTheme="majorBidi" w:cstheme="majorBidi"/>
          <w:i/>
          <w:iCs/>
          <w:sz w:val="24"/>
          <w:szCs w:val="24"/>
        </w:rPr>
        <w:t>a</w:t>
      </w:r>
      <w:r w:rsidRPr="00FD3058">
        <w:rPr>
          <w:rFonts w:asciiTheme="majorBidi" w:hAnsiTheme="majorBidi" w:cstheme="majorBidi"/>
          <w:i/>
          <w:iCs/>
        </w:rPr>
        <w:t>ṣ</w:t>
      </w:r>
      <w:r w:rsidRPr="00FD3058">
        <w:rPr>
          <w:rFonts w:asciiTheme="majorBidi" w:hAnsiTheme="majorBidi" w:cstheme="majorBidi"/>
          <w:i/>
          <w:iCs/>
          <w:sz w:val="24"/>
          <w:szCs w:val="24"/>
        </w:rPr>
        <w:t>liyah wa i‘tiq</w:t>
      </w:r>
      <w:r w:rsidRPr="00FD3058">
        <w:rPr>
          <w:i/>
          <w:iCs/>
        </w:rPr>
        <w:t>ā</w:t>
      </w:r>
      <w:r w:rsidRPr="00FD3058">
        <w:rPr>
          <w:rFonts w:asciiTheme="majorBidi" w:hAnsiTheme="majorBidi" w:cstheme="majorBidi"/>
          <w:i/>
          <w:iCs/>
          <w:sz w:val="24"/>
          <w:szCs w:val="24"/>
        </w:rPr>
        <w:t>diyah</w:t>
      </w:r>
      <w:r w:rsidRPr="00910CE3">
        <w:rPr>
          <w:rFonts w:asciiTheme="majorBidi" w:hAnsiTheme="majorBidi" w:cstheme="majorBidi"/>
          <w:sz w:val="24"/>
          <w:szCs w:val="24"/>
        </w:rPr>
        <w:t xml:space="preserve"> yang melahirkan ilmu kalam.</w:t>
      </w:r>
      <w:r w:rsidRPr="00910CE3">
        <w:rPr>
          <w:rStyle w:val="FootnoteReference"/>
          <w:rFonts w:asciiTheme="majorBidi" w:hAnsiTheme="majorBidi" w:cstheme="majorBidi"/>
          <w:sz w:val="24"/>
          <w:szCs w:val="24"/>
        </w:rPr>
        <w:footnoteReference w:id="157"/>
      </w:r>
    </w:p>
    <w:p w:rsidR="00343B61" w:rsidRPr="00027374" w:rsidRDefault="00343B61" w:rsidP="00343B61">
      <w:pPr>
        <w:pStyle w:val="ListParagraph"/>
        <w:spacing w:after="0" w:line="360" w:lineRule="auto"/>
        <w:ind w:left="0" w:firstLine="720"/>
        <w:jc w:val="both"/>
        <w:rPr>
          <w:rFonts w:asciiTheme="majorBidi" w:hAnsiTheme="majorBidi" w:cstheme="majorBidi"/>
          <w:sz w:val="24"/>
          <w:szCs w:val="24"/>
        </w:rPr>
      </w:pPr>
      <w:r w:rsidRPr="00027374">
        <w:rPr>
          <w:rFonts w:asciiTheme="majorBidi" w:hAnsiTheme="majorBidi" w:cstheme="majorBidi"/>
          <w:sz w:val="24"/>
          <w:szCs w:val="24"/>
        </w:rPr>
        <w:t>Dalam Al-Qur’ān, kata “</w:t>
      </w:r>
      <w:r w:rsidRPr="00027374">
        <w:rPr>
          <w:rFonts w:asciiTheme="majorBidi" w:hAnsiTheme="majorBidi" w:cstheme="majorBidi"/>
          <w:i/>
          <w:iCs/>
          <w:sz w:val="24"/>
          <w:szCs w:val="24"/>
        </w:rPr>
        <w:t>syarī‘ah</w:t>
      </w:r>
      <w:r w:rsidRPr="00027374">
        <w:rPr>
          <w:rFonts w:asciiTheme="majorBidi" w:hAnsiTheme="majorBidi" w:cstheme="majorBidi"/>
          <w:sz w:val="24"/>
          <w:szCs w:val="24"/>
        </w:rPr>
        <w:t xml:space="preserve">” senantiasa dihubungkan dengan Allah. Ulama ushul fiqh memahami konsep </w:t>
      </w:r>
      <w:r w:rsidRPr="00027374">
        <w:rPr>
          <w:rFonts w:asciiTheme="majorBidi" w:hAnsiTheme="majorBidi" w:cstheme="majorBidi"/>
          <w:i/>
          <w:iCs/>
          <w:sz w:val="24"/>
          <w:szCs w:val="24"/>
        </w:rPr>
        <w:t>syarī‘ah</w:t>
      </w:r>
      <w:r w:rsidRPr="00027374">
        <w:rPr>
          <w:rFonts w:asciiTheme="majorBidi" w:hAnsiTheme="majorBidi" w:cstheme="majorBidi"/>
          <w:sz w:val="24"/>
          <w:szCs w:val="24"/>
        </w:rPr>
        <w:t xml:space="preserve"> sebagai teks-teks kalamullah yang bersifat </w:t>
      </w:r>
      <w:r w:rsidRPr="00B260E0">
        <w:rPr>
          <w:rFonts w:asciiTheme="majorBidi" w:hAnsiTheme="majorBidi" w:cstheme="majorBidi"/>
          <w:i/>
          <w:iCs/>
          <w:sz w:val="24"/>
          <w:szCs w:val="24"/>
        </w:rPr>
        <w:t>syar‘i</w:t>
      </w:r>
      <w:r w:rsidRPr="00027374">
        <w:rPr>
          <w:rFonts w:asciiTheme="majorBidi" w:hAnsiTheme="majorBidi" w:cstheme="majorBidi"/>
          <w:sz w:val="24"/>
          <w:szCs w:val="24"/>
        </w:rPr>
        <w:t xml:space="preserve">, yakni sebagai </w:t>
      </w:r>
      <w:r w:rsidRPr="00027374">
        <w:rPr>
          <w:rFonts w:asciiTheme="majorBidi" w:hAnsiTheme="majorBidi" w:cstheme="majorBidi"/>
          <w:i/>
          <w:iCs/>
          <w:sz w:val="24"/>
          <w:szCs w:val="24"/>
        </w:rPr>
        <w:t>al-nuṣūṣ al-muqaddasah</w:t>
      </w:r>
      <w:r w:rsidRPr="00027374">
        <w:rPr>
          <w:rFonts w:asciiTheme="majorBidi" w:hAnsiTheme="majorBidi" w:cstheme="majorBidi"/>
          <w:sz w:val="24"/>
          <w:szCs w:val="24"/>
        </w:rPr>
        <w:t xml:space="preserve"> yang tertuang dalam bacaan Al-Qur’ān dan As-sunnah yang sifatnya tetap, tidak mengalami perubahan.</w:t>
      </w:r>
      <w:r w:rsidRPr="00027374">
        <w:rPr>
          <w:rStyle w:val="FootnoteReference"/>
          <w:rFonts w:asciiTheme="majorBidi" w:hAnsiTheme="majorBidi" w:cstheme="majorBidi"/>
          <w:sz w:val="24"/>
          <w:szCs w:val="24"/>
        </w:rPr>
        <w:footnoteReference w:id="158"/>
      </w:r>
      <w:r w:rsidRPr="00027374">
        <w:rPr>
          <w:rFonts w:asciiTheme="majorBidi" w:hAnsiTheme="majorBidi" w:cstheme="majorBidi"/>
          <w:sz w:val="24"/>
          <w:szCs w:val="24"/>
        </w:rPr>
        <w:t xml:space="preserve"> Dalam Al-Qur’ān pun terdapat kata </w:t>
      </w:r>
      <w:r w:rsidRPr="00027374">
        <w:rPr>
          <w:rFonts w:asciiTheme="majorBidi" w:hAnsiTheme="majorBidi" w:cstheme="majorBidi"/>
          <w:i/>
          <w:iCs/>
          <w:sz w:val="24"/>
          <w:szCs w:val="24"/>
        </w:rPr>
        <w:t>syarī‘ah</w:t>
      </w:r>
      <w:r w:rsidRPr="00027374">
        <w:rPr>
          <w:rFonts w:asciiTheme="majorBidi" w:hAnsiTheme="majorBidi" w:cstheme="majorBidi"/>
          <w:sz w:val="24"/>
          <w:szCs w:val="24"/>
        </w:rPr>
        <w:t xml:space="preserve"> yang sepadan dengan kata </w:t>
      </w:r>
      <w:r w:rsidRPr="00027374">
        <w:rPr>
          <w:rFonts w:asciiTheme="majorBidi" w:hAnsiTheme="majorBidi" w:cstheme="majorBidi"/>
          <w:i/>
          <w:iCs/>
          <w:sz w:val="24"/>
          <w:szCs w:val="24"/>
        </w:rPr>
        <w:t>al-dīn</w:t>
      </w:r>
      <w:r w:rsidRPr="00027374">
        <w:rPr>
          <w:rFonts w:asciiTheme="majorBidi" w:hAnsiTheme="majorBidi" w:cstheme="majorBidi"/>
          <w:sz w:val="24"/>
          <w:szCs w:val="24"/>
        </w:rPr>
        <w:t xml:space="preserve"> yang artinya agama, sebagaimana terdapat dalam surat Al-Mā’idah ayat 48 Allah SWT berfirman :</w:t>
      </w:r>
    </w:p>
    <w:p w:rsidR="00343B61" w:rsidRPr="00910CE3" w:rsidRDefault="00343B61" w:rsidP="00343B61">
      <w:pPr>
        <w:autoSpaceDE w:val="0"/>
        <w:autoSpaceDN w:val="0"/>
        <w:bidi/>
        <w:adjustRightInd w:val="0"/>
        <w:spacing w:after="0" w:line="240" w:lineRule="auto"/>
        <w:jc w:val="both"/>
        <w:rPr>
          <w:rFonts w:ascii="(normal text)" w:hAnsi="(normal text)"/>
          <w:rtl/>
        </w:rPr>
      </w:pPr>
      <w:r w:rsidRPr="009F7700">
        <w:rPr>
          <w:rFonts w:ascii="Adobe نسخ Medium" w:hAnsi="Adobe نسخ Medium" w:cs="Adobe نسخ Medium"/>
          <w:sz w:val="28"/>
          <w:szCs w:val="28"/>
        </w:rPr>
        <w:sym w:font="HQPB4" w:char="F034"/>
      </w:r>
      <w:r w:rsidRPr="009F7700">
        <w:rPr>
          <w:rFonts w:ascii="Adobe نسخ Medium" w:hAnsi="Adobe نسخ Medium" w:cs="Adobe نسخ Medium"/>
          <w:sz w:val="28"/>
          <w:szCs w:val="28"/>
          <w:rtl/>
        </w:rPr>
        <w:t xml:space="preserve"> </w:t>
      </w:r>
      <w:r w:rsidRPr="009F7700">
        <w:rPr>
          <w:rFonts w:ascii="Adobe نسخ Medium" w:hAnsi="Adobe نسخ Medium" w:cs="Adobe نسخ Medium"/>
          <w:sz w:val="28"/>
          <w:szCs w:val="28"/>
        </w:rPr>
        <w:sym w:font="HQPB4" w:char="F039"/>
      </w:r>
      <w:r w:rsidRPr="009F7700">
        <w:rPr>
          <w:rFonts w:ascii="Adobe نسخ Medium" w:hAnsi="Adobe نسخ Medium" w:cs="Adobe نسخ Medium"/>
          <w:sz w:val="28"/>
          <w:szCs w:val="28"/>
        </w:rPr>
        <w:sym w:font="HQPB4" w:char="F065"/>
      </w:r>
      <w:r w:rsidRPr="009F7700">
        <w:rPr>
          <w:rFonts w:ascii="Adobe نسخ Medium" w:hAnsi="Adobe نسخ Medium" w:cs="Adobe نسخ Medium"/>
          <w:sz w:val="28"/>
          <w:szCs w:val="28"/>
        </w:rPr>
        <w:sym w:font="HQPB2" w:char="F040"/>
      </w:r>
      <w:r w:rsidRPr="009F7700">
        <w:rPr>
          <w:rFonts w:ascii="Adobe نسخ Medium" w:hAnsi="Adobe نسخ Medium" w:cs="Adobe نسخ Medium"/>
          <w:sz w:val="28"/>
          <w:szCs w:val="28"/>
        </w:rPr>
        <w:sym w:font="HQPB4" w:char="F0E4"/>
      </w:r>
      <w:r w:rsidRPr="009F7700">
        <w:rPr>
          <w:rFonts w:ascii="Adobe نسخ Medium" w:hAnsi="Adobe نسخ Medium" w:cs="Adobe نسخ Medium"/>
          <w:sz w:val="28"/>
          <w:szCs w:val="28"/>
        </w:rPr>
        <w:sym w:font="HQPB2" w:char="F033"/>
      </w:r>
      <w:r w:rsidRPr="009F7700">
        <w:rPr>
          <w:rFonts w:ascii="Adobe نسخ Medium" w:hAnsi="Adobe نسخ Medium" w:cs="Adobe نسخ Medium"/>
          <w:sz w:val="28"/>
          <w:szCs w:val="28"/>
        </w:rPr>
        <w:sym w:font="HQPB4" w:char="F0CF"/>
      </w:r>
      <w:r w:rsidRPr="009F7700">
        <w:rPr>
          <w:rFonts w:ascii="Adobe نسخ Medium" w:hAnsi="Adobe نسخ Medium" w:cs="Adobe نسخ Medium"/>
          <w:sz w:val="28"/>
          <w:szCs w:val="28"/>
        </w:rPr>
        <w:sym w:font="HQPB2" w:char="F039"/>
      </w:r>
      <w:r w:rsidRPr="009F7700">
        <w:rPr>
          <w:rFonts w:ascii="Adobe نسخ Medium" w:hAnsi="Adobe نسخ Medium" w:cs="Adobe نسخ Medium"/>
          <w:sz w:val="28"/>
          <w:szCs w:val="28"/>
          <w:rtl/>
        </w:rPr>
        <w:t xml:space="preserve"> </w:t>
      </w:r>
      <w:r w:rsidRPr="009F7700">
        <w:rPr>
          <w:rFonts w:ascii="Adobe نسخ Medium" w:hAnsi="Adobe نسخ Medium" w:cs="Adobe نسخ Medium"/>
          <w:sz w:val="28"/>
          <w:szCs w:val="28"/>
        </w:rPr>
        <w:sym w:font="HQPB1" w:char="F024"/>
      </w:r>
      <w:r w:rsidRPr="009F7700">
        <w:rPr>
          <w:rFonts w:ascii="Adobe نسخ Medium" w:hAnsi="Adobe نسخ Medium" w:cs="Adobe نسخ Medium"/>
          <w:sz w:val="28"/>
          <w:szCs w:val="28"/>
        </w:rPr>
        <w:sym w:font="HQPB5" w:char="F06F"/>
      </w:r>
      <w:r w:rsidRPr="009F7700">
        <w:rPr>
          <w:rFonts w:ascii="Adobe نسخ Medium" w:hAnsi="Adobe نسخ Medium" w:cs="Adobe نسخ Medium"/>
          <w:sz w:val="28"/>
          <w:szCs w:val="28"/>
        </w:rPr>
        <w:sym w:font="HQPB2" w:char="F059"/>
      </w:r>
      <w:r w:rsidRPr="009F7700">
        <w:rPr>
          <w:rFonts w:ascii="Adobe نسخ Medium" w:hAnsi="Adobe نسخ Medium" w:cs="Adobe نسخ Medium"/>
          <w:sz w:val="28"/>
          <w:szCs w:val="28"/>
        </w:rPr>
        <w:sym w:font="HQPB4" w:char="F0F9"/>
      </w:r>
      <w:r w:rsidRPr="009F7700">
        <w:rPr>
          <w:rFonts w:ascii="Adobe نسخ Medium" w:hAnsi="Adobe نسخ Medium" w:cs="Adobe نسخ Medium"/>
          <w:sz w:val="28"/>
          <w:szCs w:val="28"/>
        </w:rPr>
        <w:sym w:font="HQPB2" w:char="F03D"/>
      </w:r>
      <w:r w:rsidRPr="009F7700">
        <w:rPr>
          <w:rFonts w:ascii="Adobe نسخ Medium" w:hAnsi="Adobe نسخ Medium" w:cs="Adobe نسخ Medium"/>
          <w:sz w:val="28"/>
          <w:szCs w:val="28"/>
        </w:rPr>
        <w:sym w:font="HQPB5" w:char="F079"/>
      </w:r>
      <w:r w:rsidRPr="009F7700">
        <w:rPr>
          <w:rFonts w:ascii="Adobe نسخ Medium" w:hAnsi="Adobe نسخ Medium" w:cs="Adobe نسخ Medium"/>
          <w:sz w:val="28"/>
          <w:szCs w:val="28"/>
        </w:rPr>
        <w:sym w:font="HQPB1" w:char="F0E8"/>
      </w:r>
      <w:r w:rsidRPr="009F7700">
        <w:rPr>
          <w:rFonts w:ascii="Adobe نسخ Medium" w:hAnsi="Adobe نسخ Medium" w:cs="Adobe نسخ Medium"/>
          <w:sz w:val="28"/>
          <w:szCs w:val="28"/>
        </w:rPr>
        <w:sym w:font="HQPB5" w:char="F079"/>
      </w:r>
      <w:r w:rsidRPr="009F7700">
        <w:rPr>
          <w:rFonts w:ascii="Adobe نسخ Medium" w:hAnsi="Adobe نسخ Medium" w:cs="Adobe نسخ Medium"/>
          <w:sz w:val="28"/>
          <w:szCs w:val="28"/>
        </w:rPr>
        <w:sym w:font="HQPB1" w:char="F05F"/>
      </w:r>
      <w:r w:rsidRPr="009F7700">
        <w:rPr>
          <w:rFonts w:ascii="Adobe نسخ Medium" w:hAnsi="Adobe نسخ Medium" w:cs="Adobe نسخ Medium"/>
          <w:sz w:val="28"/>
          <w:szCs w:val="28"/>
          <w:rtl/>
        </w:rPr>
        <w:t xml:space="preserve"> </w:t>
      </w:r>
      <w:r w:rsidRPr="009F7700">
        <w:rPr>
          <w:rFonts w:ascii="Adobe نسخ Medium" w:hAnsi="Adobe نسخ Medium" w:cs="Adobe نسخ Medium"/>
          <w:sz w:val="28"/>
          <w:szCs w:val="28"/>
        </w:rPr>
        <w:sym w:font="HQPB4" w:char="F0F6"/>
      </w:r>
      <w:r w:rsidRPr="009F7700">
        <w:rPr>
          <w:rFonts w:ascii="Adobe نسخ Medium" w:hAnsi="Adobe نسخ Medium" w:cs="Adobe نسخ Medium"/>
          <w:sz w:val="28"/>
          <w:szCs w:val="28"/>
        </w:rPr>
        <w:sym w:font="HQPB2" w:char="F04E"/>
      </w:r>
      <w:r w:rsidRPr="009F7700">
        <w:rPr>
          <w:rFonts w:ascii="Adobe نسخ Medium" w:hAnsi="Adobe نسخ Medium" w:cs="Adobe نسخ Medium"/>
          <w:sz w:val="28"/>
          <w:szCs w:val="28"/>
        </w:rPr>
        <w:sym w:font="HQPB4" w:char="F0E4"/>
      </w:r>
      <w:r w:rsidRPr="009F7700">
        <w:rPr>
          <w:rFonts w:ascii="Adobe نسخ Medium" w:hAnsi="Adobe نسخ Medium" w:cs="Adobe نسخ Medium"/>
          <w:sz w:val="28"/>
          <w:szCs w:val="28"/>
        </w:rPr>
        <w:sym w:font="HQPB2" w:char="F033"/>
      </w:r>
      <w:r w:rsidRPr="009F7700">
        <w:rPr>
          <w:rFonts w:ascii="Adobe نسخ Medium" w:hAnsi="Adobe نسخ Medium" w:cs="Adobe نسخ Medium"/>
          <w:sz w:val="28"/>
          <w:szCs w:val="28"/>
        </w:rPr>
        <w:sym w:font="HQPB2" w:char="F05A"/>
      </w:r>
      <w:r w:rsidRPr="009F7700">
        <w:rPr>
          <w:rFonts w:ascii="Adobe نسخ Medium" w:hAnsi="Adobe نسخ Medium" w:cs="Adobe نسخ Medium"/>
          <w:sz w:val="28"/>
          <w:szCs w:val="28"/>
        </w:rPr>
        <w:sym w:font="HQPB4" w:char="F0CF"/>
      </w:r>
      <w:r w:rsidRPr="009F7700">
        <w:rPr>
          <w:rFonts w:ascii="Adobe نسخ Medium" w:hAnsi="Adobe نسخ Medium" w:cs="Adobe نسخ Medium"/>
          <w:sz w:val="28"/>
          <w:szCs w:val="28"/>
        </w:rPr>
        <w:sym w:font="HQPB2" w:char="F042"/>
      </w:r>
      <w:r w:rsidRPr="009F7700">
        <w:rPr>
          <w:rFonts w:ascii="Adobe نسخ Medium" w:hAnsi="Adobe نسخ Medium" w:cs="Adobe نسخ Medium"/>
          <w:sz w:val="28"/>
          <w:szCs w:val="28"/>
          <w:rtl/>
        </w:rPr>
        <w:t xml:space="preserve"> </w:t>
      </w:r>
      <w:r w:rsidRPr="009F7700">
        <w:rPr>
          <w:rFonts w:ascii="Adobe نسخ Medium" w:hAnsi="Adobe نسخ Medium" w:cs="Adobe نسخ Medium"/>
          <w:sz w:val="28"/>
          <w:szCs w:val="28"/>
        </w:rPr>
        <w:sym w:font="HQPB4" w:char="F05A"/>
      </w:r>
      <w:r w:rsidRPr="009F7700">
        <w:rPr>
          <w:rFonts w:ascii="Adobe نسخ Medium" w:hAnsi="Adobe نسخ Medium" w:cs="Adobe نسخ Medium"/>
          <w:sz w:val="28"/>
          <w:szCs w:val="28"/>
        </w:rPr>
        <w:sym w:font="HQPB2" w:char="F070"/>
      </w:r>
      <w:r w:rsidRPr="009F7700">
        <w:rPr>
          <w:rFonts w:ascii="Adobe نسخ Medium" w:hAnsi="Adobe نسخ Medium" w:cs="Adobe نسخ Medium"/>
          <w:sz w:val="28"/>
          <w:szCs w:val="28"/>
        </w:rPr>
        <w:sym w:font="HQPB5" w:char="F074"/>
      </w:r>
      <w:r w:rsidRPr="009F7700">
        <w:rPr>
          <w:rFonts w:ascii="Adobe نسخ Medium" w:hAnsi="Adobe نسخ Medium" w:cs="Adobe نسخ Medium"/>
          <w:sz w:val="28"/>
          <w:szCs w:val="28"/>
        </w:rPr>
        <w:sym w:font="HQPB1" w:char="F0E3"/>
      </w:r>
      <w:r w:rsidRPr="009F7700">
        <w:rPr>
          <w:rFonts w:ascii="Adobe نسخ Medium" w:hAnsi="Adobe نسخ Medium" w:cs="Adobe نسخ Medium"/>
          <w:sz w:val="28"/>
          <w:szCs w:val="28"/>
        </w:rPr>
        <w:sym w:font="HQPB4" w:char="F0F7"/>
      </w:r>
      <w:r w:rsidRPr="009F7700">
        <w:rPr>
          <w:rFonts w:ascii="Adobe نسخ Medium" w:hAnsi="Adobe نسخ Medium" w:cs="Adobe نسخ Medium"/>
          <w:sz w:val="28"/>
          <w:szCs w:val="28"/>
        </w:rPr>
        <w:sym w:font="HQPB1" w:char="F08E"/>
      </w:r>
      <w:r w:rsidRPr="009F7700">
        <w:rPr>
          <w:rFonts w:ascii="Adobe نسخ Medium" w:hAnsi="Adobe نسخ Medium" w:cs="Adobe نسخ Medium"/>
          <w:sz w:val="28"/>
          <w:szCs w:val="28"/>
        </w:rPr>
        <w:sym w:font="HQPB4" w:char="F0C5"/>
      </w:r>
      <w:r w:rsidRPr="009F7700">
        <w:rPr>
          <w:rFonts w:ascii="Adobe نسخ Medium" w:hAnsi="Adobe نسخ Medium" w:cs="Adobe نسخ Medium"/>
          <w:sz w:val="28"/>
          <w:szCs w:val="28"/>
        </w:rPr>
        <w:sym w:font="HQPB1" w:char="F0B0"/>
      </w:r>
      <w:r w:rsidRPr="009F7700">
        <w:rPr>
          <w:rFonts w:ascii="Adobe نسخ Medium" w:hAnsi="Adobe نسخ Medium" w:cs="Adobe نسخ Medium"/>
          <w:sz w:val="28"/>
          <w:szCs w:val="28"/>
          <w:rtl/>
        </w:rPr>
        <w:t xml:space="preserve"> </w:t>
      </w:r>
      <w:r w:rsidRPr="009F7700">
        <w:rPr>
          <w:rFonts w:ascii="Adobe نسخ Medium" w:hAnsi="Adobe نسخ Medium" w:cs="Adobe نسخ Medium"/>
          <w:sz w:val="28"/>
          <w:szCs w:val="28"/>
        </w:rPr>
        <w:sym w:font="HQPB1" w:char="F025"/>
      </w:r>
      <w:r w:rsidRPr="009F7700">
        <w:rPr>
          <w:rFonts w:ascii="Adobe نسخ Medium" w:hAnsi="Adobe نسخ Medium" w:cs="Adobe نسخ Medium"/>
          <w:sz w:val="28"/>
          <w:szCs w:val="28"/>
        </w:rPr>
        <w:sym w:font="HQPB4" w:char="F05B"/>
      </w:r>
      <w:r w:rsidRPr="009F7700">
        <w:rPr>
          <w:rFonts w:ascii="Adobe نسخ Medium" w:hAnsi="Adobe نسخ Medium" w:cs="Adobe نسخ Medium"/>
          <w:sz w:val="28"/>
          <w:szCs w:val="28"/>
        </w:rPr>
        <w:sym w:font="HQPB1" w:char="F060"/>
      </w:r>
      <w:r w:rsidRPr="009F7700">
        <w:rPr>
          <w:rFonts w:ascii="Adobe نسخ Medium" w:hAnsi="Adobe نسخ Medium" w:cs="Adobe نسخ Medium"/>
          <w:sz w:val="28"/>
          <w:szCs w:val="28"/>
        </w:rPr>
        <w:sym w:font="HQPB1" w:char="F024"/>
      </w:r>
      <w:r w:rsidRPr="009F7700">
        <w:rPr>
          <w:rFonts w:ascii="Adobe نسخ Medium" w:hAnsi="Adobe نسخ Medium" w:cs="Adobe نسخ Medium"/>
          <w:sz w:val="28"/>
          <w:szCs w:val="28"/>
        </w:rPr>
        <w:sym w:font="HQPB5" w:char="F079"/>
      </w:r>
      <w:r w:rsidRPr="009F7700">
        <w:rPr>
          <w:rFonts w:ascii="Adobe نسخ Medium" w:hAnsi="Adobe نسخ Medium" w:cs="Adobe نسخ Medium"/>
          <w:sz w:val="28"/>
          <w:szCs w:val="28"/>
        </w:rPr>
        <w:sym w:font="HQPB2" w:char="F067"/>
      </w:r>
      <w:r w:rsidRPr="009F7700">
        <w:rPr>
          <w:rFonts w:ascii="Adobe نسخ Medium" w:hAnsi="Adobe نسخ Medium" w:cs="Adobe نسخ Medium"/>
          <w:sz w:val="28"/>
          <w:szCs w:val="28"/>
        </w:rPr>
        <w:sym w:font="HQPB4" w:char="F0F7"/>
      </w:r>
      <w:r w:rsidRPr="009F7700">
        <w:rPr>
          <w:rFonts w:ascii="Adobe نسخ Medium" w:hAnsi="Adobe نسخ Medium" w:cs="Adobe نسخ Medium"/>
          <w:sz w:val="28"/>
          <w:szCs w:val="28"/>
        </w:rPr>
        <w:sym w:font="HQPB2" w:char="F059"/>
      </w:r>
      <w:r w:rsidRPr="009F7700">
        <w:rPr>
          <w:rFonts w:ascii="Adobe نسخ Medium" w:hAnsi="Adobe نسخ Medium" w:cs="Adobe نسخ Medium"/>
          <w:sz w:val="28"/>
          <w:szCs w:val="28"/>
        </w:rPr>
        <w:sym w:font="HQPB4" w:char="F0CF"/>
      </w:r>
      <w:r w:rsidRPr="009F7700">
        <w:rPr>
          <w:rFonts w:ascii="Adobe نسخ Medium" w:hAnsi="Adobe نسخ Medium" w:cs="Adobe نسخ Medium"/>
          <w:sz w:val="28"/>
          <w:szCs w:val="28"/>
        </w:rPr>
        <w:sym w:font="HQPB2" w:char="F042"/>
      </w:r>
      <w:r w:rsidRPr="009F7700">
        <w:rPr>
          <w:rFonts w:ascii="Adobe نسخ Medium" w:hAnsi="Adobe نسخ Medium" w:cs="Adobe نسخ Medium"/>
          <w:sz w:val="28"/>
          <w:szCs w:val="28"/>
        </w:rPr>
        <w:sym w:font="HQPB5" w:char="F075"/>
      </w:r>
      <w:r w:rsidRPr="009F7700">
        <w:rPr>
          <w:rFonts w:ascii="Adobe نسخ Medium" w:hAnsi="Adobe نسخ Medium" w:cs="Adobe نسخ Medium"/>
          <w:sz w:val="28"/>
          <w:szCs w:val="28"/>
        </w:rPr>
        <w:sym w:font="HQPB2" w:char="F072"/>
      </w:r>
      <w:r w:rsidRPr="00910CE3">
        <w:rPr>
          <w:rFonts w:ascii="(normal text)" w:hAnsi="(normal text)"/>
          <w:rtl/>
        </w:rPr>
        <w:t xml:space="preserve"> </w:t>
      </w:r>
      <w:r w:rsidRPr="00910CE3">
        <w:rPr>
          <w:sz w:val="28"/>
          <w:szCs w:val="28"/>
        </w:rPr>
        <w:sym w:font="HQPB4" w:char="F034"/>
      </w:r>
      <w:r w:rsidRPr="00910CE3">
        <w:rPr>
          <w:rFonts w:ascii="(normal text)" w:hAnsi="(normal text)"/>
          <w:rtl/>
        </w:rPr>
        <w:t xml:space="preserve"> </w:t>
      </w:r>
      <w:r w:rsidRPr="00910CE3">
        <w:rPr>
          <w:rFonts w:ascii="(normal text)" w:hAnsi="(normal text)" w:hint="cs"/>
          <w:rtl/>
        </w:rPr>
        <w:t>( ق.س: المائدة / 5: 48 )</w:t>
      </w:r>
    </w:p>
    <w:p w:rsidR="00343B61" w:rsidRPr="00910CE3"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 untuk tiap-tiap umat diantara kamu, Kami berikan aturan dan jalan yang terang”</w:t>
      </w:r>
      <w:r w:rsidRPr="00910CE3">
        <w:rPr>
          <w:rStyle w:val="FootnoteReference"/>
          <w:rFonts w:asciiTheme="majorBidi" w:hAnsiTheme="majorBidi" w:cstheme="majorBidi"/>
          <w:i/>
          <w:iCs/>
          <w:sz w:val="24"/>
          <w:szCs w:val="24"/>
        </w:rPr>
        <w:footnoteReference w:id="159"/>
      </w:r>
      <w:r w:rsidRPr="00910CE3">
        <w:rPr>
          <w:rFonts w:asciiTheme="majorBidi" w:hAnsiTheme="majorBidi" w:cstheme="majorBidi"/>
          <w:i/>
          <w:iCs/>
          <w:sz w:val="24"/>
          <w:szCs w:val="24"/>
        </w:rPr>
        <w:t xml:space="preserve"> </w:t>
      </w:r>
      <w:r w:rsidRPr="00910CE3">
        <w:rPr>
          <w:rFonts w:ascii="(normal text)" w:hAnsi="(normal text)"/>
          <w:sz w:val="24"/>
          <w:szCs w:val="24"/>
        </w:rPr>
        <w:t xml:space="preserve">(  QS. </w:t>
      </w:r>
      <w:r w:rsidRPr="00027374">
        <w:rPr>
          <w:rFonts w:asciiTheme="majorBidi" w:hAnsiTheme="majorBidi" w:cstheme="majorBidi"/>
          <w:sz w:val="24"/>
          <w:szCs w:val="24"/>
        </w:rPr>
        <w:t xml:space="preserve">Al-Mā’idah </w:t>
      </w:r>
      <w:r w:rsidRPr="00910CE3">
        <w:rPr>
          <w:rFonts w:asciiTheme="majorBidi" w:hAnsiTheme="majorBidi" w:cstheme="majorBidi"/>
          <w:sz w:val="24"/>
          <w:szCs w:val="24"/>
        </w:rPr>
        <w:t>[ 5]: 48 )</w:t>
      </w:r>
    </w:p>
    <w:p w:rsidR="00343B61" w:rsidRPr="00910CE3" w:rsidRDefault="00343B61" w:rsidP="00343B61">
      <w:pPr>
        <w:autoSpaceDE w:val="0"/>
        <w:autoSpaceDN w:val="0"/>
        <w:adjustRightInd w:val="0"/>
        <w:spacing w:after="0" w:line="360" w:lineRule="auto"/>
        <w:ind w:left="720"/>
        <w:jc w:val="both"/>
        <w:rPr>
          <w:rFonts w:asciiTheme="majorBidi" w:hAnsiTheme="majorBidi" w:cstheme="majorBidi"/>
          <w:sz w:val="24"/>
          <w:szCs w:val="24"/>
        </w:rPr>
      </w:pP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lastRenderedPageBreak/>
        <w:t xml:space="preserve">Dengan demikian, dapat dipahami bahwa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adalah hukum Islam yang di dalamnya terdapat berbagai aturan bagi manusia. Hukum  atau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itu berkaitan dengan kehidupan ritual maupun sosial. Al-Maududi mengatakan bahwa </w:t>
      </w:r>
      <w:r w:rsidRPr="00910CE3">
        <w:rPr>
          <w:rFonts w:asciiTheme="majorBidi" w:hAnsiTheme="majorBidi" w:cstheme="majorBidi"/>
          <w:i/>
          <w:iCs/>
          <w:sz w:val="24"/>
          <w:szCs w:val="24"/>
        </w:rPr>
        <w:t>syarī</w:t>
      </w:r>
      <w:r>
        <w:rPr>
          <w:rFonts w:asciiTheme="majorBidi" w:hAnsiTheme="majorBidi" w:cstheme="majorBidi"/>
          <w:i/>
          <w:iCs/>
          <w:sz w:val="24"/>
          <w:szCs w:val="24"/>
        </w:rPr>
        <w:t>‘</w:t>
      </w:r>
      <w:r w:rsidRPr="00910CE3">
        <w:rPr>
          <w:rFonts w:asciiTheme="majorBidi" w:hAnsiTheme="majorBidi" w:cstheme="majorBidi"/>
          <w:i/>
          <w:iCs/>
          <w:sz w:val="24"/>
          <w:szCs w:val="24"/>
        </w:rPr>
        <w:t>ah</w:t>
      </w:r>
      <w:r w:rsidRPr="00910CE3">
        <w:rPr>
          <w:rFonts w:asciiTheme="majorBidi" w:hAnsiTheme="majorBidi" w:cstheme="majorBidi"/>
          <w:sz w:val="24"/>
          <w:szCs w:val="24"/>
        </w:rPr>
        <w:t xml:space="preserve"> sebagai ketetapan Allah dan Rasul-Nya yang berisi ketentuan–ketentuan hukum dasar yang bersifat global, kekal, dan universal, yang diberlakukan kepada semua hambanya berkaitan dengan masalah akidah, ibadah dan muamalah.</w:t>
      </w:r>
      <w:r w:rsidRPr="00910CE3">
        <w:rPr>
          <w:rStyle w:val="FootnoteReference"/>
          <w:rFonts w:asciiTheme="majorBidi" w:hAnsiTheme="majorBidi" w:cstheme="majorBidi"/>
          <w:sz w:val="24"/>
          <w:szCs w:val="24"/>
        </w:rPr>
        <w:footnoteReference w:id="160"/>
      </w:r>
    </w:p>
    <w:p w:rsidR="00343B61" w:rsidRPr="00910CE3" w:rsidRDefault="00343B61" w:rsidP="00343B61">
      <w:pPr>
        <w:spacing w:after="0" w:line="360" w:lineRule="auto"/>
        <w:ind w:firstLine="567"/>
        <w:jc w:val="both"/>
        <w:rPr>
          <w:rFonts w:asciiTheme="majorBidi" w:hAnsiTheme="majorBidi" w:cstheme="majorBidi"/>
          <w:b/>
          <w:bCs/>
          <w:sz w:val="28"/>
          <w:szCs w:val="28"/>
        </w:rPr>
      </w:pPr>
      <w:r w:rsidRPr="00910CE3">
        <w:rPr>
          <w:rFonts w:asciiTheme="majorBidi" w:hAnsiTheme="majorBidi" w:cstheme="majorBidi"/>
          <w:sz w:val="24"/>
          <w:szCs w:val="24"/>
        </w:rPr>
        <w:t xml:space="preserve">Sementara pengertian </w:t>
      </w:r>
      <w:r w:rsidRPr="00910CE3">
        <w:rPr>
          <w:rFonts w:asciiTheme="majorBidi" w:eastAsiaTheme="minorHAnsi" w:hAnsiTheme="majorBidi" w:cstheme="majorBidi"/>
          <w:i/>
          <w:iCs/>
          <w:sz w:val="24"/>
          <w:szCs w:val="24"/>
        </w:rPr>
        <w:t>siyāsah</w:t>
      </w:r>
      <w:r w:rsidRPr="00910CE3">
        <w:rPr>
          <w:rFonts w:asciiTheme="majorBidi" w:hAnsiTheme="majorBidi" w:cstheme="majorBidi"/>
          <w:i/>
          <w:iCs/>
          <w:sz w:val="24"/>
          <w:szCs w:val="24"/>
        </w:rPr>
        <w:t xml:space="preserve"> </w:t>
      </w:r>
      <w:r>
        <w:rPr>
          <w:rFonts w:asciiTheme="majorBidi" w:hAnsiTheme="majorBidi" w:cstheme="majorBidi"/>
          <w:i/>
          <w:iCs/>
          <w:sz w:val="24"/>
          <w:szCs w:val="24"/>
        </w:rPr>
        <w:t>syar‘iyyah</w:t>
      </w:r>
      <w:r w:rsidRPr="00910CE3">
        <w:rPr>
          <w:rFonts w:asciiTheme="majorBidi" w:hAnsiTheme="majorBidi" w:cstheme="majorBidi"/>
          <w:sz w:val="24"/>
          <w:szCs w:val="24"/>
        </w:rPr>
        <w:t xml:space="preserve"> menurut Abdul Wahhab </w:t>
      </w:r>
      <w:r w:rsidRPr="004E334F">
        <w:rPr>
          <w:rFonts w:asciiTheme="majorBidi" w:hAnsiTheme="majorBidi" w:cstheme="majorBidi"/>
          <w:sz w:val="24"/>
          <w:szCs w:val="24"/>
          <w:lang w:val="id-ID"/>
        </w:rPr>
        <w:t>Khal</w:t>
      </w:r>
      <w:r w:rsidRPr="004E334F">
        <w:rPr>
          <w:rFonts w:asciiTheme="majorBidi" w:hAnsiTheme="majorBidi" w:cstheme="majorBidi"/>
          <w:sz w:val="24"/>
          <w:szCs w:val="24"/>
        </w:rPr>
        <w:t>l</w:t>
      </w:r>
      <w:r w:rsidRPr="004E334F">
        <w:rPr>
          <w:rFonts w:asciiTheme="majorBidi" w:hAnsiTheme="majorBidi" w:cstheme="majorBidi"/>
          <w:sz w:val="24"/>
          <w:szCs w:val="24"/>
          <w:lang w:val="id-ID"/>
        </w:rPr>
        <w:t>āf</w:t>
      </w:r>
      <w:r w:rsidRPr="004E334F">
        <w:rPr>
          <w:rFonts w:asciiTheme="majorBidi" w:hAnsiTheme="majorBidi" w:cstheme="majorBidi"/>
          <w:sz w:val="24"/>
          <w:szCs w:val="24"/>
        </w:rPr>
        <w:t xml:space="preserve"> </w:t>
      </w:r>
      <w:r w:rsidRPr="00910CE3">
        <w:rPr>
          <w:rFonts w:asciiTheme="majorBidi" w:hAnsiTheme="majorBidi" w:cstheme="majorBidi"/>
          <w:sz w:val="24"/>
          <w:szCs w:val="24"/>
        </w:rPr>
        <w:t>adalah:</w:t>
      </w:r>
    </w:p>
    <w:p w:rsidR="00343B61" w:rsidRPr="0090399D" w:rsidRDefault="00343B61" w:rsidP="00343B61">
      <w:pPr>
        <w:bidi/>
        <w:spacing w:after="0" w:line="240" w:lineRule="auto"/>
        <w:ind w:firstLine="17"/>
        <w:jc w:val="both"/>
        <w:rPr>
          <w:rFonts w:ascii="Adobe نسخ Medium" w:hAnsi="Adobe نسخ Medium" w:cs="Traditional Arabic"/>
          <w:sz w:val="32"/>
          <w:szCs w:val="32"/>
        </w:rPr>
      </w:pPr>
      <w:r w:rsidRPr="0090399D">
        <w:rPr>
          <w:rFonts w:ascii="Adobe نسخ Medium" w:hAnsi="Adobe نسخ Medium" w:cs="Traditional Arabic"/>
          <w:sz w:val="32"/>
          <w:szCs w:val="32"/>
          <w:rtl/>
        </w:rPr>
        <w:t>فالسياسة الشرعية : "هي تدبير الشئون العامة للدولة الإسلامية بما يكفل تحقيق المصالح ودفع المضار مما لا يتعدى حدود الشريعة وأصولها الكلية وإن لم يتفق أقوال الأئمة المجتهدين "</w:t>
      </w:r>
      <w:r w:rsidRPr="0090399D">
        <w:rPr>
          <w:rStyle w:val="FootnoteReference"/>
          <w:rFonts w:ascii="Adobe نسخ Medium" w:hAnsi="Adobe نسخ Medium" w:cs="Traditional Arabic"/>
          <w:sz w:val="32"/>
          <w:szCs w:val="32"/>
          <w:rtl/>
        </w:rPr>
        <w:footnoteReference w:id="161"/>
      </w:r>
    </w:p>
    <w:p w:rsidR="00343B61" w:rsidRPr="00910CE3" w:rsidRDefault="00343B61" w:rsidP="00343B61">
      <w:pPr>
        <w:spacing w:line="240" w:lineRule="auto"/>
        <w:ind w:left="63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Pengelolaan masalah umum bagi negara bernuansa Islami yang menjamin terealisasinya kemaslahatan dan terhindar dari kemudaratan dengan tidak melanggar ketentuan syari’at dan dasar-dasar syari’at yang umum meskipun tidak sesuai dengan pendapat-pendapat para imam mujtahid</w:t>
      </w:r>
      <w:r w:rsidRPr="00910CE3">
        <w:rPr>
          <w:rFonts w:asciiTheme="majorBidi" w:hAnsiTheme="majorBidi" w:cstheme="majorBidi"/>
          <w:sz w:val="24"/>
          <w:szCs w:val="24"/>
        </w:rPr>
        <w:t>”.</w:t>
      </w:r>
    </w:p>
    <w:p w:rsidR="00343B61" w:rsidRPr="00910CE3" w:rsidRDefault="00343B61" w:rsidP="00343B61">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Yang di</w:t>
      </w:r>
      <w:r w:rsidRPr="00910CE3">
        <w:rPr>
          <w:rFonts w:asciiTheme="majorBidi" w:hAnsiTheme="majorBidi" w:cstheme="majorBidi"/>
          <w:sz w:val="24"/>
          <w:szCs w:val="24"/>
        </w:rPr>
        <w:t>maksud dengan masalah umum bagi negara, menurut Khallaf, adalah setiap urusan yang memerlukan pengaturan baik mengenai perundang-undangan negara, kebijakan dalam harta benda dan keuangan, penetapan hukum dan peradilan kebijaksanaan pelaksanaannya maupun mengenai urusan dalam dan luar negeri.</w:t>
      </w:r>
      <w:r w:rsidRPr="00910CE3">
        <w:rPr>
          <w:rStyle w:val="FootnoteReference"/>
          <w:rFonts w:asciiTheme="majorBidi" w:hAnsiTheme="majorBidi" w:cstheme="majorBidi"/>
          <w:sz w:val="24"/>
          <w:szCs w:val="24"/>
        </w:rPr>
        <w:footnoteReference w:id="162"/>
      </w:r>
      <w:r w:rsidRPr="00910CE3">
        <w:rPr>
          <w:rFonts w:asciiTheme="majorBidi" w:hAnsiTheme="majorBidi" w:cstheme="majorBidi"/>
          <w:sz w:val="24"/>
          <w:szCs w:val="24"/>
        </w:rPr>
        <w:t xml:space="preserve">  </w:t>
      </w:r>
    </w:p>
    <w:p w:rsidR="00343B61" w:rsidRPr="00910CE3" w:rsidRDefault="00343B61" w:rsidP="00343B61">
      <w:pPr>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Menurut Ibnu Qayyim, istilah </w:t>
      </w:r>
      <w:r w:rsidRPr="00910CE3">
        <w:rPr>
          <w:rFonts w:ascii="Times New Roman" w:hAnsi="Times New Roman" w:cs="Times New Roman"/>
          <w:i/>
          <w:iCs/>
          <w:sz w:val="24"/>
          <w:szCs w:val="24"/>
        </w:rPr>
        <w:t>al-siyāsah  al-</w:t>
      </w:r>
      <w:r w:rsidRPr="00B43027">
        <w:rPr>
          <w:rFonts w:asciiTheme="majorBidi" w:hAnsiTheme="majorBidi" w:cstheme="majorBidi"/>
          <w:i/>
          <w:iCs/>
          <w:sz w:val="24"/>
          <w:szCs w:val="24"/>
        </w:rPr>
        <w:t xml:space="preserve"> </w:t>
      </w:r>
      <w:r>
        <w:rPr>
          <w:rFonts w:asciiTheme="majorBidi" w:hAnsiTheme="majorBidi" w:cstheme="majorBidi"/>
          <w:i/>
          <w:iCs/>
          <w:sz w:val="24"/>
          <w:szCs w:val="24"/>
        </w:rPr>
        <w:t>syar‘iyyah</w:t>
      </w:r>
      <w:r w:rsidRPr="00910CE3">
        <w:rPr>
          <w:rFonts w:asciiTheme="majorBidi" w:hAnsiTheme="majorBidi" w:cstheme="majorBidi"/>
          <w:sz w:val="24"/>
          <w:szCs w:val="24"/>
        </w:rPr>
        <w:t xml:space="preserve"> </w:t>
      </w:r>
      <w:r w:rsidRPr="00910CE3">
        <w:rPr>
          <w:rFonts w:ascii="Times New Roman" w:hAnsi="Times New Roman" w:cs="Times New Roman"/>
          <w:i/>
          <w:iCs/>
          <w:sz w:val="24"/>
          <w:szCs w:val="24"/>
        </w:rPr>
        <w:t>h</w:t>
      </w:r>
      <w:r w:rsidRPr="00910CE3">
        <w:rPr>
          <w:rFonts w:ascii="Times New Roman" w:hAnsi="Times New Roman" w:cs="Times New Roman"/>
          <w:sz w:val="24"/>
          <w:szCs w:val="24"/>
        </w:rPr>
        <w:t xml:space="preserve"> adalah :</w:t>
      </w:r>
    </w:p>
    <w:p w:rsidR="00343B61" w:rsidRPr="004A5478" w:rsidRDefault="00343B61" w:rsidP="00343B61">
      <w:pPr>
        <w:bidi/>
        <w:spacing w:after="0" w:line="240" w:lineRule="auto"/>
        <w:ind w:firstLine="17"/>
        <w:jc w:val="both"/>
        <w:rPr>
          <w:rFonts w:ascii="Adobe نسخ Medium" w:hAnsi="Adobe نسخ Medium" w:cs="Adobe نسخ Medium"/>
          <w:sz w:val="32"/>
          <w:szCs w:val="32"/>
          <w:rtl/>
        </w:rPr>
      </w:pPr>
      <w:r w:rsidRPr="0090399D">
        <w:rPr>
          <w:rFonts w:ascii="Adobe نسخ Medium" w:hAnsi="Adobe نسخ Medium" w:cs="Traditional Arabic"/>
          <w:sz w:val="32"/>
          <w:szCs w:val="32"/>
          <w:rtl/>
        </w:rPr>
        <w:t>" السياسة الشرعية  ماكان فعلا يكون معه الناس أقرب إلى الصلاح وأبعد عن الفساد ، وإن لم يضعه الرسول صلى الله عليه وسلم  ولانزل به وحي</w:t>
      </w:r>
      <w:r w:rsidRPr="004A5478">
        <w:rPr>
          <w:rFonts w:ascii="Adobe نسخ Medium" w:hAnsi="Adobe نسخ Medium" w:cs="Adobe نسخ Medium"/>
          <w:sz w:val="32"/>
          <w:szCs w:val="32"/>
          <w:rtl/>
        </w:rPr>
        <w:t xml:space="preserve"> "</w:t>
      </w:r>
      <w:r w:rsidRPr="004A5478">
        <w:rPr>
          <w:rStyle w:val="FootnoteReference"/>
          <w:rFonts w:ascii="Adobe نسخ Medium" w:hAnsi="Adobe نسخ Medium" w:cs="Adobe نسخ Medium"/>
          <w:sz w:val="32"/>
          <w:szCs w:val="32"/>
          <w:rtl/>
        </w:rPr>
        <w:footnoteReference w:id="163"/>
      </w:r>
    </w:p>
    <w:p w:rsidR="00343B61" w:rsidRPr="00910CE3" w:rsidRDefault="00343B61" w:rsidP="00343B61">
      <w:pPr>
        <w:spacing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lastRenderedPageBreak/>
        <w:t>Artinya: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i/>
          <w:iCs/>
          <w:sz w:val="24"/>
          <w:szCs w:val="24"/>
        </w:rPr>
        <w:t xml:space="preserve"> adalah suatu perbuatan yang membawa manusia dekat kepada kemaslahatan dan terhindar dari kerusakan walaupun Rasul tidak menetapkannya dan Allah tidak mewahyukannya</w:t>
      </w:r>
      <w:r w:rsidRPr="00910CE3">
        <w:rPr>
          <w:rFonts w:asciiTheme="majorBidi" w:hAnsiTheme="majorBidi" w:cstheme="majorBidi"/>
          <w:sz w:val="24"/>
          <w:szCs w:val="24"/>
        </w:rPr>
        <w:t>”.</w:t>
      </w:r>
    </w:p>
    <w:p w:rsidR="00343B61" w:rsidRPr="00910CE3" w:rsidRDefault="00343B61" w:rsidP="00343B61">
      <w:pPr>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Masih menurut Ibn Qayyim, </w:t>
      </w:r>
      <w:r w:rsidRPr="00910CE3">
        <w:rPr>
          <w:rFonts w:asciiTheme="majorBidi" w:hAnsiTheme="majorBidi" w:cstheme="majorBidi"/>
          <w:sz w:val="24"/>
          <w:szCs w:val="24"/>
        </w:rPr>
        <w:t xml:space="preserve">bahwa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sz w:val="24"/>
          <w:szCs w:val="24"/>
        </w:rPr>
        <w:t xml:space="preserve"> adalah </w:t>
      </w:r>
      <w:r w:rsidRPr="00910CE3">
        <w:rPr>
          <w:rFonts w:asciiTheme="majorBidi" w:hAnsiTheme="majorBidi" w:cstheme="majorBidi"/>
          <w:i/>
          <w:iCs/>
          <w:sz w:val="24"/>
          <w:szCs w:val="24"/>
        </w:rPr>
        <w:t xml:space="preserve">siyāsah </w:t>
      </w:r>
      <w:r w:rsidRPr="00910CE3">
        <w:rPr>
          <w:rFonts w:asciiTheme="majorBidi" w:hAnsiTheme="majorBidi" w:cstheme="majorBidi"/>
          <w:sz w:val="24"/>
          <w:szCs w:val="24"/>
        </w:rPr>
        <w:t xml:space="preserve"> yang mengacu kepada </w:t>
      </w:r>
      <w:r w:rsidRPr="00910CE3">
        <w:rPr>
          <w:rFonts w:asciiTheme="majorBidi" w:hAnsiTheme="majorBidi" w:cstheme="majorBidi"/>
          <w:i/>
          <w:iCs/>
          <w:sz w:val="24"/>
          <w:szCs w:val="24"/>
        </w:rPr>
        <w:t>syara</w:t>
      </w:r>
      <w:r>
        <w:rPr>
          <w:rFonts w:asciiTheme="majorBidi" w:hAnsiTheme="majorBidi" w:cstheme="majorBidi"/>
          <w:i/>
          <w:iCs/>
          <w:sz w:val="24"/>
          <w:szCs w:val="24"/>
        </w:rPr>
        <w:t>‘</w:t>
      </w:r>
      <w:r w:rsidRPr="00910CE3">
        <w:rPr>
          <w:rFonts w:asciiTheme="majorBidi" w:hAnsiTheme="majorBidi" w:cstheme="majorBidi"/>
          <w:i/>
          <w:iCs/>
          <w:sz w:val="24"/>
          <w:szCs w:val="24"/>
        </w:rPr>
        <w:t>,</w:t>
      </w:r>
      <w:r w:rsidRPr="00910CE3">
        <w:rPr>
          <w:rFonts w:asciiTheme="majorBidi" w:hAnsiTheme="majorBidi" w:cstheme="majorBidi"/>
          <w:sz w:val="24"/>
          <w:szCs w:val="24"/>
        </w:rPr>
        <w:t xml:space="preserve"> oleh sebab itu tidak dianggap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sz w:val="24"/>
          <w:szCs w:val="24"/>
        </w:rPr>
        <w:t xml:space="preserve"> apabila tidak sejalan dengan </w:t>
      </w:r>
      <w:r w:rsidRPr="00910CE3">
        <w:rPr>
          <w:rFonts w:asciiTheme="majorBidi" w:hAnsiTheme="majorBidi" w:cstheme="majorBidi"/>
          <w:i/>
          <w:iCs/>
          <w:sz w:val="24"/>
          <w:szCs w:val="24"/>
        </w:rPr>
        <w:t>syara</w:t>
      </w:r>
      <w:r>
        <w:rPr>
          <w:rFonts w:asciiTheme="majorBidi" w:hAnsiTheme="majorBidi" w:cstheme="majorBidi"/>
          <w:i/>
          <w:iCs/>
          <w:sz w:val="24"/>
          <w:szCs w:val="24"/>
        </w:rPr>
        <w:t>‘</w:t>
      </w:r>
      <w:r w:rsidRPr="00910CE3">
        <w:rPr>
          <w:rFonts w:asciiTheme="majorBidi" w:hAnsiTheme="majorBidi" w:cstheme="majorBidi"/>
          <w:sz w:val="24"/>
          <w:szCs w:val="24"/>
        </w:rPr>
        <w:t xml:space="preserve">. </w:t>
      </w:r>
      <w:r w:rsidRPr="00910CE3">
        <w:rPr>
          <w:rStyle w:val="FootnoteReference"/>
          <w:rFonts w:asciiTheme="majorBidi" w:hAnsiTheme="majorBidi" w:cstheme="majorBidi"/>
          <w:sz w:val="24"/>
          <w:szCs w:val="24"/>
        </w:rPr>
        <w:footnoteReference w:id="164"/>
      </w:r>
      <w:r w:rsidRPr="00910CE3">
        <w:rPr>
          <w:rFonts w:ascii="Times New Roman" w:hAnsi="Times New Roman" w:cs="Times New Roman"/>
          <w:sz w:val="24"/>
          <w:szCs w:val="24"/>
        </w:rPr>
        <w:t xml:space="preserve"> </w:t>
      </w: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Sementara</w:t>
      </w:r>
      <w:r w:rsidRPr="00910CE3">
        <w:rPr>
          <w:rFonts w:asciiTheme="majorBidi" w:hAnsiTheme="majorBidi" w:cstheme="majorBidi"/>
          <w:sz w:val="24"/>
          <w:szCs w:val="24"/>
          <w:lang w:val="id-ID"/>
        </w:rPr>
        <w:t xml:space="preserve"> Abdurrahman Taj</w:t>
      </w:r>
      <w:r w:rsidRPr="00910CE3">
        <w:rPr>
          <w:rFonts w:asciiTheme="majorBidi" w:hAnsiTheme="majorBidi" w:cstheme="majorBidi"/>
          <w:sz w:val="24"/>
          <w:szCs w:val="24"/>
        </w:rPr>
        <w:t xml:space="preserve"> </w:t>
      </w:r>
      <w:r w:rsidRPr="00910CE3">
        <w:rPr>
          <w:rFonts w:asciiTheme="majorBidi" w:hAnsiTheme="majorBidi" w:cstheme="majorBidi"/>
          <w:sz w:val="24"/>
          <w:szCs w:val="24"/>
          <w:lang w:val="id-ID"/>
        </w:rPr>
        <w:t xml:space="preserve">merumuskan </w:t>
      </w:r>
      <w:r w:rsidRPr="00910CE3">
        <w:rPr>
          <w:rFonts w:asciiTheme="majorBidi" w:hAnsiTheme="majorBidi" w:cstheme="majorBidi"/>
          <w:i/>
          <w:iCs/>
          <w:sz w:val="24"/>
          <w:szCs w:val="24"/>
          <w:lang w:val="id-ID"/>
        </w:rPr>
        <w:t xml:space="preserve">siyāsah  </w:t>
      </w:r>
      <w:r>
        <w:rPr>
          <w:rFonts w:asciiTheme="majorBidi" w:hAnsiTheme="majorBidi" w:cstheme="majorBidi"/>
          <w:i/>
          <w:iCs/>
          <w:sz w:val="24"/>
          <w:szCs w:val="24"/>
          <w:lang w:val="id-ID"/>
        </w:rPr>
        <w:t>syar‘iyyah</w:t>
      </w:r>
      <w:r w:rsidRPr="00910CE3">
        <w:rPr>
          <w:rFonts w:asciiTheme="majorBidi" w:hAnsiTheme="majorBidi" w:cstheme="majorBidi"/>
          <w:i/>
          <w:iCs/>
          <w:sz w:val="24"/>
          <w:szCs w:val="24"/>
          <w:lang w:val="id-ID"/>
        </w:rPr>
        <w:t xml:space="preserve"> </w:t>
      </w:r>
      <w:r w:rsidRPr="00910CE3">
        <w:rPr>
          <w:rFonts w:asciiTheme="majorBidi" w:hAnsiTheme="majorBidi" w:cstheme="majorBidi"/>
          <w:sz w:val="24"/>
          <w:szCs w:val="24"/>
        </w:rPr>
        <w:t>dengan:</w:t>
      </w:r>
    </w:p>
    <w:p w:rsidR="00343B61" w:rsidRPr="009051CC" w:rsidRDefault="00343B61" w:rsidP="00343B61">
      <w:pPr>
        <w:bidi/>
        <w:spacing w:after="0" w:line="240" w:lineRule="auto"/>
        <w:ind w:firstLine="17"/>
        <w:jc w:val="both"/>
        <w:rPr>
          <w:rFonts w:ascii="Adobe نسخ Medium" w:hAnsi="Adobe نسخ Medium" w:cs="Adobe نسخ Medium"/>
          <w:sz w:val="32"/>
          <w:szCs w:val="32"/>
          <w:rtl/>
        </w:rPr>
      </w:pPr>
      <w:r w:rsidRPr="009051CC">
        <w:rPr>
          <w:rFonts w:ascii="Adobe نسخ Medium" w:hAnsi="Adobe نسخ Medium" w:cs="Traditional Arabic"/>
          <w:sz w:val="32"/>
          <w:szCs w:val="32"/>
          <w:rtl/>
        </w:rPr>
        <w:t>"السياسة الشرعية  فهي أحكام التي تنظم بها مرافق الدولة وتدبير بها شئون الأمة، مع مراعاة أن تكون متفقة مع روح الشريعة نازلة على أصولها الكليه محققة أضراضها الإجتماعية ولولم يدل عليها  شيء من النصوص التفصيليلة الجزئية الواردة في الكتاب أو السنة</w:t>
      </w:r>
      <w:r w:rsidRPr="00DC3986">
        <w:rPr>
          <w:rFonts w:ascii="Adobe نسخ Medium" w:hAnsi="Adobe نسخ Medium" w:cs="Adobe نسخ Medium"/>
          <w:sz w:val="32"/>
          <w:szCs w:val="32"/>
          <w:rtl/>
        </w:rPr>
        <w:t>"</w:t>
      </w:r>
      <w:r w:rsidRPr="00DC3986">
        <w:rPr>
          <w:rStyle w:val="FootnoteReference"/>
          <w:rFonts w:ascii="Adobe نسخ Medium" w:hAnsi="Adobe نسخ Medium" w:cs="Adobe نسخ Medium"/>
          <w:sz w:val="32"/>
          <w:szCs w:val="32"/>
          <w:rtl/>
        </w:rPr>
        <w:footnoteReference w:id="165"/>
      </w:r>
    </w:p>
    <w:p w:rsidR="00343B61" w:rsidRDefault="00343B61" w:rsidP="00343B61">
      <w:pPr>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lang w:val="id-ID"/>
        </w:rPr>
        <w:t>Siyāsah</w:t>
      </w:r>
      <w:r w:rsidRPr="00910CE3">
        <w:rPr>
          <w:rFonts w:asciiTheme="majorBidi" w:hAnsiTheme="majorBidi" w:cstheme="majorBidi"/>
          <w:i/>
          <w:iCs/>
          <w:sz w:val="24"/>
          <w:szCs w:val="24"/>
        </w:rPr>
        <w:t xml:space="preserve"> </w:t>
      </w:r>
      <w:r>
        <w:rPr>
          <w:rFonts w:asciiTheme="majorBidi" w:hAnsiTheme="majorBidi" w:cstheme="majorBidi"/>
          <w:i/>
          <w:iCs/>
          <w:sz w:val="24"/>
          <w:szCs w:val="24"/>
        </w:rPr>
        <w:t>Syar‘iyyah</w:t>
      </w:r>
      <w:r w:rsidRPr="00910CE3">
        <w:rPr>
          <w:rFonts w:asciiTheme="majorBidi" w:hAnsiTheme="majorBidi" w:cstheme="majorBidi"/>
          <w:i/>
          <w:iCs/>
          <w:sz w:val="24"/>
          <w:szCs w:val="24"/>
        </w:rPr>
        <w:t xml:space="preserve"> adalah </w:t>
      </w:r>
      <w:r w:rsidRPr="00910CE3">
        <w:rPr>
          <w:rFonts w:asciiTheme="majorBidi" w:hAnsiTheme="majorBidi" w:cstheme="majorBidi"/>
          <w:i/>
          <w:iCs/>
          <w:sz w:val="24"/>
          <w:szCs w:val="24"/>
          <w:lang w:val="id-ID"/>
        </w:rPr>
        <w:t>hukum-hukum yang mengatur kepentingan negara, mengorganisasi permasalahan umat sesuai dengan jiwa (semangat) syariat dan dasar-dasarnya yang universal demi terciptanya tujuan-tujuan kemasyarakatan, walaupun pengaturan tersebut tidak ditegaskan baik oleh Al-Qur’ān maupun al-sunah</w:t>
      </w:r>
      <w:r w:rsidRPr="00910CE3">
        <w:rPr>
          <w:rFonts w:asciiTheme="majorBidi" w:hAnsiTheme="majorBidi" w:cstheme="majorBidi"/>
          <w:sz w:val="24"/>
          <w:szCs w:val="24"/>
        </w:rPr>
        <w:t>”</w:t>
      </w:r>
    </w:p>
    <w:p w:rsidR="00343B61" w:rsidRPr="00910CE3" w:rsidRDefault="00343B61" w:rsidP="00343B61">
      <w:pPr>
        <w:spacing w:after="0" w:line="240" w:lineRule="auto"/>
        <w:ind w:left="720"/>
        <w:jc w:val="both"/>
        <w:rPr>
          <w:rFonts w:asciiTheme="majorBidi" w:hAnsiTheme="majorBidi" w:cstheme="majorBidi"/>
          <w:sz w:val="24"/>
          <w:szCs w:val="24"/>
          <w:rtl/>
        </w:rPr>
      </w:pP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Ibn Nujaim al-Hanafi (w.970 H) menerangkan </w:t>
      </w:r>
      <w:r>
        <w:rPr>
          <w:rFonts w:asciiTheme="majorBidi" w:hAnsiTheme="majorBidi" w:cstheme="majorBidi"/>
          <w:sz w:val="24"/>
          <w:szCs w:val="24"/>
        </w:rPr>
        <w:t>ma</w:t>
      </w:r>
      <w:r w:rsidRPr="00910CE3">
        <w:rPr>
          <w:rFonts w:asciiTheme="majorBidi" w:hAnsiTheme="majorBidi" w:cstheme="majorBidi"/>
          <w:sz w:val="24"/>
          <w:szCs w:val="24"/>
        </w:rPr>
        <w:t xml:space="preserve">kna </w:t>
      </w:r>
      <w:r>
        <w:rPr>
          <w:rFonts w:asciiTheme="majorBidi" w:hAnsiTheme="majorBidi" w:cstheme="majorBidi"/>
          <w:i/>
          <w:iCs/>
          <w:sz w:val="24"/>
          <w:szCs w:val="24"/>
        </w:rPr>
        <w:t>siyāsah</w:t>
      </w:r>
      <w:r w:rsidRPr="00910CE3">
        <w:rPr>
          <w:rFonts w:asciiTheme="majorBidi" w:hAnsiTheme="majorBidi" w:cstheme="majorBidi"/>
          <w:i/>
          <w:iCs/>
          <w:sz w:val="24"/>
          <w:szCs w:val="24"/>
        </w:rPr>
        <w:t xml:space="preserve"> </w:t>
      </w:r>
      <w:r>
        <w:rPr>
          <w:rFonts w:asciiTheme="majorBidi" w:hAnsiTheme="majorBidi" w:cstheme="majorBidi"/>
          <w:i/>
          <w:iCs/>
          <w:sz w:val="24"/>
          <w:szCs w:val="24"/>
        </w:rPr>
        <w:t>syar‘iyyah</w:t>
      </w:r>
      <w:r w:rsidRPr="00910CE3">
        <w:rPr>
          <w:rFonts w:asciiTheme="majorBidi" w:hAnsiTheme="majorBidi" w:cstheme="majorBidi"/>
          <w:sz w:val="24"/>
          <w:szCs w:val="24"/>
        </w:rPr>
        <w:t xml:space="preserve"> dengan:</w:t>
      </w:r>
    </w:p>
    <w:p w:rsidR="00343B61" w:rsidRPr="00910CE3" w:rsidRDefault="00343B61" w:rsidP="00343B61">
      <w:pPr>
        <w:autoSpaceDE w:val="0"/>
        <w:autoSpaceDN w:val="0"/>
        <w:bidi/>
        <w:adjustRightInd w:val="0"/>
        <w:spacing w:after="0" w:line="240" w:lineRule="auto"/>
        <w:rPr>
          <w:rFonts w:ascii="Arial" w:eastAsiaTheme="minorHAnsi" w:hAnsi="Arial"/>
          <w:b/>
          <w:bCs/>
          <w:sz w:val="28"/>
          <w:szCs w:val="28"/>
        </w:rPr>
      </w:pPr>
      <w:r w:rsidRPr="009051CC">
        <w:rPr>
          <w:rFonts w:ascii="Adobe نسخ Medium" w:eastAsiaTheme="minorHAnsi" w:hAnsi="Adobe نسخ Medium" w:cs="Traditional Arabic"/>
          <w:sz w:val="32"/>
          <w:szCs w:val="32"/>
          <w:rtl/>
        </w:rPr>
        <w:t>الْقَانُونُ الْمَوْضُوعُ لِرِعَايَةِ الْآدَابِ وَالْمَصَالِحِ وَانْتِظَامِ الْأَمْوَالِ</w:t>
      </w:r>
      <w:r w:rsidRPr="00910CE3">
        <w:rPr>
          <w:rStyle w:val="FootnoteReference"/>
          <w:rFonts w:ascii="Arial" w:eastAsiaTheme="minorHAnsi" w:hAnsi="Arial"/>
          <w:sz w:val="28"/>
          <w:szCs w:val="28"/>
          <w:rtl/>
        </w:rPr>
        <w:footnoteReference w:id="166"/>
      </w:r>
      <w:r w:rsidRPr="00910CE3">
        <w:rPr>
          <w:rFonts w:ascii="Arial" w:eastAsiaTheme="minorHAnsi" w:hAnsi="Arial" w:hint="cs"/>
          <w:b/>
          <w:bCs/>
          <w:sz w:val="28"/>
          <w:szCs w:val="28"/>
          <w:rtl/>
        </w:rPr>
        <w:t xml:space="preserve"> </w:t>
      </w:r>
    </w:p>
    <w:p w:rsidR="00343B61" w:rsidRDefault="00343B61" w:rsidP="00343B61">
      <w:pPr>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Undang-undang yang dibuat untuk memelihara etika dan kemaslahatan rakyat serta pengaturan kekayaan negara</w:t>
      </w:r>
      <w:r w:rsidRPr="00910CE3">
        <w:rPr>
          <w:rFonts w:asciiTheme="majorBidi" w:hAnsiTheme="majorBidi" w:cstheme="majorBidi"/>
          <w:sz w:val="24"/>
          <w:szCs w:val="24"/>
        </w:rPr>
        <w:t>.”</w:t>
      </w:r>
    </w:p>
    <w:p w:rsidR="00343B61" w:rsidRPr="00910CE3" w:rsidRDefault="00343B61" w:rsidP="00343B61">
      <w:pPr>
        <w:spacing w:after="0" w:line="240" w:lineRule="auto"/>
        <w:ind w:left="720"/>
        <w:jc w:val="both"/>
        <w:rPr>
          <w:rFonts w:asciiTheme="majorBidi" w:hAnsiTheme="majorBidi" w:cstheme="majorBidi"/>
          <w:sz w:val="24"/>
          <w:szCs w:val="24"/>
        </w:rPr>
      </w:pP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Dalam istilah al-Athwah,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adalah tindakan yang diambil oleh </w:t>
      </w:r>
      <w:r w:rsidRPr="00910CE3">
        <w:rPr>
          <w:rFonts w:ascii="Times New Roman" w:hAnsi="Times New Roman" w:cs="Times New Roman"/>
          <w:i/>
          <w:iCs/>
          <w:sz w:val="24"/>
          <w:szCs w:val="24"/>
        </w:rPr>
        <w:t>ulil amr</w:t>
      </w:r>
      <w:r w:rsidRPr="00910CE3">
        <w:rPr>
          <w:rFonts w:asciiTheme="majorBidi" w:hAnsiTheme="majorBidi" w:cstheme="majorBidi"/>
          <w:sz w:val="24"/>
          <w:szCs w:val="24"/>
        </w:rPr>
        <w:t xml:space="preserve"> berdasarkan </w:t>
      </w:r>
      <w:r w:rsidRPr="00E81B39">
        <w:rPr>
          <w:rFonts w:asciiTheme="majorBidi" w:hAnsiTheme="majorBidi" w:cstheme="majorBidi"/>
          <w:i/>
          <w:iCs/>
          <w:sz w:val="24"/>
          <w:szCs w:val="24"/>
        </w:rPr>
        <w:t>masla</w:t>
      </w:r>
      <w:r w:rsidRPr="00E81B39">
        <w:rPr>
          <w:rFonts w:asciiTheme="majorBidi" w:hAnsiTheme="majorBidi" w:cstheme="majorBidi"/>
          <w:i/>
          <w:iCs/>
          <w:sz w:val="24"/>
          <w:szCs w:val="24"/>
          <w:u w:val="single"/>
        </w:rPr>
        <w:t>h</w:t>
      </w:r>
      <w:r w:rsidRPr="00E81B39">
        <w:rPr>
          <w:rFonts w:asciiTheme="majorBidi" w:hAnsiTheme="majorBidi" w:cstheme="majorBidi"/>
          <w:i/>
          <w:iCs/>
          <w:sz w:val="24"/>
          <w:szCs w:val="24"/>
        </w:rPr>
        <w:t>ah</w:t>
      </w:r>
      <w:r w:rsidRPr="00910CE3">
        <w:rPr>
          <w:rFonts w:asciiTheme="majorBidi" w:hAnsiTheme="majorBidi" w:cstheme="majorBidi"/>
          <w:sz w:val="24"/>
          <w:szCs w:val="24"/>
        </w:rPr>
        <w:t xml:space="preserve"> dalam perkara-perkara yang tidak dijelaskan oleh nash secara langsung dan dalam perkara-perkara yang senantiasa berubah-ubah mengikut perubahan waktu, tempat dan keperluan manusia.</w:t>
      </w:r>
      <w:r w:rsidRPr="00910CE3">
        <w:rPr>
          <w:rStyle w:val="FootnoteReference"/>
          <w:rFonts w:asciiTheme="majorBidi" w:hAnsiTheme="majorBidi" w:cstheme="majorBidi"/>
          <w:sz w:val="24"/>
          <w:szCs w:val="24"/>
        </w:rPr>
        <w:footnoteReference w:id="167"/>
      </w:r>
      <w:r w:rsidRPr="00910CE3">
        <w:rPr>
          <w:rFonts w:asciiTheme="majorBidi" w:hAnsiTheme="majorBidi" w:cstheme="majorBidi"/>
          <w:sz w:val="24"/>
          <w:szCs w:val="24"/>
        </w:rPr>
        <w:t xml:space="preserve">  Menurut Ibn </w:t>
      </w:r>
      <w:r w:rsidRPr="001E32DF">
        <w:rPr>
          <w:rFonts w:asciiTheme="majorBidi" w:hAnsiTheme="majorBidi" w:cstheme="majorBidi"/>
          <w:sz w:val="24"/>
          <w:szCs w:val="24"/>
        </w:rPr>
        <w:t>Abid</w:t>
      </w:r>
      <w:r w:rsidRPr="001E32DF">
        <w:rPr>
          <w:rFonts w:asciiTheme="majorBidi" w:hAnsiTheme="majorBidi" w:cstheme="majorBidi"/>
        </w:rPr>
        <w:t>ī</w:t>
      </w:r>
      <w:r w:rsidRPr="001E32DF">
        <w:rPr>
          <w:rFonts w:asciiTheme="majorBidi" w:hAnsiTheme="majorBidi" w:cstheme="majorBidi"/>
          <w:sz w:val="24"/>
          <w:szCs w:val="24"/>
        </w:rPr>
        <w:t>n</w:t>
      </w:r>
      <w:r w:rsidRPr="00910CE3">
        <w:rPr>
          <w:rFonts w:asciiTheme="majorBidi" w:hAnsiTheme="majorBidi" w:cstheme="majorBidi"/>
          <w:sz w:val="24"/>
          <w:szCs w:val="24"/>
        </w:rPr>
        <w:t xml:space="preserve"> (W.1252H)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sebagai satu mekanisme yang mempunyai visi dan misi untuk memperbaiki keadaan rakyat dengan cara membimbing </w:t>
      </w:r>
      <w:r w:rsidRPr="00910CE3">
        <w:rPr>
          <w:rFonts w:asciiTheme="majorBidi" w:hAnsiTheme="majorBidi" w:cstheme="majorBidi"/>
          <w:sz w:val="24"/>
          <w:szCs w:val="24"/>
        </w:rPr>
        <w:lastRenderedPageBreak/>
        <w:t xml:space="preserve">mereka ke jalan yang selamat di dunia dan akhirat. Dalam hal ini, Ibn Abidin lebih menitikberatkan pengertian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w:t>
      </w:r>
      <w:r w:rsidRPr="00910CE3">
        <w:rPr>
          <w:rFonts w:asciiTheme="majorBidi" w:hAnsiTheme="majorBidi" w:cstheme="majorBidi"/>
          <w:i/>
          <w:iCs/>
          <w:sz w:val="24"/>
          <w:szCs w:val="24"/>
        </w:rPr>
        <w:t xml:space="preserve">iyyah </w:t>
      </w:r>
      <w:r w:rsidRPr="00910CE3">
        <w:rPr>
          <w:rFonts w:asciiTheme="majorBidi" w:hAnsiTheme="majorBidi" w:cstheme="majorBidi"/>
          <w:sz w:val="24"/>
          <w:szCs w:val="24"/>
        </w:rPr>
        <w:t>kepada implementasi hukum syariah. Peraturan dan undang-undang yang diciptakan bertujuan untuk menciptakan masyarakat yang harmoni dan stabil.</w:t>
      </w:r>
      <w:r w:rsidRPr="00910CE3">
        <w:rPr>
          <w:rStyle w:val="FootnoteReference"/>
          <w:rFonts w:asciiTheme="majorBidi" w:hAnsiTheme="majorBidi" w:cstheme="majorBidi"/>
          <w:sz w:val="24"/>
          <w:szCs w:val="24"/>
        </w:rPr>
        <w:footnoteReference w:id="168"/>
      </w:r>
      <w:r>
        <w:rPr>
          <w:rFonts w:asciiTheme="majorBidi" w:hAnsiTheme="majorBidi" w:cstheme="majorBidi"/>
          <w:sz w:val="24"/>
          <w:szCs w:val="24"/>
        </w:rPr>
        <w:t xml:space="preserve"> J. </w:t>
      </w:r>
      <w:r w:rsidRPr="00910CE3">
        <w:rPr>
          <w:rFonts w:asciiTheme="majorBidi" w:hAnsiTheme="majorBidi" w:cstheme="majorBidi"/>
          <w:sz w:val="24"/>
          <w:szCs w:val="24"/>
        </w:rPr>
        <w:t xml:space="preserve">Suyuthi Pulungan menyebutkan </w:t>
      </w:r>
      <w:r w:rsidRPr="00DB49FE">
        <w:rPr>
          <w:rFonts w:asciiTheme="majorBidi" w:hAnsiTheme="majorBidi" w:cstheme="majorBidi"/>
          <w:i/>
          <w:iCs/>
          <w:sz w:val="24"/>
          <w:szCs w:val="24"/>
        </w:rPr>
        <w:t>siyāsah syar‘iyyah</w:t>
      </w:r>
      <w:r w:rsidRPr="00910CE3">
        <w:rPr>
          <w:rFonts w:asciiTheme="majorBidi" w:hAnsiTheme="majorBidi" w:cstheme="majorBidi"/>
          <w:sz w:val="24"/>
          <w:szCs w:val="24"/>
        </w:rPr>
        <w:t xml:space="preserve"> dalam arti populernya adalah ilmu tatanegara dalam ilmu agama Islam yang dikategorikan ke dalam pranata sosial Islam.</w:t>
      </w:r>
      <w:r w:rsidRPr="00910CE3">
        <w:rPr>
          <w:rStyle w:val="FootnoteReference"/>
          <w:rFonts w:asciiTheme="majorBidi" w:hAnsiTheme="majorBidi" w:cstheme="majorBidi"/>
          <w:sz w:val="24"/>
          <w:szCs w:val="24"/>
        </w:rPr>
        <w:footnoteReference w:id="169"/>
      </w:r>
      <w:r w:rsidRPr="00910CE3">
        <w:rPr>
          <w:rFonts w:asciiTheme="majorBidi" w:hAnsiTheme="majorBidi" w:cstheme="majorBidi"/>
          <w:sz w:val="24"/>
          <w:szCs w:val="24"/>
        </w:rPr>
        <w:t xml:space="preserve">  </w:t>
      </w:r>
    </w:p>
    <w:p w:rsidR="00343B61" w:rsidRPr="00910CE3" w:rsidRDefault="00343B61" w:rsidP="00343B61">
      <w:pPr>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Abd Jalil Borham berpendapat bahwa </w:t>
      </w:r>
      <w:r w:rsidRPr="00910CE3">
        <w:rPr>
          <w:rFonts w:ascii="Times New Roman" w:hAnsi="Times New Roman" w:cs="Times New Roman"/>
          <w:i/>
          <w:iCs/>
          <w:sz w:val="24"/>
          <w:szCs w:val="24"/>
        </w:rPr>
        <w:t xml:space="preserve">siyāsah </w:t>
      </w:r>
      <w:r>
        <w:rPr>
          <w:rFonts w:ascii="Times New Roman" w:hAnsi="Times New Roman" w:cs="Times New Roman"/>
          <w:i/>
          <w:iCs/>
          <w:sz w:val="24"/>
          <w:szCs w:val="24"/>
        </w:rPr>
        <w:t>syar‘iyyah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merupakan suatu displin yang semakin perlu difahami secara akademik. Ini kerana ia menyediakan suatu rangka berfikir yang mempertimbangkan antara kehendak wahyu dan keperluan realita makhluk. Keseimbangan ini akan menjadikan hukum yang diputuskan itu mempunyai nilai-nilai yang dinamik.</w:t>
      </w:r>
      <w:r w:rsidRPr="00910CE3">
        <w:rPr>
          <w:rStyle w:val="FootnoteReference"/>
          <w:rFonts w:ascii="Times New Roman" w:hAnsi="Times New Roman" w:cs="Times New Roman"/>
          <w:sz w:val="24"/>
          <w:szCs w:val="24"/>
        </w:rPr>
        <w:footnoteReference w:id="170"/>
      </w:r>
    </w:p>
    <w:p w:rsidR="00343B61" w:rsidRPr="00000B4C" w:rsidRDefault="00343B61" w:rsidP="00343B61">
      <w:pPr>
        <w:pStyle w:val="ListParagraph"/>
        <w:spacing w:line="360" w:lineRule="auto"/>
        <w:ind w:left="0" w:firstLine="720"/>
        <w:jc w:val="both"/>
      </w:pPr>
      <w:r w:rsidRPr="00910CE3">
        <w:rPr>
          <w:rFonts w:asciiTheme="majorBidi" w:hAnsiTheme="majorBidi" w:cstheme="majorBidi"/>
          <w:sz w:val="24"/>
          <w:szCs w:val="24"/>
        </w:rPr>
        <w:t>Definisi-definisi tersebut menegaskan bahwa wewenang membuat segala bentuk hukum, peraturan dan kebijaksanaan yang berkaitan dengan pengaturan kepentingan negara dan urusan umat guna mewujudkan kemaslahatan umum terletak pada pemegang kekuasaan (pemerintah/</w:t>
      </w:r>
      <w:r w:rsidRPr="00910CE3">
        <w:rPr>
          <w:rFonts w:asciiTheme="majorBidi" w:hAnsiTheme="majorBidi" w:cstheme="majorBidi"/>
          <w:i/>
          <w:iCs/>
          <w:sz w:val="24"/>
          <w:szCs w:val="24"/>
        </w:rPr>
        <w:t>ulil amr</w:t>
      </w:r>
      <w:r w:rsidRPr="00910CE3">
        <w:rPr>
          <w:rFonts w:asciiTheme="majorBidi" w:hAnsiTheme="majorBidi" w:cstheme="majorBidi"/>
          <w:sz w:val="24"/>
          <w:szCs w:val="24"/>
        </w:rPr>
        <w:t>). Karena itu segala bentuk hukum, peraturan dan kebijaksanaan</w:t>
      </w:r>
      <w:r>
        <w:rPr>
          <w:rFonts w:asciiTheme="majorBidi" w:hAnsiTheme="majorBidi" w:cstheme="majorBidi"/>
          <w:sz w:val="24"/>
          <w:szCs w:val="24"/>
        </w:rPr>
        <w:t xml:space="preserve"> </w:t>
      </w:r>
      <w:r w:rsidRPr="00000B4C">
        <w:rPr>
          <w:rFonts w:asciiTheme="majorBidi" w:hAnsiTheme="majorBidi" w:cstheme="majorBidi"/>
          <w:i/>
          <w:iCs/>
          <w:sz w:val="24"/>
          <w:szCs w:val="24"/>
        </w:rPr>
        <w:t>siyāsah</w:t>
      </w:r>
      <w:r>
        <w:rPr>
          <w:rFonts w:asciiTheme="majorBidi" w:hAnsiTheme="majorBidi" w:cstheme="majorBidi"/>
          <w:sz w:val="24"/>
          <w:szCs w:val="24"/>
        </w:rPr>
        <w:t xml:space="preserve"> yang </w:t>
      </w:r>
      <w:r w:rsidRPr="00910CE3">
        <w:rPr>
          <w:rFonts w:asciiTheme="majorBidi" w:hAnsiTheme="majorBidi" w:cstheme="majorBidi"/>
          <w:sz w:val="24"/>
          <w:szCs w:val="24"/>
        </w:rPr>
        <w:t>dibuat oleh      pemegang kekuasaan bersifat mengikat. Ia wajib ditaati oleh masyarakat selama semua produk itu secara substansial tidak bertentangan dengan jiwa syari’at</w:t>
      </w:r>
      <w:r w:rsidRPr="00910CE3">
        <w:rPr>
          <w:rStyle w:val="FootnoteReference"/>
          <w:rFonts w:asciiTheme="majorBidi" w:hAnsiTheme="majorBidi" w:cstheme="majorBidi"/>
          <w:sz w:val="24"/>
          <w:szCs w:val="24"/>
        </w:rPr>
        <w:footnoteReference w:id="171"/>
      </w:r>
      <w:r w:rsidRPr="00910CE3">
        <w:rPr>
          <w:rFonts w:asciiTheme="majorBidi" w:hAnsiTheme="majorBidi" w:cstheme="majorBidi"/>
          <w:sz w:val="24"/>
          <w:szCs w:val="24"/>
        </w:rPr>
        <w:t>. Ka</w:t>
      </w:r>
      <w:r>
        <w:rPr>
          <w:rFonts w:asciiTheme="majorBidi" w:hAnsiTheme="majorBidi" w:cstheme="majorBidi"/>
          <w:sz w:val="24"/>
          <w:szCs w:val="24"/>
        </w:rPr>
        <w:t>rena ulil amr</w:t>
      </w:r>
      <w:r w:rsidRPr="00910CE3">
        <w:rPr>
          <w:rFonts w:asciiTheme="majorBidi" w:hAnsiTheme="majorBidi" w:cstheme="majorBidi"/>
          <w:sz w:val="24"/>
          <w:szCs w:val="24"/>
        </w:rPr>
        <w:t xml:space="preserve"> telah diberi hak oleh Allah untuk dipatuhi. </w:t>
      </w:r>
      <w:r w:rsidRPr="00000B4C">
        <w:rPr>
          <w:rFonts w:asciiTheme="majorBidi" w:hAnsiTheme="majorBidi" w:cstheme="majorBidi"/>
          <w:sz w:val="24"/>
          <w:szCs w:val="24"/>
        </w:rPr>
        <w:t>(QS. Al-Nisā’/4:59).</w:t>
      </w:r>
      <w:r w:rsidRPr="00000B4C">
        <w:rPr>
          <w:rStyle w:val="FootnoteReference"/>
          <w:rFonts w:asciiTheme="majorBidi" w:hAnsiTheme="majorBidi" w:cstheme="majorBidi"/>
          <w:sz w:val="24"/>
          <w:szCs w:val="24"/>
        </w:rPr>
        <w:footnoteReference w:id="172"/>
      </w:r>
      <w:r w:rsidRPr="00910CE3">
        <w:rPr>
          <w:rFonts w:asciiTheme="majorBidi" w:hAnsiTheme="majorBidi" w:cstheme="majorBidi"/>
          <w:sz w:val="24"/>
          <w:szCs w:val="24"/>
        </w:rPr>
        <w:t xml:space="preserve"> </w:t>
      </w:r>
    </w:p>
    <w:p w:rsidR="00343B61" w:rsidRPr="00910CE3" w:rsidRDefault="00343B61" w:rsidP="00343B61">
      <w:pPr>
        <w:spacing w:line="360" w:lineRule="auto"/>
        <w:ind w:firstLine="720"/>
        <w:jc w:val="both"/>
        <w:rPr>
          <w:rFonts w:ascii="Times New Roman" w:hAnsi="Times New Roman" w:cs="Times New Roman"/>
          <w:sz w:val="24"/>
          <w:szCs w:val="24"/>
        </w:rPr>
      </w:pPr>
      <w:r w:rsidRPr="00910CE3">
        <w:rPr>
          <w:rFonts w:asciiTheme="majorBidi" w:hAnsiTheme="majorBidi" w:cstheme="majorBidi"/>
          <w:sz w:val="24"/>
          <w:szCs w:val="24"/>
        </w:rPr>
        <w:t>Dari uraian tentang pengertian istilah siyāsah  dari segi etimologis dan terminologis serta definisi-definisi yang dikemukakan oleh para ulama, dapat disimpulkan sebagai berikut</w:t>
      </w:r>
      <w:r>
        <w:rPr>
          <w:rFonts w:asciiTheme="majorBidi" w:hAnsiTheme="majorBidi" w:cstheme="majorBidi"/>
          <w:sz w:val="24"/>
          <w:szCs w:val="24"/>
        </w:rPr>
        <w:t xml:space="preserve">; </w:t>
      </w:r>
      <w:r w:rsidRPr="00910CE3">
        <w:rPr>
          <w:rFonts w:ascii="Times New Roman" w:hAnsi="Times New Roman" w:cs="Times New Roman"/>
          <w:sz w:val="24"/>
          <w:szCs w:val="24"/>
          <w:lang w:val="id-ID"/>
        </w:rPr>
        <w:t>1</w:t>
      </w:r>
      <w:r w:rsidRPr="00910CE3">
        <w:rPr>
          <w:rFonts w:ascii="Times New Roman" w:hAnsi="Times New Roman" w:cs="Times New Roman"/>
          <w:sz w:val="24"/>
          <w:szCs w:val="24"/>
        </w:rPr>
        <w:t xml:space="preserve">) </w:t>
      </w:r>
      <w:r>
        <w:rPr>
          <w:rFonts w:ascii="Times New Roman" w:hAnsi="Times New Roman" w:cs="Times New Roman"/>
          <w:i/>
          <w:iCs/>
          <w:sz w:val="24"/>
          <w:szCs w:val="24"/>
          <w:lang w:val="id-ID"/>
        </w:rPr>
        <w:t>Siyāsah</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syar‘iyyah</w:t>
      </w:r>
      <w:r>
        <w:rPr>
          <w:rFonts w:ascii="Times New Roman" w:hAnsi="Times New Roman" w:cs="Times New Roman"/>
          <w:i/>
          <w:iCs/>
          <w:sz w:val="24"/>
          <w:szCs w:val="24"/>
        </w:rPr>
        <w:t xml:space="preserve"> </w:t>
      </w:r>
      <w:r w:rsidRPr="00910CE3">
        <w:rPr>
          <w:rFonts w:ascii="Times New Roman" w:hAnsi="Times New Roman" w:cs="Times New Roman"/>
          <w:sz w:val="24"/>
          <w:szCs w:val="24"/>
          <w:lang w:val="id-ID"/>
        </w:rPr>
        <w:t xml:space="preserve">berhubungan dengan </w:t>
      </w:r>
      <w:r w:rsidRPr="00910CE3">
        <w:rPr>
          <w:rFonts w:ascii="Times New Roman" w:hAnsi="Times New Roman" w:cs="Times New Roman"/>
          <w:sz w:val="24"/>
          <w:szCs w:val="24"/>
          <w:lang w:val="id-ID"/>
        </w:rPr>
        <w:lastRenderedPageBreak/>
        <w:t xml:space="preserve">pengurusan dan pengaturan kehidupan </w:t>
      </w:r>
      <w:r w:rsidRPr="00910CE3">
        <w:rPr>
          <w:rFonts w:ascii="Times New Roman" w:hAnsi="Times New Roman" w:cs="Times New Roman"/>
          <w:sz w:val="24"/>
          <w:szCs w:val="24"/>
        </w:rPr>
        <w:t>orang banyak</w:t>
      </w:r>
      <w:r w:rsidRPr="00910CE3">
        <w:rPr>
          <w:rFonts w:ascii="Times New Roman" w:hAnsi="Times New Roman" w:cs="Times New Roman"/>
          <w:sz w:val="24"/>
          <w:szCs w:val="24"/>
          <w:lang w:val="id-ID"/>
        </w:rPr>
        <w:t>.</w:t>
      </w:r>
      <w:r w:rsidRPr="00910CE3">
        <w:rPr>
          <w:rFonts w:ascii="Times New Roman" w:hAnsi="Times New Roman" w:cs="Times New Roman"/>
          <w:sz w:val="24"/>
          <w:szCs w:val="24"/>
        </w:rPr>
        <w:t xml:space="preserve"> </w:t>
      </w:r>
      <w:r w:rsidRPr="00910CE3">
        <w:rPr>
          <w:rFonts w:ascii="Times New Roman" w:hAnsi="Times New Roman" w:cs="Times New Roman"/>
          <w:sz w:val="24"/>
          <w:szCs w:val="24"/>
          <w:lang w:val="id-ID"/>
        </w:rPr>
        <w:t>2</w:t>
      </w:r>
      <w:r w:rsidRPr="00910CE3">
        <w:rPr>
          <w:rFonts w:ascii="Times New Roman" w:hAnsi="Times New Roman" w:cs="Times New Roman"/>
          <w:sz w:val="24"/>
          <w:szCs w:val="24"/>
        </w:rPr>
        <w:t xml:space="preserve">) </w:t>
      </w:r>
      <w:r w:rsidRPr="00910CE3">
        <w:rPr>
          <w:rFonts w:ascii="Times New Roman" w:hAnsi="Times New Roman" w:cs="Times New Roman"/>
          <w:sz w:val="24"/>
          <w:szCs w:val="24"/>
          <w:lang w:val="id-ID"/>
        </w:rPr>
        <w:t xml:space="preserve">Bahwa pengurusan dan pengaturan ini dilakukan oleh </w:t>
      </w:r>
      <w:r w:rsidRPr="00910CE3">
        <w:rPr>
          <w:rFonts w:ascii="Times New Roman" w:hAnsi="Times New Roman" w:cs="Times New Roman"/>
          <w:sz w:val="24"/>
          <w:szCs w:val="24"/>
        </w:rPr>
        <w:t>Pemerintah</w:t>
      </w:r>
      <w:r w:rsidRPr="00910CE3">
        <w:rPr>
          <w:rFonts w:ascii="Times New Roman" w:hAnsi="Times New Roman" w:cs="Times New Roman"/>
          <w:i/>
          <w:sz w:val="24"/>
          <w:szCs w:val="24"/>
          <w:lang w:val="id-ID"/>
        </w:rPr>
        <w:t xml:space="preserve"> (ulil amr)</w:t>
      </w:r>
      <w:r w:rsidRPr="00910CE3">
        <w:rPr>
          <w:rFonts w:ascii="Times New Roman" w:hAnsi="Times New Roman" w:cs="Times New Roman"/>
          <w:sz w:val="24"/>
          <w:szCs w:val="24"/>
          <w:lang w:val="id-ID"/>
        </w:rPr>
        <w:t xml:space="preserve"> </w:t>
      </w:r>
      <w:r w:rsidRPr="00910CE3">
        <w:rPr>
          <w:rFonts w:ascii="Times New Roman" w:hAnsi="Times New Roman" w:cs="Times New Roman"/>
          <w:sz w:val="24"/>
          <w:szCs w:val="24"/>
        </w:rPr>
        <w:t>3)</w:t>
      </w:r>
      <w:r w:rsidRPr="00910CE3">
        <w:rPr>
          <w:rFonts w:ascii="Times New Roman" w:hAnsi="Times New Roman" w:cs="Times New Roman"/>
          <w:sz w:val="14"/>
          <w:szCs w:val="14"/>
          <w:lang w:val="id-ID"/>
        </w:rPr>
        <w:t>   </w:t>
      </w:r>
      <w:r w:rsidRPr="00910CE3">
        <w:rPr>
          <w:rFonts w:ascii="Times New Roman" w:hAnsi="Times New Roman" w:cs="Times New Roman"/>
          <w:sz w:val="24"/>
          <w:szCs w:val="24"/>
          <w:lang w:val="id-ID"/>
        </w:rPr>
        <w:t>Pengaturan tersebut tidak boleh bertentangan dengan syariat Islam.</w:t>
      </w:r>
      <w:r w:rsidRPr="00910CE3">
        <w:rPr>
          <w:rFonts w:ascii="Times New Roman" w:hAnsi="Times New Roman" w:cs="Times New Roman"/>
          <w:sz w:val="24"/>
          <w:szCs w:val="24"/>
        </w:rPr>
        <w:t xml:space="preserve"> 4) </w:t>
      </w:r>
      <w:r w:rsidRPr="00910CE3">
        <w:rPr>
          <w:rFonts w:asciiTheme="majorBidi" w:hAnsiTheme="majorBidi" w:cstheme="majorBidi"/>
          <w:sz w:val="24"/>
          <w:szCs w:val="24"/>
        </w:rPr>
        <w:t>hukum dan undang-undang yang dibuat mestilah bertujuan untuk menciptakan masyarakat yang harmoni dan stabil.</w:t>
      </w:r>
      <w:r w:rsidRPr="00910CE3">
        <w:rPr>
          <w:rFonts w:ascii="Times New Roman" w:hAnsi="Times New Roman" w:cs="Times New Roman"/>
          <w:sz w:val="24"/>
          <w:szCs w:val="24"/>
        </w:rPr>
        <w:t xml:space="preserve"> 5) </w:t>
      </w:r>
      <w:r w:rsidRPr="00910CE3">
        <w:rPr>
          <w:rFonts w:ascii="Times New Roman" w:hAnsi="Times New Roman" w:cs="Times New Roman"/>
          <w:sz w:val="24"/>
          <w:szCs w:val="24"/>
          <w:lang w:val="id-ID"/>
        </w:rPr>
        <w:t>Tujuan pengaturan tersebut adalah</w:t>
      </w:r>
      <w:r w:rsidRPr="00910CE3">
        <w:rPr>
          <w:rFonts w:ascii="Times New Roman" w:hAnsi="Times New Roman" w:cs="Times New Roman"/>
          <w:sz w:val="24"/>
          <w:szCs w:val="24"/>
        </w:rPr>
        <w:t xml:space="preserve"> bertujuan </w:t>
      </w:r>
      <w:r w:rsidRPr="00910CE3">
        <w:rPr>
          <w:rFonts w:ascii="Times New Roman" w:hAnsi="Times New Roman" w:cs="Times New Roman"/>
          <w:sz w:val="24"/>
          <w:szCs w:val="24"/>
          <w:lang w:val="id-ID"/>
        </w:rPr>
        <w:t xml:space="preserve"> untuk menciptakan kemaslahatan</w:t>
      </w:r>
      <w:r w:rsidRPr="00910CE3">
        <w:rPr>
          <w:rFonts w:ascii="Times New Roman" w:hAnsi="Times New Roman" w:cs="Times New Roman"/>
          <w:sz w:val="24"/>
          <w:szCs w:val="24"/>
        </w:rPr>
        <w:t xml:space="preserve"> </w:t>
      </w:r>
      <w:r w:rsidRPr="00910CE3">
        <w:rPr>
          <w:rFonts w:ascii="Times New Roman" w:hAnsi="Times New Roman" w:cs="Times New Roman"/>
          <w:sz w:val="24"/>
          <w:szCs w:val="24"/>
          <w:lang w:val="id-ID"/>
        </w:rPr>
        <w:t>dan menolak kemudharatan.</w:t>
      </w: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Pada prinsipnya definisi-definisi tersebut mengandung persamaan. </w:t>
      </w:r>
      <w:r w:rsidRPr="0097464D">
        <w:rPr>
          <w:rFonts w:asciiTheme="majorBidi" w:hAnsiTheme="majorBidi" w:cstheme="majorBidi"/>
          <w:i/>
          <w:iCs/>
          <w:sz w:val="24"/>
          <w:szCs w:val="24"/>
        </w:rPr>
        <w:t>Siyāsah</w:t>
      </w:r>
      <w:r w:rsidRPr="00910CE3">
        <w:rPr>
          <w:rFonts w:asciiTheme="majorBidi" w:hAnsiTheme="majorBidi" w:cstheme="majorBidi"/>
          <w:sz w:val="24"/>
          <w:szCs w:val="24"/>
        </w:rPr>
        <w:t xml:space="preserve">  berkaitan dengan mengatur dan mengurus manusia dalam hidup bermasyarakat dan bernegara dengan membimbing mereka kepada kemaslahatan dan menjauhkannya dari kemudaratan. Disamping persamaan ada pula perbedaan terutama pada penekanan orientasi. Sekelompok ada yang bersifat umum, yaitu </w:t>
      </w:r>
      <w:r w:rsidRPr="0097464D">
        <w:rPr>
          <w:rFonts w:asciiTheme="majorBidi" w:hAnsiTheme="majorBidi" w:cstheme="majorBidi"/>
          <w:i/>
          <w:iCs/>
          <w:sz w:val="24"/>
          <w:szCs w:val="24"/>
        </w:rPr>
        <w:t>siyāsah</w:t>
      </w:r>
      <w:r w:rsidRPr="00910CE3">
        <w:rPr>
          <w:rFonts w:asciiTheme="majorBidi" w:hAnsiTheme="majorBidi" w:cstheme="majorBidi"/>
          <w:sz w:val="24"/>
          <w:szCs w:val="24"/>
        </w:rPr>
        <w:t xml:space="preserve">  yang tidak memperhatikan nilai-nilai syariat agama sekalipun tujuannya untuk mewujudkan kemaslahatan. Corak </w:t>
      </w:r>
      <w:r w:rsidRPr="0097464D">
        <w:rPr>
          <w:rFonts w:asciiTheme="majorBidi" w:hAnsiTheme="majorBidi" w:cstheme="majorBidi"/>
          <w:i/>
          <w:iCs/>
          <w:sz w:val="24"/>
          <w:szCs w:val="24"/>
        </w:rPr>
        <w:t xml:space="preserve">siyāsah </w:t>
      </w:r>
      <w:r w:rsidRPr="00910CE3">
        <w:rPr>
          <w:rFonts w:asciiTheme="majorBidi" w:hAnsiTheme="majorBidi" w:cstheme="majorBidi"/>
          <w:sz w:val="24"/>
          <w:szCs w:val="24"/>
        </w:rPr>
        <w:t xml:space="preserve"> ini dikenal dengan istilah </w:t>
      </w:r>
      <w:r w:rsidRPr="0097464D">
        <w:rPr>
          <w:rFonts w:asciiTheme="majorBidi" w:hAnsiTheme="majorBidi" w:cstheme="majorBidi"/>
          <w:i/>
          <w:iCs/>
          <w:sz w:val="24"/>
          <w:szCs w:val="24"/>
        </w:rPr>
        <w:t>siyāsah</w:t>
      </w:r>
      <w:r w:rsidRPr="00910CE3">
        <w:rPr>
          <w:rFonts w:asciiTheme="majorBidi" w:hAnsiTheme="majorBidi" w:cstheme="majorBidi"/>
          <w:i/>
          <w:iCs/>
          <w:sz w:val="24"/>
          <w:szCs w:val="24"/>
        </w:rPr>
        <w:t xml:space="preserve"> wadh’iyat</w:t>
      </w:r>
      <w:r w:rsidRPr="00910CE3">
        <w:rPr>
          <w:rFonts w:asciiTheme="majorBidi" w:hAnsiTheme="majorBidi" w:cstheme="majorBidi"/>
          <w:sz w:val="24"/>
          <w:szCs w:val="24"/>
        </w:rPr>
        <w:t xml:space="preserve">, yaitu </w:t>
      </w:r>
      <w:r w:rsidRPr="0097464D">
        <w:rPr>
          <w:rFonts w:asciiTheme="majorBidi" w:hAnsiTheme="majorBidi" w:cstheme="majorBidi"/>
          <w:i/>
          <w:iCs/>
          <w:sz w:val="24"/>
          <w:szCs w:val="24"/>
        </w:rPr>
        <w:t>siyāsah</w:t>
      </w:r>
      <w:r w:rsidRPr="00910CE3">
        <w:rPr>
          <w:rFonts w:asciiTheme="majorBidi" w:hAnsiTheme="majorBidi" w:cstheme="majorBidi"/>
          <w:sz w:val="24"/>
          <w:szCs w:val="24"/>
        </w:rPr>
        <w:t xml:space="preserve"> yang berdasarkan kepada pengalaman sejarah dan adat masyarakat serta hasil oleh pemikiran manusia dalam mengatur hidup manusia bermasyarakat dan bern</w:t>
      </w:r>
      <w:r>
        <w:rPr>
          <w:rFonts w:asciiTheme="majorBidi" w:hAnsiTheme="majorBidi" w:cstheme="majorBidi"/>
          <w:sz w:val="24"/>
          <w:szCs w:val="24"/>
        </w:rPr>
        <w:t xml:space="preserve">egara. Namun tidak semua </w:t>
      </w:r>
      <w:r w:rsidRPr="0097464D">
        <w:rPr>
          <w:rFonts w:asciiTheme="majorBidi" w:hAnsiTheme="majorBidi" w:cstheme="majorBidi"/>
          <w:i/>
          <w:iCs/>
          <w:sz w:val="24"/>
          <w:szCs w:val="24"/>
        </w:rPr>
        <w:t>siyāsah wadha’iyat</w:t>
      </w:r>
      <w:r w:rsidRPr="00910CE3">
        <w:rPr>
          <w:rFonts w:asciiTheme="majorBidi" w:hAnsiTheme="majorBidi" w:cstheme="majorBidi"/>
          <w:sz w:val="24"/>
          <w:szCs w:val="24"/>
        </w:rPr>
        <w:t xml:space="preserve"> ditolak selama ia tidak bertentangan dengan prinsip-prinsip ajaran dan ruh Islam.</w:t>
      </w:r>
      <w:r w:rsidRPr="00910CE3">
        <w:rPr>
          <w:rStyle w:val="FootnoteReference"/>
          <w:rFonts w:asciiTheme="majorBidi" w:hAnsiTheme="majorBidi" w:cstheme="majorBidi"/>
          <w:sz w:val="24"/>
          <w:szCs w:val="24"/>
        </w:rPr>
        <w:footnoteReference w:id="173"/>
      </w:r>
      <w:r w:rsidRPr="00910CE3">
        <w:rPr>
          <w:rFonts w:asciiTheme="majorBidi" w:hAnsiTheme="majorBidi" w:cstheme="majorBidi"/>
          <w:sz w:val="24"/>
          <w:szCs w:val="24"/>
        </w:rPr>
        <w:t xml:space="preserve"> </w:t>
      </w:r>
    </w:p>
    <w:p w:rsidR="00343B61" w:rsidRPr="00910CE3" w:rsidRDefault="00343B61" w:rsidP="00343B61">
      <w:pPr>
        <w:spacing w:after="0" w:line="360" w:lineRule="auto"/>
        <w:ind w:firstLine="567"/>
        <w:jc w:val="both"/>
        <w:rPr>
          <w:rFonts w:asciiTheme="majorBidi" w:hAnsiTheme="majorBidi" w:cstheme="majorBidi"/>
          <w:sz w:val="24"/>
          <w:szCs w:val="24"/>
        </w:rPr>
      </w:pPr>
      <w:r w:rsidRPr="00910CE3">
        <w:rPr>
          <w:rFonts w:asciiTheme="majorBidi" w:hAnsiTheme="majorBidi" w:cstheme="majorBidi"/>
          <w:sz w:val="24"/>
          <w:szCs w:val="24"/>
        </w:rPr>
        <w:t xml:space="preserve">Sedangkan kelompok yang lain bersifat khusus, yaitu </w:t>
      </w:r>
      <w:r w:rsidRPr="008A7651">
        <w:rPr>
          <w:rFonts w:asciiTheme="majorBidi" w:hAnsiTheme="majorBidi" w:cstheme="majorBidi"/>
          <w:i/>
          <w:iCs/>
          <w:sz w:val="24"/>
          <w:szCs w:val="24"/>
        </w:rPr>
        <w:t>siyāsah</w:t>
      </w:r>
      <w:r w:rsidRPr="00910CE3">
        <w:rPr>
          <w:rFonts w:asciiTheme="majorBidi" w:hAnsiTheme="majorBidi" w:cstheme="majorBidi"/>
          <w:sz w:val="24"/>
          <w:szCs w:val="24"/>
        </w:rPr>
        <w:t xml:space="preserve">  yang berorientasi kepada nilai-nilai kewahyuan atau syariat. Corak </w:t>
      </w:r>
      <w:r w:rsidRPr="008A7651">
        <w:rPr>
          <w:rFonts w:asciiTheme="majorBidi" w:hAnsiTheme="majorBidi" w:cstheme="majorBidi"/>
          <w:i/>
          <w:iCs/>
          <w:sz w:val="24"/>
          <w:szCs w:val="24"/>
        </w:rPr>
        <w:t>siyāsah</w:t>
      </w:r>
      <w:r w:rsidRPr="00910CE3">
        <w:rPr>
          <w:rFonts w:asciiTheme="majorBidi" w:hAnsiTheme="majorBidi" w:cstheme="majorBidi"/>
          <w:sz w:val="24"/>
          <w:szCs w:val="24"/>
        </w:rPr>
        <w:t xml:space="preserve">  ini dikenal dengan istilah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sz w:val="24"/>
          <w:szCs w:val="24"/>
        </w:rPr>
        <w:t xml:space="preserve"> atau </w:t>
      </w:r>
      <w:r w:rsidRPr="00910CE3">
        <w:rPr>
          <w:rFonts w:asciiTheme="majorBidi" w:hAnsiTheme="majorBidi" w:cstheme="majorBidi"/>
          <w:i/>
          <w:iCs/>
          <w:sz w:val="24"/>
          <w:szCs w:val="24"/>
        </w:rPr>
        <w:t xml:space="preserve">fiqh siyāsah </w:t>
      </w:r>
      <w:r w:rsidRPr="00910CE3">
        <w:rPr>
          <w:rFonts w:asciiTheme="majorBidi" w:hAnsiTheme="majorBidi" w:cstheme="majorBidi"/>
          <w:sz w:val="24"/>
          <w:szCs w:val="24"/>
        </w:rPr>
        <w:t xml:space="preserve"> (dua istilah yang berbeda tapi mengandung pengertian yang sama), yaitu </w:t>
      </w:r>
      <w:r w:rsidRPr="00910CE3">
        <w:rPr>
          <w:rFonts w:asciiTheme="majorBidi" w:hAnsiTheme="majorBidi" w:cstheme="majorBidi"/>
          <w:i/>
          <w:iCs/>
          <w:sz w:val="24"/>
          <w:szCs w:val="24"/>
        </w:rPr>
        <w:t>siyāsah</w:t>
      </w:r>
      <w:r w:rsidRPr="00910CE3">
        <w:rPr>
          <w:rFonts w:asciiTheme="majorBidi" w:hAnsiTheme="majorBidi" w:cstheme="majorBidi"/>
          <w:sz w:val="24"/>
          <w:szCs w:val="24"/>
        </w:rPr>
        <w:t xml:space="preserve"> yang dihasilkan oleh pemikiran manusia yang berlandaskan etika agama dan moral dengan memperhatikan prinsip-prinsip umum syariat dalam mengatur manusia hidup bermasyarakat dan bernegara.</w:t>
      </w:r>
      <w:r w:rsidRPr="00910CE3">
        <w:rPr>
          <w:rStyle w:val="FootnoteReference"/>
          <w:rFonts w:asciiTheme="majorBidi" w:hAnsiTheme="majorBidi" w:cstheme="majorBidi"/>
          <w:sz w:val="24"/>
          <w:szCs w:val="24"/>
        </w:rPr>
        <w:footnoteReference w:id="174"/>
      </w:r>
      <w:r w:rsidRPr="00910CE3">
        <w:rPr>
          <w:rFonts w:asciiTheme="majorBidi" w:hAnsiTheme="majorBidi" w:cstheme="majorBidi"/>
          <w:sz w:val="24"/>
          <w:szCs w:val="24"/>
        </w:rPr>
        <w:t xml:space="preserve"> </w:t>
      </w:r>
    </w:p>
    <w:p w:rsidR="00343B61" w:rsidRPr="008953E3" w:rsidRDefault="00343B61" w:rsidP="00343B61">
      <w:pPr>
        <w:pStyle w:val="ListParagraph"/>
        <w:spacing w:after="0" w:line="360" w:lineRule="auto"/>
        <w:ind w:left="0" w:firstLine="720"/>
        <w:jc w:val="both"/>
        <w:rPr>
          <w:rFonts w:asciiTheme="majorBidi" w:hAnsiTheme="majorBidi" w:cstheme="majorBidi"/>
          <w:sz w:val="24"/>
          <w:szCs w:val="24"/>
        </w:rPr>
      </w:pPr>
      <w:r w:rsidRPr="00910CE3">
        <w:rPr>
          <w:rFonts w:asciiTheme="majorBidi" w:hAnsiTheme="majorBidi" w:cstheme="majorBidi"/>
          <w:sz w:val="24"/>
          <w:szCs w:val="24"/>
        </w:rPr>
        <w:t xml:space="preserve">Perlu di catat bahwa syariat merupakan hukum baku dari Allah ( </w:t>
      </w:r>
      <w:r w:rsidRPr="00382798">
        <w:rPr>
          <w:rFonts w:asciiTheme="majorBidi" w:hAnsiTheme="majorBidi" w:cstheme="majorBidi"/>
          <w:i/>
          <w:iCs/>
          <w:sz w:val="24"/>
          <w:szCs w:val="24"/>
        </w:rPr>
        <w:t>Syāri</w:t>
      </w:r>
      <w:r>
        <w:rPr>
          <w:rFonts w:asciiTheme="majorBidi" w:hAnsiTheme="majorBidi" w:cstheme="majorBidi"/>
          <w:i/>
          <w:iCs/>
          <w:sz w:val="24"/>
          <w:szCs w:val="24"/>
        </w:rPr>
        <w:t>‘</w:t>
      </w:r>
      <w:r w:rsidRPr="00910CE3">
        <w:rPr>
          <w:rFonts w:asciiTheme="majorBidi" w:hAnsiTheme="majorBidi" w:cstheme="majorBidi"/>
          <w:sz w:val="24"/>
          <w:szCs w:val="24"/>
        </w:rPr>
        <w:t xml:space="preserve">) yang bersifat mutlak, universal dan masih global. Untuk menjabarkannya secara </w:t>
      </w:r>
      <w:r w:rsidRPr="00910CE3">
        <w:rPr>
          <w:rFonts w:asciiTheme="majorBidi" w:hAnsiTheme="majorBidi" w:cstheme="majorBidi"/>
          <w:sz w:val="24"/>
          <w:szCs w:val="24"/>
        </w:rPr>
        <w:lastRenderedPageBreak/>
        <w:t>operasional dalam suatu masyarakat dan masa tertentu, para ulama mengerahkan segenap kemapuan mereka melakuka ijtihad, sehingga hukum-hukum syariat tersebut dapat dilaksanakan oleh umat Islam. Salah satu aspek fiqh yang dihasilkan oleh para ulama adalah yang berkaitan dengan masalah politik dan ketatanegaraan. Karena fiqh merupakan hasil ijtihad yang tidak kebal terhadap ruang</w:t>
      </w:r>
      <w:r>
        <w:rPr>
          <w:rFonts w:asciiTheme="majorBidi" w:hAnsiTheme="majorBidi" w:cstheme="majorBidi"/>
          <w:sz w:val="24"/>
          <w:szCs w:val="24"/>
        </w:rPr>
        <w:t xml:space="preserve"> dan waktu, maka keberlakuannya</w:t>
      </w:r>
      <w:r w:rsidRPr="00910CE3">
        <w:rPr>
          <w:rFonts w:asciiTheme="majorBidi" w:hAnsiTheme="majorBidi" w:cstheme="majorBidi"/>
          <w:sz w:val="24"/>
          <w:szCs w:val="24"/>
        </w:rPr>
        <w:t xml:space="preserve">pun sangat tergantung pada kondisi masyarakat setempat dan tidak mengikat mutlak. Diantara pemikiran para ulama tersebut kemudian ada yang dijadikan sebagai acuan oleh pemerintah dalam menjalankan roda pemerintahan. Pemikiran </w:t>
      </w:r>
      <w:r>
        <w:rPr>
          <w:rFonts w:asciiTheme="majorBidi" w:hAnsiTheme="majorBidi" w:cstheme="majorBidi"/>
          <w:sz w:val="24"/>
          <w:szCs w:val="24"/>
        </w:rPr>
        <w:t xml:space="preserve">inilah yang kemudian menjadi </w:t>
      </w:r>
      <w:r w:rsidRPr="001C4C18">
        <w:rPr>
          <w:rFonts w:asciiTheme="majorBidi" w:hAnsiTheme="majorBidi" w:cstheme="majorBidi"/>
          <w:i/>
          <w:iCs/>
          <w:sz w:val="24"/>
          <w:szCs w:val="24"/>
        </w:rPr>
        <w:t>siyasah syar‘iyyah</w:t>
      </w:r>
      <w:r w:rsidRPr="00910CE3">
        <w:rPr>
          <w:rFonts w:asciiTheme="majorBidi" w:hAnsiTheme="majorBidi" w:cstheme="majorBidi"/>
          <w:sz w:val="24"/>
          <w:szCs w:val="24"/>
        </w:rPr>
        <w:t xml:space="preserve">. Artinya </w:t>
      </w:r>
      <w:r w:rsidRPr="0017295F">
        <w:rPr>
          <w:rFonts w:asciiTheme="majorBidi" w:hAnsiTheme="majorBidi" w:cstheme="majorBidi"/>
          <w:i/>
          <w:iCs/>
          <w:sz w:val="24"/>
          <w:szCs w:val="24"/>
        </w:rPr>
        <w:t xml:space="preserve">bahwa siyāsah  </w:t>
      </w:r>
      <w:r w:rsidRPr="001C4C18">
        <w:rPr>
          <w:rFonts w:asciiTheme="majorBidi" w:hAnsiTheme="majorBidi" w:cstheme="majorBidi"/>
          <w:i/>
          <w:iCs/>
          <w:sz w:val="24"/>
          <w:szCs w:val="24"/>
        </w:rPr>
        <w:t>syar‘iyyah</w:t>
      </w:r>
      <w:r w:rsidRPr="00910CE3">
        <w:rPr>
          <w:rFonts w:asciiTheme="majorBidi" w:hAnsiTheme="majorBidi" w:cstheme="majorBidi"/>
          <w:sz w:val="24"/>
          <w:szCs w:val="24"/>
        </w:rPr>
        <w:t xml:space="preserve"> merupakan hasil keputusan politik pemegang pemerintah yang bersifat praktis aplikatif yang bertujuan menciptakan kemaslahan bagi rakyatnya.</w:t>
      </w:r>
      <w:r w:rsidRPr="00910CE3">
        <w:rPr>
          <w:rStyle w:val="FootnoteReference"/>
          <w:rFonts w:asciiTheme="majorBidi" w:hAnsiTheme="majorBidi" w:cstheme="majorBidi"/>
          <w:sz w:val="24"/>
          <w:szCs w:val="24"/>
        </w:rPr>
        <w:footnoteReference w:id="175"/>
      </w:r>
      <w:r w:rsidRPr="00910CE3">
        <w:rPr>
          <w:rFonts w:asciiTheme="majorBidi" w:hAnsiTheme="majorBidi" w:cstheme="majorBidi"/>
          <w:sz w:val="24"/>
          <w:szCs w:val="24"/>
        </w:rPr>
        <w:t xml:space="preserve">   </w:t>
      </w:r>
    </w:p>
    <w:p w:rsidR="00343B61" w:rsidRPr="00910CE3" w:rsidRDefault="00343B61" w:rsidP="002C0A33">
      <w:pPr>
        <w:pStyle w:val="ListParagraph"/>
        <w:numPr>
          <w:ilvl w:val="0"/>
          <w:numId w:val="14"/>
        </w:numPr>
        <w:tabs>
          <w:tab w:val="left" w:pos="900"/>
        </w:tabs>
        <w:spacing w:line="360" w:lineRule="auto"/>
        <w:ind w:left="630" w:hanging="270"/>
        <w:jc w:val="both"/>
        <w:rPr>
          <w:rFonts w:asciiTheme="majorBidi" w:hAnsiTheme="majorBidi" w:cstheme="majorBidi"/>
          <w:sz w:val="24"/>
          <w:szCs w:val="24"/>
        </w:rPr>
      </w:pPr>
      <w:r w:rsidRPr="00910CE3">
        <w:rPr>
          <w:rFonts w:asciiTheme="majorBidi" w:hAnsiTheme="majorBidi" w:cstheme="majorBidi"/>
          <w:sz w:val="24"/>
          <w:szCs w:val="24"/>
        </w:rPr>
        <w:t xml:space="preserve">Landasan Dasar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p>
    <w:p w:rsidR="00343B61" w:rsidRPr="00910CE3" w:rsidRDefault="00343B61" w:rsidP="00343B61">
      <w:pPr>
        <w:spacing w:after="0" w:line="360" w:lineRule="auto"/>
        <w:ind w:left="90" w:firstLine="630"/>
        <w:jc w:val="both"/>
        <w:rPr>
          <w:rFonts w:asciiTheme="majorBidi" w:hAnsiTheme="majorBidi" w:cstheme="majorBidi"/>
          <w:sz w:val="24"/>
          <w:szCs w:val="24"/>
        </w:rPr>
      </w:pPr>
      <w:r w:rsidRPr="00910CE3">
        <w:rPr>
          <w:rFonts w:asciiTheme="majorBidi" w:hAnsiTheme="majorBidi" w:cstheme="majorBidi"/>
          <w:sz w:val="24"/>
          <w:szCs w:val="24"/>
          <w:lang w:val="id-ID"/>
        </w:rPr>
        <w:t xml:space="preserve">Berdasarkan hakikat </w:t>
      </w:r>
      <w:r>
        <w:rPr>
          <w:rFonts w:asciiTheme="majorBidi" w:hAnsiTheme="majorBidi" w:cstheme="majorBidi"/>
          <w:i/>
          <w:iCs/>
          <w:sz w:val="24"/>
          <w:szCs w:val="24"/>
          <w:lang w:val="id-ID"/>
        </w:rPr>
        <w:t>siyāsah</w:t>
      </w:r>
      <w:r>
        <w:rPr>
          <w:rFonts w:asciiTheme="majorBidi" w:hAnsiTheme="majorBidi" w:cstheme="majorBidi"/>
          <w:i/>
          <w:iCs/>
          <w:sz w:val="24"/>
          <w:szCs w:val="24"/>
        </w:rPr>
        <w:t xml:space="preserve"> </w:t>
      </w:r>
      <w:r>
        <w:rPr>
          <w:rFonts w:asciiTheme="majorBidi" w:hAnsiTheme="majorBidi" w:cstheme="majorBidi"/>
          <w:i/>
          <w:iCs/>
          <w:sz w:val="24"/>
          <w:szCs w:val="24"/>
          <w:lang w:val="id-ID"/>
        </w:rPr>
        <w:t>syar‘iyyah</w:t>
      </w:r>
      <w:r>
        <w:rPr>
          <w:rFonts w:asciiTheme="majorBidi" w:hAnsiTheme="majorBidi" w:cstheme="majorBidi"/>
          <w:i/>
          <w:iCs/>
          <w:sz w:val="24"/>
          <w:szCs w:val="24"/>
        </w:rPr>
        <w:t xml:space="preserve"> </w:t>
      </w:r>
      <w:r w:rsidRPr="00910CE3">
        <w:rPr>
          <w:rFonts w:asciiTheme="majorBidi" w:hAnsiTheme="majorBidi" w:cstheme="majorBidi"/>
          <w:sz w:val="24"/>
          <w:szCs w:val="24"/>
          <w:lang w:val="id-ID"/>
        </w:rPr>
        <w:t xml:space="preserve">ini dapat disimpulkan bahwa sumber-sumber pokok </w:t>
      </w:r>
      <w:r w:rsidRPr="00910CE3">
        <w:rPr>
          <w:rFonts w:asciiTheme="majorBidi" w:hAnsiTheme="majorBidi" w:cstheme="majorBidi"/>
          <w:i/>
          <w:iCs/>
          <w:sz w:val="24"/>
          <w:szCs w:val="24"/>
          <w:lang w:val="id-ID"/>
        </w:rPr>
        <w:t xml:space="preserve">siyāsah </w:t>
      </w:r>
      <w:r>
        <w:rPr>
          <w:rFonts w:asciiTheme="majorBidi" w:hAnsiTheme="majorBidi" w:cstheme="majorBidi"/>
          <w:i/>
          <w:iCs/>
          <w:sz w:val="24"/>
          <w:szCs w:val="24"/>
          <w:lang w:val="id-ID"/>
        </w:rPr>
        <w:t>syar‘iyyah</w:t>
      </w:r>
      <w:r w:rsidRPr="00910CE3">
        <w:rPr>
          <w:rFonts w:asciiTheme="majorBidi" w:hAnsiTheme="majorBidi" w:cstheme="majorBidi"/>
          <w:sz w:val="24"/>
          <w:szCs w:val="24"/>
          <w:lang w:val="id-ID"/>
        </w:rPr>
        <w:t xml:space="preserve">  adalah </w:t>
      </w:r>
      <w:r w:rsidRPr="00910CE3">
        <w:rPr>
          <w:rFonts w:asciiTheme="majorBidi" w:hAnsiTheme="majorBidi" w:cstheme="majorBidi"/>
          <w:sz w:val="24"/>
          <w:szCs w:val="24"/>
        </w:rPr>
        <w:t>al-Qur’ān</w:t>
      </w:r>
      <w:r w:rsidRPr="00910CE3">
        <w:rPr>
          <w:rFonts w:asciiTheme="majorBidi" w:hAnsiTheme="majorBidi" w:cstheme="majorBidi"/>
          <w:sz w:val="24"/>
          <w:szCs w:val="24"/>
          <w:lang w:val="id-ID"/>
        </w:rPr>
        <w:t xml:space="preserve"> dan a</w:t>
      </w:r>
      <w:r w:rsidRPr="00910CE3">
        <w:rPr>
          <w:rFonts w:asciiTheme="majorBidi" w:hAnsiTheme="majorBidi" w:cstheme="majorBidi"/>
          <w:sz w:val="24"/>
          <w:szCs w:val="24"/>
        </w:rPr>
        <w:t>l-</w:t>
      </w:r>
      <w:r w:rsidRPr="00910CE3">
        <w:rPr>
          <w:rFonts w:asciiTheme="majorBidi" w:hAnsiTheme="majorBidi" w:cstheme="majorBidi"/>
          <w:sz w:val="24"/>
          <w:szCs w:val="24"/>
          <w:lang w:val="id-ID"/>
        </w:rPr>
        <w:t>sunnah. Kedua sumber inilah yang menjadi acuan bagi pemegang pemerintahan untuk menciptakan peraturan-peraturan perundang-undangan dan mengatur kehidupan bernegara.</w:t>
      </w:r>
      <w:r w:rsidRPr="00910CE3">
        <w:rPr>
          <w:rFonts w:asciiTheme="majorBidi" w:hAnsiTheme="majorBidi" w:cstheme="majorBidi"/>
          <w:sz w:val="24"/>
          <w:szCs w:val="24"/>
        </w:rPr>
        <w:t xml:space="preserve"> Namun karena kedua sumber tersebut sangat terbatas, sedangkan perkembangan masyarakat selalu dinamis, maka sumber atau acuan untuk menciptakan perundang-undangan juga terdapat pada manusia dan lingkungannya sendiri. Sumber-sumber ini dapat berupa pendapat para ahli yurisprudensi, adat istiadat masyarakat yang bersangkutan, pengalaman dan warisan budaya</w:t>
      </w:r>
      <w:r w:rsidRPr="00910CE3">
        <w:rPr>
          <w:rStyle w:val="FootnoteReference"/>
          <w:rFonts w:asciiTheme="majorBidi" w:hAnsiTheme="majorBidi" w:cstheme="majorBidi"/>
          <w:sz w:val="24"/>
          <w:szCs w:val="24"/>
        </w:rPr>
        <w:footnoteReference w:id="176"/>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Akan tetapi sumber-sumber yang tidak berasal dari wahyu tersebut (yang disebut juga dengan </w:t>
      </w:r>
      <w:r w:rsidRPr="00910CE3">
        <w:rPr>
          <w:rFonts w:asciiTheme="majorBidi" w:hAnsiTheme="majorBidi" w:cstheme="majorBidi"/>
          <w:i/>
          <w:iCs/>
          <w:sz w:val="24"/>
          <w:szCs w:val="24"/>
        </w:rPr>
        <w:t>siyāsah wadh'iyah</w:t>
      </w:r>
      <w:r w:rsidRPr="00910CE3">
        <w:rPr>
          <w:rFonts w:asciiTheme="majorBidi" w:hAnsiTheme="majorBidi" w:cstheme="majorBidi"/>
          <w:sz w:val="24"/>
          <w:szCs w:val="24"/>
        </w:rPr>
        <w:t xml:space="preserve">) harus diseleksi dan diukur dengan kerangka wahyu. Kalau ternyata bertentangan atau tidak sejalan dengan semangat wahyu, maka kebijaksanaan politik yang dibuat tersebut tidak dapat dikatakan </w:t>
      </w:r>
      <w:r w:rsidRPr="00910CE3">
        <w:rPr>
          <w:rFonts w:asciiTheme="majorBidi" w:hAnsiTheme="majorBidi" w:cstheme="majorBidi"/>
          <w:sz w:val="24"/>
          <w:szCs w:val="24"/>
        </w:rPr>
        <w:lastRenderedPageBreak/>
        <w:t xml:space="preserve">sebagai </w:t>
      </w:r>
      <w:r w:rsidRPr="00910CE3">
        <w:rPr>
          <w:rFonts w:asciiTheme="majorBidi" w:hAnsiTheme="majorBidi" w:cstheme="majorBidi"/>
          <w:i/>
          <w:iCs/>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sz w:val="24"/>
          <w:szCs w:val="24"/>
        </w:rPr>
        <w:t xml:space="preserve"> dan tidak boleh diikuti, sebagaimana ditegaskan dalam Sabda Rasulullah Saw: </w:t>
      </w:r>
    </w:p>
    <w:p w:rsidR="00343B61" w:rsidRPr="00D830B9" w:rsidRDefault="00343B61" w:rsidP="00343B61">
      <w:pPr>
        <w:autoSpaceDE w:val="0"/>
        <w:autoSpaceDN w:val="0"/>
        <w:bidi/>
        <w:adjustRightInd w:val="0"/>
        <w:spacing w:after="0" w:line="240" w:lineRule="auto"/>
        <w:rPr>
          <w:rFonts w:ascii="Adobe نسخ Medium" w:hAnsi="Adobe نسخ Medium" w:cs="Adobe نسخ Medium"/>
          <w:sz w:val="32"/>
          <w:szCs w:val="32"/>
        </w:rPr>
      </w:pPr>
      <w:r w:rsidRPr="008953E3">
        <w:rPr>
          <w:rFonts w:ascii="Adobe نسخ Medium" w:hAnsi="Adobe نسخ Medium" w:cs="Traditional Arabic"/>
          <w:sz w:val="32"/>
          <w:szCs w:val="32"/>
          <w:rtl/>
        </w:rPr>
        <w:t>لَا طَاعَةَ لِمَخْلُوقٍ فِي مَعْصِيَةِ اللَّهِ عَزَّ وَجَلَّ (رواه أحمد )</w:t>
      </w:r>
      <w:r w:rsidRPr="00D830B9">
        <w:rPr>
          <w:rStyle w:val="FootnoteReference"/>
          <w:rFonts w:ascii="Adobe نسخ Medium" w:hAnsi="Adobe نسخ Medium" w:cs="Adobe نسخ Medium"/>
          <w:sz w:val="32"/>
          <w:szCs w:val="32"/>
          <w:rtl/>
        </w:rPr>
        <w:footnoteReference w:id="177"/>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Tidak ada ketaatan kepada makhluk dalam hal melakukan maksiat kepada Allah Azza wajalla</w:t>
      </w:r>
      <w:r w:rsidRPr="00910CE3">
        <w:rPr>
          <w:rFonts w:asciiTheme="majorBidi" w:hAnsiTheme="majorBidi" w:cstheme="majorBidi"/>
          <w:sz w:val="24"/>
          <w:szCs w:val="24"/>
        </w:rPr>
        <w:t>”. ( HR. Ahmad )</w:t>
      </w:r>
    </w:p>
    <w:p w:rsidR="00343B61" w:rsidRPr="00910CE3"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Sebaliknya, kalau sesuai dengan semangat kemaslahatan dan jiwa syariat, maka kebijaksanan dan peraturan undang-undang yang ditetapkan oleh penguasa tersebut wajib dipatuhi dan diikuti. Hal ini sesuai dengan firman Allah SWT dalam surat Al-Nisa [4]: 59 yang berbunyi:</w:t>
      </w:r>
    </w:p>
    <w:p w:rsidR="00343B61" w:rsidRPr="00D830B9" w:rsidRDefault="00343B61" w:rsidP="00343B61">
      <w:pPr>
        <w:bidi/>
        <w:spacing w:line="240" w:lineRule="auto"/>
        <w:rPr>
          <w:rFonts w:ascii="Adobe نسخ Medium" w:hAnsi="Adobe نسخ Medium" w:cs="Adobe نسخ Medium"/>
          <w:sz w:val="34"/>
          <w:szCs w:val="34"/>
          <w:rtl/>
        </w:rPr>
      </w:pPr>
      <w:r w:rsidRPr="00910CE3">
        <w:rPr>
          <w:sz w:val="28"/>
          <w:szCs w:val="28"/>
        </w:rPr>
        <w:sym w:font="HQPB1" w:char="F024"/>
      </w:r>
      <w:r w:rsidRPr="00910CE3">
        <w:rPr>
          <w:sz w:val="28"/>
          <w:szCs w:val="28"/>
        </w:rPr>
        <w:sym w:font="HQPB5" w:char="F070"/>
      </w:r>
      <w:r w:rsidRPr="00910CE3">
        <w:rPr>
          <w:sz w:val="28"/>
          <w:szCs w:val="28"/>
        </w:rPr>
        <w:sym w:font="HQPB2" w:char="F06B"/>
      </w:r>
      <w:r w:rsidRPr="00910CE3">
        <w:rPr>
          <w:sz w:val="28"/>
          <w:szCs w:val="28"/>
        </w:rPr>
        <w:sym w:font="HQPB4" w:char="F09A"/>
      </w:r>
      <w:r w:rsidRPr="00910CE3">
        <w:rPr>
          <w:sz w:val="28"/>
          <w:szCs w:val="28"/>
        </w:rPr>
        <w:sym w:font="HQPB2" w:char="F089"/>
      </w:r>
      <w:r w:rsidRPr="00910CE3">
        <w:rPr>
          <w:sz w:val="28"/>
          <w:szCs w:val="28"/>
        </w:rPr>
        <w:sym w:font="HQPB5" w:char="F072"/>
      </w:r>
      <w:r w:rsidRPr="00910CE3">
        <w:rPr>
          <w:sz w:val="28"/>
          <w:szCs w:val="28"/>
        </w:rPr>
        <w:sym w:font="HQPB1" w:char="F027"/>
      </w:r>
      <w:r w:rsidRPr="00910CE3">
        <w:rPr>
          <w:sz w:val="28"/>
          <w:szCs w:val="28"/>
        </w:rPr>
        <w:sym w:font="HQPB5" w:char="F0AF"/>
      </w:r>
      <w:r w:rsidRPr="00910CE3">
        <w:rPr>
          <w:sz w:val="28"/>
          <w:szCs w:val="28"/>
        </w:rPr>
        <w:sym w:font="HQPB2" w:char="F0BB"/>
      </w:r>
      <w:r w:rsidRPr="00910CE3">
        <w:rPr>
          <w:sz w:val="28"/>
          <w:szCs w:val="28"/>
        </w:rPr>
        <w:sym w:font="HQPB5" w:char="F074"/>
      </w:r>
      <w:r w:rsidRPr="00910CE3">
        <w:rPr>
          <w:sz w:val="28"/>
          <w:szCs w:val="28"/>
        </w:rPr>
        <w:sym w:font="HQPB2" w:char="F083"/>
      </w:r>
      <w:r w:rsidRPr="00910CE3">
        <w:rPr>
          <w:rFonts w:ascii="(normal text)" w:hAnsi="(normal text)"/>
          <w:sz w:val="28"/>
          <w:szCs w:val="28"/>
          <w:rtl/>
        </w:rPr>
        <w:t xml:space="preserve"> </w:t>
      </w:r>
      <w:r w:rsidRPr="00910CE3">
        <w:rPr>
          <w:sz w:val="28"/>
          <w:szCs w:val="28"/>
        </w:rPr>
        <w:sym w:font="HQPB5" w:char="F074"/>
      </w:r>
      <w:r w:rsidRPr="00910CE3">
        <w:rPr>
          <w:sz w:val="28"/>
          <w:szCs w:val="28"/>
        </w:rPr>
        <w:sym w:font="HQPB2" w:char="F0FB"/>
      </w:r>
      <w:r w:rsidRPr="00910CE3">
        <w:rPr>
          <w:sz w:val="28"/>
          <w:szCs w:val="28"/>
        </w:rPr>
        <w:sym w:font="HQPB2" w:char="F0EF"/>
      </w:r>
      <w:r w:rsidRPr="00910CE3">
        <w:rPr>
          <w:sz w:val="28"/>
          <w:szCs w:val="28"/>
        </w:rPr>
        <w:sym w:font="HQPB4" w:char="F0CF"/>
      </w:r>
      <w:r w:rsidRPr="00910CE3">
        <w:rPr>
          <w:sz w:val="28"/>
          <w:szCs w:val="28"/>
        </w:rPr>
        <w:sym w:font="HQPB3" w:char="F025"/>
      </w:r>
      <w:r w:rsidRPr="00910CE3">
        <w:rPr>
          <w:sz w:val="28"/>
          <w:szCs w:val="28"/>
        </w:rPr>
        <w:sym w:font="HQPB4" w:char="F0A9"/>
      </w:r>
      <w:r w:rsidRPr="00910CE3">
        <w:rPr>
          <w:sz w:val="28"/>
          <w:szCs w:val="28"/>
        </w:rPr>
        <w:sym w:font="HQPB3" w:char="F021"/>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5" w:char="F028"/>
      </w:r>
      <w:r w:rsidRPr="00910CE3">
        <w:rPr>
          <w:sz w:val="28"/>
          <w:szCs w:val="28"/>
        </w:rPr>
        <w:sym w:font="HQPB1" w:char="F023"/>
      </w:r>
      <w:r w:rsidRPr="00910CE3">
        <w:rPr>
          <w:sz w:val="28"/>
          <w:szCs w:val="28"/>
        </w:rPr>
        <w:sym w:font="HQPB4" w:char="F0FE"/>
      </w:r>
      <w:r w:rsidRPr="00910CE3">
        <w:rPr>
          <w:sz w:val="28"/>
          <w:szCs w:val="28"/>
        </w:rPr>
        <w:sym w:font="HQPB2" w:char="F071"/>
      </w:r>
      <w:r w:rsidRPr="00910CE3">
        <w:rPr>
          <w:sz w:val="28"/>
          <w:szCs w:val="28"/>
        </w:rPr>
        <w:sym w:font="HQPB4" w:char="F0E3"/>
      </w:r>
      <w:r w:rsidRPr="00910CE3">
        <w:rPr>
          <w:sz w:val="28"/>
          <w:szCs w:val="28"/>
        </w:rPr>
        <w:sym w:font="HQPB2" w:char="F059"/>
      </w:r>
      <w:r w:rsidRPr="00910CE3">
        <w:rPr>
          <w:sz w:val="28"/>
          <w:szCs w:val="28"/>
        </w:rPr>
        <w:sym w:font="HQPB5" w:char="F074"/>
      </w:r>
      <w:r w:rsidRPr="00910CE3">
        <w:rPr>
          <w:sz w:val="28"/>
          <w:szCs w:val="28"/>
        </w:rPr>
        <w:sym w:font="HQPB2" w:char="F042"/>
      </w:r>
      <w:r w:rsidRPr="00910CE3">
        <w:rPr>
          <w:sz w:val="28"/>
          <w:szCs w:val="28"/>
        </w:rPr>
        <w:sym w:font="HQPB1" w:char="F023"/>
      </w:r>
      <w:r w:rsidRPr="00910CE3">
        <w:rPr>
          <w:sz w:val="28"/>
          <w:szCs w:val="28"/>
        </w:rPr>
        <w:sym w:font="HQPB5" w:char="F075"/>
      </w:r>
      <w:r w:rsidRPr="00910CE3">
        <w:rPr>
          <w:sz w:val="28"/>
          <w:szCs w:val="28"/>
        </w:rPr>
        <w:sym w:font="HQPB2" w:char="F0E4"/>
      </w:r>
      <w:r w:rsidRPr="00910CE3">
        <w:rPr>
          <w:rFonts w:ascii="(normal text)" w:hAnsi="(normal text)"/>
          <w:sz w:val="28"/>
          <w:szCs w:val="28"/>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8"/>
      </w:r>
      <w:r w:rsidRPr="00910CE3">
        <w:rPr>
          <w:sz w:val="28"/>
          <w:szCs w:val="28"/>
        </w:rPr>
        <w:sym w:font="HQPB2" w:char="F08B"/>
      </w:r>
      <w:r w:rsidRPr="00910CE3">
        <w:rPr>
          <w:sz w:val="28"/>
          <w:szCs w:val="28"/>
        </w:rPr>
        <w:sym w:font="HQPB4" w:char="F0CF"/>
      </w:r>
      <w:r w:rsidRPr="00910CE3">
        <w:rPr>
          <w:sz w:val="28"/>
          <w:szCs w:val="28"/>
        </w:rPr>
        <w:sym w:font="HQPB1" w:char="F0DB"/>
      </w:r>
      <w:r w:rsidRPr="00910CE3">
        <w:rPr>
          <w:sz w:val="28"/>
          <w:szCs w:val="28"/>
        </w:rPr>
        <w:sym w:font="HQPB5" w:char="F072"/>
      </w:r>
      <w:r w:rsidRPr="00910CE3">
        <w:rPr>
          <w:sz w:val="28"/>
          <w:szCs w:val="28"/>
        </w:rPr>
        <w:sym w:font="HQPB1" w:char="F026"/>
      </w:r>
      <w:r w:rsidRPr="00910CE3">
        <w:rPr>
          <w:rFonts w:ascii="(normal text)" w:hAnsi="(normal text)"/>
          <w:sz w:val="28"/>
          <w:szCs w:val="28"/>
          <w:rtl/>
        </w:rPr>
        <w:t xml:space="preserve"> </w:t>
      </w:r>
      <w:r w:rsidRPr="009D028C">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sidRPr="00910CE3">
        <w:rPr>
          <w:rFonts w:ascii="(normal text)" w:hAnsi="(normal text)"/>
          <w:sz w:val="28"/>
          <w:szCs w:val="28"/>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8"/>
      </w:r>
      <w:r w:rsidRPr="00910CE3">
        <w:rPr>
          <w:sz w:val="28"/>
          <w:szCs w:val="28"/>
        </w:rPr>
        <w:sym w:font="HQPB2" w:char="F08B"/>
      </w:r>
      <w:r w:rsidRPr="00910CE3">
        <w:rPr>
          <w:sz w:val="28"/>
          <w:szCs w:val="28"/>
        </w:rPr>
        <w:sym w:font="HQPB4" w:char="F0CF"/>
      </w:r>
      <w:r w:rsidRPr="00910CE3">
        <w:rPr>
          <w:sz w:val="28"/>
          <w:szCs w:val="28"/>
        </w:rPr>
        <w:sym w:font="HQPB1" w:char="F0DB"/>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5" w:char="F074"/>
      </w:r>
      <w:r w:rsidRPr="00910CE3">
        <w:rPr>
          <w:sz w:val="28"/>
          <w:szCs w:val="28"/>
        </w:rPr>
        <w:sym w:font="HQPB2" w:char="F041"/>
      </w:r>
      <w:r w:rsidRPr="00910CE3">
        <w:rPr>
          <w:sz w:val="28"/>
          <w:szCs w:val="28"/>
        </w:rPr>
        <w:sym w:font="HQPB2" w:char="F071"/>
      </w:r>
      <w:r w:rsidRPr="00910CE3">
        <w:rPr>
          <w:sz w:val="28"/>
          <w:szCs w:val="28"/>
        </w:rPr>
        <w:sym w:font="HQPB4" w:char="F0DF"/>
      </w:r>
      <w:r w:rsidRPr="00910CE3">
        <w:rPr>
          <w:sz w:val="28"/>
          <w:szCs w:val="28"/>
        </w:rPr>
        <w:sym w:font="HQPB1" w:char="F099"/>
      </w:r>
      <w:r w:rsidRPr="00910CE3">
        <w:rPr>
          <w:sz w:val="28"/>
          <w:szCs w:val="28"/>
        </w:rPr>
        <w:sym w:font="HQPB4" w:char="F0A7"/>
      </w:r>
      <w:r w:rsidRPr="00910CE3">
        <w:rPr>
          <w:sz w:val="28"/>
          <w:szCs w:val="28"/>
        </w:rPr>
        <w:sym w:font="HQPB1" w:char="F08D"/>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2" w:char="F092"/>
      </w:r>
      <w:r w:rsidRPr="00910CE3">
        <w:rPr>
          <w:sz w:val="28"/>
          <w:szCs w:val="28"/>
        </w:rPr>
        <w:sym w:font="HQPB4" w:char="F0CD"/>
      </w:r>
      <w:r w:rsidRPr="00910CE3">
        <w:rPr>
          <w:sz w:val="28"/>
          <w:szCs w:val="28"/>
        </w:rPr>
        <w:sym w:font="HQPB2" w:char="F03C"/>
      </w:r>
      <w:r w:rsidRPr="00910CE3">
        <w:rPr>
          <w:sz w:val="28"/>
          <w:szCs w:val="28"/>
        </w:rPr>
        <w:sym w:font="HQPB5" w:char="F027"/>
      </w:r>
      <w:r w:rsidRPr="00910CE3">
        <w:rPr>
          <w:sz w:val="28"/>
          <w:szCs w:val="28"/>
        </w:rPr>
        <w:sym w:font="HQPB2" w:char="F072"/>
      </w:r>
      <w:r w:rsidRPr="00910CE3">
        <w:rPr>
          <w:sz w:val="28"/>
          <w:szCs w:val="28"/>
        </w:rPr>
        <w:sym w:font="HQPB4" w:char="F0E9"/>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4" w:char="F0CD"/>
      </w:r>
      <w:r w:rsidRPr="00910CE3">
        <w:rPr>
          <w:sz w:val="28"/>
          <w:szCs w:val="28"/>
        </w:rPr>
        <w:sym w:font="HQPB1" w:char="F090"/>
      </w:r>
      <w:r w:rsidRPr="00910CE3">
        <w:rPr>
          <w:sz w:val="28"/>
          <w:szCs w:val="28"/>
        </w:rPr>
        <w:sym w:font="HQPB4" w:char="F0F6"/>
      </w:r>
      <w:r w:rsidRPr="00910CE3">
        <w:rPr>
          <w:sz w:val="28"/>
          <w:szCs w:val="28"/>
        </w:rPr>
        <w:sym w:font="HQPB2" w:char="F044"/>
      </w:r>
      <w:r w:rsidRPr="00910CE3">
        <w:rPr>
          <w:sz w:val="28"/>
          <w:szCs w:val="28"/>
        </w:rPr>
        <w:sym w:font="HQPB5" w:char="F046"/>
      </w:r>
      <w:r w:rsidRPr="00910CE3">
        <w:rPr>
          <w:sz w:val="28"/>
          <w:szCs w:val="28"/>
        </w:rPr>
        <w:sym w:font="HQPB2" w:char="F07B"/>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4" w:char="F0F3"/>
      </w:r>
      <w:r w:rsidRPr="00910CE3">
        <w:rPr>
          <w:sz w:val="28"/>
          <w:szCs w:val="28"/>
        </w:rPr>
        <w:sym w:font="HQPB2" w:char="F04F"/>
      </w:r>
      <w:r w:rsidRPr="00910CE3">
        <w:rPr>
          <w:sz w:val="28"/>
          <w:szCs w:val="28"/>
        </w:rPr>
        <w:sym w:font="HQPB4" w:char="F0E4"/>
      </w:r>
      <w:r w:rsidRPr="00910CE3">
        <w:rPr>
          <w:sz w:val="28"/>
          <w:szCs w:val="28"/>
        </w:rPr>
        <w:sym w:font="HQPB2" w:char="F033"/>
      </w:r>
      <w:r w:rsidRPr="00910CE3">
        <w:rPr>
          <w:sz w:val="28"/>
          <w:szCs w:val="28"/>
        </w:rPr>
        <w:sym w:font="HQPB2" w:char="F05A"/>
      </w:r>
      <w:r w:rsidRPr="00910CE3">
        <w:rPr>
          <w:sz w:val="28"/>
          <w:szCs w:val="28"/>
        </w:rPr>
        <w:sym w:font="HQPB4" w:char="F0CF"/>
      </w:r>
      <w:r w:rsidRPr="00910CE3">
        <w:rPr>
          <w:sz w:val="28"/>
          <w:szCs w:val="28"/>
        </w:rPr>
        <w:sym w:font="HQPB2" w:char="F042"/>
      </w:r>
      <w:r w:rsidRPr="00910CE3">
        <w:rPr>
          <w:rFonts w:ascii="(normal text)" w:hAnsi="(normal text)"/>
          <w:sz w:val="28"/>
          <w:szCs w:val="28"/>
          <w:rtl/>
        </w:rPr>
        <w:t xml:space="preserve"> </w:t>
      </w:r>
      <w:r w:rsidRPr="00910CE3">
        <w:rPr>
          <w:sz w:val="28"/>
          <w:szCs w:val="28"/>
        </w:rPr>
        <w:sym w:font="HQPB4" w:char="F028"/>
      </w:r>
      <w:r w:rsidRPr="00910CE3">
        <w:rPr>
          <w:rFonts w:ascii="(normal text)" w:hAnsi="(normal text)"/>
          <w:sz w:val="28"/>
          <w:szCs w:val="28"/>
          <w:rtl/>
        </w:rPr>
        <w:t xml:space="preserve"> </w:t>
      </w:r>
      <w:r w:rsidRPr="00910CE3">
        <w:rPr>
          <w:sz w:val="28"/>
          <w:szCs w:val="28"/>
        </w:rPr>
        <w:sym w:font="HQPB2" w:char="F062"/>
      </w:r>
      <w:r w:rsidRPr="00910CE3">
        <w:rPr>
          <w:sz w:val="28"/>
          <w:szCs w:val="28"/>
        </w:rPr>
        <w:sym w:font="HQPB4" w:char="F0CE"/>
      </w:r>
      <w:r w:rsidRPr="00910CE3">
        <w:rPr>
          <w:sz w:val="28"/>
          <w:szCs w:val="28"/>
        </w:rPr>
        <w:sym w:font="HQPB1" w:char="F02A"/>
      </w:r>
      <w:r w:rsidRPr="00910CE3">
        <w:rPr>
          <w:sz w:val="28"/>
          <w:szCs w:val="28"/>
        </w:rPr>
        <w:sym w:font="HQPB5" w:char="F073"/>
      </w:r>
      <w:r w:rsidRPr="00910CE3">
        <w:rPr>
          <w:sz w:val="28"/>
          <w:szCs w:val="28"/>
        </w:rPr>
        <w:sym w:font="HQPB1" w:char="F0F9"/>
      </w:r>
      <w:r w:rsidRPr="00910CE3">
        <w:rPr>
          <w:rFonts w:ascii="(normal text)" w:hAnsi="(normal text)"/>
          <w:sz w:val="28"/>
          <w:szCs w:val="28"/>
          <w:rtl/>
        </w:rPr>
        <w:t xml:space="preserve"> </w:t>
      </w:r>
      <w:r w:rsidRPr="00910CE3">
        <w:rPr>
          <w:sz w:val="28"/>
          <w:szCs w:val="28"/>
        </w:rPr>
        <w:sym w:font="HQPB4" w:char="F0F7"/>
      </w:r>
      <w:r w:rsidRPr="00910CE3">
        <w:rPr>
          <w:sz w:val="28"/>
          <w:szCs w:val="28"/>
        </w:rPr>
        <w:sym w:font="HQPB2" w:char="F04C"/>
      </w:r>
      <w:r w:rsidRPr="00910CE3">
        <w:rPr>
          <w:sz w:val="28"/>
          <w:szCs w:val="28"/>
        </w:rPr>
        <w:sym w:font="HQPB4" w:char="F0E4"/>
      </w:r>
      <w:r w:rsidRPr="00910CE3">
        <w:rPr>
          <w:sz w:val="28"/>
          <w:szCs w:val="28"/>
        </w:rPr>
        <w:sym w:font="HQPB2" w:char="F0EA"/>
      </w:r>
      <w:r w:rsidRPr="00910CE3">
        <w:rPr>
          <w:sz w:val="28"/>
          <w:szCs w:val="28"/>
        </w:rPr>
        <w:sym w:font="HQPB4" w:char="F0F4"/>
      </w:r>
      <w:r w:rsidRPr="00910CE3">
        <w:rPr>
          <w:sz w:val="28"/>
          <w:szCs w:val="28"/>
        </w:rPr>
        <w:sym w:font="HQPB1" w:char="F0E3"/>
      </w:r>
      <w:r w:rsidRPr="00910CE3">
        <w:rPr>
          <w:sz w:val="28"/>
          <w:szCs w:val="28"/>
        </w:rPr>
        <w:sym w:font="HQPB5" w:char="F074"/>
      </w:r>
      <w:r w:rsidRPr="00910CE3">
        <w:rPr>
          <w:sz w:val="28"/>
          <w:szCs w:val="28"/>
        </w:rPr>
        <w:sym w:font="HQPB1" w:char="F093"/>
      </w:r>
      <w:r w:rsidRPr="00910CE3">
        <w:rPr>
          <w:sz w:val="28"/>
          <w:szCs w:val="28"/>
        </w:rPr>
        <w:sym w:font="HQPB2" w:char="F0BB"/>
      </w:r>
      <w:r w:rsidRPr="00910CE3">
        <w:rPr>
          <w:sz w:val="28"/>
          <w:szCs w:val="28"/>
        </w:rPr>
        <w:sym w:font="HQPB5" w:char="F075"/>
      </w:r>
      <w:r w:rsidRPr="00910CE3">
        <w:rPr>
          <w:sz w:val="28"/>
          <w:szCs w:val="28"/>
        </w:rPr>
        <w:sym w:font="HQPB2" w:char="F05A"/>
      </w:r>
      <w:r w:rsidRPr="00910CE3">
        <w:rPr>
          <w:sz w:val="28"/>
          <w:szCs w:val="28"/>
        </w:rPr>
        <w:sym w:font="HQPB5" w:char="F073"/>
      </w:r>
      <w:r w:rsidRPr="00910CE3">
        <w:rPr>
          <w:sz w:val="28"/>
          <w:szCs w:val="28"/>
        </w:rPr>
        <w:sym w:font="HQPB1" w:char="F03F"/>
      </w:r>
      <w:r w:rsidRPr="00910CE3">
        <w:rPr>
          <w:rFonts w:ascii="(normal text)" w:hAnsi="(normal text)"/>
          <w:sz w:val="28"/>
          <w:szCs w:val="28"/>
          <w:rtl/>
        </w:rPr>
        <w:t xml:space="preserve"> </w:t>
      </w:r>
      <w:r w:rsidRPr="00910CE3">
        <w:rPr>
          <w:sz w:val="28"/>
          <w:szCs w:val="28"/>
        </w:rPr>
        <w:sym w:font="HQPB2" w:char="F092"/>
      </w:r>
      <w:r w:rsidRPr="00910CE3">
        <w:rPr>
          <w:sz w:val="28"/>
          <w:szCs w:val="28"/>
        </w:rPr>
        <w:sym w:font="HQPB4" w:char="F0CE"/>
      </w:r>
      <w:r w:rsidRPr="00910CE3">
        <w:rPr>
          <w:sz w:val="28"/>
          <w:szCs w:val="28"/>
        </w:rPr>
        <w:sym w:font="HQPB1" w:char="F0FB"/>
      </w:r>
      <w:r w:rsidRPr="00910CE3">
        <w:rPr>
          <w:rFonts w:ascii="(normal text)" w:hAnsi="(normal text)"/>
          <w:sz w:val="28"/>
          <w:szCs w:val="28"/>
          <w:rtl/>
        </w:rPr>
        <w:t xml:space="preserve"> </w:t>
      </w:r>
      <w:r w:rsidRPr="00910CE3">
        <w:rPr>
          <w:sz w:val="28"/>
          <w:szCs w:val="28"/>
        </w:rPr>
        <w:sym w:font="HQPB4" w:char="F026"/>
      </w:r>
      <w:r w:rsidRPr="00910CE3">
        <w:rPr>
          <w:sz w:val="28"/>
          <w:szCs w:val="28"/>
        </w:rPr>
        <w:sym w:font="HQPB2" w:char="F0E4"/>
      </w:r>
      <w:r w:rsidRPr="00910CE3">
        <w:rPr>
          <w:sz w:val="28"/>
          <w:szCs w:val="28"/>
        </w:rPr>
        <w:sym w:font="HQPB4" w:char="F0F3"/>
      </w:r>
      <w:r w:rsidRPr="00910CE3">
        <w:rPr>
          <w:sz w:val="28"/>
          <w:szCs w:val="28"/>
        </w:rPr>
        <w:sym w:font="HQPB2" w:char="F0D3"/>
      </w:r>
      <w:r w:rsidRPr="00910CE3">
        <w:rPr>
          <w:sz w:val="28"/>
          <w:szCs w:val="28"/>
        </w:rPr>
        <w:sym w:font="HQPB5" w:char="F078"/>
      </w:r>
      <w:r w:rsidRPr="00910CE3">
        <w:rPr>
          <w:sz w:val="28"/>
          <w:szCs w:val="28"/>
        </w:rPr>
        <w:sym w:font="HQPB1" w:char="F0AB"/>
      </w:r>
      <w:r w:rsidRPr="00910CE3">
        <w:rPr>
          <w:rFonts w:ascii="(normal text)" w:hAnsi="(normal text)"/>
          <w:sz w:val="28"/>
          <w:szCs w:val="28"/>
          <w:rtl/>
        </w:rPr>
        <w:t xml:space="preserve"> </w:t>
      </w:r>
      <w:r w:rsidRPr="00910CE3">
        <w:rPr>
          <w:sz w:val="28"/>
          <w:szCs w:val="28"/>
        </w:rPr>
        <w:sym w:font="HQPB4" w:char="F0E7"/>
      </w:r>
      <w:r w:rsidRPr="00910CE3">
        <w:rPr>
          <w:sz w:val="28"/>
          <w:szCs w:val="28"/>
        </w:rPr>
        <w:sym w:font="HQPB2" w:char="F06E"/>
      </w:r>
      <w:r w:rsidRPr="00910CE3">
        <w:rPr>
          <w:sz w:val="28"/>
          <w:szCs w:val="28"/>
        </w:rPr>
        <w:sym w:font="HQPB2" w:char="F072"/>
      </w:r>
      <w:r w:rsidRPr="00910CE3">
        <w:rPr>
          <w:sz w:val="28"/>
          <w:szCs w:val="28"/>
        </w:rPr>
        <w:sym w:font="HQPB4" w:char="F096"/>
      </w:r>
      <w:r w:rsidRPr="00910CE3">
        <w:rPr>
          <w:sz w:val="28"/>
          <w:szCs w:val="28"/>
        </w:rPr>
        <w:sym w:font="HQPB1" w:char="F08A"/>
      </w:r>
      <w:r w:rsidRPr="00910CE3">
        <w:rPr>
          <w:sz w:val="28"/>
          <w:szCs w:val="28"/>
        </w:rPr>
        <w:sym w:font="HQPB4" w:char="F0E3"/>
      </w:r>
      <w:r w:rsidRPr="00910CE3">
        <w:rPr>
          <w:sz w:val="28"/>
          <w:szCs w:val="28"/>
        </w:rPr>
        <w:sym w:font="HQPB1" w:char="F08D"/>
      </w:r>
      <w:r w:rsidRPr="00910CE3">
        <w:rPr>
          <w:sz w:val="28"/>
          <w:szCs w:val="28"/>
        </w:rPr>
        <w:sym w:font="HQPB5" w:char="F073"/>
      </w:r>
      <w:r w:rsidRPr="00910CE3">
        <w:rPr>
          <w:sz w:val="28"/>
          <w:szCs w:val="28"/>
        </w:rPr>
        <w:sym w:font="HQPB1" w:char="F0F9"/>
      </w:r>
      <w:r w:rsidRPr="00910CE3">
        <w:rPr>
          <w:rFonts w:ascii="(normal text)" w:hAnsi="(normal text)"/>
          <w:sz w:val="28"/>
          <w:szCs w:val="28"/>
          <w:rtl/>
        </w:rPr>
        <w:t xml:space="preserve"> </w:t>
      </w:r>
      <w:r w:rsidRPr="00910CE3">
        <w:rPr>
          <w:sz w:val="28"/>
          <w:szCs w:val="28"/>
        </w:rPr>
        <w:sym w:font="HQPB2" w:char="F092"/>
      </w:r>
      <w:r w:rsidRPr="00910CE3">
        <w:rPr>
          <w:sz w:val="28"/>
          <w:szCs w:val="28"/>
        </w:rPr>
        <w:sym w:font="HQPB5" w:char="F06E"/>
      </w:r>
      <w:r w:rsidRPr="00910CE3">
        <w:rPr>
          <w:sz w:val="28"/>
          <w:szCs w:val="28"/>
        </w:rPr>
        <w:sym w:font="HQPB2" w:char="F03C"/>
      </w:r>
      <w:r w:rsidRPr="00910CE3">
        <w:rPr>
          <w:sz w:val="28"/>
          <w:szCs w:val="28"/>
        </w:rPr>
        <w:sym w:font="HQPB4" w:char="F0CE"/>
      </w:r>
      <w:r w:rsidRPr="00910CE3">
        <w:rPr>
          <w:sz w:val="28"/>
          <w:szCs w:val="28"/>
        </w:rPr>
        <w:sym w:font="HQPB1" w:char="F029"/>
      </w:r>
      <w:r w:rsidRPr="00910CE3">
        <w:rPr>
          <w:rFonts w:ascii="(normal text)" w:hAnsi="(normal text)"/>
          <w:sz w:val="28"/>
          <w:szCs w:val="28"/>
          <w:rtl/>
        </w:rPr>
        <w:t xml:space="preserve"> </w:t>
      </w:r>
      <w:r w:rsidRPr="00910CE3">
        <w:rPr>
          <w:sz w:val="28"/>
          <w:szCs w:val="28"/>
        </w:rPr>
        <w:sym w:font="HQPB5" w:char="F0AB"/>
      </w:r>
      <w:r w:rsidRPr="00D830B9">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sidRPr="00910CE3">
        <w:rPr>
          <w:rFonts w:ascii="(normal text)" w:hAnsi="(normal text)"/>
          <w:sz w:val="28"/>
          <w:szCs w:val="28"/>
          <w:rtl/>
        </w:rPr>
        <w:t xml:space="preserve"> </w:t>
      </w:r>
      <w:r w:rsidRPr="00910CE3">
        <w:rPr>
          <w:sz w:val="28"/>
          <w:szCs w:val="28"/>
        </w:rPr>
        <w:sym w:font="HQPB4" w:char="F0C9"/>
      </w:r>
      <w:r w:rsidRPr="00910CE3">
        <w:rPr>
          <w:sz w:val="28"/>
          <w:szCs w:val="28"/>
        </w:rPr>
        <w:sym w:font="HQPB2" w:char="F041"/>
      </w:r>
      <w:r w:rsidRPr="00910CE3">
        <w:rPr>
          <w:sz w:val="28"/>
          <w:szCs w:val="28"/>
        </w:rPr>
        <w:sym w:font="HQPB2" w:char="F071"/>
      </w:r>
      <w:r w:rsidRPr="00910CE3">
        <w:rPr>
          <w:sz w:val="28"/>
          <w:szCs w:val="28"/>
        </w:rPr>
        <w:sym w:font="HQPB4" w:char="F0DF"/>
      </w:r>
      <w:r w:rsidRPr="00910CE3">
        <w:rPr>
          <w:sz w:val="28"/>
          <w:szCs w:val="28"/>
        </w:rPr>
        <w:sym w:font="HQPB1" w:char="F099"/>
      </w:r>
      <w:r w:rsidRPr="00910CE3">
        <w:rPr>
          <w:sz w:val="28"/>
          <w:szCs w:val="28"/>
        </w:rPr>
        <w:sym w:font="HQPB4" w:char="F0A7"/>
      </w:r>
      <w:r w:rsidRPr="00910CE3">
        <w:rPr>
          <w:sz w:val="28"/>
          <w:szCs w:val="28"/>
        </w:rPr>
        <w:sym w:font="HQPB1" w:char="F08D"/>
      </w:r>
      <w:r w:rsidRPr="00910CE3">
        <w:rPr>
          <w:sz w:val="28"/>
          <w:szCs w:val="28"/>
        </w:rPr>
        <w:sym w:font="HQPB2" w:char="F039"/>
      </w:r>
      <w:r w:rsidRPr="00910CE3">
        <w:rPr>
          <w:sz w:val="28"/>
          <w:szCs w:val="28"/>
        </w:rPr>
        <w:sym w:font="HQPB5" w:char="F024"/>
      </w:r>
      <w:r w:rsidRPr="00910CE3">
        <w:rPr>
          <w:sz w:val="28"/>
          <w:szCs w:val="28"/>
        </w:rPr>
        <w:sym w:font="HQPB1" w:char="F023"/>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2" w:char="F062"/>
      </w:r>
      <w:r w:rsidRPr="00910CE3">
        <w:rPr>
          <w:sz w:val="28"/>
          <w:szCs w:val="28"/>
        </w:rPr>
        <w:sym w:font="HQPB4" w:char="F0CE"/>
      </w:r>
      <w:r w:rsidRPr="00910CE3">
        <w:rPr>
          <w:sz w:val="28"/>
          <w:szCs w:val="28"/>
        </w:rPr>
        <w:sym w:font="HQPB1" w:char="F029"/>
      </w:r>
      <w:r w:rsidRPr="00910CE3">
        <w:rPr>
          <w:rFonts w:ascii="(normal text)" w:hAnsi="(normal text)"/>
          <w:sz w:val="28"/>
          <w:szCs w:val="28"/>
          <w:rtl/>
        </w:rPr>
        <w:t xml:space="preserve"> </w:t>
      </w:r>
      <w:r w:rsidRPr="00910CE3">
        <w:rPr>
          <w:sz w:val="28"/>
          <w:szCs w:val="28"/>
        </w:rPr>
        <w:sym w:font="HQPB4" w:char="F0F7"/>
      </w:r>
      <w:r w:rsidRPr="00910CE3">
        <w:rPr>
          <w:sz w:val="28"/>
          <w:szCs w:val="28"/>
        </w:rPr>
        <w:sym w:font="HQPB2" w:char="F04C"/>
      </w:r>
      <w:r w:rsidRPr="00910CE3">
        <w:rPr>
          <w:sz w:val="28"/>
          <w:szCs w:val="28"/>
        </w:rPr>
        <w:sym w:font="HQPB4" w:char="F0E4"/>
      </w:r>
      <w:r w:rsidRPr="00910CE3">
        <w:rPr>
          <w:sz w:val="28"/>
          <w:szCs w:val="28"/>
        </w:rPr>
        <w:sym w:font="HQPB2" w:char="F0EA"/>
      </w:r>
      <w:r w:rsidRPr="00910CE3">
        <w:rPr>
          <w:sz w:val="28"/>
          <w:szCs w:val="28"/>
        </w:rPr>
        <w:sym w:font="HQPB2" w:char="F059"/>
      </w:r>
      <w:r w:rsidRPr="00910CE3">
        <w:rPr>
          <w:sz w:val="28"/>
          <w:szCs w:val="28"/>
        </w:rPr>
        <w:sym w:font="HQPB4" w:char="F0E4"/>
      </w:r>
      <w:r w:rsidRPr="00910CE3">
        <w:rPr>
          <w:sz w:val="28"/>
          <w:szCs w:val="28"/>
        </w:rPr>
        <w:sym w:font="HQPB2" w:char="F02E"/>
      </w:r>
      <w:r w:rsidRPr="00910CE3">
        <w:rPr>
          <w:rFonts w:ascii="(normal text)" w:hAnsi="(normal text)"/>
          <w:sz w:val="28"/>
          <w:szCs w:val="28"/>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1"/>
      </w:r>
      <w:r w:rsidRPr="00910CE3">
        <w:rPr>
          <w:sz w:val="28"/>
          <w:szCs w:val="28"/>
        </w:rPr>
        <w:sym w:font="HQPB4" w:char="F0E3"/>
      </w:r>
      <w:r w:rsidRPr="00910CE3">
        <w:rPr>
          <w:sz w:val="28"/>
          <w:szCs w:val="28"/>
        </w:rPr>
        <w:sym w:font="HQPB2" w:char="F05A"/>
      </w:r>
      <w:r w:rsidRPr="00910CE3">
        <w:rPr>
          <w:sz w:val="28"/>
          <w:szCs w:val="28"/>
        </w:rPr>
        <w:sym w:font="HQPB4" w:char="F0CF"/>
      </w:r>
      <w:r w:rsidRPr="00910CE3">
        <w:rPr>
          <w:sz w:val="28"/>
          <w:szCs w:val="28"/>
        </w:rPr>
        <w:sym w:font="HQPB2" w:char="F042"/>
      </w:r>
      <w:r w:rsidRPr="00910CE3">
        <w:rPr>
          <w:sz w:val="28"/>
          <w:szCs w:val="28"/>
        </w:rPr>
        <w:sym w:font="HQPB4" w:char="F0F7"/>
      </w:r>
      <w:r w:rsidRPr="00910CE3">
        <w:rPr>
          <w:sz w:val="28"/>
          <w:szCs w:val="28"/>
        </w:rPr>
        <w:sym w:font="HQPB2" w:char="F073"/>
      </w:r>
      <w:r w:rsidRPr="00910CE3">
        <w:rPr>
          <w:sz w:val="28"/>
          <w:szCs w:val="28"/>
        </w:rPr>
        <w:sym w:font="HQPB4" w:char="F0E8"/>
      </w:r>
      <w:r w:rsidRPr="00910CE3">
        <w:rPr>
          <w:sz w:val="28"/>
          <w:szCs w:val="28"/>
        </w:rPr>
        <w:sym w:font="HQPB1" w:char="F03F"/>
      </w:r>
      <w:r w:rsidRPr="00910CE3">
        <w:rPr>
          <w:rFonts w:ascii="(normal text)" w:hAnsi="(normal text)"/>
          <w:sz w:val="28"/>
          <w:szCs w:val="28"/>
          <w:rtl/>
        </w:rPr>
        <w:t xml:space="preserve"> </w:t>
      </w:r>
      <w:r w:rsidRPr="00910CE3">
        <w:rPr>
          <w:sz w:val="28"/>
          <w:szCs w:val="28"/>
        </w:rPr>
        <w:sym w:font="HQPB5" w:char="F0AB"/>
      </w:r>
      <w:r w:rsidRPr="00910CE3">
        <w:rPr>
          <w:sz w:val="28"/>
          <w:szCs w:val="28"/>
        </w:rPr>
        <w:sym w:font="HQPB1" w:char="F021"/>
      </w:r>
      <w:r w:rsidRPr="00910CE3">
        <w:rPr>
          <w:sz w:val="28"/>
          <w:szCs w:val="28"/>
        </w:rPr>
        <w:sym w:font="HQPB5" w:char="F024"/>
      </w:r>
      <w:r w:rsidRPr="00910CE3">
        <w:rPr>
          <w:sz w:val="28"/>
          <w:szCs w:val="28"/>
        </w:rPr>
        <w:sym w:font="HQPB1" w:char="F024"/>
      </w:r>
      <w:r w:rsidRPr="00910CE3">
        <w:rPr>
          <w:sz w:val="28"/>
          <w:szCs w:val="28"/>
        </w:rPr>
        <w:sym w:font="HQPB4" w:char="F0CE"/>
      </w:r>
      <w:r w:rsidRPr="00910CE3">
        <w:rPr>
          <w:sz w:val="28"/>
          <w:szCs w:val="28"/>
        </w:rPr>
        <w:sym w:font="HQPB1" w:char="F02F"/>
      </w:r>
      <w:r w:rsidRPr="00910CE3">
        <w:rPr>
          <w:rFonts w:ascii="(normal text)" w:hAnsi="(normal text)"/>
          <w:sz w:val="28"/>
          <w:szCs w:val="28"/>
          <w:rtl/>
        </w:rPr>
        <w:t xml:space="preserve"> </w:t>
      </w:r>
      <w:r w:rsidRPr="00910CE3">
        <w:rPr>
          <w:sz w:val="28"/>
          <w:szCs w:val="28"/>
        </w:rPr>
        <w:sym w:font="HQPB4" w:char="F0CF"/>
      </w:r>
      <w:r w:rsidRPr="00910CE3">
        <w:rPr>
          <w:sz w:val="28"/>
          <w:szCs w:val="28"/>
        </w:rPr>
        <w:sym w:font="HQPB2" w:char="F051"/>
      </w:r>
      <w:r w:rsidRPr="00910CE3">
        <w:rPr>
          <w:sz w:val="28"/>
          <w:szCs w:val="28"/>
        </w:rPr>
        <w:sym w:font="HQPB4" w:char="F0F6"/>
      </w:r>
      <w:r w:rsidRPr="00910CE3">
        <w:rPr>
          <w:sz w:val="28"/>
          <w:szCs w:val="28"/>
        </w:rPr>
        <w:sym w:font="HQPB2" w:char="F071"/>
      </w:r>
      <w:r w:rsidRPr="00910CE3">
        <w:rPr>
          <w:sz w:val="28"/>
          <w:szCs w:val="28"/>
        </w:rPr>
        <w:sym w:font="HQPB5" w:char="F075"/>
      </w:r>
      <w:r w:rsidRPr="00910CE3">
        <w:rPr>
          <w:sz w:val="28"/>
          <w:szCs w:val="28"/>
        </w:rPr>
        <w:sym w:font="HQPB2" w:char="F08B"/>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4" w:char="F0CC"/>
      </w:r>
      <w:r w:rsidRPr="00910CE3">
        <w:rPr>
          <w:sz w:val="28"/>
          <w:szCs w:val="28"/>
        </w:rPr>
        <w:sym w:font="HQPB1" w:char="F08D"/>
      </w:r>
      <w:r w:rsidRPr="00910CE3">
        <w:rPr>
          <w:sz w:val="28"/>
          <w:szCs w:val="28"/>
        </w:rPr>
        <w:sym w:font="HQPB4" w:char="F0C5"/>
      </w:r>
      <w:r w:rsidRPr="00910CE3">
        <w:rPr>
          <w:sz w:val="28"/>
          <w:szCs w:val="28"/>
        </w:rPr>
        <w:sym w:font="HQPB1" w:char="F07A"/>
      </w:r>
      <w:r w:rsidRPr="00910CE3">
        <w:rPr>
          <w:sz w:val="28"/>
          <w:szCs w:val="28"/>
        </w:rPr>
        <w:sym w:font="HQPB5" w:char="F046"/>
      </w:r>
      <w:r w:rsidRPr="00910CE3">
        <w:rPr>
          <w:sz w:val="28"/>
          <w:szCs w:val="28"/>
        </w:rPr>
        <w:sym w:font="HQPB2" w:char="F079"/>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4" w:char="F034"/>
      </w:r>
      <w:r w:rsidRPr="00910CE3">
        <w:rPr>
          <w:rFonts w:ascii="(normal text)" w:hAnsi="(normal text)"/>
          <w:sz w:val="28"/>
          <w:szCs w:val="28"/>
          <w:rtl/>
        </w:rPr>
        <w:t xml:space="preserve"> </w:t>
      </w:r>
      <w:r w:rsidRPr="00910CE3">
        <w:rPr>
          <w:sz w:val="28"/>
          <w:szCs w:val="28"/>
        </w:rPr>
        <w:sym w:font="HQPB5" w:char="F079"/>
      </w:r>
      <w:r w:rsidRPr="00910CE3">
        <w:rPr>
          <w:sz w:val="28"/>
          <w:szCs w:val="28"/>
        </w:rPr>
        <w:sym w:font="HQPB2" w:char="F037"/>
      </w:r>
      <w:r w:rsidRPr="00910CE3">
        <w:rPr>
          <w:sz w:val="28"/>
          <w:szCs w:val="28"/>
        </w:rPr>
        <w:sym w:font="HQPB4" w:char="F0CF"/>
      </w:r>
      <w:r w:rsidRPr="00910CE3">
        <w:rPr>
          <w:sz w:val="28"/>
          <w:szCs w:val="28"/>
        </w:rPr>
        <w:sym w:font="HQPB2" w:char="F039"/>
      </w:r>
      <w:r w:rsidRPr="00910CE3">
        <w:rPr>
          <w:sz w:val="28"/>
          <w:szCs w:val="28"/>
        </w:rPr>
        <w:sym w:font="HQPB2" w:char="F0BA"/>
      </w:r>
      <w:r w:rsidRPr="00910CE3">
        <w:rPr>
          <w:sz w:val="28"/>
          <w:szCs w:val="28"/>
        </w:rPr>
        <w:sym w:font="HQPB5" w:char="F073"/>
      </w:r>
      <w:r w:rsidRPr="00910CE3">
        <w:rPr>
          <w:sz w:val="28"/>
          <w:szCs w:val="28"/>
        </w:rPr>
        <w:sym w:font="HQPB1" w:char="F08C"/>
      </w:r>
      <w:r w:rsidRPr="00910CE3">
        <w:rPr>
          <w:rFonts w:ascii="(normal text)" w:hAnsi="(normal text)"/>
          <w:sz w:val="28"/>
          <w:szCs w:val="28"/>
          <w:rtl/>
        </w:rPr>
        <w:t xml:space="preserve"> </w:t>
      </w:r>
      <w:r w:rsidRPr="00910CE3">
        <w:rPr>
          <w:sz w:val="28"/>
          <w:szCs w:val="28"/>
        </w:rPr>
        <w:sym w:font="HQPB4" w:char="F0D7"/>
      </w:r>
      <w:r w:rsidRPr="00910CE3">
        <w:rPr>
          <w:sz w:val="28"/>
          <w:szCs w:val="28"/>
        </w:rPr>
        <w:sym w:font="HQPB1" w:char="F08E"/>
      </w:r>
      <w:r w:rsidRPr="00910CE3">
        <w:rPr>
          <w:sz w:val="28"/>
          <w:szCs w:val="28"/>
        </w:rPr>
        <w:sym w:font="HQPB4" w:char="F0F6"/>
      </w:r>
      <w:r w:rsidRPr="00910CE3">
        <w:rPr>
          <w:sz w:val="28"/>
          <w:szCs w:val="28"/>
        </w:rPr>
        <w:sym w:font="HQPB2" w:char="F08D"/>
      </w:r>
      <w:r w:rsidRPr="00910CE3">
        <w:rPr>
          <w:sz w:val="28"/>
          <w:szCs w:val="28"/>
        </w:rPr>
        <w:sym w:font="HQPB5" w:char="F079"/>
      </w:r>
      <w:r w:rsidRPr="00910CE3">
        <w:rPr>
          <w:sz w:val="28"/>
          <w:szCs w:val="28"/>
        </w:rPr>
        <w:sym w:font="HQPB1" w:char="F07A"/>
      </w:r>
      <w:r w:rsidRPr="00910CE3">
        <w:rPr>
          <w:rFonts w:ascii="(normal text)" w:hAnsi="(normal text)"/>
          <w:sz w:val="28"/>
          <w:szCs w:val="28"/>
          <w:rtl/>
        </w:rPr>
        <w:t xml:space="preserve"> </w:t>
      </w:r>
      <w:r w:rsidRPr="00910CE3">
        <w:rPr>
          <w:sz w:val="28"/>
          <w:szCs w:val="28"/>
        </w:rPr>
        <w:sym w:font="HQPB4" w:char="F0DF"/>
      </w:r>
      <w:r w:rsidRPr="00910CE3">
        <w:rPr>
          <w:sz w:val="28"/>
          <w:szCs w:val="28"/>
        </w:rPr>
        <w:sym w:font="HQPB2" w:char="F060"/>
      </w:r>
      <w:r w:rsidRPr="00910CE3">
        <w:rPr>
          <w:sz w:val="28"/>
          <w:szCs w:val="28"/>
        </w:rPr>
        <w:sym w:font="HQPB5" w:char="F07C"/>
      </w:r>
      <w:r w:rsidRPr="00910CE3">
        <w:rPr>
          <w:sz w:val="28"/>
          <w:szCs w:val="28"/>
        </w:rPr>
        <w:sym w:font="HQPB1" w:char="F0A1"/>
      </w:r>
      <w:r w:rsidRPr="00910CE3">
        <w:rPr>
          <w:sz w:val="28"/>
          <w:szCs w:val="28"/>
        </w:rPr>
        <w:sym w:font="HQPB4" w:char="F0F4"/>
      </w:r>
      <w:r w:rsidRPr="00910CE3">
        <w:rPr>
          <w:sz w:val="28"/>
          <w:szCs w:val="28"/>
        </w:rPr>
        <w:sym w:font="HQPB1" w:char="F06D"/>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4" w:char="F0B8"/>
      </w:r>
      <w:r w:rsidRPr="00910CE3">
        <w:rPr>
          <w:sz w:val="28"/>
          <w:szCs w:val="28"/>
        </w:rPr>
        <w:sym w:font="HQPB2" w:char="F078"/>
      </w:r>
      <w:r w:rsidRPr="00910CE3">
        <w:rPr>
          <w:sz w:val="28"/>
          <w:szCs w:val="28"/>
        </w:rPr>
        <w:sym w:font="HQPB2" w:char="F083"/>
      </w:r>
      <w:r w:rsidRPr="00910CE3">
        <w:rPr>
          <w:sz w:val="28"/>
          <w:szCs w:val="28"/>
        </w:rPr>
        <w:sym w:font="HQPB4" w:char="F0CD"/>
      </w:r>
      <w:r w:rsidRPr="00910CE3">
        <w:rPr>
          <w:sz w:val="28"/>
          <w:szCs w:val="28"/>
        </w:rPr>
        <w:sym w:font="HQPB2" w:char="F072"/>
      </w:r>
      <w:r w:rsidRPr="00910CE3">
        <w:rPr>
          <w:sz w:val="28"/>
          <w:szCs w:val="28"/>
        </w:rPr>
        <w:sym w:font="HQPB4" w:char="F0F9"/>
      </w:r>
      <w:r w:rsidRPr="00910CE3">
        <w:rPr>
          <w:sz w:val="28"/>
          <w:szCs w:val="28"/>
        </w:rPr>
        <w:sym w:font="HQPB1" w:char="F027"/>
      </w:r>
      <w:r w:rsidRPr="00910CE3">
        <w:rPr>
          <w:sz w:val="28"/>
          <w:szCs w:val="28"/>
        </w:rPr>
        <w:sym w:font="HQPB5" w:char="F073"/>
      </w:r>
      <w:r w:rsidRPr="00910CE3">
        <w:rPr>
          <w:sz w:val="28"/>
          <w:szCs w:val="28"/>
        </w:rPr>
        <w:sym w:font="HQPB1" w:char="F03F"/>
      </w:r>
      <w:r w:rsidRPr="00910CE3">
        <w:rPr>
          <w:rFonts w:ascii="(normal text)" w:hAnsi="(normal text)"/>
          <w:sz w:val="28"/>
          <w:szCs w:val="28"/>
          <w:rtl/>
        </w:rPr>
        <w:t xml:space="preserve"> </w:t>
      </w:r>
      <w:r w:rsidRPr="00910CE3">
        <w:rPr>
          <w:sz w:val="28"/>
          <w:szCs w:val="28"/>
        </w:rPr>
        <w:sym w:font="HQPB2" w:char="F0C7"/>
      </w:r>
      <w:r w:rsidRPr="00910CE3">
        <w:rPr>
          <w:sz w:val="28"/>
          <w:szCs w:val="28"/>
        </w:rPr>
        <w:sym w:font="HQPB2" w:char="F0CE"/>
      </w:r>
      <w:r w:rsidRPr="00910CE3">
        <w:rPr>
          <w:sz w:val="28"/>
          <w:szCs w:val="28"/>
        </w:rPr>
        <w:sym w:font="HQPB2" w:char="F0D2"/>
      </w:r>
      <w:r w:rsidRPr="00910CE3">
        <w:rPr>
          <w:sz w:val="28"/>
          <w:szCs w:val="28"/>
        </w:rPr>
        <w:sym w:font="HQPB2" w:char="F0C8"/>
      </w:r>
      <w:r w:rsidRPr="00910CE3">
        <w:rPr>
          <w:rFonts w:ascii="(normal text)" w:hAnsi="(normal text)"/>
          <w:sz w:val="28"/>
          <w:szCs w:val="28"/>
          <w:rtl/>
        </w:rPr>
        <w:t xml:space="preserve">  </w:t>
      </w:r>
      <w:r w:rsidRPr="00910CE3">
        <w:rPr>
          <w:rFonts w:ascii="Arial Rounded MT Bold" w:hAnsi="Arial Rounded MT Bold" w:hint="cs"/>
          <w:sz w:val="28"/>
          <w:szCs w:val="28"/>
          <w:rtl/>
        </w:rPr>
        <w:t xml:space="preserve"> </w:t>
      </w:r>
      <w:r w:rsidRPr="00910CE3">
        <w:rPr>
          <w:rFonts w:ascii="(normal text)" w:hAnsi="(normal text)" w:hint="cs"/>
          <w:rtl/>
        </w:rPr>
        <w:t xml:space="preserve">( ق.س: </w:t>
      </w:r>
      <w:r w:rsidRPr="00910CE3">
        <w:rPr>
          <w:rFonts w:ascii="Arial Rounded MT Bold" w:hAnsi="Arial Rounded MT Bold" w:hint="cs"/>
          <w:rtl/>
        </w:rPr>
        <w:t>النساء</w:t>
      </w:r>
      <w:r w:rsidRPr="00910CE3">
        <w:rPr>
          <w:rFonts w:ascii="(normal text)" w:hAnsi="(normal text)" w:hint="cs"/>
          <w:rtl/>
        </w:rPr>
        <w:t xml:space="preserve"> / </w:t>
      </w:r>
      <w:r w:rsidRPr="00910CE3">
        <w:rPr>
          <w:rFonts w:ascii="(normal text)" w:hAnsi="(normal text)"/>
        </w:rPr>
        <w:t>4</w:t>
      </w:r>
      <w:r w:rsidRPr="00910CE3">
        <w:rPr>
          <w:rFonts w:ascii="(normal text)" w:hAnsi="(normal text)" w:hint="cs"/>
          <w:rtl/>
        </w:rPr>
        <w:t xml:space="preserve">: </w:t>
      </w:r>
      <w:r w:rsidRPr="00910CE3">
        <w:rPr>
          <w:rFonts w:ascii="(normal text)" w:hAnsi="(normal text)"/>
        </w:rPr>
        <w:t>59</w:t>
      </w:r>
      <w:r w:rsidRPr="00910CE3">
        <w:rPr>
          <w:rFonts w:ascii="(normal text)" w:hAnsi="(normal text)" w:hint="cs"/>
          <w:rtl/>
        </w:rPr>
        <w:t xml:space="preserve"> )</w:t>
      </w:r>
    </w:p>
    <w:p w:rsidR="00343B61" w:rsidRPr="00910CE3" w:rsidRDefault="00343B61" w:rsidP="00343B61">
      <w:pPr>
        <w:autoSpaceDE w:val="0"/>
        <w:autoSpaceDN w:val="0"/>
        <w:adjustRightInd w:val="0"/>
        <w:spacing w:after="0" w:line="240" w:lineRule="auto"/>
        <w:ind w:left="720"/>
        <w:jc w:val="both"/>
        <w:rPr>
          <w:rFonts w:ascii="(normal text)" w:hAnsi="(normal text)"/>
          <w:sz w:val="24"/>
          <w:szCs w:val="24"/>
        </w:rPr>
      </w:pPr>
      <w:r w:rsidRPr="00910CE3">
        <w:rPr>
          <w:rFonts w:asciiTheme="majorBidi" w:hAnsiTheme="majorBidi" w:cstheme="majorBidi"/>
          <w:sz w:val="24"/>
          <w:szCs w:val="24"/>
        </w:rPr>
        <w:t>Artinya:</w:t>
      </w:r>
      <w:r w:rsidRPr="00910CE3">
        <w:rPr>
          <w:rFonts w:ascii="(normal text)" w:hAnsi="(normal text)"/>
          <w:i/>
          <w:iCs/>
          <w:sz w:val="24"/>
          <w:szCs w:val="24"/>
        </w:rPr>
        <w:t xml:space="preserve"> “Hai orang-orang yang beriman, taatilah Allah dan taatilah Rasul (Nya), dan ulil amri di antara kamu. kemudian jika kamu berlainan Pendapat tentang sesuatu, Maka kembalikanlah ia kepada Allah (Al Quran) dan Rasul (sunnahnya), jika kamu benar-benar beriman kepada Allah dan hari kemudian. yang demikian itu lebih utama (bagimu) dan lebih baik akibatnya.” </w:t>
      </w:r>
      <w:r w:rsidRPr="00910CE3">
        <w:rPr>
          <w:rStyle w:val="FootnoteReference"/>
          <w:rFonts w:ascii="(normal text)" w:hAnsi="(normal text)"/>
          <w:sz w:val="24"/>
          <w:szCs w:val="24"/>
        </w:rPr>
        <w:footnoteReference w:id="178"/>
      </w:r>
      <w:r w:rsidRPr="00910CE3">
        <w:rPr>
          <w:rFonts w:ascii="(normal text)" w:hAnsi="(normal text)"/>
          <w:i/>
          <w:iCs/>
          <w:sz w:val="24"/>
          <w:szCs w:val="24"/>
        </w:rPr>
        <w:t xml:space="preserve"> </w:t>
      </w:r>
      <w:r w:rsidRPr="00910CE3">
        <w:rPr>
          <w:rFonts w:ascii="(normal text)" w:hAnsi="(normal text)"/>
          <w:sz w:val="24"/>
          <w:szCs w:val="24"/>
        </w:rPr>
        <w:t>( QS.Al-Nisa [ 4]: 59)</w:t>
      </w:r>
    </w:p>
    <w:p w:rsidR="00343B61" w:rsidRPr="00910CE3" w:rsidRDefault="00343B61" w:rsidP="00343B61">
      <w:pPr>
        <w:autoSpaceDE w:val="0"/>
        <w:autoSpaceDN w:val="0"/>
        <w:adjustRightInd w:val="0"/>
        <w:spacing w:after="0" w:line="240" w:lineRule="auto"/>
        <w:ind w:left="720"/>
        <w:jc w:val="both"/>
        <w:rPr>
          <w:rFonts w:ascii="(normal text)" w:hAnsi="(normal text)"/>
          <w:i/>
          <w:iCs/>
          <w:sz w:val="24"/>
          <w:szCs w:val="24"/>
        </w:rPr>
      </w:pPr>
    </w:p>
    <w:p w:rsidR="00343B61" w:rsidRDefault="00343B61" w:rsidP="00343B61">
      <w:pPr>
        <w:autoSpaceDE w:val="0"/>
        <w:autoSpaceDN w:val="0"/>
        <w:adjustRightInd w:val="0"/>
        <w:spacing w:after="0" w:line="360" w:lineRule="auto"/>
        <w:ind w:firstLine="720"/>
        <w:jc w:val="both"/>
        <w:rPr>
          <w:rFonts w:ascii="(normal text)" w:hAnsi="(normal text)"/>
          <w:sz w:val="24"/>
          <w:szCs w:val="24"/>
        </w:rPr>
      </w:pPr>
      <w:r w:rsidRPr="00910CE3">
        <w:rPr>
          <w:rFonts w:ascii="(normal text)" w:hAnsi="(normal text)"/>
          <w:sz w:val="24"/>
          <w:szCs w:val="24"/>
        </w:rPr>
        <w:t xml:space="preserve">Sekarang timbul pertanyaan, bagaimana mengukur bahwa suatu kebijakan politik yang dikeluarkan pemegang kekuasaan sesuai dengan semangat syariat? Dengan kata lain, bagaimana </w:t>
      </w:r>
      <w:r w:rsidRPr="00910CE3">
        <w:rPr>
          <w:rFonts w:ascii="(normal text)" w:hAnsi="(normal text)"/>
          <w:i/>
          <w:iCs/>
          <w:sz w:val="24"/>
          <w:szCs w:val="24"/>
        </w:rPr>
        <w:t>siyāsah  wadh’iyah</w:t>
      </w:r>
      <w:r w:rsidRPr="00910CE3">
        <w:rPr>
          <w:rFonts w:ascii="(normal text)" w:hAnsi="(normal text)"/>
          <w:sz w:val="24"/>
          <w:szCs w:val="24"/>
        </w:rPr>
        <w:t xml:space="preserve"> yang bersumber dari manusia dan lingkungannya itu menjadi bagian dari </w:t>
      </w:r>
      <w:r w:rsidRPr="00910CE3">
        <w:rPr>
          <w:rFonts w:ascii="(normal text)" w:hAnsi="(normal text)"/>
          <w:i/>
          <w:iCs/>
          <w:sz w:val="24"/>
          <w:szCs w:val="24"/>
        </w:rPr>
        <w:t xml:space="preserve">siyāsah </w:t>
      </w:r>
      <w:r>
        <w:rPr>
          <w:rFonts w:ascii="(normal text)" w:hAnsi="(normal text)"/>
          <w:i/>
          <w:iCs/>
          <w:sz w:val="24"/>
          <w:szCs w:val="24"/>
        </w:rPr>
        <w:t>syar‘iyyah</w:t>
      </w:r>
      <w:r w:rsidRPr="00910CE3">
        <w:rPr>
          <w:rFonts w:ascii="(normal text)" w:hAnsi="(normal text)"/>
          <w:sz w:val="24"/>
          <w:szCs w:val="24"/>
        </w:rPr>
        <w:t xml:space="preserve">? Untuk mengukurnya, setidaknya perlu diperhatikan prosedur dan substansi dari kebijakan tersebut. Dari segi prosedur, pembuatan peraturan perundang-undangan tersebut harus dilakukan secara musyawarah, sebagaimana diperintahkan Allah dalam </w:t>
      </w:r>
      <w:r w:rsidRPr="00910CE3">
        <w:rPr>
          <w:rFonts w:asciiTheme="majorBidi" w:hAnsiTheme="majorBidi" w:cstheme="majorBidi"/>
          <w:sz w:val="24"/>
          <w:szCs w:val="24"/>
        </w:rPr>
        <w:t>al-Qur’ān</w:t>
      </w:r>
      <w:r w:rsidRPr="00910CE3">
        <w:rPr>
          <w:rFonts w:ascii="(normal text)" w:hAnsi="(normal text)"/>
          <w:sz w:val="24"/>
          <w:szCs w:val="24"/>
        </w:rPr>
        <w:t xml:space="preserve"> surat Ali Imran [3]: 159</w:t>
      </w:r>
      <w:r>
        <w:rPr>
          <w:rFonts w:ascii="(normal text)" w:hAnsi="(normal text)"/>
          <w:sz w:val="24"/>
          <w:szCs w:val="24"/>
        </w:rPr>
        <w:t xml:space="preserve"> Yaitu :</w:t>
      </w:r>
    </w:p>
    <w:p w:rsidR="00343B61" w:rsidRPr="00A43F29" w:rsidRDefault="00343B61" w:rsidP="00343B61">
      <w:pPr>
        <w:bidi/>
        <w:spacing w:line="240" w:lineRule="auto"/>
        <w:rPr>
          <w:rFonts w:ascii="Adobe نسخ Medium" w:hAnsi="Adobe نسخ Medium" w:cs="Adobe نسخ Medium"/>
          <w:sz w:val="34"/>
          <w:szCs w:val="34"/>
          <w:rtl/>
        </w:rPr>
      </w:pPr>
      <w:r>
        <w:rPr>
          <w:sz w:val="28"/>
          <w:szCs w:val="28"/>
        </w:rPr>
        <w:lastRenderedPageBreak/>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36"/>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9"/>
      </w:r>
      <w:r>
        <w:rPr>
          <w:sz w:val="28"/>
          <w:szCs w:val="28"/>
        </w:rPr>
        <w:sym w:font="HQPB2" w:char="F04A"/>
      </w:r>
      <w:r>
        <w:rPr>
          <w:sz w:val="28"/>
          <w:szCs w:val="28"/>
        </w:rPr>
        <w:sym w:font="HQPB4" w:char="F0F4"/>
      </w:r>
      <w:r>
        <w:rPr>
          <w:sz w:val="28"/>
          <w:szCs w:val="28"/>
        </w:rPr>
        <w:sym w:font="HQPB1" w:char="F06D"/>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AB"/>
      </w:r>
      <w:r w:rsidRPr="00A43F29">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A"/>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1" w:char="F024"/>
      </w:r>
      <w:r>
        <w:rPr>
          <w:sz w:val="28"/>
          <w:szCs w:val="28"/>
        </w:rPr>
        <w:sym w:font="HQPB4" w:char="F088"/>
      </w:r>
      <w:r>
        <w:rPr>
          <w:sz w:val="28"/>
          <w:szCs w:val="28"/>
        </w:rPr>
        <w:sym w:font="HQPB1" w:char="F0E0"/>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8"/>
      </w:r>
      <w:r>
        <w:rPr>
          <w:sz w:val="28"/>
          <w:szCs w:val="28"/>
        </w:rPr>
        <w:sym w:font="HQPB1" w:char="F0E1"/>
      </w:r>
      <w:r>
        <w:rPr>
          <w:sz w:val="28"/>
          <w:szCs w:val="28"/>
        </w:rPr>
        <w:sym w:font="HQPB2" w:char="F08B"/>
      </w:r>
      <w:r>
        <w:rPr>
          <w:sz w:val="28"/>
          <w:szCs w:val="28"/>
        </w:rPr>
        <w:sym w:font="HQPB4" w:char="F0CE"/>
      </w:r>
      <w:r>
        <w:rPr>
          <w:sz w:val="28"/>
          <w:szCs w:val="28"/>
        </w:rPr>
        <w:sym w:font="HQPB2" w:char="F03D"/>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C9"/>
      </w:r>
      <w:r>
        <w:rPr>
          <w:sz w:val="28"/>
          <w:szCs w:val="28"/>
        </w:rPr>
        <w:sym w:font="HQPB1" w:char="F03D"/>
      </w:r>
      <w:r>
        <w:rPr>
          <w:sz w:val="28"/>
          <w:szCs w:val="28"/>
        </w:rPr>
        <w:sym w:font="HQPB4" w:char="F0F9"/>
      </w:r>
      <w:r>
        <w:rPr>
          <w:sz w:val="28"/>
          <w:szCs w:val="28"/>
        </w:rPr>
        <w:sym w:font="HQPB2" w:char="F03D"/>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91"/>
      </w:r>
      <w:r>
        <w:rPr>
          <w:sz w:val="28"/>
          <w:szCs w:val="28"/>
        </w:rPr>
        <w:sym w:font="HQPB1" w:char="F0D2"/>
      </w:r>
      <w:r>
        <w:rPr>
          <w:sz w:val="28"/>
          <w:szCs w:val="28"/>
        </w:rPr>
        <w:sym w:font="HQPB5" w:char="F078"/>
      </w:r>
      <w:r>
        <w:rPr>
          <w:sz w:val="28"/>
          <w:szCs w:val="28"/>
        </w:rPr>
        <w:sym w:font="HQPB1" w:char="F0FF"/>
      </w:r>
      <w:r>
        <w:rPr>
          <w:sz w:val="28"/>
          <w:szCs w:val="28"/>
        </w:rPr>
        <w:sym w:font="HQPB2" w:char="F052"/>
      </w:r>
      <w:r>
        <w:rPr>
          <w:sz w:val="28"/>
          <w:szCs w:val="28"/>
        </w:rPr>
        <w:sym w:font="HQPB5" w:char="F05D"/>
      </w:r>
      <w:r>
        <w:rPr>
          <w:sz w:val="28"/>
          <w:szCs w:val="28"/>
        </w:rPr>
        <w:sym w:font="HQPB2" w:char="F077"/>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4" w:char="F0F6"/>
      </w:r>
      <w:r>
        <w:rPr>
          <w:sz w:val="28"/>
          <w:szCs w:val="28"/>
        </w:rPr>
        <w:sym w:font="HQPB2" w:char="F071"/>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DF"/>
      </w:r>
      <w:r>
        <w:rPr>
          <w:sz w:val="28"/>
          <w:szCs w:val="28"/>
        </w:rPr>
        <w:sym w:font="HQPB2" w:char="F023"/>
      </w:r>
      <w:r>
        <w:rPr>
          <w:sz w:val="28"/>
          <w:szCs w:val="28"/>
        </w:rPr>
        <w:sym w:font="HQPB4" w:char="F0F4"/>
      </w:r>
      <w:r>
        <w:rPr>
          <w:sz w:val="28"/>
          <w:szCs w:val="28"/>
        </w:rPr>
        <w:sym w:font="HQPB1" w:char="F0E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CF"/>
      </w:r>
      <w:r>
        <w:rPr>
          <w:sz w:val="28"/>
          <w:szCs w:val="28"/>
        </w:rPr>
        <w:sym w:font="HQPB1" w:char="F0FF"/>
      </w:r>
      <w:r>
        <w:rPr>
          <w:sz w:val="28"/>
          <w:szCs w:val="28"/>
        </w:rPr>
        <w:sym w:font="HQPB4" w:char="F0F8"/>
      </w:r>
      <w:r>
        <w:rPr>
          <w:sz w:val="28"/>
          <w:szCs w:val="28"/>
        </w:rPr>
        <w:sym w:font="HQPB1" w:char="F0F3"/>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4" w:char="F0F6"/>
      </w:r>
      <w:r>
        <w:rPr>
          <w:sz w:val="28"/>
          <w:szCs w:val="28"/>
        </w:rPr>
        <w:sym w:font="HQPB1" w:char="F091"/>
      </w:r>
      <w:r>
        <w:rPr>
          <w:sz w:val="28"/>
          <w:szCs w:val="28"/>
        </w:rPr>
        <w:sym w:font="HQPB4" w:char="F0CD"/>
      </w:r>
      <w:r>
        <w:rPr>
          <w:sz w:val="28"/>
          <w:szCs w:val="28"/>
        </w:rPr>
        <w:sym w:font="HQPB2" w:char="F072"/>
      </w:r>
      <w:r>
        <w:rPr>
          <w:sz w:val="28"/>
          <w:szCs w:val="28"/>
        </w:rPr>
        <w:sym w:font="HQPB1" w:char="F024"/>
      </w:r>
      <w:r>
        <w:rPr>
          <w:sz w:val="28"/>
          <w:szCs w:val="28"/>
        </w:rPr>
        <w:sym w:font="HQPB5" w:char="F078"/>
      </w:r>
      <w:r>
        <w:rPr>
          <w:sz w:val="28"/>
          <w:szCs w:val="28"/>
        </w:rPr>
        <w:sym w:font="HQPB1" w:char="F0A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1" w:char="F090"/>
      </w:r>
      <w:r>
        <w:rPr>
          <w:sz w:val="28"/>
          <w:szCs w:val="28"/>
        </w:rPr>
        <w:sym w:font="HQPB4" w:char="F0F6"/>
      </w:r>
      <w:r>
        <w:rPr>
          <w:sz w:val="28"/>
          <w:szCs w:val="28"/>
        </w:rPr>
        <w:sym w:font="HQPB2" w:char="F044"/>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C"/>
      </w:r>
      <w:r>
        <w:rPr>
          <w:sz w:val="28"/>
          <w:szCs w:val="28"/>
        </w:rPr>
        <w:sym w:font="HQPB1" w:char="F04D"/>
      </w:r>
      <w:r>
        <w:rPr>
          <w:sz w:val="28"/>
          <w:szCs w:val="28"/>
        </w:rPr>
        <w:sym w:font="HQPB4" w:char="F0F8"/>
      </w:r>
      <w:r>
        <w:rPr>
          <w:sz w:val="28"/>
          <w:szCs w:val="28"/>
        </w:rPr>
        <w:sym w:font="HQPB2" w:char="F042"/>
      </w:r>
      <w:r>
        <w:rPr>
          <w:sz w:val="28"/>
          <w:szCs w:val="28"/>
        </w:rPr>
        <w:sym w:font="HQPB5" w:char="F07A"/>
      </w:r>
      <w:r>
        <w:rPr>
          <w:sz w:val="28"/>
          <w:szCs w:val="28"/>
        </w:rPr>
        <w:sym w:font="HQPB1" w:char="F095"/>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A9"/>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AB"/>
      </w:r>
      <w:r w:rsidRPr="00A43F29">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3" w:char="F02C"/>
      </w:r>
      <w:r>
        <w:rPr>
          <w:sz w:val="28"/>
          <w:szCs w:val="28"/>
        </w:rPr>
        <w:sym w:font="HQPB4" w:char="F0CE"/>
      </w:r>
      <w:r>
        <w:rPr>
          <w:sz w:val="28"/>
          <w:szCs w:val="28"/>
        </w:rPr>
        <w:sym w:font="HQPB3" w:char="F023"/>
      </w:r>
      <w:r>
        <w:rPr>
          <w:sz w:val="28"/>
          <w:szCs w:val="28"/>
        </w:rPr>
        <w:sym w:font="HQPB4" w:char="F0CF"/>
      </w:r>
      <w:r>
        <w:rPr>
          <w:sz w:val="28"/>
          <w:szCs w:val="28"/>
        </w:rPr>
        <w:sym w:font="HQPB4" w:char="F06A"/>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E"/>
      </w:r>
      <w:r>
        <w:rPr>
          <w:sz w:val="28"/>
          <w:szCs w:val="28"/>
        </w:rPr>
        <w:sym w:font="HQPB2" w:char="F0D2"/>
      </w:r>
      <w:r>
        <w:rPr>
          <w:sz w:val="28"/>
          <w:szCs w:val="28"/>
        </w:rPr>
        <w:sym w:font="HQPB2" w:char="F0C8"/>
      </w:r>
      <w:r>
        <w:rPr>
          <w:rFonts w:ascii="(normal text)" w:hAnsi="(normal text)"/>
          <w:rtl/>
        </w:rPr>
        <w:t xml:space="preserve">   </w:t>
      </w:r>
    </w:p>
    <w:p w:rsidR="00343B61" w:rsidRPr="00206A8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206A81">
        <w:rPr>
          <w:rFonts w:asciiTheme="majorBidi" w:hAnsiTheme="majorBidi" w:cstheme="majorBidi"/>
          <w:i/>
          <w:iCs/>
          <w:sz w:val="24"/>
          <w:szCs w:val="24"/>
        </w:rPr>
        <w:t>“ Maka disebabkan rahmat dari Allah-lah kamu Berlaku lemah lembut terhadap mereka. Sekiranya kamu bersikap keras lagi berhati kasar, tentulah mereka menjauhkan diri dari sekelilingmu. karena itu ma'afkanlah mereka, mohonkanlah ampun bagi mereka, dan bermusyawaratlah dengan mereka dalam urusan itu[246]. kemudian apabila kamu telah membulatkan tekad, Maka bertawakkallah kepada Allah. Sesungguhnya Allah menyukai orang-orang yang bertawakkal kepada-Nya.</w:t>
      </w:r>
      <w:r>
        <w:rPr>
          <w:rFonts w:asciiTheme="majorBidi" w:hAnsiTheme="majorBidi" w:cstheme="majorBidi"/>
          <w:sz w:val="24"/>
          <w:szCs w:val="24"/>
        </w:rPr>
        <w:t xml:space="preserve"> ( Q.S. Ali Imran: 159)</w:t>
      </w:r>
    </w:p>
    <w:p w:rsidR="00343B61" w:rsidRPr="00206A81" w:rsidRDefault="00343B61" w:rsidP="00343B61">
      <w:pPr>
        <w:autoSpaceDE w:val="0"/>
        <w:autoSpaceDN w:val="0"/>
        <w:adjustRightInd w:val="0"/>
        <w:spacing w:after="0" w:line="360" w:lineRule="auto"/>
        <w:jc w:val="both"/>
        <w:rPr>
          <w:rFonts w:ascii="(normal text)" w:hAnsi="(normal text)"/>
          <w:sz w:val="20"/>
          <w:szCs w:val="24"/>
        </w:rPr>
      </w:pPr>
    </w:p>
    <w:p w:rsidR="00343B61" w:rsidRDefault="00343B61" w:rsidP="00343B61">
      <w:pPr>
        <w:autoSpaceDE w:val="0"/>
        <w:autoSpaceDN w:val="0"/>
        <w:adjustRightInd w:val="0"/>
        <w:spacing w:after="0" w:line="360" w:lineRule="auto"/>
        <w:ind w:firstLine="720"/>
        <w:jc w:val="both"/>
        <w:rPr>
          <w:rFonts w:ascii="(normal text)" w:hAnsi="(normal text)"/>
          <w:sz w:val="24"/>
          <w:szCs w:val="24"/>
        </w:rPr>
      </w:pPr>
      <w:r>
        <w:rPr>
          <w:rFonts w:ascii="(normal text)" w:hAnsi="(normal text)"/>
          <w:sz w:val="24"/>
          <w:szCs w:val="24"/>
        </w:rPr>
        <w:t>D</w:t>
      </w:r>
      <w:r w:rsidRPr="00910CE3">
        <w:rPr>
          <w:rFonts w:ascii="(normal text)" w:hAnsi="(normal text)"/>
          <w:sz w:val="24"/>
          <w:szCs w:val="24"/>
        </w:rPr>
        <w:t xml:space="preserve">an </w:t>
      </w:r>
      <w:r>
        <w:rPr>
          <w:rFonts w:ascii="(normal text)" w:hAnsi="(normal text)"/>
          <w:sz w:val="24"/>
          <w:szCs w:val="24"/>
        </w:rPr>
        <w:t xml:space="preserve">dalam Surat </w:t>
      </w:r>
      <w:r w:rsidRPr="00910CE3">
        <w:rPr>
          <w:rFonts w:ascii="(normal text)" w:hAnsi="(normal text)"/>
          <w:sz w:val="24"/>
          <w:szCs w:val="24"/>
        </w:rPr>
        <w:t>al-Syu</w:t>
      </w:r>
      <w:r>
        <w:rPr>
          <w:rFonts w:ascii="(normal text)" w:hAnsi="(normal text)"/>
          <w:sz w:val="24"/>
          <w:szCs w:val="24"/>
        </w:rPr>
        <w:t>u</w:t>
      </w:r>
      <w:r w:rsidRPr="00910CE3">
        <w:rPr>
          <w:rFonts w:ascii="(normal text)" w:hAnsi="(normal text)"/>
          <w:sz w:val="24"/>
          <w:szCs w:val="24"/>
        </w:rPr>
        <w:t xml:space="preserve">ra[ 42]38. </w:t>
      </w:r>
      <w:r>
        <w:rPr>
          <w:rFonts w:ascii="(normal text)" w:hAnsi="(normal text)"/>
          <w:sz w:val="24"/>
          <w:szCs w:val="24"/>
        </w:rPr>
        <w:t>Allah berfirman :</w:t>
      </w:r>
    </w:p>
    <w:p w:rsidR="00343B61" w:rsidRDefault="00343B61" w:rsidP="00343B61">
      <w:pPr>
        <w:autoSpaceDE w:val="0"/>
        <w:autoSpaceDN w:val="0"/>
        <w:bidi/>
        <w:adjustRightInd w:val="0"/>
        <w:spacing w:after="0" w:line="240" w:lineRule="auto"/>
        <w:ind w:firstLine="17"/>
        <w:jc w:val="both"/>
        <w:rPr>
          <w:rFonts w:ascii="(normal text)" w:hAnsi="(normal text)"/>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2F"/>
      </w:r>
      <w:r>
        <w:rPr>
          <w:sz w:val="28"/>
          <w:szCs w:val="28"/>
        </w:rPr>
        <w:sym w:font="HQPB1" w:char="F024"/>
      </w:r>
      <w:r>
        <w:rPr>
          <w:sz w:val="28"/>
          <w:szCs w:val="28"/>
        </w:rPr>
        <w:sym w:font="HQPB5" w:char="F079"/>
      </w:r>
      <w:r>
        <w:rPr>
          <w:sz w:val="28"/>
          <w:szCs w:val="28"/>
        </w:rPr>
        <w:sym w:font="HQPB1" w:char="F066"/>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CD"/>
      </w:r>
      <w:r>
        <w:rPr>
          <w:sz w:val="28"/>
          <w:szCs w:val="28"/>
        </w:rPr>
        <w:sym w:font="HQPB4" w:char="F068"/>
      </w:r>
      <w:r>
        <w:rPr>
          <w:sz w:val="28"/>
          <w:szCs w:val="28"/>
        </w:rPr>
        <w:sym w:font="HQPB1" w:char="F035"/>
      </w:r>
      <w:r>
        <w:rPr>
          <w:sz w:val="28"/>
          <w:szCs w:val="28"/>
        </w:rPr>
        <w:sym w:font="HQPB5" w:char="F074"/>
      </w:r>
      <w:r>
        <w:rPr>
          <w:sz w:val="28"/>
          <w:szCs w:val="28"/>
        </w:rPr>
        <w:sym w:font="HQPB1" w:char="F08D"/>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42"/>
      </w:r>
      <w:r>
        <w:rPr>
          <w:sz w:val="28"/>
          <w:szCs w:val="28"/>
        </w:rPr>
        <w:sym w:font="HQPB1" w:char="F024"/>
      </w:r>
      <w:r>
        <w:rPr>
          <w:sz w:val="28"/>
          <w:szCs w:val="28"/>
        </w:rPr>
        <w:sym w:font="HQPB5" w:char="F073"/>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4" w:char="F0E3"/>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1" w:char="F091"/>
      </w:r>
      <w:r>
        <w:rPr>
          <w:sz w:val="28"/>
          <w:szCs w:val="28"/>
        </w:rPr>
        <w:sym w:font="HQPB2" w:char="F071"/>
      </w:r>
      <w:r>
        <w:rPr>
          <w:sz w:val="28"/>
          <w:szCs w:val="28"/>
        </w:rPr>
        <w:sym w:font="HQPB4" w:char="F0E4"/>
      </w:r>
      <w:r>
        <w:rPr>
          <w:sz w:val="28"/>
          <w:szCs w:val="28"/>
        </w:rPr>
        <w:sym w:font="HQPB1" w:char="F0A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6"/>
      </w:r>
      <w:r>
        <w:rPr>
          <w:sz w:val="28"/>
          <w:szCs w:val="28"/>
        </w:rPr>
        <w:sym w:font="HQPB2" w:char="F068"/>
      </w:r>
      <w:r>
        <w:rPr>
          <w:sz w:val="28"/>
          <w:szCs w:val="28"/>
        </w:rPr>
        <w:sym w:font="HQPB5" w:char="F075"/>
      </w:r>
      <w:r>
        <w:rPr>
          <w:sz w:val="28"/>
          <w:szCs w:val="28"/>
        </w:rPr>
        <w:sym w:font="HQPB2" w:char="F05A"/>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1" w:char="F024"/>
      </w:r>
      <w:r>
        <w:rPr>
          <w:sz w:val="28"/>
          <w:szCs w:val="28"/>
        </w:rPr>
        <w:sym w:font="HQPB4" w:char="F0A3"/>
      </w:r>
      <w:r>
        <w:rPr>
          <w:sz w:val="28"/>
          <w:szCs w:val="28"/>
        </w:rPr>
        <w:sym w:font="HQPB2" w:char="F04A"/>
      </w:r>
      <w:r>
        <w:rPr>
          <w:sz w:val="28"/>
          <w:szCs w:val="28"/>
        </w:rPr>
        <w:sym w:font="HQPB4" w:char="F0CF"/>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2" w:char="F0BB"/>
      </w:r>
      <w:r>
        <w:rPr>
          <w:sz w:val="28"/>
          <w:szCs w:val="28"/>
        </w:rPr>
        <w:sym w:font="HQPB5" w:char="F075"/>
      </w:r>
      <w:r>
        <w:rPr>
          <w:sz w:val="28"/>
          <w:szCs w:val="28"/>
        </w:rPr>
        <w:sym w:font="HQPB2" w:char="F05A"/>
      </w:r>
      <w:r>
        <w:rPr>
          <w:sz w:val="28"/>
          <w:szCs w:val="28"/>
        </w:rPr>
        <w:sym w:font="HQPB4" w:char="F0F8"/>
      </w:r>
      <w:r>
        <w:rPr>
          <w:sz w:val="28"/>
          <w:szCs w:val="28"/>
        </w:rPr>
        <w:sym w:font="HQPB2" w:char="F025"/>
      </w:r>
      <w:r>
        <w:rPr>
          <w:sz w:val="28"/>
          <w:szCs w:val="28"/>
        </w:rPr>
        <w:sym w:font="HQPB5" w:char="F079"/>
      </w:r>
      <w:r>
        <w:rPr>
          <w:sz w:val="28"/>
          <w:szCs w:val="28"/>
        </w:rPr>
        <w:sym w:font="HQPB1" w:char="F097"/>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A"/>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D1"/>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720"/>
        <w:jc w:val="both"/>
        <w:rPr>
          <w:rFonts w:asciiTheme="majorBidi" w:hAnsiTheme="majorBidi" w:cstheme="majorBidi"/>
          <w:i/>
          <w:iCs/>
          <w:sz w:val="24"/>
          <w:szCs w:val="24"/>
        </w:rPr>
      </w:pPr>
      <w:r w:rsidRPr="00206A81">
        <w:rPr>
          <w:rFonts w:asciiTheme="majorBidi" w:hAnsiTheme="majorBidi" w:cstheme="majorBidi"/>
          <w:i/>
          <w:iCs/>
          <w:sz w:val="24"/>
          <w:szCs w:val="24"/>
        </w:rPr>
        <w:t>“ dan (bagi) orang-orang yang menerima (mematuhi) seruan Tuhannya dan mendirikan shalat, sedang urusan mereka (diputuskan) dengan musyawarat antara mereka; dan mereka menafkahkan sebagian dari rezki yang Kami berikan kepada mereka.”</w:t>
      </w:r>
    </w:p>
    <w:p w:rsidR="00343B61" w:rsidRPr="00D73C37" w:rsidRDefault="00343B61" w:rsidP="00343B61">
      <w:pPr>
        <w:autoSpaceDE w:val="0"/>
        <w:autoSpaceDN w:val="0"/>
        <w:adjustRightInd w:val="0"/>
        <w:spacing w:after="0" w:line="240" w:lineRule="auto"/>
        <w:ind w:left="720"/>
        <w:jc w:val="both"/>
        <w:rPr>
          <w:rFonts w:asciiTheme="majorBidi" w:hAnsiTheme="majorBidi" w:cstheme="majorBidi"/>
          <w:i/>
          <w:iCs/>
          <w:sz w:val="24"/>
          <w:szCs w:val="24"/>
        </w:rPr>
      </w:pPr>
    </w:p>
    <w:p w:rsidR="00343B61" w:rsidRPr="00910CE3" w:rsidRDefault="00343B61" w:rsidP="00343B61">
      <w:pPr>
        <w:autoSpaceDE w:val="0"/>
        <w:autoSpaceDN w:val="0"/>
        <w:adjustRightInd w:val="0"/>
        <w:spacing w:after="0" w:line="360" w:lineRule="auto"/>
        <w:ind w:firstLine="720"/>
        <w:jc w:val="both"/>
        <w:rPr>
          <w:rFonts w:ascii="(normal text)" w:hAnsi="(normal text)"/>
          <w:sz w:val="24"/>
          <w:szCs w:val="24"/>
        </w:rPr>
      </w:pPr>
      <w:r>
        <w:rPr>
          <w:rFonts w:ascii="(normal text)" w:hAnsi="(normal text)"/>
          <w:sz w:val="24"/>
          <w:szCs w:val="24"/>
        </w:rPr>
        <w:t xml:space="preserve"> </w:t>
      </w:r>
      <w:r w:rsidRPr="00910CE3">
        <w:rPr>
          <w:rFonts w:ascii="(normal text)" w:hAnsi="(normal text)"/>
          <w:sz w:val="24"/>
          <w:szCs w:val="24"/>
        </w:rPr>
        <w:t>Adapun dari substansinya harus memenuhi kriteria sebagai berikut:</w:t>
      </w:r>
    </w:p>
    <w:p w:rsidR="00343B61" w:rsidRPr="00910CE3"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sidRPr="00910CE3">
        <w:rPr>
          <w:rFonts w:ascii="(normal text)" w:hAnsi="(normal text)"/>
          <w:sz w:val="24"/>
          <w:szCs w:val="24"/>
        </w:rPr>
        <w:t>Sesuai dan tidak bertentangan dengan syariat Islam</w:t>
      </w:r>
    </w:p>
    <w:p w:rsidR="00343B61" w:rsidRPr="00910CE3"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sidRPr="00910CE3">
        <w:rPr>
          <w:rFonts w:ascii="(normal text)" w:hAnsi="(normal text)"/>
          <w:sz w:val="24"/>
          <w:szCs w:val="24"/>
        </w:rPr>
        <w:t>Meletakkan persamaan kedudukan manusia di depan hukum dan pemerintahan (</w:t>
      </w:r>
      <w:r w:rsidRPr="00910CE3">
        <w:rPr>
          <w:rFonts w:ascii="(normal text)" w:hAnsi="(normal text)"/>
          <w:i/>
          <w:iCs/>
          <w:sz w:val="24"/>
          <w:szCs w:val="24"/>
        </w:rPr>
        <w:t>al-Mus</w:t>
      </w:r>
      <w:r w:rsidRPr="00E46936">
        <w:rPr>
          <w:rFonts w:asciiTheme="majorBidi" w:hAnsiTheme="majorBidi" w:cstheme="majorBidi"/>
          <w:i/>
          <w:iCs/>
          <w:sz w:val="24"/>
          <w:szCs w:val="24"/>
          <w:lang w:val="sv-SE"/>
        </w:rPr>
        <w:t>ā</w:t>
      </w:r>
      <w:r w:rsidRPr="00910CE3">
        <w:rPr>
          <w:rFonts w:ascii="(normal text)" w:hAnsi="(normal text)"/>
          <w:i/>
          <w:iCs/>
          <w:sz w:val="24"/>
          <w:szCs w:val="24"/>
        </w:rPr>
        <w:t>wah</w:t>
      </w:r>
      <w:r>
        <w:rPr>
          <w:rFonts w:ascii="(normal text)" w:hAnsi="(normal text)"/>
          <w:sz w:val="24"/>
          <w:szCs w:val="24"/>
        </w:rPr>
        <w:t>/</w:t>
      </w:r>
      <w:r>
        <w:rPr>
          <w:rFonts w:ascii="(normal text)" w:hAnsi="(normal text)" w:hint="cs"/>
          <w:sz w:val="24"/>
          <w:szCs w:val="24"/>
          <w:rtl/>
        </w:rPr>
        <w:t xml:space="preserve">المساوة </w:t>
      </w:r>
      <w:r w:rsidRPr="00910CE3">
        <w:rPr>
          <w:rFonts w:ascii="(normal text)" w:hAnsi="(normal text)"/>
          <w:sz w:val="24"/>
          <w:szCs w:val="24"/>
        </w:rPr>
        <w:t>)</w:t>
      </w:r>
    </w:p>
    <w:p w:rsidR="00343B61" w:rsidRPr="00910CE3"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sidRPr="00910CE3">
        <w:rPr>
          <w:rFonts w:ascii="(normal text)" w:hAnsi="(normal text)"/>
          <w:sz w:val="24"/>
          <w:szCs w:val="24"/>
        </w:rPr>
        <w:t>Tidak memberatkan masyarakat yang akan melaksanakannya (</w:t>
      </w:r>
      <w:r w:rsidRPr="00910CE3">
        <w:rPr>
          <w:rFonts w:ascii="(normal text)" w:hAnsi="(normal text)"/>
          <w:i/>
          <w:iCs/>
          <w:sz w:val="24"/>
          <w:szCs w:val="24"/>
        </w:rPr>
        <w:t>‘adam al-</w:t>
      </w:r>
      <w:r w:rsidRPr="00910CE3">
        <w:rPr>
          <w:rFonts w:ascii="Times New Roman" w:hAnsi="Times New Roman" w:cs="Times New Roman"/>
          <w:sz w:val="20"/>
          <w:szCs w:val="20"/>
          <w:u w:val="single"/>
          <w:lang w:val="id-ID"/>
        </w:rPr>
        <w:t xml:space="preserve"> </w:t>
      </w:r>
      <w:r w:rsidRPr="00910CE3">
        <w:rPr>
          <w:rFonts w:ascii="Times New Roman" w:hAnsi="Times New Roman" w:cs="Times New Roman"/>
          <w:i/>
          <w:iCs/>
          <w:sz w:val="24"/>
          <w:szCs w:val="24"/>
          <w:u w:val="single"/>
          <w:lang w:val="id-ID"/>
        </w:rPr>
        <w:t>h</w:t>
      </w:r>
      <w:r w:rsidRPr="00910CE3">
        <w:rPr>
          <w:rFonts w:ascii="(normal text)" w:hAnsi="(normal text)"/>
          <w:i/>
          <w:iCs/>
          <w:sz w:val="24"/>
          <w:szCs w:val="24"/>
        </w:rPr>
        <w:t>arj</w:t>
      </w:r>
      <w:r>
        <w:rPr>
          <w:rFonts w:ascii="(normal text)" w:hAnsi="(normal text)"/>
          <w:sz w:val="24"/>
          <w:szCs w:val="24"/>
        </w:rPr>
        <w:t xml:space="preserve"> / </w:t>
      </w:r>
      <w:r>
        <w:rPr>
          <w:rFonts w:ascii="(normal text)" w:hAnsi="(normal text)" w:hint="cs"/>
          <w:sz w:val="24"/>
          <w:szCs w:val="24"/>
          <w:rtl/>
        </w:rPr>
        <w:t>عدم الحرج</w:t>
      </w:r>
      <w:r w:rsidRPr="00910CE3">
        <w:rPr>
          <w:rFonts w:ascii="(normal text)" w:hAnsi="(normal text)"/>
          <w:sz w:val="24"/>
          <w:szCs w:val="24"/>
        </w:rPr>
        <w:t>)</w:t>
      </w:r>
    </w:p>
    <w:p w:rsidR="00343B61" w:rsidRPr="00910CE3"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sidRPr="00910CE3">
        <w:rPr>
          <w:rFonts w:ascii="(normal text)" w:hAnsi="(normal text)"/>
          <w:sz w:val="24"/>
          <w:szCs w:val="24"/>
        </w:rPr>
        <w:t xml:space="preserve">Menciptakan rasa keadilan dalam masyarakat ( </w:t>
      </w:r>
      <w:r w:rsidRPr="00910CE3">
        <w:rPr>
          <w:rFonts w:ascii="(normal text)" w:hAnsi="(normal text)"/>
          <w:i/>
          <w:iCs/>
          <w:sz w:val="24"/>
          <w:szCs w:val="24"/>
        </w:rPr>
        <w:t>ta</w:t>
      </w:r>
      <w:r w:rsidRPr="00910CE3">
        <w:rPr>
          <w:rFonts w:ascii="Times New Roman" w:hAnsi="Times New Roman" w:cs="Times New Roman"/>
          <w:i/>
          <w:iCs/>
          <w:sz w:val="24"/>
          <w:szCs w:val="24"/>
          <w:u w:val="single"/>
          <w:lang w:val="id-ID"/>
        </w:rPr>
        <w:t>h</w:t>
      </w:r>
      <w:r w:rsidRPr="00910CE3">
        <w:rPr>
          <w:rFonts w:ascii="(normal text)" w:hAnsi="(normal text)"/>
          <w:i/>
          <w:iCs/>
          <w:sz w:val="24"/>
          <w:szCs w:val="24"/>
        </w:rPr>
        <w:t>qiq al-‘ad</w:t>
      </w:r>
      <w:r w:rsidRPr="00E46936">
        <w:rPr>
          <w:rFonts w:asciiTheme="majorBidi" w:hAnsiTheme="majorBidi" w:cstheme="majorBidi"/>
          <w:i/>
          <w:iCs/>
          <w:sz w:val="24"/>
          <w:szCs w:val="24"/>
          <w:lang w:val="sv-SE"/>
        </w:rPr>
        <w:t>ā</w:t>
      </w:r>
      <w:r w:rsidRPr="00910CE3">
        <w:rPr>
          <w:rFonts w:ascii="(normal text)" w:hAnsi="(normal text)"/>
          <w:i/>
          <w:iCs/>
          <w:sz w:val="24"/>
          <w:szCs w:val="24"/>
        </w:rPr>
        <w:t>lah</w:t>
      </w:r>
      <w:r>
        <w:rPr>
          <w:rFonts w:ascii="(normal text)" w:hAnsi="(normal text)"/>
          <w:sz w:val="24"/>
          <w:szCs w:val="24"/>
        </w:rPr>
        <w:t xml:space="preserve">/ </w:t>
      </w:r>
      <w:r>
        <w:rPr>
          <w:rFonts w:ascii="(normal text)" w:hAnsi="(normal text)" w:hint="cs"/>
          <w:sz w:val="24"/>
          <w:szCs w:val="24"/>
          <w:rtl/>
        </w:rPr>
        <w:t xml:space="preserve"> العدالة تحقيق</w:t>
      </w:r>
      <w:r w:rsidRPr="00910CE3">
        <w:rPr>
          <w:rFonts w:ascii="(normal text)" w:hAnsi="(normal text)"/>
          <w:sz w:val="24"/>
          <w:szCs w:val="24"/>
        </w:rPr>
        <w:t>)</w:t>
      </w:r>
    </w:p>
    <w:p w:rsidR="00343B61"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sidRPr="00910CE3">
        <w:rPr>
          <w:rFonts w:ascii="(normal text)" w:hAnsi="(normal text)"/>
          <w:sz w:val="24"/>
          <w:szCs w:val="24"/>
        </w:rPr>
        <w:lastRenderedPageBreak/>
        <w:t>Menciptakan kemaslahatan dan menolak kemudharatan (</w:t>
      </w:r>
      <w:r>
        <w:rPr>
          <w:rFonts w:ascii="(normal text)" w:hAnsi="(normal text)"/>
          <w:i/>
          <w:iCs/>
          <w:sz w:val="24"/>
          <w:szCs w:val="24"/>
        </w:rPr>
        <w:t>jalb al-</w:t>
      </w:r>
      <w:r w:rsidRPr="00910CE3">
        <w:rPr>
          <w:rFonts w:ascii="(normal text)" w:hAnsi="(normal text)"/>
          <w:i/>
          <w:iCs/>
          <w:sz w:val="24"/>
          <w:szCs w:val="24"/>
        </w:rPr>
        <w:t>mash</w:t>
      </w:r>
      <w:r w:rsidRPr="00E46936">
        <w:rPr>
          <w:rFonts w:asciiTheme="majorBidi" w:hAnsiTheme="majorBidi" w:cstheme="majorBidi"/>
          <w:i/>
          <w:iCs/>
          <w:sz w:val="24"/>
          <w:szCs w:val="24"/>
          <w:lang w:val="sv-SE"/>
        </w:rPr>
        <w:t>ā</w:t>
      </w:r>
      <w:r w:rsidRPr="00910CE3">
        <w:rPr>
          <w:rFonts w:ascii="(normal text)" w:hAnsi="(normal text)"/>
          <w:i/>
          <w:iCs/>
          <w:sz w:val="24"/>
          <w:szCs w:val="24"/>
        </w:rPr>
        <w:t>lih wa daf’u al-Maf</w:t>
      </w:r>
      <w:r w:rsidRPr="00E46936">
        <w:rPr>
          <w:rFonts w:asciiTheme="majorBidi" w:hAnsiTheme="majorBidi" w:cstheme="majorBidi"/>
          <w:i/>
          <w:iCs/>
          <w:sz w:val="24"/>
          <w:szCs w:val="24"/>
          <w:lang w:val="sv-SE"/>
        </w:rPr>
        <w:t>ā</w:t>
      </w:r>
      <w:r w:rsidRPr="00910CE3">
        <w:rPr>
          <w:rFonts w:ascii="(normal text)" w:hAnsi="(normal text)"/>
          <w:i/>
          <w:iCs/>
          <w:sz w:val="24"/>
          <w:szCs w:val="24"/>
        </w:rPr>
        <w:t>sid</w:t>
      </w:r>
      <w:r>
        <w:rPr>
          <w:rFonts w:ascii="(normal text)" w:hAnsi="(normal text)"/>
          <w:sz w:val="24"/>
          <w:szCs w:val="24"/>
        </w:rPr>
        <w:t xml:space="preserve">/ </w:t>
      </w:r>
      <w:r>
        <w:rPr>
          <w:rFonts w:ascii="(normal text)" w:hAnsi="(normal text)" w:hint="cs"/>
          <w:sz w:val="24"/>
          <w:szCs w:val="24"/>
          <w:rtl/>
        </w:rPr>
        <w:t>جلب المصالح ودفع المفسدة</w:t>
      </w:r>
      <w:r w:rsidRPr="00910CE3">
        <w:rPr>
          <w:rFonts w:ascii="(normal text)" w:hAnsi="(normal text)"/>
          <w:sz w:val="24"/>
          <w:szCs w:val="24"/>
        </w:rPr>
        <w:t>)</w:t>
      </w:r>
      <w:r w:rsidRPr="00910CE3">
        <w:rPr>
          <w:rStyle w:val="FootnoteReference"/>
          <w:rFonts w:ascii="(normal text)" w:hAnsi="(normal text)"/>
          <w:sz w:val="24"/>
          <w:szCs w:val="24"/>
        </w:rPr>
        <w:footnoteReference w:id="179"/>
      </w:r>
    </w:p>
    <w:p w:rsidR="00343B61"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Pr>
          <w:rFonts w:ascii="(normal text)" w:hAnsi="(normal text)"/>
          <w:sz w:val="24"/>
          <w:szCs w:val="24"/>
        </w:rPr>
        <w:t xml:space="preserve">Meringankan beban dari umat ( </w:t>
      </w:r>
      <w:r w:rsidRPr="00A67DC2">
        <w:rPr>
          <w:rFonts w:ascii="(normal text)" w:hAnsi="(normal text)"/>
          <w:i/>
          <w:iCs/>
          <w:sz w:val="24"/>
          <w:szCs w:val="24"/>
        </w:rPr>
        <w:t>Taqlil al-Tak</w:t>
      </w:r>
      <w:r w:rsidRPr="00E46936">
        <w:rPr>
          <w:rFonts w:asciiTheme="majorBidi" w:hAnsiTheme="majorBidi" w:cstheme="majorBidi"/>
          <w:i/>
          <w:iCs/>
          <w:sz w:val="24"/>
          <w:szCs w:val="24"/>
          <w:lang w:val="sv-SE"/>
        </w:rPr>
        <w:t>ā</w:t>
      </w:r>
      <w:r w:rsidRPr="00A67DC2">
        <w:rPr>
          <w:rFonts w:ascii="(normal text)" w:hAnsi="(normal text)"/>
          <w:i/>
          <w:iCs/>
          <w:sz w:val="24"/>
          <w:szCs w:val="24"/>
        </w:rPr>
        <w:t>lif</w:t>
      </w:r>
      <w:r>
        <w:rPr>
          <w:rFonts w:ascii="(normal text)" w:hAnsi="(normal text)"/>
          <w:sz w:val="24"/>
          <w:szCs w:val="24"/>
        </w:rPr>
        <w:t xml:space="preserve"> /</w:t>
      </w:r>
      <w:r>
        <w:rPr>
          <w:rFonts w:ascii="(normal text)" w:hAnsi="(normal text)" w:hint="cs"/>
          <w:sz w:val="24"/>
          <w:szCs w:val="24"/>
          <w:rtl/>
        </w:rPr>
        <w:t xml:space="preserve">  تقليل التكاليف</w:t>
      </w:r>
      <w:r>
        <w:rPr>
          <w:rFonts w:ascii="(normal text)" w:hAnsi="(normal text)"/>
          <w:sz w:val="24"/>
          <w:szCs w:val="24"/>
        </w:rPr>
        <w:t>)</w:t>
      </w:r>
    </w:p>
    <w:p w:rsidR="00343B61" w:rsidRPr="00910CE3" w:rsidRDefault="00343B61" w:rsidP="002C0A33">
      <w:pPr>
        <w:pStyle w:val="ListParagraph"/>
        <w:numPr>
          <w:ilvl w:val="0"/>
          <w:numId w:val="16"/>
        </w:numPr>
        <w:tabs>
          <w:tab w:val="left" w:pos="270"/>
        </w:tabs>
        <w:autoSpaceDE w:val="0"/>
        <w:autoSpaceDN w:val="0"/>
        <w:adjustRightInd w:val="0"/>
        <w:spacing w:after="0" w:line="360" w:lineRule="auto"/>
        <w:ind w:hanging="270"/>
        <w:jc w:val="both"/>
        <w:rPr>
          <w:rFonts w:ascii="(normal text)" w:hAnsi="(normal text)"/>
          <w:sz w:val="24"/>
          <w:szCs w:val="24"/>
        </w:rPr>
      </w:pPr>
      <w:r>
        <w:rPr>
          <w:rFonts w:ascii="(normal text)" w:hAnsi="(normal text)"/>
          <w:sz w:val="24"/>
          <w:szCs w:val="24"/>
        </w:rPr>
        <w:t>Bertahap dalam penarapan suatu aturan atau undang-undang (</w:t>
      </w:r>
      <w:r w:rsidRPr="00A67DC2">
        <w:rPr>
          <w:rFonts w:ascii="(normal text)" w:hAnsi="(normal text)"/>
          <w:i/>
          <w:iCs/>
          <w:sz w:val="24"/>
          <w:szCs w:val="24"/>
        </w:rPr>
        <w:t>al-Tadaruj fi al-Tasyri’</w:t>
      </w:r>
      <w:r>
        <w:rPr>
          <w:rFonts w:ascii="(normal text)" w:hAnsi="(normal text)"/>
          <w:sz w:val="24"/>
          <w:szCs w:val="24"/>
        </w:rPr>
        <w:t xml:space="preserve"> / </w:t>
      </w:r>
      <w:r>
        <w:rPr>
          <w:rFonts w:ascii="(normal text)" w:hAnsi="(normal text)" w:hint="cs"/>
          <w:sz w:val="24"/>
          <w:szCs w:val="24"/>
          <w:rtl/>
        </w:rPr>
        <w:t>التدرج في التشريع</w:t>
      </w:r>
      <w:r>
        <w:rPr>
          <w:rFonts w:ascii="(normal text)" w:hAnsi="(normal text)"/>
          <w:sz w:val="24"/>
          <w:szCs w:val="24"/>
        </w:rPr>
        <w:t xml:space="preserve"> )</w:t>
      </w:r>
      <w:r>
        <w:rPr>
          <w:rStyle w:val="FootnoteReference"/>
          <w:rFonts w:ascii="(normal text)" w:hAnsi="(normal text)"/>
          <w:sz w:val="24"/>
          <w:szCs w:val="24"/>
        </w:rPr>
        <w:footnoteReference w:id="180"/>
      </w:r>
    </w:p>
    <w:p w:rsidR="00343B61" w:rsidRPr="00910CE3" w:rsidRDefault="00343B61" w:rsidP="00343B61">
      <w:pPr>
        <w:pStyle w:val="ListParagraph"/>
        <w:autoSpaceDE w:val="0"/>
        <w:autoSpaceDN w:val="0"/>
        <w:adjustRightInd w:val="0"/>
        <w:spacing w:after="0" w:line="360" w:lineRule="auto"/>
        <w:ind w:left="0" w:firstLine="720"/>
        <w:jc w:val="both"/>
        <w:rPr>
          <w:rFonts w:ascii="(normal text)" w:hAnsi="(normal text)"/>
          <w:sz w:val="24"/>
          <w:szCs w:val="24"/>
        </w:rPr>
      </w:pPr>
      <w:r w:rsidRPr="00910CE3">
        <w:rPr>
          <w:rFonts w:ascii="(normal text)" w:hAnsi="(normal text)"/>
          <w:sz w:val="24"/>
          <w:szCs w:val="24"/>
        </w:rPr>
        <w:t xml:space="preserve">Jika diringkas, maka suatu kebijaksanaan politik dalam sebuah negara dapat menjadi siyāsah  </w:t>
      </w:r>
      <w:r>
        <w:rPr>
          <w:rFonts w:ascii="(normal text)" w:hAnsi="(normal text)"/>
          <w:sz w:val="24"/>
          <w:szCs w:val="24"/>
        </w:rPr>
        <w:t>syar‘iyyah</w:t>
      </w:r>
      <w:r w:rsidRPr="00910CE3">
        <w:rPr>
          <w:rFonts w:ascii="(normal text)" w:hAnsi="(normal text)"/>
          <w:sz w:val="24"/>
          <w:szCs w:val="24"/>
        </w:rPr>
        <w:t xml:space="preserve"> bila sesuai dengan prinsip-prinsip syari’at Islam dan menghargai hak-hak manusia yang paling asasi.</w:t>
      </w:r>
      <w:r w:rsidRPr="00910CE3">
        <w:rPr>
          <w:rStyle w:val="FootnoteReference"/>
          <w:rFonts w:ascii="(normal text)" w:hAnsi="(normal text)"/>
          <w:sz w:val="24"/>
          <w:szCs w:val="24"/>
        </w:rPr>
        <w:footnoteReference w:id="181"/>
      </w:r>
    </w:p>
    <w:p w:rsidR="00343B61" w:rsidRPr="00910CE3" w:rsidRDefault="00343B61" w:rsidP="00343B61">
      <w:pPr>
        <w:pStyle w:val="ListParagraph"/>
        <w:autoSpaceDE w:val="0"/>
        <w:autoSpaceDN w:val="0"/>
        <w:adjustRightInd w:val="0"/>
        <w:spacing w:after="0" w:line="360" w:lineRule="auto"/>
        <w:ind w:left="0" w:firstLine="720"/>
        <w:jc w:val="both"/>
        <w:rPr>
          <w:rFonts w:ascii="(normal text)" w:hAnsi="(normal text)"/>
          <w:sz w:val="24"/>
          <w:szCs w:val="24"/>
        </w:rPr>
      </w:pPr>
      <w:r w:rsidRPr="00910CE3">
        <w:rPr>
          <w:rFonts w:ascii="(normal text)" w:hAnsi="(normal text)"/>
          <w:sz w:val="24"/>
          <w:szCs w:val="24"/>
        </w:rPr>
        <w:t xml:space="preserve">Ada bebarapa ayat </w:t>
      </w:r>
      <w:r w:rsidRPr="00910CE3">
        <w:rPr>
          <w:rFonts w:asciiTheme="majorBidi" w:hAnsiTheme="majorBidi" w:cstheme="majorBidi"/>
          <w:sz w:val="24"/>
          <w:szCs w:val="24"/>
        </w:rPr>
        <w:t>al-Qur’ān</w:t>
      </w:r>
      <w:r w:rsidRPr="00910CE3">
        <w:rPr>
          <w:rFonts w:ascii="(normal text)" w:hAnsi="(normal text)"/>
          <w:sz w:val="24"/>
          <w:szCs w:val="24"/>
        </w:rPr>
        <w:t xml:space="preserve"> dan hadis Rasul Saw yang dianggap berkaitan dengan landasan </w:t>
      </w:r>
      <w:r w:rsidRPr="00910CE3">
        <w:rPr>
          <w:rFonts w:ascii="(normal text)" w:hAnsi="(normal text)"/>
          <w:i/>
          <w:iCs/>
          <w:sz w:val="24"/>
          <w:szCs w:val="24"/>
        </w:rPr>
        <w:t xml:space="preserve">siyāsah </w:t>
      </w:r>
      <w:r>
        <w:rPr>
          <w:rFonts w:ascii="(normal text)" w:hAnsi="(normal text)"/>
          <w:i/>
          <w:iCs/>
          <w:sz w:val="24"/>
          <w:szCs w:val="24"/>
        </w:rPr>
        <w:t>syar‘iyyah</w:t>
      </w:r>
      <w:r w:rsidRPr="00910CE3">
        <w:rPr>
          <w:rFonts w:ascii="(normal text)" w:hAnsi="(normal text)"/>
          <w:sz w:val="24"/>
          <w:szCs w:val="24"/>
        </w:rPr>
        <w:t xml:space="preserve">, baik langsung maupun tidak langsung yaitu: </w:t>
      </w:r>
    </w:p>
    <w:p w:rsidR="00343B61" w:rsidRPr="00910CE3" w:rsidRDefault="00343B61" w:rsidP="002C0A33">
      <w:pPr>
        <w:pStyle w:val="ListParagraph"/>
        <w:numPr>
          <w:ilvl w:val="0"/>
          <w:numId w:val="17"/>
        </w:numPr>
        <w:autoSpaceDE w:val="0"/>
        <w:autoSpaceDN w:val="0"/>
        <w:adjustRightInd w:val="0"/>
        <w:spacing w:after="0" w:line="360" w:lineRule="auto"/>
        <w:ind w:left="810" w:hanging="270"/>
        <w:jc w:val="both"/>
        <w:rPr>
          <w:rFonts w:ascii="(normal text)" w:hAnsi="(normal text)"/>
          <w:sz w:val="24"/>
          <w:szCs w:val="24"/>
        </w:rPr>
      </w:pPr>
      <w:r w:rsidRPr="00910CE3">
        <w:rPr>
          <w:rFonts w:ascii="(normal text)" w:hAnsi="(normal text)"/>
          <w:sz w:val="24"/>
          <w:szCs w:val="24"/>
        </w:rPr>
        <w:t xml:space="preserve">Dasar dari </w:t>
      </w:r>
      <w:r w:rsidRPr="00910CE3">
        <w:rPr>
          <w:rFonts w:asciiTheme="majorBidi" w:hAnsiTheme="majorBidi" w:cstheme="majorBidi"/>
          <w:sz w:val="24"/>
          <w:szCs w:val="24"/>
        </w:rPr>
        <w:t>al-Qur’ān</w:t>
      </w:r>
      <w:r w:rsidRPr="00910CE3">
        <w:rPr>
          <w:rFonts w:ascii="(normal text)" w:hAnsi="(normal text)"/>
          <w:sz w:val="24"/>
          <w:szCs w:val="24"/>
        </w:rPr>
        <w:t xml:space="preserve"> Al-Karim </w:t>
      </w:r>
    </w:p>
    <w:p w:rsidR="00343B61" w:rsidRPr="00910CE3" w:rsidRDefault="00343B61" w:rsidP="002C0A33">
      <w:pPr>
        <w:pStyle w:val="ListParagraph"/>
        <w:numPr>
          <w:ilvl w:val="0"/>
          <w:numId w:val="18"/>
        </w:numPr>
        <w:autoSpaceDE w:val="0"/>
        <w:autoSpaceDN w:val="0"/>
        <w:adjustRightInd w:val="0"/>
        <w:spacing w:after="0" w:line="360" w:lineRule="auto"/>
        <w:ind w:left="1080" w:hanging="270"/>
        <w:jc w:val="both"/>
        <w:rPr>
          <w:rFonts w:ascii="(normal text)" w:hAnsi="(normal text)"/>
          <w:sz w:val="24"/>
          <w:szCs w:val="24"/>
        </w:rPr>
      </w:pPr>
      <w:r w:rsidRPr="00910CE3">
        <w:rPr>
          <w:rFonts w:ascii="(normal text)" w:hAnsi="(normal text)"/>
          <w:sz w:val="24"/>
          <w:szCs w:val="24"/>
        </w:rPr>
        <w:t>Firman Allah Swt yang menjelaskan kemestian mewujudkan persatuan dan kesatuan umat, yaitu:</w:t>
      </w:r>
    </w:p>
    <w:p w:rsidR="00343B61" w:rsidRPr="00910CE3" w:rsidRDefault="00343B61" w:rsidP="00343B61">
      <w:pPr>
        <w:pStyle w:val="ListParagraph"/>
        <w:autoSpaceDE w:val="0"/>
        <w:autoSpaceDN w:val="0"/>
        <w:bidi/>
        <w:adjustRightInd w:val="0"/>
        <w:spacing w:after="0" w:line="240" w:lineRule="auto"/>
        <w:ind w:left="737" w:right="180" w:hanging="720"/>
        <w:rPr>
          <w:rFonts w:ascii="(normal text)" w:hAnsi="(normal text)"/>
          <w:rtl/>
        </w:rPr>
      </w:pPr>
      <w:r w:rsidRPr="00910CE3">
        <w:rPr>
          <w:sz w:val="28"/>
          <w:szCs w:val="28"/>
        </w:rPr>
        <w:sym w:font="HQPB4" w:char="F0A8"/>
      </w:r>
      <w:r w:rsidRPr="00910CE3">
        <w:rPr>
          <w:sz w:val="28"/>
          <w:szCs w:val="28"/>
        </w:rPr>
        <w:sym w:font="HQPB2" w:char="F062"/>
      </w:r>
      <w:r w:rsidRPr="00910CE3">
        <w:rPr>
          <w:sz w:val="28"/>
          <w:szCs w:val="28"/>
        </w:rPr>
        <w:sym w:font="HQPB4" w:char="F0CE"/>
      </w:r>
      <w:r w:rsidRPr="00910CE3">
        <w:rPr>
          <w:sz w:val="28"/>
          <w:szCs w:val="28"/>
        </w:rPr>
        <w:sym w:font="HQPB1" w:char="F029"/>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F"/>
      </w:r>
      <w:r w:rsidRPr="00910CE3">
        <w:rPr>
          <w:sz w:val="28"/>
          <w:szCs w:val="28"/>
        </w:rPr>
        <w:sym w:font="HQPB2" w:char="F0BE"/>
      </w:r>
      <w:r w:rsidRPr="00910CE3">
        <w:rPr>
          <w:sz w:val="28"/>
          <w:szCs w:val="28"/>
        </w:rPr>
        <w:sym w:font="HQPB4" w:char="F0CD"/>
      </w:r>
      <w:r w:rsidRPr="00910CE3">
        <w:rPr>
          <w:sz w:val="28"/>
          <w:szCs w:val="28"/>
        </w:rPr>
        <w:sym w:font="HQPB2" w:char="F06E"/>
      </w:r>
      <w:r w:rsidRPr="00910CE3">
        <w:rPr>
          <w:sz w:val="28"/>
          <w:szCs w:val="28"/>
        </w:rPr>
        <w:sym w:font="HQPB4" w:char="F0C9"/>
      </w:r>
      <w:r w:rsidRPr="00910CE3">
        <w:rPr>
          <w:sz w:val="28"/>
          <w:szCs w:val="28"/>
        </w:rPr>
        <w:sym w:font="HQPB1" w:char="F08B"/>
      </w:r>
      <w:r w:rsidRPr="00910CE3">
        <w:rPr>
          <w:sz w:val="28"/>
          <w:szCs w:val="28"/>
        </w:rPr>
        <w:sym w:font="HQPB2" w:char="F0BB"/>
      </w:r>
      <w:r w:rsidRPr="00910CE3">
        <w:rPr>
          <w:sz w:val="28"/>
          <w:szCs w:val="28"/>
        </w:rPr>
        <w:sym w:font="HQPB5" w:char="F079"/>
      </w:r>
      <w:r w:rsidRPr="00910CE3">
        <w:rPr>
          <w:sz w:val="28"/>
          <w:szCs w:val="28"/>
        </w:rPr>
        <w:sym w:font="HQPB2" w:char="F064"/>
      </w:r>
      <w:r w:rsidRPr="00910CE3">
        <w:rPr>
          <w:rFonts w:ascii="(normal text)" w:hAnsi="(normal text)"/>
          <w:rtl/>
        </w:rPr>
        <w:t xml:space="preserve"> </w:t>
      </w:r>
      <w:r w:rsidRPr="00910CE3">
        <w:rPr>
          <w:sz w:val="28"/>
          <w:szCs w:val="28"/>
        </w:rPr>
        <w:sym w:font="HQPB4" w:char="F0F3"/>
      </w:r>
      <w:r w:rsidRPr="00910CE3">
        <w:rPr>
          <w:sz w:val="28"/>
          <w:szCs w:val="28"/>
        </w:rPr>
        <w:sym w:font="HQPB2" w:char="F04F"/>
      </w:r>
      <w:r w:rsidRPr="00910CE3">
        <w:rPr>
          <w:sz w:val="28"/>
          <w:szCs w:val="28"/>
        </w:rPr>
        <w:sym w:font="HQPB4" w:char="F0E4"/>
      </w:r>
      <w:r w:rsidRPr="00910CE3">
        <w:rPr>
          <w:sz w:val="28"/>
          <w:szCs w:val="28"/>
        </w:rPr>
        <w:sym w:font="HQPB2" w:char="F033"/>
      </w:r>
      <w:r w:rsidRPr="00910CE3">
        <w:rPr>
          <w:sz w:val="28"/>
          <w:szCs w:val="28"/>
        </w:rPr>
        <w:sym w:font="HQPB4" w:char="F0E7"/>
      </w:r>
      <w:r w:rsidRPr="00910CE3">
        <w:rPr>
          <w:sz w:val="28"/>
          <w:szCs w:val="28"/>
        </w:rPr>
        <w:sym w:font="HQPB1" w:char="F046"/>
      </w:r>
      <w:r w:rsidRPr="00910CE3">
        <w:rPr>
          <w:sz w:val="28"/>
          <w:szCs w:val="28"/>
        </w:rPr>
        <w:sym w:font="HQPB4" w:char="F0A8"/>
      </w:r>
      <w:r w:rsidRPr="00910CE3">
        <w:rPr>
          <w:sz w:val="28"/>
          <w:szCs w:val="28"/>
        </w:rPr>
        <w:sym w:font="HQPB2" w:char="F042"/>
      </w:r>
      <w:r w:rsidRPr="00910CE3">
        <w:rPr>
          <w:sz w:val="28"/>
          <w:szCs w:val="28"/>
        </w:rPr>
        <w:sym w:font="HQPB4" w:char="F0E9"/>
      </w:r>
      <w:r w:rsidRPr="00910CE3">
        <w:rPr>
          <w:sz w:val="28"/>
          <w:szCs w:val="28"/>
        </w:rPr>
        <w:sym w:font="HQPB1" w:char="F026"/>
      </w:r>
      <w:r w:rsidRPr="00910CE3">
        <w:rPr>
          <w:rFonts w:ascii="(normal text)" w:hAnsi="(normal text)"/>
          <w:rtl/>
        </w:rPr>
        <w:t xml:space="preserve"> </w:t>
      </w:r>
      <w:r w:rsidRPr="00910CE3">
        <w:rPr>
          <w:sz w:val="28"/>
          <w:szCs w:val="28"/>
        </w:rPr>
        <w:sym w:font="HQPB4" w:char="F05A"/>
      </w:r>
      <w:r w:rsidRPr="00910CE3">
        <w:rPr>
          <w:sz w:val="28"/>
          <w:szCs w:val="28"/>
        </w:rPr>
        <w:sym w:font="HQPB2" w:char="F070"/>
      </w:r>
      <w:r w:rsidRPr="00910CE3">
        <w:rPr>
          <w:sz w:val="28"/>
          <w:szCs w:val="28"/>
        </w:rPr>
        <w:sym w:font="HQPB4" w:char="F0A8"/>
      </w:r>
      <w:r w:rsidRPr="00910CE3">
        <w:rPr>
          <w:sz w:val="28"/>
          <w:szCs w:val="28"/>
        </w:rPr>
        <w:sym w:font="HQPB2" w:char="F042"/>
      </w:r>
      <w:r w:rsidRPr="00910CE3">
        <w:rPr>
          <w:sz w:val="28"/>
          <w:szCs w:val="28"/>
        </w:rPr>
        <w:sym w:font="HQPB4" w:char="F0E9"/>
      </w:r>
      <w:r w:rsidRPr="00910CE3">
        <w:rPr>
          <w:sz w:val="28"/>
          <w:szCs w:val="28"/>
        </w:rPr>
        <w:sym w:font="HQPB1" w:char="F026"/>
      </w:r>
      <w:r w:rsidRPr="00910CE3">
        <w:rPr>
          <w:rFonts w:ascii="(normal text)" w:hAnsi="(normal text)"/>
          <w:rtl/>
        </w:rPr>
        <w:t xml:space="preserve"> </w:t>
      </w:r>
      <w:r w:rsidRPr="00910CE3">
        <w:rPr>
          <w:sz w:val="28"/>
          <w:szCs w:val="28"/>
        </w:rPr>
        <w:sym w:font="HQPB4" w:char="F05A"/>
      </w:r>
      <w:r w:rsidRPr="00910CE3">
        <w:rPr>
          <w:sz w:val="28"/>
          <w:szCs w:val="28"/>
        </w:rPr>
        <w:sym w:font="HQPB2" w:char="F06F"/>
      </w:r>
      <w:r w:rsidRPr="00910CE3">
        <w:rPr>
          <w:sz w:val="28"/>
          <w:szCs w:val="28"/>
        </w:rPr>
        <w:sym w:font="HQPB5" w:char="F079"/>
      </w:r>
      <w:r w:rsidRPr="00910CE3">
        <w:rPr>
          <w:sz w:val="28"/>
          <w:szCs w:val="28"/>
        </w:rPr>
        <w:sym w:font="HQPB1" w:char="F089"/>
      </w:r>
      <w:r w:rsidRPr="00910CE3">
        <w:rPr>
          <w:sz w:val="28"/>
          <w:szCs w:val="28"/>
        </w:rPr>
        <w:sym w:font="HQPB4" w:char="F0CF"/>
      </w:r>
      <w:r w:rsidRPr="00910CE3">
        <w:rPr>
          <w:sz w:val="28"/>
          <w:szCs w:val="28"/>
        </w:rPr>
        <w:sym w:font="HQPB1" w:char="F06E"/>
      </w:r>
      <w:r w:rsidRPr="00910CE3">
        <w:rPr>
          <w:sz w:val="28"/>
          <w:szCs w:val="28"/>
        </w:rPr>
        <w:sym w:font="HQPB2" w:char="F0BA"/>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4F"/>
      </w:r>
      <w:r w:rsidRPr="00910CE3">
        <w:rPr>
          <w:sz w:val="28"/>
          <w:szCs w:val="28"/>
        </w:rPr>
        <w:sym w:font="HQPB1" w:char="F024"/>
      </w:r>
      <w:r w:rsidRPr="00910CE3">
        <w:rPr>
          <w:sz w:val="28"/>
          <w:szCs w:val="28"/>
        </w:rPr>
        <w:sym w:font="HQPB5" w:char="F074"/>
      </w:r>
      <w:r w:rsidRPr="00910CE3">
        <w:rPr>
          <w:sz w:val="28"/>
          <w:szCs w:val="28"/>
        </w:rPr>
        <w:sym w:font="HQPB2" w:char="F052"/>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E0"/>
      </w:r>
      <w:r w:rsidRPr="00910CE3">
        <w:rPr>
          <w:sz w:val="28"/>
          <w:szCs w:val="28"/>
        </w:rPr>
        <w:sym w:font="HQPB2" w:char="F036"/>
      </w:r>
      <w:r w:rsidRPr="00910CE3">
        <w:rPr>
          <w:sz w:val="28"/>
          <w:szCs w:val="28"/>
        </w:rPr>
        <w:sym w:font="HQPB4" w:char="F09A"/>
      </w:r>
      <w:r w:rsidRPr="00910CE3">
        <w:rPr>
          <w:sz w:val="28"/>
          <w:szCs w:val="28"/>
        </w:rPr>
        <w:sym w:font="HQPB1" w:char="F02F"/>
      </w:r>
      <w:r w:rsidRPr="00910CE3">
        <w:rPr>
          <w:sz w:val="28"/>
          <w:szCs w:val="28"/>
        </w:rPr>
        <w:sym w:font="HQPB5" w:char="F075"/>
      </w:r>
      <w:r w:rsidRPr="00910CE3">
        <w:rPr>
          <w:sz w:val="28"/>
          <w:szCs w:val="28"/>
        </w:rPr>
        <w:sym w:font="HQPB1" w:char="F091"/>
      </w:r>
      <w:r w:rsidRPr="00910CE3">
        <w:rPr>
          <w:rFonts w:ascii="(normal text)" w:hAnsi="(normal text)"/>
          <w:rtl/>
        </w:rPr>
        <w:t xml:space="preserve"> </w:t>
      </w:r>
      <w:r w:rsidRPr="00910CE3">
        <w:rPr>
          <w:sz w:val="28"/>
          <w:szCs w:val="28"/>
        </w:rPr>
        <w:sym w:font="HQPB4" w:char="F0C8"/>
      </w:r>
      <w:r w:rsidRPr="00910CE3">
        <w:rPr>
          <w:sz w:val="28"/>
          <w:szCs w:val="28"/>
        </w:rPr>
        <w:sym w:font="HQPB2" w:char="F062"/>
      </w:r>
      <w:r w:rsidRPr="00910CE3">
        <w:rPr>
          <w:sz w:val="28"/>
          <w:szCs w:val="28"/>
        </w:rPr>
        <w:sym w:font="HQPB2" w:char="F071"/>
      </w:r>
      <w:r w:rsidRPr="00910CE3">
        <w:rPr>
          <w:sz w:val="28"/>
          <w:szCs w:val="28"/>
        </w:rPr>
        <w:sym w:font="HQPB4" w:char="F0E0"/>
      </w:r>
      <w:r w:rsidRPr="00910CE3">
        <w:rPr>
          <w:sz w:val="28"/>
          <w:szCs w:val="28"/>
        </w:rPr>
        <w:sym w:font="HQPB2" w:char="F029"/>
      </w:r>
      <w:r w:rsidRPr="00910CE3">
        <w:rPr>
          <w:sz w:val="28"/>
          <w:szCs w:val="28"/>
        </w:rPr>
        <w:sym w:font="HQPB4" w:char="F0A8"/>
      </w:r>
      <w:r w:rsidRPr="00910CE3">
        <w:rPr>
          <w:sz w:val="28"/>
          <w:szCs w:val="28"/>
        </w:rPr>
        <w:sym w:font="HQPB1" w:char="F03F"/>
      </w:r>
      <w:r w:rsidRPr="00910CE3">
        <w:rPr>
          <w:sz w:val="28"/>
          <w:szCs w:val="28"/>
        </w:rPr>
        <w:sym w:font="HQPB5" w:char="F024"/>
      </w:r>
      <w:r w:rsidRPr="00910CE3">
        <w:rPr>
          <w:sz w:val="28"/>
          <w:szCs w:val="28"/>
        </w:rPr>
        <w:sym w:font="HQPB1" w:char="F024"/>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2" w:char="F0C7"/>
      </w:r>
      <w:r w:rsidRPr="00910CE3">
        <w:rPr>
          <w:sz w:val="28"/>
          <w:szCs w:val="28"/>
        </w:rPr>
        <w:sym w:font="HQPB2" w:char="F0CE"/>
      </w:r>
      <w:r w:rsidRPr="00910CE3">
        <w:rPr>
          <w:sz w:val="28"/>
          <w:szCs w:val="28"/>
        </w:rPr>
        <w:sym w:font="HQPB2" w:char="F0CB"/>
      </w:r>
      <w:r w:rsidRPr="00910CE3">
        <w:rPr>
          <w:sz w:val="28"/>
          <w:szCs w:val="28"/>
        </w:rPr>
        <w:sym w:font="HQPB2" w:char="F0C8"/>
      </w:r>
      <w:r w:rsidRPr="00910CE3">
        <w:rPr>
          <w:rFonts w:ascii="(normal text)" w:hAnsi="(normal text)"/>
          <w:rtl/>
        </w:rPr>
        <w:t xml:space="preserve">  </w:t>
      </w:r>
      <w:r w:rsidRPr="00910CE3">
        <w:rPr>
          <w:rFonts w:ascii="(normal text)" w:hAnsi="(normal text)" w:hint="cs"/>
          <w:rtl/>
        </w:rPr>
        <w:t xml:space="preserve">( ق.س: </w:t>
      </w:r>
      <w:r w:rsidRPr="00910CE3">
        <w:rPr>
          <w:rFonts w:ascii="Arial Rounded MT Bold" w:hAnsi="Arial Rounded MT Bold" w:hint="cs"/>
          <w:rtl/>
        </w:rPr>
        <w:t>المؤمنون</w:t>
      </w:r>
      <w:r w:rsidRPr="00910CE3">
        <w:rPr>
          <w:rFonts w:ascii="(normal text)" w:hAnsi="(normal text)" w:hint="cs"/>
          <w:rtl/>
        </w:rPr>
        <w:t xml:space="preserve"> / 23: </w:t>
      </w:r>
      <w:r w:rsidRPr="00910CE3">
        <w:rPr>
          <w:rFonts w:ascii="(normal text)" w:hAnsi="(normal text)"/>
        </w:rPr>
        <w:t>52</w:t>
      </w:r>
      <w:r w:rsidRPr="00910CE3">
        <w:rPr>
          <w:rFonts w:ascii="(normal text)" w:hAnsi="(normal text)" w:hint="cs"/>
          <w:rtl/>
        </w:rPr>
        <w:t xml:space="preserve"> )</w:t>
      </w:r>
    </w:p>
    <w:p w:rsidR="00343B61" w:rsidRDefault="00343B61" w:rsidP="00343B61">
      <w:pPr>
        <w:pStyle w:val="ListParagraph"/>
        <w:autoSpaceDE w:val="0"/>
        <w:autoSpaceDN w:val="0"/>
        <w:adjustRightInd w:val="0"/>
        <w:spacing w:after="0" w:line="240" w:lineRule="auto"/>
        <w:ind w:left="900" w:right="180"/>
        <w:jc w:val="both"/>
        <w:rPr>
          <w:rFonts w:ascii="(normal text)" w:hAnsi="(normal text)"/>
          <w:sz w:val="24"/>
          <w:szCs w:val="24"/>
        </w:rPr>
      </w:pPr>
      <w:r w:rsidRPr="00910CE3">
        <w:rPr>
          <w:rFonts w:asciiTheme="majorBidi" w:hAnsiTheme="majorBidi" w:cstheme="majorBidi"/>
          <w:sz w:val="24"/>
          <w:szCs w:val="24"/>
        </w:rPr>
        <w:t>Artinya:</w:t>
      </w:r>
      <w:r w:rsidRPr="00910CE3">
        <w:rPr>
          <w:rFonts w:ascii="(normal text)" w:hAnsi="(normal text)"/>
          <w:i/>
          <w:iCs/>
          <w:sz w:val="24"/>
          <w:szCs w:val="24"/>
        </w:rPr>
        <w:t>“Sesungguhnya (agama Tauhid) ini, adalah agama kamu semua, agama yang satu, dan aku adalah Tuhanmu, Maka bertakwalah kepada-Ku”.</w:t>
      </w:r>
      <w:r w:rsidRPr="00910CE3">
        <w:rPr>
          <w:rFonts w:ascii="(normal text)" w:hAnsi="(normal text)"/>
          <w:sz w:val="24"/>
          <w:szCs w:val="24"/>
        </w:rPr>
        <w:t xml:space="preserve"> ( QS.Al-Mukminun [23]: 52)</w:t>
      </w:r>
      <w:r w:rsidRPr="00910CE3">
        <w:rPr>
          <w:rStyle w:val="FootnoteReference"/>
          <w:rFonts w:ascii="(normal text)" w:hAnsi="(normal text)"/>
          <w:sz w:val="24"/>
          <w:szCs w:val="24"/>
        </w:rPr>
        <w:footnoteReference w:id="182"/>
      </w:r>
    </w:p>
    <w:p w:rsidR="00343B61" w:rsidRPr="00C136ED" w:rsidRDefault="00343B61" w:rsidP="00343B61">
      <w:pPr>
        <w:pStyle w:val="ListParagraph"/>
        <w:autoSpaceDE w:val="0"/>
        <w:autoSpaceDN w:val="0"/>
        <w:adjustRightInd w:val="0"/>
        <w:spacing w:after="0" w:line="240" w:lineRule="auto"/>
        <w:ind w:left="900" w:right="180"/>
        <w:jc w:val="both"/>
        <w:rPr>
          <w:rFonts w:ascii="(normal text)" w:hAnsi="(normal text)"/>
          <w:sz w:val="24"/>
          <w:szCs w:val="24"/>
        </w:rPr>
      </w:pPr>
    </w:p>
    <w:p w:rsidR="00343B61" w:rsidRPr="00F731CB" w:rsidRDefault="00343B61" w:rsidP="00343B61">
      <w:pPr>
        <w:bidi/>
        <w:spacing w:after="0" w:line="240" w:lineRule="auto"/>
        <w:rPr>
          <w:rFonts w:ascii="Adobe نسخ Medium" w:hAnsi="Adobe نسخ Medium" w:cs="Adobe نسخ Medium"/>
          <w:sz w:val="34"/>
          <w:szCs w:val="34"/>
          <w:rtl/>
        </w:rPr>
      </w:pP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8"/>
      </w:r>
      <w:r w:rsidRPr="00910CE3">
        <w:rPr>
          <w:sz w:val="28"/>
          <w:szCs w:val="28"/>
        </w:rPr>
        <w:sym w:font="HQPB2" w:char="F08B"/>
      </w:r>
      <w:r w:rsidRPr="00910CE3">
        <w:rPr>
          <w:sz w:val="28"/>
          <w:szCs w:val="28"/>
        </w:rPr>
        <w:sym w:font="HQPB4" w:char="F0CF"/>
      </w:r>
      <w:r w:rsidRPr="00910CE3">
        <w:rPr>
          <w:sz w:val="28"/>
          <w:szCs w:val="28"/>
        </w:rPr>
        <w:sym w:font="HQPB1" w:char="F0DB"/>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A9"/>
      </w:r>
      <w:r w:rsidRPr="00F731CB">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910CE3">
        <w:rPr>
          <w:rFonts w:ascii="(normal text)" w:hAnsi="(normal text)"/>
          <w:rtl/>
        </w:rPr>
        <w:t xml:space="preserve"> </w:t>
      </w:r>
      <w:r w:rsidRPr="00910CE3">
        <w:rPr>
          <w:sz w:val="28"/>
          <w:szCs w:val="28"/>
        </w:rPr>
        <w:sym w:font="HQPB2" w:char="F0BC"/>
      </w:r>
      <w:r w:rsidRPr="00910CE3">
        <w:rPr>
          <w:sz w:val="28"/>
          <w:szCs w:val="28"/>
        </w:rPr>
        <w:sym w:font="HQPB4" w:char="F0E3"/>
      </w:r>
      <w:r w:rsidRPr="00910CE3">
        <w:rPr>
          <w:sz w:val="28"/>
          <w:szCs w:val="28"/>
        </w:rPr>
        <w:sym w:font="HQPB3" w:char="F026"/>
      </w:r>
      <w:r w:rsidRPr="00910CE3">
        <w:rPr>
          <w:sz w:val="28"/>
          <w:szCs w:val="28"/>
        </w:rPr>
        <w:sym w:font="HQPB5" w:char="F073"/>
      </w:r>
      <w:r w:rsidRPr="00910CE3">
        <w:rPr>
          <w:sz w:val="28"/>
          <w:szCs w:val="28"/>
        </w:rPr>
        <w:sym w:font="HQPB3" w:char="F021"/>
      </w:r>
      <w:r w:rsidRPr="00910CE3">
        <w:rPr>
          <w:sz w:val="28"/>
          <w:szCs w:val="28"/>
        </w:rPr>
        <w:sym w:font="HQPB2" w:char="F071"/>
      </w:r>
      <w:r w:rsidRPr="00910CE3">
        <w:rPr>
          <w:sz w:val="28"/>
          <w:szCs w:val="28"/>
        </w:rPr>
        <w:sym w:font="HQPB4" w:char="F0DF"/>
      </w:r>
      <w:r w:rsidRPr="00910CE3">
        <w:rPr>
          <w:sz w:val="28"/>
          <w:szCs w:val="28"/>
        </w:rPr>
        <w:sym w:font="HQPB1" w:char="F099"/>
      </w:r>
      <w:r w:rsidRPr="00910CE3">
        <w:rPr>
          <w:sz w:val="28"/>
          <w:szCs w:val="28"/>
        </w:rPr>
        <w:sym w:font="HQPB5" w:char="F075"/>
      </w:r>
      <w:r w:rsidRPr="00910CE3">
        <w:rPr>
          <w:sz w:val="28"/>
          <w:szCs w:val="28"/>
        </w:rPr>
        <w:sym w:font="HQPB1" w:char="F091"/>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9F"/>
      </w:r>
      <w:r w:rsidRPr="00910CE3">
        <w:rPr>
          <w:sz w:val="28"/>
          <w:szCs w:val="28"/>
        </w:rPr>
        <w:sym w:font="HQPB2" w:char="F077"/>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3"/>
      </w:r>
      <w:r w:rsidRPr="00910CE3">
        <w:rPr>
          <w:sz w:val="28"/>
          <w:szCs w:val="28"/>
        </w:rPr>
        <w:sym w:font="HQPB5" w:char="F074"/>
      </w:r>
      <w:r w:rsidRPr="00910CE3">
        <w:rPr>
          <w:sz w:val="28"/>
          <w:szCs w:val="28"/>
        </w:rPr>
        <w:sym w:font="HQPB1" w:char="F093"/>
      </w:r>
      <w:r w:rsidRPr="00910CE3">
        <w:rPr>
          <w:sz w:val="28"/>
          <w:szCs w:val="28"/>
        </w:rPr>
        <w:sym w:font="HQPB2" w:char="F0BB"/>
      </w:r>
      <w:r w:rsidRPr="00910CE3">
        <w:rPr>
          <w:sz w:val="28"/>
          <w:szCs w:val="28"/>
        </w:rPr>
        <w:sym w:font="HQPB5" w:char="F075"/>
      </w:r>
      <w:r w:rsidRPr="00910CE3">
        <w:rPr>
          <w:sz w:val="28"/>
          <w:szCs w:val="28"/>
        </w:rPr>
        <w:sym w:font="HQPB2" w:char="F05A"/>
      </w:r>
      <w:r w:rsidRPr="00910CE3">
        <w:rPr>
          <w:sz w:val="28"/>
          <w:szCs w:val="28"/>
        </w:rPr>
        <w:sym w:font="HQPB5" w:char="F073"/>
      </w:r>
      <w:r w:rsidRPr="00910CE3">
        <w:rPr>
          <w:sz w:val="28"/>
          <w:szCs w:val="28"/>
        </w:rPr>
        <w:sym w:font="HQPB1" w:char="F03F"/>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8"/>
      </w:r>
      <w:r w:rsidRPr="00910CE3">
        <w:rPr>
          <w:sz w:val="28"/>
          <w:szCs w:val="28"/>
        </w:rPr>
        <w:sym w:font="HQPB2" w:char="F03D"/>
      </w:r>
      <w:r w:rsidRPr="00910CE3">
        <w:rPr>
          <w:sz w:val="28"/>
          <w:szCs w:val="28"/>
        </w:rPr>
        <w:sym w:font="HQPB5" w:char="F074"/>
      </w:r>
      <w:r w:rsidRPr="00910CE3">
        <w:rPr>
          <w:sz w:val="28"/>
          <w:szCs w:val="28"/>
        </w:rPr>
        <w:sym w:font="HQPB1" w:char="F0B1"/>
      </w:r>
      <w:r w:rsidRPr="00910CE3">
        <w:rPr>
          <w:sz w:val="28"/>
          <w:szCs w:val="28"/>
        </w:rPr>
        <w:sym w:font="HQPB4" w:char="F0F8"/>
      </w:r>
      <w:r w:rsidRPr="00910CE3">
        <w:rPr>
          <w:sz w:val="28"/>
          <w:szCs w:val="28"/>
        </w:rPr>
        <w:sym w:font="HQPB1" w:char="F0FF"/>
      </w:r>
      <w:r w:rsidRPr="00910CE3">
        <w:rPr>
          <w:sz w:val="28"/>
          <w:szCs w:val="28"/>
        </w:rPr>
        <w:sym w:font="HQPB5" w:char="F074"/>
      </w:r>
      <w:r w:rsidRPr="00910CE3">
        <w:rPr>
          <w:sz w:val="28"/>
          <w:szCs w:val="28"/>
        </w:rPr>
        <w:sym w:font="HQPB1" w:char="F047"/>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5" w:char="F07C"/>
      </w:r>
      <w:r w:rsidRPr="00910CE3">
        <w:rPr>
          <w:sz w:val="28"/>
          <w:szCs w:val="28"/>
        </w:rPr>
        <w:sym w:font="HQPB1" w:char="F03D"/>
      </w:r>
      <w:r w:rsidRPr="00910CE3">
        <w:rPr>
          <w:sz w:val="28"/>
          <w:szCs w:val="28"/>
        </w:rPr>
        <w:sym w:font="HQPB5" w:char="F079"/>
      </w:r>
      <w:r w:rsidRPr="00910CE3">
        <w:rPr>
          <w:sz w:val="28"/>
          <w:szCs w:val="28"/>
        </w:rPr>
        <w:sym w:font="HQPB2" w:char="F064"/>
      </w:r>
      <w:r w:rsidRPr="00910CE3">
        <w:rPr>
          <w:sz w:val="28"/>
          <w:szCs w:val="28"/>
        </w:rPr>
        <w:sym w:font="HQPB4" w:char="F0F5"/>
      </w:r>
      <w:r w:rsidRPr="00910CE3">
        <w:rPr>
          <w:sz w:val="28"/>
          <w:szCs w:val="28"/>
        </w:rPr>
        <w:sym w:font="HQPB1" w:char="F08B"/>
      </w:r>
      <w:r w:rsidRPr="00910CE3">
        <w:rPr>
          <w:sz w:val="28"/>
          <w:szCs w:val="28"/>
        </w:rPr>
        <w:sym w:font="HQPB5" w:char="F073"/>
      </w:r>
      <w:r w:rsidRPr="00910CE3">
        <w:rPr>
          <w:sz w:val="28"/>
          <w:szCs w:val="28"/>
        </w:rPr>
        <w:sym w:font="HQPB1" w:char="F03F"/>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6"/>
      </w:r>
      <w:r w:rsidRPr="00910CE3">
        <w:rPr>
          <w:sz w:val="28"/>
          <w:szCs w:val="28"/>
        </w:rPr>
        <w:sym w:font="HQPB3" w:char="F02F"/>
      </w:r>
      <w:r w:rsidRPr="00910CE3">
        <w:rPr>
          <w:sz w:val="28"/>
          <w:szCs w:val="28"/>
        </w:rPr>
        <w:sym w:font="HQPB4" w:char="F0E4"/>
      </w:r>
      <w:r w:rsidRPr="00910CE3">
        <w:rPr>
          <w:sz w:val="28"/>
          <w:szCs w:val="28"/>
        </w:rPr>
        <w:sym w:font="HQPB2" w:char="F033"/>
      </w:r>
      <w:r w:rsidRPr="00910CE3">
        <w:rPr>
          <w:sz w:val="28"/>
          <w:szCs w:val="28"/>
        </w:rPr>
        <w:sym w:font="HQPB4" w:char="F0E7"/>
      </w:r>
      <w:r w:rsidRPr="00910CE3">
        <w:rPr>
          <w:sz w:val="28"/>
          <w:szCs w:val="28"/>
        </w:rPr>
        <w:sym w:font="HQPB1" w:char="F074"/>
      </w:r>
      <w:r w:rsidRPr="00910CE3">
        <w:rPr>
          <w:sz w:val="28"/>
          <w:szCs w:val="28"/>
        </w:rPr>
        <w:sym w:font="HQPB2" w:char="F086"/>
      </w:r>
      <w:r w:rsidRPr="00910CE3">
        <w:rPr>
          <w:sz w:val="28"/>
          <w:szCs w:val="28"/>
        </w:rPr>
        <w:sym w:font="HQPB4" w:char="F0CD"/>
      </w:r>
      <w:r w:rsidRPr="00910CE3">
        <w:rPr>
          <w:sz w:val="28"/>
          <w:szCs w:val="28"/>
        </w:rPr>
        <w:sym w:font="HQPB1" w:char="F091"/>
      </w:r>
      <w:r w:rsidRPr="00910CE3">
        <w:rPr>
          <w:rFonts w:ascii="(normal text)" w:hAnsi="(normal text)"/>
          <w:rtl/>
        </w:rPr>
        <w:t xml:space="preserve"> </w:t>
      </w:r>
      <w:r w:rsidRPr="00910CE3">
        <w:rPr>
          <w:sz w:val="28"/>
          <w:szCs w:val="28"/>
        </w:rPr>
        <w:sym w:font="HQPB4" w:char="F028"/>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4" w:char="F0FF"/>
      </w:r>
      <w:r w:rsidRPr="00910CE3">
        <w:rPr>
          <w:sz w:val="28"/>
          <w:szCs w:val="28"/>
        </w:rPr>
        <w:sym w:font="HQPB2" w:char="F072"/>
      </w:r>
      <w:r w:rsidRPr="00910CE3">
        <w:rPr>
          <w:sz w:val="28"/>
          <w:szCs w:val="28"/>
        </w:rPr>
        <w:sym w:font="HQPB4" w:char="F0E7"/>
      </w:r>
      <w:r w:rsidRPr="00910CE3">
        <w:rPr>
          <w:sz w:val="28"/>
          <w:szCs w:val="28"/>
        </w:rPr>
        <w:sym w:font="HQPB1" w:char="F08E"/>
      </w:r>
      <w:r w:rsidRPr="00910CE3">
        <w:rPr>
          <w:sz w:val="28"/>
          <w:szCs w:val="28"/>
        </w:rPr>
        <w:sym w:font="HQPB4" w:char="F0C9"/>
      </w:r>
      <w:r w:rsidRPr="00910CE3">
        <w:rPr>
          <w:sz w:val="28"/>
          <w:szCs w:val="28"/>
        </w:rPr>
        <w:sym w:font="HQPB1" w:char="F039"/>
      </w:r>
      <w:r w:rsidRPr="00910CE3">
        <w:rPr>
          <w:sz w:val="28"/>
          <w:szCs w:val="28"/>
        </w:rPr>
        <w:sym w:font="HQPB4" w:char="F0F4"/>
      </w:r>
      <w:r w:rsidRPr="00910CE3">
        <w:rPr>
          <w:sz w:val="28"/>
          <w:szCs w:val="28"/>
        </w:rPr>
        <w:sym w:font="HQPB1" w:char="F0B9"/>
      </w:r>
      <w:r w:rsidRPr="00910CE3">
        <w:rPr>
          <w:sz w:val="28"/>
          <w:szCs w:val="28"/>
        </w:rPr>
        <w:sym w:font="HQPB5" w:char="F024"/>
      </w:r>
      <w:r w:rsidRPr="00910CE3">
        <w:rPr>
          <w:sz w:val="28"/>
          <w:szCs w:val="28"/>
        </w:rPr>
        <w:sym w:font="HQPB1" w:char="F023"/>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34"/>
      </w:r>
      <w:r w:rsidRPr="00910CE3">
        <w:rPr>
          <w:rFonts w:ascii="(normal text)" w:hAnsi="(normal text)"/>
          <w:rtl/>
        </w:rPr>
        <w:t xml:space="preserve"> </w:t>
      </w:r>
      <w:r w:rsidRPr="00910CE3">
        <w:rPr>
          <w:sz w:val="28"/>
          <w:szCs w:val="28"/>
        </w:rPr>
        <w:sym w:font="HQPB4" w:char="F0A8"/>
      </w:r>
      <w:r w:rsidRPr="00910CE3">
        <w:rPr>
          <w:sz w:val="28"/>
          <w:szCs w:val="28"/>
        </w:rPr>
        <w:sym w:font="HQPB2" w:char="F062"/>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910CE3">
        <w:rPr>
          <w:sz w:val="28"/>
          <w:szCs w:val="28"/>
        </w:rPr>
        <w:sym w:font="HQPB5" w:char="F0A9"/>
      </w:r>
      <w:r w:rsidRPr="00F731CB">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910CE3">
        <w:rPr>
          <w:sz w:val="28"/>
          <w:szCs w:val="28"/>
        </w:rPr>
        <w:t xml:space="preserve"> </w:t>
      </w:r>
      <w:r w:rsidRPr="00910CE3">
        <w:rPr>
          <w:sz w:val="28"/>
          <w:szCs w:val="28"/>
        </w:rPr>
        <w:sym w:font="HQPB5" w:char="F079"/>
      </w:r>
      <w:r w:rsidRPr="00910CE3">
        <w:rPr>
          <w:sz w:val="28"/>
          <w:szCs w:val="28"/>
        </w:rPr>
        <w:sym w:font="HQPB1" w:char="F0EC"/>
      </w:r>
      <w:r w:rsidRPr="00910CE3">
        <w:rPr>
          <w:sz w:val="28"/>
          <w:szCs w:val="28"/>
        </w:rPr>
        <w:sym w:font="HQPB5" w:char="F074"/>
      </w:r>
      <w:r w:rsidRPr="00910CE3">
        <w:rPr>
          <w:sz w:val="28"/>
          <w:szCs w:val="28"/>
        </w:rPr>
        <w:sym w:font="HQPB2" w:char="F042"/>
      </w:r>
      <w:r w:rsidRPr="00910CE3">
        <w:rPr>
          <w:rFonts w:ascii="(normal text)" w:hAnsi="(normal text)"/>
          <w:rtl/>
        </w:rPr>
        <w:t xml:space="preserve"> </w:t>
      </w:r>
      <w:r w:rsidRPr="00910CE3">
        <w:rPr>
          <w:sz w:val="28"/>
          <w:szCs w:val="28"/>
        </w:rPr>
        <w:sym w:font="HQPB5" w:char="F09A"/>
      </w:r>
      <w:r w:rsidRPr="00910CE3">
        <w:rPr>
          <w:sz w:val="28"/>
          <w:szCs w:val="28"/>
        </w:rPr>
        <w:sym w:font="HQPB2" w:char="F0FA"/>
      </w:r>
      <w:r w:rsidRPr="00910CE3">
        <w:rPr>
          <w:sz w:val="28"/>
          <w:szCs w:val="28"/>
        </w:rPr>
        <w:sym w:font="HQPB2" w:char="F0EF"/>
      </w:r>
      <w:r w:rsidRPr="00910CE3">
        <w:rPr>
          <w:sz w:val="28"/>
          <w:szCs w:val="28"/>
        </w:rPr>
        <w:sym w:font="HQPB4" w:char="F0CE"/>
      </w:r>
      <w:r w:rsidRPr="00910CE3">
        <w:rPr>
          <w:sz w:val="28"/>
          <w:szCs w:val="28"/>
        </w:rPr>
        <w:sym w:font="HQPB1" w:char="F08E"/>
      </w:r>
      <w:r w:rsidRPr="00910CE3">
        <w:rPr>
          <w:sz w:val="28"/>
          <w:szCs w:val="28"/>
        </w:rPr>
        <w:sym w:font="HQPB4" w:char="F0C9"/>
      </w:r>
      <w:r w:rsidRPr="00910CE3">
        <w:rPr>
          <w:sz w:val="28"/>
          <w:szCs w:val="28"/>
        </w:rPr>
        <w:sym w:font="HQPB1" w:char="F039"/>
      </w:r>
      <w:r w:rsidRPr="00910CE3">
        <w:rPr>
          <w:sz w:val="28"/>
          <w:szCs w:val="28"/>
        </w:rPr>
        <w:sym w:font="HQPB2" w:char="F0BB"/>
      </w:r>
      <w:r w:rsidRPr="00910CE3">
        <w:rPr>
          <w:sz w:val="28"/>
          <w:szCs w:val="28"/>
        </w:rPr>
        <w:sym w:font="HQPB4" w:char="F0A2"/>
      </w:r>
      <w:r w:rsidRPr="00910CE3">
        <w:rPr>
          <w:sz w:val="28"/>
          <w:szCs w:val="28"/>
        </w:rPr>
        <w:sym w:font="HQPB1" w:char="F0C1"/>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2" w:char="F0C7"/>
      </w:r>
      <w:r w:rsidRPr="00910CE3">
        <w:rPr>
          <w:sz w:val="28"/>
          <w:szCs w:val="28"/>
        </w:rPr>
        <w:sym w:font="HQPB2" w:char="F0CD"/>
      </w:r>
      <w:r w:rsidRPr="00910CE3">
        <w:rPr>
          <w:sz w:val="28"/>
          <w:szCs w:val="28"/>
        </w:rPr>
        <w:sym w:font="HQPB2" w:char="F0CF"/>
      </w:r>
      <w:r w:rsidRPr="00910CE3">
        <w:rPr>
          <w:sz w:val="28"/>
          <w:szCs w:val="28"/>
        </w:rPr>
        <w:sym w:font="HQPB2" w:char="F0C8"/>
      </w:r>
      <w:r w:rsidRPr="00910CE3">
        <w:rPr>
          <w:rFonts w:ascii="(normal text)" w:hAnsi="(normal text)"/>
          <w:rtl/>
        </w:rPr>
        <w:t xml:space="preserve">   </w:t>
      </w:r>
      <w:r w:rsidRPr="00910CE3">
        <w:rPr>
          <w:rFonts w:ascii="(normal text)" w:hAnsi="(normal text)" w:hint="cs"/>
          <w:rtl/>
        </w:rPr>
        <w:t xml:space="preserve">( ق.س: </w:t>
      </w:r>
      <w:r w:rsidRPr="00910CE3">
        <w:rPr>
          <w:rFonts w:ascii="Arial Rounded MT Bold" w:hAnsi="Arial Rounded MT Bold" w:hint="cs"/>
          <w:rtl/>
        </w:rPr>
        <w:t>الأنفال</w:t>
      </w:r>
      <w:r w:rsidRPr="00910CE3">
        <w:rPr>
          <w:rFonts w:ascii="(normal text)" w:hAnsi="(normal text)" w:hint="cs"/>
          <w:rtl/>
        </w:rPr>
        <w:t xml:space="preserve"> / 8: 46 )</w:t>
      </w:r>
    </w:p>
    <w:p w:rsidR="00343B61" w:rsidRPr="00910CE3" w:rsidRDefault="00343B61" w:rsidP="00343B61">
      <w:pPr>
        <w:tabs>
          <w:tab w:val="left" w:pos="7920"/>
        </w:tabs>
        <w:autoSpaceDE w:val="0"/>
        <w:autoSpaceDN w:val="0"/>
        <w:adjustRightInd w:val="0"/>
        <w:spacing w:after="0"/>
        <w:ind w:left="900" w:right="17"/>
        <w:jc w:val="both"/>
        <w:rPr>
          <w:rFonts w:ascii="(normal text)" w:hAnsi="(normal text)"/>
          <w:sz w:val="24"/>
          <w:szCs w:val="24"/>
        </w:rPr>
      </w:pPr>
      <w:r w:rsidRPr="00910CE3">
        <w:rPr>
          <w:rFonts w:asciiTheme="majorBidi" w:hAnsiTheme="majorBidi" w:cstheme="majorBidi"/>
          <w:sz w:val="24"/>
          <w:szCs w:val="24"/>
        </w:rPr>
        <w:t>Artinya:</w:t>
      </w:r>
      <w:r w:rsidRPr="00910CE3">
        <w:rPr>
          <w:rFonts w:ascii="(normal text)" w:hAnsi="(normal text)"/>
          <w:i/>
          <w:iCs/>
          <w:sz w:val="24"/>
          <w:szCs w:val="24"/>
        </w:rPr>
        <w:t xml:space="preserve"> “dan taatlah kepada Allah dan Rasul-Nya dan janganlah kamu berbantah-bantahan, yang menyebabkan kamu menjadi gentar dan </w:t>
      </w:r>
      <w:r w:rsidRPr="00910CE3">
        <w:rPr>
          <w:rFonts w:ascii="(normal text)" w:hAnsi="(normal text)"/>
          <w:i/>
          <w:iCs/>
          <w:sz w:val="24"/>
          <w:szCs w:val="24"/>
        </w:rPr>
        <w:lastRenderedPageBreak/>
        <w:t>hilang kekuatanmu dan bersabarlah. Sesungguhnya Allah beserta orang-orang yang sabar.”</w:t>
      </w:r>
      <w:r w:rsidRPr="00910CE3">
        <w:rPr>
          <w:rStyle w:val="FootnoteReference"/>
          <w:rFonts w:ascii="(normal text)" w:hAnsi="(normal text)"/>
          <w:i/>
          <w:iCs/>
          <w:sz w:val="24"/>
          <w:szCs w:val="24"/>
        </w:rPr>
        <w:footnoteReference w:id="183"/>
      </w:r>
      <w:r w:rsidRPr="00910CE3">
        <w:rPr>
          <w:rFonts w:ascii="(normal text)" w:hAnsi="(normal text)"/>
          <w:sz w:val="24"/>
          <w:szCs w:val="24"/>
        </w:rPr>
        <w:t xml:space="preserve"> ( QS.Al-Anfal [8]: 46) </w:t>
      </w:r>
    </w:p>
    <w:p w:rsidR="00343B61" w:rsidRPr="00910CE3" w:rsidRDefault="00343B61" w:rsidP="00343B61">
      <w:pPr>
        <w:tabs>
          <w:tab w:val="left" w:pos="7920"/>
        </w:tabs>
        <w:autoSpaceDE w:val="0"/>
        <w:autoSpaceDN w:val="0"/>
        <w:adjustRightInd w:val="0"/>
        <w:spacing w:after="0" w:line="360" w:lineRule="auto"/>
        <w:ind w:left="900" w:right="17"/>
        <w:jc w:val="both"/>
        <w:rPr>
          <w:rFonts w:ascii="(normal text)" w:hAnsi="(normal text)"/>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90" w:right="17" w:hanging="270"/>
        <w:jc w:val="both"/>
        <w:rPr>
          <w:rFonts w:ascii="(normal text)" w:hAnsi="(normal text)"/>
          <w:sz w:val="24"/>
          <w:szCs w:val="24"/>
        </w:rPr>
      </w:pPr>
      <w:r w:rsidRPr="00910CE3">
        <w:rPr>
          <w:rFonts w:ascii="(normal text)" w:hAnsi="(normal text)"/>
          <w:sz w:val="24"/>
          <w:szCs w:val="24"/>
        </w:rPr>
        <w:t>Kemestian bermusyawarah dalam menyelesaikan dan menyelengarakan masalah yang bersifat ijtihad. Al-Qur’ān mengisyaratkan bahwa umat Islam terkait keharusan untuk mengatasi persolan. Firman Allah:</w:t>
      </w:r>
    </w:p>
    <w:p w:rsidR="00343B61" w:rsidRPr="003F0C08" w:rsidRDefault="00343B61" w:rsidP="00343B61">
      <w:pPr>
        <w:bidi/>
        <w:spacing w:line="240" w:lineRule="auto"/>
        <w:rPr>
          <w:rFonts w:ascii="Adobe نسخ Medium" w:hAnsi="Adobe نسخ Medium" w:cs="Adobe نسخ Medium"/>
          <w:sz w:val="28"/>
          <w:szCs w:val="28"/>
          <w:rtl/>
        </w:rPr>
      </w:pPr>
      <w:r w:rsidRPr="003F0C08">
        <w:rPr>
          <w:sz w:val="28"/>
          <w:szCs w:val="28"/>
        </w:rPr>
        <w:sym w:font="HQPB4" w:char="F0F6"/>
      </w:r>
      <w:r w:rsidRPr="003F0C08">
        <w:rPr>
          <w:sz w:val="28"/>
          <w:szCs w:val="28"/>
        </w:rPr>
        <w:sym w:font="HQPB2" w:char="F04E"/>
      </w:r>
      <w:r w:rsidRPr="003F0C08">
        <w:rPr>
          <w:sz w:val="28"/>
          <w:szCs w:val="28"/>
        </w:rPr>
        <w:sym w:font="HQPB4" w:char="F0E8"/>
      </w:r>
      <w:r w:rsidRPr="003F0C08">
        <w:rPr>
          <w:sz w:val="28"/>
          <w:szCs w:val="28"/>
        </w:rPr>
        <w:sym w:font="HQPB2" w:char="F064"/>
      </w:r>
      <w:r w:rsidRPr="003F0C08">
        <w:rPr>
          <w:sz w:val="28"/>
          <w:szCs w:val="28"/>
        </w:rPr>
        <w:sym w:font="HQPB4" w:char="F0F6"/>
      </w:r>
      <w:r w:rsidRPr="003F0C08">
        <w:rPr>
          <w:sz w:val="28"/>
          <w:szCs w:val="28"/>
        </w:rPr>
        <w:sym w:font="HQPB1" w:char="F091"/>
      </w:r>
      <w:r w:rsidRPr="003F0C08">
        <w:rPr>
          <w:sz w:val="28"/>
          <w:szCs w:val="28"/>
        </w:rPr>
        <w:sym w:font="HQPB4" w:char="F0CD"/>
      </w:r>
      <w:r w:rsidRPr="003F0C08">
        <w:rPr>
          <w:sz w:val="28"/>
          <w:szCs w:val="28"/>
        </w:rPr>
        <w:sym w:font="HQPB2" w:char="F072"/>
      </w:r>
      <w:r w:rsidRPr="003F0C08">
        <w:rPr>
          <w:sz w:val="28"/>
          <w:szCs w:val="28"/>
        </w:rPr>
        <w:sym w:font="HQPB1" w:char="F024"/>
      </w:r>
      <w:r w:rsidRPr="003F0C08">
        <w:rPr>
          <w:sz w:val="28"/>
          <w:szCs w:val="28"/>
        </w:rPr>
        <w:sym w:font="HQPB5" w:char="F078"/>
      </w:r>
      <w:r w:rsidRPr="003F0C08">
        <w:rPr>
          <w:sz w:val="28"/>
          <w:szCs w:val="28"/>
        </w:rPr>
        <w:sym w:font="HQPB1" w:char="F0A9"/>
      </w:r>
      <w:r w:rsidRPr="003F0C08">
        <w:rPr>
          <w:sz w:val="28"/>
          <w:szCs w:val="28"/>
        </w:rPr>
        <w:sym w:font="HQPB5" w:char="F075"/>
      </w:r>
      <w:r w:rsidRPr="003F0C08">
        <w:rPr>
          <w:sz w:val="28"/>
          <w:szCs w:val="28"/>
        </w:rPr>
        <w:sym w:font="HQPB2" w:char="F072"/>
      </w:r>
      <w:r w:rsidRPr="003F0C08">
        <w:rPr>
          <w:rFonts w:ascii="(normal text)" w:hAnsi="(normal text)"/>
          <w:sz w:val="28"/>
          <w:szCs w:val="28"/>
          <w:rtl/>
        </w:rPr>
        <w:t xml:space="preserve"> </w:t>
      </w:r>
      <w:r w:rsidRPr="003F0C08">
        <w:rPr>
          <w:sz w:val="28"/>
          <w:szCs w:val="28"/>
        </w:rPr>
        <w:sym w:font="HQPB2" w:char="F092"/>
      </w:r>
      <w:r w:rsidRPr="003F0C08">
        <w:rPr>
          <w:sz w:val="28"/>
          <w:szCs w:val="28"/>
        </w:rPr>
        <w:sym w:font="HQPB4" w:char="F0CE"/>
      </w:r>
      <w:r w:rsidRPr="003F0C08">
        <w:rPr>
          <w:sz w:val="28"/>
          <w:szCs w:val="28"/>
        </w:rPr>
        <w:sym w:font="HQPB1" w:char="F0FB"/>
      </w:r>
      <w:r w:rsidRPr="003F0C08">
        <w:rPr>
          <w:rFonts w:ascii="(normal text)" w:hAnsi="(normal text)"/>
          <w:sz w:val="28"/>
          <w:szCs w:val="28"/>
          <w:rtl/>
        </w:rPr>
        <w:t xml:space="preserve"> </w:t>
      </w:r>
      <w:r w:rsidRPr="003F0C08">
        <w:rPr>
          <w:sz w:val="28"/>
          <w:szCs w:val="28"/>
        </w:rPr>
        <w:sym w:font="HQPB4" w:char="F0CD"/>
      </w:r>
      <w:r w:rsidRPr="003F0C08">
        <w:rPr>
          <w:sz w:val="28"/>
          <w:szCs w:val="28"/>
        </w:rPr>
        <w:sym w:font="HQPB1" w:char="F090"/>
      </w:r>
      <w:r w:rsidRPr="003F0C08">
        <w:rPr>
          <w:sz w:val="28"/>
          <w:szCs w:val="28"/>
        </w:rPr>
        <w:sym w:font="HQPB4" w:char="F0F6"/>
      </w:r>
      <w:r w:rsidRPr="003F0C08">
        <w:rPr>
          <w:sz w:val="28"/>
          <w:szCs w:val="28"/>
        </w:rPr>
        <w:sym w:font="HQPB2" w:char="F044"/>
      </w:r>
      <w:r w:rsidRPr="003F0C08">
        <w:rPr>
          <w:sz w:val="28"/>
          <w:szCs w:val="28"/>
        </w:rPr>
        <w:sym w:font="HQPB5" w:char="F046"/>
      </w:r>
      <w:r w:rsidRPr="003F0C08">
        <w:rPr>
          <w:sz w:val="28"/>
          <w:szCs w:val="28"/>
        </w:rPr>
        <w:sym w:font="HQPB2" w:char="F07B"/>
      </w:r>
      <w:r w:rsidRPr="003F0C08">
        <w:rPr>
          <w:sz w:val="28"/>
          <w:szCs w:val="28"/>
        </w:rPr>
        <w:sym w:font="HQPB5" w:char="F024"/>
      </w:r>
      <w:r w:rsidRPr="003F0C08">
        <w:rPr>
          <w:sz w:val="28"/>
          <w:szCs w:val="28"/>
        </w:rPr>
        <w:sym w:font="HQPB1" w:char="F023"/>
      </w:r>
      <w:r w:rsidRPr="003F0C08">
        <w:rPr>
          <w:rFonts w:ascii="(normal text)" w:hAnsi="(normal text)"/>
          <w:sz w:val="28"/>
          <w:szCs w:val="28"/>
          <w:rtl/>
        </w:rPr>
        <w:t xml:space="preserve"> </w:t>
      </w:r>
      <w:r w:rsidRPr="003F0C08">
        <w:rPr>
          <w:sz w:val="28"/>
          <w:szCs w:val="28"/>
        </w:rPr>
        <w:sym w:font="HQPB4" w:char="F028"/>
      </w:r>
      <w:r w:rsidRPr="003F0C08">
        <w:rPr>
          <w:rFonts w:ascii="(normal text)" w:hAnsi="(normal text)"/>
          <w:sz w:val="28"/>
          <w:szCs w:val="28"/>
          <w:rtl/>
        </w:rPr>
        <w:t xml:space="preserve"> </w:t>
      </w:r>
      <w:r w:rsidRPr="003F0C08">
        <w:rPr>
          <w:sz w:val="28"/>
          <w:szCs w:val="28"/>
        </w:rPr>
        <w:sym w:font="HQPB1" w:char="F023"/>
      </w:r>
      <w:r w:rsidRPr="003F0C08">
        <w:rPr>
          <w:sz w:val="28"/>
          <w:szCs w:val="28"/>
        </w:rPr>
        <w:sym w:font="HQPB5" w:char="F073"/>
      </w:r>
      <w:r w:rsidRPr="003F0C08">
        <w:rPr>
          <w:sz w:val="28"/>
          <w:szCs w:val="28"/>
        </w:rPr>
        <w:sym w:font="HQPB1" w:char="F08C"/>
      </w:r>
      <w:r w:rsidRPr="003F0C08">
        <w:rPr>
          <w:sz w:val="28"/>
          <w:szCs w:val="28"/>
        </w:rPr>
        <w:sym w:font="HQPB4" w:char="F0CE"/>
      </w:r>
      <w:r w:rsidRPr="003F0C08">
        <w:rPr>
          <w:sz w:val="28"/>
          <w:szCs w:val="28"/>
        </w:rPr>
        <w:sym w:font="HQPB1" w:char="F02A"/>
      </w:r>
      <w:r w:rsidRPr="003F0C08">
        <w:rPr>
          <w:sz w:val="28"/>
          <w:szCs w:val="28"/>
        </w:rPr>
        <w:sym w:font="HQPB5" w:char="F073"/>
      </w:r>
      <w:r w:rsidRPr="003F0C08">
        <w:rPr>
          <w:sz w:val="28"/>
          <w:szCs w:val="28"/>
        </w:rPr>
        <w:sym w:font="HQPB1" w:char="F0F9"/>
      </w:r>
      <w:r w:rsidRPr="003F0C08">
        <w:rPr>
          <w:rFonts w:ascii="(normal text)" w:hAnsi="(normal text)"/>
          <w:sz w:val="28"/>
          <w:szCs w:val="28"/>
          <w:rtl/>
        </w:rPr>
        <w:t xml:space="preserve"> </w:t>
      </w:r>
      <w:r w:rsidRPr="003F0C08">
        <w:rPr>
          <w:sz w:val="28"/>
          <w:szCs w:val="28"/>
        </w:rPr>
        <w:sym w:font="HQPB5" w:char="F07C"/>
      </w:r>
      <w:r w:rsidRPr="003F0C08">
        <w:rPr>
          <w:sz w:val="28"/>
          <w:szCs w:val="28"/>
        </w:rPr>
        <w:sym w:font="HQPB1" w:char="F04D"/>
      </w:r>
      <w:r w:rsidRPr="003F0C08">
        <w:rPr>
          <w:sz w:val="28"/>
          <w:szCs w:val="28"/>
        </w:rPr>
        <w:sym w:font="HQPB4" w:char="F0F8"/>
      </w:r>
      <w:r w:rsidRPr="003F0C08">
        <w:rPr>
          <w:sz w:val="28"/>
          <w:szCs w:val="28"/>
        </w:rPr>
        <w:sym w:font="HQPB2" w:char="F042"/>
      </w:r>
      <w:r w:rsidRPr="003F0C08">
        <w:rPr>
          <w:sz w:val="28"/>
          <w:szCs w:val="28"/>
        </w:rPr>
        <w:sym w:font="HQPB5" w:char="F07A"/>
      </w:r>
      <w:r w:rsidRPr="003F0C08">
        <w:rPr>
          <w:sz w:val="28"/>
          <w:szCs w:val="28"/>
        </w:rPr>
        <w:sym w:font="HQPB1" w:char="F095"/>
      </w:r>
      <w:r w:rsidRPr="003F0C08">
        <w:rPr>
          <w:sz w:val="28"/>
          <w:szCs w:val="28"/>
        </w:rPr>
        <w:sym w:font="HQPB5" w:char="F074"/>
      </w:r>
      <w:r w:rsidRPr="003F0C08">
        <w:rPr>
          <w:sz w:val="28"/>
          <w:szCs w:val="28"/>
        </w:rPr>
        <w:sym w:font="HQPB1" w:char="F0E3"/>
      </w:r>
      <w:r w:rsidRPr="003F0C08">
        <w:rPr>
          <w:rFonts w:ascii="(normal text)" w:hAnsi="(normal text)"/>
          <w:sz w:val="28"/>
          <w:szCs w:val="28"/>
          <w:rtl/>
        </w:rPr>
        <w:t xml:space="preserve"> </w:t>
      </w:r>
      <w:r w:rsidRPr="003F0C08">
        <w:rPr>
          <w:sz w:val="28"/>
          <w:szCs w:val="28"/>
        </w:rPr>
        <w:sym w:font="HQPB4" w:char="F0F6"/>
      </w:r>
      <w:r w:rsidRPr="003F0C08">
        <w:rPr>
          <w:sz w:val="28"/>
          <w:szCs w:val="28"/>
        </w:rPr>
        <w:sym w:font="HQPB2" w:char="F040"/>
      </w:r>
      <w:r w:rsidRPr="003F0C08">
        <w:rPr>
          <w:sz w:val="28"/>
          <w:szCs w:val="28"/>
        </w:rPr>
        <w:sym w:font="HQPB4" w:char="F0A9"/>
      </w:r>
      <w:r w:rsidRPr="003F0C08">
        <w:rPr>
          <w:sz w:val="28"/>
          <w:szCs w:val="28"/>
        </w:rPr>
        <w:sym w:font="HQPB2" w:char="F02E"/>
      </w:r>
      <w:r w:rsidRPr="003F0C08">
        <w:rPr>
          <w:sz w:val="28"/>
          <w:szCs w:val="28"/>
        </w:rPr>
        <w:sym w:font="HQPB5" w:char="F075"/>
      </w:r>
      <w:r w:rsidRPr="003F0C08">
        <w:rPr>
          <w:sz w:val="28"/>
          <w:szCs w:val="28"/>
        </w:rPr>
        <w:sym w:font="HQPB2" w:char="F071"/>
      </w:r>
      <w:r w:rsidRPr="003F0C08">
        <w:rPr>
          <w:sz w:val="28"/>
          <w:szCs w:val="28"/>
        </w:rPr>
        <w:sym w:font="HQPB5" w:char="F074"/>
      </w:r>
      <w:r w:rsidRPr="003F0C08">
        <w:rPr>
          <w:sz w:val="28"/>
          <w:szCs w:val="28"/>
        </w:rPr>
        <w:sym w:font="HQPB1" w:char="F047"/>
      </w:r>
      <w:r w:rsidRPr="003F0C08">
        <w:rPr>
          <w:sz w:val="28"/>
          <w:szCs w:val="28"/>
        </w:rPr>
        <w:sym w:font="HQPB5" w:char="F073"/>
      </w:r>
      <w:r w:rsidRPr="003F0C08">
        <w:rPr>
          <w:sz w:val="28"/>
          <w:szCs w:val="28"/>
        </w:rPr>
        <w:sym w:font="HQPB1" w:char="F0F9"/>
      </w:r>
      <w:r w:rsidRPr="003F0C08">
        <w:rPr>
          <w:rFonts w:ascii="(normal text)" w:hAnsi="(normal text)"/>
          <w:sz w:val="28"/>
          <w:szCs w:val="28"/>
          <w:rtl/>
        </w:rPr>
        <w:t xml:space="preserve"> </w:t>
      </w:r>
      <w:r w:rsidRPr="003F0C08">
        <w:rPr>
          <w:sz w:val="28"/>
          <w:szCs w:val="28"/>
        </w:rPr>
        <w:sym w:font="HQPB2" w:char="F092"/>
      </w:r>
      <w:r w:rsidRPr="003F0C08">
        <w:rPr>
          <w:sz w:val="28"/>
          <w:szCs w:val="28"/>
        </w:rPr>
        <w:sym w:font="HQPB5" w:char="F06E"/>
      </w:r>
      <w:r w:rsidRPr="003F0C08">
        <w:rPr>
          <w:sz w:val="28"/>
          <w:szCs w:val="28"/>
        </w:rPr>
        <w:sym w:font="HQPB2" w:char="F03F"/>
      </w:r>
      <w:r w:rsidRPr="003F0C08">
        <w:rPr>
          <w:sz w:val="28"/>
          <w:szCs w:val="28"/>
        </w:rPr>
        <w:sym w:font="HQPB5" w:char="F074"/>
      </w:r>
      <w:r w:rsidRPr="003F0C08">
        <w:rPr>
          <w:sz w:val="28"/>
          <w:szCs w:val="28"/>
        </w:rPr>
        <w:sym w:font="HQPB1" w:char="F0E3"/>
      </w:r>
      <w:r w:rsidRPr="003F0C08">
        <w:rPr>
          <w:rFonts w:ascii="(normal text)" w:hAnsi="(normal text)"/>
          <w:sz w:val="28"/>
          <w:szCs w:val="28"/>
          <w:rtl/>
        </w:rPr>
        <w:t xml:space="preserve"> </w:t>
      </w:r>
      <w:r w:rsidRPr="003F0C08">
        <w:rPr>
          <w:sz w:val="28"/>
          <w:szCs w:val="28"/>
        </w:rPr>
        <w:sym w:font="HQPB5" w:char="F0AB"/>
      </w:r>
      <w:r w:rsidRPr="003F0C08">
        <w:rPr>
          <w:rFonts w:ascii="Adobe نسخ Medium" w:hAnsi="Adobe نسخ Medium" w:cs="Adobe نسخ Medium"/>
          <w:sz w:val="28"/>
          <w:szCs w:val="28"/>
          <w:rtl/>
        </w:rPr>
        <w:t xml:space="preserve"> اللهِ</w:t>
      </w:r>
      <w:r w:rsidRPr="003F0C08">
        <w:rPr>
          <w:rFonts w:ascii="(normal text)" w:hAnsi="(normal text)"/>
          <w:sz w:val="28"/>
          <w:szCs w:val="28"/>
          <w:rtl/>
        </w:rPr>
        <w:t xml:space="preserve"> </w:t>
      </w:r>
      <w:r w:rsidRPr="003F0C08">
        <w:rPr>
          <w:sz w:val="28"/>
          <w:szCs w:val="28"/>
        </w:rPr>
        <w:sym w:font="HQPB4" w:char="F034"/>
      </w:r>
      <w:r w:rsidRPr="003F0C08">
        <w:rPr>
          <w:rFonts w:ascii="(normal text)" w:hAnsi="(normal text)"/>
          <w:sz w:val="28"/>
          <w:szCs w:val="28"/>
          <w:rtl/>
        </w:rPr>
        <w:t xml:space="preserve"> </w:t>
      </w:r>
      <w:r w:rsidRPr="003F0C08">
        <w:rPr>
          <w:sz w:val="28"/>
          <w:szCs w:val="28"/>
        </w:rPr>
        <w:sym w:font="HQPB4" w:char="F0A8"/>
      </w:r>
      <w:r w:rsidRPr="003F0C08">
        <w:rPr>
          <w:sz w:val="28"/>
          <w:szCs w:val="28"/>
        </w:rPr>
        <w:sym w:font="HQPB2" w:char="F062"/>
      </w:r>
      <w:r w:rsidRPr="003F0C08">
        <w:rPr>
          <w:sz w:val="28"/>
          <w:szCs w:val="28"/>
        </w:rPr>
        <w:sym w:font="HQPB4" w:char="F0CE"/>
      </w:r>
      <w:r w:rsidRPr="003F0C08">
        <w:rPr>
          <w:sz w:val="28"/>
          <w:szCs w:val="28"/>
        </w:rPr>
        <w:sym w:font="HQPB1" w:char="F029"/>
      </w:r>
      <w:r w:rsidRPr="003F0C08">
        <w:rPr>
          <w:rFonts w:ascii="(normal text)" w:hAnsi="(normal text)"/>
          <w:sz w:val="28"/>
          <w:szCs w:val="28"/>
          <w:rtl/>
        </w:rPr>
        <w:t xml:space="preserve"> </w:t>
      </w:r>
      <w:r w:rsidRPr="003F0C08">
        <w:rPr>
          <w:sz w:val="28"/>
          <w:szCs w:val="28"/>
        </w:rPr>
        <w:sym w:font="HQPB5" w:char="F0A9"/>
      </w:r>
      <w:r w:rsidRPr="003F0C08">
        <w:rPr>
          <w:rFonts w:ascii="Adobe نسخ Medium" w:hAnsi="Adobe نسخ Medium" w:cs="Adobe نسخ Medium"/>
          <w:sz w:val="28"/>
          <w:szCs w:val="28"/>
          <w:rtl/>
        </w:rPr>
        <w:t xml:space="preserve"> الله</w:t>
      </w:r>
      <w:r w:rsidRPr="003F0C08">
        <w:rPr>
          <w:rFonts w:ascii="Adobe نسخ Medium" w:hAnsi="Adobe نسخ Medium" w:cs="Adobe نسخ Medium" w:hint="cs"/>
          <w:sz w:val="28"/>
          <w:szCs w:val="28"/>
          <w:rtl/>
        </w:rPr>
        <w:t>َ</w:t>
      </w:r>
      <w:r w:rsidRPr="003F0C08">
        <w:rPr>
          <w:rFonts w:ascii="(normal text)" w:hAnsi="(normal text)"/>
          <w:sz w:val="28"/>
          <w:szCs w:val="28"/>
          <w:rtl/>
        </w:rPr>
        <w:t xml:space="preserve"> </w:t>
      </w:r>
      <w:r w:rsidRPr="003F0C08">
        <w:rPr>
          <w:sz w:val="28"/>
          <w:szCs w:val="28"/>
        </w:rPr>
        <w:sym w:font="HQPB4" w:char="F08F"/>
      </w:r>
      <w:r w:rsidRPr="003F0C08">
        <w:rPr>
          <w:sz w:val="28"/>
          <w:szCs w:val="28"/>
        </w:rPr>
        <w:sym w:font="HQPB1" w:char="F03D"/>
      </w:r>
      <w:r w:rsidRPr="003F0C08">
        <w:rPr>
          <w:sz w:val="28"/>
          <w:szCs w:val="28"/>
        </w:rPr>
        <w:sym w:font="HQPB4" w:char="F0CF"/>
      </w:r>
      <w:r w:rsidRPr="003F0C08">
        <w:rPr>
          <w:sz w:val="28"/>
          <w:szCs w:val="28"/>
        </w:rPr>
        <w:sym w:font="HQPB1" w:char="F074"/>
      </w:r>
      <w:r w:rsidRPr="003F0C08">
        <w:rPr>
          <w:sz w:val="28"/>
          <w:szCs w:val="28"/>
        </w:rPr>
        <w:sym w:font="HQPB4" w:char="F0E4"/>
      </w:r>
      <w:r w:rsidRPr="003F0C08">
        <w:rPr>
          <w:sz w:val="28"/>
          <w:szCs w:val="28"/>
        </w:rPr>
        <w:sym w:font="HQPB2" w:char="F086"/>
      </w:r>
      <w:r w:rsidRPr="003F0C08">
        <w:rPr>
          <w:rFonts w:ascii="(normal text)" w:hAnsi="(normal text)"/>
          <w:sz w:val="28"/>
          <w:szCs w:val="28"/>
          <w:rtl/>
        </w:rPr>
        <w:t xml:space="preserve"> </w:t>
      </w:r>
      <w:r w:rsidRPr="003F0C08">
        <w:rPr>
          <w:sz w:val="28"/>
          <w:szCs w:val="28"/>
        </w:rPr>
        <w:sym w:font="HQPB5" w:char="F074"/>
      </w:r>
      <w:r w:rsidRPr="003F0C08">
        <w:rPr>
          <w:sz w:val="28"/>
          <w:szCs w:val="28"/>
        </w:rPr>
        <w:sym w:font="HQPB2" w:char="F0FB"/>
      </w:r>
      <w:r w:rsidRPr="003F0C08">
        <w:rPr>
          <w:sz w:val="28"/>
          <w:szCs w:val="28"/>
        </w:rPr>
        <w:sym w:font="HQPB3" w:char="F02C"/>
      </w:r>
      <w:r w:rsidRPr="003F0C08">
        <w:rPr>
          <w:sz w:val="28"/>
          <w:szCs w:val="28"/>
        </w:rPr>
        <w:sym w:font="HQPB4" w:char="F0CE"/>
      </w:r>
      <w:r w:rsidRPr="003F0C08">
        <w:rPr>
          <w:sz w:val="28"/>
          <w:szCs w:val="28"/>
        </w:rPr>
        <w:sym w:font="HQPB3" w:char="F023"/>
      </w:r>
      <w:r w:rsidRPr="003F0C08">
        <w:rPr>
          <w:sz w:val="28"/>
          <w:szCs w:val="28"/>
        </w:rPr>
        <w:sym w:font="HQPB4" w:char="F0CF"/>
      </w:r>
      <w:r w:rsidRPr="003F0C08">
        <w:rPr>
          <w:sz w:val="28"/>
          <w:szCs w:val="28"/>
        </w:rPr>
        <w:sym w:font="HQPB4" w:char="F06A"/>
      </w:r>
      <w:r w:rsidRPr="003F0C08">
        <w:rPr>
          <w:sz w:val="28"/>
          <w:szCs w:val="28"/>
        </w:rPr>
        <w:sym w:font="HQPB2" w:char="F02E"/>
      </w:r>
      <w:r w:rsidRPr="003F0C08">
        <w:rPr>
          <w:sz w:val="28"/>
          <w:szCs w:val="28"/>
        </w:rPr>
        <w:sym w:font="HQPB5" w:char="F075"/>
      </w:r>
      <w:r w:rsidRPr="003F0C08">
        <w:rPr>
          <w:sz w:val="28"/>
          <w:szCs w:val="28"/>
        </w:rPr>
        <w:sym w:font="HQPB2" w:char="F071"/>
      </w:r>
      <w:r w:rsidRPr="003F0C08">
        <w:rPr>
          <w:sz w:val="28"/>
          <w:szCs w:val="28"/>
        </w:rPr>
        <w:sym w:font="HQPB5" w:char="F074"/>
      </w:r>
      <w:r w:rsidRPr="003F0C08">
        <w:rPr>
          <w:sz w:val="28"/>
          <w:szCs w:val="28"/>
        </w:rPr>
        <w:sym w:font="HQPB1" w:char="F047"/>
      </w:r>
      <w:r w:rsidRPr="003F0C08">
        <w:rPr>
          <w:sz w:val="28"/>
          <w:szCs w:val="28"/>
        </w:rPr>
        <w:sym w:font="HQPB4" w:char="F0DF"/>
      </w:r>
      <w:r w:rsidRPr="003F0C08">
        <w:rPr>
          <w:sz w:val="28"/>
          <w:szCs w:val="28"/>
        </w:rPr>
        <w:sym w:font="HQPB2" w:char="F04A"/>
      </w:r>
      <w:r w:rsidRPr="003F0C08">
        <w:rPr>
          <w:sz w:val="28"/>
          <w:szCs w:val="28"/>
        </w:rPr>
        <w:sym w:font="HQPB4" w:char="F0F8"/>
      </w:r>
      <w:r w:rsidRPr="003F0C08">
        <w:rPr>
          <w:sz w:val="28"/>
          <w:szCs w:val="28"/>
        </w:rPr>
        <w:sym w:font="HQPB2" w:char="F039"/>
      </w:r>
      <w:r w:rsidRPr="003F0C08">
        <w:rPr>
          <w:sz w:val="28"/>
          <w:szCs w:val="28"/>
        </w:rPr>
        <w:sym w:font="HQPB5" w:char="F024"/>
      </w:r>
      <w:r w:rsidRPr="003F0C08">
        <w:rPr>
          <w:sz w:val="28"/>
          <w:szCs w:val="28"/>
        </w:rPr>
        <w:sym w:font="HQPB1" w:char="F023"/>
      </w:r>
      <w:r w:rsidRPr="003F0C08">
        <w:rPr>
          <w:rFonts w:ascii="(normal text)" w:hAnsi="(normal text)"/>
          <w:sz w:val="28"/>
          <w:szCs w:val="28"/>
          <w:rtl/>
        </w:rPr>
        <w:t xml:space="preserve"> </w:t>
      </w:r>
      <w:r w:rsidRPr="003F0C08">
        <w:rPr>
          <w:sz w:val="28"/>
          <w:szCs w:val="28"/>
        </w:rPr>
        <w:sym w:font="HQPB2" w:char="F0C7"/>
      </w:r>
      <w:r w:rsidRPr="003F0C08">
        <w:rPr>
          <w:sz w:val="28"/>
          <w:szCs w:val="28"/>
        </w:rPr>
        <w:sym w:font="HQPB2" w:char="F0CA"/>
      </w:r>
      <w:r w:rsidRPr="003F0C08">
        <w:rPr>
          <w:sz w:val="28"/>
          <w:szCs w:val="28"/>
        </w:rPr>
        <w:sym w:font="HQPB2" w:char="F0CE"/>
      </w:r>
      <w:r w:rsidRPr="003F0C08">
        <w:rPr>
          <w:sz w:val="28"/>
          <w:szCs w:val="28"/>
        </w:rPr>
        <w:sym w:font="HQPB2" w:char="F0D2"/>
      </w:r>
      <w:r w:rsidRPr="003F0C08">
        <w:rPr>
          <w:sz w:val="28"/>
          <w:szCs w:val="28"/>
        </w:rPr>
        <w:sym w:font="HQPB2" w:char="F0C8"/>
      </w:r>
      <w:r w:rsidRPr="003F0C08">
        <w:rPr>
          <w:rFonts w:ascii="(normal text)" w:hAnsi="(normal text)"/>
          <w:sz w:val="28"/>
          <w:szCs w:val="28"/>
          <w:rtl/>
        </w:rPr>
        <w:t xml:space="preserve"> </w:t>
      </w:r>
    </w:p>
    <w:p w:rsidR="00343B61" w:rsidRPr="00910CE3" w:rsidRDefault="00343B61" w:rsidP="00343B61">
      <w:pPr>
        <w:pStyle w:val="ListParagraph"/>
        <w:tabs>
          <w:tab w:val="left" w:pos="7920"/>
        </w:tabs>
        <w:autoSpaceDE w:val="0"/>
        <w:autoSpaceDN w:val="0"/>
        <w:bidi/>
        <w:adjustRightInd w:val="0"/>
        <w:spacing w:after="0" w:line="240" w:lineRule="auto"/>
        <w:ind w:left="107" w:right="17"/>
        <w:jc w:val="both"/>
        <w:rPr>
          <w:rFonts w:ascii="(normal text)" w:hAnsi="(normal text)"/>
        </w:rPr>
      </w:pPr>
      <w:r w:rsidRPr="00910CE3">
        <w:rPr>
          <w:rFonts w:ascii="(normal text)" w:hAnsi="(normal text)" w:hint="cs"/>
          <w:rtl/>
        </w:rPr>
        <w:t xml:space="preserve">( ق.س: </w:t>
      </w:r>
      <w:r w:rsidRPr="00910CE3">
        <w:rPr>
          <w:rFonts w:ascii="Arial Rounded MT Bold" w:hAnsi="Arial Rounded MT Bold" w:hint="cs"/>
          <w:rtl/>
        </w:rPr>
        <w:t>ال عمران</w:t>
      </w:r>
      <w:r w:rsidRPr="00910CE3">
        <w:rPr>
          <w:rFonts w:ascii="(normal text)" w:hAnsi="(normal text)" w:hint="cs"/>
          <w:rtl/>
        </w:rPr>
        <w:t xml:space="preserve"> / 3: 159 )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dan bermusyawaratlah dengan mereka dalam urusan itu. kemudian apabila kamu telah membulatkan tekad, Maka bertawakkallah kepada Allah. Sesungguhnya Allah menyukai orang-orang yang bertawakkal kepada-Nya</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84"/>
      </w:r>
      <w:r w:rsidRPr="00910CE3">
        <w:rPr>
          <w:rFonts w:asciiTheme="majorBidi" w:hAnsiTheme="majorBidi" w:cstheme="majorBidi"/>
          <w:sz w:val="24"/>
          <w:szCs w:val="24"/>
        </w:rPr>
        <w:t xml:space="preserve"> ( QS.Ali Imran [3]: 159)</w:t>
      </w:r>
    </w:p>
    <w:p w:rsidR="00343B61" w:rsidRPr="00CF6A80" w:rsidRDefault="00343B61" w:rsidP="00343B61">
      <w:pPr>
        <w:pStyle w:val="ListParagraph"/>
        <w:tabs>
          <w:tab w:val="left" w:pos="7920"/>
        </w:tabs>
        <w:autoSpaceDE w:val="0"/>
        <w:autoSpaceDN w:val="0"/>
        <w:bidi/>
        <w:adjustRightInd w:val="0"/>
        <w:spacing w:after="0" w:line="240" w:lineRule="auto"/>
        <w:ind w:left="107" w:right="17"/>
        <w:jc w:val="both"/>
        <w:rPr>
          <w:rFonts w:ascii="(normal text)" w:hAnsi="(normal text)"/>
        </w:rPr>
      </w:pPr>
      <w:r w:rsidRPr="00910CE3">
        <w:rPr>
          <w:sz w:val="28"/>
          <w:szCs w:val="28"/>
        </w:rPr>
        <w:sym w:font="HQPB4" w:char="F0F6"/>
      </w:r>
      <w:r w:rsidRPr="00910CE3">
        <w:rPr>
          <w:sz w:val="28"/>
          <w:szCs w:val="28"/>
        </w:rPr>
        <w:sym w:font="HQPB2" w:char="F04E"/>
      </w:r>
      <w:r w:rsidRPr="00910CE3">
        <w:rPr>
          <w:sz w:val="28"/>
          <w:szCs w:val="28"/>
        </w:rPr>
        <w:sym w:font="HQPB4" w:char="F0E8"/>
      </w:r>
      <w:r w:rsidRPr="00910CE3">
        <w:rPr>
          <w:sz w:val="28"/>
          <w:szCs w:val="28"/>
        </w:rPr>
        <w:sym w:font="HQPB2" w:char="F064"/>
      </w:r>
      <w:r w:rsidRPr="00910CE3">
        <w:rPr>
          <w:sz w:val="28"/>
          <w:szCs w:val="28"/>
        </w:rPr>
        <w:sym w:font="HQPB4" w:char="F0E3"/>
      </w:r>
      <w:r w:rsidRPr="00910CE3">
        <w:rPr>
          <w:sz w:val="28"/>
          <w:szCs w:val="28"/>
        </w:rPr>
        <w:sym w:font="HQPB1" w:char="F08D"/>
      </w:r>
      <w:r w:rsidRPr="00910CE3">
        <w:rPr>
          <w:sz w:val="28"/>
          <w:szCs w:val="28"/>
        </w:rPr>
        <w:sym w:font="HQPB4" w:char="F0F8"/>
      </w:r>
      <w:r w:rsidRPr="00910CE3">
        <w:rPr>
          <w:sz w:val="28"/>
          <w:szCs w:val="28"/>
        </w:rPr>
        <w:sym w:font="HQPB2" w:char="F042"/>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33"/>
      </w:r>
      <w:r w:rsidRPr="00910CE3">
        <w:rPr>
          <w:sz w:val="28"/>
          <w:szCs w:val="28"/>
        </w:rPr>
        <w:sym w:font="HQPB2" w:char="F093"/>
      </w:r>
      <w:r w:rsidRPr="00910CE3">
        <w:rPr>
          <w:sz w:val="28"/>
          <w:szCs w:val="28"/>
        </w:rPr>
        <w:sym w:font="HQPB5" w:char="F075"/>
      </w:r>
      <w:r w:rsidRPr="00910CE3">
        <w:rPr>
          <w:sz w:val="28"/>
          <w:szCs w:val="28"/>
        </w:rPr>
        <w:sym w:font="HQPB1" w:char="F091"/>
      </w:r>
      <w:r w:rsidRPr="00910CE3">
        <w:rPr>
          <w:sz w:val="28"/>
          <w:szCs w:val="28"/>
        </w:rPr>
        <w:sym w:font="HQPB2" w:char="F071"/>
      </w:r>
      <w:r w:rsidRPr="00910CE3">
        <w:rPr>
          <w:sz w:val="28"/>
          <w:szCs w:val="28"/>
        </w:rPr>
        <w:sym w:font="HQPB4" w:char="F0E4"/>
      </w:r>
      <w:r w:rsidRPr="00910CE3">
        <w:rPr>
          <w:sz w:val="28"/>
          <w:szCs w:val="28"/>
        </w:rPr>
        <w:sym w:font="HQPB1" w:char="F0A9"/>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E6"/>
      </w:r>
      <w:r w:rsidRPr="00910CE3">
        <w:rPr>
          <w:sz w:val="28"/>
          <w:szCs w:val="28"/>
        </w:rPr>
        <w:sym w:font="HQPB2" w:char="F068"/>
      </w:r>
      <w:r w:rsidRPr="00910CE3">
        <w:rPr>
          <w:sz w:val="28"/>
          <w:szCs w:val="28"/>
        </w:rPr>
        <w:sym w:font="HQPB5" w:char="F075"/>
      </w:r>
      <w:r w:rsidRPr="00910CE3">
        <w:rPr>
          <w:sz w:val="28"/>
          <w:szCs w:val="28"/>
        </w:rPr>
        <w:sym w:font="HQPB2" w:char="F05A"/>
      </w:r>
      <w:r w:rsidRPr="00910CE3">
        <w:rPr>
          <w:sz w:val="28"/>
          <w:szCs w:val="28"/>
        </w:rPr>
        <w:sym w:font="HQPB4" w:char="F0F7"/>
      </w:r>
      <w:r w:rsidRPr="00910CE3">
        <w:rPr>
          <w:sz w:val="28"/>
          <w:szCs w:val="28"/>
        </w:rPr>
        <w:sym w:font="HQPB2" w:char="F08F"/>
      </w:r>
      <w:r w:rsidRPr="00910CE3">
        <w:rPr>
          <w:sz w:val="28"/>
          <w:szCs w:val="28"/>
        </w:rPr>
        <w:sym w:font="HQPB5" w:char="F074"/>
      </w:r>
      <w:r w:rsidRPr="00910CE3">
        <w:rPr>
          <w:sz w:val="28"/>
          <w:szCs w:val="28"/>
        </w:rPr>
        <w:sym w:font="HQPB1" w:char="F02F"/>
      </w:r>
      <w:r w:rsidRPr="00910CE3">
        <w:rPr>
          <w:rFonts w:ascii="(normal text)" w:hAnsi="(normal text)"/>
          <w:rtl/>
        </w:rPr>
        <w:t xml:space="preserve"> </w:t>
      </w:r>
      <w:r w:rsidRPr="00910CE3">
        <w:rPr>
          <w:sz w:val="28"/>
          <w:szCs w:val="28"/>
        </w:rPr>
        <w:sym w:font="HQPB1" w:char="F024"/>
      </w:r>
      <w:r w:rsidRPr="00910CE3">
        <w:rPr>
          <w:sz w:val="28"/>
          <w:szCs w:val="28"/>
        </w:rPr>
        <w:sym w:font="HQPB4" w:char="F0A3"/>
      </w:r>
      <w:r w:rsidRPr="00910CE3">
        <w:rPr>
          <w:sz w:val="28"/>
          <w:szCs w:val="28"/>
        </w:rPr>
        <w:sym w:font="HQPB2" w:char="F04A"/>
      </w:r>
      <w:r w:rsidRPr="00910CE3">
        <w:rPr>
          <w:sz w:val="28"/>
          <w:szCs w:val="28"/>
        </w:rPr>
        <w:sym w:font="HQPB4" w:char="F0CF"/>
      </w:r>
      <w:r w:rsidRPr="00910CE3">
        <w:rPr>
          <w:sz w:val="28"/>
          <w:szCs w:val="28"/>
        </w:rPr>
        <w:sym w:font="HQPB2" w:char="F042"/>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DF"/>
      </w:r>
      <w:r w:rsidRPr="00910CE3">
        <w:rPr>
          <w:sz w:val="28"/>
          <w:szCs w:val="28"/>
        </w:rPr>
        <w:sym w:font="HQPB2" w:char="F067"/>
      </w:r>
      <w:r w:rsidRPr="00910CE3">
        <w:rPr>
          <w:sz w:val="28"/>
          <w:szCs w:val="28"/>
        </w:rPr>
        <w:sym w:font="HQPB2" w:char="F0BB"/>
      </w:r>
      <w:r w:rsidRPr="00910CE3">
        <w:rPr>
          <w:sz w:val="28"/>
          <w:szCs w:val="28"/>
        </w:rPr>
        <w:sym w:font="HQPB5" w:char="F075"/>
      </w:r>
      <w:r w:rsidRPr="00910CE3">
        <w:rPr>
          <w:sz w:val="28"/>
          <w:szCs w:val="28"/>
        </w:rPr>
        <w:sym w:font="HQPB2" w:char="F05A"/>
      </w:r>
      <w:r w:rsidRPr="00910CE3">
        <w:rPr>
          <w:sz w:val="28"/>
          <w:szCs w:val="28"/>
        </w:rPr>
        <w:sym w:font="HQPB4" w:char="F0F8"/>
      </w:r>
      <w:r w:rsidRPr="00910CE3">
        <w:rPr>
          <w:sz w:val="28"/>
          <w:szCs w:val="28"/>
        </w:rPr>
        <w:sym w:font="HQPB2" w:char="F025"/>
      </w:r>
      <w:r w:rsidRPr="00910CE3">
        <w:rPr>
          <w:sz w:val="28"/>
          <w:szCs w:val="28"/>
        </w:rPr>
        <w:sym w:font="HQPB5" w:char="F079"/>
      </w:r>
      <w:r w:rsidRPr="00910CE3">
        <w:rPr>
          <w:sz w:val="28"/>
          <w:szCs w:val="28"/>
        </w:rPr>
        <w:sym w:font="HQPB1" w:char="F097"/>
      </w:r>
      <w:r w:rsidRPr="00910CE3">
        <w:rPr>
          <w:sz w:val="28"/>
          <w:szCs w:val="28"/>
        </w:rPr>
        <w:sym w:font="HQPB5" w:char="F075"/>
      </w:r>
      <w:r w:rsidRPr="00910CE3">
        <w:rPr>
          <w:sz w:val="28"/>
          <w:szCs w:val="28"/>
        </w:rPr>
        <w:sym w:font="HQPB1" w:char="F091"/>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1"/>
      </w:r>
      <w:r w:rsidRPr="00910CE3">
        <w:rPr>
          <w:sz w:val="28"/>
          <w:szCs w:val="28"/>
        </w:rPr>
        <w:sym w:font="HQPB4" w:char="F0E0"/>
      </w:r>
      <w:r w:rsidRPr="00910CE3">
        <w:rPr>
          <w:sz w:val="28"/>
          <w:szCs w:val="28"/>
        </w:rPr>
        <w:sym w:font="HQPB2" w:char="F029"/>
      </w:r>
      <w:r w:rsidRPr="00910CE3">
        <w:rPr>
          <w:sz w:val="28"/>
          <w:szCs w:val="28"/>
        </w:rPr>
        <w:sym w:font="HQPB4" w:char="F0CF"/>
      </w:r>
      <w:r w:rsidRPr="00910CE3">
        <w:rPr>
          <w:sz w:val="28"/>
          <w:szCs w:val="28"/>
        </w:rPr>
        <w:sym w:font="HQPB1" w:char="F0FF"/>
      </w:r>
      <w:r w:rsidRPr="00910CE3">
        <w:rPr>
          <w:sz w:val="28"/>
          <w:szCs w:val="28"/>
        </w:rPr>
        <w:sym w:font="HQPB2" w:char="F05A"/>
      </w:r>
      <w:r w:rsidRPr="00910CE3">
        <w:rPr>
          <w:sz w:val="28"/>
          <w:szCs w:val="28"/>
        </w:rPr>
        <w:sym w:font="HQPB4" w:char="F0E3"/>
      </w:r>
      <w:r w:rsidRPr="00910CE3">
        <w:rPr>
          <w:sz w:val="28"/>
          <w:szCs w:val="28"/>
        </w:rPr>
        <w:sym w:font="HQPB2" w:char="F083"/>
      </w:r>
      <w:r w:rsidRPr="00910CE3">
        <w:rPr>
          <w:rFonts w:ascii="(normal text)" w:hAnsi="(normal text)"/>
          <w:rtl/>
        </w:rPr>
        <w:t xml:space="preserve"> </w:t>
      </w:r>
      <w:r w:rsidRPr="00910CE3">
        <w:rPr>
          <w:sz w:val="28"/>
          <w:szCs w:val="28"/>
        </w:rPr>
        <w:sym w:font="HQPB2" w:char="F0C7"/>
      </w:r>
      <w:r w:rsidRPr="00910CE3">
        <w:rPr>
          <w:sz w:val="28"/>
          <w:szCs w:val="28"/>
        </w:rPr>
        <w:sym w:font="HQPB2" w:char="F0CC"/>
      </w:r>
      <w:r w:rsidRPr="00910CE3">
        <w:rPr>
          <w:sz w:val="28"/>
          <w:szCs w:val="28"/>
        </w:rPr>
        <w:sym w:font="HQPB2" w:char="F0D1"/>
      </w:r>
      <w:r w:rsidRPr="00910CE3">
        <w:rPr>
          <w:sz w:val="28"/>
          <w:szCs w:val="28"/>
        </w:rPr>
        <w:sym w:font="HQPB2" w:char="F0C8"/>
      </w:r>
      <w:r w:rsidRPr="00910CE3">
        <w:rPr>
          <w:rFonts w:ascii="(normal text)" w:hAnsi="(normal text)"/>
          <w:rtl/>
        </w:rPr>
        <w:t xml:space="preserve">   </w:t>
      </w:r>
      <w:r w:rsidRPr="00910CE3">
        <w:rPr>
          <w:rFonts w:ascii="(normal text)" w:hAnsi="(normal text)" w:hint="cs"/>
          <w:rtl/>
        </w:rPr>
        <w:t xml:space="preserve">( ق.س: </w:t>
      </w:r>
      <w:r w:rsidRPr="00910CE3">
        <w:rPr>
          <w:rFonts w:ascii="Arial Rounded MT Bold" w:hAnsi="Arial Rounded MT Bold" w:hint="cs"/>
          <w:rtl/>
        </w:rPr>
        <w:t>الشورى</w:t>
      </w:r>
      <w:r w:rsidRPr="00910CE3">
        <w:rPr>
          <w:rFonts w:ascii="(normal text)" w:hAnsi="(normal text)" w:hint="cs"/>
          <w:rtl/>
        </w:rPr>
        <w:t xml:space="preserve">/ </w:t>
      </w:r>
      <w:r w:rsidRPr="00910CE3">
        <w:rPr>
          <w:rFonts w:ascii="(normal text)" w:hAnsi="(normal text)"/>
        </w:rPr>
        <w:t>42</w:t>
      </w:r>
      <w:r w:rsidRPr="00910CE3">
        <w:rPr>
          <w:rFonts w:ascii="(normal text)" w:hAnsi="(normal text)" w:hint="cs"/>
          <w:rtl/>
        </w:rPr>
        <w:t xml:space="preserve">: </w:t>
      </w:r>
      <w:r w:rsidRPr="00910CE3">
        <w:rPr>
          <w:rFonts w:ascii="(normal text)" w:hAnsi="(normal text)"/>
        </w:rPr>
        <w:t>38</w:t>
      </w:r>
      <w:r w:rsidRPr="00910CE3">
        <w:rPr>
          <w:rFonts w:ascii="(normal text)" w:hAnsi="(normal text)" w:hint="cs"/>
          <w:rtl/>
        </w:rPr>
        <w:t xml:space="preserve">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 xml:space="preserve">Artinya: “… </w:t>
      </w:r>
      <w:r w:rsidRPr="00910CE3">
        <w:rPr>
          <w:rFonts w:asciiTheme="majorBidi" w:hAnsiTheme="majorBidi" w:cstheme="majorBidi"/>
          <w:i/>
          <w:iCs/>
          <w:sz w:val="24"/>
          <w:szCs w:val="24"/>
        </w:rPr>
        <w:t>sedang urusan mereka (diputuskan) dengan musyawarat antara mereka; dan mereka menafkahkan sebagian dari rezki yang Kami berikan kepada mereka</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85"/>
      </w:r>
      <w:r w:rsidRPr="00910CE3">
        <w:rPr>
          <w:rFonts w:asciiTheme="majorBidi" w:hAnsiTheme="majorBidi" w:cstheme="majorBidi"/>
          <w:sz w:val="24"/>
          <w:szCs w:val="24"/>
        </w:rPr>
        <w:t xml:space="preserve"> ( QS.Al-Syu</w:t>
      </w:r>
      <w:r>
        <w:rPr>
          <w:rFonts w:asciiTheme="majorBidi" w:hAnsiTheme="majorBidi" w:cstheme="majorBidi"/>
          <w:sz w:val="24"/>
          <w:szCs w:val="24"/>
        </w:rPr>
        <w:t>u</w:t>
      </w:r>
      <w:r w:rsidRPr="00910CE3">
        <w:rPr>
          <w:rFonts w:asciiTheme="majorBidi" w:hAnsiTheme="majorBidi" w:cstheme="majorBidi"/>
          <w:sz w:val="24"/>
          <w:szCs w:val="24"/>
        </w:rPr>
        <w:t>ra’ [42]: 38)</w:t>
      </w:r>
    </w:p>
    <w:p w:rsidR="00343B61" w:rsidRPr="00910CE3" w:rsidRDefault="00343B61" w:rsidP="00343B61">
      <w:pPr>
        <w:pStyle w:val="ListParagraph"/>
        <w:tabs>
          <w:tab w:val="left" w:pos="7920"/>
        </w:tabs>
        <w:autoSpaceDE w:val="0"/>
        <w:autoSpaceDN w:val="0"/>
        <w:adjustRightInd w:val="0"/>
        <w:spacing w:after="0" w:line="360" w:lineRule="auto"/>
        <w:ind w:left="900" w:right="17" w:hanging="180"/>
        <w:jc w:val="both"/>
        <w:rPr>
          <w:rFonts w:asciiTheme="majorBidi" w:hAnsiTheme="majorBidi" w:cstheme="majorBidi"/>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00" w:right="17" w:hanging="180"/>
        <w:jc w:val="both"/>
        <w:rPr>
          <w:rFonts w:asciiTheme="majorBidi" w:hAnsiTheme="majorBidi" w:cstheme="majorBidi"/>
          <w:sz w:val="24"/>
          <w:szCs w:val="24"/>
        </w:rPr>
      </w:pPr>
      <w:r w:rsidRPr="00910CE3">
        <w:rPr>
          <w:rFonts w:ascii="(normal text)" w:hAnsi="(normal text)"/>
          <w:sz w:val="24"/>
          <w:szCs w:val="24"/>
        </w:rPr>
        <w:t xml:space="preserve"> Firman Allah Swt yang menjelaskan </w:t>
      </w:r>
      <w:r w:rsidRPr="00910CE3">
        <w:rPr>
          <w:rFonts w:asciiTheme="majorBidi" w:hAnsiTheme="majorBidi" w:cstheme="majorBidi"/>
          <w:sz w:val="24"/>
          <w:szCs w:val="24"/>
        </w:rPr>
        <w:t>kemestian menunaikan amanat dan menetapkan hukum secara adil, yaitu:</w:t>
      </w:r>
    </w:p>
    <w:p w:rsidR="00343B61" w:rsidRDefault="00343B61" w:rsidP="00343B61">
      <w:pPr>
        <w:bidi/>
        <w:spacing w:line="240" w:lineRule="auto"/>
        <w:rPr>
          <w:rFonts w:ascii="(normal text)" w:hAnsi="(normal text)"/>
          <w:sz w:val="28"/>
          <w:szCs w:val="28"/>
          <w:rtl/>
        </w:rPr>
      </w:pPr>
      <w:r w:rsidRPr="007B034C">
        <w:rPr>
          <w:sz w:val="28"/>
          <w:szCs w:val="28"/>
        </w:rPr>
        <w:sym w:font="HQPB4" w:char="F02A"/>
      </w:r>
      <w:r w:rsidRPr="007B034C">
        <w:rPr>
          <w:rFonts w:ascii="(normal text)" w:hAnsi="(normal text)"/>
          <w:sz w:val="28"/>
          <w:szCs w:val="28"/>
          <w:rtl/>
        </w:rPr>
        <w:t xml:space="preserve"> </w:t>
      </w:r>
      <w:r w:rsidRPr="007B034C">
        <w:rPr>
          <w:sz w:val="28"/>
          <w:szCs w:val="28"/>
        </w:rPr>
        <w:sym w:font="HQPB4" w:char="F0A8"/>
      </w:r>
      <w:r w:rsidRPr="007B034C">
        <w:rPr>
          <w:sz w:val="28"/>
          <w:szCs w:val="28"/>
        </w:rPr>
        <w:sym w:font="HQPB2" w:char="F062"/>
      </w:r>
      <w:r w:rsidRPr="007B034C">
        <w:rPr>
          <w:sz w:val="28"/>
          <w:szCs w:val="28"/>
        </w:rPr>
        <w:sym w:font="HQPB4" w:char="F0CE"/>
      </w:r>
      <w:r w:rsidRPr="007B034C">
        <w:rPr>
          <w:sz w:val="28"/>
          <w:szCs w:val="28"/>
        </w:rPr>
        <w:sym w:font="HQPB1" w:char="F029"/>
      </w:r>
      <w:r w:rsidRPr="007B034C">
        <w:rPr>
          <w:rFonts w:ascii="(normal text)" w:hAnsi="(normal text)"/>
          <w:sz w:val="28"/>
          <w:szCs w:val="28"/>
          <w:rtl/>
        </w:rPr>
        <w:t xml:space="preserve"> </w:t>
      </w:r>
      <w:r w:rsidRPr="007B034C">
        <w:rPr>
          <w:sz w:val="28"/>
          <w:szCs w:val="28"/>
        </w:rPr>
        <w:sym w:font="HQPB5" w:char="F0A9"/>
      </w:r>
      <w:r w:rsidRPr="007B034C">
        <w:rPr>
          <w:rFonts w:ascii="Adobe نسخ Medium" w:hAnsi="Adobe نسخ Medium" w:cs="Adobe نسخ Medium"/>
          <w:sz w:val="28"/>
          <w:szCs w:val="28"/>
          <w:rtl/>
        </w:rPr>
        <w:t xml:space="preserve"> الله</w:t>
      </w:r>
      <w:r w:rsidRPr="007B034C">
        <w:rPr>
          <w:rFonts w:ascii="Adobe نسخ Medium" w:hAnsi="Adobe نسخ Medium" w:cs="Adobe نسخ Medium" w:hint="cs"/>
          <w:sz w:val="28"/>
          <w:szCs w:val="28"/>
          <w:rtl/>
        </w:rPr>
        <w:t>َ</w:t>
      </w:r>
      <w:r w:rsidRPr="007B034C">
        <w:rPr>
          <w:rFonts w:ascii="(normal text)" w:hAnsi="(normal text)"/>
          <w:sz w:val="28"/>
          <w:szCs w:val="28"/>
          <w:rtl/>
        </w:rPr>
        <w:t xml:space="preserve"> </w:t>
      </w:r>
      <w:r w:rsidRPr="007B034C">
        <w:rPr>
          <w:sz w:val="28"/>
          <w:szCs w:val="28"/>
        </w:rPr>
        <w:sym w:font="HQPB4" w:char="F0F6"/>
      </w:r>
      <w:r w:rsidRPr="007B034C">
        <w:rPr>
          <w:sz w:val="28"/>
          <w:szCs w:val="28"/>
        </w:rPr>
        <w:sym w:font="HQPB2" w:char="F04E"/>
      </w:r>
      <w:r w:rsidRPr="007B034C">
        <w:rPr>
          <w:sz w:val="28"/>
          <w:szCs w:val="28"/>
        </w:rPr>
        <w:sym w:font="HQPB4" w:char="F0E4"/>
      </w:r>
      <w:r w:rsidRPr="007B034C">
        <w:rPr>
          <w:sz w:val="28"/>
          <w:szCs w:val="28"/>
        </w:rPr>
        <w:sym w:font="HQPB2" w:char="F02E"/>
      </w:r>
      <w:r w:rsidRPr="007B034C">
        <w:rPr>
          <w:sz w:val="28"/>
          <w:szCs w:val="28"/>
        </w:rPr>
        <w:sym w:font="HQPB4" w:char="F0E3"/>
      </w:r>
      <w:r w:rsidRPr="007B034C">
        <w:rPr>
          <w:sz w:val="28"/>
          <w:szCs w:val="28"/>
        </w:rPr>
        <w:sym w:font="HQPB1" w:char="F08D"/>
      </w:r>
      <w:r w:rsidRPr="007B034C">
        <w:rPr>
          <w:sz w:val="28"/>
          <w:szCs w:val="28"/>
        </w:rPr>
        <w:sym w:font="HQPB4" w:char="F0E3"/>
      </w:r>
      <w:r w:rsidRPr="007B034C">
        <w:rPr>
          <w:sz w:val="28"/>
          <w:szCs w:val="28"/>
        </w:rPr>
        <w:sym w:font="HQPB2" w:char="F042"/>
      </w:r>
      <w:r w:rsidRPr="007B034C">
        <w:rPr>
          <w:sz w:val="28"/>
          <w:szCs w:val="28"/>
        </w:rPr>
        <w:sym w:font="HQPB4" w:char="F0F9"/>
      </w:r>
      <w:r w:rsidRPr="007B034C">
        <w:rPr>
          <w:sz w:val="28"/>
          <w:szCs w:val="28"/>
        </w:rPr>
        <w:sym w:font="HQPB1" w:char="F027"/>
      </w:r>
      <w:r w:rsidRPr="007B034C">
        <w:rPr>
          <w:sz w:val="28"/>
          <w:szCs w:val="28"/>
        </w:rPr>
        <w:sym w:font="HQPB5" w:char="F074"/>
      </w:r>
      <w:r w:rsidRPr="007B034C">
        <w:rPr>
          <w:sz w:val="28"/>
          <w:szCs w:val="28"/>
        </w:rPr>
        <w:sym w:font="HQPB2" w:char="F083"/>
      </w:r>
      <w:r w:rsidRPr="007B034C">
        <w:rPr>
          <w:rFonts w:ascii="(normal text)" w:hAnsi="(normal text)"/>
          <w:sz w:val="28"/>
          <w:szCs w:val="28"/>
          <w:rtl/>
        </w:rPr>
        <w:t xml:space="preserve"> </w:t>
      </w:r>
      <w:r w:rsidRPr="007B034C">
        <w:rPr>
          <w:sz w:val="28"/>
          <w:szCs w:val="28"/>
        </w:rPr>
        <w:sym w:font="HQPB2" w:char="F062"/>
      </w:r>
      <w:r w:rsidRPr="007B034C">
        <w:rPr>
          <w:sz w:val="28"/>
          <w:szCs w:val="28"/>
        </w:rPr>
        <w:sym w:font="HQPB5" w:char="F072"/>
      </w:r>
      <w:r w:rsidRPr="007B034C">
        <w:rPr>
          <w:sz w:val="28"/>
          <w:szCs w:val="28"/>
        </w:rPr>
        <w:sym w:font="HQPB1" w:char="F026"/>
      </w:r>
      <w:r w:rsidRPr="007B034C">
        <w:rPr>
          <w:rFonts w:ascii="(normal text)" w:hAnsi="(normal text)"/>
          <w:sz w:val="28"/>
          <w:szCs w:val="28"/>
          <w:rtl/>
        </w:rPr>
        <w:t xml:space="preserve"> </w:t>
      </w:r>
      <w:r w:rsidRPr="007B034C">
        <w:rPr>
          <w:sz w:val="28"/>
          <w:szCs w:val="28"/>
        </w:rPr>
        <w:sym w:font="HQPB5" w:char="F028"/>
      </w:r>
      <w:r w:rsidRPr="007B034C">
        <w:rPr>
          <w:sz w:val="28"/>
          <w:szCs w:val="28"/>
        </w:rPr>
        <w:sym w:font="HQPB1" w:char="F023"/>
      </w:r>
      <w:r w:rsidRPr="007B034C">
        <w:rPr>
          <w:sz w:val="28"/>
          <w:szCs w:val="28"/>
        </w:rPr>
        <w:sym w:font="HQPB2" w:char="F072"/>
      </w:r>
      <w:r w:rsidRPr="007B034C">
        <w:rPr>
          <w:sz w:val="28"/>
          <w:szCs w:val="28"/>
        </w:rPr>
        <w:sym w:font="HQPB4" w:char="F096"/>
      </w:r>
      <w:r w:rsidRPr="007B034C">
        <w:rPr>
          <w:sz w:val="28"/>
          <w:szCs w:val="28"/>
        </w:rPr>
        <w:sym w:font="HQPB1" w:char="F08A"/>
      </w:r>
      <w:r w:rsidRPr="007B034C">
        <w:rPr>
          <w:sz w:val="28"/>
          <w:szCs w:val="28"/>
        </w:rPr>
        <w:sym w:font="HQPB5" w:char="F078"/>
      </w:r>
      <w:r w:rsidRPr="007B034C">
        <w:rPr>
          <w:sz w:val="28"/>
          <w:szCs w:val="28"/>
        </w:rPr>
        <w:sym w:font="HQPB2" w:char="F073"/>
      </w:r>
      <w:r w:rsidRPr="007B034C">
        <w:rPr>
          <w:sz w:val="28"/>
          <w:szCs w:val="28"/>
        </w:rPr>
        <w:sym w:font="HQPB4" w:char="F0E8"/>
      </w:r>
      <w:r w:rsidRPr="007B034C">
        <w:rPr>
          <w:sz w:val="28"/>
          <w:szCs w:val="28"/>
        </w:rPr>
        <w:sym w:font="HQPB1" w:char="F03F"/>
      </w:r>
      <w:r w:rsidRPr="007B034C">
        <w:rPr>
          <w:rFonts w:ascii="(normal text)" w:hAnsi="(normal text)"/>
          <w:sz w:val="28"/>
          <w:szCs w:val="28"/>
          <w:rtl/>
        </w:rPr>
        <w:t xml:space="preserve"> </w:t>
      </w:r>
      <w:r w:rsidRPr="007B034C">
        <w:rPr>
          <w:sz w:val="28"/>
          <w:szCs w:val="28"/>
        </w:rPr>
        <w:sym w:font="HQPB4" w:char="F0CF"/>
      </w:r>
      <w:r w:rsidRPr="007B034C">
        <w:rPr>
          <w:sz w:val="28"/>
          <w:szCs w:val="28"/>
        </w:rPr>
        <w:sym w:font="HQPB1" w:char="F04D"/>
      </w:r>
      <w:r w:rsidRPr="007B034C">
        <w:rPr>
          <w:sz w:val="28"/>
          <w:szCs w:val="28"/>
        </w:rPr>
        <w:sym w:font="HQPB2" w:char="F0BB"/>
      </w:r>
      <w:r w:rsidRPr="007B034C">
        <w:rPr>
          <w:sz w:val="28"/>
          <w:szCs w:val="28"/>
        </w:rPr>
        <w:sym w:font="HQPB5" w:char="F075"/>
      </w:r>
      <w:r w:rsidRPr="007B034C">
        <w:rPr>
          <w:sz w:val="28"/>
          <w:szCs w:val="28"/>
        </w:rPr>
        <w:sym w:font="HQPB2" w:char="F05A"/>
      </w:r>
      <w:r w:rsidRPr="007B034C">
        <w:rPr>
          <w:sz w:val="28"/>
          <w:szCs w:val="28"/>
        </w:rPr>
        <w:sym w:font="HQPB2" w:char="F0BB"/>
      </w:r>
      <w:r w:rsidRPr="007B034C">
        <w:rPr>
          <w:sz w:val="28"/>
          <w:szCs w:val="28"/>
        </w:rPr>
        <w:sym w:font="HQPB5" w:char="F074"/>
      </w:r>
      <w:r w:rsidRPr="007B034C">
        <w:rPr>
          <w:sz w:val="28"/>
          <w:szCs w:val="28"/>
        </w:rPr>
        <w:sym w:font="HQPB2" w:char="F042"/>
      </w:r>
      <w:r w:rsidRPr="007B034C">
        <w:rPr>
          <w:sz w:val="28"/>
          <w:szCs w:val="28"/>
        </w:rPr>
        <w:sym w:font="HQPB5" w:char="F046"/>
      </w:r>
      <w:r w:rsidRPr="007B034C">
        <w:rPr>
          <w:sz w:val="28"/>
          <w:szCs w:val="28"/>
        </w:rPr>
        <w:sym w:font="HQPB2" w:char="F07B"/>
      </w:r>
      <w:r w:rsidRPr="007B034C">
        <w:rPr>
          <w:sz w:val="28"/>
          <w:szCs w:val="28"/>
        </w:rPr>
        <w:sym w:font="HQPB5" w:char="F024"/>
      </w:r>
      <w:r w:rsidRPr="007B034C">
        <w:rPr>
          <w:sz w:val="28"/>
          <w:szCs w:val="28"/>
        </w:rPr>
        <w:sym w:font="HQPB1" w:char="F023"/>
      </w:r>
      <w:r w:rsidRPr="007B034C">
        <w:rPr>
          <w:rFonts w:ascii="(normal text)" w:hAnsi="(normal text)"/>
          <w:sz w:val="28"/>
          <w:szCs w:val="28"/>
          <w:rtl/>
        </w:rPr>
        <w:t xml:space="preserve"> </w:t>
      </w:r>
      <w:r w:rsidRPr="007B034C">
        <w:rPr>
          <w:sz w:val="28"/>
          <w:szCs w:val="28"/>
        </w:rPr>
        <w:sym w:font="HQPB5" w:char="F023"/>
      </w:r>
      <w:r w:rsidRPr="007B034C">
        <w:rPr>
          <w:sz w:val="28"/>
          <w:szCs w:val="28"/>
        </w:rPr>
        <w:sym w:font="HQPB2" w:char="F092"/>
      </w:r>
      <w:r w:rsidRPr="007B034C">
        <w:rPr>
          <w:sz w:val="28"/>
          <w:szCs w:val="28"/>
        </w:rPr>
        <w:sym w:font="HQPB5" w:char="F06E"/>
      </w:r>
      <w:r w:rsidRPr="007B034C">
        <w:rPr>
          <w:sz w:val="28"/>
          <w:szCs w:val="28"/>
        </w:rPr>
        <w:sym w:font="HQPB2" w:char="F03C"/>
      </w:r>
      <w:r w:rsidRPr="007B034C">
        <w:rPr>
          <w:sz w:val="28"/>
          <w:szCs w:val="28"/>
        </w:rPr>
        <w:sym w:font="HQPB4" w:char="F0CE"/>
      </w:r>
      <w:r w:rsidRPr="007B034C">
        <w:rPr>
          <w:sz w:val="28"/>
          <w:szCs w:val="28"/>
        </w:rPr>
        <w:sym w:font="HQPB1" w:char="F029"/>
      </w:r>
      <w:r w:rsidRPr="007B034C">
        <w:rPr>
          <w:rFonts w:ascii="(normal text)" w:hAnsi="(normal text)"/>
          <w:sz w:val="28"/>
          <w:szCs w:val="28"/>
          <w:rtl/>
        </w:rPr>
        <w:t xml:space="preserve"> </w:t>
      </w:r>
      <w:r w:rsidRPr="007B034C">
        <w:rPr>
          <w:sz w:val="28"/>
          <w:szCs w:val="28"/>
        </w:rPr>
        <w:sym w:font="HQPB1" w:char="F024"/>
      </w:r>
      <w:r w:rsidRPr="007B034C">
        <w:rPr>
          <w:sz w:val="28"/>
          <w:szCs w:val="28"/>
        </w:rPr>
        <w:sym w:font="HQPB5" w:char="F079"/>
      </w:r>
      <w:r w:rsidRPr="007B034C">
        <w:rPr>
          <w:sz w:val="28"/>
          <w:szCs w:val="28"/>
        </w:rPr>
        <w:sym w:font="HQPB2" w:char="F067"/>
      </w:r>
      <w:r w:rsidRPr="007B034C">
        <w:rPr>
          <w:sz w:val="28"/>
          <w:szCs w:val="28"/>
        </w:rPr>
        <w:sym w:font="HQPB4" w:char="F0CE"/>
      </w:r>
      <w:r w:rsidRPr="007B034C">
        <w:rPr>
          <w:sz w:val="28"/>
          <w:szCs w:val="28"/>
        </w:rPr>
        <w:sym w:font="HQPB2" w:char="F03D"/>
      </w:r>
      <w:r w:rsidRPr="007B034C">
        <w:rPr>
          <w:sz w:val="28"/>
          <w:szCs w:val="28"/>
        </w:rPr>
        <w:sym w:font="HQPB4" w:char="F0F7"/>
      </w:r>
      <w:r w:rsidRPr="007B034C">
        <w:rPr>
          <w:sz w:val="28"/>
          <w:szCs w:val="28"/>
        </w:rPr>
        <w:sym w:font="HQPB2" w:char="F064"/>
      </w:r>
      <w:r w:rsidRPr="007B034C">
        <w:rPr>
          <w:sz w:val="28"/>
          <w:szCs w:val="28"/>
        </w:rPr>
        <w:sym w:font="HQPB5" w:char="F072"/>
      </w:r>
      <w:r w:rsidRPr="007B034C">
        <w:rPr>
          <w:sz w:val="28"/>
          <w:szCs w:val="28"/>
        </w:rPr>
        <w:sym w:font="HQPB1" w:char="F026"/>
      </w:r>
      <w:r w:rsidRPr="007B034C">
        <w:rPr>
          <w:rFonts w:ascii="(normal text)" w:hAnsi="(normal text)"/>
          <w:sz w:val="28"/>
          <w:szCs w:val="28"/>
          <w:rtl/>
        </w:rPr>
        <w:t xml:space="preserve"> </w:t>
      </w:r>
      <w:r w:rsidRPr="007B034C">
        <w:rPr>
          <w:sz w:val="28"/>
          <w:szCs w:val="28"/>
        </w:rPr>
        <w:sym w:font="HQPB1" w:char="F023"/>
      </w:r>
      <w:r w:rsidRPr="007B034C">
        <w:rPr>
          <w:sz w:val="28"/>
          <w:szCs w:val="28"/>
        </w:rPr>
        <w:sym w:font="HQPB5" w:char="F073"/>
      </w:r>
      <w:r w:rsidRPr="007B034C">
        <w:rPr>
          <w:sz w:val="28"/>
          <w:szCs w:val="28"/>
        </w:rPr>
        <w:sym w:font="HQPB1" w:char="F08C"/>
      </w:r>
      <w:r w:rsidRPr="007B034C">
        <w:rPr>
          <w:sz w:val="28"/>
          <w:szCs w:val="28"/>
        </w:rPr>
        <w:sym w:font="HQPB4" w:char="F0CE"/>
      </w:r>
      <w:r w:rsidRPr="007B034C">
        <w:rPr>
          <w:sz w:val="28"/>
          <w:szCs w:val="28"/>
        </w:rPr>
        <w:sym w:font="HQPB1" w:char="F029"/>
      </w:r>
      <w:r w:rsidRPr="007B034C">
        <w:rPr>
          <w:sz w:val="28"/>
          <w:szCs w:val="28"/>
        </w:rPr>
        <w:sym w:font="HQPB5" w:char="F075"/>
      </w:r>
      <w:r w:rsidRPr="007B034C">
        <w:rPr>
          <w:sz w:val="28"/>
          <w:szCs w:val="28"/>
        </w:rPr>
        <w:sym w:font="HQPB2" w:char="F072"/>
      </w:r>
      <w:r w:rsidRPr="007B034C">
        <w:rPr>
          <w:rFonts w:ascii="(normal text)" w:hAnsi="(normal text)"/>
          <w:sz w:val="28"/>
          <w:szCs w:val="28"/>
          <w:rtl/>
        </w:rPr>
        <w:t xml:space="preserve"> </w:t>
      </w:r>
      <w:r w:rsidRPr="007B034C">
        <w:rPr>
          <w:sz w:val="28"/>
          <w:szCs w:val="28"/>
        </w:rPr>
        <w:sym w:font="HQPB2" w:char="F04F"/>
      </w:r>
      <w:r w:rsidRPr="007B034C">
        <w:rPr>
          <w:sz w:val="28"/>
          <w:szCs w:val="28"/>
        </w:rPr>
        <w:sym w:font="HQPB4" w:char="F0E7"/>
      </w:r>
      <w:r w:rsidRPr="007B034C">
        <w:rPr>
          <w:sz w:val="28"/>
          <w:szCs w:val="28"/>
        </w:rPr>
        <w:sym w:font="HQPB1" w:char="F046"/>
      </w:r>
      <w:r w:rsidRPr="007B034C">
        <w:rPr>
          <w:sz w:val="28"/>
          <w:szCs w:val="28"/>
        </w:rPr>
        <w:sym w:font="HQPB4" w:char="F0F4"/>
      </w:r>
      <w:r w:rsidRPr="007B034C">
        <w:rPr>
          <w:sz w:val="28"/>
          <w:szCs w:val="28"/>
        </w:rPr>
        <w:sym w:font="HQPB2" w:char="F04A"/>
      </w:r>
      <w:r w:rsidRPr="007B034C">
        <w:rPr>
          <w:sz w:val="28"/>
          <w:szCs w:val="28"/>
        </w:rPr>
        <w:sym w:font="HQPB5" w:char="F073"/>
      </w:r>
      <w:r w:rsidRPr="007B034C">
        <w:rPr>
          <w:sz w:val="28"/>
          <w:szCs w:val="28"/>
        </w:rPr>
        <w:sym w:font="HQPB2" w:char="F033"/>
      </w:r>
      <w:r w:rsidRPr="007B034C">
        <w:rPr>
          <w:sz w:val="28"/>
          <w:szCs w:val="28"/>
        </w:rPr>
        <w:sym w:font="HQPB5" w:char="F079"/>
      </w:r>
      <w:r w:rsidRPr="007B034C">
        <w:rPr>
          <w:sz w:val="28"/>
          <w:szCs w:val="28"/>
        </w:rPr>
        <w:sym w:font="HQPB1" w:char="F06D"/>
      </w:r>
      <w:r w:rsidRPr="007B034C">
        <w:rPr>
          <w:rFonts w:ascii="(normal text)" w:hAnsi="(normal text)"/>
          <w:sz w:val="28"/>
          <w:szCs w:val="28"/>
          <w:rtl/>
        </w:rPr>
        <w:t xml:space="preserve"> </w:t>
      </w:r>
      <w:r w:rsidRPr="007B034C">
        <w:rPr>
          <w:sz w:val="28"/>
          <w:szCs w:val="28"/>
        </w:rPr>
        <w:sym w:font="HQPB5" w:char="F074"/>
      </w:r>
      <w:r w:rsidRPr="007B034C">
        <w:rPr>
          <w:sz w:val="28"/>
          <w:szCs w:val="28"/>
        </w:rPr>
        <w:sym w:font="HQPB2" w:char="F0FB"/>
      </w:r>
      <w:r w:rsidRPr="007B034C">
        <w:rPr>
          <w:sz w:val="28"/>
          <w:szCs w:val="28"/>
        </w:rPr>
        <w:sym w:font="HQPB4" w:char="F0F7"/>
      </w:r>
      <w:r w:rsidRPr="007B034C">
        <w:rPr>
          <w:sz w:val="28"/>
          <w:szCs w:val="28"/>
        </w:rPr>
        <w:sym w:font="HQPB2" w:char="F0FC"/>
      </w:r>
      <w:r w:rsidRPr="007B034C">
        <w:rPr>
          <w:sz w:val="28"/>
          <w:szCs w:val="28"/>
        </w:rPr>
        <w:sym w:font="HQPB5" w:char="F074"/>
      </w:r>
      <w:r w:rsidRPr="007B034C">
        <w:rPr>
          <w:sz w:val="28"/>
          <w:szCs w:val="28"/>
        </w:rPr>
        <w:sym w:font="HQPB1" w:char="F02F"/>
      </w:r>
      <w:r w:rsidRPr="007B034C">
        <w:rPr>
          <w:rFonts w:ascii="(normal text)" w:hAnsi="(normal text)"/>
          <w:sz w:val="28"/>
          <w:szCs w:val="28"/>
          <w:rtl/>
        </w:rPr>
        <w:t xml:space="preserve"> </w:t>
      </w:r>
      <w:r w:rsidRPr="007B034C">
        <w:rPr>
          <w:sz w:val="28"/>
          <w:szCs w:val="28"/>
        </w:rPr>
        <w:sym w:font="HQPB4" w:char="F0C4"/>
      </w:r>
      <w:r w:rsidRPr="007B034C">
        <w:rPr>
          <w:sz w:val="28"/>
          <w:szCs w:val="28"/>
        </w:rPr>
        <w:sym w:font="HQPB1" w:char="F0A8"/>
      </w:r>
      <w:r w:rsidRPr="007B034C">
        <w:rPr>
          <w:sz w:val="28"/>
          <w:szCs w:val="28"/>
        </w:rPr>
        <w:sym w:font="HQPB1" w:char="F024"/>
      </w:r>
      <w:r w:rsidRPr="007B034C">
        <w:rPr>
          <w:sz w:val="28"/>
          <w:szCs w:val="28"/>
        </w:rPr>
        <w:sym w:font="HQPB4" w:char="F0A8"/>
      </w:r>
      <w:r w:rsidRPr="007B034C">
        <w:rPr>
          <w:sz w:val="28"/>
          <w:szCs w:val="28"/>
        </w:rPr>
        <w:sym w:font="HQPB2" w:char="F05A"/>
      </w:r>
      <w:r w:rsidRPr="007B034C">
        <w:rPr>
          <w:sz w:val="28"/>
          <w:szCs w:val="28"/>
        </w:rPr>
        <w:sym w:font="HQPB2" w:char="F039"/>
      </w:r>
      <w:r w:rsidRPr="007B034C">
        <w:rPr>
          <w:sz w:val="28"/>
          <w:szCs w:val="28"/>
        </w:rPr>
        <w:sym w:font="HQPB5" w:char="F024"/>
      </w:r>
      <w:r w:rsidRPr="007B034C">
        <w:rPr>
          <w:sz w:val="28"/>
          <w:szCs w:val="28"/>
        </w:rPr>
        <w:sym w:font="HQPB1" w:char="F023"/>
      </w:r>
      <w:r w:rsidRPr="007B034C">
        <w:rPr>
          <w:rFonts w:ascii="(normal text)" w:hAnsi="(normal text)"/>
          <w:sz w:val="28"/>
          <w:szCs w:val="28"/>
          <w:rtl/>
        </w:rPr>
        <w:t xml:space="preserve"> </w:t>
      </w:r>
      <w:r w:rsidRPr="007B034C">
        <w:rPr>
          <w:sz w:val="28"/>
          <w:szCs w:val="28"/>
        </w:rPr>
        <w:sym w:font="HQPB2" w:char="F062"/>
      </w:r>
      <w:r w:rsidRPr="007B034C">
        <w:rPr>
          <w:sz w:val="28"/>
          <w:szCs w:val="28"/>
        </w:rPr>
        <w:sym w:font="HQPB5" w:char="F072"/>
      </w:r>
      <w:r w:rsidRPr="007B034C">
        <w:rPr>
          <w:sz w:val="28"/>
          <w:szCs w:val="28"/>
        </w:rPr>
        <w:sym w:font="HQPB1" w:char="F026"/>
      </w:r>
      <w:r w:rsidRPr="007B034C">
        <w:rPr>
          <w:rFonts w:ascii="(normal text)" w:hAnsi="(normal text)"/>
          <w:sz w:val="28"/>
          <w:szCs w:val="28"/>
          <w:rtl/>
        </w:rPr>
        <w:t xml:space="preserve"> </w:t>
      </w:r>
      <w:r w:rsidRPr="007B034C">
        <w:rPr>
          <w:sz w:val="28"/>
          <w:szCs w:val="28"/>
        </w:rPr>
        <w:sym w:font="HQPB5" w:char="F028"/>
      </w:r>
      <w:r w:rsidRPr="007B034C">
        <w:rPr>
          <w:sz w:val="28"/>
          <w:szCs w:val="28"/>
        </w:rPr>
        <w:sym w:font="HQPB1" w:char="F023"/>
      </w:r>
      <w:r w:rsidRPr="007B034C">
        <w:rPr>
          <w:sz w:val="28"/>
          <w:szCs w:val="28"/>
        </w:rPr>
        <w:sym w:font="HQPB2" w:char="F071"/>
      </w:r>
      <w:r w:rsidRPr="007B034C">
        <w:rPr>
          <w:sz w:val="28"/>
          <w:szCs w:val="28"/>
        </w:rPr>
        <w:sym w:font="HQPB4" w:char="F0DF"/>
      </w:r>
      <w:r w:rsidRPr="007B034C">
        <w:rPr>
          <w:sz w:val="28"/>
          <w:szCs w:val="28"/>
        </w:rPr>
        <w:sym w:font="HQPB2" w:char="F04A"/>
      </w:r>
      <w:r w:rsidRPr="007B034C">
        <w:rPr>
          <w:sz w:val="28"/>
          <w:szCs w:val="28"/>
        </w:rPr>
        <w:sym w:font="HQPB4" w:char="F0E4"/>
      </w:r>
      <w:r w:rsidRPr="007B034C">
        <w:rPr>
          <w:sz w:val="28"/>
          <w:szCs w:val="28"/>
        </w:rPr>
        <w:sym w:font="HQPB2" w:char="F033"/>
      </w:r>
      <w:r w:rsidRPr="007B034C">
        <w:rPr>
          <w:sz w:val="28"/>
          <w:szCs w:val="28"/>
        </w:rPr>
        <w:sym w:font="HQPB4" w:char="F0F8"/>
      </w:r>
      <w:r w:rsidRPr="007B034C">
        <w:rPr>
          <w:sz w:val="28"/>
          <w:szCs w:val="28"/>
        </w:rPr>
        <w:sym w:font="HQPB1" w:char="F074"/>
      </w:r>
      <w:r w:rsidRPr="007B034C">
        <w:rPr>
          <w:sz w:val="28"/>
          <w:szCs w:val="28"/>
        </w:rPr>
        <w:sym w:font="HQPB5" w:char="F072"/>
      </w:r>
      <w:r w:rsidRPr="007B034C">
        <w:rPr>
          <w:sz w:val="28"/>
          <w:szCs w:val="28"/>
        </w:rPr>
        <w:sym w:font="HQPB1" w:char="F042"/>
      </w:r>
      <w:r w:rsidRPr="007B034C">
        <w:rPr>
          <w:rFonts w:ascii="(normal text)" w:hAnsi="(normal text)"/>
          <w:sz w:val="28"/>
          <w:szCs w:val="28"/>
          <w:rtl/>
        </w:rPr>
        <w:t xml:space="preserve"> </w:t>
      </w:r>
      <w:r w:rsidRPr="007B034C">
        <w:rPr>
          <w:sz w:val="28"/>
          <w:szCs w:val="28"/>
        </w:rPr>
        <w:sym w:font="HQPB4" w:char="F0C9"/>
      </w:r>
      <w:r w:rsidRPr="007B034C">
        <w:rPr>
          <w:sz w:val="28"/>
          <w:szCs w:val="28"/>
        </w:rPr>
        <w:sym w:font="HQPB2" w:char="F041"/>
      </w:r>
      <w:r w:rsidRPr="007B034C">
        <w:rPr>
          <w:sz w:val="28"/>
          <w:szCs w:val="28"/>
        </w:rPr>
        <w:sym w:font="HQPB4" w:char="F0F4"/>
      </w:r>
      <w:r w:rsidRPr="007B034C">
        <w:rPr>
          <w:sz w:val="28"/>
          <w:szCs w:val="28"/>
        </w:rPr>
        <w:sym w:font="HQPB1" w:char="F089"/>
      </w:r>
      <w:r w:rsidRPr="007B034C">
        <w:rPr>
          <w:sz w:val="28"/>
          <w:szCs w:val="28"/>
        </w:rPr>
        <w:sym w:font="HQPB5" w:char="F079"/>
      </w:r>
      <w:r w:rsidRPr="007B034C">
        <w:rPr>
          <w:sz w:val="28"/>
          <w:szCs w:val="28"/>
        </w:rPr>
        <w:sym w:font="HQPB1" w:char="F0E8"/>
      </w:r>
      <w:r w:rsidRPr="007B034C">
        <w:rPr>
          <w:sz w:val="28"/>
          <w:szCs w:val="28"/>
        </w:rPr>
        <w:sym w:font="HQPB4" w:char="F0F8"/>
      </w:r>
      <w:r w:rsidRPr="007B034C">
        <w:rPr>
          <w:sz w:val="28"/>
          <w:szCs w:val="28"/>
        </w:rPr>
        <w:sym w:font="HQPB2" w:char="F039"/>
      </w:r>
      <w:r w:rsidRPr="007B034C">
        <w:rPr>
          <w:sz w:val="28"/>
          <w:szCs w:val="28"/>
        </w:rPr>
        <w:sym w:font="HQPB5" w:char="F024"/>
      </w:r>
      <w:r w:rsidRPr="007B034C">
        <w:rPr>
          <w:sz w:val="28"/>
          <w:szCs w:val="28"/>
        </w:rPr>
        <w:sym w:font="HQPB1" w:char="F024"/>
      </w:r>
      <w:r w:rsidRPr="007B034C">
        <w:rPr>
          <w:sz w:val="28"/>
          <w:szCs w:val="28"/>
        </w:rPr>
        <w:sym w:font="HQPB4" w:char="F0CE"/>
      </w:r>
      <w:r w:rsidRPr="007B034C">
        <w:rPr>
          <w:sz w:val="28"/>
          <w:szCs w:val="28"/>
        </w:rPr>
        <w:sym w:font="HQPB1" w:char="F02F"/>
      </w:r>
      <w:r w:rsidRPr="007B034C">
        <w:rPr>
          <w:rFonts w:ascii="(normal text)" w:hAnsi="(normal text)"/>
          <w:sz w:val="28"/>
          <w:szCs w:val="28"/>
          <w:rtl/>
        </w:rPr>
        <w:t xml:space="preserve"> </w:t>
      </w:r>
      <w:r w:rsidRPr="007B034C">
        <w:rPr>
          <w:sz w:val="28"/>
          <w:szCs w:val="28"/>
        </w:rPr>
        <w:sym w:font="HQPB4" w:char="F034"/>
      </w:r>
      <w:r w:rsidRPr="007B034C">
        <w:rPr>
          <w:rFonts w:ascii="(normal text)" w:hAnsi="(normal text)"/>
          <w:sz w:val="28"/>
          <w:szCs w:val="28"/>
          <w:rtl/>
        </w:rPr>
        <w:t xml:space="preserve"> </w:t>
      </w:r>
      <w:r w:rsidRPr="007B034C">
        <w:rPr>
          <w:sz w:val="28"/>
          <w:szCs w:val="28"/>
        </w:rPr>
        <w:sym w:font="HQPB4" w:char="F0A8"/>
      </w:r>
      <w:r w:rsidRPr="007B034C">
        <w:rPr>
          <w:sz w:val="28"/>
          <w:szCs w:val="28"/>
        </w:rPr>
        <w:sym w:font="HQPB2" w:char="F062"/>
      </w:r>
      <w:r w:rsidRPr="007B034C">
        <w:rPr>
          <w:sz w:val="28"/>
          <w:szCs w:val="28"/>
        </w:rPr>
        <w:sym w:font="HQPB4" w:char="F0CE"/>
      </w:r>
      <w:r w:rsidRPr="007B034C">
        <w:rPr>
          <w:sz w:val="28"/>
          <w:szCs w:val="28"/>
        </w:rPr>
        <w:sym w:font="HQPB1" w:char="F029"/>
      </w:r>
      <w:r w:rsidRPr="007B034C">
        <w:rPr>
          <w:rFonts w:ascii="(normal text)" w:hAnsi="(normal text)"/>
          <w:sz w:val="28"/>
          <w:szCs w:val="28"/>
          <w:rtl/>
        </w:rPr>
        <w:t xml:space="preserve"> </w:t>
      </w:r>
      <w:r w:rsidRPr="007B034C">
        <w:rPr>
          <w:sz w:val="28"/>
          <w:szCs w:val="28"/>
        </w:rPr>
        <w:sym w:font="HQPB5" w:char="F0A9"/>
      </w:r>
      <w:r w:rsidRPr="007B034C">
        <w:rPr>
          <w:rFonts w:ascii="Adobe نسخ Medium" w:hAnsi="Adobe نسخ Medium" w:cs="Adobe نسخ Medium"/>
          <w:sz w:val="28"/>
          <w:szCs w:val="28"/>
          <w:rtl/>
        </w:rPr>
        <w:t xml:space="preserve"> الله</w:t>
      </w:r>
      <w:r w:rsidRPr="007B034C">
        <w:rPr>
          <w:rFonts w:ascii="Adobe نسخ Medium" w:hAnsi="Adobe نسخ Medium" w:cs="Adobe نسخ Medium" w:hint="cs"/>
          <w:sz w:val="28"/>
          <w:szCs w:val="28"/>
          <w:rtl/>
        </w:rPr>
        <w:t>َ</w:t>
      </w:r>
      <w:r w:rsidRPr="007B034C">
        <w:rPr>
          <w:sz w:val="28"/>
          <w:szCs w:val="28"/>
        </w:rPr>
        <w:t xml:space="preserve"> </w:t>
      </w:r>
      <w:r w:rsidRPr="007B034C">
        <w:rPr>
          <w:sz w:val="28"/>
          <w:szCs w:val="28"/>
        </w:rPr>
        <w:sym w:font="HQPB1" w:char="F024"/>
      </w:r>
      <w:r w:rsidRPr="007B034C">
        <w:rPr>
          <w:sz w:val="28"/>
          <w:szCs w:val="28"/>
        </w:rPr>
        <w:sym w:font="HQPB4" w:char="F0AD"/>
      </w:r>
      <w:r w:rsidRPr="007B034C">
        <w:rPr>
          <w:sz w:val="28"/>
          <w:szCs w:val="28"/>
        </w:rPr>
        <w:sym w:font="HQPB2" w:char="F04B"/>
      </w:r>
      <w:r w:rsidRPr="007B034C">
        <w:rPr>
          <w:sz w:val="28"/>
          <w:szCs w:val="28"/>
        </w:rPr>
        <w:sym w:font="HQPB4" w:char="F0CF"/>
      </w:r>
      <w:r w:rsidRPr="007B034C">
        <w:rPr>
          <w:sz w:val="28"/>
          <w:szCs w:val="28"/>
        </w:rPr>
        <w:sym w:font="HQPB1" w:char="F0E8"/>
      </w:r>
      <w:r w:rsidRPr="007B034C">
        <w:rPr>
          <w:sz w:val="28"/>
          <w:szCs w:val="28"/>
        </w:rPr>
        <w:sym w:font="HQPB4" w:char="F0CF"/>
      </w:r>
      <w:r w:rsidRPr="007B034C">
        <w:rPr>
          <w:sz w:val="28"/>
          <w:szCs w:val="28"/>
        </w:rPr>
        <w:sym w:font="HQPB2" w:char="F052"/>
      </w:r>
      <w:r w:rsidRPr="007B034C">
        <w:rPr>
          <w:rFonts w:ascii="(normal text)" w:hAnsi="(normal text)"/>
          <w:sz w:val="28"/>
          <w:szCs w:val="28"/>
          <w:rtl/>
        </w:rPr>
        <w:t xml:space="preserve"> </w:t>
      </w:r>
      <w:r w:rsidRPr="007B034C">
        <w:rPr>
          <w:sz w:val="28"/>
          <w:szCs w:val="28"/>
        </w:rPr>
        <w:sym w:font="HQPB3" w:char="F02F"/>
      </w:r>
      <w:r w:rsidRPr="007B034C">
        <w:rPr>
          <w:sz w:val="28"/>
          <w:szCs w:val="28"/>
        </w:rPr>
        <w:sym w:font="HQPB4" w:char="F0E4"/>
      </w:r>
      <w:r w:rsidRPr="007B034C">
        <w:rPr>
          <w:sz w:val="28"/>
          <w:szCs w:val="28"/>
        </w:rPr>
        <w:sym w:font="HQPB2" w:char="F033"/>
      </w:r>
      <w:r w:rsidRPr="007B034C">
        <w:rPr>
          <w:sz w:val="28"/>
          <w:szCs w:val="28"/>
        </w:rPr>
        <w:sym w:font="HQPB4" w:char="F0DD"/>
      </w:r>
      <w:r w:rsidRPr="007B034C">
        <w:rPr>
          <w:sz w:val="28"/>
          <w:szCs w:val="28"/>
        </w:rPr>
        <w:sym w:font="HQPB1" w:char="F0E0"/>
      </w:r>
      <w:r w:rsidRPr="007B034C">
        <w:rPr>
          <w:sz w:val="28"/>
          <w:szCs w:val="28"/>
        </w:rPr>
        <w:sym w:font="HQPB4" w:char="F0CF"/>
      </w:r>
      <w:r w:rsidRPr="007B034C">
        <w:rPr>
          <w:sz w:val="28"/>
          <w:szCs w:val="28"/>
        </w:rPr>
        <w:sym w:font="HQPB1" w:char="F0E8"/>
      </w:r>
      <w:r w:rsidRPr="007B034C">
        <w:rPr>
          <w:sz w:val="28"/>
          <w:szCs w:val="28"/>
        </w:rPr>
        <w:sym w:font="HQPB5" w:char="F074"/>
      </w:r>
      <w:r w:rsidRPr="007B034C">
        <w:rPr>
          <w:sz w:val="28"/>
          <w:szCs w:val="28"/>
        </w:rPr>
        <w:sym w:font="HQPB2" w:char="F083"/>
      </w:r>
      <w:r w:rsidRPr="007B034C">
        <w:rPr>
          <w:rFonts w:ascii="(normal text)" w:hAnsi="(normal text)"/>
          <w:sz w:val="28"/>
          <w:szCs w:val="28"/>
          <w:rtl/>
        </w:rPr>
        <w:t xml:space="preserve"> </w:t>
      </w:r>
      <w:r w:rsidRPr="007B034C">
        <w:rPr>
          <w:sz w:val="28"/>
          <w:szCs w:val="28"/>
        </w:rPr>
        <w:sym w:font="HQPB4" w:char="F0FF"/>
      </w:r>
      <w:r w:rsidRPr="007B034C">
        <w:rPr>
          <w:sz w:val="28"/>
          <w:szCs w:val="28"/>
        </w:rPr>
        <w:sym w:font="HQPB2" w:char="F0BE"/>
      </w:r>
      <w:r w:rsidRPr="007B034C">
        <w:rPr>
          <w:sz w:val="28"/>
          <w:szCs w:val="28"/>
        </w:rPr>
        <w:sym w:font="HQPB4" w:char="F0CF"/>
      </w:r>
      <w:r w:rsidRPr="007B034C">
        <w:rPr>
          <w:sz w:val="28"/>
          <w:szCs w:val="28"/>
        </w:rPr>
        <w:sym w:font="HQPB2" w:char="F06D"/>
      </w:r>
      <w:r w:rsidRPr="007B034C">
        <w:rPr>
          <w:sz w:val="28"/>
          <w:szCs w:val="28"/>
        </w:rPr>
        <w:sym w:font="HQPB4" w:char="F0CE"/>
      </w:r>
      <w:r w:rsidRPr="007B034C">
        <w:rPr>
          <w:sz w:val="28"/>
          <w:szCs w:val="28"/>
        </w:rPr>
        <w:sym w:font="HQPB1" w:char="F02F"/>
      </w:r>
      <w:r w:rsidRPr="007B034C">
        <w:rPr>
          <w:rFonts w:ascii="(normal text)" w:hAnsi="(normal text)"/>
          <w:sz w:val="28"/>
          <w:szCs w:val="28"/>
          <w:rtl/>
        </w:rPr>
        <w:t xml:space="preserve"> </w:t>
      </w:r>
      <w:r w:rsidRPr="007B034C">
        <w:rPr>
          <w:sz w:val="28"/>
          <w:szCs w:val="28"/>
        </w:rPr>
        <w:sym w:font="HQPB4" w:char="F033"/>
      </w:r>
      <w:r w:rsidRPr="007B034C">
        <w:rPr>
          <w:rFonts w:ascii="(normal text)" w:hAnsi="(normal text)"/>
          <w:sz w:val="28"/>
          <w:szCs w:val="28"/>
          <w:rtl/>
        </w:rPr>
        <w:t xml:space="preserve"> </w:t>
      </w:r>
      <w:r w:rsidRPr="007B034C">
        <w:rPr>
          <w:sz w:val="28"/>
          <w:szCs w:val="28"/>
        </w:rPr>
        <w:sym w:font="HQPB4" w:char="F0A8"/>
      </w:r>
      <w:r w:rsidRPr="007B034C">
        <w:rPr>
          <w:sz w:val="28"/>
          <w:szCs w:val="28"/>
        </w:rPr>
        <w:sym w:font="HQPB2" w:char="F062"/>
      </w:r>
      <w:r w:rsidRPr="007B034C">
        <w:rPr>
          <w:sz w:val="28"/>
          <w:szCs w:val="28"/>
        </w:rPr>
        <w:sym w:font="HQPB4" w:char="F0CE"/>
      </w:r>
      <w:r w:rsidRPr="007B034C">
        <w:rPr>
          <w:sz w:val="28"/>
          <w:szCs w:val="28"/>
        </w:rPr>
        <w:sym w:font="HQPB1" w:char="F029"/>
      </w:r>
      <w:r w:rsidRPr="007B034C">
        <w:rPr>
          <w:rFonts w:ascii="(normal text)" w:hAnsi="(normal text)"/>
          <w:sz w:val="28"/>
          <w:szCs w:val="28"/>
          <w:rtl/>
        </w:rPr>
        <w:t xml:space="preserve"> </w:t>
      </w:r>
      <w:r w:rsidRPr="007B034C">
        <w:rPr>
          <w:rFonts w:ascii="Adobe نسخ Medium" w:hAnsi="Adobe نسخ Medium" w:cs="Adobe نسخ Medium"/>
          <w:sz w:val="28"/>
          <w:szCs w:val="28"/>
          <w:rtl/>
        </w:rPr>
        <w:t>الله</w:t>
      </w:r>
      <w:r w:rsidRPr="007B034C">
        <w:rPr>
          <w:rFonts w:ascii="Adobe نسخ Medium" w:hAnsi="Adobe نسخ Medium" w:cs="Adobe نسخ Medium" w:hint="cs"/>
          <w:sz w:val="28"/>
          <w:szCs w:val="28"/>
          <w:rtl/>
        </w:rPr>
        <w:t>َ</w:t>
      </w:r>
      <w:r w:rsidRPr="007B034C">
        <w:rPr>
          <w:sz w:val="28"/>
          <w:szCs w:val="28"/>
        </w:rPr>
        <w:sym w:font="HQPB5" w:char="F024"/>
      </w:r>
      <w:r w:rsidRPr="007B034C">
        <w:rPr>
          <w:rFonts w:ascii="(normal text)" w:hAnsi="(normal text)"/>
          <w:sz w:val="28"/>
          <w:szCs w:val="28"/>
          <w:rtl/>
        </w:rPr>
        <w:t xml:space="preserve"> </w:t>
      </w:r>
      <w:r w:rsidRPr="007B034C">
        <w:rPr>
          <w:sz w:val="28"/>
          <w:szCs w:val="28"/>
        </w:rPr>
        <w:sym w:font="HQPB5" w:char="F074"/>
      </w:r>
      <w:r w:rsidRPr="007B034C">
        <w:rPr>
          <w:sz w:val="28"/>
          <w:szCs w:val="28"/>
        </w:rPr>
        <w:sym w:font="HQPB2" w:char="F062"/>
      </w:r>
      <w:r w:rsidRPr="007B034C">
        <w:rPr>
          <w:sz w:val="28"/>
          <w:szCs w:val="28"/>
        </w:rPr>
        <w:sym w:font="HQPB1" w:char="F025"/>
      </w:r>
      <w:r w:rsidRPr="007B034C">
        <w:rPr>
          <w:sz w:val="28"/>
          <w:szCs w:val="28"/>
        </w:rPr>
        <w:sym w:font="HQPB5" w:char="F078"/>
      </w:r>
      <w:r w:rsidRPr="007B034C">
        <w:rPr>
          <w:sz w:val="28"/>
          <w:szCs w:val="28"/>
        </w:rPr>
        <w:sym w:font="HQPB2" w:char="F02E"/>
      </w:r>
      <w:r w:rsidRPr="007B034C">
        <w:rPr>
          <w:rFonts w:ascii="(normal text)" w:hAnsi="(normal text)"/>
          <w:sz w:val="28"/>
          <w:szCs w:val="28"/>
          <w:rtl/>
        </w:rPr>
        <w:t xml:space="preserve"> </w:t>
      </w:r>
      <w:r w:rsidRPr="007B034C">
        <w:rPr>
          <w:sz w:val="28"/>
          <w:szCs w:val="28"/>
        </w:rPr>
        <w:sym w:font="HQPB1" w:char="F024"/>
      </w:r>
      <w:r w:rsidRPr="007B034C">
        <w:rPr>
          <w:sz w:val="28"/>
          <w:szCs w:val="28"/>
        </w:rPr>
        <w:sym w:font="HQPB4" w:char="F04A"/>
      </w:r>
      <w:r w:rsidRPr="007B034C">
        <w:rPr>
          <w:sz w:val="28"/>
          <w:szCs w:val="28"/>
        </w:rPr>
        <w:sym w:font="HQPB1" w:char="F0E8"/>
      </w:r>
      <w:r w:rsidRPr="007B034C">
        <w:rPr>
          <w:sz w:val="28"/>
          <w:szCs w:val="28"/>
        </w:rPr>
        <w:sym w:font="HQPB2" w:char="F08B"/>
      </w:r>
      <w:r w:rsidRPr="007B034C">
        <w:rPr>
          <w:sz w:val="28"/>
          <w:szCs w:val="28"/>
        </w:rPr>
        <w:sym w:font="HQPB4" w:char="F0CF"/>
      </w:r>
      <w:r w:rsidRPr="007B034C">
        <w:rPr>
          <w:sz w:val="28"/>
          <w:szCs w:val="28"/>
        </w:rPr>
        <w:sym w:font="HQPB2" w:char="F0FF"/>
      </w:r>
      <w:r w:rsidRPr="007B034C">
        <w:rPr>
          <w:sz w:val="28"/>
          <w:szCs w:val="28"/>
        </w:rPr>
        <w:sym w:font="HQPB5" w:char="F078"/>
      </w:r>
      <w:r w:rsidRPr="007B034C">
        <w:rPr>
          <w:sz w:val="28"/>
          <w:szCs w:val="28"/>
        </w:rPr>
        <w:sym w:font="HQPB1" w:char="F09C"/>
      </w:r>
      <w:r w:rsidRPr="007B034C">
        <w:rPr>
          <w:rFonts w:ascii="(normal text)" w:hAnsi="(normal text)"/>
          <w:sz w:val="28"/>
          <w:szCs w:val="28"/>
          <w:rtl/>
        </w:rPr>
        <w:t xml:space="preserve"> </w:t>
      </w:r>
      <w:r w:rsidRPr="007B034C">
        <w:rPr>
          <w:sz w:val="28"/>
          <w:szCs w:val="28"/>
        </w:rPr>
        <w:sym w:font="HQPB1" w:char="F023"/>
      </w:r>
      <w:r w:rsidRPr="007B034C">
        <w:rPr>
          <w:sz w:val="28"/>
          <w:szCs w:val="28"/>
        </w:rPr>
        <w:sym w:font="HQPB4" w:char="F05A"/>
      </w:r>
      <w:r w:rsidRPr="007B034C">
        <w:rPr>
          <w:sz w:val="28"/>
          <w:szCs w:val="28"/>
        </w:rPr>
        <w:sym w:font="HQPB1" w:char="F08E"/>
      </w:r>
      <w:r w:rsidRPr="007B034C">
        <w:rPr>
          <w:sz w:val="28"/>
          <w:szCs w:val="28"/>
        </w:rPr>
        <w:sym w:font="HQPB2" w:char="F08D"/>
      </w:r>
      <w:r w:rsidRPr="007B034C">
        <w:rPr>
          <w:sz w:val="28"/>
          <w:szCs w:val="28"/>
        </w:rPr>
        <w:sym w:font="HQPB4" w:char="F0C5"/>
      </w:r>
      <w:r w:rsidRPr="007B034C">
        <w:rPr>
          <w:sz w:val="28"/>
          <w:szCs w:val="28"/>
        </w:rPr>
        <w:sym w:font="HQPB1" w:char="F0C1"/>
      </w:r>
      <w:r w:rsidRPr="007B034C">
        <w:rPr>
          <w:sz w:val="28"/>
          <w:szCs w:val="28"/>
        </w:rPr>
        <w:sym w:font="HQPB5" w:char="F074"/>
      </w:r>
      <w:r w:rsidRPr="007B034C">
        <w:rPr>
          <w:sz w:val="28"/>
          <w:szCs w:val="28"/>
        </w:rPr>
        <w:sym w:font="HQPB1" w:char="F02F"/>
      </w:r>
      <w:r w:rsidRPr="007B034C">
        <w:rPr>
          <w:rFonts w:ascii="(normal text)" w:hAnsi="(normal text)"/>
          <w:sz w:val="28"/>
          <w:szCs w:val="28"/>
          <w:rtl/>
        </w:rPr>
        <w:t xml:space="preserve"> </w:t>
      </w:r>
      <w:r w:rsidRPr="007B034C">
        <w:rPr>
          <w:sz w:val="28"/>
          <w:szCs w:val="28"/>
        </w:rPr>
        <w:sym w:font="HQPB2" w:char="F0C7"/>
      </w:r>
      <w:r w:rsidRPr="007B034C">
        <w:rPr>
          <w:sz w:val="28"/>
          <w:szCs w:val="28"/>
        </w:rPr>
        <w:sym w:font="HQPB2" w:char="F0CE"/>
      </w:r>
      <w:r w:rsidRPr="007B034C">
        <w:rPr>
          <w:sz w:val="28"/>
          <w:szCs w:val="28"/>
        </w:rPr>
        <w:sym w:font="HQPB2" w:char="F0D1"/>
      </w:r>
      <w:r w:rsidRPr="007B034C">
        <w:rPr>
          <w:sz w:val="28"/>
          <w:szCs w:val="28"/>
        </w:rPr>
        <w:sym w:font="HQPB2" w:char="F0C8"/>
      </w:r>
      <w:r w:rsidRPr="007B034C">
        <w:rPr>
          <w:rFonts w:ascii="(normal text)" w:hAnsi="(normal text)"/>
          <w:sz w:val="28"/>
          <w:szCs w:val="28"/>
          <w:rtl/>
        </w:rPr>
        <w:t xml:space="preserve"> </w:t>
      </w:r>
    </w:p>
    <w:p w:rsidR="00343B61" w:rsidRPr="007B034C" w:rsidRDefault="00343B61" w:rsidP="00343B61">
      <w:pPr>
        <w:bidi/>
        <w:spacing w:line="240" w:lineRule="auto"/>
        <w:rPr>
          <w:rFonts w:ascii="Adobe نسخ Medium" w:hAnsi="Adobe نسخ Medium" w:cs="Adobe نسخ Medium"/>
          <w:sz w:val="28"/>
          <w:szCs w:val="28"/>
          <w:rtl/>
        </w:rPr>
      </w:pPr>
      <w:r w:rsidRPr="007B034C">
        <w:rPr>
          <w:rFonts w:ascii="(normal text)" w:hAnsi="(normal text)"/>
          <w:sz w:val="28"/>
          <w:szCs w:val="28"/>
          <w:rtl/>
        </w:rPr>
        <w:t xml:space="preserve">  </w:t>
      </w:r>
      <w:r w:rsidRPr="007B034C">
        <w:rPr>
          <w:rFonts w:ascii="(normal text)" w:hAnsi="(normal text)" w:hint="cs"/>
          <w:sz w:val="28"/>
          <w:szCs w:val="28"/>
          <w:rtl/>
        </w:rPr>
        <w:t xml:space="preserve">( ق.س: </w:t>
      </w:r>
      <w:r w:rsidRPr="007B034C">
        <w:rPr>
          <w:rFonts w:ascii="Arial Rounded MT Bold" w:hAnsi="Arial Rounded MT Bold" w:hint="cs"/>
          <w:sz w:val="28"/>
          <w:szCs w:val="28"/>
          <w:rtl/>
        </w:rPr>
        <w:t>النساء</w:t>
      </w:r>
      <w:r w:rsidRPr="007B034C">
        <w:rPr>
          <w:rFonts w:ascii="(normal text)" w:hAnsi="(normal text)" w:hint="cs"/>
          <w:sz w:val="28"/>
          <w:szCs w:val="28"/>
          <w:rtl/>
        </w:rPr>
        <w:t xml:space="preserve"> / </w:t>
      </w:r>
      <w:r w:rsidRPr="007B034C">
        <w:rPr>
          <w:rFonts w:ascii="(normal text)" w:hAnsi="(normal text)"/>
          <w:sz w:val="28"/>
          <w:szCs w:val="28"/>
        </w:rPr>
        <w:t>4</w:t>
      </w:r>
      <w:r w:rsidRPr="007B034C">
        <w:rPr>
          <w:rFonts w:ascii="(normal text)" w:hAnsi="(normal text)" w:hint="cs"/>
          <w:sz w:val="28"/>
          <w:szCs w:val="28"/>
          <w:rtl/>
        </w:rPr>
        <w:t xml:space="preserve">: </w:t>
      </w:r>
      <w:r w:rsidRPr="007B034C">
        <w:rPr>
          <w:rFonts w:ascii="(normal text)" w:hAnsi="(normal text)"/>
          <w:sz w:val="28"/>
          <w:szCs w:val="28"/>
        </w:rPr>
        <w:t>58</w:t>
      </w:r>
      <w:r w:rsidRPr="007B034C">
        <w:rPr>
          <w:rFonts w:ascii="(normal text)" w:hAnsi="(normal text)" w:hint="cs"/>
          <w:sz w:val="28"/>
          <w:szCs w:val="28"/>
          <w:rtl/>
        </w:rPr>
        <w:t xml:space="preserve">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normal text)" w:hAnsi="(normal text)"/>
          <w:sz w:val="20"/>
        </w:rPr>
        <w:t xml:space="preserve"> “</w:t>
      </w:r>
      <w:r w:rsidRPr="00910CE3">
        <w:rPr>
          <w:rFonts w:asciiTheme="majorBidi" w:hAnsiTheme="majorBidi" w:cstheme="majorBidi"/>
          <w:i/>
          <w:iCs/>
          <w:sz w:val="24"/>
          <w:szCs w:val="24"/>
        </w:rPr>
        <w:t xml:space="preserve">Sesungguhnya Allah menyuruh kamu menyampaikan amanat kepada yang berhak menerimanya, dan (menyuruh kamu) apabila menetapkan hukum di antara manusia supaya kamu menetapkan dengan adil. Sesungguhnya Allah memberi pengajaran yang sebaik-baiknya </w:t>
      </w:r>
      <w:r w:rsidRPr="00910CE3">
        <w:rPr>
          <w:rFonts w:asciiTheme="majorBidi" w:hAnsiTheme="majorBidi" w:cstheme="majorBidi"/>
          <w:i/>
          <w:iCs/>
          <w:sz w:val="24"/>
          <w:szCs w:val="24"/>
        </w:rPr>
        <w:lastRenderedPageBreak/>
        <w:t>kepadamu. Sesungguhnya Allah adalah Maha mendengar lagi Maha melihat</w:t>
      </w:r>
      <w:r w:rsidRPr="00910CE3">
        <w:rPr>
          <w:rFonts w:ascii="(normal text)" w:hAnsi="(normal text)"/>
          <w:sz w:val="20"/>
        </w:rPr>
        <w:t>.”</w:t>
      </w:r>
      <w:r w:rsidRPr="00910CE3">
        <w:rPr>
          <w:rStyle w:val="FootnoteReference"/>
          <w:rFonts w:ascii="(normal text)" w:hAnsi="(normal text)"/>
          <w:sz w:val="20"/>
        </w:rPr>
        <w:footnoteReference w:id="186"/>
      </w:r>
      <w:r w:rsidRPr="00910CE3">
        <w:rPr>
          <w:rFonts w:asciiTheme="majorBidi" w:hAnsiTheme="majorBidi" w:cstheme="majorBidi"/>
          <w:sz w:val="24"/>
          <w:szCs w:val="24"/>
        </w:rPr>
        <w:t xml:space="preserve"> ( QS.An-Nisa [4]: 58)</w:t>
      </w:r>
    </w:p>
    <w:p w:rsidR="00343B61" w:rsidRPr="00910CE3" w:rsidRDefault="00343B61" w:rsidP="00343B61">
      <w:pPr>
        <w:pStyle w:val="ListParagraph"/>
        <w:tabs>
          <w:tab w:val="left" w:pos="7920"/>
        </w:tabs>
        <w:autoSpaceDE w:val="0"/>
        <w:autoSpaceDN w:val="0"/>
        <w:adjustRightInd w:val="0"/>
        <w:spacing w:after="0" w:line="360" w:lineRule="auto"/>
        <w:ind w:left="900" w:right="17"/>
        <w:jc w:val="both"/>
        <w:rPr>
          <w:rFonts w:asciiTheme="majorBidi" w:hAnsiTheme="majorBidi" w:cstheme="majorBidi"/>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00" w:right="17" w:hanging="180"/>
        <w:jc w:val="both"/>
        <w:rPr>
          <w:rFonts w:ascii="(normal text)" w:hAnsi="(normal text)"/>
          <w:sz w:val="20"/>
        </w:rPr>
      </w:pPr>
      <w:r w:rsidRPr="00910CE3">
        <w:rPr>
          <w:rFonts w:asciiTheme="majorBidi" w:hAnsiTheme="majorBidi" w:cstheme="majorBidi"/>
          <w:sz w:val="24"/>
          <w:szCs w:val="24"/>
        </w:rPr>
        <w:t xml:space="preserve">Ayat al-Qur’ān yang Menjelaskan kemestian mentaati Allah dan Rasulnya serta </w:t>
      </w:r>
      <w:r w:rsidRPr="00910CE3">
        <w:rPr>
          <w:rFonts w:asciiTheme="majorBidi" w:hAnsiTheme="majorBidi" w:cstheme="majorBidi"/>
          <w:i/>
          <w:iCs/>
          <w:sz w:val="24"/>
          <w:szCs w:val="24"/>
        </w:rPr>
        <w:t>ulil Amr</w:t>
      </w:r>
      <w:r w:rsidRPr="00910CE3">
        <w:rPr>
          <w:rFonts w:asciiTheme="majorBidi" w:hAnsiTheme="majorBidi" w:cstheme="majorBidi"/>
          <w:sz w:val="24"/>
          <w:szCs w:val="24"/>
        </w:rPr>
        <w:t xml:space="preserve"> ( pemegang kekuasaan), yaitu:</w:t>
      </w:r>
    </w:p>
    <w:p w:rsidR="00343B61" w:rsidRPr="00910CE3" w:rsidRDefault="00343B61" w:rsidP="00343B61">
      <w:pPr>
        <w:pStyle w:val="ListParagraph"/>
        <w:tabs>
          <w:tab w:val="left" w:pos="6227"/>
        </w:tabs>
        <w:autoSpaceDE w:val="0"/>
        <w:autoSpaceDN w:val="0"/>
        <w:bidi/>
        <w:adjustRightInd w:val="0"/>
        <w:spacing w:after="0" w:line="240" w:lineRule="auto"/>
        <w:ind w:left="17" w:right="900"/>
        <w:jc w:val="both"/>
        <w:rPr>
          <w:rFonts w:ascii="(normal text)" w:hAnsi="(normal text)"/>
          <w:rtl/>
        </w:rPr>
      </w:pPr>
      <w:r w:rsidRPr="00910CE3">
        <w:rPr>
          <w:sz w:val="28"/>
          <w:szCs w:val="28"/>
        </w:rPr>
        <w:sym w:font="HQPB1" w:char="F024"/>
      </w:r>
      <w:r w:rsidRPr="00910CE3">
        <w:rPr>
          <w:sz w:val="28"/>
          <w:szCs w:val="28"/>
        </w:rPr>
        <w:sym w:font="HQPB5" w:char="F070"/>
      </w:r>
      <w:r w:rsidRPr="00910CE3">
        <w:rPr>
          <w:sz w:val="28"/>
          <w:szCs w:val="28"/>
        </w:rPr>
        <w:sym w:font="HQPB2" w:char="F06B"/>
      </w:r>
      <w:r w:rsidRPr="00910CE3">
        <w:rPr>
          <w:sz w:val="28"/>
          <w:szCs w:val="28"/>
        </w:rPr>
        <w:sym w:font="HQPB4" w:char="F09A"/>
      </w:r>
      <w:r w:rsidRPr="00910CE3">
        <w:rPr>
          <w:sz w:val="28"/>
          <w:szCs w:val="28"/>
        </w:rPr>
        <w:sym w:font="HQPB2" w:char="F089"/>
      </w:r>
      <w:r w:rsidRPr="00910CE3">
        <w:rPr>
          <w:sz w:val="28"/>
          <w:szCs w:val="28"/>
        </w:rPr>
        <w:sym w:font="HQPB5" w:char="F072"/>
      </w:r>
      <w:r w:rsidRPr="00910CE3">
        <w:rPr>
          <w:sz w:val="28"/>
          <w:szCs w:val="28"/>
        </w:rPr>
        <w:sym w:font="HQPB1" w:char="F027"/>
      </w:r>
      <w:r w:rsidRPr="00910CE3">
        <w:rPr>
          <w:sz w:val="28"/>
          <w:szCs w:val="28"/>
        </w:rPr>
        <w:sym w:font="HQPB5" w:char="F0AF"/>
      </w:r>
      <w:r w:rsidRPr="00910CE3">
        <w:rPr>
          <w:sz w:val="28"/>
          <w:szCs w:val="28"/>
        </w:rPr>
        <w:sym w:font="HQPB2" w:char="F0BB"/>
      </w:r>
      <w:r w:rsidRPr="00910CE3">
        <w:rPr>
          <w:sz w:val="28"/>
          <w:szCs w:val="28"/>
        </w:rPr>
        <w:sym w:font="HQPB5" w:char="F074"/>
      </w:r>
      <w:r w:rsidRPr="00910CE3">
        <w:rPr>
          <w:sz w:val="28"/>
          <w:szCs w:val="28"/>
        </w:rPr>
        <w:sym w:font="HQPB2" w:char="F083"/>
      </w:r>
      <w:r w:rsidRPr="00910CE3">
        <w:rPr>
          <w:rFonts w:ascii="(normal text)" w:hAnsi="(normal text)"/>
          <w:rtl/>
        </w:rPr>
        <w:t xml:space="preserve"> </w:t>
      </w:r>
      <w:r w:rsidRPr="00910CE3">
        <w:rPr>
          <w:sz w:val="28"/>
          <w:szCs w:val="28"/>
        </w:rPr>
        <w:sym w:font="HQPB5" w:char="F074"/>
      </w:r>
      <w:r w:rsidRPr="00910CE3">
        <w:rPr>
          <w:sz w:val="28"/>
          <w:szCs w:val="28"/>
        </w:rPr>
        <w:sym w:font="HQPB2" w:char="F0FB"/>
      </w:r>
      <w:r w:rsidRPr="00910CE3">
        <w:rPr>
          <w:sz w:val="28"/>
          <w:szCs w:val="28"/>
        </w:rPr>
        <w:sym w:font="HQPB2" w:char="F0EF"/>
      </w:r>
      <w:r w:rsidRPr="00910CE3">
        <w:rPr>
          <w:sz w:val="28"/>
          <w:szCs w:val="28"/>
        </w:rPr>
        <w:sym w:font="HQPB4" w:char="F0CF"/>
      </w:r>
      <w:r w:rsidRPr="00910CE3">
        <w:rPr>
          <w:sz w:val="28"/>
          <w:szCs w:val="28"/>
        </w:rPr>
        <w:sym w:font="HQPB3" w:char="F025"/>
      </w:r>
      <w:r w:rsidRPr="00910CE3">
        <w:rPr>
          <w:sz w:val="28"/>
          <w:szCs w:val="28"/>
        </w:rPr>
        <w:sym w:font="HQPB4" w:char="F0A9"/>
      </w:r>
      <w:r w:rsidRPr="00910CE3">
        <w:rPr>
          <w:sz w:val="28"/>
          <w:szCs w:val="28"/>
        </w:rPr>
        <w:sym w:font="HQPB3" w:char="F021"/>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4" w:char="F0FE"/>
      </w:r>
      <w:r w:rsidRPr="00910CE3">
        <w:rPr>
          <w:sz w:val="28"/>
          <w:szCs w:val="28"/>
        </w:rPr>
        <w:sym w:font="HQPB2" w:char="F071"/>
      </w:r>
      <w:r w:rsidRPr="00910CE3">
        <w:rPr>
          <w:sz w:val="28"/>
          <w:szCs w:val="28"/>
        </w:rPr>
        <w:sym w:font="HQPB4" w:char="F0E3"/>
      </w:r>
      <w:r w:rsidRPr="00910CE3">
        <w:rPr>
          <w:sz w:val="28"/>
          <w:szCs w:val="28"/>
        </w:rPr>
        <w:sym w:font="HQPB2" w:char="F059"/>
      </w:r>
      <w:r w:rsidRPr="00910CE3">
        <w:rPr>
          <w:sz w:val="28"/>
          <w:szCs w:val="28"/>
        </w:rPr>
        <w:sym w:font="HQPB5" w:char="F074"/>
      </w:r>
      <w:r w:rsidRPr="00910CE3">
        <w:rPr>
          <w:sz w:val="28"/>
          <w:szCs w:val="28"/>
        </w:rPr>
        <w:sym w:font="HQPB2" w:char="F042"/>
      </w:r>
      <w:r w:rsidRPr="00910CE3">
        <w:rPr>
          <w:sz w:val="28"/>
          <w:szCs w:val="28"/>
        </w:rPr>
        <w:sym w:font="HQPB1" w:char="F023"/>
      </w:r>
      <w:r w:rsidRPr="00910CE3">
        <w:rPr>
          <w:sz w:val="28"/>
          <w:szCs w:val="28"/>
        </w:rPr>
        <w:sym w:font="HQPB5" w:char="F075"/>
      </w:r>
      <w:r w:rsidRPr="00910CE3">
        <w:rPr>
          <w:sz w:val="28"/>
          <w:szCs w:val="28"/>
        </w:rPr>
        <w:sym w:font="HQPB2" w:char="F0E4"/>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8"/>
      </w:r>
      <w:r w:rsidRPr="00910CE3">
        <w:rPr>
          <w:sz w:val="28"/>
          <w:szCs w:val="28"/>
        </w:rPr>
        <w:sym w:font="HQPB2" w:char="F08B"/>
      </w:r>
      <w:r w:rsidRPr="00910CE3">
        <w:rPr>
          <w:sz w:val="28"/>
          <w:szCs w:val="28"/>
        </w:rPr>
        <w:sym w:font="HQPB4" w:char="F0CF"/>
      </w:r>
      <w:r w:rsidRPr="00910CE3">
        <w:rPr>
          <w:sz w:val="28"/>
          <w:szCs w:val="28"/>
        </w:rPr>
        <w:sym w:font="HQPB1" w:char="F0DB"/>
      </w:r>
      <w:r w:rsidRPr="00910CE3">
        <w:rPr>
          <w:sz w:val="28"/>
          <w:szCs w:val="28"/>
        </w:rPr>
        <w:sym w:font="HQPB5" w:char="F072"/>
      </w:r>
      <w:r w:rsidRPr="00910CE3">
        <w:rPr>
          <w:sz w:val="28"/>
          <w:szCs w:val="28"/>
        </w:rPr>
        <w:sym w:font="HQPB1" w:char="F026"/>
      </w:r>
      <w:r w:rsidRPr="00910CE3">
        <w:rPr>
          <w:rFonts w:ascii="(normal text)" w:hAnsi="(normal text)"/>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3"/>
      </w:r>
      <w:r w:rsidRPr="00910CE3">
        <w:rPr>
          <w:sz w:val="28"/>
          <w:szCs w:val="28"/>
        </w:rPr>
        <w:sym w:font="HQPB1" w:char="F0E8"/>
      </w:r>
      <w:r w:rsidRPr="00910CE3">
        <w:rPr>
          <w:sz w:val="28"/>
          <w:szCs w:val="28"/>
        </w:rPr>
        <w:sym w:font="HQPB2" w:char="F08B"/>
      </w:r>
      <w:r w:rsidRPr="00910CE3">
        <w:rPr>
          <w:sz w:val="28"/>
          <w:szCs w:val="28"/>
        </w:rPr>
        <w:sym w:font="HQPB4" w:char="F0CF"/>
      </w:r>
      <w:r w:rsidRPr="00910CE3">
        <w:rPr>
          <w:sz w:val="28"/>
          <w:szCs w:val="28"/>
        </w:rPr>
        <w:sym w:font="HQPB1" w:char="F0DB"/>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74"/>
      </w:r>
      <w:r w:rsidRPr="00910CE3">
        <w:rPr>
          <w:sz w:val="28"/>
          <w:szCs w:val="28"/>
        </w:rPr>
        <w:sym w:font="HQPB2" w:char="F041"/>
      </w:r>
      <w:r w:rsidRPr="00910CE3">
        <w:rPr>
          <w:sz w:val="28"/>
          <w:szCs w:val="28"/>
        </w:rPr>
        <w:sym w:font="HQPB2" w:char="F071"/>
      </w:r>
      <w:r w:rsidRPr="00910CE3">
        <w:rPr>
          <w:sz w:val="28"/>
          <w:szCs w:val="28"/>
        </w:rPr>
        <w:sym w:font="HQPB4" w:char="F0DF"/>
      </w:r>
      <w:r w:rsidRPr="00910CE3">
        <w:rPr>
          <w:sz w:val="28"/>
          <w:szCs w:val="28"/>
        </w:rPr>
        <w:sym w:font="HQPB1" w:char="F099"/>
      </w:r>
      <w:r w:rsidRPr="00910CE3">
        <w:rPr>
          <w:sz w:val="28"/>
          <w:szCs w:val="28"/>
        </w:rPr>
        <w:sym w:font="HQPB4" w:char="F0A7"/>
      </w:r>
      <w:r w:rsidRPr="00910CE3">
        <w:rPr>
          <w:sz w:val="28"/>
          <w:szCs w:val="28"/>
        </w:rPr>
        <w:sym w:font="HQPB1" w:char="F08D"/>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2" w:char="F092"/>
      </w:r>
      <w:r w:rsidRPr="00910CE3">
        <w:rPr>
          <w:sz w:val="28"/>
          <w:szCs w:val="28"/>
        </w:rPr>
        <w:sym w:font="HQPB4" w:char="F0CD"/>
      </w:r>
      <w:r w:rsidRPr="00910CE3">
        <w:rPr>
          <w:sz w:val="28"/>
          <w:szCs w:val="28"/>
        </w:rPr>
        <w:sym w:font="HQPB2" w:char="F03C"/>
      </w:r>
      <w:r w:rsidRPr="00910CE3">
        <w:rPr>
          <w:sz w:val="28"/>
          <w:szCs w:val="28"/>
        </w:rPr>
        <w:sym w:font="HQPB5" w:char="F027"/>
      </w:r>
      <w:r w:rsidRPr="00910CE3">
        <w:rPr>
          <w:sz w:val="28"/>
          <w:szCs w:val="28"/>
        </w:rPr>
        <w:sym w:font="HQPB2" w:char="F072"/>
      </w:r>
      <w:r w:rsidRPr="00910CE3">
        <w:rPr>
          <w:sz w:val="28"/>
          <w:szCs w:val="28"/>
        </w:rPr>
        <w:sym w:font="HQPB4" w:char="F0E9"/>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CD"/>
      </w:r>
      <w:r w:rsidRPr="00910CE3">
        <w:rPr>
          <w:sz w:val="28"/>
          <w:szCs w:val="28"/>
        </w:rPr>
        <w:sym w:font="HQPB1" w:char="F090"/>
      </w:r>
      <w:r w:rsidRPr="00910CE3">
        <w:rPr>
          <w:sz w:val="28"/>
          <w:szCs w:val="28"/>
        </w:rPr>
        <w:sym w:font="HQPB4" w:char="F0F6"/>
      </w:r>
      <w:r w:rsidRPr="00910CE3">
        <w:rPr>
          <w:sz w:val="28"/>
          <w:szCs w:val="28"/>
        </w:rPr>
        <w:sym w:font="HQPB2" w:char="F044"/>
      </w:r>
      <w:r w:rsidRPr="00910CE3">
        <w:rPr>
          <w:sz w:val="28"/>
          <w:szCs w:val="28"/>
        </w:rPr>
        <w:sym w:font="HQPB5" w:char="F046"/>
      </w:r>
      <w:r w:rsidRPr="00910CE3">
        <w:rPr>
          <w:sz w:val="28"/>
          <w:szCs w:val="28"/>
        </w:rPr>
        <w:sym w:font="HQPB2" w:char="F07B"/>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4" w:char="F0F3"/>
      </w:r>
      <w:r w:rsidRPr="00910CE3">
        <w:rPr>
          <w:sz w:val="28"/>
          <w:szCs w:val="28"/>
        </w:rPr>
        <w:sym w:font="HQPB2" w:char="F04F"/>
      </w:r>
      <w:r w:rsidRPr="00910CE3">
        <w:rPr>
          <w:sz w:val="28"/>
          <w:szCs w:val="28"/>
        </w:rPr>
        <w:sym w:font="HQPB4" w:char="F0E4"/>
      </w:r>
      <w:r w:rsidRPr="00910CE3">
        <w:rPr>
          <w:sz w:val="28"/>
          <w:szCs w:val="28"/>
        </w:rPr>
        <w:sym w:font="HQPB2" w:char="F033"/>
      </w:r>
      <w:r w:rsidRPr="00910CE3">
        <w:rPr>
          <w:sz w:val="28"/>
          <w:szCs w:val="28"/>
        </w:rPr>
        <w:sym w:font="HQPB2" w:char="F05A"/>
      </w:r>
      <w:r w:rsidRPr="00910CE3">
        <w:rPr>
          <w:sz w:val="28"/>
          <w:szCs w:val="28"/>
        </w:rPr>
        <w:sym w:font="HQPB4" w:char="F0CF"/>
      </w:r>
      <w:r w:rsidRPr="00910CE3">
        <w:rPr>
          <w:sz w:val="28"/>
          <w:szCs w:val="28"/>
        </w:rPr>
        <w:sym w:font="HQPB2" w:char="F042"/>
      </w:r>
      <w:r w:rsidRPr="00910CE3">
        <w:rPr>
          <w:rFonts w:ascii="(normal text)" w:hAnsi="(normal text)"/>
          <w:rtl/>
        </w:rPr>
        <w:t xml:space="preserve"> </w:t>
      </w:r>
      <w:r w:rsidRPr="00910CE3">
        <w:rPr>
          <w:sz w:val="28"/>
          <w:szCs w:val="28"/>
        </w:rPr>
        <w:sym w:font="HQPB4" w:char="F028"/>
      </w:r>
      <w:r w:rsidRPr="00910CE3">
        <w:rPr>
          <w:rFonts w:ascii="(normal text)" w:hAnsi="(normal text)"/>
          <w:rtl/>
        </w:rPr>
        <w:t xml:space="preserve"> </w:t>
      </w:r>
      <w:r w:rsidRPr="00910CE3">
        <w:rPr>
          <w:sz w:val="28"/>
          <w:szCs w:val="28"/>
        </w:rPr>
        <w:sym w:font="HQPB2" w:char="F062"/>
      </w:r>
      <w:r w:rsidRPr="00910CE3">
        <w:rPr>
          <w:sz w:val="28"/>
          <w:szCs w:val="28"/>
        </w:rPr>
        <w:sym w:font="HQPB4" w:char="F0CE"/>
      </w:r>
      <w:r w:rsidRPr="00910CE3">
        <w:rPr>
          <w:sz w:val="28"/>
          <w:szCs w:val="28"/>
        </w:rPr>
        <w:sym w:font="HQPB1" w:char="F02A"/>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4" w:char="F0F7"/>
      </w:r>
      <w:r w:rsidRPr="00910CE3">
        <w:rPr>
          <w:sz w:val="28"/>
          <w:szCs w:val="28"/>
        </w:rPr>
        <w:sym w:font="HQPB2" w:char="F04C"/>
      </w:r>
      <w:r w:rsidRPr="00910CE3">
        <w:rPr>
          <w:sz w:val="28"/>
          <w:szCs w:val="28"/>
        </w:rPr>
        <w:sym w:font="HQPB4" w:char="F0E4"/>
      </w:r>
      <w:r w:rsidRPr="00910CE3">
        <w:rPr>
          <w:sz w:val="28"/>
          <w:szCs w:val="28"/>
        </w:rPr>
        <w:sym w:font="HQPB2" w:char="F0EA"/>
      </w:r>
      <w:r w:rsidRPr="00910CE3">
        <w:rPr>
          <w:sz w:val="28"/>
          <w:szCs w:val="28"/>
        </w:rPr>
        <w:sym w:font="HQPB4" w:char="F0F4"/>
      </w:r>
      <w:r w:rsidRPr="00910CE3">
        <w:rPr>
          <w:sz w:val="28"/>
          <w:szCs w:val="28"/>
        </w:rPr>
        <w:sym w:font="HQPB1" w:char="F0E3"/>
      </w:r>
      <w:r w:rsidRPr="00910CE3">
        <w:rPr>
          <w:sz w:val="28"/>
          <w:szCs w:val="28"/>
        </w:rPr>
        <w:sym w:font="HQPB5" w:char="F074"/>
      </w:r>
      <w:r w:rsidRPr="00910CE3">
        <w:rPr>
          <w:sz w:val="28"/>
          <w:szCs w:val="28"/>
        </w:rPr>
        <w:sym w:font="HQPB1" w:char="F093"/>
      </w:r>
      <w:r w:rsidRPr="00910CE3">
        <w:rPr>
          <w:sz w:val="28"/>
          <w:szCs w:val="28"/>
        </w:rPr>
        <w:sym w:font="HQPB2" w:char="F0BB"/>
      </w:r>
      <w:r w:rsidRPr="00910CE3">
        <w:rPr>
          <w:sz w:val="28"/>
          <w:szCs w:val="28"/>
        </w:rPr>
        <w:sym w:font="HQPB5" w:char="F075"/>
      </w:r>
      <w:r w:rsidRPr="00910CE3">
        <w:rPr>
          <w:sz w:val="28"/>
          <w:szCs w:val="28"/>
        </w:rPr>
        <w:sym w:font="HQPB2" w:char="F05A"/>
      </w:r>
      <w:r w:rsidRPr="00910CE3">
        <w:rPr>
          <w:sz w:val="28"/>
          <w:szCs w:val="28"/>
        </w:rPr>
        <w:sym w:font="HQPB5" w:char="F073"/>
      </w:r>
      <w:r w:rsidRPr="00910CE3">
        <w:rPr>
          <w:sz w:val="28"/>
          <w:szCs w:val="28"/>
        </w:rPr>
        <w:sym w:font="HQPB1" w:char="F03F"/>
      </w:r>
      <w:r w:rsidRPr="00910CE3">
        <w:rPr>
          <w:rFonts w:ascii="(normal text)" w:hAnsi="(normal text)"/>
          <w:rtl/>
        </w:rPr>
        <w:t xml:space="preserve"> </w:t>
      </w:r>
      <w:r w:rsidRPr="00910CE3">
        <w:rPr>
          <w:sz w:val="28"/>
          <w:szCs w:val="28"/>
        </w:rPr>
        <w:sym w:font="HQPB2" w:char="F092"/>
      </w:r>
      <w:r w:rsidRPr="00910CE3">
        <w:rPr>
          <w:sz w:val="28"/>
          <w:szCs w:val="28"/>
        </w:rPr>
        <w:sym w:font="HQPB4" w:char="F0CE"/>
      </w:r>
      <w:r w:rsidRPr="00910CE3">
        <w:rPr>
          <w:sz w:val="28"/>
          <w:szCs w:val="28"/>
        </w:rPr>
        <w:sym w:font="HQPB1" w:char="F0FB"/>
      </w:r>
      <w:r w:rsidRPr="00910CE3">
        <w:rPr>
          <w:rFonts w:ascii="(normal text)" w:hAnsi="(normal text)"/>
          <w:rtl/>
        </w:rPr>
        <w:t xml:space="preserve"> </w:t>
      </w:r>
      <w:r w:rsidRPr="00910CE3">
        <w:rPr>
          <w:sz w:val="28"/>
          <w:szCs w:val="28"/>
        </w:rPr>
        <w:sym w:font="HQPB4" w:char="F026"/>
      </w:r>
      <w:r w:rsidRPr="00910CE3">
        <w:rPr>
          <w:sz w:val="28"/>
          <w:szCs w:val="28"/>
        </w:rPr>
        <w:sym w:font="HQPB2" w:char="F0E4"/>
      </w:r>
      <w:r w:rsidRPr="00910CE3">
        <w:rPr>
          <w:sz w:val="28"/>
          <w:szCs w:val="28"/>
        </w:rPr>
        <w:sym w:font="HQPB4" w:char="F0F3"/>
      </w:r>
      <w:r w:rsidRPr="00910CE3">
        <w:rPr>
          <w:sz w:val="28"/>
          <w:szCs w:val="28"/>
        </w:rPr>
        <w:sym w:font="HQPB2" w:char="F0D3"/>
      </w:r>
      <w:r w:rsidRPr="00910CE3">
        <w:rPr>
          <w:sz w:val="28"/>
          <w:szCs w:val="28"/>
        </w:rPr>
        <w:sym w:font="HQPB5" w:char="F078"/>
      </w:r>
      <w:r w:rsidRPr="00910CE3">
        <w:rPr>
          <w:sz w:val="28"/>
          <w:szCs w:val="28"/>
        </w:rPr>
        <w:sym w:font="HQPB1" w:char="F0AB"/>
      </w:r>
      <w:r w:rsidRPr="00910CE3">
        <w:rPr>
          <w:rFonts w:ascii="(normal text)" w:hAnsi="(normal text)"/>
          <w:rtl/>
        </w:rPr>
        <w:t xml:space="preserve"> </w:t>
      </w:r>
      <w:r w:rsidRPr="00910CE3">
        <w:rPr>
          <w:sz w:val="28"/>
          <w:szCs w:val="28"/>
        </w:rPr>
        <w:sym w:font="HQPB4" w:char="F0E7"/>
      </w:r>
      <w:r w:rsidRPr="00910CE3">
        <w:rPr>
          <w:sz w:val="28"/>
          <w:szCs w:val="28"/>
        </w:rPr>
        <w:sym w:font="HQPB2" w:char="F06E"/>
      </w:r>
      <w:r w:rsidRPr="00910CE3">
        <w:rPr>
          <w:sz w:val="28"/>
          <w:szCs w:val="28"/>
        </w:rPr>
        <w:sym w:font="HQPB2" w:char="F072"/>
      </w:r>
      <w:r w:rsidRPr="00910CE3">
        <w:rPr>
          <w:sz w:val="28"/>
          <w:szCs w:val="28"/>
        </w:rPr>
        <w:sym w:font="HQPB4" w:char="F096"/>
      </w:r>
      <w:r w:rsidRPr="00910CE3">
        <w:rPr>
          <w:sz w:val="28"/>
          <w:szCs w:val="28"/>
        </w:rPr>
        <w:sym w:font="HQPB1" w:char="F08A"/>
      </w:r>
      <w:r w:rsidRPr="00910CE3">
        <w:rPr>
          <w:sz w:val="28"/>
          <w:szCs w:val="28"/>
        </w:rPr>
        <w:sym w:font="HQPB4" w:char="F0E3"/>
      </w:r>
      <w:r w:rsidRPr="00910CE3">
        <w:rPr>
          <w:sz w:val="28"/>
          <w:szCs w:val="28"/>
        </w:rPr>
        <w:sym w:font="HQPB1" w:char="F08D"/>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2" w:char="F092"/>
      </w:r>
      <w:r w:rsidRPr="00910CE3">
        <w:rPr>
          <w:sz w:val="28"/>
          <w:szCs w:val="28"/>
        </w:rPr>
        <w:sym w:font="HQPB5" w:char="F06E"/>
      </w:r>
      <w:r w:rsidRPr="00910CE3">
        <w:rPr>
          <w:sz w:val="28"/>
          <w:szCs w:val="28"/>
        </w:rPr>
        <w:sym w:font="HQPB2" w:char="F03C"/>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910CE3">
        <w:rPr>
          <w:rFonts w:ascii="(normal text)" w:hAnsi="(normal text)"/>
          <w:rtl/>
        </w:rPr>
        <w:t xml:space="preserve"> </w:t>
      </w:r>
      <w:r w:rsidRPr="00910CE3">
        <w:rPr>
          <w:sz w:val="28"/>
          <w:szCs w:val="28"/>
        </w:rPr>
        <w:sym w:font="HQPB4" w:char="F0C9"/>
      </w:r>
      <w:r w:rsidRPr="00910CE3">
        <w:rPr>
          <w:sz w:val="28"/>
          <w:szCs w:val="28"/>
        </w:rPr>
        <w:sym w:font="HQPB2" w:char="F041"/>
      </w:r>
      <w:r w:rsidRPr="00910CE3">
        <w:rPr>
          <w:sz w:val="28"/>
          <w:szCs w:val="28"/>
        </w:rPr>
        <w:sym w:font="HQPB2" w:char="F071"/>
      </w:r>
      <w:r w:rsidRPr="00910CE3">
        <w:rPr>
          <w:sz w:val="28"/>
          <w:szCs w:val="28"/>
        </w:rPr>
        <w:sym w:font="HQPB4" w:char="F0DF"/>
      </w:r>
      <w:r w:rsidRPr="00910CE3">
        <w:rPr>
          <w:sz w:val="28"/>
          <w:szCs w:val="28"/>
        </w:rPr>
        <w:sym w:font="HQPB1" w:char="F099"/>
      </w:r>
      <w:r w:rsidRPr="00910CE3">
        <w:rPr>
          <w:sz w:val="28"/>
          <w:szCs w:val="28"/>
        </w:rPr>
        <w:sym w:font="HQPB4" w:char="F0A7"/>
      </w:r>
      <w:r w:rsidRPr="00910CE3">
        <w:rPr>
          <w:sz w:val="28"/>
          <w:szCs w:val="28"/>
        </w:rPr>
        <w:sym w:font="HQPB1" w:char="F08D"/>
      </w:r>
      <w:r w:rsidRPr="00910CE3">
        <w:rPr>
          <w:sz w:val="28"/>
          <w:szCs w:val="28"/>
        </w:rPr>
        <w:sym w:font="HQPB2" w:char="F039"/>
      </w:r>
      <w:r w:rsidRPr="00910CE3">
        <w:rPr>
          <w:sz w:val="28"/>
          <w:szCs w:val="28"/>
        </w:rPr>
        <w:sym w:font="HQPB5" w:char="F024"/>
      </w:r>
      <w:r w:rsidRPr="00910CE3">
        <w:rPr>
          <w:sz w:val="28"/>
          <w:szCs w:val="28"/>
        </w:rPr>
        <w:sym w:font="HQPB1" w:char="F023"/>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2" w:char="F062"/>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910CE3">
        <w:rPr>
          <w:sz w:val="28"/>
          <w:szCs w:val="28"/>
        </w:rPr>
        <w:sym w:font="HQPB4" w:char="F0F7"/>
      </w:r>
      <w:r w:rsidRPr="00910CE3">
        <w:rPr>
          <w:sz w:val="28"/>
          <w:szCs w:val="28"/>
        </w:rPr>
        <w:sym w:font="HQPB2" w:char="F04C"/>
      </w:r>
      <w:r w:rsidRPr="00910CE3">
        <w:rPr>
          <w:sz w:val="28"/>
          <w:szCs w:val="28"/>
        </w:rPr>
        <w:sym w:font="HQPB4" w:char="F0E4"/>
      </w:r>
      <w:r w:rsidRPr="00910CE3">
        <w:rPr>
          <w:sz w:val="28"/>
          <w:szCs w:val="28"/>
        </w:rPr>
        <w:sym w:font="HQPB2" w:char="F0EA"/>
      </w:r>
      <w:r w:rsidRPr="00910CE3">
        <w:rPr>
          <w:sz w:val="28"/>
          <w:szCs w:val="28"/>
        </w:rPr>
        <w:sym w:font="HQPB2" w:char="F059"/>
      </w:r>
      <w:r w:rsidRPr="00910CE3">
        <w:rPr>
          <w:sz w:val="28"/>
          <w:szCs w:val="28"/>
        </w:rPr>
        <w:sym w:font="HQPB4" w:char="F0E4"/>
      </w:r>
      <w:r w:rsidRPr="00910CE3">
        <w:rPr>
          <w:sz w:val="28"/>
          <w:szCs w:val="28"/>
        </w:rPr>
        <w:sym w:font="HQPB2" w:char="F02E"/>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1"/>
      </w:r>
      <w:r w:rsidRPr="00910CE3">
        <w:rPr>
          <w:sz w:val="28"/>
          <w:szCs w:val="28"/>
        </w:rPr>
        <w:sym w:font="HQPB4" w:char="F0E3"/>
      </w:r>
      <w:r w:rsidRPr="00910CE3">
        <w:rPr>
          <w:sz w:val="28"/>
          <w:szCs w:val="28"/>
        </w:rPr>
        <w:sym w:font="HQPB2" w:char="F05A"/>
      </w:r>
      <w:r w:rsidRPr="00910CE3">
        <w:rPr>
          <w:sz w:val="28"/>
          <w:szCs w:val="28"/>
        </w:rPr>
        <w:sym w:font="HQPB4" w:char="F0CF"/>
      </w:r>
      <w:r w:rsidRPr="00910CE3">
        <w:rPr>
          <w:sz w:val="28"/>
          <w:szCs w:val="28"/>
        </w:rPr>
        <w:sym w:font="HQPB2" w:char="F042"/>
      </w:r>
      <w:r w:rsidRPr="00910CE3">
        <w:rPr>
          <w:sz w:val="28"/>
          <w:szCs w:val="28"/>
        </w:rPr>
        <w:sym w:font="HQPB4" w:char="F0F7"/>
      </w:r>
      <w:r w:rsidRPr="00910CE3">
        <w:rPr>
          <w:sz w:val="28"/>
          <w:szCs w:val="28"/>
        </w:rPr>
        <w:sym w:font="HQPB2" w:char="F073"/>
      </w:r>
      <w:r w:rsidRPr="00910CE3">
        <w:rPr>
          <w:sz w:val="28"/>
          <w:szCs w:val="28"/>
        </w:rPr>
        <w:sym w:font="HQPB4" w:char="F0E8"/>
      </w:r>
      <w:r w:rsidRPr="00910CE3">
        <w:rPr>
          <w:sz w:val="28"/>
          <w:szCs w:val="28"/>
        </w:rPr>
        <w:sym w:font="HQPB1" w:char="F03F"/>
      </w:r>
      <w:r w:rsidRPr="00910CE3">
        <w:rPr>
          <w:rFonts w:ascii="(normal text)" w:hAnsi="(normal text)"/>
          <w:rtl/>
        </w:rPr>
        <w:t xml:space="preserve"> </w:t>
      </w:r>
      <w:r w:rsidRPr="00910CE3">
        <w:rPr>
          <w:sz w:val="28"/>
          <w:szCs w:val="28"/>
        </w:rPr>
        <w:sym w:font="HQPB1" w:char="F024"/>
      </w:r>
      <w:r w:rsidRPr="00910CE3">
        <w:rPr>
          <w:sz w:val="28"/>
          <w:szCs w:val="28"/>
        </w:rPr>
        <w:sym w:font="HQPB4" w:char="F0CE"/>
      </w:r>
      <w:r w:rsidRPr="00910CE3">
        <w:rPr>
          <w:sz w:val="28"/>
          <w:szCs w:val="28"/>
        </w:rPr>
        <w:sym w:font="HQPB1" w:char="F02F"/>
      </w:r>
      <w:r w:rsidRPr="00F720E7">
        <w:rPr>
          <w:rFonts w:ascii="Adobe نسخ Medium" w:hAnsi="Adobe نسخ Medium" w:cs="Adobe نسخ Medium"/>
          <w:sz w:val="34"/>
          <w:szCs w:val="34"/>
          <w:rtl/>
        </w:rPr>
        <w:t>لله</w:t>
      </w:r>
      <w:r>
        <w:rPr>
          <w:rFonts w:ascii="Adobe نسخ Medium" w:hAnsi="Adobe نسخ Medium" w:cs="Adobe نسخ Medium" w:hint="cs"/>
          <w:sz w:val="34"/>
          <w:szCs w:val="34"/>
          <w:rtl/>
        </w:rPr>
        <w:t>ِ</w:t>
      </w:r>
      <w:r w:rsidRPr="00910CE3">
        <w:rPr>
          <w:rFonts w:ascii="(normal text)" w:hAnsi="(normal text)"/>
          <w:rtl/>
        </w:rPr>
        <w:t xml:space="preserve"> </w:t>
      </w:r>
      <w:r w:rsidRPr="00910CE3">
        <w:rPr>
          <w:sz w:val="28"/>
          <w:szCs w:val="28"/>
        </w:rPr>
        <w:sym w:font="HQPB4" w:char="F0CF"/>
      </w:r>
      <w:r w:rsidRPr="00910CE3">
        <w:rPr>
          <w:sz w:val="28"/>
          <w:szCs w:val="28"/>
        </w:rPr>
        <w:sym w:font="HQPB2" w:char="F051"/>
      </w:r>
      <w:r w:rsidRPr="00910CE3">
        <w:rPr>
          <w:sz w:val="28"/>
          <w:szCs w:val="28"/>
        </w:rPr>
        <w:sym w:font="HQPB4" w:char="F0F6"/>
      </w:r>
      <w:r w:rsidRPr="00910CE3">
        <w:rPr>
          <w:sz w:val="28"/>
          <w:szCs w:val="28"/>
        </w:rPr>
        <w:sym w:font="HQPB2" w:char="F071"/>
      </w:r>
      <w:r w:rsidRPr="00910CE3">
        <w:rPr>
          <w:sz w:val="28"/>
          <w:szCs w:val="28"/>
        </w:rPr>
        <w:sym w:font="HQPB5" w:char="F075"/>
      </w:r>
      <w:r w:rsidRPr="00910CE3">
        <w:rPr>
          <w:sz w:val="28"/>
          <w:szCs w:val="28"/>
        </w:rPr>
        <w:sym w:font="HQPB2" w:char="F08B"/>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CC"/>
      </w:r>
      <w:r w:rsidRPr="00910CE3">
        <w:rPr>
          <w:sz w:val="28"/>
          <w:szCs w:val="28"/>
        </w:rPr>
        <w:sym w:font="HQPB1" w:char="F08D"/>
      </w:r>
      <w:r w:rsidRPr="00910CE3">
        <w:rPr>
          <w:sz w:val="28"/>
          <w:szCs w:val="28"/>
        </w:rPr>
        <w:sym w:font="HQPB4" w:char="F0C5"/>
      </w:r>
      <w:r w:rsidRPr="00910CE3">
        <w:rPr>
          <w:sz w:val="28"/>
          <w:szCs w:val="28"/>
        </w:rPr>
        <w:sym w:font="HQPB1" w:char="F07A"/>
      </w:r>
      <w:r w:rsidRPr="00910CE3">
        <w:rPr>
          <w:sz w:val="28"/>
          <w:szCs w:val="28"/>
        </w:rPr>
        <w:sym w:font="HQPB5" w:char="F046"/>
      </w:r>
      <w:r w:rsidRPr="00910CE3">
        <w:rPr>
          <w:sz w:val="28"/>
          <w:szCs w:val="28"/>
        </w:rPr>
        <w:sym w:font="HQPB2" w:char="F07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4" w:char="F034"/>
      </w:r>
      <w:r w:rsidRPr="00910CE3">
        <w:rPr>
          <w:rFonts w:ascii="(normal text)" w:hAnsi="(normal text)"/>
          <w:rtl/>
        </w:rPr>
        <w:t xml:space="preserve"> </w:t>
      </w:r>
      <w:r w:rsidRPr="00910CE3">
        <w:rPr>
          <w:sz w:val="28"/>
          <w:szCs w:val="28"/>
        </w:rPr>
        <w:sym w:font="HQPB5" w:char="F079"/>
      </w:r>
      <w:r w:rsidRPr="00910CE3">
        <w:rPr>
          <w:sz w:val="28"/>
          <w:szCs w:val="28"/>
        </w:rPr>
        <w:sym w:font="HQPB2" w:char="F037"/>
      </w:r>
      <w:r w:rsidRPr="00910CE3">
        <w:rPr>
          <w:sz w:val="28"/>
          <w:szCs w:val="28"/>
        </w:rPr>
        <w:sym w:font="HQPB4" w:char="F0CF"/>
      </w:r>
      <w:r w:rsidRPr="00910CE3">
        <w:rPr>
          <w:sz w:val="28"/>
          <w:szCs w:val="28"/>
        </w:rPr>
        <w:sym w:font="HQPB2" w:char="F039"/>
      </w:r>
      <w:r w:rsidRPr="00910CE3">
        <w:rPr>
          <w:sz w:val="28"/>
          <w:szCs w:val="28"/>
        </w:rPr>
        <w:sym w:font="HQPB2" w:char="F0BA"/>
      </w:r>
      <w:r w:rsidRPr="00910CE3">
        <w:rPr>
          <w:sz w:val="28"/>
          <w:szCs w:val="28"/>
        </w:rPr>
        <w:sym w:font="HQPB5" w:char="F073"/>
      </w:r>
      <w:r w:rsidRPr="00910CE3">
        <w:rPr>
          <w:sz w:val="28"/>
          <w:szCs w:val="28"/>
        </w:rPr>
        <w:sym w:font="HQPB1" w:char="F08C"/>
      </w:r>
      <w:r w:rsidRPr="00910CE3">
        <w:rPr>
          <w:rFonts w:ascii="(normal text)" w:hAnsi="(normal text)"/>
          <w:rtl/>
        </w:rPr>
        <w:t xml:space="preserve"> </w:t>
      </w:r>
      <w:r w:rsidRPr="00910CE3">
        <w:rPr>
          <w:sz w:val="28"/>
          <w:szCs w:val="28"/>
        </w:rPr>
        <w:sym w:font="HQPB4" w:char="F0D7"/>
      </w:r>
      <w:r w:rsidRPr="00910CE3">
        <w:rPr>
          <w:sz w:val="28"/>
          <w:szCs w:val="28"/>
        </w:rPr>
        <w:sym w:font="HQPB1" w:char="F08E"/>
      </w:r>
      <w:r w:rsidRPr="00910CE3">
        <w:rPr>
          <w:sz w:val="28"/>
          <w:szCs w:val="28"/>
        </w:rPr>
        <w:sym w:font="HQPB4" w:char="F0F6"/>
      </w:r>
      <w:r w:rsidRPr="00910CE3">
        <w:rPr>
          <w:sz w:val="28"/>
          <w:szCs w:val="28"/>
        </w:rPr>
        <w:sym w:font="HQPB2" w:char="F08D"/>
      </w:r>
      <w:r w:rsidRPr="00910CE3">
        <w:rPr>
          <w:sz w:val="28"/>
          <w:szCs w:val="28"/>
        </w:rPr>
        <w:sym w:font="HQPB5" w:char="F079"/>
      </w:r>
      <w:r w:rsidRPr="00910CE3">
        <w:rPr>
          <w:sz w:val="28"/>
          <w:szCs w:val="28"/>
        </w:rPr>
        <w:sym w:font="HQPB1" w:char="F07A"/>
      </w:r>
      <w:r w:rsidRPr="00910CE3">
        <w:rPr>
          <w:rFonts w:ascii="(normal text)" w:hAnsi="(normal text)"/>
          <w:rtl/>
        </w:rPr>
        <w:t xml:space="preserve"> </w:t>
      </w:r>
      <w:r w:rsidRPr="00910CE3">
        <w:rPr>
          <w:sz w:val="28"/>
          <w:szCs w:val="28"/>
        </w:rPr>
        <w:sym w:font="HQPB4" w:char="F0DF"/>
      </w:r>
      <w:r w:rsidRPr="00910CE3">
        <w:rPr>
          <w:sz w:val="28"/>
          <w:szCs w:val="28"/>
        </w:rPr>
        <w:sym w:font="HQPB2" w:char="F060"/>
      </w:r>
      <w:r w:rsidRPr="00910CE3">
        <w:rPr>
          <w:sz w:val="28"/>
          <w:szCs w:val="28"/>
        </w:rPr>
        <w:sym w:font="HQPB5" w:char="F07C"/>
      </w:r>
      <w:r w:rsidRPr="00910CE3">
        <w:rPr>
          <w:sz w:val="28"/>
          <w:szCs w:val="28"/>
        </w:rPr>
        <w:sym w:font="HQPB1" w:char="F0A1"/>
      </w:r>
      <w:r w:rsidRPr="00910CE3">
        <w:rPr>
          <w:sz w:val="28"/>
          <w:szCs w:val="28"/>
        </w:rPr>
        <w:sym w:font="HQPB4" w:char="F0F4"/>
      </w:r>
      <w:r w:rsidRPr="00910CE3">
        <w:rPr>
          <w:sz w:val="28"/>
          <w:szCs w:val="28"/>
        </w:rPr>
        <w:sym w:font="HQPB1" w:char="F06D"/>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B8"/>
      </w:r>
      <w:r w:rsidRPr="00910CE3">
        <w:rPr>
          <w:sz w:val="28"/>
          <w:szCs w:val="28"/>
        </w:rPr>
        <w:sym w:font="HQPB2" w:char="F078"/>
      </w:r>
      <w:r w:rsidRPr="00910CE3">
        <w:rPr>
          <w:sz w:val="28"/>
          <w:szCs w:val="28"/>
        </w:rPr>
        <w:sym w:font="HQPB2" w:char="F083"/>
      </w:r>
      <w:r w:rsidRPr="00910CE3">
        <w:rPr>
          <w:sz w:val="28"/>
          <w:szCs w:val="28"/>
        </w:rPr>
        <w:sym w:font="HQPB4" w:char="F0CD"/>
      </w:r>
      <w:r w:rsidRPr="00910CE3">
        <w:rPr>
          <w:sz w:val="28"/>
          <w:szCs w:val="28"/>
        </w:rPr>
        <w:sym w:font="HQPB2" w:char="F072"/>
      </w:r>
      <w:r w:rsidRPr="00910CE3">
        <w:rPr>
          <w:sz w:val="28"/>
          <w:szCs w:val="28"/>
        </w:rPr>
        <w:sym w:font="HQPB4" w:char="F0F9"/>
      </w:r>
      <w:r w:rsidRPr="00910CE3">
        <w:rPr>
          <w:sz w:val="28"/>
          <w:szCs w:val="28"/>
        </w:rPr>
        <w:sym w:font="HQPB1" w:char="F027"/>
      </w:r>
      <w:r w:rsidRPr="00910CE3">
        <w:rPr>
          <w:sz w:val="28"/>
          <w:szCs w:val="28"/>
        </w:rPr>
        <w:sym w:font="HQPB5" w:char="F073"/>
      </w:r>
      <w:r w:rsidRPr="00910CE3">
        <w:rPr>
          <w:sz w:val="28"/>
          <w:szCs w:val="28"/>
        </w:rPr>
        <w:sym w:font="HQPB1" w:char="F03F"/>
      </w:r>
      <w:r w:rsidRPr="00910CE3">
        <w:rPr>
          <w:rFonts w:ascii="(normal text)" w:hAnsi="(normal text)"/>
          <w:rtl/>
        </w:rPr>
        <w:t xml:space="preserve"> </w:t>
      </w:r>
      <w:r w:rsidRPr="00910CE3">
        <w:rPr>
          <w:sz w:val="28"/>
          <w:szCs w:val="28"/>
        </w:rPr>
        <w:sym w:font="HQPB2" w:char="F0C7"/>
      </w:r>
      <w:r w:rsidRPr="00910CE3">
        <w:rPr>
          <w:sz w:val="28"/>
          <w:szCs w:val="28"/>
        </w:rPr>
        <w:sym w:font="HQPB2" w:char="F0CE"/>
      </w:r>
      <w:r w:rsidRPr="00910CE3">
        <w:rPr>
          <w:sz w:val="28"/>
          <w:szCs w:val="28"/>
        </w:rPr>
        <w:sym w:font="HQPB2" w:char="F0D2"/>
      </w:r>
      <w:r w:rsidRPr="00910CE3">
        <w:rPr>
          <w:sz w:val="28"/>
          <w:szCs w:val="28"/>
        </w:rPr>
        <w:sym w:font="HQPB2" w:char="F0C8"/>
      </w:r>
      <w:r w:rsidRPr="00910CE3">
        <w:rPr>
          <w:rFonts w:ascii="(normal text)" w:hAnsi="(normal text)"/>
          <w:rtl/>
        </w:rPr>
        <w:t xml:space="preserve">   </w:t>
      </w:r>
      <w:r w:rsidRPr="00910CE3">
        <w:rPr>
          <w:rFonts w:ascii="(normal text)" w:hAnsi="(normal text)" w:hint="cs"/>
          <w:rtl/>
        </w:rPr>
        <w:t xml:space="preserve">( ق.س: </w:t>
      </w:r>
      <w:r w:rsidRPr="00910CE3">
        <w:rPr>
          <w:rFonts w:ascii="Arial Rounded MT Bold" w:hAnsi="Arial Rounded MT Bold" w:hint="cs"/>
          <w:rtl/>
        </w:rPr>
        <w:t>النساء</w:t>
      </w:r>
      <w:r w:rsidRPr="00910CE3">
        <w:rPr>
          <w:rFonts w:ascii="(normal text)" w:hAnsi="(normal text)" w:hint="cs"/>
          <w:rtl/>
        </w:rPr>
        <w:t xml:space="preserve"> / </w:t>
      </w:r>
      <w:r w:rsidRPr="00910CE3">
        <w:rPr>
          <w:rFonts w:ascii="(normal text)" w:hAnsi="(normal text)"/>
        </w:rPr>
        <w:t>4</w:t>
      </w:r>
      <w:r w:rsidRPr="00910CE3">
        <w:rPr>
          <w:rFonts w:ascii="(normal text)" w:hAnsi="(normal text)" w:hint="cs"/>
          <w:rtl/>
        </w:rPr>
        <w:t xml:space="preserve">: </w:t>
      </w:r>
      <w:r w:rsidRPr="00910CE3">
        <w:rPr>
          <w:rFonts w:ascii="(normal text)" w:hAnsi="(normal text)"/>
        </w:rPr>
        <w:t>59</w:t>
      </w:r>
      <w:r w:rsidRPr="00910CE3">
        <w:rPr>
          <w:rFonts w:ascii="(normal text)" w:hAnsi="(normal text)" w:hint="cs"/>
          <w:rtl/>
        </w:rPr>
        <w:t xml:space="preserve">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Hai orang-orang yang beriman, taatilah Allah dan taatilah Rasul (Nya), dan ulil amri di antara kamu. kemudian jika kamu berlainan Pendapat tentang sesuatu, Maka kembalikanlah ia kepada Allah (Al Quran) dan Rasul (sunnahnya), jika kamu benar-benar beriman kepada Allah dan hari kemudian. yang demikian itu lebih utama (bagimu) dan lebih baik akibatnya</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187"/>
      </w:r>
      <w:r w:rsidRPr="00910CE3">
        <w:rPr>
          <w:rFonts w:asciiTheme="majorBidi" w:hAnsiTheme="majorBidi" w:cstheme="majorBidi"/>
          <w:sz w:val="24"/>
          <w:szCs w:val="24"/>
        </w:rPr>
        <w:t xml:space="preserve"> ( QS.An-Nisa [4]: 59)</w:t>
      </w:r>
    </w:p>
    <w:p w:rsidR="00343B61" w:rsidRPr="00910CE3" w:rsidRDefault="00343B61" w:rsidP="00343B61">
      <w:pPr>
        <w:pStyle w:val="ListParagraph"/>
        <w:tabs>
          <w:tab w:val="left" w:pos="7920"/>
        </w:tabs>
        <w:autoSpaceDE w:val="0"/>
        <w:autoSpaceDN w:val="0"/>
        <w:adjustRightInd w:val="0"/>
        <w:spacing w:after="0" w:line="360" w:lineRule="auto"/>
        <w:ind w:left="900" w:right="17"/>
        <w:jc w:val="both"/>
        <w:rPr>
          <w:rFonts w:asciiTheme="majorBidi" w:hAnsiTheme="majorBidi" w:cstheme="majorBidi"/>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90" w:right="17" w:hanging="270"/>
        <w:jc w:val="both"/>
        <w:rPr>
          <w:rFonts w:asciiTheme="majorBidi" w:hAnsiTheme="majorBidi" w:cstheme="majorBidi"/>
          <w:sz w:val="24"/>
          <w:szCs w:val="24"/>
        </w:rPr>
      </w:pPr>
      <w:r w:rsidRPr="00910CE3">
        <w:rPr>
          <w:rFonts w:asciiTheme="majorBidi" w:hAnsiTheme="majorBidi" w:cstheme="majorBidi"/>
          <w:sz w:val="24"/>
          <w:szCs w:val="24"/>
        </w:rPr>
        <w:t xml:space="preserve">Kemestian mendamaikan konflik antar kelompok dalam masyarakat Islam, yaitu: </w:t>
      </w:r>
    </w:p>
    <w:p w:rsidR="00343B61" w:rsidRPr="00910CE3" w:rsidRDefault="00343B61" w:rsidP="00343B61">
      <w:pPr>
        <w:pStyle w:val="ListParagraph"/>
        <w:tabs>
          <w:tab w:val="left" w:pos="7920"/>
        </w:tabs>
        <w:autoSpaceDE w:val="0"/>
        <w:autoSpaceDN w:val="0"/>
        <w:bidi/>
        <w:adjustRightInd w:val="0"/>
        <w:spacing w:after="0" w:line="240" w:lineRule="auto"/>
        <w:ind w:left="1980" w:right="17" w:hanging="1963"/>
        <w:jc w:val="both"/>
        <w:rPr>
          <w:rFonts w:ascii="(normal text)" w:hAnsi="(normal text)"/>
          <w:rtl/>
        </w:rPr>
      </w:pPr>
      <w:r w:rsidRPr="00910CE3">
        <w:rPr>
          <w:sz w:val="28"/>
          <w:szCs w:val="28"/>
        </w:rPr>
        <w:sym w:font="HQPB2" w:char="F062"/>
      </w:r>
      <w:r w:rsidRPr="00910CE3">
        <w:rPr>
          <w:sz w:val="28"/>
          <w:szCs w:val="28"/>
        </w:rPr>
        <w:sym w:font="HQPB4" w:char="F0CE"/>
      </w:r>
      <w:r w:rsidRPr="00910CE3">
        <w:rPr>
          <w:sz w:val="28"/>
          <w:szCs w:val="28"/>
        </w:rPr>
        <w:sym w:font="HQPB1" w:char="F029"/>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C8"/>
      </w:r>
      <w:r w:rsidRPr="00910CE3">
        <w:rPr>
          <w:sz w:val="28"/>
          <w:szCs w:val="28"/>
        </w:rPr>
        <w:sym w:font="HQPB2" w:char="F062"/>
      </w:r>
      <w:r w:rsidRPr="00910CE3">
        <w:rPr>
          <w:sz w:val="28"/>
          <w:szCs w:val="28"/>
        </w:rPr>
        <w:sym w:font="HQPB1" w:char="F024"/>
      </w:r>
      <w:r w:rsidRPr="00910CE3">
        <w:rPr>
          <w:sz w:val="28"/>
          <w:szCs w:val="28"/>
        </w:rPr>
        <w:sym w:font="HQPB5" w:char="F074"/>
      </w:r>
      <w:r w:rsidRPr="00910CE3">
        <w:rPr>
          <w:sz w:val="28"/>
          <w:szCs w:val="28"/>
        </w:rPr>
        <w:sym w:font="HQPB1" w:char="F047"/>
      </w:r>
      <w:r w:rsidRPr="00910CE3">
        <w:rPr>
          <w:sz w:val="28"/>
          <w:szCs w:val="28"/>
        </w:rPr>
        <w:sym w:font="HQPB5" w:char="F078"/>
      </w:r>
      <w:r w:rsidRPr="00910CE3">
        <w:rPr>
          <w:sz w:val="28"/>
          <w:szCs w:val="28"/>
        </w:rPr>
        <w:sym w:font="HQPB1" w:char="F0FF"/>
      </w:r>
      <w:r w:rsidRPr="00910CE3">
        <w:rPr>
          <w:sz w:val="28"/>
          <w:szCs w:val="28"/>
        </w:rPr>
        <w:sym w:font="HQPB4" w:char="F0CD"/>
      </w:r>
      <w:r w:rsidRPr="00910CE3">
        <w:rPr>
          <w:sz w:val="28"/>
          <w:szCs w:val="28"/>
        </w:rPr>
        <w:sym w:font="HQPB2" w:char="F0AC"/>
      </w:r>
      <w:r w:rsidRPr="00910CE3">
        <w:rPr>
          <w:sz w:val="28"/>
          <w:szCs w:val="28"/>
        </w:rPr>
        <w:sym w:font="HQPB5" w:char="F021"/>
      </w:r>
      <w:r w:rsidRPr="00910CE3">
        <w:rPr>
          <w:sz w:val="28"/>
          <w:szCs w:val="28"/>
        </w:rPr>
        <w:sym w:font="HQPB1" w:char="F024"/>
      </w:r>
      <w:r w:rsidRPr="00910CE3">
        <w:rPr>
          <w:sz w:val="28"/>
          <w:szCs w:val="28"/>
        </w:rPr>
        <w:sym w:font="HQPB5" w:char="F073"/>
      </w:r>
      <w:r w:rsidRPr="00910CE3">
        <w:rPr>
          <w:sz w:val="28"/>
          <w:szCs w:val="28"/>
        </w:rPr>
        <w:sym w:font="HQPB1" w:char="F0DB"/>
      </w:r>
      <w:r w:rsidRPr="00910CE3">
        <w:rPr>
          <w:rFonts w:ascii="(normal text)" w:hAnsi="(normal text)"/>
          <w:rtl/>
        </w:rPr>
        <w:t xml:space="preserve"> </w:t>
      </w:r>
      <w:r w:rsidRPr="00910CE3">
        <w:rPr>
          <w:sz w:val="28"/>
          <w:szCs w:val="28"/>
        </w:rPr>
        <w:sym w:font="HQPB5" w:char="F07A"/>
      </w:r>
      <w:r w:rsidRPr="00910CE3">
        <w:rPr>
          <w:sz w:val="28"/>
          <w:szCs w:val="28"/>
        </w:rPr>
        <w:sym w:font="HQPB2" w:char="F060"/>
      </w:r>
      <w:r w:rsidRPr="00910CE3">
        <w:rPr>
          <w:sz w:val="28"/>
          <w:szCs w:val="28"/>
        </w:rPr>
        <w:sym w:font="HQPB4" w:char="F0CF"/>
      </w:r>
      <w:r w:rsidRPr="00910CE3">
        <w:rPr>
          <w:sz w:val="28"/>
          <w:szCs w:val="28"/>
        </w:rPr>
        <w:sym w:font="HQPB2" w:char="F042"/>
      </w:r>
      <w:r w:rsidRPr="00910CE3">
        <w:rPr>
          <w:rFonts w:ascii="(normal text)" w:hAnsi="(normal text)"/>
          <w:rtl/>
        </w:rPr>
        <w:t xml:space="preserve"> </w:t>
      </w:r>
      <w:r w:rsidRPr="00910CE3">
        <w:rPr>
          <w:sz w:val="28"/>
          <w:szCs w:val="28"/>
        </w:rPr>
        <w:sym w:font="HQPB5" w:char="F074"/>
      </w:r>
      <w:r w:rsidRPr="00910CE3">
        <w:rPr>
          <w:sz w:val="28"/>
          <w:szCs w:val="28"/>
        </w:rPr>
        <w:sym w:font="HQPB2" w:char="F0FB"/>
      </w:r>
      <w:r w:rsidRPr="00910CE3">
        <w:rPr>
          <w:sz w:val="28"/>
          <w:szCs w:val="28"/>
        </w:rPr>
        <w:sym w:font="HQPB2" w:char="F0FC"/>
      </w:r>
      <w:r w:rsidRPr="00910CE3">
        <w:rPr>
          <w:sz w:val="28"/>
          <w:szCs w:val="28"/>
        </w:rPr>
        <w:sym w:font="HQPB4" w:char="F0CF"/>
      </w:r>
      <w:r w:rsidRPr="00910CE3">
        <w:rPr>
          <w:sz w:val="28"/>
          <w:szCs w:val="28"/>
        </w:rPr>
        <w:sym w:font="HQPB2" w:char="F05A"/>
      </w:r>
      <w:r w:rsidRPr="00910CE3">
        <w:rPr>
          <w:sz w:val="28"/>
          <w:szCs w:val="28"/>
        </w:rPr>
        <w:sym w:font="HQPB4" w:char="F0CF"/>
      </w:r>
      <w:r w:rsidRPr="00910CE3">
        <w:rPr>
          <w:sz w:val="28"/>
          <w:szCs w:val="28"/>
        </w:rPr>
        <w:sym w:font="HQPB2" w:char="F042"/>
      </w:r>
      <w:r w:rsidRPr="00910CE3">
        <w:rPr>
          <w:sz w:val="28"/>
          <w:szCs w:val="28"/>
        </w:rPr>
        <w:sym w:font="HQPB4" w:char="F0F7"/>
      </w:r>
      <w:r w:rsidRPr="00910CE3">
        <w:rPr>
          <w:sz w:val="28"/>
          <w:szCs w:val="28"/>
        </w:rPr>
        <w:sym w:font="HQPB2" w:char="F073"/>
      </w:r>
      <w:r w:rsidRPr="00910CE3">
        <w:rPr>
          <w:sz w:val="28"/>
          <w:szCs w:val="28"/>
        </w:rPr>
        <w:sym w:font="HQPB4" w:char="F0DF"/>
      </w:r>
      <w:r w:rsidRPr="00910CE3">
        <w:rPr>
          <w:sz w:val="28"/>
          <w:szCs w:val="28"/>
        </w:rPr>
        <w:sym w:font="HQPB2" w:char="F04A"/>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E8"/>
      </w:r>
      <w:r w:rsidRPr="00910CE3">
        <w:rPr>
          <w:sz w:val="28"/>
          <w:szCs w:val="28"/>
        </w:rPr>
        <w:sym w:font="HQPB2" w:char="F03D"/>
      </w:r>
      <w:r w:rsidRPr="00910CE3">
        <w:rPr>
          <w:sz w:val="28"/>
          <w:szCs w:val="28"/>
        </w:rPr>
        <w:sym w:font="HQPB5" w:char="F074"/>
      </w:r>
      <w:r w:rsidRPr="00910CE3">
        <w:rPr>
          <w:sz w:val="28"/>
          <w:szCs w:val="28"/>
        </w:rPr>
        <w:sym w:font="HQPB1" w:char="F047"/>
      </w:r>
      <w:r w:rsidRPr="00910CE3">
        <w:rPr>
          <w:sz w:val="28"/>
          <w:szCs w:val="28"/>
        </w:rPr>
        <w:sym w:font="HQPB5" w:char="F074"/>
      </w:r>
      <w:r w:rsidRPr="00910CE3">
        <w:rPr>
          <w:sz w:val="28"/>
          <w:szCs w:val="28"/>
        </w:rPr>
        <w:sym w:font="HQPB1" w:char="F047"/>
      </w:r>
      <w:r w:rsidRPr="00910CE3">
        <w:rPr>
          <w:sz w:val="28"/>
          <w:szCs w:val="28"/>
        </w:rPr>
        <w:sym w:font="HQPB4" w:char="F0F8"/>
      </w:r>
      <w:r w:rsidRPr="00910CE3">
        <w:rPr>
          <w:sz w:val="28"/>
          <w:szCs w:val="28"/>
        </w:rPr>
        <w:sym w:font="HQPB2" w:char="F025"/>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5" w:char="F028"/>
      </w:r>
      <w:r w:rsidRPr="00910CE3">
        <w:rPr>
          <w:sz w:val="28"/>
          <w:szCs w:val="28"/>
        </w:rPr>
        <w:sym w:font="HQPB1" w:char="F023"/>
      </w:r>
      <w:r w:rsidRPr="00910CE3">
        <w:rPr>
          <w:sz w:val="28"/>
          <w:szCs w:val="28"/>
        </w:rPr>
        <w:sym w:font="HQPB2" w:char="F071"/>
      </w:r>
      <w:r w:rsidRPr="00910CE3">
        <w:rPr>
          <w:sz w:val="28"/>
          <w:szCs w:val="28"/>
        </w:rPr>
        <w:sym w:font="HQPB4" w:char="F0DF"/>
      </w:r>
      <w:r w:rsidRPr="00910CE3">
        <w:rPr>
          <w:sz w:val="28"/>
          <w:szCs w:val="28"/>
        </w:rPr>
        <w:sym w:font="HQPB1" w:char="F073"/>
      </w:r>
      <w:r w:rsidRPr="00910CE3">
        <w:rPr>
          <w:sz w:val="28"/>
          <w:szCs w:val="28"/>
        </w:rPr>
        <w:sym w:font="HQPB4" w:char="F0CE"/>
      </w:r>
      <w:r w:rsidRPr="00910CE3">
        <w:rPr>
          <w:sz w:val="28"/>
          <w:szCs w:val="28"/>
        </w:rPr>
        <w:sym w:font="HQPB2" w:char="F03D"/>
      </w:r>
      <w:r w:rsidRPr="00910CE3">
        <w:rPr>
          <w:sz w:val="28"/>
          <w:szCs w:val="28"/>
        </w:rPr>
        <w:sym w:font="HQPB4" w:char="F0F4"/>
      </w:r>
      <w:r w:rsidRPr="00910CE3">
        <w:rPr>
          <w:sz w:val="28"/>
          <w:szCs w:val="28"/>
        </w:rPr>
        <w:sym w:font="HQPB1" w:char="F0B9"/>
      </w:r>
      <w:r w:rsidRPr="00910CE3">
        <w:rPr>
          <w:sz w:val="28"/>
          <w:szCs w:val="28"/>
        </w:rPr>
        <w:sym w:font="HQPB5" w:char="F072"/>
      </w:r>
      <w:r w:rsidRPr="00910CE3">
        <w:rPr>
          <w:sz w:val="28"/>
          <w:szCs w:val="28"/>
        </w:rPr>
        <w:sym w:font="HQPB1" w:char="F027"/>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1" w:char="F024"/>
      </w:r>
      <w:r w:rsidRPr="00910CE3">
        <w:rPr>
          <w:sz w:val="28"/>
          <w:szCs w:val="28"/>
        </w:rPr>
        <w:sym w:font="HQPB5" w:char="F079"/>
      </w:r>
      <w:r w:rsidRPr="00910CE3">
        <w:rPr>
          <w:sz w:val="28"/>
          <w:szCs w:val="28"/>
        </w:rPr>
        <w:sym w:font="HQPB2" w:char="F04A"/>
      </w:r>
      <w:r w:rsidRPr="00910CE3">
        <w:rPr>
          <w:sz w:val="28"/>
          <w:szCs w:val="28"/>
        </w:rPr>
        <w:sym w:font="HQPB4" w:char="F0E5"/>
      </w:r>
      <w:r w:rsidRPr="00910CE3">
        <w:rPr>
          <w:sz w:val="28"/>
          <w:szCs w:val="28"/>
        </w:rPr>
        <w:sym w:font="HQPB2" w:char="F06B"/>
      </w:r>
      <w:r w:rsidRPr="00910CE3">
        <w:rPr>
          <w:sz w:val="28"/>
          <w:szCs w:val="28"/>
        </w:rPr>
        <w:sym w:font="HQPB5" w:char="F073"/>
      </w:r>
      <w:r w:rsidRPr="00910CE3">
        <w:rPr>
          <w:sz w:val="28"/>
          <w:szCs w:val="28"/>
        </w:rPr>
        <w:sym w:font="HQPB2" w:char="F05D"/>
      </w:r>
      <w:r w:rsidRPr="00910CE3">
        <w:rPr>
          <w:sz w:val="28"/>
          <w:szCs w:val="28"/>
        </w:rPr>
        <w:sym w:font="HQPB4" w:char="F0F7"/>
      </w:r>
      <w:r w:rsidRPr="00910CE3">
        <w:rPr>
          <w:sz w:val="28"/>
          <w:szCs w:val="28"/>
        </w:rPr>
        <w:sym w:font="HQPB2" w:char="F08F"/>
      </w:r>
      <w:r w:rsidRPr="00910CE3">
        <w:rPr>
          <w:sz w:val="28"/>
          <w:szCs w:val="28"/>
        </w:rPr>
        <w:sym w:font="HQPB5" w:char="F074"/>
      </w:r>
      <w:r w:rsidRPr="00910CE3">
        <w:rPr>
          <w:sz w:val="28"/>
          <w:szCs w:val="28"/>
        </w:rPr>
        <w:sym w:font="HQPB1" w:char="F02F"/>
      </w:r>
      <w:r w:rsidRPr="00910CE3">
        <w:rPr>
          <w:rFonts w:ascii="(normal text)" w:hAnsi="(normal text)"/>
          <w:rtl/>
        </w:rPr>
        <w:t xml:space="preserve"> </w:t>
      </w:r>
      <w:r w:rsidRPr="00910CE3">
        <w:rPr>
          <w:sz w:val="28"/>
          <w:szCs w:val="28"/>
        </w:rPr>
        <w:sym w:font="HQPB4" w:char="F028"/>
      </w:r>
      <w:r w:rsidRPr="00910CE3">
        <w:rPr>
          <w:rFonts w:ascii="(normal text)" w:hAnsi="(normal text)" w:hint="cs"/>
          <w:rtl/>
        </w:rPr>
        <w:t xml:space="preserve">( ق.س: </w:t>
      </w:r>
      <w:r w:rsidRPr="00910CE3">
        <w:rPr>
          <w:rFonts w:ascii="Arial Rounded MT Bold" w:hAnsi="Arial Rounded MT Bold" w:hint="cs"/>
          <w:rtl/>
        </w:rPr>
        <w:t>الحجرات</w:t>
      </w:r>
      <w:r w:rsidRPr="00910CE3">
        <w:rPr>
          <w:rFonts w:ascii="(normal text)" w:hAnsi="(normal text)" w:hint="cs"/>
          <w:rtl/>
        </w:rPr>
        <w:t xml:space="preserve"> / 49: </w:t>
      </w:r>
      <w:r w:rsidRPr="00910CE3">
        <w:rPr>
          <w:rFonts w:ascii="(normal text)" w:hAnsi="(normal text)"/>
        </w:rPr>
        <w:t>9</w:t>
      </w:r>
      <w:r w:rsidRPr="00910CE3">
        <w:rPr>
          <w:rFonts w:ascii="(normal text)" w:hAnsi="(normal text)" w:hint="cs"/>
          <w:rtl/>
        </w:rPr>
        <w:t xml:space="preserve"> )</w:t>
      </w:r>
    </w:p>
    <w:p w:rsidR="00343B61" w:rsidRPr="00910CE3" w:rsidRDefault="00343B61" w:rsidP="00343B61">
      <w:pPr>
        <w:tabs>
          <w:tab w:val="left" w:pos="360"/>
          <w:tab w:val="left" w:pos="7920"/>
        </w:tabs>
        <w:autoSpaceDE w:val="0"/>
        <w:autoSpaceDN w:val="0"/>
        <w:adjustRightInd w:val="0"/>
        <w:spacing w:after="0" w:line="240" w:lineRule="auto"/>
        <w:ind w:left="1170" w:right="17"/>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 Dan kalau ada dua golongan dari mereka yang beriman itu berperang hendaklah kamu damaikan antara keduanya!”</w:t>
      </w:r>
      <w:r w:rsidRPr="00910CE3">
        <w:rPr>
          <w:rStyle w:val="FootnoteReference"/>
          <w:rFonts w:asciiTheme="majorBidi" w:hAnsiTheme="majorBidi" w:cstheme="majorBidi"/>
          <w:i/>
          <w:iCs/>
          <w:sz w:val="24"/>
          <w:szCs w:val="24"/>
        </w:rPr>
        <w:footnoteReference w:id="188"/>
      </w:r>
      <w:r w:rsidRPr="00910CE3">
        <w:rPr>
          <w:rFonts w:asciiTheme="majorBidi" w:hAnsiTheme="majorBidi" w:cstheme="majorBidi"/>
          <w:sz w:val="24"/>
          <w:szCs w:val="24"/>
        </w:rPr>
        <w:t xml:space="preserve"> ( QS.Al-Hujurat [49]: 9)</w:t>
      </w:r>
    </w:p>
    <w:p w:rsidR="00343B61" w:rsidRPr="00910CE3" w:rsidRDefault="00343B61" w:rsidP="00343B61">
      <w:pPr>
        <w:tabs>
          <w:tab w:val="left" w:pos="7920"/>
        </w:tabs>
        <w:autoSpaceDE w:val="0"/>
        <w:autoSpaceDN w:val="0"/>
        <w:adjustRightInd w:val="0"/>
        <w:spacing w:after="0" w:line="360" w:lineRule="auto"/>
        <w:ind w:right="17"/>
        <w:jc w:val="both"/>
        <w:rPr>
          <w:rFonts w:asciiTheme="majorBidi" w:hAnsiTheme="majorBidi" w:cstheme="majorBidi"/>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90" w:right="17" w:hanging="180"/>
        <w:jc w:val="both"/>
        <w:rPr>
          <w:rFonts w:asciiTheme="majorBidi" w:hAnsiTheme="majorBidi" w:cstheme="majorBidi"/>
          <w:sz w:val="24"/>
          <w:szCs w:val="24"/>
        </w:rPr>
      </w:pPr>
      <w:r w:rsidRPr="00910CE3">
        <w:rPr>
          <w:rFonts w:asciiTheme="majorBidi" w:hAnsiTheme="majorBidi" w:cstheme="majorBidi"/>
          <w:sz w:val="24"/>
          <w:szCs w:val="24"/>
        </w:rPr>
        <w:t xml:space="preserve"> Ayat Al-Qur’ān yang menjelaskan kemestian mempertahankan kedaulatan Negara, dan larangan melakukan agresi dan invasi, yaitu:</w:t>
      </w:r>
    </w:p>
    <w:p w:rsidR="00343B61" w:rsidRPr="00910CE3" w:rsidRDefault="00343B61" w:rsidP="00343B61">
      <w:pPr>
        <w:pStyle w:val="ListParagraph"/>
        <w:tabs>
          <w:tab w:val="left" w:pos="7037"/>
        </w:tabs>
        <w:autoSpaceDE w:val="0"/>
        <w:autoSpaceDN w:val="0"/>
        <w:bidi/>
        <w:adjustRightInd w:val="0"/>
        <w:spacing w:after="0" w:line="240" w:lineRule="auto"/>
        <w:ind w:left="107" w:right="900"/>
        <w:jc w:val="both"/>
        <w:rPr>
          <w:rFonts w:ascii="(normal text)" w:hAnsi="(normal text)"/>
          <w:rtl/>
        </w:rPr>
      </w:pPr>
      <w:r w:rsidRPr="00910CE3">
        <w:rPr>
          <w:sz w:val="28"/>
          <w:szCs w:val="28"/>
        </w:rPr>
        <w:lastRenderedPageBreak/>
        <w:sym w:font="HQPB5" w:char="F028"/>
      </w:r>
      <w:r w:rsidRPr="003170BE">
        <w:rPr>
          <w:rFonts w:cs="Traditional Arabic"/>
          <w:sz w:val="28"/>
          <w:szCs w:val="28"/>
        </w:rPr>
        <w:sym w:font="HQPB1" w:char="F023"/>
      </w:r>
      <w:r w:rsidRPr="003170BE">
        <w:rPr>
          <w:rFonts w:cs="Traditional Arabic"/>
          <w:sz w:val="28"/>
          <w:szCs w:val="28"/>
        </w:rPr>
        <w:sym w:font="HQPB2" w:char="F071"/>
      </w:r>
      <w:r w:rsidRPr="003170BE">
        <w:rPr>
          <w:rFonts w:cs="Traditional Arabic"/>
          <w:sz w:val="28"/>
          <w:szCs w:val="28"/>
        </w:rPr>
        <w:sym w:font="HQPB4" w:char="F0E8"/>
      </w:r>
      <w:r w:rsidRPr="003170BE">
        <w:rPr>
          <w:rFonts w:cs="Traditional Arabic"/>
          <w:sz w:val="28"/>
          <w:szCs w:val="28"/>
        </w:rPr>
        <w:sym w:font="HQPB2" w:char="F03D"/>
      </w:r>
      <w:r w:rsidRPr="003170BE">
        <w:rPr>
          <w:rFonts w:cs="Traditional Arabic"/>
          <w:sz w:val="28"/>
          <w:szCs w:val="28"/>
        </w:rPr>
        <w:sym w:font="HQPB4" w:char="F0CF"/>
      </w:r>
      <w:r w:rsidRPr="003170BE">
        <w:rPr>
          <w:rFonts w:cs="Traditional Arabic"/>
          <w:sz w:val="28"/>
          <w:szCs w:val="28"/>
        </w:rPr>
        <w:sym w:font="HQPB1" w:char="F047"/>
      </w:r>
      <w:r w:rsidRPr="003170BE">
        <w:rPr>
          <w:rFonts w:cs="Traditional Arabic"/>
          <w:sz w:val="28"/>
          <w:szCs w:val="28"/>
        </w:rPr>
        <w:sym w:font="HQPB2" w:char="F0BB"/>
      </w:r>
      <w:r w:rsidRPr="003170BE">
        <w:rPr>
          <w:rFonts w:cs="Traditional Arabic"/>
          <w:sz w:val="28"/>
          <w:szCs w:val="28"/>
        </w:rPr>
        <w:sym w:font="HQPB5" w:char="F073"/>
      </w:r>
      <w:r w:rsidRPr="003170BE">
        <w:rPr>
          <w:rFonts w:cs="Traditional Arabic"/>
          <w:sz w:val="28"/>
          <w:szCs w:val="28"/>
        </w:rPr>
        <w:sym w:font="HQPB2" w:char="F025"/>
      </w:r>
      <w:r w:rsidRPr="003170BE">
        <w:rPr>
          <w:rFonts w:cs="Traditional Arabic"/>
          <w:sz w:val="28"/>
          <w:szCs w:val="28"/>
        </w:rPr>
        <w:sym w:font="HQPB5" w:char="F075"/>
      </w:r>
      <w:r w:rsidRPr="003170BE">
        <w:rPr>
          <w:rFonts w:cs="Traditional Arabic"/>
          <w:sz w:val="28"/>
          <w:szCs w:val="28"/>
        </w:rPr>
        <w:sym w:font="HQPB2" w:char="F072"/>
      </w:r>
      <w:r w:rsidRPr="003170BE">
        <w:rPr>
          <w:rFonts w:ascii="(normal text)" w:hAnsi="(normal text)" w:cs="Traditional Arabic"/>
          <w:rtl/>
        </w:rPr>
        <w:t xml:space="preserve"> </w:t>
      </w:r>
      <w:r w:rsidRPr="003170BE">
        <w:rPr>
          <w:rFonts w:cs="Traditional Arabic"/>
          <w:sz w:val="28"/>
          <w:szCs w:val="28"/>
        </w:rPr>
        <w:sym w:font="HQPB2" w:char="F092"/>
      </w:r>
      <w:r w:rsidRPr="003170BE">
        <w:rPr>
          <w:rFonts w:cs="Traditional Arabic"/>
          <w:sz w:val="28"/>
          <w:szCs w:val="28"/>
        </w:rPr>
        <w:sym w:font="HQPB4" w:char="F0CE"/>
      </w:r>
      <w:r w:rsidRPr="003170BE">
        <w:rPr>
          <w:rFonts w:cs="Traditional Arabic"/>
          <w:sz w:val="28"/>
          <w:szCs w:val="28"/>
        </w:rPr>
        <w:sym w:font="HQPB1" w:char="F0FB"/>
      </w:r>
      <w:r w:rsidRPr="003170BE">
        <w:rPr>
          <w:rFonts w:ascii="(normal text)" w:hAnsi="(normal text)" w:cs="Traditional Arabic"/>
          <w:rtl/>
        </w:rPr>
        <w:t xml:space="preserve"> </w:t>
      </w:r>
      <w:r w:rsidRPr="003170BE">
        <w:rPr>
          <w:rFonts w:cs="Traditional Arabic"/>
          <w:sz w:val="28"/>
          <w:szCs w:val="28"/>
        </w:rPr>
        <w:sym w:font="HQPB4" w:char="F0C8"/>
      </w:r>
      <w:r w:rsidRPr="003170BE">
        <w:rPr>
          <w:rFonts w:cs="Traditional Arabic"/>
          <w:sz w:val="28"/>
          <w:szCs w:val="28"/>
        </w:rPr>
        <w:sym w:font="HQPB2" w:char="F040"/>
      </w:r>
      <w:r w:rsidRPr="003170BE">
        <w:rPr>
          <w:rFonts w:cs="Traditional Arabic"/>
          <w:sz w:val="28"/>
          <w:szCs w:val="28"/>
        </w:rPr>
        <w:sym w:font="HQPB2" w:char="F08B"/>
      </w:r>
      <w:r w:rsidRPr="003170BE">
        <w:rPr>
          <w:rFonts w:cs="Traditional Arabic"/>
          <w:sz w:val="28"/>
          <w:szCs w:val="28"/>
        </w:rPr>
        <w:sym w:font="HQPB4" w:char="F0CE"/>
      </w:r>
      <w:r w:rsidRPr="003170BE">
        <w:rPr>
          <w:rFonts w:cs="Traditional Arabic"/>
          <w:sz w:val="28"/>
          <w:szCs w:val="28"/>
        </w:rPr>
        <w:sym w:font="HQPB1" w:char="F036"/>
      </w:r>
      <w:r w:rsidRPr="003170BE">
        <w:rPr>
          <w:rFonts w:cs="Traditional Arabic"/>
          <w:sz w:val="28"/>
          <w:szCs w:val="28"/>
        </w:rPr>
        <w:sym w:font="HQPB5" w:char="F079"/>
      </w:r>
      <w:r w:rsidRPr="003170BE">
        <w:rPr>
          <w:rFonts w:cs="Traditional Arabic"/>
          <w:sz w:val="28"/>
          <w:szCs w:val="28"/>
        </w:rPr>
        <w:sym w:font="HQPB1" w:char="F099"/>
      </w:r>
      <w:r w:rsidRPr="003170BE">
        <w:rPr>
          <w:rFonts w:ascii="Adobe نسخ Medium" w:hAnsi="Adobe نسخ Medium" w:cs="Traditional Arabic"/>
          <w:sz w:val="34"/>
          <w:szCs w:val="34"/>
          <w:rtl/>
        </w:rPr>
        <w:t xml:space="preserve"> الله</w:t>
      </w:r>
      <w:r w:rsidRPr="003170BE">
        <w:rPr>
          <w:rFonts w:ascii="Adobe نسخ Medium" w:hAnsi="Adobe نسخ Medium" w:cs="Traditional Arabic" w:hint="cs"/>
          <w:sz w:val="34"/>
          <w:szCs w:val="34"/>
          <w:rtl/>
        </w:rPr>
        <w:t>ِ</w:t>
      </w:r>
      <w:r w:rsidRPr="003170BE">
        <w:rPr>
          <w:rFonts w:cs="Traditional Arabic"/>
          <w:sz w:val="28"/>
          <w:szCs w:val="28"/>
        </w:rPr>
        <w:t xml:space="preserve"> </w:t>
      </w:r>
      <w:r w:rsidRPr="003170BE">
        <w:rPr>
          <w:rFonts w:cs="Traditional Arabic"/>
          <w:sz w:val="28"/>
          <w:szCs w:val="28"/>
        </w:rPr>
        <w:sym w:font="HQPB5" w:char="F074"/>
      </w:r>
      <w:r w:rsidRPr="003170BE">
        <w:rPr>
          <w:rFonts w:cs="Traditional Arabic"/>
          <w:sz w:val="28"/>
          <w:szCs w:val="28"/>
        </w:rPr>
        <w:sym w:font="HQPB2" w:char="F0FB"/>
      </w:r>
      <w:r w:rsidRPr="003170BE">
        <w:rPr>
          <w:rFonts w:cs="Traditional Arabic"/>
          <w:sz w:val="28"/>
          <w:szCs w:val="28"/>
        </w:rPr>
        <w:sym w:font="HQPB2" w:char="F0EF"/>
      </w:r>
      <w:r w:rsidRPr="003170BE">
        <w:rPr>
          <w:rFonts w:cs="Traditional Arabic"/>
          <w:sz w:val="28"/>
          <w:szCs w:val="28"/>
        </w:rPr>
        <w:sym w:font="HQPB4" w:char="F0CF"/>
      </w:r>
      <w:r w:rsidRPr="003170BE">
        <w:rPr>
          <w:rFonts w:cs="Traditional Arabic"/>
          <w:sz w:val="28"/>
          <w:szCs w:val="28"/>
        </w:rPr>
        <w:sym w:font="HQPB3" w:char="F025"/>
      </w:r>
      <w:r w:rsidRPr="003170BE">
        <w:rPr>
          <w:rFonts w:cs="Traditional Arabic"/>
          <w:sz w:val="28"/>
          <w:szCs w:val="28"/>
        </w:rPr>
        <w:sym w:font="HQPB4" w:char="F0A9"/>
      </w:r>
      <w:r w:rsidRPr="003170BE">
        <w:rPr>
          <w:rFonts w:cs="Traditional Arabic"/>
          <w:sz w:val="28"/>
          <w:szCs w:val="28"/>
        </w:rPr>
        <w:sym w:font="HQPB3" w:char="F021"/>
      </w:r>
      <w:r w:rsidRPr="003170BE">
        <w:rPr>
          <w:rFonts w:cs="Traditional Arabic"/>
          <w:sz w:val="28"/>
          <w:szCs w:val="28"/>
        </w:rPr>
        <w:sym w:font="HQPB5" w:char="F024"/>
      </w:r>
      <w:r w:rsidRPr="003170BE">
        <w:rPr>
          <w:rFonts w:cs="Traditional Arabic"/>
          <w:sz w:val="28"/>
          <w:szCs w:val="28"/>
        </w:rPr>
        <w:sym w:font="HQPB1" w:char="F023"/>
      </w:r>
      <w:r w:rsidRPr="003170BE">
        <w:rPr>
          <w:rFonts w:ascii="(normal text)" w:hAnsi="(normal text)" w:cs="Traditional Arabic"/>
          <w:rtl/>
        </w:rPr>
        <w:t xml:space="preserve"> </w:t>
      </w:r>
      <w:r w:rsidRPr="003170BE">
        <w:rPr>
          <w:rFonts w:cs="Traditional Arabic"/>
          <w:sz w:val="28"/>
          <w:szCs w:val="28"/>
        </w:rPr>
        <w:sym w:font="HQPB4" w:char="F0F3"/>
      </w:r>
      <w:r w:rsidRPr="003170BE">
        <w:rPr>
          <w:rFonts w:cs="Traditional Arabic"/>
          <w:sz w:val="28"/>
          <w:szCs w:val="28"/>
        </w:rPr>
        <w:sym w:font="HQPB2" w:char="F04F"/>
      </w:r>
      <w:r w:rsidRPr="003170BE">
        <w:rPr>
          <w:rFonts w:cs="Traditional Arabic"/>
          <w:sz w:val="28"/>
          <w:szCs w:val="28"/>
        </w:rPr>
        <w:sym w:font="HQPB4" w:char="F0E4"/>
      </w:r>
      <w:r w:rsidRPr="003170BE">
        <w:rPr>
          <w:rFonts w:cs="Traditional Arabic"/>
          <w:sz w:val="28"/>
          <w:szCs w:val="28"/>
        </w:rPr>
        <w:sym w:font="HQPB2" w:char="F033"/>
      </w:r>
      <w:r w:rsidRPr="003170BE">
        <w:rPr>
          <w:rFonts w:cs="Traditional Arabic"/>
          <w:sz w:val="28"/>
          <w:szCs w:val="28"/>
        </w:rPr>
        <w:sym w:font="HQPB5" w:char="F074"/>
      </w:r>
      <w:r w:rsidRPr="003170BE">
        <w:rPr>
          <w:rFonts w:cs="Traditional Arabic"/>
          <w:sz w:val="28"/>
          <w:szCs w:val="28"/>
        </w:rPr>
        <w:sym w:font="HQPB2" w:char="F052"/>
      </w:r>
      <w:r w:rsidRPr="003170BE">
        <w:rPr>
          <w:rFonts w:cs="Traditional Arabic"/>
          <w:sz w:val="28"/>
          <w:szCs w:val="28"/>
        </w:rPr>
        <w:sym w:font="HQPB2" w:char="F071"/>
      </w:r>
      <w:r w:rsidRPr="003170BE">
        <w:rPr>
          <w:rFonts w:cs="Traditional Arabic"/>
          <w:sz w:val="28"/>
          <w:szCs w:val="28"/>
        </w:rPr>
        <w:sym w:font="HQPB4" w:char="F0E8"/>
      </w:r>
      <w:r w:rsidRPr="003170BE">
        <w:rPr>
          <w:rFonts w:cs="Traditional Arabic"/>
          <w:sz w:val="28"/>
          <w:szCs w:val="28"/>
        </w:rPr>
        <w:sym w:font="HQPB2" w:char="F03D"/>
      </w:r>
      <w:r w:rsidRPr="003170BE">
        <w:rPr>
          <w:rFonts w:cs="Traditional Arabic"/>
          <w:sz w:val="28"/>
          <w:szCs w:val="28"/>
        </w:rPr>
        <w:sym w:font="HQPB4" w:char="F0CF"/>
      </w:r>
      <w:r w:rsidRPr="003170BE">
        <w:rPr>
          <w:rFonts w:cs="Traditional Arabic"/>
          <w:sz w:val="28"/>
          <w:szCs w:val="28"/>
        </w:rPr>
        <w:sym w:font="HQPB1" w:char="F047"/>
      </w:r>
      <w:r w:rsidRPr="003170BE">
        <w:rPr>
          <w:rFonts w:cs="Traditional Arabic"/>
          <w:sz w:val="28"/>
          <w:szCs w:val="28"/>
        </w:rPr>
        <w:sym w:font="HQPB2" w:char="F0BB"/>
      </w:r>
      <w:r w:rsidRPr="003170BE">
        <w:rPr>
          <w:rFonts w:cs="Traditional Arabic"/>
          <w:sz w:val="28"/>
          <w:szCs w:val="28"/>
        </w:rPr>
        <w:sym w:font="HQPB5" w:char="F073"/>
      </w:r>
      <w:r w:rsidRPr="003170BE">
        <w:rPr>
          <w:rFonts w:cs="Traditional Arabic"/>
          <w:sz w:val="28"/>
          <w:szCs w:val="28"/>
        </w:rPr>
        <w:sym w:font="HQPB2" w:char="F029"/>
      </w:r>
      <w:r w:rsidRPr="003170BE">
        <w:rPr>
          <w:rFonts w:cs="Traditional Arabic"/>
          <w:sz w:val="28"/>
          <w:szCs w:val="28"/>
        </w:rPr>
        <w:sym w:font="HQPB4" w:char="F0E3"/>
      </w:r>
      <w:r w:rsidRPr="003170BE">
        <w:rPr>
          <w:rFonts w:cs="Traditional Arabic"/>
          <w:sz w:val="28"/>
          <w:szCs w:val="28"/>
        </w:rPr>
        <w:sym w:font="HQPB2" w:char="F083"/>
      </w:r>
      <w:r w:rsidRPr="003170BE">
        <w:rPr>
          <w:rFonts w:ascii="(normal text)" w:hAnsi="(normal text)" w:cs="Traditional Arabic"/>
          <w:rtl/>
        </w:rPr>
        <w:t xml:space="preserve"> </w:t>
      </w:r>
      <w:r w:rsidRPr="003170BE">
        <w:rPr>
          <w:rFonts w:cs="Traditional Arabic"/>
          <w:sz w:val="28"/>
          <w:szCs w:val="28"/>
        </w:rPr>
        <w:sym w:font="HQPB5" w:char="F09F"/>
      </w:r>
      <w:r w:rsidRPr="003170BE">
        <w:rPr>
          <w:rFonts w:cs="Traditional Arabic"/>
          <w:sz w:val="28"/>
          <w:szCs w:val="28"/>
        </w:rPr>
        <w:sym w:font="HQPB2" w:char="F077"/>
      </w:r>
      <w:r w:rsidRPr="003170BE">
        <w:rPr>
          <w:rFonts w:cs="Traditional Arabic"/>
          <w:sz w:val="28"/>
          <w:szCs w:val="28"/>
        </w:rPr>
        <w:sym w:font="HQPB5" w:char="F075"/>
      </w:r>
      <w:r w:rsidRPr="003170BE">
        <w:rPr>
          <w:rFonts w:cs="Traditional Arabic"/>
          <w:sz w:val="28"/>
          <w:szCs w:val="28"/>
        </w:rPr>
        <w:sym w:font="HQPB2" w:char="F072"/>
      </w:r>
      <w:r w:rsidRPr="003170BE">
        <w:rPr>
          <w:rFonts w:ascii="(normal text)" w:hAnsi="(normal text)" w:cs="Traditional Arabic"/>
          <w:rtl/>
        </w:rPr>
        <w:t xml:space="preserve"> </w:t>
      </w:r>
      <w:r w:rsidRPr="003170BE">
        <w:rPr>
          <w:rFonts w:cs="Traditional Arabic"/>
          <w:sz w:val="28"/>
          <w:szCs w:val="28"/>
        </w:rPr>
        <w:sym w:font="HQPB5" w:char="F028"/>
      </w:r>
      <w:r w:rsidRPr="003170BE">
        <w:rPr>
          <w:rFonts w:cs="Traditional Arabic"/>
          <w:sz w:val="28"/>
          <w:szCs w:val="28"/>
        </w:rPr>
        <w:sym w:font="HQPB1" w:char="F023"/>
      </w:r>
      <w:r w:rsidRPr="003170BE">
        <w:rPr>
          <w:rFonts w:cs="Traditional Arabic"/>
          <w:sz w:val="28"/>
          <w:szCs w:val="28"/>
        </w:rPr>
        <w:sym w:font="HQPB4" w:char="F0FF"/>
      </w:r>
      <w:r w:rsidRPr="003170BE">
        <w:rPr>
          <w:rFonts w:cs="Traditional Arabic"/>
          <w:sz w:val="28"/>
          <w:szCs w:val="28"/>
        </w:rPr>
        <w:sym w:font="HQPB2" w:char="F072"/>
      </w:r>
      <w:r w:rsidRPr="003170BE">
        <w:rPr>
          <w:rFonts w:cs="Traditional Arabic"/>
          <w:sz w:val="28"/>
          <w:szCs w:val="28"/>
        </w:rPr>
        <w:sym w:font="HQPB4" w:char="F0DF"/>
      </w:r>
      <w:r w:rsidRPr="003170BE">
        <w:rPr>
          <w:rFonts w:cs="Traditional Arabic"/>
          <w:sz w:val="28"/>
          <w:szCs w:val="28"/>
        </w:rPr>
        <w:sym w:font="HQPB1" w:char="F089"/>
      </w:r>
      <w:r w:rsidRPr="003170BE">
        <w:rPr>
          <w:rFonts w:cs="Traditional Arabic"/>
          <w:sz w:val="28"/>
          <w:szCs w:val="28"/>
        </w:rPr>
        <w:sym w:font="HQPB5" w:char="F074"/>
      </w:r>
      <w:r w:rsidRPr="003170BE">
        <w:rPr>
          <w:rFonts w:cs="Traditional Arabic"/>
          <w:sz w:val="28"/>
          <w:szCs w:val="28"/>
        </w:rPr>
        <w:sym w:font="HQPB1" w:char="F047"/>
      </w:r>
      <w:r w:rsidRPr="003170BE">
        <w:rPr>
          <w:rFonts w:cs="Traditional Arabic"/>
          <w:sz w:val="28"/>
          <w:szCs w:val="28"/>
        </w:rPr>
        <w:sym w:font="HQPB4" w:char="F0F7"/>
      </w:r>
      <w:r w:rsidRPr="003170BE">
        <w:rPr>
          <w:rFonts w:cs="Traditional Arabic"/>
          <w:sz w:val="28"/>
          <w:szCs w:val="28"/>
        </w:rPr>
        <w:sym w:font="HQPB1" w:char="F0E8"/>
      </w:r>
      <w:r w:rsidRPr="003170BE">
        <w:rPr>
          <w:rFonts w:cs="Traditional Arabic"/>
          <w:sz w:val="28"/>
          <w:szCs w:val="28"/>
        </w:rPr>
        <w:sym w:font="HQPB5" w:char="F073"/>
      </w:r>
      <w:r w:rsidRPr="003170BE">
        <w:rPr>
          <w:rFonts w:cs="Traditional Arabic"/>
          <w:sz w:val="28"/>
          <w:szCs w:val="28"/>
        </w:rPr>
        <w:sym w:font="HQPB1" w:char="F03F"/>
      </w:r>
      <w:r w:rsidRPr="003170BE">
        <w:rPr>
          <w:rFonts w:ascii="(normal text)" w:hAnsi="(normal text)" w:cs="Traditional Arabic"/>
          <w:rtl/>
        </w:rPr>
        <w:t xml:space="preserve"> </w:t>
      </w:r>
      <w:r w:rsidRPr="003170BE">
        <w:rPr>
          <w:rFonts w:cs="Traditional Arabic"/>
          <w:sz w:val="28"/>
          <w:szCs w:val="28"/>
        </w:rPr>
        <w:sym w:font="HQPB4" w:char="F034"/>
      </w:r>
      <w:r w:rsidRPr="003170BE">
        <w:rPr>
          <w:rFonts w:ascii="(normal text)" w:hAnsi="(normal text)" w:cs="Traditional Arabic"/>
          <w:rtl/>
        </w:rPr>
        <w:t xml:space="preserve"> </w:t>
      </w:r>
      <w:r w:rsidRPr="003170BE">
        <w:rPr>
          <w:rFonts w:cs="Traditional Arabic"/>
          <w:sz w:val="28"/>
          <w:szCs w:val="28"/>
        </w:rPr>
        <w:sym w:font="HQPB4" w:char="F09E"/>
      </w:r>
      <w:r w:rsidRPr="003170BE">
        <w:rPr>
          <w:rFonts w:cs="Traditional Arabic"/>
          <w:sz w:val="28"/>
          <w:szCs w:val="28"/>
        </w:rPr>
        <w:sym w:font="HQPB2" w:char="F063"/>
      </w:r>
      <w:r w:rsidRPr="003170BE">
        <w:rPr>
          <w:rFonts w:cs="Traditional Arabic"/>
          <w:sz w:val="28"/>
          <w:szCs w:val="28"/>
        </w:rPr>
        <w:sym w:font="HQPB4" w:char="F0CE"/>
      </w:r>
      <w:r w:rsidRPr="003170BE">
        <w:rPr>
          <w:rFonts w:cs="Traditional Arabic"/>
          <w:sz w:val="28"/>
          <w:szCs w:val="28"/>
        </w:rPr>
        <w:sym w:font="HQPB1" w:char="F029"/>
      </w:r>
      <w:r w:rsidRPr="003170BE">
        <w:rPr>
          <w:rFonts w:cs="Traditional Arabic"/>
          <w:sz w:val="28"/>
          <w:szCs w:val="28"/>
        </w:rPr>
        <w:sym w:font="HQPB5" w:char="F0A9"/>
      </w:r>
      <w:r w:rsidRPr="003170BE">
        <w:rPr>
          <w:rFonts w:ascii="Adobe نسخ Medium" w:hAnsi="Adobe نسخ Medium" w:cs="Traditional Arabic"/>
          <w:sz w:val="34"/>
          <w:szCs w:val="34"/>
          <w:rtl/>
        </w:rPr>
        <w:t xml:space="preserve"> الله</w:t>
      </w:r>
      <w:r w:rsidRPr="003170BE">
        <w:rPr>
          <w:rFonts w:ascii="Adobe نسخ Medium" w:hAnsi="Adobe نسخ Medium" w:cs="Traditional Arabic" w:hint="cs"/>
          <w:sz w:val="34"/>
          <w:szCs w:val="34"/>
          <w:rtl/>
        </w:rPr>
        <w:t>َ</w:t>
      </w:r>
      <w:r w:rsidRPr="003170BE">
        <w:rPr>
          <w:rFonts w:cs="Traditional Arabic"/>
          <w:sz w:val="28"/>
          <w:szCs w:val="28"/>
        </w:rPr>
        <w:t xml:space="preserve"> </w:t>
      </w:r>
      <w:r w:rsidRPr="003170BE">
        <w:rPr>
          <w:rFonts w:ascii="(normal text)" w:hAnsi="(normal text)" w:cs="Traditional Arabic"/>
          <w:rtl/>
        </w:rPr>
        <w:t xml:space="preserve"> </w:t>
      </w:r>
      <w:r w:rsidRPr="003170BE">
        <w:rPr>
          <w:rFonts w:cs="Traditional Arabic"/>
          <w:sz w:val="28"/>
          <w:szCs w:val="28"/>
        </w:rPr>
        <w:sym w:font="HQPB5" w:char="F09F"/>
      </w:r>
      <w:r w:rsidRPr="003170BE">
        <w:rPr>
          <w:rFonts w:cs="Traditional Arabic"/>
          <w:sz w:val="28"/>
          <w:szCs w:val="28"/>
        </w:rPr>
        <w:sym w:font="HQPB2" w:char="F077"/>
      </w:r>
      <w:r w:rsidRPr="003170BE">
        <w:rPr>
          <w:rFonts w:ascii="(normal text)" w:hAnsi="(normal text)" w:cs="Traditional Arabic"/>
          <w:rtl/>
        </w:rPr>
        <w:t xml:space="preserve"> </w:t>
      </w:r>
      <w:r w:rsidRPr="003170BE">
        <w:rPr>
          <w:rFonts w:cs="Traditional Arabic"/>
          <w:sz w:val="28"/>
          <w:szCs w:val="28"/>
        </w:rPr>
        <w:sym w:font="HQPB4" w:char="F08F"/>
      </w:r>
      <w:r w:rsidRPr="003170BE">
        <w:rPr>
          <w:rFonts w:cs="Traditional Arabic"/>
          <w:sz w:val="28"/>
          <w:szCs w:val="28"/>
        </w:rPr>
        <w:sym w:font="HQPB1" w:char="F03D"/>
      </w:r>
      <w:r w:rsidRPr="003170BE">
        <w:rPr>
          <w:rFonts w:cs="Traditional Arabic"/>
          <w:sz w:val="28"/>
          <w:szCs w:val="28"/>
        </w:rPr>
        <w:sym w:font="HQPB4" w:char="F0C5"/>
      </w:r>
      <w:r w:rsidRPr="003170BE">
        <w:rPr>
          <w:rFonts w:cs="Traditional Arabic"/>
          <w:sz w:val="28"/>
          <w:szCs w:val="28"/>
        </w:rPr>
        <w:sym w:font="HQPB1" w:char="F073"/>
      </w:r>
      <w:r w:rsidRPr="003170BE">
        <w:rPr>
          <w:rFonts w:cs="Traditional Arabic"/>
          <w:sz w:val="28"/>
          <w:szCs w:val="28"/>
        </w:rPr>
        <w:sym w:font="HQPB4" w:char="F0E3"/>
      </w:r>
      <w:r w:rsidRPr="003170BE">
        <w:rPr>
          <w:rFonts w:cs="Traditional Arabic"/>
          <w:sz w:val="28"/>
          <w:szCs w:val="28"/>
        </w:rPr>
        <w:sym w:font="HQPB2" w:char="F083"/>
      </w:r>
      <w:r w:rsidRPr="003170BE">
        <w:rPr>
          <w:rFonts w:ascii="(normal text)" w:hAnsi="(normal text)" w:cs="Traditional Arabic"/>
          <w:rtl/>
        </w:rPr>
        <w:t xml:space="preserve"> </w:t>
      </w:r>
      <w:r w:rsidRPr="003170BE">
        <w:rPr>
          <w:rFonts w:cs="Traditional Arabic"/>
          <w:sz w:val="28"/>
          <w:szCs w:val="28"/>
        </w:rPr>
        <w:sym w:font="HQPB5" w:char="F09A"/>
      </w:r>
      <w:r w:rsidRPr="003170BE">
        <w:rPr>
          <w:rFonts w:cs="Traditional Arabic"/>
          <w:sz w:val="28"/>
          <w:szCs w:val="28"/>
        </w:rPr>
        <w:sym w:font="HQPB2" w:char="F0FA"/>
      </w:r>
      <w:r w:rsidRPr="003170BE">
        <w:rPr>
          <w:rFonts w:cs="Traditional Arabic"/>
          <w:sz w:val="28"/>
          <w:szCs w:val="28"/>
        </w:rPr>
        <w:sym w:font="HQPB2" w:char="F0EF"/>
      </w:r>
      <w:r w:rsidRPr="003170BE">
        <w:rPr>
          <w:rFonts w:cs="Traditional Arabic"/>
          <w:sz w:val="28"/>
          <w:szCs w:val="28"/>
        </w:rPr>
        <w:sym w:font="HQPB4" w:char="F0CF"/>
      </w:r>
      <w:r w:rsidRPr="003170BE">
        <w:rPr>
          <w:rFonts w:cs="Traditional Arabic"/>
          <w:sz w:val="28"/>
          <w:szCs w:val="28"/>
        </w:rPr>
        <w:sym w:font="HQPB1" w:char="F089"/>
      </w:r>
      <w:r w:rsidRPr="003170BE">
        <w:rPr>
          <w:rFonts w:cs="Traditional Arabic"/>
          <w:sz w:val="28"/>
          <w:szCs w:val="28"/>
        </w:rPr>
        <w:sym w:font="HQPB5" w:char="F074"/>
      </w:r>
      <w:r w:rsidRPr="003170BE">
        <w:rPr>
          <w:rFonts w:cs="Traditional Arabic"/>
          <w:sz w:val="28"/>
          <w:szCs w:val="28"/>
        </w:rPr>
        <w:sym w:font="HQPB1" w:char="F047"/>
      </w:r>
      <w:r w:rsidRPr="003170BE">
        <w:rPr>
          <w:rFonts w:cs="Traditional Arabic"/>
          <w:sz w:val="28"/>
          <w:szCs w:val="28"/>
        </w:rPr>
        <w:sym w:font="HQPB4" w:char="F0F7"/>
      </w:r>
      <w:r w:rsidRPr="003170BE">
        <w:rPr>
          <w:rFonts w:cs="Traditional Arabic"/>
          <w:sz w:val="28"/>
          <w:szCs w:val="28"/>
        </w:rPr>
        <w:sym w:font="HQPB1" w:char="F0E8"/>
      </w:r>
      <w:r w:rsidRPr="003170BE">
        <w:rPr>
          <w:rFonts w:cs="Traditional Arabic"/>
          <w:sz w:val="28"/>
          <w:szCs w:val="28"/>
        </w:rPr>
        <w:sym w:font="HQPB4" w:char="F0DF"/>
      </w:r>
      <w:r w:rsidRPr="003170BE">
        <w:rPr>
          <w:rFonts w:cs="Traditional Arabic"/>
          <w:sz w:val="28"/>
          <w:szCs w:val="28"/>
        </w:rPr>
        <w:sym w:font="HQPB2" w:char="F04A"/>
      </w:r>
      <w:r w:rsidRPr="003170BE">
        <w:rPr>
          <w:rFonts w:cs="Traditional Arabic"/>
          <w:sz w:val="28"/>
          <w:szCs w:val="28"/>
        </w:rPr>
        <w:sym w:font="HQPB4" w:char="F0F8"/>
      </w:r>
      <w:r w:rsidRPr="003170BE">
        <w:rPr>
          <w:rFonts w:cs="Traditional Arabic"/>
          <w:sz w:val="28"/>
          <w:szCs w:val="28"/>
        </w:rPr>
        <w:sym w:font="HQPB2" w:char="F039"/>
      </w:r>
      <w:r w:rsidRPr="003170BE">
        <w:rPr>
          <w:rFonts w:cs="Traditional Arabic"/>
          <w:sz w:val="28"/>
          <w:szCs w:val="28"/>
        </w:rPr>
        <w:sym w:font="HQPB5" w:char="F024"/>
      </w:r>
      <w:r w:rsidRPr="003170BE">
        <w:rPr>
          <w:rFonts w:cs="Traditional Arabic"/>
          <w:sz w:val="28"/>
          <w:szCs w:val="28"/>
        </w:rPr>
        <w:sym w:font="HQPB1" w:char="F023"/>
      </w:r>
      <w:r w:rsidRPr="003170BE">
        <w:rPr>
          <w:rFonts w:ascii="(normal text)" w:hAnsi="(normal text)" w:cs="Traditional Arabic"/>
          <w:rtl/>
        </w:rPr>
        <w:t xml:space="preserve"> </w:t>
      </w:r>
      <w:r w:rsidRPr="003170BE">
        <w:rPr>
          <w:rFonts w:cs="Traditional Arabic"/>
          <w:sz w:val="28"/>
          <w:szCs w:val="28"/>
        </w:rPr>
        <w:sym w:font="HQPB2" w:char="F0C7"/>
      </w:r>
      <w:r w:rsidRPr="003170BE">
        <w:rPr>
          <w:rFonts w:cs="Traditional Arabic"/>
          <w:sz w:val="28"/>
          <w:szCs w:val="28"/>
        </w:rPr>
        <w:sym w:font="HQPB2" w:char="F0CA"/>
      </w:r>
      <w:r w:rsidRPr="003170BE">
        <w:rPr>
          <w:rFonts w:cs="Traditional Arabic"/>
          <w:sz w:val="28"/>
          <w:szCs w:val="28"/>
        </w:rPr>
        <w:sym w:font="HQPB2" w:char="F0D2"/>
      </w:r>
      <w:r w:rsidRPr="003170BE">
        <w:rPr>
          <w:rFonts w:cs="Traditional Arabic"/>
          <w:sz w:val="28"/>
          <w:szCs w:val="28"/>
        </w:rPr>
        <w:sym w:font="HQPB2" w:char="F0C9"/>
      </w:r>
      <w:r w:rsidRPr="003170BE">
        <w:rPr>
          <w:rFonts w:cs="Traditional Arabic"/>
          <w:sz w:val="28"/>
          <w:szCs w:val="28"/>
        </w:rPr>
        <w:sym w:font="HQPB2" w:char="F0C8"/>
      </w:r>
      <w:r w:rsidRPr="003170BE">
        <w:rPr>
          <w:rFonts w:ascii="(normal text)" w:hAnsi="(normal text)" w:cs="Traditional Arabic"/>
          <w:rtl/>
        </w:rPr>
        <w:t xml:space="preserve"> </w:t>
      </w:r>
      <w:r w:rsidRPr="00910CE3">
        <w:rPr>
          <w:rFonts w:ascii="(normal text)" w:hAnsi="(normal text)"/>
          <w:rtl/>
        </w:rPr>
        <w:t xml:space="preserve">  </w:t>
      </w:r>
      <w:r w:rsidRPr="00910CE3">
        <w:rPr>
          <w:rFonts w:ascii="(normal text)" w:hAnsi="(normal text)" w:hint="cs"/>
          <w:rtl/>
        </w:rPr>
        <w:t xml:space="preserve">( ق.س: </w:t>
      </w:r>
      <w:r w:rsidRPr="00910CE3">
        <w:rPr>
          <w:rFonts w:ascii="Arial Rounded MT Bold" w:hAnsi="Arial Rounded MT Bold" w:hint="cs"/>
          <w:rtl/>
        </w:rPr>
        <w:t>البقرة</w:t>
      </w:r>
      <w:r w:rsidRPr="00910CE3">
        <w:rPr>
          <w:rFonts w:ascii="(normal text)" w:hAnsi="(normal text)" w:hint="cs"/>
          <w:rtl/>
        </w:rPr>
        <w:t xml:space="preserve"> / 2: 190 )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 Dan perangilah di jalan Allah orang-orang yang memerangi kamu, (tetapi) janganlah kamu melampaui batas, karena Sesungguhnya Allah tidak menyukai orang-orang yang melampaui batas”.</w:t>
      </w:r>
      <w:r w:rsidRPr="00910CE3">
        <w:rPr>
          <w:rStyle w:val="FootnoteReference"/>
          <w:rFonts w:asciiTheme="majorBidi" w:hAnsiTheme="majorBidi" w:cstheme="majorBidi"/>
          <w:i/>
          <w:iCs/>
          <w:sz w:val="24"/>
          <w:szCs w:val="24"/>
        </w:rPr>
        <w:footnoteReference w:id="189"/>
      </w:r>
      <w:r w:rsidRPr="00910CE3">
        <w:rPr>
          <w:rFonts w:asciiTheme="majorBidi" w:hAnsiTheme="majorBidi" w:cstheme="majorBidi"/>
          <w:sz w:val="24"/>
          <w:szCs w:val="24"/>
        </w:rPr>
        <w:t xml:space="preserve"> ( QS. Al-Baqarah [2]: 190)</w:t>
      </w:r>
    </w:p>
    <w:p w:rsidR="00343B61" w:rsidRPr="00910CE3" w:rsidRDefault="00343B61" w:rsidP="00343B61">
      <w:pPr>
        <w:pStyle w:val="ListParagraph"/>
        <w:tabs>
          <w:tab w:val="left" w:pos="7920"/>
        </w:tabs>
        <w:autoSpaceDE w:val="0"/>
        <w:autoSpaceDN w:val="0"/>
        <w:adjustRightInd w:val="0"/>
        <w:spacing w:after="0" w:line="360" w:lineRule="auto"/>
        <w:ind w:left="900" w:right="17"/>
        <w:jc w:val="both"/>
        <w:rPr>
          <w:rFonts w:asciiTheme="majorBidi" w:hAnsiTheme="majorBidi" w:cstheme="majorBidi"/>
          <w:sz w:val="24"/>
          <w:szCs w:val="24"/>
        </w:rPr>
      </w:pPr>
    </w:p>
    <w:p w:rsidR="00343B61" w:rsidRPr="00910CE3" w:rsidRDefault="00343B61" w:rsidP="002C0A33">
      <w:pPr>
        <w:pStyle w:val="ListParagraph"/>
        <w:numPr>
          <w:ilvl w:val="0"/>
          <w:numId w:val="18"/>
        </w:numPr>
        <w:tabs>
          <w:tab w:val="left" w:pos="7920"/>
        </w:tabs>
        <w:autoSpaceDE w:val="0"/>
        <w:autoSpaceDN w:val="0"/>
        <w:adjustRightInd w:val="0"/>
        <w:spacing w:after="0" w:line="360" w:lineRule="auto"/>
        <w:ind w:left="990" w:right="17" w:hanging="270"/>
        <w:jc w:val="both"/>
        <w:rPr>
          <w:rFonts w:asciiTheme="majorBidi" w:hAnsiTheme="majorBidi" w:cstheme="majorBidi"/>
          <w:sz w:val="24"/>
          <w:szCs w:val="24"/>
        </w:rPr>
      </w:pPr>
      <w:r w:rsidRPr="00910CE3">
        <w:rPr>
          <w:rFonts w:asciiTheme="majorBidi" w:hAnsiTheme="majorBidi" w:cstheme="majorBidi"/>
          <w:sz w:val="24"/>
          <w:szCs w:val="24"/>
        </w:rPr>
        <w:t>Kemestian mementingkan perdamain daripada permusuhan.</w:t>
      </w:r>
    </w:p>
    <w:p w:rsidR="00343B61" w:rsidRDefault="00343B61" w:rsidP="00343B61">
      <w:pPr>
        <w:pStyle w:val="ListParagraph"/>
        <w:tabs>
          <w:tab w:val="right" w:pos="7037"/>
        </w:tabs>
        <w:autoSpaceDE w:val="0"/>
        <w:autoSpaceDN w:val="0"/>
        <w:bidi/>
        <w:adjustRightInd w:val="0"/>
        <w:spacing w:after="0" w:line="240" w:lineRule="auto"/>
        <w:ind w:left="17" w:right="900"/>
        <w:jc w:val="both"/>
        <w:rPr>
          <w:rFonts w:cs="Traditional Arabic"/>
          <w:sz w:val="28"/>
          <w:szCs w:val="28"/>
        </w:rPr>
      </w:pPr>
      <w:r w:rsidRPr="00910CE3">
        <w:rPr>
          <w:sz w:val="28"/>
          <w:szCs w:val="28"/>
        </w:rPr>
        <w:sym w:font="HQPB4" w:char="F02A"/>
      </w:r>
      <w:r w:rsidRPr="003170BE">
        <w:rPr>
          <w:rFonts w:ascii="(normal text)" w:hAnsi="(normal text)" w:cs="Traditional Arabic"/>
          <w:rtl/>
        </w:rPr>
        <w:t xml:space="preserve"> </w:t>
      </w:r>
      <w:r w:rsidRPr="003170BE">
        <w:rPr>
          <w:rFonts w:cs="Traditional Arabic"/>
          <w:sz w:val="28"/>
          <w:szCs w:val="28"/>
        </w:rPr>
        <w:sym w:font="HQPB2" w:char="F062"/>
      </w:r>
      <w:r w:rsidRPr="003170BE">
        <w:rPr>
          <w:rFonts w:cs="Traditional Arabic"/>
          <w:sz w:val="28"/>
          <w:szCs w:val="28"/>
        </w:rPr>
        <w:sym w:font="HQPB4" w:char="F0CE"/>
      </w:r>
      <w:r w:rsidRPr="003170BE">
        <w:rPr>
          <w:rFonts w:cs="Traditional Arabic"/>
          <w:sz w:val="28"/>
          <w:szCs w:val="28"/>
        </w:rPr>
        <w:sym w:font="HQPB1" w:char="F029"/>
      </w:r>
      <w:r w:rsidRPr="003170BE">
        <w:rPr>
          <w:rFonts w:cs="Traditional Arabic"/>
          <w:sz w:val="28"/>
          <w:szCs w:val="28"/>
        </w:rPr>
        <w:sym w:font="HQPB5" w:char="F075"/>
      </w:r>
      <w:r w:rsidRPr="003170BE">
        <w:rPr>
          <w:rFonts w:cs="Traditional Arabic"/>
          <w:sz w:val="28"/>
          <w:szCs w:val="28"/>
        </w:rPr>
        <w:sym w:font="HQPB2" w:char="F072"/>
      </w:r>
      <w:r w:rsidRPr="003170BE">
        <w:rPr>
          <w:rFonts w:ascii="(normal text)" w:hAnsi="(normal text)" w:cs="Traditional Arabic"/>
          <w:rtl/>
        </w:rPr>
        <w:t xml:space="preserve"> </w:t>
      </w:r>
      <w:r w:rsidRPr="003170BE">
        <w:rPr>
          <w:rFonts w:cs="Traditional Arabic"/>
          <w:sz w:val="28"/>
          <w:szCs w:val="28"/>
        </w:rPr>
        <w:sym w:font="HQPB5" w:char="F028"/>
      </w:r>
      <w:r w:rsidRPr="003170BE">
        <w:rPr>
          <w:rFonts w:cs="Traditional Arabic"/>
          <w:sz w:val="28"/>
          <w:szCs w:val="28"/>
        </w:rPr>
        <w:sym w:font="HQPB1" w:char="F023"/>
      </w:r>
      <w:r w:rsidRPr="003170BE">
        <w:rPr>
          <w:rFonts w:cs="Traditional Arabic"/>
          <w:sz w:val="28"/>
          <w:szCs w:val="28"/>
        </w:rPr>
        <w:sym w:font="HQPB2" w:char="F071"/>
      </w:r>
      <w:r w:rsidRPr="003170BE">
        <w:rPr>
          <w:rFonts w:cs="Traditional Arabic"/>
          <w:sz w:val="28"/>
          <w:szCs w:val="28"/>
        </w:rPr>
        <w:sym w:font="HQPB4" w:char="F0DF"/>
      </w:r>
      <w:r w:rsidRPr="003170BE">
        <w:rPr>
          <w:rFonts w:cs="Traditional Arabic"/>
          <w:sz w:val="28"/>
          <w:szCs w:val="28"/>
        </w:rPr>
        <w:sym w:font="HQPB1" w:char="F073"/>
      </w:r>
      <w:r w:rsidRPr="003170BE">
        <w:rPr>
          <w:rFonts w:cs="Traditional Arabic"/>
          <w:sz w:val="28"/>
          <w:szCs w:val="28"/>
        </w:rPr>
        <w:sym w:font="HQPB5" w:char="F075"/>
      </w:r>
      <w:r w:rsidRPr="003170BE">
        <w:rPr>
          <w:rFonts w:cs="Traditional Arabic"/>
          <w:sz w:val="28"/>
          <w:szCs w:val="28"/>
        </w:rPr>
        <w:sym w:font="HQPB2" w:char="F05A"/>
      </w:r>
      <w:r w:rsidRPr="003170BE">
        <w:rPr>
          <w:rFonts w:cs="Traditional Arabic"/>
          <w:sz w:val="28"/>
          <w:szCs w:val="28"/>
        </w:rPr>
        <w:sym w:font="HQPB5" w:char="F079"/>
      </w:r>
      <w:r w:rsidRPr="003170BE">
        <w:rPr>
          <w:rFonts w:cs="Traditional Arabic"/>
          <w:sz w:val="28"/>
          <w:szCs w:val="28"/>
        </w:rPr>
        <w:sym w:font="HQPB1" w:char="F05F"/>
      </w:r>
      <w:r w:rsidRPr="003170BE">
        <w:rPr>
          <w:rFonts w:ascii="(normal text)" w:hAnsi="(normal text)" w:cs="Traditional Arabic"/>
          <w:rtl/>
        </w:rPr>
        <w:t xml:space="preserve"> </w:t>
      </w:r>
      <w:r w:rsidRPr="003170BE">
        <w:rPr>
          <w:rFonts w:cs="Traditional Arabic"/>
          <w:sz w:val="28"/>
          <w:szCs w:val="28"/>
        </w:rPr>
        <w:sym w:font="HQPB4" w:char="F0C4"/>
      </w:r>
      <w:r w:rsidRPr="003170BE">
        <w:rPr>
          <w:rFonts w:cs="Traditional Arabic"/>
          <w:sz w:val="28"/>
          <w:szCs w:val="28"/>
        </w:rPr>
        <w:sym w:font="HQPB2" w:char="F04E"/>
      </w:r>
      <w:r w:rsidRPr="003170BE">
        <w:rPr>
          <w:rFonts w:cs="Traditional Arabic"/>
          <w:sz w:val="28"/>
          <w:szCs w:val="28"/>
        </w:rPr>
        <w:sym w:font="HQPB4" w:char="F0F9"/>
      </w:r>
      <w:r w:rsidRPr="003170BE">
        <w:rPr>
          <w:rFonts w:cs="Traditional Arabic"/>
          <w:sz w:val="28"/>
          <w:szCs w:val="28"/>
        </w:rPr>
        <w:sym w:font="HQPB2" w:char="F03D"/>
      </w:r>
      <w:r w:rsidRPr="003170BE">
        <w:rPr>
          <w:rFonts w:cs="Traditional Arabic"/>
          <w:sz w:val="28"/>
          <w:szCs w:val="28"/>
        </w:rPr>
        <w:sym w:font="HQPB4" w:char="F0A1"/>
      </w:r>
      <w:r w:rsidRPr="003170BE">
        <w:rPr>
          <w:rFonts w:cs="Traditional Arabic"/>
          <w:sz w:val="28"/>
          <w:szCs w:val="28"/>
        </w:rPr>
        <w:sym w:font="HQPB1" w:char="F0A1"/>
      </w:r>
      <w:r w:rsidRPr="003170BE">
        <w:rPr>
          <w:rFonts w:cs="Traditional Arabic"/>
          <w:sz w:val="28"/>
          <w:szCs w:val="28"/>
        </w:rPr>
        <w:sym w:font="HQPB2" w:char="F03D"/>
      </w:r>
      <w:r w:rsidRPr="003170BE">
        <w:rPr>
          <w:rFonts w:cs="Traditional Arabic"/>
          <w:sz w:val="28"/>
          <w:szCs w:val="28"/>
        </w:rPr>
        <w:sym w:font="HQPB4" w:char="F0CF"/>
      </w:r>
      <w:r w:rsidRPr="003170BE">
        <w:rPr>
          <w:rFonts w:cs="Traditional Arabic"/>
          <w:sz w:val="28"/>
          <w:szCs w:val="28"/>
        </w:rPr>
        <w:sym w:font="HQPB2" w:char="F039"/>
      </w:r>
      <w:r w:rsidRPr="003170BE">
        <w:rPr>
          <w:rFonts w:ascii="(normal text)" w:hAnsi="(normal text)" w:cs="Traditional Arabic"/>
          <w:rtl/>
        </w:rPr>
        <w:t xml:space="preserve"> </w:t>
      </w:r>
      <w:r w:rsidRPr="003170BE">
        <w:rPr>
          <w:rFonts w:cs="Traditional Arabic"/>
          <w:sz w:val="28"/>
          <w:szCs w:val="28"/>
        </w:rPr>
        <w:sym w:font="HQPB4" w:char="F0F4"/>
      </w:r>
      <w:r w:rsidRPr="003170BE">
        <w:rPr>
          <w:rFonts w:cs="Traditional Arabic"/>
          <w:sz w:val="28"/>
          <w:szCs w:val="28"/>
        </w:rPr>
        <w:sym w:font="HQPB1" w:char="F078"/>
      </w:r>
      <w:r w:rsidRPr="003170BE">
        <w:rPr>
          <w:rFonts w:cs="Traditional Arabic"/>
          <w:sz w:val="28"/>
          <w:szCs w:val="28"/>
        </w:rPr>
        <w:sym w:font="HQPB5" w:char="F075"/>
      </w:r>
      <w:r w:rsidRPr="003170BE">
        <w:rPr>
          <w:rFonts w:cs="Traditional Arabic"/>
          <w:sz w:val="28"/>
          <w:szCs w:val="28"/>
        </w:rPr>
        <w:sym w:font="HQPB2" w:char="F05A"/>
      </w:r>
      <w:r w:rsidRPr="003170BE">
        <w:rPr>
          <w:rFonts w:cs="Traditional Arabic"/>
          <w:sz w:val="28"/>
          <w:szCs w:val="28"/>
        </w:rPr>
        <w:sym w:font="HQPB4" w:char="F0F4"/>
      </w:r>
      <w:r w:rsidRPr="003170BE">
        <w:rPr>
          <w:rFonts w:cs="Traditional Arabic"/>
          <w:sz w:val="28"/>
          <w:szCs w:val="28"/>
        </w:rPr>
        <w:sym w:font="HQPB1" w:char="F05F"/>
      </w:r>
      <w:r w:rsidRPr="003170BE">
        <w:rPr>
          <w:rFonts w:cs="Traditional Arabic"/>
          <w:sz w:val="28"/>
          <w:szCs w:val="28"/>
        </w:rPr>
        <w:sym w:font="HQPB5" w:char="F024"/>
      </w:r>
      <w:r w:rsidRPr="003170BE">
        <w:rPr>
          <w:rFonts w:cs="Traditional Arabic"/>
          <w:sz w:val="28"/>
          <w:szCs w:val="28"/>
        </w:rPr>
        <w:sym w:font="HQPB1" w:char="F024"/>
      </w:r>
      <w:r w:rsidRPr="003170BE">
        <w:rPr>
          <w:rFonts w:cs="Traditional Arabic"/>
          <w:sz w:val="28"/>
          <w:szCs w:val="28"/>
        </w:rPr>
        <w:sym w:font="HQPB5" w:char="F073"/>
      </w:r>
      <w:r w:rsidRPr="003170BE">
        <w:rPr>
          <w:rFonts w:cs="Traditional Arabic"/>
          <w:sz w:val="28"/>
          <w:szCs w:val="28"/>
        </w:rPr>
        <w:sym w:font="HQPB1" w:char="F0F9"/>
      </w:r>
      <w:r w:rsidRPr="003170BE">
        <w:rPr>
          <w:rFonts w:ascii="(normal text)" w:hAnsi="(normal text)" w:cs="Traditional Arabic"/>
          <w:rtl/>
        </w:rPr>
        <w:t xml:space="preserve"> </w:t>
      </w:r>
      <w:r w:rsidRPr="003170BE">
        <w:rPr>
          <w:rFonts w:cs="Traditional Arabic"/>
          <w:sz w:val="28"/>
          <w:szCs w:val="28"/>
        </w:rPr>
        <w:sym w:font="HQPB1" w:char="F024"/>
      </w:r>
      <w:r w:rsidRPr="003170BE">
        <w:rPr>
          <w:rFonts w:cs="Traditional Arabic"/>
          <w:sz w:val="28"/>
          <w:szCs w:val="28"/>
        </w:rPr>
        <w:sym w:font="HQPB5" w:char="F06F"/>
      </w:r>
      <w:r w:rsidRPr="003170BE">
        <w:rPr>
          <w:rFonts w:cs="Traditional Arabic"/>
          <w:sz w:val="28"/>
          <w:szCs w:val="28"/>
        </w:rPr>
        <w:sym w:font="HQPB2" w:char="F06C"/>
      </w:r>
      <w:r w:rsidRPr="003170BE">
        <w:rPr>
          <w:rFonts w:cs="Traditional Arabic"/>
          <w:sz w:val="28"/>
          <w:szCs w:val="28"/>
        </w:rPr>
        <w:sym w:font="HQPB5" w:char="F06D"/>
      </w:r>
      <w:r w:rsidRPr="003170BE">
        <w:rPr>
          <w:rFonts w:cs="Traditional Arabic"/>
          <w:sz w:val="28"/>
          <w:szCs w:val="28"/>
        </w:rPr>
        <w:sym w:font="HQPB2" w:char="F03B"/>
      </w:r>
      <w:r w:rsidRPr="003170BE">
        <w:rPr>
          <w:rFonts w:ascii="(normal text)" w:hAnsi="(normal text)" w:cs="Traditional Arabic"/>
          <w:rtl/>
        </w:rPr>
        <w:t xml:space="preserve"> </w:t>
      </w:r>
      <w:r w:rsidRPr="003170BE">
        <w:rPr>
          <w:rFonts w:cs="Traditional Arabic"/>
          <w:sz w:val="28"/>
          <w:szCs w:val="28"/>
        </w:rPr>
        <w:sym w:font="HQPB4" w:char="F0F6"/>
      </w:r>
      <w:r w:rsidRPr="003170BE">
        <w:rPr>
          <w:rFonts w:cs="Traditional Arabic"/>
          <w:sz w:val="28"/>
          <w:szCs w:val="28"/>
        </w:rPr>
        <w:sym w:font="HQPB2" w:char="F040"/>
      </w:r>
      <w:r w:rsidRPr="003170BE">
        <w:rPr>
          <w:rFonts w:cs="Traditional Arabic"/>
          <w:sz w:val="28"/>
          <w:szCs w:val="28"/>
        </w:rPr>
        <w:sym w:font="HQPB4" w:char="F0A9"/>
      </w:r>
      <w:r w:rsidRPr="003170BE">
        <w:rPr>
          <w:rFonts w:cs="Traditional Arabic"/>
          <w:sz w:val="28"/>
          <w:szCs w:val="28"/>
        </w:rPr>
        <w:sym w:font="HQPB2" w:char="F02E"/>
      </w:r>
      <w:r w:rsidRPr="003170BE">
        <w:rPr>
          <w:rFonts w:cs="Traditional Arabic"/>
          <w:sz w:val="28"/>
          <w:szCs w:val="28"/>
        </w:rPr>
        <w:sym w:font="HQPB5" w:char="F075"/>
      </w:r>
      <w:r w:rsidRPr="003170BE">
        <w:rPr>
          <w:rFonts w:cs="Traditional Arabic"/>
          <w:sz w:val="28"/>
          <w:szCs w:val="28"/>
        </w:rPr>
        <w:sym w:font="HQPB2" w:char="F071"/>
      </w:r>
      <w:r w:rsidRPr="003170BE">
        <w:rPr>
          <w:rFonts w:cs="Traditional Arabic"/>
          <w:sz w:val="28"/>
          <w:szCs w:val="28"/>
        </w:rPr>
        <w:sym w:font="HQPB5" w:char="F073"/>
      </w:r>
      <w:r w:rsidRPr="003170BE">
        <w:rPr>
          <w:rFonts w:cs="Traditional Arabic"/>
          <w:sz w:val="28"/>
          <w:szCs w:val="28"/>
        </w:rPr>
        <w:sym w:font="HQPB1" w:char="F03F"/>
      </w:r>
      <w:r w:rsidRPr="003170BE">
        <w:rPr>
          <w:rFonts w:cs="Traditional Arabic"/>
          <w:sz w:val="28"/>
          <w:szCs w:val="28"/>
        </w:rPr>
        <w:sym w:font="HQPB5" w:char="F075"/>
      </w:r>
      <w:r w:rsidRPr="003170BE">
        <w:rPr>
          <w:rFonts w:cs="Traditional Arabic"/>
          <w:sz w:val="28"/>
          <w:szCs w:val="28"/>
        </w:rPr>
        <w:sym w:font="HQPB2" w:char="F072"/>
      </w:r>
      <w:r w:rsidRPr="003170BE">
        <w:rPr>
          <w:rFonts w:ascii="(normal text)" w:hAnsi="(normal text)" w:cs="Traditional Arabic"/>
          <w:rtl/>
        </w:rPr>
        <w:t xml:space="preserve"> </w:t>
      </w:r>
      <w:r w:rsidRPr="003170BE">
        <w:rPr>
          <w:rFonts w:cs="Traditional Arabic"/>
          <w:sz w:val="28"/>
          <w:szCs w:val="28"/>
        </w:rPr>
        <w:sym w:font="HQPB2" w:char="F092"/>
      </w:r>
      <w:r w:rsidRPr="003170BE">
        <w:rPr>
          <w:rFonts w:cs="Traditional Arabic"/>
          <w:sz w:val="28"/>
          <w:szCs w:val="28"/>
        </w:rPr>
        <w:sym w:font="HQPB5" w:char="F06E"/>
      </w:r>
      <w:r w:rsidRPr="003170BE">
        <w:rPr>
          <w:rFonts w:cs="Traditional Arabic"/>
          <w:sz w:val="28"/>
          <w:szCs w:val="28"/>
        </w:rPr>
        <w:sym w:font="HQPB2" w:char="F03F"/>
      </w:r>
      <w:r w:rsidRPr="003170BE">
        <w:rPr>
          <w:rFonts w:cs="Traditional Arabic"/>
          <w:sz w:val="28"/>
          <w:szCs w:val="28"/>
        </w:rPr>
        <w:sym w:font="HQPB5" w:char="F074"/>
      </w:r>
      <w:r w:rsidRPr="003170BE">
        <w:rPr>
          <w:rFonts w:cs="Traditional Arabic"/>
          <w:sz w:val="28"/>
          <w:szCs w:val="28"/>
        </w:rPr>
        <w:sym w:font="HQPB1" w:char="F0E3"/>
      </w:r>
      <w:r w:rsidRPr="003170BE">
        <w:rPr>
          <w:rFonts w:ascii="(normal text)" w:hAnsi="(normal text)" w:cs="Traditional Arabic"/>
          <w:rtl/>
        </w:rPr>
        <w:t xml:space="preserve"> </w:t>
      </w:r>
      <w:r w:rsidRPr="003170BE">
        <w:rPr>
          <w:rFonts w:ascii="Adobe نسخ Medium" w:hAnsi="Adobe نسخ Medium" w:cs="Traditional Arabic"/>
          <w:sz w:val="34"/>
          <w:szCs w:val="34"/>
          <w:rtl/>
        </w:rPr>
        <w:t>الله</w:t>
      </w:r>
      <w:r w:rsidRPr="003170BE">
        <w:rPr>
          <w:rFonts w:ascii="Adobe نسخ Medium" w:hAnsi="Adobe نسخ Medium" w:cs="Traditional Arabic" w:hint="cs"/>
          <w:sz w:val="34"/>
          <w:szCs w:val="34"/>
          <w:rtl/>
        </w:rPr>
        <w:t>ِ</w:t>
      </w:r>
      <w:r w:rsidRPr="003170BE">
        <w:rPr>
          <w:rFonts w:ascii="(normal text)" w:hAnsi="(normal text)" w:cs="Traditional Arabic"/>
          <w:rtl/>
        </w:rPr>
        <w:t xml:space="preserve"> </w:t>
      </w:r>
      <w:r w:rsidRPr="003170BE">
        <w:rPr>
          <w:rFonts w:cs="Traditional Arabic"/>
          <w:sz w:val="28"/>
          <w:szCs w:val="28"/>
        </w:rPr>
        <w:sym w:font="HQPB4" w:char="F034"/>
      </w:r>
      <w:r w:rsidRPr="003170BE">
        <w:rPr>
          <w:rFonts w:ascii="(normal text)" w:hAnsi="(normal text)" w:cs="Traditional Arabic"/>
          <w:rtl/>
        </w:rPr>
        <w:t xml:space="preserve"> </w:t>
      </w:r>
      <w:r w:rsidRPr="003170BE">
        <w:rPr>
          <w:rFonts w:cs="Traditional Arabic"/>
          <w:sz w:val="28"/>
          <w:szCs w:val="28"/>
        </w:rPr>
        <w:sym w:font="HQPB2" w:char="F0BC"/>
      </w:r>
      <w:r w:rsidRPr="003170BE">
        <w:rPr>
          <w:rFonts w:cs="Traditional Arabic"/>
          <w:sz w:val="28"/>
          <w:szCs w:val="28"/>
        </w:rPr>
        <w:sym w:font="HQPB4" w:char="F0E7"/>
      </w:r>
      <w:r w:rsidRPr="003170BE">
        <w:rPr>
          <w:rFonts w:cs="Traditional Arabic"/>
          <w:sz w:val="28"/>
          <w:szCs w:val="28"/>
        </w:rPr>
        <w:sym w:font="HQPB2" w:char="F06D"/>
      </w:r>
      <w:r w:rsidRPr="003170BE">
        <w:rPr>
          <w:rFonts w:cs="Traditional Arabic"/>
          <w:sz w:val="28"/>
          <w:szCs w:val="28"/>
        </w:rPr>
        <w:sym w:font="HQPB4" w:char="F0AF"/>
      </w:r>
      <w:r w:rsidRPr="003170BE">
        <w:rPr>
          <w:rFonts w:cs="Traditional Arabic"/>
          <w:sz w:val="28"/>
          <w:szCs w:val="28"/>
        </w:rPr>
        <w:sym w:font="HQPB2" w:char="F052"/>
      </w:r>
      <w:r w:rsidRPr="003170BE">
        <w:rPr>
          <w:rFonts w:cs="Traditional Arabic"/>
          <w:sz w:val="28"/>
          <w:szCs w:val="28"/>
        </w:rPr>
        <w:sym w:font="HQPB4" w:char="F0CE"/>
      </w:r>
      <w:r w:rsidRPr="003170BE">
        <w:rPr>
          <w:rFonts w:cs="Traditional Arabic"/>
          <w:sz w:val="28"/>
          <w:szCs w:val="28"/>
        </w:rPr>
        <w:sym w:font="HQPB1" w:char="F029"/>
      </w:r>
      <w:r w:rsidRPr="003170BE">
        <w:rPr>
          <w:rFonts w:ascii="(normal text)" w:hAnsi="(normal text)" w:cs="Traditional Arabic"/>
          <w:rtl/>
        </w:rPr>
        <w:t xml:space="preserve"> </w:t>
      </w:r>
      <w:r w:rsidRPr="003170BE">
        <w:rPr>
          <w:rFonts w:cs="Traditional Arabic"/>
          <w:sz w:val="28"/>
          <w:szCs w:val="28"/>
        </w:rPr>
        <w:sym w:font="HQPB5" w:char="F075"/>
      </w:r>
      <w:r w:rsidRPr="003170BE">
        <w:rPr>
          <w:rFonts w:cs="Traditional Arabic"/>
          <w:sz w:val="28"/>
          <w:szCs w:val="28"/>
        </w:rPr>
        <w:sym w:font="HQPB2" w:char="F071"/>
      </w:r>
      <w:r w:rsidRPr="003170BE">
        <w:rPr>
          <w:rFonts w:cs="Traditional Arabic"/>
          <w:sz w:val="28"/>
          <w:szCs w:val="28"/>
        </w:rPr>
        <w:sym w:font="HQPB4" w:char="F0E8"/>
      </w:r>
      <w:r w:rsidRPr="003170BE">
        <w:rPr>
          <w:rFonts w:cs="Traditional Arabic"/>
          <w:sz w:val="28"/>
          <w:szCs w:val="28"/>
        </w:rPr>
        <w:sym w:font="HQPB2" w:char="F064"/>
      </w:r>
      <w:r w:rsidRPr="003170BE">
        <w:rPr>
          <w:rFonts w:ascii="(normal text)" w:hAnsi="(normal text)" w:cs="Traditional Arabic"/>
          <w:rtl/>
        </w:rPr>
        <w:t xml:space="preserve"> </w:t>
      </w:r>
      <w:r w:rsidRPr="003170BE">
        <w:rPr>
          <w:rFonts w:cs="Traditional Arabic"/>
          <w:sz w:val="28"/>
          <w:szCs w:val="28"/>
        </w:rPr>
        <w:sym w:font="HQPB4" w:char="F0DF"/>
      </w:r>
      <w:r w:rsidRPr="003170BE">
        <w:rPr>
          <w:rFonts w:cs="Traditional Arabic"/>
          <w:sz w:val="28"/>
          <w:szCs w:val="28"/>
        </w:rPr>
        <w:sym w:font="HQPB1" w:char="F0EC"/>
      </w:r>
      <w:r w:rsidRPr="003170BE">
        <w:rPr>
          <w:rFonts w:cs="Traditional Arabic"/>
          <w:sz w:val="28"/>
          <w:szCs w:val="28"/>
        </w:rPr>
        <w:sym w:font="HQPB2" w:char="F08A"/>
      </w:r>
      <w:r w:rsidRPr="003170BE">
        <w:rPr>
          <w:rFonts w:cs="Traditional Arabic"/>
          <w:sz w:val="28"/>
          <w:szCs w:val="28"/>
        </w:rPr>
        <w:sym w:font="HQPB4" w:char="F0CF"/>
      </w:r>
      <w:r w:rsidRPr="003170BE">
        <w:rPr>
          <w:rFonts w:cs="Traditional Arabic"/>
          <w:sz w:val="28"/>
          <w:szCs w:val="28"/>
        </w:rPr>
        <w:sym w:font="HQPB2" w:char="F04A"/>
      </w:r>
      <w:r w:rsidRPr="003170BE">
        <w:rPr>
          <w:rFonts w:cs="Traditional Arabic"/>
          <w:sz w:val="28"/>
          <w:szCs w:val="28"/>
        </w:rPr>
        <w:sym w:font="HQPB4" w:char="F0A1"/>
      </w:r>
      <w:r w:rsidRPr="003170BE">
        <w:rPr>
          <w:rFonts w:cs="Traditional Arabic"/>
          <w:sz w:val="28"/>
          <w:szCs w:val="28"/>
        </w:rPr>
        <w:sym w:font="HQPB1" w:char="F0A1"/>
      </w:r>
      <w:r w:rsidRPr="003170BE">
        <w:rPr>
          <w:rFonts w:cs="Traditional Arabic"/>
          <w:sz w:val="28"/>
          <w:szCs w:val="28"/>
        </w:rPr>
        <w:sym w:font="HQPB2" w:char="F039"/>
      </w:r>
      <w:r w:rsidRPr="003170BE">
        <w:rPr>
          <w:rFonts w:cs="Traditional Arabic"/>
          <w:sz w:val="28"/>
          <w:szCs w:val="28"/>
        </w:rPr>
        <w:sym w:font="HQPB5" w:char="F024"/>
      </w:r>
      <w:r w:rsidRPr="003170BE">
        <w:rPr>
          <w:rFonts w:cs="Traditional Arabic"/>
          <w:sz w:val="28"/>
          <w:szCs w:val="28"/>
        </w:rPr>
        <w:sym w:font="HQPB1" w:char="F023"/>
      </w:r>
      <w:r w:rsidRPr="003170BE">
        <w:rPr>
          <w:rFonts w:ascii="(normal text)" w:hAnsi="(normal text)" w:cs="Traditional Arabic"/>
          <w:rtl/>
        </w:rPr>
        <w:t xml:space="preserve"> </w:t>
      </w:r>
      <w:r w:rsidRPr="003170BE">
        <w:rPr>
          <w:rFonts w:cs="Traditional Arabic"/>
          <w:sz w:val="28"/>
          <w:szCs w:val="28"/>
        </w:rPr>
        <w:sym w:font="HQPB4" w:char="F0E3"/>
      </w:r>
      <w:r w:rsidRPr="003170BE">
        <w:rPr>
          <w:rFonts w:cs="Traditional Arabic"/>
          <w:sz w:val="28"/>
          <w:szCs w:val="28"/>
        </w:rPr>
        <w:sym w:font="HQPB2" w:char="F04C"/>
      </w:r>
      <w:r w:rsidRPr="003170BE">
        <w:rPr>
          <w:rFonts w:cs="Traditional Arabic"/>
          <w:sz w:val="28"/>
          <w:szCs w:val="28"/>
        </w:rPr>
        <w:sym w:font="HQPB2" w:char="F0EC"/>
      </w:r>
      <w:r w:rsidRPr="003170BE">
        <w:rPr>
          <w:rFonts w:cs="Traditional Arabic"/>
          <w:sz w:val="28"/>
          <w:szCs w:val="28"/>
        </w:rPr>
        <w:sym w:font="HQPB4" w:char="F0CE"/>
      </w:r>
      <w:r w:rsidRPr="003170BE">
        <w:rPr>
          <w:rFonts w:cs="Traditional Arabic"/>
          <w:sz w:val="28"/>
          <w:szCs w:val="28"/>
        </w:rPr>
        <w:sym w:font="HQPB2" w:char="F03D"/>
      </w:r>
      <w:r w:rsidRPr="003170BE">
        <w:rPr>
          <w:rFonts w:cs="Traditional Arabic"/>
          <w:sz w:val="28"/>
          <w:szCs w:val="28"/>
        </w:rPr>
        <w:sym w:font="HQPB5" w:char="F079"/>
      </w:r>
      <w:r w:rsidRPr="003170BE">
        <w:rPr>
          <w:rFonts w:cs="Traditional Arabic"/>
          <w:sz w:val="28"/>
          <w:szCs w:val="28"/>
        </w:rPr>
        <w:sym w:font="HQPB1" w:char="F0E8"/>
      </w:r>
      <w:r w:rsidRPr="003170BE">
        <w:rPr>
          <w:rFonts w:cs="Traditional Arabic"/>
          <w:sz w:val="28"/>
          <w:szCs w:val="28"/>
        </w:rPr>
        <w:sym w:font="HQPB4" w:char="F0F8"/>
      </w:r>
      <w:r w:rsidRPr="003170BE">
        <w:rPr>
          <w:rFonts w:cs="Traditional Arabic"/>
          <w:sz w:val="28"/>
          <w:szCs w:val="28"/>
        </w:rPr>
        <w:sym w:font="HQPB2" w:char="F039"/>
      </w:r>
      <w:r w:rsidRPr="003170BE">
        <w:rPr>
          <w:rFonts w:cs="Traditional Arabic"/>
          <w:sz w:val="28"/>
          <w:szCs w:val="28"/>
        </w:rPr>
        <w:sym w:font="HQPB5" w:char="F024"/>
      </w:r>
      <w:r w:rsidRPr="003170BE">
        <w:rPr>
          <w:rFonts w:cs="Traditional Arabic"/>
          <w:sz w:val="28"/>
          <w:szCs w:val="28"/>
        </w:rPr>
        <w:sym w:font="HQPB1" w:char="F023"/>
      </w:r>
    </w:p>
    <w:p w:rsidR="00343B61" w:rsidRPr="003170BE" w:rsidRDefault="00343B61" w:rsidP="00343B61">
      <w:pPr>
        <w:pStyle w:val="ListParagraph"/>
        <w:tabs>
          <w:tab w:val="right" w:pos="7037"/>
        </w:tabs>
        <w:autoSpaceDE w:val="0"/>
        <w:autoSpaceDN w:val="0"/>
        <w:bidi/>
        <w:adjustRightInd w:val="0"/>
        <w:spacing w:after="0" w:line="240" w:lineRule="auto"/>
        <w:ind w:left="17" w:right="900"/>
        <w:jc w:val="both"/>
        <w:rPr>
          <w:rFonts w:ascii="(normal text)" w:hAnsi="(normal text)" w:cs="Traditional Arabic"/>
          <w:rtl/>
        </w:rPr>
      </w:pPr>
      <w:r w:rsidRPr="003170BE">
        <w:rPr>
          <w:rFonts w:ascii="(normal text)" w:hAnsi="(normal text)" w:cs="Traditional Arabic"/>
          <w:rtl/>
        </w:rPr>
        <w:t xml:space="preserve">  </w:t>
      </w:r>
      <w:r w:rsidRPr="003170BE">
        <w:rPr>
          <w:rFonts w:ascii="(normal text)" w:hAnsi="(normal text)" w:cs="Traditional Arabic" w:hint="cs"/>
          <w:rtl/>
        </w:rPr>
        <w:t xml:space="preserve">( ق.س: </w:t>
      </w:r>
      <w:r w:rsidRPr="003170BE">
        <w:rPr>
          <w:rFonts w:ascii="Arial Rounded MT Bold" w:hAnsi="Arial Rounded MT Bold" w:cs="Traditional Arabic" w:hint="cs"/>
          <w:rtl/>
        </w:rPr>
        <w:t>الأنفال</w:t>
      </w:r>
      <w:r w:rsidRPr="003170BE">
        <w:rPr>
          <w:rFonts w:ascii="(normal text)" w:hAnsi="(normal text)" w:cs="Traditional Arabic" w:hint="cs"/>
          <w:rtl/>
        </w:rPr>
        <w:t xml:space="preserve"> / 8: 61 )</w:t>
      </w:r>
      <w:r w:rsidRPr="003170BE">
        <w:rPr>
          <w:rFonts w:ascii="(normal text)" w:hAnsi="(normal text)" w:cs="Traditional Arabic"/>
          <w:rtl/>
        </w:rPr>
        <w:t xml:space="preserve">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“Dan jika mereka condong kepada perdamaian, Maka condonglah kepadanya dan bertawakkallah kepada Allah. Sesungguhnya Dialah yang Maha mendengar lagi Maha mengetahui.”</w:t>
      </w:r>
      <w:r w:rsidRPr="00910CE3">
        <w:rPr>
          <w:rStyle w:val="FootnoteReference"/>
          <w:rFonts w:asciiTheme="majorBidi" w:hAnsiTheme="majorBidi" w:cstheme="majorBidi"/>
          <w:i/>
          <w:iCs/>
          <w:sz w:val="24"/>
          <w:szCs w:val="24"/>
        </w:rPr>
        <w:footnoteReference w:id="190"/>
      </w:r>
      <w:r w:rsidRPr="00910CE3">
        <w:rPr>
          <w:rFonts w:asciiTheme="majorBidi" w:hAnsiTheme="majorBidi" w:cstheme="majorBidi"/>
          <w:sz w:val="24"/>
          <w:szCs w:val="24"/>
        </w:rPr>
        <w:t xml:space="preserve"> ( QS.Al-Anfal [8]: 61)</w:t>
      </w:r>
    </w:p>
    <w:p w:rsidR="00343B61" w:rsidRPr="00910CE3" w:rsidRDefault="00343B61" w:rsidP="00343B61">
      <w:pPr>
        <w:pStyle w:val="ListParagraph"/>
        <w:tabs>
          <w:tab w:val="left" w:pos="7920"/>
        </w:tabs>
        <w:autoSpaceDE w:val="0"/>
        <w:autoSpaceDN w:val="0"/>
        <w:adjustRightInd w:val="0"/>
        <w:spacing w:after="0" w:line="360" w:lineRule="auto"/>
        <w:ind w:left="900" w:right="17"/>
        <w:jc w:val="both"/>
        <w:rPr>
          <w:rFonts w:asciiTheme="majorBidi" w:hAnsiTheme="majorBidi" w:cstheme="majorBidi"/>
          <w:sz w:val="24"/>
          <w:szCs w:val="24"/>
        </w:rPr>
      </w:pPr>
    </w:p>
    <w:p w:rsidR="00343B61" w:rsidRPr="00910CE3" w:rsidRDefault="00343B61" w:rsidP="002C0A33">
      <w:pPr>
        <w:pStyle w:val="ListParagraph"/>
        <w:numPr>
          <w:ilvl w:val="0"/>
          <w:numId w:val="17"/>
        </w:numPr>
        <w:tabs>
          <w:tab w:val="left" w:pos="7920"/>
        </w:tabs>
        <w:autoSpaceDE w:val="0"/>
        <w:autoSpaceDN w:val="0"/>
        <w:adjustRightInd w:val="0"/>
        <w:spacing w:after="0" w:line="360" w:lineRule="auto"/>
        <w:ind w:left="900" w:right="17" w:hanging="270"/>
        <w:jc w:val="both"/>
        <w:rPr>
          <w:rFonts w:asciiTheme="majorBidi" w:hAnsiTheme="majorBidi" w:cstheme="majorBidi"/>
          <w:sz w:val="24"/>
          <w:szCs w:val="24"/>
        </w:rPr>
      </w:pPr>
      <w:r w:rsidRPr="00910CE3">
        <w:rPr>
          <w:rFonts w:asciiTheme="majorBidi" w:hAnsiTheme="majorBidi" w:cstheme="majorBidi"/>
          <w:sz w:val="24"/>
          <w:szCs w:val="24"/>
        </w:rPr>
        <w:t xml:space="preserve">Dasar </w:t>
      </w:r>
      <w:r>
        <w:rPr>
          <w:rFonts w:asciiTheme="majorBidi" w:hAnsiTheme="majorBidi" w:cstheme="majorBidi"/>
          <w:i/>
          <w:iCs/>
          <w:sz w:val="24"/>
          <w:szCs w:val="24"/>
        </w:rPr>
        <w:t>siyāsah syar‘iyyah</w:t>
      </w:r>
      <w:r w:rsidRPr="00910CE3">
        <w:rPr>
          <w:rFonts w:asciiTheme="majorBidi" w:hAnsiTheme="majorBidi" w:cstheme="majorBidi"/>
          <w:sz w:val="24"/>
          <w:szCs w:val="24"/>
        </w:rPr>
        <w:t>dari As-Sunnah.</w:t>
      </w:r>
    </w:p>
    <w:p w:rsidR="00343B61" w:rsidRPr="00910CE3" w:rsidRDefault="00343B61" w:rsidP="002C0A33">
      <w:pPr>
        <w:pStyle w:val="ListParagraph"/>
        <w:numPr>
          <w:ilvl w:val="0"/>
          <w:numId w:val="19"/>
        </w:numPr>
        <w:tabs>
          <w:tab w:val="left" w:pos="7920"/>
        </w:tabs>
        <w:autoSpaceDE w:val="0"/>
        <w:autoSpaceDN w:val="0"/>
        <w:adjustRightInd w:val="0"/>
        <w:spacing w:after="0" w:line="360" w:lineRule="auto"/>
        <w:ind w:left="1170" w:right="17" w:hanging="270"/>
        <w:jc w:val="both"/>
        <w:rPr>
          <w:rFonts w:asciiTheme="majorBidi" w:hAnsiTheme="majorBidi" w:cstheme="majorBidi"/>
          <w:sz w:val="24"/>
          <w:szCs w:val="24"/>
        </w:rPr>
      </w:pPr>
      <w:r w:rsidRPr="00910CE3">
        <w:rPr>
          <w:rFonts w:asciiTheme="majorBidi" w:hAnsiTheme="majorBidi" w:cstheme="majorBidi"/>
          <w:sz w:val="24"/>
          <w:szCs w:val="24"/>
        </w:rPr>
        <w:t>Keharusan mengangkat pemimpin.</w:t>
      </w:r>
    </w:p>
    <w:p w:rsidR="00343B61" w:rsidRPr="00D40E3C" w:rsidRDefault="00343B61" w:rsidP="00343B61">
      <w:pPr>
        <w:pStyle w:val="ListParagraph"/>
        <w:tabs>
          <w:tab w:val="right" w:pos="6767"/>
        </w:tabs>
        <w:autoSpaceDE w:val="0"/>
        <w:autoSpaceDN w:val="0"/>
        <w:bidi/>
        <w:adjustRightInd w:val="0"/>
        <w:spacing w:after="0" w:line="240" w:lineRule="auto"/>
        <w:ind w:left="107" w:right="1170"/>
        <w:jc w:val="both"/>
        <w:rPr>
          <w:rFonts w:ascii="Adobe نسخ Medium" w:hAnsi="Adobe نسخ Medium" w:cs="Adobe نسخ Medium"/>
          <w:sz w:val="32"/>
          <w:szCs w:val="32"/>
        </w:rPr>
      </w:pPr>
      <w:r w:rsidRPr="00CF6A80">
        <w:rPr>
          <w:rFonts w:ascii="Adobe نسخ Medium" w:hAnsi="Adobe نسخ Medium" w:cs="Traditional Arabic"/>
          <w:sz w:val="32"/>
          <w:szCs w:val="32"/>
          <w:rtl/>
        </w:rPr>
        <w:t>عن أبى سعيد الخدرى أن رسول الله -صلى الله عليه وسلم- قال « إذا خرج ثلاثة فى سفر فليؤمروا أحدهم</w:t>
      </w:r>
      <w:r w:rsidRPr="00CF6A80">
        <w:rPr>
          <w:rFonts w:ascii="Adobe نسخ Medium" w:hAnsi="Adobe نسخ Medium" w:cs="Traditional Arabic"/>
          <w:b/>
          <w:bCs/>
          <w:sz w:val="32"/>
          <w:szCs w:val="32"/>
          <w:rtl/>
        </w:rPr>
        <w:t xml:space="preserve"> »</w:t>
      </w:r>
      <w:r w:rsidRPr="00CF6A80">
        <w:rPr>
          <w:rFonts w:ascii="Adobe نسخ Medium" w:hAnsi="Adobe نسخ Medium" w:cs="Traditional Arabic"/>
          <w:sz w:val="32"/>
          <w:szCs w:val="32"/>
          <w:rtl/>
        </w:rPr>
        <w:t xml:space="preserve"> ( رواه أبو داود)</w:t>
      </w:r>
      <w:r w:rsidRPr="00D40E3C">
        <w:rPr>
          <w:rStyle w:val="FootnoteReference"/>
          <w:rFonts w:ascii="Adobe نسخ Medium" w:hAnsi="Adobe نسخ Medium" w:cs="Adobe نسخ Medium"/>
          <w:sz w:val="32"/>
          <w:szCs w:val="32"/>
          <w:rtl/>
        </w:rPr>
        <w:footnoteReference w:id="191"/>
      </w:r>
    </w:p>
    <w:p w:rsidR="00343B61" w:rsidRDefault="00343B61" w:rsidP="00343B61">
      <w:pPr>
        <w:pStyle w:val="ListParagraph"/>
        <w:tabs>
          <w:tab w:val="left" w:pos="7920"/>
        </w:tabs>
        <w:autoSpaceDE w:val="0"/>
        <w:autoSpaceDN w:val="0"/>
        <w:adjustRightInd w:val="0"/>
        <w:spacing w:after="0" w:line="240" w:lineRule="auto"/>
        <w:ind w:left="1080" w:right="17"/>
        <w:jc w:val="both"/>
        <w:rPr>
          <w:rFonts w:asciiTheme="majorBidi" w:hAnsiTheme="majorBidi" w:cstheme="majorBidi"/>
          <w:sz w:val="24"/>
          <w:szCs w:val="24"/>
        </w:rPr>
      </w:pPr>
      <w:r w:rsidRPr="00910CE3">
        <w:rPr>
          <w:rFonts w:asciiTheme="majorBidi" w:hAnsiTheme="majorBidi" w:cstheme="majorBidi"/>
          <w:sz w:val="24"/>
          <w:szCs w:val="24"/>
        </w:rPr>
        <w:t>Artinya : “</w:t>
      </w:r>
      <w:r w:rsidRPr="00910CE3">
        <w:rPr>
          <w:rFonts w:asciiTheme="majorBidi" w:hAnsiTheme="majorBidi" w:cstheme="majorBidi"/>
          <w:i/>
          <w:iCs/>
          <w:sz w:val="24"/>
          <w:szCs w:val="24"/>
        </w:rPr>
        <w:t>Apabila tiga orang keluar untuk bepergian, maka hendaklah salah seorang diantara mereka menjadi pemimpin mereka</w:t>
      </w:r>
      <w:r w:rsidRPr="00910CE3">
        <w:rPr>
          <w:rFonts w:asciiTheme="majorBidi" w:hAnsiTheme="majorBidi" w:cstheme="majorBidi"/>
          <w:sz w:val="24"/>
          <w:szCs w:val="24"/>
        </w:rPr>
        <w:t>” ( HR. Abu Daud)</w:t>
      </w:r>
    </w:p>
    <w:p w:rsidR="00343B61" w:rsidRPr="00C136ED" w:rsidRDefault="00343B61" w:rsidP="00343B61">
      <w:pPr>
        <w:pStyle w:val="ListParagraph"/>
        <w:tabs>
          <w:tab w:val="left" w:pos="7920"/>
        </w:tabs>
        <w:autoSpaceDE w:val="0"/>
        <w:autoSpaceDN w:val="0"/>
        <w:adjustRightInd w:val="0"/>
        <w:spacing w:after="0" w:line="240" w:lineRule="auto"/>
        <w:ind w:left="1080" w:right="17"/>
        <w:jc w:val="both"/>
        <w:rPr>
          <w:rFonts w:asciiTheme="majorBidi" w:hAnsiTheme="majorBidi" w:cstheme="majorBidi"/>
          <w:sz w:val="24"/>
          <w:szCs w:val="24"/>
        </w:rPr>
      </w:pPr>
    </w:p>
    <w:p w:rsidR="00343B61" w:rsidRPr="00910CE3" w:rsidRDefault="00343B61" w:rsidP="002C0A33">
      <w:pPr>
        <w:pStyle w:val="ListParagraph"/>
        <w:numPr>
          <w:ilvl w:val="0"/>
          <w:numId w:val="19"/>
        </w:numPr>
        <w:tabs>
          <w:tab w:val="left" w:pos="7920"/>
        </w:tabs>
        <w:autoSpaceDE w:val="0"/>
        <w:autoSpaceDN w:val="0"/>
        <w:adjustRightInd w:val="0"/>
        <w:spacing w:after="0" w:line="360" w:lineRule="auto"/>
        <w:ind w:left="1170" w:right="17" w:hanging="270"/>
        <w:jc w:val="both"/>
        <w:rPr>
          <w:rFonts w:asciiTheme="majorBidi" w:hAnsiTheme="majorBidi" w:cstheme="majorBidi"/>
          <w:sz w:val="24"/>
          <w:szCs w:val="24"/>
        </w:rPr>
      </w:pPr>
      <w:r w:rsidRPr="00910CE3">
        <w:rPr>
          <w:rFonts w:asciiTheme="majorBidi" w:hAnsiTheme="majorBidi" w:cstheme="majorBidi"/>
          <w:sz w:val="24"/>
          <w:szCs w:val="24"/>
        </w:rPr>
        <w:t>Kemestian pemimpin bertanggung jawab atas kepemimpinannya.</w:t>
      </w:r>
    </w:p>
    <w:p w:rsidR="00343B61" w:rsidRPr="00D40E3C" w:rsidRDefault="00343B61" w:rsidP="00343B61">
      <w:pPr>
        <w:pStyle w:val="ListParagraph"/>
        <w:autoSpaceDE w:val="0"/>
        <w:autoSpaceDN w:val="0"/>
        <w:bidi/>
        <w:adjustRightInd w:val="0"/>
        <w:spacing w:after="0" w:line="240" w:lineRule="auto"/>
        <w:ind w:left="17" w:right="1170" w:firstLine="90"/>
        <w:jc w:val="both"/>
        <w:rPr>
          <w:rFonts w:ascii="Adobe نسخ Medium" w:hAnsi="Adobe نسخ Medium" w:cs="Adobe نسخ Medium"/>
          <w:sz w:val="32"/>
          <w:szCs w:val="32"/>
        </w:rPr>
      </w:pPr>
      <w:r w:rsidRPr="000C5F33">
        <w:rPr>
          <w:rFonts w:ascii="Adobe نسخ Medium" w:hAnsi="Adobe نسخ Medium" w:cs="Traditional Arabic"/>
          <w:sz w:val="32"/>
          <w:szCs w:val="32"/>
          <w:rtl/>
        </w:rPr>
        <w:t>كُلُّكُمْ رَاعٍ وَمَسْئُولٌ عَنْ رَعِيَّتِهِ ، فَالإِمَامُ رَاعٍ وَهُوَ مَسْئُولٌ عَنْ رَعِيَّتِهِ ، وَالرَّجُلُ رَاعٍ عَلَى أَهْلِهِ وَهُوَ مَسْئُولٌ عَنْ رَعِيَّتِهِ</w:t>
      </w:r>
      <w:r w:rsidRPr="00D40E3C">
        <w:rPr>
          <w:rFonts w:ascii="Adobe نسخ Medium" w:hAnsi="Adobe نسخ Medium" w:cs="Adobe نسخ Medium"/>
          <w:sz w:val="32"/>
          <w:szCs w:val="32"/>
          <w:rtl/>
        </w:rPr>
        <w:t xml:space="preserve"> </w:t>
      </w:r>
      <w:r w:rsidRPr="000C5F33">
        <w:rPr>
          <w:rFonts w:ascii="Adobe نسخ Medium" w:hAnsi="Adobe نسخ Medium" w:cs="Traditional Arabic"/>
          <w:sz w:val="32"/>
          <w:szCs w:val="32"/>
          <w:rtl/>
        </w:rPr>
        <w:t>( رواه البخاري و مسلم )</w:t>
      </w:r>
      <w:r w:rsidRPr="00D40E3C">
        <w:rPr>
          <w:rStyle w:val="FootnoteReference"/>
          <w:rFonts w:ascii="Adobe نسخ Medium" w:hAnsi="Adobe نسخ Medium" w:cs="Adobe نسخ Medium"/>
          <w:sz w:val="32"/>
          <w:szCs w:val="32"/>
          <w:rtl/>
        </w:rPr>
        <w:footnoteReference w:id="192"/>
      </w:r>
    </w:p>
    <w:p w:rsidR="00343B61" w:rsidRDefault="00343B61" w:rsidP="00343B61">
      <w:pPr>
        <w:pStyle w:val="ListParagraph"/>
        <w:tabs>
          <w:tab w:val="left" w:pos="7920"/>
        </w:tabs>
        <w:autoSpaceDE w:val="0"/>
        <w:autoSpaceDN w:val="0"/>
        <w:adjustRightInd w:val="0"/>
        <w:spacing w:after="0" w:line="240" w:lineRule="auto"/>
        <w:ind w:left="1170" w:right="17"/>
        <w:jc w:val="both"/>
        <w:rPr>
          <w:rFonts w:asciiTheme="majorBidi" w:hAnsiTheme="majorBidi" w:cstheme="majorBidi"/>
          <w:sz w:val="24"/>
          <w:szCs w:val="24"/>
        </w:rPr>
      </w:pPr>
      <w:r w:rsidRPr="00910CE3">
        <w:rPr>
          <w:rFonts w:asciiTheme="majorBidi" w:hAnsiTheme="majorBidi" w:cstheme="majorBidi"/>
          <w:sz w:val="24"/>
          <w:szCs w:val="24"/>
        </w:rPr>
        <w:lastRenderedPageBreak/>
        <w:t>Artinya: “</w:t>
      </w:r>
      <w:r w:rsidRPr="00910CE3">
        <w:rPr>
          <w:rFonts w:asciiTheme="majorBidi" w:hAnsiTheme="majorBidi" w:cstheme="majorBidi"/>
          <w:i/>
          <w:iCs/>
          <w:sz w:val="24"/>
          <w:szCs w:val="24"/>
        </w:rPr>
        <w:t>Setiap kamu adalah pemimpin dan setiap itu bertanggung jawab atas yang dipimpinnya. Seorang imam menjadi pemimpin bagi rakyat dan bertanggung jawab atas rakyatnya, dan suami pemimpin dan bertanggung jawab atas rumah tannganya</w:t>
      </w:r>
      <w:r w:rsidRPr="00910CE3">
        <w:rPr>
          <w:rFonts w:asciiTheme="majorBidi" w:hAnsiTheme="majorBidi" w:cstheme="majorBidi"/>
          <w:sz w:val="24"/>
          <w:szCs w:val="24"/>
        </w:rPr>
        <w:t>”( HR. Muttafaqun ‘Alaih)</w:t>
      </w:r>
    </w:p>
    <w:p w:rsidR="00343B61" w:rsidRPr="00C136ED" w:rsidRDefault="00343B61" w:rsidP="00343B61">
      <w:pPr>
        <w:pStyle w:val="ListParagraph"/>
        <w:tabs>
          <w:tab w:val="left" w:pos="7920"/>
        </w:tabs>
        <w:autoSpaceDE w:val="0"/>
        <w:autoSpaceDN w:val="0"/>
        <w:adjustRightInd w:val="0"/>
        <w:spacing w:after="0" w:line="240" w:lineRule="auto"/>
        <w:ind w:left="1170" w:right="17"/>
        <w:jc w:val="both"/>
        <w:rPr>
          <w:rFonts w:asciiTheme="majorBidi" w:hAnsiTheme="majorBidi" w:cstheme="majorBidi"/>
          <w:sz w:val="24"/>
          <w:szCs w:val="24"/>
        </w:rPr>
      </w:pPr>
    </w:p>
    <w:p w:rsidR="00343B61" w:rsidRPr="00910CE3" w:rsidRDefault="00343B61" w:rsidP="002C0A33">
      <w:pPr>
        <w:pStyle w:val="ListParagraph"/>
        <w:numPr>
          <w:ilvl w:val="0"/>
          <w:numId w:val="19"/>
        </w:numPr>
        <w:tabs>
          <w:tab w:val="left" w:pos="7920"/>
        </w:tabs>
        <w:autoSpaceDE w:val="0"/>
        <w:autoSpaceDN w:val="0"/>
        <w:adjustRightInd w:val="0"/>
        <w:spacing w:after="0" w:line="360" w:lineRule="auto"/>
        <w:ind w:left="1260" w:right="17"/>
        <w:jc w:val="both"/>
        <w:rPr>
          <w:rFonts w:asciiTheme="majorBidi" w:hAnsiTheme="majorBidi" w:cstheme="majorBidi"/>
          <w:sz w:val="24"/>
          <w:szCs w:val="24"/>
        </w:rPr>
      </w:pPr>
      <w:r w:rsidRPr="00910CE3">
        <w:rPr>
          <w:rFonts w:asciiTheme="majorBidi" w:hAnsiTheme="majorBidi" w:cstheme="majorBidi"/>
          <w:sz w:val="24"/>
          <w:szCs w:val="24"/>
        </w:rPr>
        <w:t>Anjuran untuk mengangkat pejabat yang paling maslahat untuk kebaikan rakyat.</w:t>
      </w:r>
    </w:p>
    <w:p w:rsidR="00343B61" w:rsidRPr="00910CE3" w:rsidRDefault="00343B61" w:rsidP="00343B61">
      <w:pPr>
        <w:pStyle w:val="ListParagraph"/>
        <w:tabs>
          <w:tab w:val="right" w:pos="6677"/>
        </w:tabs>
        <w:autoSpaceDE w:val="0"/>
        <w:autoSpaceDN w:val="0"/>
        <w:bidi/>
        <w:adjustRightInd w:val="0"/>
        <w:spacing w:after="0" w:line="240" w:lineRule="auto"/>
        <w:ind w:left="17" w:right="1260"/>
        <w:jc w:val="both"/>
        <w:rPr>
          <w:rFonts w:asciiTheme="majorBidi" w:hAnsiTheme="majorBidi" w:cstheme="majorBidi"/>
          <w:sz w:val="28"/>
          <w:szCs w:val="28"/>
        </w:rPr>
      </w:pPr>
      <w:r w:rsidRPr="000C5F33">
        <w:rPr>
          <w:rFonts w:ascii="Adobe نسخ Medium" w:hAnsi="Adobe نسخ Medium" w:cs="Traditional Arabic"/>
          <w:sz w:val="32"/>
          <w:szCs w:val="32"/>
          <w:rtl/>
        </w:rPr>
        <w:t>"مَنْ وَلِيَ مِنْ أَمْرِ الْمُسْلِمِينَ شَيْئًا</w:t>
      </w:r>
      <w:r w:rsidRPr="000C5F33">
        <w:rPr>
          <w:rFonts w:ascii="Adobe نسخ Medium" w:hAnsi="Adobe نسخ Medium" w:cs="Traditional Arabic"/>
          <w:sz w:val="32"/>
          <w:szCs w:val="32"/>
        </w:rPr>
        <w:t xml:space="preserve"> </w:t>
      </w:r>
      <w:r w:rsidRPr="000C5F33">
        <w:rPr>
          <w:rFonts w:ascii="Adobe نسخ Medium" w:hAnsi="Adobe نسخ Medium" w:cs="Traditional Arabic"/>
          <w:sz w:val="32"/>
          <w:szCs w:val="32"/>
          <w:rtl/>
        </w:rPr>
        <w:t xml:space="preserve"> فولى رجلا وهو يجد من هو أصلح للمسلمين منه فقد خان الله ورسوله " ( رواه الحاكم فى صحيحه )</w:t>
      </w:r>
      <w:r w:rsidRPr="00910CE3">
        <w:rPr>
          <w:rStyle w:val="FootnoteReference"/>
          <w:rFonts w:ascii="Arial" w:hAnsi="Arial"/>
          <w:b/>
          <w:bCs/>
          <w:sz w:val="28"/>
          <w:szCs w:val="28"/>
          <w:rtl/>
        </w:rPr>
        <w:footnoteReference w:id="193"/>
      </w:r>
    </w:p>
    <w:p w:rsidR="00343B61" w:rsidRPr="00910CE3" w:rsidRDefault="00343B61" w:rsidP="00343B61">
      <w:pPr>
        <w:tabs>
          <w:tab w:val="left" w:pos="7920"/>
        </w:tabs>
        <w:autoSpaceDE w:val="0"/>
        <w:autoSpaceDN w:val="0"/>
        <w:adjustRightInd w:val="0"/>
        <w:spacing w:after="0" w:line="240" w:lineRule="auto"/>
        <w:ind w:left="1260" w:right="17"/>
        <w:jc w:val="both"/>
        <w:rPr>
          <w:rFonts w:asciiTheme="majorBidi" w:hAnsiTheme="majorBidi" w:cstheme="majorBidi"/>
          <w:sz w:val="24"/>
          <w:szCs w:val="24"/>
        </w:rPr>
      </w:pPr>
      <w:r w:rsidRPr="00910CE3">
        <w:rPr>
          <w:rFonts w:asciiTheme="majorBidi" w:hAnsiTheme="majorBidi" w:cstheme="majorBidi"/>
          <w:sz w:val="24"/>
          <w:szCs w:val="24"/>
        </w:rPr>
        <w:t xml:space="preserve">Artinya: “ </w:t>
      </w:r>
      <w:r w:rsidRPr="00910CE3">
        <w:rPr>
          <w:rFonts w:asciiTheme="majorBidi" w:hAnsiTheme="majorBidi" w:cstheme="majorBidi"/>
          <w:i/>
          <w:iCs/>
          <w:sz w:val="24"/>
          <w:szCs w:val="24"/>
        </w:rPr>
        <w:t xml:space="preserve">Barangsiapa yang mengangkat seorang pemimipin untuk mengurusi perkara kaum Muslimin, sementara ada yang lebih baik ( maslahat)bagi kaum muslimin ( daripada orang yang diangkatnya), maka dia telah berkhianat kepada Allah dan Rasul-Nya </w:t>
      </w:r>
      <w:r w:rsidRPr="00910CE3">
        <w:rPr>
          <w:rFonts w:asciiTheme="majorBidi" w:hAnsiTheme="majorBidi" w:cstheme="majorBidi"/>
          <w:sz w:val="24"/>
          <w:szCs w:val="24"/>
        </w:rPr>
        <w:t>.”(HR. Muslim)</w:t>
      </w:r>
    </w:p>
    <w:p w:rsidR="00343B61" w:rsidRPr="00910CE3" w:rsidRDefault="00343B61" w:rsidP="002C0A33">
      <w:pPr>
        <w:pStyle w:val="ListParagraph"/>
        <w:numPr>
          <w:ilvl w:val="0"/>
          <w:numId w:val="19"/>
        </w:numPr>
        <w:tabs>
          <w:tab w:val="left" w:pos="7920"/>
        </w:tabs>
        <w:autoSpaceDE w:val="0"/>
        <w:autoSpaceDN w:val="0"/>
        <w:adjustRightInd w:val="0"/>
        <w:spacing w:after="0" w:line="360" w:lineRule="auto"/>
        <w:ind w:left="1260" w:right="17"/>
        <w:jc w:val="both"/>
        <w:rPr>
          <w:rFonts w:asciiTheme="majorBidi" w:hAnsiTheme="majorBidi" w:cstheme="majorBidi"/>
          <w:sz w:val="24"/>
          <w:szCs w:val="24"/>
        </w:rPr>
      </w:pPr>
      <w:r w:rsidRPr="00910CE3">
        <w:rPr>
          <w:rFonts w:asciiTheme="majorBidi" w:hAnsiTheme="majorBidi" w:cstheme="majorBidi"/>
          <w:sz w:val="24"/>
          <w:szCs w:val="24"/>
        </w:rPr>
        <w:t>Anjuran berlaku adil bagi pemimpin kepada rakyat yang di pimpinnya.</w:t>
      </w:r>
    </w:p>
    <w:p w:rsidR="00343B61" w:rsidRPr="009313FB" w:rsidRDefault="00343B61" w:rsidP="00343B61">
      <w:pPr>
        <w:bidi/>
        <w:spacing w:after="0" w:line="240" w:lineRule="auto"/>
        <w:ind w:right="1350" w:firstLine="17"/>
        <w:jc w:val="both"/>
        <w:rPr>
          <w:rFonts w:ascii="Adobe نسخ Medium" w:hAnsi="Adobe نسخ Medium" w:cs="Traditional Arabic"/>
          <w:sz w:val="32"/>
          <w:szCs w:val="32"/>
        </w:rPr>
      </w:pPr>
      <w:r w:rsidRPr="009313FB">
        <w:rPr>
          <w:rFonts w:ascii="Adobe نسخ Medium" w:hAnsi="Adobe نسخ Medium" w:cs="Traditional Arabic"/>
          <w:sz w:val="32"/>
          <w:szCs w:val="32"/>
          <w:rtl/>
        </w:rPr>
        <w:t>"عَنْ أَبِي هُرَيْرَةَ عَنْ النَّبِيِّ صَلَّى اللَّهُ عَلَيْهِ وَسَلَّمَ قَالَ سَبْعَةٌ يُظِلُّهُمْ اللَّهُ فِي ظِلِّهِ يَوْمَ لَا ظِلَّ إِلَّا ظِلُّهُ الْإِمَامُ الْعَادِلُ وَشَابٌّ نَشَأَ فِي عِبَادَةِ رَبِّهِ وَرَجُلٌ قَلْبُهُ مُعَلَّقٌ فِي الْمَسَاجِدِ وَرَجُلَانِ تَحَابَّا فِي اللَّهِ اجْتَمَعَا عَلَيْهِ وَتَفَرَّقَا عَلَيْهِ وَرَجُلٌ طَلَبَتْهُ امْرَأَةٌ ذَاتُ مَنْصِبٍ وَجَمَالٍ فَقَالَ إِنِّي أَخَافُ اللَّهَ وَرَجُلٌ تَصَدَّقَ أَخْفَى حَتَّى لَا تَعْلَمَ شِمَالُهُ مَا تُنْفِقُ يَمِينُهُ وَرَجُلٌ ذَكَرَ اللَّهَ خَالِيًا فَفَاضَتْ عَيْنَاهُ</w:t>
      </w:r>
      <w:r w:rsidRPr="009313FB">
        <w:rPr>
          <w:rStyle w:val="FootnoteReference"/>
          <w:rFonts w:ascii="Adobe نسخ Medium" w:hAnsi="Adobe نسخ Medium" w:cs="Traditional Arabic"/>
          <w:sz w:val="32"/>
          <w:szCs w:val="32"/>
          <w:rtl/>
        </w:rPr>
        <w:footnoteReference w:id="194"/>
      </w:r>
      <w:r w:rsidRPr="009313FB">
        <w:rPr>
          <w:rFonts w:ascii="Adobe نسخ Medium" w:hAnsi="Adobe نسخ Medium" w:cs="Traditional Arabic"/>
          <w:sz w:val="32"/>
          <w:szCs w:val="32"/>
          <w:rtl/>
        </w:rPr>
        <w:t xml:space="preserve"> ( رواه البخاري ومسلم )</w:t>
      </w:r>
    </w:p>
    <w:p w:rsidR="00343B61" w:rsidRPr="00910CE3" w:rsidRDefault="00343B61" w:rsidP="00343B61">
      <w:pPr>
        <w:spacing w:after="0" w:line="240" w:lineRule="auto"/>
        <w:ind w:left="1260"/>
        <w:jc w:val="both"/>
        <w:rPr>
          <w:rFonts w:ascii="Times New Roman" w:hAnsi="Times New Roman" w:cs="Times New Roman"/>
          <w:sz w:val="24"/>
          <w:szCs w:val="24"/>
        </w:rPr>
      </w:pPr>
      <w:r w:rsidRPr="00910CE3">
        <w:rPr>
          <w:rFonts w:ascii="Times New Roman" w:hAnsi="Times New Roman" w:cs="Times New Roman"/>
          <w:sz w:val="24"/>
          <w:szCs w:val="24"/>
        </w:rPr>
        <w:t xml:space="preserve">Artinya : </w:t>
      </w:r>
      <w:r w:rsidRPr="00910CE3">
        <w:rPr>
          <w:rFonts w:ascii="Times New Roman" w:hAnsi="Times New Roman" w:cs="Times New Roman"/>
          <w:i/>
          <w:iCs/>
          <w:sz w:val="24"/>
          <w:szCs w:val="24"/>
        </w:rPr>
        <w:t xml:space="preserve">Dari Abu Hurairah ra., dari Nabi Saw., beliau bersabda : “Ada tujuh golongan yang akan mendapat naungan Allah pada hari yang tiada naungan kecuali naungan-Nya, yaitu : Pemimpin yang adil, Pemuda yang senantiasa beribadah kepada Allah Ta’ala, Seseorang yang hatinya senantiasa digantungkan (dipertautkan)” dengan masjid, Dua orang saling mencintai karena Allah, yang keduanya berkumpul dan berpisah karena-Nya. Seorang laki-laki yang ketika diajak [dirayu] oleh seorang wanita bangsawan yang cantik lalu ia menjawab :”Sesungguhnya saya takut kepada </w:t>
      </w:r>
      <w:r w:rsidRPr="00910CE3">
        <w:rPr>
          <w:rFonts w:ascii="Times New Roman" w:hAnsi="Times New Roman" w:cs="Times New Roman"/>
          <w:i/>
          <w:iCs/>
          <w:sz w:val="24"/>
          <w:szCs w:val="24"/>
        </w:rPr>
        <w:lastRenderedPageBreak/>
        <w:t xml:space="preserve">Allah.”Seorang yang mengeluarkan sedekah sedang ia merahasiakanny, sampai-sampai tangan kirinya tidak mengetahui apa yang diberikan oleh tangan kanannya dan seseorang yang mengingat Allah di tempat yang sepi sampai meneteskan air mata.”  </w:t>
      </w:r>
      <w:r w:rsidRPr="00910CE3">
        <w:rPr>
          <w:rFonts w:ascii="Times New Roman" w:hAnsi="Times New Roman" w:cs="Times New Roman"/>
          <w:sz w:val="24"/>
          <w:szCs w:val="24"/>
        </w:rPr>
        <w:t>( HR. Bukhari dan Muslim)</w:t>
      </w:r>
    </w:p>
    <w:p w:rsidR="00343B61" w:rsidRPr="00910CE3" w:rsidRDefault="00343B61" w:rsidP="00343B61">
      <w:pPr>
        <w:spacing w:after="0" w:line="360" w:lineRule="auto"/>
        <w:ind w:left="1260"/>
        <w:jc w:val="both"/>
        <w:rPr>
          <w:rFonts w:ascii="Times New Roman" w:hAnsi="Times New Roman" w:cs="Times New Roman"/>
          <w:i/>
          <w:iCs/>
          <w:sz w:val="24"/>
          <w:szCs w:val="24"/>
        </w:rPr>
      </w:pPr>
    </w:p>
    <w:p w:rsidR="00343B61" w:rsidRPr="00910CE3" w:rsidRDefault="00343B61" w:rsidP="002C0A33">
      <w:pPr>
        <w:pStyle w:val="ListParagraph"/>
        <w:numPr>
          <w:ilvl w:val="0"/>
          <w:numId w:val="19"/>
        </w:numPr>
        <w:spacing w:after="0" w:line="360" w:lineRule="auto"/>
        <w:ind w:left="1260" w:hanging="270"/>
        <w:jc w:val="both"/>
        <w:rPr>
          <w:rFonts w:ascii="Times New Roman" w:hAnsi="Times New Roman" w:cs="Times New Roman"/>
          <w:sz w:val="24"/>
          <w:szCs w:val="24"/>
        </w:rPr>
      </w:pPr>
      <w:r w:rsidRPr="00910CE3">
        <w:rPr>
          <w:rFonts w:ascii="Times New Roman" w:hAnsi="Times New Roman" w:cs="Times New Roman"/>
          <w:sz w:val="24"/>
          <w:szCs w:val="24"/>
        </w:rPr>
        <w:t xml:space="preserve"> Larangan meminta jabatan dan larangan Mengangkat pejabat yang meminta jabatan.</w:t>
      </w:r>
    </w:p>
    <w:p w:rsidR="00343B61" w:rsidRPr="00866B24" w:rsidRDefault="00343B61" w:rsidP="00343B61">
      <w:pPr>
        <w:tabs>
          <w:tab w:val="right" w:pos="6587"/>
        </w:tabs>
        <w:bidi/>
        <w:spacing w:after="0" w:line="240" w:lineRule="auto"/>
        <w:ind w:left="17" w:right="1260"/>
        <w:jc w:val="both"/>
        <w:rPr>
          <w:rFonts w:ascii="Adobe نسخ Medium" w:hAnsi="Adobe نسخ Medium" w:cs="Traditional Arabic"/>
          <w:sz w:val="32"/>
          <w:szCs w:val="32"/>
        </w:rPr>
      </w:pPr>
      <w:r w:rsidRPr="00866B24">
        <w:rPr>
          <w:rFonts w:ascii="Adobe نسخ Medium" w:hAnsi="Adobe نسخ Medium" w:cs="Traditional Arabic"/>
          <w:sz w:val="32"/>
          <w:szCs w:val="32"/>
          <w:rtl/>
        </w:rPr>
        <w:t xml:space="preserve">حَدَّثَنَا عَبْدُ الرَّحْمَنِ بْنُ سَمُرَةَ قَالَ قَالَ النَّبِيُّ صَلَّى اللَّهُ عَلَيْهِ وَسَلَّمَ يَا عَبْدَ الرَّحْمَنِ بْنَ سَمُرَةَ لَا تَسْأَلْ الْإِمَارَةَ فَإِنَّكَ إِنْ أُوتِيتَهَا عَنْ مَسْأَلَةٍ وُكِلْتَ إِلَيْهَا وَإِنْ أُوتِيتَهَا مِنْ غَيْرِ مَسْأَلَةٍ أُعِنْتَ عَلَيْهَا وَإِذَا حَلَفْتَ عَلَى يَمِينٍ فَرَأَيْتَ غَيْرَهَا خَيْرًا مِنْهَا فَكَفِّرْ عَنْ يَمِينِكَ وَأْتِ الَّذِي هُوَ خَيْرٌ </w:t>
      </w:r>
      <w:r w:rsidRPr="00866B24">
        <w:rPr>
          <w:rStyle w:val="FootnoteReference"/>
          <w:rFonts w:ascii="Adobe نسخ Medium" w:hAnsi="Adobe نسخ Medium" w:cs="Traditional Arabic"/>
          <w:sz w:val="32"/>
          <w:szCs w:val="32"/>
          <w:rtl/>
        </w:rPr>
        <w:footnoteReference w:id="195"/>
      </w:r>
      <w:r w:rsidRPr="00866B24">
        <w:rPr>
          <w:rFonts w:ascii="Adobe نسخ Medium" w:hAnsi="Adobe نسخ Medium" w:cs="Traditional Arabic"/>
          <w:sz w:val="32"/>
          <w:szCs w:val="32"/>
          <w:rtl/>
        </w:rPr>
        <w:t xml:space="preserve"> ( رواه البخاري ومسلم )</w:t>
      </w:r>
    </w:p>
    <w:p w:rsidR="00343B61" w:rsidRPr="00910CE3" w:rsidRDefault="00343B61" w:rsidP="00343B61">
      <w:pPr>
        <w:spacing w:after="0" w:line="240" w:lineRule="auto"/>
        <w:ind w:left="1260"/>
        <w:jc w:val="both"/>
        <w:rPr>
          <w:rFonts w:ascii="Times New Roman" w:hAnsi="Times New Roman" w:cs="Times New Roman"/>
          <w:sz w:val="24"/>
          <w:szCs w:val="24"/>
        </w:rPr>
      </w:pPr>
      <w:r w:rsidRPr="00910CE3">
        <w:rPr>
          <w:rFonts w:ascii="Times New Roman" w:hAnsi="Times New Roman" w:cs="Times New Roman"/>
          <w:sz w:val="24"/>
          <w:szCs w:val="24"/>
        </w:rPr>
        <w:t xml:space="preserve">Artinya : </w:t>
      </w:r>
      <w:r w:rsidRPr="00910CE3">
        <w:rPr>
          <w:rFonts w:ascii="Times New Roman" w:hAnsi="Times New Roman" w:cs="Times New Roman"/>
          <w:i/>
          <w:iCs/>
          <w:sz w:val="24"/>
          <w:szCs w:val="24"/>
        </w:rPr>
        <w:t>Dari Abdurrahman ibn Samurah ra. Ia berkata : Rasulullah bersabda :”Wahai Abdurrahman Ibn samurah, janganlah kamu meminta jabatan. Apabila kamu diberi dan tidak memintanya, kamu akan mendapat pertolongan Allah dalam melaksanakannya. Dan jika kamu diberi jabatan karena memintanya, jabatan itu diserahkan sepenuhnya. Apabila kamu bersumpah terhadap satu perbuatan, kemudian kamu melihat ada perbuatan yang lebih baik, maka kerjakanlah perbuatan yang lebih baik itu.</w:t>
      </w:r>
      <w:r w:rsidRPr="00910CE3">
        <w:rPr>
          <w:rFonts w:ascii="Times New Roman" w:hAnsi="Times New Roman" w:cs="Times New Roman"/>
          <w:sz w:val="24"/>
          <w:szCs w:val="24"/>
        </w:rPr>
        <w:t>“ ( HR. Bukhari Muslim)</w:t>
      </w:r>
    </w:p>
    <w:p w:rsidR="00343B61" w:rsidRPr="00910CE3" w:rsidRDefault="00343B61" w:rsidP="00343B61">
      <w:pPr>
        <w:spacing w:after="0" w:line="360" w:lineRule="auto"/>
        <w:jc w:val="both"/>
        <w:rPr>
          <w:rFonts w:ascii="Times New Roman" w:hAnsi="Times New Roman" w:cs="Times New Roman"/>
          <w:sz w:val="24"/>
          <w:szCs w:val="24"/>
        </w:rPr>
      </w:pPr>
    </w:p>
    <w:p w:rsidR="00343B61" w:rsidRPr="00DD3D82" w:rsidRDefault="00343B61" w:rsidP="00343B61">
      <w:pPr>
        <w:tabs>
          <w:tab w:val="right" w:pos="6677"/>
        </w:tabs>
        <w:bidi/>
        <w:spacing w:after="0" w:line="240" w:lineRule="auto"/>
        <w:ind w:right="1080" w:firstLine="17"/>
        <w:jc w:val="both"/>
        <w:rPr>
          <w:rFonts w:ascii="Adobe نسخ Medium" w:hAnsi="Adobe نسخ Medium" w:cs="Adobe نسخ Medium"/>
          <w:sz w:val="32"/>
          <w:szCs w:val="32"/>
        </w:rPr>
      </w:pPr>
      <w:r w:rsidRPr="00866B24">
        <w:rPr>
          <w:rFonts w:ascii="Adobe نسخ Medium" w:hAnsi="Adobe نسخ Medium" w:cs="Traditional Arabic"/>
          <w:sz w:val="32"/>
          <w:szCs w:val="32"/>
          <w:rtl/>
        </w:rPr>
        <w:t>عَنْ أَبِي مُوسَى قَالَ دَخَلْتُ عَلَى النَّبِيِّ صَلَّى اللَّهُ عَلَيْهِ وَسَلَّمَ أَنَا وَرَجُلَانِ مِنْ بَنِي عَمِّي فَقَالَ أَحَدُ الرَّجُلَيْنِ يَا رَسُولَ اللَّهِ أَمِّرْنَا عَلَى بَعْضِ مَا وَلَّاكَ اللَّهُ عَزَّ وَجَلَّ وَقَالَ الْآخَرُ مِثْلَ ذَلِكَ فَقَالَ إِنَّا وَاللَّهِ لَا نُوَلِّي عَلَى هَذَا الْعَمَلِ أَحَدًا سَأَلَهُ وَلَا أَحَدًا حَرَصَ عَلَيْهِ</w:t>
      </w:r>
      <w:r w:rsidRPr="00DD3D82">
        <w:rPr>
          <w:rFonts w:ascii="Adobe نسخ Medium" w:hAnsi="Adobe نسخ Medium" w:cs="Adobe نسخ Medium"/>
          <w:sz w:val="32"/>
          <w:szCs w:val="32"/>
          <w:rtl/>
        </w:rPr>
        <w:t xml:space="preserve"> </w:t>
      </w:r>
      <w:r w:rsidRPr="00DD3D82">
        <w:rPr>
          <w:rStyle w:val="FootnoteReference"/>
          <w:rFonts w:ascii="Adobe نسخ Medium" w:hAnsi="Adobe نسخ Medium" w:cs="Adobe نسخ Medium"/>
          <w:sz w:val="32"/>
          <w:szCs w:val="32"/>
          <w:rtl/>
        </w:rPr>
        <w:footnoteReference w:id="196"/>
      </w:r>
      <w:r w:rsidRPr="00DD3D82">
        <w:rPr>
          <w:rFonts w:ascii="Adobe نسخ Medium" w:hAnsi="Adobe نسخ Medium" w:cs="Adobe نسخ Medium"/>
          <w:sz w:val="32"/>
          <w:szCs w:val="32"/>
          <w:rtl/>
        </w:rPr>
        <w:t xml:space="preserve"> ( رواه مسلم )</w:t>
      </w:r>
    </w:p>
    <w:p w:rsidR="00343B61" w:rsidRPr="00910CE3" w:rsidRDefault="00343B61" w:rsidP="00343B61">
      <w:pPr>
        <w:spacing w:after="0" w:line="240" w:lineRule="auto"/>
        <w:ind w:left="1260"/>
        <w:jc w:val="both"/>
        <w:rPr>
          <w:rFonts w:ascii="Times New Roman" w:hAnsi="Times New Roman" w:cs="Times New Roman"/>
          <w:sz w:val="24"/>
          <w:szCs w:val="24"/>
        </w:rPr>
      </w:pPr>
      <w:r w:rsidRPr="00910CE3">
        <w:rPr>
          <w:rFonts w:ascii="Times New Roman" w:hAnsi="Times New Roman" w:cs="Times New Roman"/>
          <w:sz w:val="24"/>
          <w:szCs w:val="24"/>
        </w:rPr>
        <w:t xml:space="preserve">Artinya: </w:t>
      </w:r>
      <w:r w:rsidRPr="00910CE3">
        <w:rPr>
          <w:rFonts w:ascii="Times New Roman" w:hAnsi="Times New Roman" w:cs="Times New Roman"/>
          <w:i/>
          <w:iCs/>
          <w:sz w:val="24"/>
          <w:szCs w:val="24"/>
        </w:rPr>
        <w:t xml:space="preserve">Dari Abu Musa al-Asy’ari ra., ia berkata: bersama dua orang saudara sepupu, saya mendatangi Nabi Saw. kemudian salah satu diantara keduanya berkata: Wahai Rasulullah, berilah kami jabatan pada sebagian dari yang telah Allah kuasakan terhadapmu. Dan yang lain juga berkata begitu. Lalu beliau bersabda: Demi </w:t>
      </w:r>
      <w:r w:rsidRPr="00910CE3">
        <w:rPr>
          <w:rFonts w:ascii="Times New Roman" w:hAnsi="Times New Roman" w:cs="Times New Roman"/>
          <w:i/>
          <w:iCs/>
          <w:sz w:val="24"/>
          <w:szCs w:val="24"/>
        </w:rPr>
        <w:lastRenderedPageBreak/>
        <w:t>Allah, aku tidak akan mengangkat pejabat karena memintanya, atau berambisi dengan jabatan itu.</w:t>
      </w:r>
      <w:r w:rsidRPr="00910CE3">
        <w:rPr>
          <w:rFonts w:ascii="Times New Roman" w:hAnsi="Times New Roman" w:cs="Times New Roman"/>
          <w:sz w:val="24"/>
          <w:szCs w:val="24"/>
        </w:rPr>
        <w:t xml:space="preserve">( HR. Muslim) </w:t>
      </w:r>
    </w:p>
    <w:p w:rsidR="00343B61" w:rsidRPr="00910CE3" w:rsidRDefault="00343B61" w:rsidP="00343B61">
      <w:pPr>
        <w:tabs>
          <w:tab w:val="left" w:pos="7920"/>
        </w:tabs>
        <w:autoSpaceDE w:val="0"/>
        <w:autoSpaceDN w:val="0"/>
        <w:adjustRightInd w:val="0"/>
        <w:spacing w:after="0" w:line="360" w:lineRule="auto"/>
        <w:ind w:right="17"/>
        <w:jc w:val="both"/>
        <w:rPr>
          <w:rFonts w:asciiTheme="majorBidi" w:hAnsiTheme="majorBidi" w:cstheme="majorBidi"/>
          <w:sz w:val="24"/>
          <w:szCs w:val="24"/>
        </w:rPr>
      </w:pPr>
    </w:p>
    <w:p w:rsidR="00343B61" w:rsidRPr="00910CE3" w:rsidRDefault="00343B61" w:rsidP="002C0A33">
      <w:pPr>
        <w:pStyle w:val="ListParagraph"/>
        <w:numPr>
          <w:ilvl w:val="0"/>
          <w:numId w:val="17"/>
        </w:numPr>
        <w:tabs>
          <w:tab w:val="left" w:pos="7920"/>
        </w:tabs>
        <w:autoSpaceDE w:val="0"/>
        <w:autoSpaceDN w:val="0"/>
        <w:adjustRightInd w:val="0"/>
        <w:spacing w:after="0" w:line="360" w:lineRule="auto"/>
        <w:ind w:left="900" w:right="17" w:hanging="180"/>
        <w:jc w:val="both"/>
        <w:rPr>
          <w:rFonts w:asciiTheme="majorBidi" w:hAnsiTheme="majorBidi" w:cstheme="majorBidi"/>
          <w:sz w:val="24"/>
          <w:szCs w:val="24"/>
        </w:rPr>
      </w:pPr>
      <w:r w:rsidRPr="00910CE3">
        <w:rPr>
          <w:rFonts w:asciiTheme="majorBidi" w:hAnsiTheme="majorBidi" w:cstheme="majorBidi"/>
          <w:sz w:val="24"/>
          <w:szCs w:val="24"/>
        </w:rPr>
        <w:t xml:space="preserve"> Dasar </w:t>
      </w:r>
      <w:r w:rsidRPr="00910CE3">
        <w:rPr>
          <w:rFonts w:asciiTheme="majorBidi" w:hAnsiTheme="majorBidi" w:cstheme="majorBidi"/>
          <w:i/>
          <w:iCs/>
          <w:sz w:val="24"/>
          <w:szCs w:val="24"/>
        </w:rPr>
        <w:t>siyāsah  syar’yah</w:t>
      </w:r>
      <w:r w:rsidRPr="00910CE3">
        <w:rPr>
          <w:rFonts w:asciiTheme="majorBidi" w:hAnsiTheme="majorBidi" w:cstheme="majorBidi"/>
          <w:sz w:val="24"/>
          <w:szCs w:val="24"/>
        </w:rPr>
        <w:t xml:space="preserve"> dari kaidah-kaidah </w:t>
      </w:r>
      <w:r w:rsidRPr="00910CE3">
        <w:rPr>
          <w:rFonts w:asciiTheme="majorBidi" w:hAnsiTheme="majorBidi" w:cstheme="majorBidi"/>
          <w:i/>
          <w:iCs/>
          <w:sz w:val="24"/>
          <w:szCs w:val="24"/>
        </w:rPr>
        <w:t>fiqhiyah</w:t>
      </w:r>
      <w:r w:rsidRPr="00910CE3">
        <w:rPr>
          <w:rFonts w:asciiTheme="majorBidi" w:hAnsiTheme="majorBidi" w:cstheme="majorBidi"/>
          <w:sz w:val="24"/>
          <w:szCs w:val="24"/>
        </w:rPr>
        <w:t xml:space="preserve"> antara lain:</w:t>
      </w:r>
    </w:p>
    <w:p w:rsidR="00343B61" w:rsidRPr="00910CE3" w:rsidRDefault="00343B61" w:rsidP="00343B61">
      <w:pPr>
        <w:pStyle w:val="ListParagraph"/>
        <w:tabs>
          <w:tab w:val="left" w:pos="7920"/>
        </w:tabs>
        <w:autoSpaceDE w:val="0"/>
        <w:autoSpaceDN w:val="0"/>
        <w:bidi/>
        <w:adjustRightInd w:val="0"/>
        <w:spacing w:after="0" w:line="240" w:lineRule="auto"/>
        <w:ind w:left="2160" w:right="17" w:hanging="1963"/>
        <w:jc w:val="both"/>
        <w:rPr>
          <w:rFonts w:asciiTheme="majorBidi" w:hAnsiTheme="majorBidi" w:cstheme="majorBidi"/>
          <w:sz w:val="24"/>
          <w:szCs w:val="24"/>
          <w:rtl/>
        </w:rPr>
      </w:pPr>
      <w:r w:rsidRPr="003F1002">
        <w:rPr>
          <w:rFonts w:ascii="Adobe نسخ Medium" w:hAnsi="Adobe نسخ Medium" w:cs="Traditional Arabic"/>
          <w:sz w:val="32"/>
          <w:szCs w:val="32"/>
          <w:rtl/>
        </w:rPr>
        <w:t>الحكم يدور مع علته وجودا وعدما</w:t>
      </w:r>
      <w:r w:rsidRPr="00910CE3">
        <w:rPr>
          <w:rFonts w:asciiTheme="majorBidi" w:hAnsiTheme="majorBidi" w:cstheme="majorBidi" w:hint="cs"/>
          <w:sz w:val="24"/>
          <w:szCs w:val="24"/>
          <w:rtl/>
        </w:rPr>
        <w:t xml:space="preserve"> </w:t>
      </w:r>
      <w:r w:rsidRPr="00910CE3">
        <w:rPr>
          <w:rStyle w:val="FootnoteReference"/>
          <w:rFonts w:asciiTheme="majorBidi" w:hAnsiTheme="majorBidi" w:cstheme="majorBidi"/>
          <w:sz w:val="24"/>
          <w:szCs w:val="24"/>
          <w:rtl/>
        </w:rPr>
        <w:footnoteReference w:id="197"/>
      </w:r>
    </w:p>
    <w:p w:rsidR="00343B61" w:rsidRPr="00910CE3" w:rsidRDefault="00343B61" w:rsidP="00343B61">
      <w:pPr>
        <w:pStyle w:val="ListParagraph"/>
        <w:tabs>
          <w:tab w:val="left" w:pos="7920"/>
        </w:tabs>
        <w:autoSpaceDE w:val="0"/>
        <w:autoSpaceDN w:val="0"/>
        <w:adjustRightInd w:val="0"/>
        <w:spacing w:after="0" w:line="240" w:lineRule="auto"/>
        <w:ind w:left="990" w:right="17"/>
        <w:jc w:val="both"/>
        <w:rPr>
          <w:rFonts w:asciiTheme="majorBidi" w:hAnsiTheme="majorBidi" w:cstheme="majorBidi"/>
          <w:sz w:val="24"/>
          <w:szCs w:val="24"/>
        </w:rPr>
      </w:pPr>
      <w:r w:rsidRPr="00910CE3">
        <w:rPr>
          <w:rFonts w:asciiTheme="majorBidi" w:hAnsiTheme="majorBidi" w:cstheme="majorBidi"/>
          <w:sz w:val="24"/>
          <w:szCs w:val="24"/>
        </w:rPr>
        <w:t xml:space="preserve">Artinya:“ </w:t>
      </w:r>
      <w:r w:rsidRPr="00910CE3">
        <w:rPr>
          <w:rFonts w:asciiTheme="majorBidi" w:hAnsiTheme="majorBidi" w:cstheme="majorBidi"/>
          <w:i/>
          <w:iCs/>
          <w:sz w:val="24"/>
          <w:szCs w:val="24"/>
        </w:rPr>
        <w:t>Hukum berputar bersama ‘illat hukum, ada dan tidak adanya hukum bergantung atas ada dan tidak adanya ‘ilat hukum</w:t>
      </w:r>
      <w:r w:rsidRPr="00910CE3">
        <w:rPr>
          <w:rFonts w:asciiTheme="majorBidi" w:hAnsiTheme="majorBidi" w:cstheme="majorBidi"/>
          <w:sz w:val="24"/>
          <w:szCs w:val="24"/>
        </w:rPr>
        <w:t>”</w:t>
      </w:r>
    </w:p>
    <w:p w:rsidR="00343B61" w:rsidRPr="00910CE3" w:rsidRDefault="00343B61" w:rsidP="00343B61">
      <w:pPr>
        <w:pStyle w:val="ListParagraph"/>
        <w:tabs>
          <w:tab w:val="left" w:pos="7920"/>
        </w:tabs>
        <w:autoSpaceDE w:val="0"/>
        <w:autoSpaceDN w:val="0"/>
        <w:adjustRightInd w:val="0"/>
        <w:spacing w:after="0" w:line="360" w:lineRule="auto"/>
        <w:ind w:left="990" w:right="17"/>
        <w:jc w:val="both"/>
        <w:rPr>
          <w:rFonts w:asciiTheme="majorBidi" w:hAnsiTheme="majorBidi" w:cstheme="majorBidi"/>
          <w:sz w:val="24"/>
          <w:szCs w:val="24"/>
        </w:rPr>
      </w:pPr>
    </w:p>
    <w:p w:rsidR="00343B61" w:rsidRPr="00910CE3" w:rsidRDefault="00343B61" w:rsidP="00343B61">
      <w:pPr>
        <w:pStyle w:val="ListParagraph"/>
        <w:tabs>
          <w:tab w:val="left" w:pos="7920"/>
        </w:tabs>
        <w:autoSpaceDE w:val="0"/>
        <w:autoSpaceDN w:val="0"/>
        <w:bidi/>
        <w:adjustRightInd w:val="0"/>
        <w:spacing w:after="0" w:line="240" w:lineRule="auto"/>
        <w:ind w:left="2160" w:right="17" w:hanging="1963"/>
        <w:jc w:val="both"/>
        <w:rPr>
          <w:rFonts w:asciiTheme="majorBidi" w:hAnsiTheme="majorBidi" w:cstheme="majorBidi"/>
          <w:sz w:val="28"/>
          <w:szCs w:val="28"/>
          <w:rtl/>
        </w:rPr>
      </w:pPr>
      <w:r w:rsidRPr="003F1002">
        <w:rPr>
          <w:rFonts w:ascii="Adobe نسخ Medium" w:hAnsi="Adobe نسخ Medium" w:cs="Traditional Arabic"/>
          <w:sz w:val="32"/>
          <w:szCs w:val="32"/>
          <w:rtl/>
        </w:rPr>
        <w:t>تَصَرُّفُ الْإِمَامِ عَلَى الرَّعِيَّةِ مَنُوطٌ بِالْمَصْلَحَةِ</w:t>
      </w:r>
      <w:r w:rsidRPr="00910CE3">
        <w:rPr>
          <w:rStyle w:val="FootnoteReference"/>
          <w:rFonts w:asciiTheme="majorBidi" w:hAnsiTheme="majorBidi" w:cstheme="majorBidi"/>
          <w:sz w:val="28"/>
          <w:szCs w:val="28"/>
          <w:rtl/>
        </w:rPr>
        <w:footnoteReference w:id="198"/>
      </w:r>
    </w:p>
    <w:p w:rsidR="00343B61"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sidRPr="00910CE3">
        <w:rPr>
          <w:rFonts w:asciiTheme="majorBidi" w:hAnsiTheme="majorBidi" w:cstheme="majorBidi"/>
          <w:sz w:val="24"/>
          <w:szCs w:val="24"/>
        </w:rPr>
        <w:t xml:space="preserve">Artinya: “ </w:t>
      </w:r>
      <w:r w:rsidRPr="00910CE3">
        <w:rPr>
          <w:rFonts w:asciiTheme="majorBidi" w:hAnsiTheme="majorBidi" w:cstheme="majorBidi"/>
          <w:i/>
          <w:iCs/>
          <w:sz w:val="24"/>
          <w:szCs w:val="24"/>
        </w:rPr>
        <w:t>Kebijakan Imam tergantung pada kemaslahtan rakyat</w:t>
      </w:r>
      <w:r w:rsidRPr="00910CE3">
        <w:rPr>
          <w:rFonts w:asciiTheme="majorBidi" w:hAnsiTheme="majorBidi" w:cstheme="majorBidi"/>
          <w:sz w:val="24"/>
          <w:szCs w:val="24"/>
        </w:rPr>
        <w:t>”</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p>
    <w:p w:rsidR="00343B61" w:rsidRPr="003F1002" w:rsidRDefault="00343B61" w:rsidP="00343B61">
      <w:pPr>
        <w:pStyle w:val="ListParagraph"/>
        <w:tabs>
          <w:tab w:val="left" w:pos="7920"/>
        </w:tabs>
        <w:autoSpaceDE w:val="0"/>
        <w:autoSpaceDN w:val="0"/>
        <w:bidi/>
        <w:adjustRightInd w:val="0"/>
        <w:spacing w:after="0" w:line="240" w:lineRule="auto"/>
        <w:ind w:left="197" w:right="17"/>
        <w:jc w:val="both"/>
        <w:rPr>
          <w:rFonts w:ascii="Arial" w:hAnsi="Arial"/>
          <w:b/>
          <w:bCs/>
          <w:sz w:val="28"/>
          <w:szCs w:val="28"/>
          <w:rtl/>
        </w:rPr>
      </w:pPr>
      <w:r w:rsidRPr="003F1002">
        <w:rPr>
          <w:rFonts w:ascii="Adobe نسخ Medium" w:hAnsi="Adobe نسخ Medium" w:cs="Traditional Arabic"/>
          <w:sz w:val="32"/>
          <w:szCs w:val="32"/>
          <w:rtl/>
        </w:rPr>
        <w:t>لا ينكر تغير الأحكام بتغير الزمان والمكان</w:t>
      </w:r>
      <w:r w:rsidRPr="00910CE3">
        <w:rPr>
          <w:rFonts w:ascii="Arial" w:hAnsi="Arial"/>
          <w:b/>
          <w:bCs/>
          <w:sz w:val="28"/>
          <w:szCs w:val="28"/>
        </w:rPr>
        <w:t xml:space="preserve"> </w:t>
      </w:r>
      <w:r w:rsidRPr="00910CE3">
        <w:rPr>
          <w:rStyle w:val="FootnoteReference"/>
          <w:rFonts w:ascii="Arial" w:hAnsi="Arial"/>
          <w:b/>
          <w:bCs/>
          <w:sz w:val="28"/>
          <w:szCs w:val="28"/>
        </w:rPr>
        <w:footnoteReference w:id="199"/>
      </w:r>
      <w:r w:rsidRPr="00910CE3">
        <w:rPr>
          <w:rFonts w:ascii="Arial" w:hAnsi="Arial" w:hint="cs"/>
          <w:b/>
          <w:bCs/>
          <w:sz w:val="28"/>
          <w:szCs w:val="28"/>
          <w:rtl/>
        </w:rPr>
        <w:t xml:space="preserve"> </w:t>
      </w:r>
    </w:p>
    <w:p w:rsidR="00343B61" w:rsidRPr="00910CE3"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i/>
          <w:iCs/>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“Tidak bisa dipungkiri bahwa hukum berubah sejalan dengan perubahan zaman dan tempat ”</w:t>
      </w:r>
    </w:p>
    <w:p w:rsidR="00343B61" w:rsidRPr="00910CE3" w:rsidRDefault="00343B61" w:rsidP="00343B61">
      <w:pPr>
        <w:pStyle w:val="ListParagraph"/>
        <w:tabs>
          <w:tab w:val="left" w:pos="7920"/>
        </w:tabs>
        <w:autoSpaceDE w:val="0"/>
        <w:autoSpaceDN w:val="0"/>
        <w:adjustRightInd w:val="0"/>
        <w:spacing w:after="0" w:line="360" w:lineRule="auto"/>
        <w:ind w:left="900" w:right="17"/>
        <w:jc w:val="both"/>
        <w:rPr>
          <w:rFonts w:asciiTheme="majorBidi" w:hAnsiTheme="majorBidi" w:cstheme="majorBidi"/>
          <w:i/>
          <w:iCs/>
          <w:sz w:val="24"/>
          <w:szCs w:val="24"/>
        </w:rPr>
      </w:pPr>
    </w:p>
    <w:p w:rsidR="00343B61" w:rsidRPr="00910CE3" w:rsidRDefault="00343B61" w:rsidP="002C0A33">
      <w:pPr>
        <w:pStyle w:val="ListParagraph"/>
        <w:numPr>
          <w:ilvl w:val="0"/>
          <w:numId w:val="14"/>
        </w:numPr>
        <w:tabs>
          <w:tab w:val="left" w:pos="900"/>
        </w:tabs>
        <w:spacing w:line="360" w:lineRule="auto"/>
        <w:ind w:left="540" w:hanging="270"/>
        <w:jc w:val="both"/>
        <w:rPr>
          <w:rFonts w:asciiTheme="majorBidi" w:hAnsiTheme="majorBidi" w:cstheme="majorBidi"/>
          <w:sz w:val="24"/>
          <w:szCs w:val="24"/>
        </w:rPr>
      </w:pPr>
      <w:r>
        <w:rPr>
          <w:rFonts w:asciiTheme="majorBidi" w:hAnsiTheme="majorBidi" w:cstheme="majorBidi"/>
          <w:i/>
          <w:iCs/>
          <w:sz w:val="24"/>
          <w:szCs w:val="24"/>
        </w:rPr>
        <w:t xml:space="preserve">Siyāsah Syar‘iyyah </w:t>
      </w:r>
      <w:r w:rsidRPr="00910CE3">
        <w:rPr>
          <w:rFonts w:asciiTheme="majorBidi" w:hAnsiTheme="majorBidi" w:cstheme="majorBidi"/>
          <w:sz w:val="24"/>
          <w:szCs w:val="24"/>
        </w:rPr>
        <w:t>Perspektif Sejarah</w:t>
      </w: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i/>
          <w:iCs/>
          <w:sz w:val="24"/>
          <w:szCs w:val="24"/>
        </w:rPr>
        <w:t>Siyāsah syariyyah</w:t>
      </w:r>
      <w:r>
        <w:rPr>
          <w:rFonts w:asciiTheme="majorBidi" w:hAnsiTheme="majorBidi" w:cstheme="majorBidi"/>
          <w:i/>
          <w:iCs/>
          <w:sz w:val="24"/>
          <w:szCs w:val="24"/>
        </w:rPr>
        <w:t xml:space="preserve"> </w:t>
      </w:r>
      <w:r>
        <w:rPr>
          <w:rFonts w:asciiTheme="majorBidi" w:hAnsiTheme="majorBidi" w:cstheme="majorBidi"/>
          <w:sz w:val="24"/>
          <w:szCs w:val="24"/>
        </w:rPr>
        <w:t xml:space="preserve">telah dilaksanakan oleh Rasul sejak beliau di Mekkah, begitu juga setelah beliau hijrah ke Madinah Al-Munawwarah. </w:t>
      </w:r>
      <w:r w:rsidRPr="00910CE3">
        <w:rPr>
          <w:rFonts w:asciiTheme="majorBidi" w:hAnsiTheme="majorBidi" w:cstheme="majorBidi"/>
          <w:sz w:val="24"/>
          <w:szCs w:val="24"/>
        </w:rPr>
        <w:t xml:space="preserve">Setelah  Rasulullah  SAW wafat, kaum muslimin dihadapkan sesuatu problema yang berat, kerena Sebelum wafat Nabi beliau tidak meninggalkan pesan  siapa yang akan menggantikan beliau sebagai pimpinan umat. Suasana wafatnya Rasul tersebut menjadikan umat Islam dalam kebingunan. Hal ini karena Mereka sama sekali belum siap kehilangan  beliau baik sebagai pemimpin, sahabat, maupun sebagai pembimbing yang mereka cintai. Di tengah kekosongan pemimpin tersebut, dua golongan sahabat dari  Anshar  dan Muhajirin berkumpul di Tsaqifah bani Sa’idah </w:t>
      </w:r>
      <w:r w:rsidRPr="00910CE3">
        <w:rPr>
          <w:rFonts w:asciiTheme="majorBidi" w:hAnsiTheme="majorBidi" w:cstheme="majorBidi"/>
          <w:sz w:val="24"/>
          <w:szCs w:val="24"/>
        </w:rPr>
        <w:lastRenderedPageBreak/>
        <w:t>untuk membicarakan siapa pengganti Rasul SAW, perdebatan begitu alot, karena masing-masing kelompok merasa lebih layak menjadi pengganti Rasulullah.</w:t>
      </w:r>
      <w:r w:rsidRPr="00910CE3">
        <w:rPr>
          <w:rStyle w:val="FootnoteReference"/>
          <w:rFonts w:asciiTheme="majorBidi" w:hAnsiTheme="majorBidi" w:cstheme="majorBidi"/>
          <w:sz w:val="24"/>
          <w:szCs w:val="24"/>
        </w:rPr>
        <w:footnoteReference w:id="200"/>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Perdebatan itu berakhir dengan ditetapkannya Abu Bakar menjadi khalifah berdasarkan pemilihan yang melibatkan para sahabat senior di Madinah. Kemudian Umar bin Khatthob terpilih menjadi khalifah berdasarkan penunjukan Abu Bakar  selaku kepada negara saat itu. Utsman Ibn Affan menjadi Khalifah berdasarkan musyawarah tim formatur yang dibentuk oleh khalifah sebelumnya, yaitu yang beranggotakan enam orang sahabat. Setalah Ustman wafat, Ali bin Abi Thalib diangkat menjadi khalifah berdasarkan musyawarah dan pertemuan terbuka.</w:t>
      </w:r>
      <w:r w:rsidRPr="00910CE3">
        <w:rPr>
          <w:rStyle w:val="FootnoteReference"/>
          <w:rFonts w:asciiTheme="majorBidi" w:hAnsiTheme="majorBidi" w:cstheme="majorBidi"/>
          <w:sz w:val="24"/>
          <w:szCs w:val="24"/>
        </w:rPr>
        <w:footnoteReference w:id="201"/>
      </w:r>
      <w:r w:rsidRPr="00910CE3">
        <w:rPr>
          <w:rFonts w:asciiTheme="majorBidi" w:hAnsiTheme="majorBidi" w:cstheme="majorBidi"/>
          <w:sz w:val="24"/>
          <w:szCs w:val="24"/>
        </w:rPr>
        <w:t xml:space="preserve"> Peristiwa Tsaqifah ini mengisyaratkan betapa permasalahan </w:t>
      </w:r>
      <w:r w:rsidRPr="00C136ED">
        <w:rPr>
          <w:rFonts w:asciiTheme="majorBidi" w:hAnsiTheme="majorBidi" w:cstheme="majorBidi"/>
          <w:i/>
          <w:iCs/>
          <w:sz w:val="24"/>
          <w:szCs w:val="24"/>
        </w:rPr>
        <w:t>siyāsah</w:t>
      </w:r>
      <w:r w:rsidRPr="00910CE3">
        <w:rPr>
          <w:rFonts w:asciiTheme="majorBidi" w:hAnsiTheme="majorBidi" w:cstheme="majorBidi"/>
          <w:sz w:val="24"/>
          <w:szCs w:val="24"/>
        </w:rPr>
        <w:t xml:space="preserve">  ini sangat krusial dan sensitif, sehingga membutuhkan </w:t>
      </w:r>
      <w:r>
        <w:rPr>
          <w:rFonts w:asciiTheme="majorBidi" w:hAnsiTheme="majorBidi" w:cstheme="majorBidi"/>
          <w:sz w:val="24"/>
          <w:szCs w:val="24"/>
        </w:rPr>
        <w:t xml:space="preserve">penanganan yang bijak dan adil. </w:t>
      </w:r>
      <w:r w:rsidRPr="00910CE3">
        <w:rPr>
          <w:rFonts w:asciiTheme="majorBidi" w:hAnsiTheme="majorBidi" w:cstheme="majorBidi"/>
          <w:sz w:val="24"/>
          <w:szCs w:val="24"/>
        </w:rPr>
        <w:t>Untunglah Abu Bakar dan Umar Ibn Khattab yang kemudian menggantikannya mampu menjalankan pemerintahannya dengan baik, sehingga memuaskan masing-masing kelompok di dalam tubuh umat Islam. Dua Khalifah ini berhasil meminimalisasi perbedaan pendapat tersebut sehingga dapat meredam gejolak dan goncangan yang mungkin terjadi.</w:t>
      </w:r>
      <w:r w:rsidRPr="00910CE3">
        <w:rPr>
          <w:rStyle w:val="FootnoteReference"/>
          <w:rFonts w:asciiTheme="majorBidi" w:hAnsiTheme="majorBidi" w:cstheme="majorBidi"/>
          <w:sz w:val="24"/>
          <w:szCs w:val="24"/>
        </w:rPr>
        <w:footnoteReference w:id="202"/>
      </w:r>
      <w:r w:rsidRPr="00910CE3">
        <w:rPr>
          <w:rFonts w:asciiTheme="majorBidi" w:hAnsiTheme="majorBidi" w:cstheme="majorBidi"/>
          <w:sz w:val="24"/>
          <w:szCs w:val="24"/>
        </w:rPr>
        <w:t xml:space="preserve"> </w:t>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Akan tetapi saat memasuki pemerintahan Utsman bin Affan, tepatnya enam tahun kedua kepemimpinannya,</w:t>
      </w:r>
      <w:r w:rsidRPr="00910CE3">
        <w:rPr>
          <w:rStyle w:val="FootnoteReference"/>
          <w:rFonts w:asciiTheme="majorBidi" w:hAnsiTheme="majorBidi" w:cstheme="majorBidi"/>
          <w:sz w:val="24"/>
          <w:szCs w:val="24"/>
        </w:rPr>
        <w:footnoteReference w:id="203"/>
      </w:r>
      <w:r w:rsidRPr="00910CE3">
        <w:rPr>
          <w:rFonts w:asciiTheme="majorBidi" w:hAnsiTheme="majorBidi" w:cstheme="majorBidi"/>
          <w:sz w:val="24"/>
          <w:szCs w:val="24"/>
        </w:rPr>
        <w:t xml:space="preserve"> gejolak  muncul ke permukaan mengenai kebijakan Khalifah Utsman yang menurut sebagian peneliti sejarah tergolong nepotisme.</w:t>
      </w:r>
      <w:r w:rsidRPr="00910CE3">
        <w:rPr>
          <w:rStyle w:val="FootnoteReference"/>
          <w:rFonts w:asciiTheme="majorBidi" w:hAnsiTheme="majorBidi" w:cstheme="majorBidi"/>
          <w:sz w:val="24"/>
          <w:szCs w:val="24"/>
        </w:rPr>
        <w:footnoteReference w:id="204"/>
      </w:r>
      <w:r w:rsidRPr="00910CE3">
        <w:rPr>
          <w:rFonts w:asciiTheme="majorBidi" w:hAnsiTheme="majorBidi" w:cstheme="majorBidi"/>
          <w:sz w:val="24"/>
          <w:szCs w:val="24"/>
        </w:rPr>
        <w:t xml:space="preserve"> Yaitu dengan mempromosikan jabatan kepada keluarga, di</w:t>
      </w:r>
      <w:r>
        <w:rPr>
          <w:rFonts w:asciiTheme="majorBidi" w:hAnsiTheme="majorBidi" w:cstheme="majorBidi"/>
          <w:sz w:val="24"/>
          <w:szCs w:val="24"/>
        </w:rPr>
        <w:t xml:space="preserve"> </w:t>
      </w:r>
      <w:r w:rsidRPr="00910CE3">
        <w:rPr>
          <w:rFonts w:asciiTheme="majorBidi" w:hAnsiTheme="majorBidi" w:cstheme="majorBidi"/>
          <w:sz w:val="24"/>
          <w:szCs w:val="24"/>
        </w:rPr>
        <w:t xml:space="preserve">antaranya mengangkat saudara sepupu Utsman yaitu Marwan Ibn Hakam menjadi </w:t>
      </w:r>
      <w:r w:rsidRPr="00910CE3">
        <w:rPr>
          <w:rFonts w:asciiTheme="majorBidi" w:hAnsiTheme="majorBidi" w:cstheme="majorBidi"/>
          <w:sz w:val="24"/>
          <w:szCs w:val="24"/>
        </w:rPr>
        <w:lastRenderedPageBreak/>
        <w:t>sekretaris jenderal negara yang menyebabkan negara dikendalikan oleh satu keluarga.</w:t>
      </w:r>
      <w:r w:rsidRPr="00910CE3">
        <w:rPr>
          <w:rStyle w:val="FootnoteReference"/>
          <w:rFonts w:asciiTheme="majorBidi" w:hAnsiTheme="majorBidi" w:cstheme="majorBidi"/>
          <w:sz w:val="24"/>
          <w:szCs w:val="24"/>
        </w:rPr>
        <w:footnoteReference w:id="205"/>
      </w:r>
      <w:r w:rsidRPr="00910CE3">
        <w:rPr>
          <w:rFonts w:asciiTheme="majorBidi" w:hAnsiTheme="majorBidi" w:cstheme="majorBidi"/>
          <w:sz w:val="24"/>
          <w:szCs w:val="24"/>
        </w:rPr>
        <w:t xml:space="preserve"> </w:t>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Tindakan Khalifah Utsman yang menyebabkan terkumpulnya seluruh kekuasaan di tangan keluarganya menimbulkan reaksi dari masyarakat, terlebih lagi dari mereka yang dipecat dari jabatannya tanpa alasan yang jelas. Disamping itu, tindakan bawahan khalifah Utsman dinilai masyarakat telah banyak menyimpang dari ajaran Islam, Walid Ibn Uqbah pernah shalat subuh empat rokaat dalam keadaan mabuk.</w:t>
      </w:r>
      <w:r w:rsidRPr="00910CE3">
        <w:rPr>
          <w:rStyle w:val="FootnoteReference"/>
          <w:rFonts w:asciiTheme="majorBidi" w:hAnsiTheme="majorBidi" w:cstheme="majorBidi"/>
          <w:sz w:val="24"/>
          <w:szCs w:val="24"/>
        </w:rPr>
        <w:footnoteReference w:id="206"/>
      </w:r>
      <w:r w:rsidRPr="00910CE3">
        <w:rPr>
          <w:rFonts w:asciiTheme="majorBidi" w:hAnsiTheme="majorBidi" w:cstheme="majorBidi"/>
          <w:sz w:val="24"/>
          <w:szCs w:val="24"/>
        </w:rPr>
        <w:t xml:space="preserve"> Tanah Fadak yang pernah disengketakan oleh Fatimah dengan Khalifah Abu Bakar dimasukkan menjadi milik pribadi oleh Marwan Ibn al-Hakam.</w:t>
      </w:r>
      <w:r w:rsidRPr="00910CE3">
        <w:rPr>
          <w:rStyle w:val="FootnoteReference"/>
          <w:rFonts w:asciiTheme="majorBidi" w:hAnsiTheme="majorBidi" w:cstheme="majorBidi"/>
          <w:sz w:val="24"/>
          <w:szCs w:val="24"/>
        </w:rPr>
        <w:footnoteReference w:id="207"/>
      </w:r>
      <w:r w:rsidRPr="00910CE3">
        <w:rPr>
          <w:rFonts w:asciiTheme="majorBidi" w:hAnsiTheme="majorBidi" w:cstheme="majorBidi"/>
          <w:sz w:val="24"/>
          <w:szCs w:val="24"/>
        </w:rPr>
        <w:t xml:space="preserve"> Akhirnya berbagai daerah melakukan pemeberontakkan yang mengakibatkan Utsman tewas terbunuh di tangan umat Islam sendiri.</w:t>
      </w: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Setelah Utsman Ibn Affan wafat, Ali Ibn Abi Thalib dibai’at oleh masyarakat untuk menjadi khalifah. Tho</w:t>
      </w:r>
      <w:r>
        <w:rPr>
          <w:rFonts w:asciiTheme="majorBidi" w:hAnsiTheme="majorBidi" w:cstheme="majorBidi"/>
          <w:sz w:val="24"/>
          <w:szCs w:val="24"/>
        </w:rPr>
        <w:t>lhah dan Zubeir melakukan bai’at</w:t>
      </w:r>
      <w:r w:rsidRPr="00910CE3">
        <w:rPr>
          <w:rFonts w:asciiTheme="majorBidi" w:hAnsiTheme="majorBidi" w:cstheme="majorBidi"/>
          <w:sz w:val="24"/>
          <w:szCs w:val="24"/>
        </w:rPr>
        <w:t xml:space="preserve"> kepada Ali Ibn Abi Thalib dengan terpaksa dan bukan atas dasar ketaatan.Mereka menuntut khalifah ‘Ali Ibn Abi Thalib agar menangkap dan mengadili pembunuh Utsman Ibn Affan. Karena tentutan itu tidak terkabul akhirnya Ali Ibn Abi Thalib beserta pasukannya berperang  dengan pasukan Tholhah, Zubeir dan Aisyah. Perang ini disebut dengan perang Jamal ( Unta). Tholhah dan Zubeir terbunuh dalam perang tersebut, sementara Aisyah dikembalikan Ali Ibn Abi Thalib ke Madinah.</w:t>
      </w:r>
      <w:r w:rsidRPr="00910CE3">
        <w:rPr>
          <w:rStyle w:val="FootnoteReference"/>
          <w:rFonts w:asciiTheme="majorBidi" w:hAnsiTheme="majorBidi" w:cstheme="majorBidi"/>
          <w:sz w:val="24"/>
          <w:szCs w:val="24"/>
        </w:rPr>
        <w:footnoteReference w:id="208"/>
      </w:r>
    </w:p>
    <w:p w:rsidR="00343B61" w:rsidRPr="00910CE3" w:rsidRDefault="00343B61" w:rsidP="00343B61">
      <w:pPr>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Sementara Muawiyah yang dipecat dari Gubernur Suriah oleh Ali ibn Abi Thalib, mengadakan pembangkangan dan  menyusun kekuatan untuk melawan Ali. Akhirnya melahirkan konflik bersenjata antara pasukan Ali Ibn Abi Thalib dan pasukan Mua’wiyah Ibn Abi Sufyan di Shiffin. Ketika pasukan Ali hampir berhasil mematahkan pertahanan pasukan Mu’awiyah, dan kemenangan hampir </w:t>
      </w:r>
      <w:r w:rsidRPr="00910CE3">
        <w:rPr>
          <w:rFonts w:asciiTheme="majorBidi" w:hAnsiTheme="majorBidi" w:cstheme="majorBidi"/>
          <w:sz w:val="24"/>
          <w:szCs w:val="24"/>
        </w:rPr>
        <w:lastRenderedPageBreak/>
        <w:t xml:space="preserve">berada di tangan Ali, tiba-tiba ‘Amr Ibn Al-Ash dari kelompok Muawiyah mengacungkan mushaf Al-Qur’ān sebagai tanda bahwa perang harus diakhiri dengan melakukan perdamaian (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209"/>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Akan tetapi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 xml:space="preserve"> pun tidak menyelesaikan maslah.‘Amr Ibn al-‘Ash yang mewakili Muawiyah ternyata sangat lihai dan licik mengelabui utusan ‘Ali, Abu Musa al-Asy’ari. Hasil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 xml:space="preserve"> hanya menguntungkan Muawiyah dan tidak memuaskan Ali. Pasukan ‘Ali sangat kecewa dengan hasil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 xml:space="preserve">. Namun Ali mau tidak mau harus tunduk pada keputusan tersebut. Melihat keadaan ini, umat Islam saat itu terpecah kepada tiga; (1) kelompok penentang Ali yang menolak bai’at kepada Ali sejak awal, kelompok ini dipimpin oleh Mu’awiyah; (2) Pengikut yang tetap setia kepada Ali baik sebelum maupun sesudah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 xml:space="preserve">, yaitu Syi’ah; (3) Kelompok Ali yang melakukan pembelotan setelah </w:t>
      </w:r>
      <w:r w:rsidRPr="00910CE3">
        <w:rPr>
          <w:rFonts w:asciiTheme="majorBidi" w:hAnsiTheme="majorBidi" w:cstheme="majorBidi"/>
          <w:i/>
          <w:iCs/>
          <w:sz w:val="24"/>
          <w:szCs w:val="24"/>
        </w:rPr>
        <w:t>ta</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kim</w:t>
      </w:r>
      <w:r w:rsidRPr="00910CE3">
        <w:rPr>
          <w:rFonts w:asciiTheme="majorBidi" w:hAnsiTheme="majorBidi" w:cstheme="majorBidi"/>
          <w:sz w:val="24"/>
          <w:szCs w:val="24"/>
        </w:rPr>
        <w:t>, yaitu Khawarij.</w:t>
      </w:r>
      <w:r w:rsidRPr="00910CE3">
        <w:rPr>
          <w:rStyle w:val="FootnoteReference"/>
          <w:rFonts w:asciiTheme="majorBidi" w:hAnsiTheme="majorBidi" w:cstheme="majorBidi"/>
          <w:sz w:val="24"/>
          <w:szCs w:val="24"/>
        </w:rPr>
        <w:footnoteReference w:id="210"/>
      </w:r>
      <w:r w:rsidRPr="00910CE3">
        <w:rPr>
          <w:rFonts w:asciiTheme="majorBidi" w:hAnsiTheme="majorBidi" w:cstheme="majorBidi"/>
          <w:sz w:val="24"/>
          <w:szCs w:val="24"/>
        </w:rPr>
        <w:t xml:space="preserve"> </w:t>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Peristiwa-peristiwa penting yang terjadi di kalangan umat Islam telah melahirkan</w:t>
      </w:r>
      <w:r>
        <w:rPr>
          <w:rFonts w:asciiTheme="majorBidi" w:hAnsiTheme="majorBidi" w:cstheme="majorBidi"/>
          <w:sz w:val="24"/>
          <w:szCs w:val="24"/>
        </w:rPr>
        <w:t xml:space="preserve"> pemikiran-pemikiran politik di </w:t>
      </w:r>
      <w:r w:rsidRPr="00910CE3">
        <w:rPr>
          <w:rFonts w:asciiTheme="majorBidi" w:hAnsiTheme="majorBidi" w:cstheme="majorBidi"/>
          <w:sz w:val="24"/>
          <w:szCs w:val="24"/>
        </w:rPr>
        <w:t>masa-masa selanjutnya, yang merupakan respons  terhadap peristiwa dan hasil refleksi para pemikir politik. Munculnya sejumlah pemikir politik Islam seperti Ibn Abi Rabi’, al-Mawardi, al-Ghazali, al-Farabi, Ibn Taymiyah, Ibn Khaldun, dan Syah Waliyullah al-Dahlawi. Pemikiran politik Islam terbagi dalam tiga periode besar, yakni periode klasik, pertengahan, dan modern. Periode klasik berlangsung sejak abad ke-7 hingga abad ke-13 (1258M), periode pertengahan yang berlangsung sejak abad ke-14 hingga abad ke-19 (periode kejatuhan Abbasiyah hingga zaman kolonialisme), dan periode modern yang berlangsung sejaka bad ke-19 (kolonialisme) hingga sekarang.</w:t>
      </w:r>
      <w:r w:rsidRPr="00910CE3">
        <w:rPr>
          <w:rStyle w:val="FootnoteReference"/>
          <w:rFonts w:asciiTheme="majorBidi" w:hAnsiTheme="majorBidi" w:cstheme="majorBidi"/>
          <w:sz w:val="24"/>
          <w:szCs w:val="24"/>
        </w:rPr>
        <w:footnoteReference w:id="211"/>
      </w:r>
      <w:r w:rsidRPr="00910CE3">
        <w:rPr>
          <w:rFonts w:asciiTheme="majorBidi" w:hAnsiTheme="majorBidi" w:cstheme="majorBidi"/>
          <w:sz w:val="24"/>
          <w:szCs w:val="24"/>
        </w:rPr>
        <w:t xml:space="preserve"> </w:t>
      </w:r>
    </w:p>
    <w:p w:rsidR="00343B61" w:rsidRPr="00910CE3" w:rsidRDefault="00343B61" w:rsidP="002C0A33">
      <w:pPr>
        <w:numPr>
          <w:ilvl w:val="0"/>
          <w:numId w:val="20"/>
        </w:numPr>
        <w:spacing w:after="0" w:line="360" w:lineRule="auto"/>
        <w:jc w:val="both"/>
        <w:rPr>
          <w:rFonts w:asciiTheme="majorBidi" w:hAnsiTheme="majorBidi" w:cstheme="majorBidi"/>
          <w:b/>
          <w:sz w:val="24"/>
          <w:szCs w:val="24"/>
        </w:rPr>
      </w:pPr>
      <w:r w:rsidRPr="00910CE3">
        <w:rPr>
          <w:rFonts w:asciiTheme="majorBidi" w:hAnsiTheme="majorBidi" w:cstheme="majorBidi"/>
          <w:b/>
          <w:sz w:val="24"/>
          <w:szCs w:val="24"/>
        </w:rPr>
        <w:t>Periode Klasik</w:t>
      </w:r>
    </w:p>
    <w:p w:rsidR="00343B61" w:rsidRPr="00910CE3" w:rsidRDefault="00343B61" w:rsidP="00343B61">
      <w:pPr>
        <w:spacing w:line="360" w:lineRule="auto"/>
        <w:ind w:firstLine="900"/>
        <w:jc w:val="both"/>
        <w:rPr>
          <w:rFonts w:asciiTheme="majorBidi" w:hAnsiTheme="majorBidi" w:cstheme="majorBidi"/>
          <w:sz w:val="24"/>
          <w:szCs w:val="24"/>
        </w:rPr>
      </w:pPr>
      <w:r w:rsidRPr="00910CE3">
        <w:rPr>
          <w:rFonts w:asciiTheme="majorBidi" w:hAnsiTheme="majorBidi" w:cstheme="majorBidi"/>
          <w:sz w:val="24"/>
          <w:szCs w:val="24"/>
        </w:rPr>
        <w:lastRenderedPageBreak/>
        <w:t>Masa ini merupakan masa ekspansi, integrasi dan keemasan Islam. Masa awal pada periode ini, yang dimulai di masa Nabi Muhammad SAW merupakan masa dimana seluruh semenanjung Arabia telah tunduk di bawah kekuasaan Islam. Ekspansi ke daerah-daerah luar Arabia dimulai di zaman Khalifah pertama Abu Bakar as-Siddiq hingga masa kekuasaan Bani Umayyah dan dinasti Abbasiyah sebagai puncak kejayaan Islam. Penting pula dicatat bahwa di Periode ini disintegrasi Islam di bidang politik sebenarnya telah terjadi di zaman Bani Umayyah dan memuncak di zaman bani Abbasiyah, terutama  setelah khalifah-khalifah menjadi boneka di tangan tentara pengawal. Daerah-daerah yang jauh letaknya dari pusat pemerintahan Damaskus dan kemudian Baghdad melepaskan diri dari kekuasaan khalifah di pusat pemerintahan dan bermunculan dinasti-dinasti kecil.</w:t>
      </w:r>
      <w:r w:rsidRPr="00910CE3">
        <w:rPr>
          <w:rStyle w:val="FootnoteReference"/>
          <w:rFonts w:asciiTheme="majorBidi" w:hAnsiTheme="majorBidi" w:cstheme="majorBidi"/>
          <w:sz w:val="24"/>
          <w:szCs w:val="24"/>
        </w:rPr>
        <w:footnoteReference w:id="212"/>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Pada masa awal-awal Islam hingga masa Dinasti Umayyah (661-750 M), pemikiran politik Islam belum begitu kuat muncul di kalangan intelektual Islam, meskipun sudah ada gerakan oposisi dari kelompok Khawarij dan Syi’ah. Hal ini disebabkan oleh konsentrasi Dinasti Umayyah yang lebih banyak berorientasi pada pengembangan kekuasaan. Barulah pada masa Dinasti Abbasiyah, pemikiran politik Islam dikembangkan oleh sejumlah intelektual Islam seiring dengan prestasi intelektual Dinasti Abbasiyah yang telah berhasil mengembangkan ilmu pengetahuan dari berbagai bidang.</w:t>
      </w:r>
      <w:r w:rsidRPr="00910CE3">
        <w:rPr>
          <w:rStyle w:val="FootnoteReference"/>
          <w:rFonts w:asciiTheme="majorBidi" w:hAnsiTheme="majorBidi" w:cstheme="majorBidi"/>
          <w:sz w:val="24"/>
          <w:szCs w:val="24"/>
        </w:rPr>
        <w:footnoteReference w:id="213"/>
      </w:r>
      <w:r w:rsidRPr="00910CE3">
        <w:rPr>
          <w:rFonts w:asciiTheme="majorBidi" w:hAnsiTheme="majorBidi" w:cstheme="majorBidi"/>
          <w:sz w:val="24"/>
          <w:szCs w:val="24"/>
        </w:rPr>
        <w:t xml:space="preserve"> Namun demikian, kuatnya pengaruh negara membuat kajian yang dikembangkan oleh ulama ketika itu cenderung mendukung kekuasaan. Inilah yang terjadi di kalangan ulama sunni pada umumnya.</w:t>
      </w:r>
      <w:r w:rsidRPr="00910CE3">
        <w:rPr>
          <w:rStyle w:val="FootnoteReference"/>
          <w:rFonts w:asciiTheme="majorBidi" w:hAnsiTheme="majorBidi" w:cstheme="majorBidi"/>
          <w:sz w:val="24"/>
          <w:szCs w:val="24"/>
        </w:rPr>
        <w:footnoteReference w:id="214"/>
      </w:r>
      <w:r w:rsidRPr="00910CE3">
        <w:rPr>
          <w:rFonts w:asciiTheme="majorBidi" w:hAnsiTheme="majorBidi" w:cstheme="majorBidi"/>
          <w:sz w:val="24"/>
          <w:szCs w:val="24"/>
        </w:rPr>
        <w:t xml:space="preserve"> </w:t>
      </w:r>
    </w:p>
    <w:p w:rsidR="00343B61" w:rsidRPr="00910CE3" w:rsidRDefault="00343B61" w:rsidP="00343B61">
      <w:pPr>
        <w:pStyle w:val="ListParagraph"/>
        <w:spacing w:line="360" w:lineRule="auto"/>
        <w:ind w:left="0" w:firstLine="720"/>
        <w:jc w:val="both"/>
        <w:rPr>
          <w:rFonts w:asciiTheme="majorBidi" w:hAnsiTheme="majorBidi" w:cstheme="majorBidi"/>
          <w:sz w:val="20"/>
          <w:szCs w:val="20"/>
        </w:rPr>
      </w:pPr>
      <w:r w:rsidRPr="00910CE3">
        <w:rPr>
          <w:rFonts w:asciiTheme="majorBidi" w:hAnsiTheme="majorBidi" w:cstheme="majorBidi"/>
          <w:sz w:val="24"/>
          <w:szCs w:val="24"/>
        </w:rPr>
        <w:t xml:space="preserve">Ulama sunni yang dianggap pertama kali menulis kitab tentang siyāsah  ini adalah Ibn Abi Rabi’. Ia mempersembahkan karyanya berjudul </w:t>
      </w:r>
      <w:r w:rsidRPr="00910CE3">
        <w:rPr>
          <w:rFonts w:asciiTheme="majorBidi" w:hAnsiTheme="majorBidi" w:cstheme="majorBidi"/>
          <w:i/>
          <w:sz w:val="24"/>
          <w:szCs w:val="24"/>
        </w:rPr>
        <w:t>Sul</w:t>
      </w:r>
      <w:r w:rsidRPr="00910CE3">
        <w:rPr>
          <w:rFonts w:asciiTheme="majorBidi" w:hAnsiTheme="majorBidi" w:cstheme="majorBidi"/>
          <w:i/>
          <w:iCs/>
          <w:sz w:val="24"/>
          <w:szCs w:val="24"/>
        </w:rPr>
        <w:t>ū</w:t>
      </w:r>
      <w:r w:rsidRPr="00910CE3">
        <w:rPr>
          <w:rFonts w:asciiTheme="majorBidi" w:hAnsiTheme="majorBidi" w:cstheme="majorBidi"/>
          <w:i/>
          <w:sz w:val="24"/>
          <w:szCs w:val="24"/>
        </w:rPr>
        <w:t>k al-M</w:t>
      </w:r>
      <w:r w:rsidRPr="00910CE3">
        <w:rPr>
          <w:rFonts w:asciiTheme="majorBidi" w:hAnsiTheme="majorBidi" w:cstheme="majorBidi"/>
          <w:i/>
          <w:iCs/>
          <w:sz w:val="24"/>
          <w:szCs w:val="24"/>
        </w:rPr>
        <w:t>ā</w:t>
      </w:r>
      <w:r w:rsidRPr="00910CE3">
        <w:rPr>
          <w:rFonts w:asciiTheme="majorBidi" w:hAnsiTheme="majorBidi" w:cstheme="majorBidi"/>
          <w:i/>
          <w:sz w:val="24"/>
          <w:szCs w:val="24"/>
        </w:rPr>
        <w:t>lik fi Tadbir al- Mam</w:t>
      </w:r>
      <w:r w:rsidRPr="00910CE3">
        <w:rPr>
          <w:rFonts w:asciiTheme="majorBidi" w:hAnsiTheme="majorBidi" w:cstheme="majorBidi"/>
          <w:i/>
          <w:iCs/>
          <w:sz w:val="24"/>
          <w:szCs w:val="24"/>
        </w:rPr>
        <w:t>ā</w:t>
      </w:r>
      <w:r w:rsidRPr="00910CE3">
        <w:rPr>
          <w:rFonts w:asciiTheme="majorBidi" w:hAnsiTheme="majorBidi" w:cstheme="majorBidi"/>
          <w:i/>
          <w:sz w:val="24"/>
          <w:szCs w:val="24"/>
        </w:rPr>
        <w:t>lik</w:t>
      </w:r>
      <w:r w:rsidRPr="00910CE3">
        <w:rPr>
          <w:rFonts w:asciiTheme="majorBidi" w:hAnsiTheme="majorBidi" w:cstheme="majorBidi"/>
          <w:sz w:val="24"/>
          <w:szCs w:val="24"/>
        </w:rPr>
        <w:t xml:space="preserve"> ( Pedoman bagi Raja dalam Menjalankan Pemerintahan) </w:t>
      </w:r>
      <w:r w:rsidRPr="00910CE3">
        <w:rPr>
          <w:rFonts w:asciiTheme="majorBidi" w:hAnsiTheme="majorBidi" w:cstheme="majorBidi"/>
          <w:sz w:val="24"/>
          <w:szCs w:val="24"/>
        </w:rPr>
        <w:lastRenderedPageBreak/>
        <w:t>kepada Khalifah al-Mu’tashim yang memerintah pada 833-842 M. sebagai “buku persembahan”, tentu karangannya tidak dapat diharapkan memberi koreksi terhadap penguasa. Buku ini tidak mempertanyakan sistem monarki secara turun temurun, bahkan mendukungnya. Ibn Abi Rabi’ pun memuji-muji al-Mu’tashim sebagai khalifah yang adil, bijaksana, dan mampu memberikan kesejahteraan bagi rakyatnya.</w:t>
      </w:r>
      <w:r w:rsidRPr="00910CE3">
        <w:rPr>
          <w:rStyle w:val="FootnoteReference"/>
          <w:rFonts w:asciiTheme="majorBidi" w:hAnsiTheme="majorBidi" w:cstheme="majorBidi"/>
          <w:sz w:val="24"/>
          <w:szCs w:val="24"/>
        </w:rPr>
        <w:footnoteReference w:id="215"/>
      </w:r>
      <w:r w:rsidRPr="00910CE3">
        <w:rPr>
          <w:rFonts w:asciiTheme="majorBidi" w:hAnsiTheme="majorBidi" w:cstheme="majorBidi"/>
          <w:sz w:val="24"/>
          <w:szCs w:val="24"/>
        </w:rPr>
        <w:t xml:space="preserve"> Karena itu, Ibn Abi Rabi’ menekankan kepatuhan mutlak rakyat kepada khalifah selaku kepala negara. Meskipun demikian, Ibn Abi Rabi’ mengembangkan pemikirannya dengan mengadopsi beberapa pemikiran filosuf Yunani. Ketika berbicara tentang asal mula timbulnya negara, misalnya Ibn Abi Rabi’ mendukung pendapat Plato yang menyatakan bahwa manusia tidak dapat memenuhi kebutuhan hidupnya sendiri tanpa bantuan orang lain. Ini merupakan awal timbulnya kerjasama antara sesama manusia yang pada gilirannya akan membentuk negara.</w:t>
      </w:r>
      <w:r w:rsidRPr="00910CE3">
        <w:rPr>
          <w:rStyle w:val="FootnoteReference"/>
          <w:rFonts w:asciiTheme="majorBidi" w:hAnsiTheme="majorBidi" w:cstheme="majorBidi"/>
          <w:sz w:val="24"/>
          <w:szCs w:val="24"/>
        </w:rPr>
        <w:footnoteReference w:id="216"/>
      </w:r>
    </w:p>
    <w:p w:rsidR="00343B61" w:rsidRPr="00910CE3" w:rsidRDefault="00343B61" w:rsidP="00343B61">
      <w:pPr>
        <w:pStyle w:val="ListParagraph"/>
        <w:spacing w:line="360" w:lineRule="auto"/>
        <w:ind w:left="0" w:firstLine="720"/>
        <w:jc w:val="both"/>
        <w:rPr>
          <w:rFonts w:asciiTheme="majorBidi" w:hAnsiTheme="majorBidi" w:cstheme="majorBidi"/>
          <w:i/>
          <w:iCs/>
          <w:sz w:val="24"/>
          <w:szCs w:val="24"/>
        </w:rPr>
      </w:pPr>
      <w:r w:rsidRPr="00910CE3">
        <w:rPr>
          <w:rFonts w:asciiTheme="majorBidi" w:hAnsiTheme="majorBidi" w:cstheme="majorBidi"/>
          <w:sz w:val="24"/>
          <w:szCs w:val="24"/>
        </w:rPr>
        <w:t xml:space="preserve">Pandangan Ibn Abi Rabi’, dalam beberapa hal juga mendapat dukungan dari al-Ghazali (1058-1111 M). dalam kitabnya </w:t>
      </w:r>
      <w:r w:rsidRPr="00910CE3">
        <w:rPr>
          <w:rFonts w:asciiTheme="majorBidi" w:hAnsiTheme="majorBidi" w:cstheme="majorBidi"/>
          <w:i/>
          <w:sz w:val="24"/>
          <w:szCs w:val="24"/>
        </w:rPr>
        <w:t>al-Iqtish</w:t>
      </w:r>
      <w:r w:rsidRPr="00910CE3">
        <w:rPr>
          <w:rFonts w:asciiTheme="majorBidi" w:hAnsiTheme="majorBidi" w:cstheme="majorBidi"/>
          <w:i/>
          <w:iCs/>
          <w:sz w:val="24"/>
          <w:szCs w:val="24"/>
        </w:rPr>
        <w:t>ā</w:t>
      </w:r>
      <w:r w:rsidRPr="00910CE3">
        <w:rPr>
          <w:rFonts w:asciiTheme="majorBidi" w:hAnsiTheme="majorBidi" w:cstheme="majorBidi"/>
          <w:i/>
          <w:sz w:val="24"/>
          <w:szCs w:val="24"/>
        </w:rPr>
        <w:t>d fi al-I’tiq</w:t>
      </w:r>
      <w:r w:rsidRPr="00910CE3">
        <w:rPr>
          <w:rFonts w:asciiTheme="majorBidi" w:hAnsiTheme="majorBidi" w:cstheme="majorBidi"/>
          <w:i/>
          <w:iCs/>
          <w:sz w:val="24"/>
          <w:szCs w:val="24"/>
        </w:rPr>
        <w:t>ā</w:t>
      </w:r>
      <w:r w:rsidRPr="00910CE3">
        <w:rPr>
          <w:rFonts w:asciiTheme="majorBidi" w:hAnsiTheme="majorBidi" w:cstheme="majorBidi"/>
          <w:i/>
          <w:sz w:val="24"/>
          <w:szCs w:val="24"/>
        </w:rPr>
        <w:t xml:space="preserve">d, </w:t>
      </w:r>
      <w:r w:rsidRPr="00910CE3">
        <w:rPr>
          <w:rFonts w:asciiTheme="majorBidi" w:hAnsiTheme="majorBidi" w:cstheme="majorBidi"/>
          <w:sz w:val="24"/>
          <w:szCs w:val="24"/>
        </w:rPr>
        <w:t xml:space="preserve">al-Ghazali menyebutkan bahwa kekuasaan kepala negara adalah </w:t>
      </w:r>
      <w:r w:rsidRPr="00910CE3">
        <w:rPr>
          <w:rFonts w:asciiTheme="majorBidi" w:hAnsiTheme="majorBidi" w:cstheme="majorBidi"/>
          <w:i/>
          <w:iCs/>
          <w:sz w:val="24"/>
          <w:szCs w:val="24"/>
        </w:rPr>
        <w:t>qudus</w:t>
      </w:r>
      <w:r w:rsidRPr="00910CE3">
        <w:rPr>
          <w:rFonts w:asciiTheme="majorBidi" w:hAnsiTheme="majorBidi" w:cstheme="majorBidi"/>
          <w:sz w:val="24"/>
          <w:szCs w:val="24"/>
        </w:rPr>
        <w:t xml:space="preserve"> (suci). Karenanya, umat tidak boleh memberontak terhadap kekuasaan. Tapi dalam karya Al-Ghazali yang lain yaitu </w:t>
      </w:r>
      <w:r w:rsidRPr="00910CE3">
        <w:rPr>
          <w:rFonts w:asciiTheme="majorBidi" w:hAnsiTheme="majorBidi" w:cstheme="majorBidi"/>
          <w:i/>
          <w:iCs/>
          <w:sz w:val="24"/>
          <w:szCs w:val="24"/>
        </w:rPr>
        <w:t>Al-Tibr al- Masbūk fi Nashi</w:t>
      </w:r>
      <w:r w:rsidRPr="00910CE3">
        <w:rPr>
          <w:rFonts w:ascii="Times New Roman" w:hAnsi="Times New Roman" w:cs="Times New Roman"/>
          <w:i/>
          <w:iCs/>
          <w:sz w:val="24"/>
          <w:szCs w:val="24"/>
          <w:u w:val="single"/>
          <w:lang w:val="id-ID"/>
        </w:rPr>
        <w:t>h</w:t>
      </w:r>
      <w:r w:rsidRPr="00910CE3">
        <w:rPr>
          <w:rFonts w:asciiTheme="majorBidi" w:hAnsiTheme="majorBidi" w:cstheme="majorBidi"/>
          <w:i/>
          <w:iCs/>
          <w:sz w:val="24"/>
          <w:szCs w:val="24"/>
        </w:rPr>
        <w:t>ah al-Mulūk</w:t>
      </w:r>
      <w:r w:rsidRPr="00910CE3">
        <w:rPr>
          <w:rFonts w:asciiTheme="majorBidi" w:hAnsiTheme="majorBidi" w:cstheme="majorBidi"/>
          <w:sz w:val="24"/>
          <w:szCs w:val="24"/>
        </w:rPr>
        <w:t>, al-Ghazali jelas-jelas menunjukkan komitmen untuk memperingati penguasa ketika berbuat kesalahan. Al-Ghazali tidak ingin menjadi pengabdi penguasa yang tidak melakukan kritik.</w:t>
      </w:r>
      <w:r w:rsidRPr="00910CE3">
        <w:rPr>
          <w:rStyle w:val="FootnoteReference"/>
          <w:rFonts w:asciiTheme="majorBidi" w:hAnsiTheme="majorBidi" w:cstheme="majorBidi"/>
          <w:sz w:val="24"/>
          <w:szCs w:val="24"/>
        </w:rPr>
        <w:footnoteReference w:id="217"/>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Berdasarkan kenyataan ini Harun Nasution menyimpulkan bahwa teori politik Sunni abad Klasik ini cenderung memberi legitimasi terhadap kekuasaan. Ini wajar, karena pada umumnya tokoh </w:t>
      </w:r>
      <w:r w:rsidRPr="00910CE3">
        <w:rPr>
          <w:rFonts w:asciiTheme="majorBidi" w:hAnsiTheme="majorBidi" w:cstheme="majorBidi"/>
          <w:i/>
          <w:sz w:val="24"/>
          <w:szCs w:val="24"/>
        </w:rPr>
        <w:t xml:space="preserve">Fiqh Siyāsah  </w:t>
      </w:r>
      <w:r w:rsidRPr="00910CE3">
        <w:rPr>
          <w:rFonts w:asciiTheme="majorBidi" w:hAnsiTheme="majorBidi" w:cstheme="majorBidi"/>
          <w:sz w:val="24"/>
          <w:szCs w:val="24"/>
        </w:rPr>
        <w:t xml:space="preserve"> pada masa ini berada di </w:t>
      </w:r>
      <w:r w:rsidRPr="00910CE3">
        <w:rPr>
          <w:rFonts w:asciiTheme="majorBidi" w:hAnsiTheme="majorBidi" w:cstheme="majorBidi"/>
          <w:sz w:val="24"/>
          <w:szCs w:val="24"/>
        </w:rPr>
        <w:lastRenderedPageBreak/>
        <w:t xml:space="preserve">lingkaran kekuasaan. Sebagai contoh al-Mawardi sendiri seorang Pejabat Penting dalam pemerintahan bani Abbas. </w:t>
      </w:r>
      <w:r w:rsidRPr="00910CE3">
        <w:rPr>
          <w:rStyle w:val="FootnoteReference"/>
          <w:rFonts w:asciiTheme="majorBidi" w:hAnsiTheme="majorBidi" w:cstheme="majorBidi"/>
          <w:sz w:val="24"/>
          <w:szCs w:val="24"/>
        </w:rPr>
        <w:footnoteReference w:id="218"/>
      </w:r>
    </w:p>
    <w:p w:rsidR="00343B61" w:rsidRPr="00910CE3" w:rsidRDefault="00343B61" w:rsidP="002C0A33">
      <w:pPr>
        <w:numPr>
          <w:ilvl w:val="0"/>
          <w:numId w:val="20"/>
        </w:numPr>
        <w:spacing w:after="0" w:line="360" w:lineRule="auto"/>
        <w:jc w:val="both"/>
        <w:rPr>
          <w:rFonts w:asciiTheme="majorBidi" w:hAnsiTheme="majorBidi" w:cstheme="majorBidi"/>
          <w:b/>
          <w:sz w:val="24"/>
          <w:szCs w:val="24"/>
        </w:rPr>
      </w:pPr>
      <w:r w:rsidRPr="00910CE3">
        <w:rPr>
          <w:rFonts w:asciiTheme="majorBidi" w:hAnsiTheme="majorBidi" w:cstheme="majorBidi"/>
          <w:b/>
          <w:sz w:val="24"/>
          <w:szCs w:val="24"/>
        </w:rPr>
        <w:t xml:space="preserve">Periode Pertengahan </w:t>
      </w:r>
    </w:p>
    <w:p w:rsidR="00343B61" w:rsidRPr="00910CE3" w:rsidRDefault="00343B61" w:rsidP="00343B61">
      <w:pPr>
        <w:spacing w:line="360" w:lineRule="auto"/>
        <w:ind w:firstLine="720"/>
        <w:jc w:val="both"/>
        <w:rPr>
          <w:rFonts w:asciiTheme="majorBidi" w:hAnsiTheme="majorBidi" w:cstheme="majorBidi"/>
          <w:bCs/>
          <w:sz w:val="24"/>
          <w:szCs w:val="24"/>
        </w:rPr>
      </w:pPr>
      <w:r w:rsidRPr="00910CE3">
        <w:rPr>
          <w:rFonts w:asciiTheme="majorBidi" w:hAnsiTheme="majorBidi" w:cstheme="majorBidi"/>
          <w:bCs/>
          <w:sz w:val="24"/>
          <w:szCs w:val="24"/>
        </w:rPr>
        <w:t>Periode pertengahan dibagi dalam dua masa; masa kemunduran pertama, dan masa tiga kerajaan besar ( Usmani di Turki, Safawi di Persia, dan Mughol di India). Periode pertengahan ditandai dengan hancurnya dinasti Abbasiyah di tangan tentara Mongol 1258 M. yang pada gerak selanjutnya kemudian kekuatan politik Islam mengalami kemunduran, sehinga orientasi pemikiran politiknya pun berubah. Islam mengalami perpecahan politik dengan munculnya banyak dinasti-dinasti kecil dalam khilafah Islam. Jatuhnya Dinasti Abbasiyah sebagai dinasti yang banyak melahirkan ilmu pengetahuan. Mengakibatkan dunia Islam semakin terpuruk. Sementara di luar dunia Islam, ada ancaman dari Negara-negara Barat yang sudah mulai bangkit dari kegelapannya. Dalam kondisi sosial-politik yang carut-marut, pemikiran politik Islam menunjukkan kecendurungan untuk membangkitkan kekuatan dunia Islam. Tak heran, Jika para pemikir Politik Islam pada periode ini mencerminkan kecenderungan responsif realis terhadap kejatuhan dunia Islam</w:t>
      </w:r>
      <w:r w:rsidRPr="00910CE3">
        <w:rPr>
          <w:rStyle w:val="FootnoteReference"/>
          <w:rFonts w:asciiTheme="majorBidi" w:hAnsiTheme="majorBidi" w:cstheme="majorBidi"/>
          <w:bCs/>
          <w:sz w:val="24"/>
          <w:szCs w:val="24"/>
        </w:rPr>
        <w:footnoteReference w:id="219"/>
      </w:r>
      <w:r w:rsidRPr="00910CE3">
        <w:rPr>
          <w:rFonts w:asciiTheme="majorBidi" w:hAnsiTheme="majorBidi" w:cstheme="majorBidi"/>
          <w:bCs/>
          <w:sz w:val="24"/>
          <w:szCs w:val="24"/>
        </w:rPr>
        <w:t xml:space="preserve">. Beberapa Intelektual yang muncul pada periode ini :  </w:t>
      </w:r>
    </w:p>
    <w:p w:rsidR="00343B61" w:rsidRPr="00F306B0" w:rsidRDefault="00343B61" w:rsidP="002C0A33">
      <w:pPr>
        <w:pStyle w:val="ListParagraph"/>
        <w:numPr>
          <w:ilvl w:val="0"/>
          <w:numId w:val="33"/>
        </w:numPr>
        <w:spacing w:line="360" w:lineRule="auto"/>
        <w:jc w:val="both"/>
        <w:rPr>
          <w:rFonts w:asciiTheme="majorBidi" w:hAnsiTheme="majorBidi" w:cstheme="majorBidi"/>
          <w:i/>
          <w:iCs/>
          <w:sz w:val="24"/>
          <w:szCs w:val="24"/>
        </w:rPr>
      </w:pPr>
      <w:r w:rsidRPr="00F306B0">
        <w:rPr>
          <w:rFonts w:asciiTheme="majorBidi" w:hAnsiTheme="majorBidi" w:cstheme="majorBidi"/>
          <w:bCs/>
          <w:sz w:val="24"/>
          <w:szCs w:val="24"/>
        </w:rPr>
        <w:t>Ibn Taimiyah ( 1263-1328 M), ia lahir di Harran, dekat Damaskus. Ketika beliau berusia enam tahun Ibn Taimiyah harus dilarikan oleh ayahnya untuk mengungsi menghindari kekejaman tentara Mongol yang mulai bergerak menuju kota Harran</w:t>
      </w:r>
      <w:r w:rsidRPr="00910CE3">
        <w:rPr>
          <w:rStyle w:val="FootnoteReference"/>
          <w:rFonts w:asciiTheme="majorBidi" w:hAnsiTheme="majorBidi" w:cstheme="majorBidi"/>
          <w:bCs/>
          <w:sz w:val="24"/>
          <w:szCs w:val="24"/>
        </w:rPr>
        <w:footnoteReference w:id="220"/>
      </w:r>
      <w:r w:rsidRPr="00F306B0">
        <w:rPr>
          <w:rFonts w:asciiTheme="majorBidi" w:hAnsiTheme="majorBidi" w:cstheme="majorBidi"/>
          <w:bCs/>
          <w:sz w:val="24"/>
          <w:szCs w:val="24"/>
        </w:rPr>
        <w:t xml:space="preserve">. Pengalaman pahit ini ternyata sangat berbekas dalam kepribadian Ibn Taimiyah dan mempengaruhi pemikiran politiknya. Ibn Taimiyah menuangkan pemikiran </w:t>
      </w:r>
      <w:r w:rsidRPr="00F306B0">
        <w:rPr>
          <w:rFonts w:asciiTheme="majorBidi" w:hAnsiTheme="majorBidi" w:cstheme="majorBidi"/>
          <w:bCs/>
          <w:i/>
          <w:iCs/>
          <w:sz w:val="24"/>
          <w:szCs w:val="24"/>
        </w:rPr>
        <w:t>siyāsah</w:t>
      </w:r>
      <w:r w:rsidRPr="00F306B0">
        <w:rPr>
          <w:rFonts w:asciiTheme="majorBidi" w:hAnsiTheme="majorBidi" w:cstheme="majorBidi"/>
          <w:bCs/>
          <w:sz w:val="24"/>
          <w:szCs w:val="24"/>
        </w:rPr>
        <w:t xml:space="preserve">  pada beberapa karya berharga beliau, di antaranya </w:t>
      </w:r>
      <w:r w:rsidRPr="00F306B0">
        <w:rPr>
          <w:rFonts w:asciiTheme="majorBidi" w:hAnsiTheme="majorBidi" w:cstheme="majorBidi"/>
          <w:bCs/>
          <w:i/>
          <w:iCs/>
          <w:sz w:val="24"/>
          <w:szCs w:val="24"/>
        </w:rPr>
        <w:t>al</w:t>
      </w:r>
      <w:r w:rsidRPr="00F306B0">
        <w:rPr>
          <w:rFonts w:asciiTheme="majorBidi" w:hAnsiTheme="majorBidi" w:cstheme="majorBidi"/>
          <w:bCs/>
          <w:sz w:val="24"/>
          <w:szCs w:val="24"/>
        </w:rPr>
        <w:t>-</w:t>
      </w:r>
      <w:r w:rsidRPr="00F306B0">
        <w:rPr>
          <w:rFonts w:asciiTheme="majorBidi" w:hAnsiTheme="majorBidi" w:cstheme="majorBidi"/>
          <w:i/>
          <w:iCs/>
          <w:sz w:val="24"/>
          <w:szCs w:val="24"/>
          <w:lang w:val="id-ID"/>
        </w:rPr>
        <w:t>siyāsah</w:t>
      </w:r>
      <w:r w:rsidRPr="00F306B0">
        <w:rPr>
          <w:rFonts w:asciiTheme="majorBidi" w:hAnsiTheme="majorBidi" w:cstheme="majorBidi"/>
          <w:i/>
          <w:iCs/>
          <w:sz w:val="24"/>
          <w:szCs w:val="24"/>
        </w:rPr>
        <w:t xml:space="preserve"> al-</w:t>
      </w:r>
      <w:r w:rsidRPr="00F306B0">
        <w:rPr>
          <w:rFonts w:asciiTheme="majorBidi" w:hAnsiTheme="majorBidi" w:cstheme="majorBidi"/>
          <w:i/>
          <w:iCs/>
          <w:sz w:val="24"/>
          <w:szCs w:val="24"/>
          <w:lang w:val="id-ID"/>
        </w:rPr>
        <w:t>syar‘iyyah</w:t>
      </w:r>
      <w:r w:rsidRPr="00F306B0">
        <w:rPr>
          <w:rFonts w:asciiTheme="majorBidi" w:hAnsiTheme="majorBidi" w:cstheme="majorBidi"/>
          <w:i/>
          <w:iCs/>
          <w:sz w:val="24"/>
          <w:szCs w:val="24"/>
        </w:rPr>
        <w:t xml:space="preserve"> </w:t>
      </w:r>
      <w:r w:rsidRPr="00F306B0">
        <w:rPr>
          <w:rFonts w:asciiTheme="majorBidi" w:hAnsiTheme="majorBidi" w:cstheme="majorBidi"/>
          <w:bCs/>
          <w:i/>
          <w:iCs/>
          <w:sz w:val="24"/>
          <w:szCs w:val="24"/>
        </w:rPr>
        <w:t>fī I</w:t>
      </w:r>
      <w:r w:rsidRPr="00F306B0">
        <w:rPr>
          <w:rFonts w:asciiTheme="majorBidi" w:hAnsiTheme="majorBidi" w:cstheme="majorBidi"/>
          <w:i/>
          <w:iCs/>
          <w:color w:val="222222"/>
          <w:sz w:val="24"/>
          <w:szCs w:val="24"/>
        </w:rPr>
        <w:t>ṣ</w:t>
      </w:r>
      <w:r w:rsidRPr="00F306B0">
        <w:rPr>
          <w:rFonts w:asciiTheme="majorBidi" w:hAnsiTheme="majorBidi" w:cstheme="majorBidi"/>
          <w:bCs/>
          <w:i/>
          <w:iCs/>
          <w:sz w:val="24"/>
          <w:szCs w:val="24"/>
        </w:rPr>
        <w:t>l</w:t>
      </w:r>
      <w:r w:rsidRPr="00F306B0">
        <w:rPr>
          <w:rFonts w:asciiTheme="majorBidi" w:hAnsiTheme="majorBidi" w:cstheme="majorBidi"/>
          <w:i/>
          <w:iCs/>
          <w:sz w:val="24"/>
          <w:szCs w:val="24"/>
          <w:lang w:val="id-ID"/>
        </w:rPr>
        <w:t>ā</w:t>
      </w:r>
      <w:r w:rsidRPr="00F306B0">
        <w:rPr>
          <w:rFonts w:ascii="Times New Roman" w:hAnsi="Times New Roman" w:cs="Times New Roman"/>
          <w:i/>
          <w:iCs/>
          <w:sz w:val="24"/>
          <w:szCs w:val="24"/>
          <w:u w:val="single"/>
          <w:lang w:val="id-ID"/>
        </w:rPr>
        <w:t>h</w:t>
      </w:r>
      <w:r w:rsidRPr="00F306B0">
        <w:rPr>
          <w:rFonts w:asciiTheme="majorBidi" w:hAnsiTheme="majorBidi" w:cstheme="majorBidi"/>
          <w:i/>
          <w:iCs/>
          <w:color w:val="222222"/>
          <w:sz w:val="24"/>
          <w:szCs w:val="24"/>
        </w:rPr>
        <w:t xml:space="preserve"> </w:t>
      </w:r>
      <w:r w:rsidRPr="00F306B0">
        <w:rPr>
          <w:rFonts w:asciiTheme="majorBidi" w:hAnsiTheme="majorBidi" w:cstheme="majorBidi"/>
          <w:bCs/>
          <w:i/>
          <w:iCs/>
          <w:sz w:val="24"/>
          <w:szCs w:val="24"/>
        </w:rPr>
        <w:t>al-R</w:t>
      </w:r>
      <w:r w:rsidRPr="00F306B0">
        <w:rPr>
          <w:rFonts w:asciiTheme="majorBidi" w:hAnsiTheme="majorBidi" w:cstheme="majorBidi"/>
          <w:i/>
          <w:iCs/>
          <w:sz w:val="24"/>
          <w:szCs w:val="24"/>
          <w:lang w:val="id-ID"/>
        </w:rPr>
        <w:t>ā</w:t>
      </w:r>
      <w:r>
        <w:t>‘</w:t>
      </w:r>
      <w:r w:rsidRPr="00F306B0">
        <w:rPr>
          <w:rFonts w:asciiTheme="majorBidi" w:hAnsiTheme="majorBidi" w:cstheme="majorBidi"/>
          <w:bCs/>
          <w:i/>
          <w:iCs/>
          <w:sz w:val="24"/>
          <w:szCs w:val="24"/>
        </w:rPr>
        <w:t xml:space="preserve">ī </w:t>
      </w:r>
      <w:r w:rsidRPr="00F306B0">
        <w:rPr>
          <w:rFonts w:asciiTheme="majorBidi" w:hAnsiTheme="majorBidi" w:cstheme="majorBidi"/>
          <w:bCs/>
          <w:i/>
          <w:iCs/>
          <w:sz w:val="24"/>
          <w:szCs w:val="24"/>
        </w:rPr>
        <w:lastRenderedPageBreak/>
        <w:t>wa al-Ra</w:t>
      </w:r>
      <w:r>
        <w:t>‘</w:t>
      </w:r>
      <w:r w:rsidRPr="00F306B0">
        <w:rPr>
          <w:rFonts w:asciiTheme="majorBidi" w:hAnsiTheme="majorBidi" w:cstheme="majorBidi"/>
          <w:bCs/>
          <w:i/>
          <w:iCs/>
          <w:sz w:val="24"/>
          <w:szCs w:val="24"/>
        </w:rPr>
        <w:t>iyah</w:t>
      </w:r>
      <w:r w:rsidRPr="00F306B0">
        <w:rPr>
          <w:rStyle w:val="FootnoteReference"/>
          <w:rFonts w:asciiTheme="majorBidi" w:hAnsiTheme="majorBidi" w:cstheme="majorBidi"/>
          <w:bCs/>
          <w:i/>
          <w:iCs/>
          <w:sz w:val="24"/>
          <w:szCs w:val="24"/>
        </w:rPr>
        <w:t xml:space="preserve"> </w:t>
      </w:r>
      <w:r w:rsidRPr="00910CE3">
        <w:rPr>
          <w:rStyle w:val="FootnoteReference"/>
          <w:rFonts w:asciiTheme="majorBidi" w:hAnsiTheme="majorBidi" w:cstheme="majorBidi"/>
          <w:bCs/>
          <w:i/>
          <w:iCs/>
          <w:sz w:val="24"/>
          <w:szCs w:val="24"/>
        </w:rPr>
        <w:footnoteReference w:id="221"/>
      </w:r>
      <w:r w:rsidRPr="00F306B0">
        <w:rPr>
          <w:rFonts w:asciiTheme="majorBidi" w:hAnsiTheme="majorBidi" w:cstheme="majorBidi"/>
          <w:bCs/>
          <w:sz w:val="24"/>
          <w:szCs w:val="24"/>
        </w:rPr>
        <w:t xml:space="preserve">( Politik berdasarkan </w:t>
      </w:r>
      <w:r w:rsidRPr="00905A91">
        <w:rPr>
          <w:rFonts w:asciiTheme="majorBidi" w:hAnsiTheme="majorBidi" w:cstheme="majorBidi"/>
          <w:bCs/>
          <w:i/>
          <w:iCs/>
          <w:sz w:val="24"/>
          <w:szCs w:val="24"/>
        </w:rPr>
        <w:t>syarī’ah</w:t>
      </w:r>
      <w:r w:rsidRPr="00F306B0">
        <w:rPr>
          <w:rFonts w:asciiTheme="majorBidi" w:hAnsiTheme="majorBidi" w:cstheme="majorBidi"/>
          <w:bCs/>
          <w:sz w:val="24"/>
          <w:szCs w:val="24"/>
        </w:rPr>
        <w:t xml:space="preserve"> bagi</w:t>
      </w:r>
      <w:r>
        <w:rPr>
          <w:rFonts w:asciiTheme="majorBidi" w:hAnsiTheme="majorBidi" w:cstheme="majorBidi"/>
          <w:bCs/>
          <w:sz w:val="24"/>
          <w:szCs w:val="24"/>
        </w:rPr>
        <w:t xml:space="preserve"> perbaikan penguasa dan rakyat).</w:t>
      </w:r>
      <w:r w:rsidRPr="00F306B0">
        <w:rPr>
          <w:rFonts w:asciiTheme="majorBidi" w:hAnsiTheme="majorBidi" w:cstheme="majorBidi"/>
          <w:bCs/>
          <w:sz w:val="24"/>
          <w:szCs w:val="24"/>
        </w:rPr>
        <w:t xml:space="preserve"> </w:t>
      </w:r>
      <w:r w:rsidRPr="00905A91">
        <w:rPr>
          <w:rFonts w:asciiTheme="majorBidi" w:hAnsiTheme="majorBidi" w:cstheme="majorBidi"/>
          <w:bCs/>
          <w:i/>
          <w:iCs/>
          <w:sz w:val="24"/>
          <w:szCs w:val="24"/>
        </w:rPr>
        <w:t>Majm</w:t>
      </w:r>
      <w:r w:rsidRPr="00905A91">
        <w:rPr>
          <w:rFonts w:asciiTheme="majorBidi" w:hAnsiTheme="majorBidi" w:cstheme="majorBidi"/>
          <w:i/>
          <w:iCs/>
          <w:sz w:val="24"/>
          <w:szCs w:val="24"/>
        </w:rPr>
        <w:t>ū</w:t>
      </w:r>
      <w:r w:rsidRPr="00905A91">
        <w:rPr>
          <w:sz w:val="24"/>
          <w:szCs w:val="24"/>
        </w:rPr>
        <w:t>‘</w:t>
      </w:r>
      <w:r w:rsidRPr="00905A91">
        <w:rPr>
          <w:rFonts w:asciiTheme="majorBidi" w:hAnsiTheme="majorBidi" w:cstheme="majorBidi"/>
          <w:bCs/>
          <w:i/>
          <w:iCs/>
          <w:sz w:val="24"/>
          <w:szCs w:val="24"/>
        </w:rPr>
        <w:t xml:space="preserve"> al-Fat</w:t>
      </w:r>
      <w:r w:rsidRPr="00905A91">
        <w:rPr>
          <w:rFonts w:asciiTheme="majorBidi" w:hAnsiTheme="majorBidi" w:cstheme="majorBidi"/>
          <w:i/>
          <w:iCs/>
          <w:sz w:val="24"/>
          <w:szCs w:val="24"/>
          <w:lang w:val="id-ID"/>
        </w:rPr>
        <w:t>ā</w:t>
      </w:r>
      <w:r w:rsidRPr="00905A91">
        <w:rPr>
          <w:rFonts w:asciiTheme="majorBidi" w:hAnsiTheme="majorBidi" w:cstheme="majorBidi"/>
          <w:bCs/>
          <w:i/>
          <w:iCs/>
          <w:sz w:val="24"/>
          <w:szCs w:val="24"/>
        </w:rPr>
        <w:t>w</w:t>
      </w:r>
      <w:r w:rsidRPr="00905A91">
        <w:rPr>
          <w:rFonts w:asciiTheme="majorBidi" w:hAnsiTheme="majorBidi" w:cstheme="majorBidi"/>
          <w:i/>
          <w:iCs/>
          <w:sz w:val="24"/>
          <w:szCs w:val="24"/>
          <w:lang w:val="id-ID"/>
        </w:rPr>
        <w:t>ā</w:t>
      </w:r>
      <w:r w:rsidRPr="00910CE3">
        <w:rPr>
          <w:rStyle w:val="FootnoteReference"/>
          <w:rFonts w:asciiTheme="majorBidi" w:hAnsiTheme="majorBidi" w:cstheme="majorBidi"/>
          <w:bCs/>
          <w:i/>
          <w:iCs/>
          <w:sz w:val="24"/>
          <w:szCs w:val="24"/>
        </w:rPr>
        <w:footnoteReference w:id="222"/>
      </w:r>
      <w:r w:rsidRPr="00F306B0">
        <w:rPr>
          <w:rFonts w:asciiTheme="majorBidi" w:hAnsiTheme="majorBidi" w:cstheme="majorBidi"/>
          <w:bCs/>
          <w:sz w:val="24"/>
          <w:szCs w:val="24"/>
        </w:rPr>
        <w:t xml:space="preserve"> ( kompilasi fatwa-fatwa), dan </w:t>
      </w:r>
      <w:r w:rsidRPr="00F306B0">
        <w:rPr>
          <w:rFonts w:asciiTheme="majorBidi" w:hAnsiTheme="majorBidi" w:cstheme="majorBidi"/>
          <w:bCs/>
          <w:i/>
          <w:iCs/>
          <w:sz w:val="24"/>
          <w:szCs w:val="24"/>
        </w:rPr>
        <w:t>Minh</w:t>
      </w:r>
      <w:r>
        <w:rPr>
          <w:rFonts w:asciiTheme="majorBidi" w:hAnsiTheme="majorBidi" w:cstheme="majorBidi"/>
          <w:i/>
          <w:iCs/>
          <w:sz w:val="24"/>
          <w:szCs w:val="24"/>
          <w:lang w:val="id-ID"/>
        </w:rPr>
        <w:t>ā</w:t>
      </w:r>
      <w:r w:rsidRPr="00F306B0">
        <w:rPr>
          <w:rFonts w:asciiTheme="majorBidi" w:hAnsiTheme="majorBidi" w:cstheme="majorBidi"/>
          <w:bCs/>
          <w:i/>
          <w:iCs/>
          <w:sz w:val="24"/>
          <w:szCs w:val="24"/>
        </w:rPr>
        <w:t>j al-Sunnah al-Nabawiyah f</w:t>
      </w:r>
      <w:r w:rsidRPr="00910CE3">
        <w:rPr>
          <w:rFonts w:asciiTheme="majorBidi" w:hAnsiTheme="majorBidi" w:cstheme="majorBidi"/>
          <w:bCs/>
          <w:i/>
          <w:iCs/>
          <w:sz w:val="24"/>
          <w:szCs w:val="24"/>
        </w:rPr>
        <w:t>ī</w:t>
      </w:r>
      <w:r>
        <w:rPr>
          <w:rFonts w:asciiTheme="majorBidi" w:hAnsiTheme="majorBidi" w:cstheme="majorBidi"/>
          <w:bCs/>
          <w:i/>
          <w:iCs/>
          <w:sz w:val="24"/>
          <w:szCs w:val="24"/>
        </w:rPr>
        <w:t xml:space="preserve"> </w:t>
      </w:r>
      <w:r w:rsidRPr="00F306B0">
        <w:rPr>
          <w:rFonts w:asciiTheme="majorBidi" w:hAnsiTheme="majorBidi" w:cstheme="majorBidi"/>
          <w:bCs/>
          <w:i/>
          <w:iCs/>
          <w:sz w:val="24"/>
          <w:szCs w:val="24"/>
        </w:rPr>
        <w:t>Naqd al-Sy</w:t>
      </w:r>
      <w:r w:rsidRPr="00910CE3">
        <w:rPr>
          <w:rFonts w:asciiTheme="majorBidi" w:hAnsiTheme="majorBidi" w:cstheme="majorBidi"/>
          <w:bCs/>
          <w:i/>
          <w:iCs/>
          <w:sz w:val="24"/>
          <w:szCs w:val="24"/>
        </w:rPr>
        <w:t>ī</w:t>
      </w:r>
      <w:r>
        <w:t>‘</w:t>
      </w:r>
      <w:r w:rsidRPr="00F306B0">
        <w:rPr>
          <w:rFonts w:asciiTheme="majorBidi" w:hAnsiTheme="majorBidi" w:cstheme="majorBidi"/>
          <w:bCs/>
          <w:i/>
          <w:iCs/>
          <w:sz w:val="24"/>
          <w:szCs w:val="24"/>
        </w:rPr>
        <w:t>ah wa al-Qadariyah</w:t>
      </w:r>
      <w:r w:rsidRPr="00910CE3">
        <w:rPr>
          <w:rStyle w:val="FootnoteReference"/>
          <w:rFonts w:asciiTheme="majorBidi" w:hAnsiTheme="majorBidi" w:cstheme="majorBidi"/>
          <w:bCs/>
          <w:i/>
          <w:iCs/>
          <w:sz w:val="24"/>
          <w:szCs w:val="24"/>
        </w:rPr>
        <w:t xml:space="preserve"> </w:t>
      </w:r>
      <w:r w:rsidRPr="00910CE3">
        <w:rPr>
          <w:rStyle w:val="FootnoteReference"/>
          <w:rFonts w:asciiTheme="majorBidi" w:hAnsiTheme="majorBidi" w:cstheme="majorBidi"/>
          <w:bCs/>
          <w:i/>
          <w:iCs/>
          <w:sz w:val="24"/>
          <w:szCs w:val="24"/>
        </w:rPr>
        <w:footnoteReference w:id="223"/>
      </w:r>
      <w:r>
        <w:rPr>
          <w:rFonts w:asciiTheme="majorBidi" w:hAnsiTheme="majorBidi" w:cstheme="majorBidi"/>
          <w:bCs/>
          <w:sz w:val="24"/>
          <w:szCs w:val="24"/>
        </w:rPr>
        <w:t xml:space="preserve"> (</w:t>
      </w:r>
      <w:r w:rsidRPr="00F306B0">
        <w:rPr>
          <w:rFonts w:asciiTheme="majorBidi" w:hAnsiTheme="majorBidi" w:cstheme="majorBidi"/>
          <w:bCs/>
          <w:sz w:val="24"/>
          <w:szCs w:val="24"/>
        </w:rPr>
        <w:t>Metode Kenabian dalam Mengkritik Syi’ah dan Qadariyah).</w:t>
      </w:r>
    </w:p>
    <w:p w:rsidR="00343B61" w:rsidRPr="00910CE3" w:rsidRDefault="00343B61" w:rsidP="00343B61">
      <w:pPr>
        <w:pStyle w:val="ListParagraph"/>
        <w:spacing w:line="360" w:lineRule="auto"/>
        <w:ind w:left="630" w:firstLine="720"/>
        <w:jc w:val="both"/>
        <w:rPr>
          <w:rFonts w:asciiTheme="majorBidi" w:hAnsiTheme="majorBidi" w:cstheme="majorBidi"/>
          <w:bCs/>
          <w:sz w:val="24"/>
          <w:szCs w:val="24"/>
        </w:rPr>
      </w:pPr>
      <w:r w:rsidRPr="00910CE3">
        <w:rPr>
          <w:rFonts w:asciiTheme="majorBidi" w:hAnsiTheme="majorBidi" w:cstheme="majorBidi"/>
          <w:bCs/>
          <w:sz w:val="24"/>
          <w:szCs w:val="24"/>
        </w:rPr>
        <w:t xml:space="preserve">Ibn Taimiyah memiliki pemikiran siayasah yang sedikit berbeda dengan pemikir sunni abad sebelumnya, dimana ia berpendapat bahwa institusi imamah bukan sebagai kewajiban syar’i, tapi hanya kebutuhan praktis saja. Ibn Taimiyah juga menjelaskan dua hal syarat sebagai kepala negara yaitu; </w:t>
      </w:r>
      <w:r w:rsidRPr="00910CE3">
        <w:rPr>
          <w:rFonts w:asciiTheme="majorBidi" w:hAnsiTheme="majorBidi" w:cstheme="majorBidi"/>
          <w:bCs/>
          <w:i/>
          <w:iCs/>
          <w:sz w:val="24"/>
          <w:szCs w:val="24"/>
        </w:rPr>
        <w:t>al-amanah</w:t>
      </w:r>
      <w:r w:rsidRPr="00910CE3">
        <w:rPr>
          <w:rFonts w:asciiTheme="majorBidi" w:hAnsiTheme="majorBidi" w:cstheme="majorBidi"/>
          <w:bCs/>
          <w:sz w:val="24"/>
          <w:szCs w:val="24"/>
        </w:rPr>
        <w:t xml:space="preserve"> ( kejujuran) dan </w:t>
      </w:r>
      <w:r w:rsidRPr="00910CE3">
        <w:rPr>
          <w:rFonts w:asciiTheme="majorBidi" w:hAnsiTheme="majorBidi" w:cstheme="majorBidi"/>
          <w:bCs/>
          <w:i/>
          <w:iCs/>
          <w:sz w:val="24"/>
          <w:szCs w:val="24"/>
        </w:rPr>
        <w:t>al-quwwah</w:t>
      </w:r>
      <w:r w:rsidRPr="00910CE3">
        <w:rPr>
          <w:rFonts w:asciiTheme="majorBidi" w:hAnsiTheme="majorBidi" w:cstheme="majorBidi"/>
          <w:bCs/>
          <w:sz w:val="24"/>
          <w:szCs w:val="24"/>
        </w:rPr>
        <w:t xml:space="preserve"> ( kekuatan), ia tidak mengungkapkan secara tegas syarat Quraisy sebagai kepala negara.</w:t>
      </w:r>
    </w:p>
    <w:p w:rsidR="00343B61" w:rsidRPr="00910CE3" w:rsidRDefault="00343B61" w:rsidP="00343B61">
      <w:pPr>
        <w:pStyle w:val="ListParagraph"/>
        <w:spacing w:line="360" w:lineRule="auto"/>
        <w:ind w:left="630" w:firstLine="540"/>
        <w:jc w:val="both"/>
        <w:rPr>
          <w:rFonts w:asciiTheme="majorBidi" w:hAnsiTheme="majorBidi" w:cstheme="majorBidi"/>
          <w:bCs/>
          <w:sz w:val="24"/>
          <w:szCs w:val="24"/>
        </w:rPr>
      </w:pPr>
      <w:r w:rsidRPr="00910CE3">
        <w:rPr>
          <w:rFonts w:asciiTheme="majorBidi" w:hAnsiTheme="majorBidi" w:cstheme="majorBidi"/>
          <w:bCs/>
          <w:sz w:val="24"/>
          <w:szCs w:val="24"/>
        </w:rPr>
        <w:t>Kalau dilihat dari setting sosi-historis kehidupan Ibn Taimiyah, pemahannya yang berbeda dari pemikir sunni lainya tentang syarat Quraisy tidak terlepas  dari keadaan suku Quraisy pada masanya.Setelah kekuasaan Bani Abbas hancur 1258 M, praktis kekuatan suku Quraisy tidak berpengaruh lagi. Dunia islam sudah terpecah kedalam berbagai kerajaan kecil. Karenanya pandangan Ibn Taimiyah tentang kekuasaan kepada negara yang begitu besar, di</w:t>
      </w:r>
      <w:r>
        <w:rPr>
          <w:rFonts w:asciiTheme="majorBidi" w:hAnsiTheme="majorBidi" w:cstheme="majorBidi"/>
          <w:bCs/>
          <w:sz w:val="24"/>
          <w:szCs w:val="24"/>
        </w:rPr>
        <w:t xml:space="preserve"> </w:t>
      </w:r>
      <w:r w:rsidRPr="00910CE3">
        <w:rPr>
          <w:rFonts w:asciiTheme="majorBidi" w:hAnsiTheme="majorBidi" w:cstheme="majorBidi"/>
          <w:bCs/>
          <w:sz w:val="24"/>
          <w:szCs w:val="24"/>
        </w:rPr>
        <w:t>samping sebagai penerus tradisi sunni juga dapat dipahami sebagai usulannya agar dunia Islam mempersiapkan diri sebaik-baiknya dari kemungkinan serangan pihak luar. Ini tentu hanya mungkin dilakukan apabila dunia Islam memiliki pemimpin yang kuat yang mampu menyatukan sebenap potensi umat. Untuk tujuan itu, Ibn Taimiyah berbeda de</w:t>
      </w:r>
      <w:r>
        <w:rPr>
          <w:rFonts w:asciiTheme="majorBidi" w:hAnsiTheme="majorBidi" w:cstheme="majorBidi"/>
          <w:bCs/>
          <w:sz w:val="24"/>
          <w:szCs w:val="24"/>
        </w:rPr>
        <w:t>ngan pemikir k</w:t>
      </w:r>
      <w:r w:rsidRPr="00910CE3">
        <w:rPr>
          <w:rFonts w:asciiTheme="majorBidi" w:hAnsiTheme="majorBidi" w:cstheme="majorBidi"/>
          <w:bCs/>
          <w:sz w:val="24"/>
          <w:szCs w:val="24"/>
        </w:rPr>
        <w:t>lasik, membolehkan adanya dua pemerintahan dalam satu masa dan menolak syarat Quraisy sebagai syarat kepala negara.</w:t>
      </w:r>
      <w:r w:rsidRPr="00910CE3">
        <w:rPr>
          <w:rStyle w:val="FootnoteReference"/>
          <w:rFonts w:asciiTheme="majorBidi" w:hAnsiTheme="majorBidi" w:cstheme="majorBidi"/>
          <w:bCs/>
          <w:sz w:val="24"/>
          <w:szCs w:val="24"/>
        </w:rPr>
        <w:footnoteReference w:id="224"/>
      </w:r>
      <w:r w:rsidRPr="00910CE3">
        <w:rPr>
          <w:rFonts w:asciiTheme="majorBidi" w:hAnsiTheme="majorBidi" w:cstheme="majorBidi"/>
          <w:bCs/>
          <w:sz w:val="24"/>
          <w:szCs w:val="24"/>
        </w:rPr>
        <w:t xml:space="preserve"> </w:t>
      </w:r>
    </w:p>
    <w:p w:rsidR="00343B61" w:rsidRPr="00910CE3" w:rsidRDefault="00343B61" w:rsidP="00343B61">
      <w:pPr>
        <w:pStyle w:val="ListParagraph"/>
        <w:spacing w:line="360" w:lineRule="auto"/>
        <w:ind w:left="630" w:firstLine="630"/>
        <w:jc w:val="both"/>
        <w:rPr>
          <w:rFonts w:asciiTheme="majorBidi" w:hAnsiTheme="majorBidi" w:cstheme="majorBidi"/>
          <w:bCs/>
          <w:sz w:val="24"/>
          <w:szCs w:val="24"/>
        </w:rPr>
      </w:pPr>
      <w:r w:rsidRPr="00910CE3">
        <w:rPr>
          <w:rFonts w:asciiTheme="majorBidi" w:hAnsiTheme="majorBidi" w:cstheme="majorBidi"/>
          <w:bCs/>
          <w:sz w:val="24"/>
          <w:szCs w:val="24"/>
        </w:rPr>
        <w:lastRenderedPageBreak/>
        <w:t xml:space="preserve">Menurut Ibn Taimiyah, dengan kedua syarat untuk menjadi kepala negara yakni </w:t>
      </w:r>
      <w:r w:rsidRPr="00910CE3">
        <w:rPr>
          <w:rFonts w:asciiTheme="majorBidi" w:hAnsiTheme="majorBidi" w:cstheme="majorBidi"/>
          <w:bCs/>
          <w:i/>
          <w:iCs/>
          <w:sz w:val="24"/>
          <w:szCs w:val="24"/>
        </w:rPr>
        <w:t>al-am</w:t>
      </w:r>
      <w:r>
        <w:rPr>
          <w:rFonts w:asciiTheme="majorBidi" w:hAnsiTheme="majorBidi" w:cstheme="majorBidi"/>
          <w:i/>
          <w:iCs/>
          <w:sz w:val="24"/>
          <w:szCs w:val="24"/>
          <w:lang w:val="id-ID"/>
        </w:rPr>
        <w:t>ā</w:t>
      </w:r>
      <w:r w:rsidRPr="00910CE3">
        <w:rPr>
          <w:rFonts w:asciiTheme="majorBidi" w:hAnsiTheme="majorBidi" w:cstheme="majorBidi"/>
          <w:bCs/>
          <w:i/>
          <w:iCs/>
          <w:sz w:val="24"/>
          <w:szCs w:val="24"/>
        </w:rPr>
        <w:t>nah</w:t>
      </w:r>
      <w:r>
        <w:rPr>
          <w:rFonts w:asciiTheme="majorBidi" w:hAnsiTheme="majorBidi" w:cstheme="majorBidi"/>
          <w:bCs/>
          <w:sz w:val="24"/>
          <w:szCs w:val="24"/>
        </w:rPr>
        <w:t xml:space="preserve"> (</w:t>
      </w:r>
      <w:r w:rsidRPr="00910CE3">
        <w:rPr>
          <w:rFonts w:asciiTheme="majorBidi" w:hAnsiTheme="majorBidi" w:cstheme="majorBidi"/>
          <w:bCs/>
          <w:sz w:val="24"/>
          <w:szCs w:val="24"/>
        </w:rPr>
        <w:t xml:space="preserve">kejujuran) dan </w:t>
      </w:r>
      <w:r w:rsidRPr="00910CE3">
        <w:rPr>
          <w:rFonts w:asciiTheme="majorBidi" w:hAnsiTheme="majorBidi" w:cstheme="majorBidi"/>
          <w:bCs/>
          <w:i/>
          <w:iCs/>
          <w:sz w:val="24"/>
          <w:szCs w:val="24"/>
        </w:rPr>
        <w:t>al-quwwah</w:t>
      </w:r>
      <w:r>
        <w:rPr>
          <w:rFonts w:asciiTheme="majorBidi" w:hAnsiTheme="majorBidi" w:cstheme="majorBidi"/>
          <w:bCs/>
          <w:sz w:val="24"/>
          <w:szCs w:val="24"/>
        </w:rPr>
        <w:t xml:space="preserve"> (</w:t>
      </w:r>
      <w:r w:rsidRPr="00910CE3">
        <w:rPr>
          <w:rFonts w:asciiTheme="majorBidi" w:hAnsiTheme="majorBidi" w:cstheme="majorBidi"/>
          <w:bCs/>
          <w:sz w:val="24"/>
          <w:szCs w:val="24"/>
        </w:rPr>
        <w:t>kekuatan), akan tercipta keadilan dalam masyarakat, yang merupakan cita-cita dan tujuan utama syariat Islam.</w:t>
      </w:r>
      <w:r w:rsidRPr="00910CE3">
        <w:rPr>
          <w:rStyle w:val="FootnoteReference"/>
          <w:rFonts w:asciiTheme="majorBidi" w:hAnsiTheme="majorBidi" w:cstheme="majorBidi"/>
          <w:bCs/>
          <w:sz w:val="24"/>
          <w:szCs w:val="24"/>
        </w:rPr>
        <w:footnoteReference w:id="225"/>
      </w:r>
      <w:r w:rsidRPr="00910CE3">
        <w:rPr>
          <w:rFonts w:asciiTheme="majorBidi" w:hAnsiTheme="majorBidi" w:cstheme="majorBidi"/>
          <w:bCs/>
          <w:sz w:val="24"/>
          <w:szCs w:val="24"/>
        </w:rPr>
        <w:t xml:space="preserve"> Namun Ibn Taimiyah mengakui  bahwa sedikit sek</w:t>
      </w:r>
      <w:r>
        <w:rPr>
          <w:rFonts w:asciiTheme="majorBidi" w:hAnsiTheme="majorBidi" w:cstheme="majorBidi"/>
          <w:bCs/>
          <w:sz w:val="24"/>
          <w:szCs w:val="24"/>
        </w:rPr>
        <w:t>ali manusia yang memenuhi dua k</w:t>
      </w:r>
      <w:r w:rsidRPr="00910CE3">
        <w:rPr>
          <w:rFonts w:asciiTheme="majorBidi" w:hAnsiTheme="majorBidi" w:cstheme="majorBidi"/>
          <w:bCs/>
          <w:sz w:val="24"/>
          <w:szCs w:val="24"/>
        </w:rPr>
        <w:t xml:space="preserve">ualifikasi ini sekalgus. Karenanya, ia menekankan syarat </w:t>
      </w:r>
      <w:r w:rsidRPr="00910CE3">
        <w:rPr>
          <w:rFonts w:asciiTheme="majorBidi" w:hAnsiTheme="majorBidi" w:cstheme="majorBidi"/>
          <w:bCs/>
          <w:i/>
          <w:iCs/>
          <w:sz w:val="24"/>
          <w:szCs w:val="24"/>
        </w:rPr>
        <w:t>al-quwwah</w:t>
      </w:r>
      <w:r w:rsidRPr="00910CE3">
        <w:rPr>
          <w:rFonts w:asciiTheme="majorBidi" w:hAnsiTheme="majorBidi" w:cstheme="majorBidi"/>
          <w:bCs/>
          <w:sz w:val="24"/>
          <w:szCs w:val="24"/>
        </w:rPr>
        <w:t xml:space="preserve"> lebih utama. Sebab bila ia saleh tapi lemah, maka kesalehannya hanya berguna untuk dirinya sendiri, sedangkan kelemahannya sangat berbahaya bagi rakyatnya. Sebaliknya, kalau ia kuat meskipun jahat, maka kejahatannya terpulang kepadanya, sementara kekutanya sengat berguna bagi umat Islam ( rakyat).</w:t>
      </w:r>
      <w:r w:rsidRPr="00910CE3">
        <w:rPr>
          <w:rStyle w:val="FootnoteReference"/>
          <w:rFonts w:asciiTheme="majorBidi" w:hAnsiTheme="majorBidi" w:cstheme="majorBidi"/>
          <w:bCs/>
          <w:sz w:val="24"/>
          <w:szCs w:val="24"/>
        </w:rPr>
        <w:footnoteReference w:id="226"/>
      </w:r>
    </w:p>
    <w:p w:rsidR="00343B61" w:rsidRPr="00910CE3" w:rsidRDefault="00343B61" w:rsidP="002C0A33">
      <w:pPr>
        <w:pStyle w:val="ListParagraph"/>
        <w:numPr>
          <w:ilvl w:val="0"/>
          <w:numId w:val="21"/>
        </w:numPr>
        <w:spacing w:after="0" w:line="360" w:lineRule="auto"/>
        <w:ind w:left="630" w:hanging="270"/>
        <w:jc w:val="both"/>
        <w:rPr>
          <w:rFonts w:asciiTheme="majorBidi" w:hAnsiTheme="majorBidi" w:cstheme="majorBidi"/>
          <w:bCs/>
          <w:sz w:val="24"/>
          <w:szCs w:val="24"/>
        </w:rPr>
      </w:pPr>
      <w:r w:rsidRPr="00910CE3">
        <w:rPr>
          <w:rFonts w:asciiTheme="majorBidi" w:hAnsiTheme="majorBidi" w:cstheme="majorBidi"/>
          <w:bCs/>
          <w:sz w:val="24"/>
          <w:szCs w:val="24"/>
        </w:rPr>
        <w:t xml:space="preserve">Ibn Khaldun (1332-1406 M). Ia menuangkan pemikiran </w:t>
      </w:r>
      <w:r>
        <w:rPr>
          <w:rFonts w:asciiTheme="majorBidi" w:hAnsiTheme="majorBidi" w:cstheme="majorBidi"/>
          <w:i/>
          <w:iCs/>
          <w:sz w:val="24"/>
          <w:szCs w:val="24"/>
          <w:lang w:val="id-ID"/>
        </w:rPr>
        <w:t>siyāsah</w:t>
      </w:r>
      <w:r>
        <w:rPr>
          <w:rFonts w:asciiTheme="majorBidi" w:hAnsiTheme="majorBidi" w:cstheme="majorBidi"/>
          <w:i/>
          <w:iCs/>
          <w:sz w:val="24"/>
          <w:szCs w:val="24"/>
        </w:rPr>
        <w:t>nya</w:t>
      </w:r>
      <w:r w:rsidRPr="00910CE3">
        <w:rPr>
          <w:rFonts w:asciiTheme="majorBidi" w:hAnsiTheme="majorBidi" w:cstheme="majorBidi"/>
          <w:bCs/>
          <w:sz w:val="24"/>
          <w:szCs w:val="24"/>
        </w:rPr>
        <w:t xml:space="preserve"> dalam </w:t>
      </w:r>
      <w:r w:rsidRPr="00910CE3">
        <w:rPr>
          <w:rFonts w:asciiTheme="majorBidi" w:hAnsiTheme="majorBidi" w:cstheme="majorBidi"/>
          <w:bCs/>
          <w:i/>
          <w:iCs/>
          <w:sz w:val="24"/>
          <w:szCs w:val="24"/>
        </w:rPr>
        <w:t>Muqaddimah</w:t>
      </w:r>
      <w:r w:rsidRPr="00910CE3">
        <w:rPr>
          <w:rFonts w:asciiTheme="majorBidi" w:hAnsiTheme="majorBidi" w:cstheme="majorBidi"/>
          <w:bCs/>
          <w:sz w:val="24"/>
          <w:szCs w:val="24"/>
        </w:rPr>
        <w:t>. Menurut Ibn Khaldun manusia tidak bisa hidup tanpa ada organisasi kemasyarakatan dan tanpa kerjasama dengan sesama manusia untuk memenuhi kebutuhannya. Jadi organisasi kemasyarakatan bagi umat manusia adalah suatu keharusan. Hal ini telah dinyatakan oleh filosof bahwa manusia itu menurut tabi’atnya adalah makhluk politik adau makhluk sosial.</w:t>
      </w:r>
      <w:r w:rsidRPr="00910CE3">
        <w:rPr>
          <w:rStyle w:val="FootnoteReference"/>
          <w:rFonts w:asciiTheme="majorBidi" w:hAnsiTheme="majorBidi" w:cstheme="majorBidi"/>
          <w:bCs/>
          <w:sz w:val="24"/>
          <w:szCs w:val="24"/>
        </w:rPr>
        <w:footnoteReference w:id="227"/>
      </w:r>
    </w:p>
    <w:p w:rsidR="00343B61" w:rsidRPr="00910CE3" w:rsidRDefault="00343B61" w:rsidP="00343B61">
      <w:pPr>
        <w:pStyle w:val="ListParagraph"/>
        <w:spacing w:line="360" w:lineRule="auto"/>
        <w:ind w:left="630" w:firstLine="630"/>
        <w:jc w:val="both"/>
        <w:rPr>
          <w:rFonts w:asciiTheme="majorBidi" w:hAnsiTheme="majorBidi" w:cstheme="majorBidi"/>
          <w:bCs/>
          <w:sz w:val="24"/>
          <w:szCs w:val="24"/>
        </w:rPr>
      </w:pPr>
      <w:r w:rsidRPr="00910CE3">
        <w:rPr>
          <w:rFonts w:asciiTheme="majorBidi" w:hAnsiTheme="majorBidi" w:cstheme="majorBidi"/>
          <w:bCs/>
          <w:sz w:val="24"/>
          <w:szCs w:val="24"/>
        </w:rPr>
        <w:t xml:space="preserve">Sumbangan orisinal dari Ibn Khaldun kepada pemikiran politik adalah teorinya tentang </w:t>
      </w:r>
      <w:r w:rsidRPr="00910CE3">
        <w:rPr>
          <w:rFonts w:asciiTheme="majorBidi" w:hAnsiTheme="majorBidi" w:cstheme="majorBidi"/>
          <w:bCs/>
          <w:i/>
          <w:iCs/>
          <w:sz w:val="24"/>
          <w:szCs w:val="24"/>
        </w:rPr>
        <w:t>ashabiyyah</w:t>
      </w:r>
      <w:r w:rsidRPr="00910CE3">
        <w:rPr>
          <w:rFonts w:asciiTheme="majorBidi" w:hAnsiTheme="majorBidi" w:cstheme="majorBidi"/>
          <w:bCs/>
          <w:sz w:val="24"/>
          <w:szCs w:val="24"/>
        </w:rPr>
        <w:t xml:space="preserve"> (solidaritas kelompok). Adanya solidaritas kelompok (</w:t>
      </w:r>
      <w:r w:rsidRPr="00910CE3">
        <w:rPr>
          <w:rFonts w:asciiTheme="majorBidi" w:hAnsiTheme="majorBidi" w:cstheme="majorBidi"/>
          <w:bCs/>
          <w:i/>
          <w:iCs/>
          <w:sz w:val="24"/>
          <w:szCs w:val="24"/>
        </w:rPr>
        <w:t xml:space="preserve">ashabiyyah) </w:t>
      </w:r>
      <w:r w:rsidRPr="00910CE3">
        <w:rPr>
          <w:rFonts w:asciiTheme="majorBidi" w:hAnsiTheme="majorBidi" w:cstheme="majorBidi"/>
          <w:bCs/>
          <w:sz w:val="24"/>
          <w:szCs w:val="24"/>
        </w:rPr>
        <w:t>yang kuat inilah yang menjadi prasyarat beridirnya suatu dinasti atau Negara besar. Oleh karenanya, dari berbagai solidaritas kelompok (</w:t>
      </w:r>
      <w:r w:rsidRPr="00910CE3">
        <w:rPr>
          <w:rFonts w:asciiTheme="majorBidi" w:hAnsiTheme="majorBidi" w:cstheme="majorBidi"/>
          <w:bCs/>
          <w:i/>
          <w:iCs/>
          <w:sz w:val="24"/>
          <w:szCs w:val="24"/>
        </w:rPr>
        <w:t>ashabiyyah)</w:t>
      </w:r>
      <w:r w:rsidRPr="00910CE3">
        <w:rPr>
          <w:rFonts w:asciiTheme="majorBidi" w:hAnsiTheme="majorBidi" w:cstheme="majorBidi"/>
          <w:bCs/>
          <w:sz w:val="24"/>
          <w:szCs w:val="24"/>
        </w:rPr>
        <w:t xml:space="preserve"> yang terdapat dalam suatu Negara, kepala negara harus berasal dari solidaritas kelompok (</w:t>
      </w:r>
      <w:r w:rsidRPr="00910CE3">
        <w:rPr>
          <w:rFonts w:asciiTheme="majorBidi" w:hAnsiTheme="majorBidi" w:cstheme="majorBidi"/>
          <w:bCs/>
          <w:i/>
          <w:iCs/>
          <w:sz w:val="24"/>
          <w:szCs w:val="24"/>
        </w:rPr>
        <w:t>ashabiyyah)</w:t>
      </w:r>
      <w:r w:rsidRPr="00910CE3">
        <w:rPr>
          <w:rFonts w:asciiTheme="majorBidi" w:hAnsiTheme="majorBidi" w:cstheme="majorBidi"/>
          <w:bCs/>
          <w:sz w:val="24"/>
          <w:szCs w:val="24"/>
        </w:rPr>
        <w:t xml:space="preserve"> yang paling dominan.</w:t>
      </w:r>
      <w:r w:rsidRPr="00910CE3">
        <w:rPr>
          <w:rStyle w:val="FootnoteReference"/>
          <w:rFonts w:asciiTheme="majorBidi" w:hAnsiTheme="majorBidi" w:cstheme="majorBidi"/>
          <w:bCs/>
          <w:sz w:val="24"/>
          <w:szCs w:val="24"/>
        </w:rPr>
        <w:footnoteReference w:id="228"/>
      </w:r>
    </w:p>
    <w:p w:rsidR="00343B61" w:rsidRPr="00910CE3" w:rsidRDefault="00343B61" w:rsidP="002C0A33">
      <w:pPr>
        <w:pStyle w:val="ListParagraph"/>
        <w:numPr>
          <w:ilvl w:val="0"/>
          <w:numId w:val="21"/>
        </w:numPr>
        <w:spacing w:after="0" w:line="360" w:lineRule="auto"/>
        <w:ind w:left="630" w:hanging="270"/>
        <w:jc w:val="both"/>
        <w:rPr>
          <w:rFonts w:asciiTheme="majorBidi" w:hAnsiTheme="majorBidi" w:cstheme="majorBidi"/>
          <w:bCs/>
          <w:sz w:val="24"/>
          <w:szCs w:val="24"/>
        </w:rPr>
      </w:pPr>
      <w:r>
        <w:rPr>
          <w:rFonts w:asciiTheme="majorBidi" w:hAnsiTheme="majorBidi" w:cstheme="majorBidi"/>
          <w:bCs/>
          <w:sz w:val="24"/>
          <w:szCs w:val="24"/>
        </w:rPr>
        <w:t>Syah Waliyullah al-Dihlawi (1702-1762 M). Berbed</w:t>
      </w:r>
      <w:r w:rsidRPr="00910CE3">
        <w:rPr>
          <w:rFonts w:asciiTheme="majorBidi" w:hAnsiTheme="majorBidi" w:cstheme="majorBidi"/>
          <w:bCs/>
          <w:sz w:val="24"/>
          <w:szCs w:val="24"/>
        </w:rPr>
        <w:t xml:space="preserve">a dengan pemikir </w:t>
      </w:r>
      <w:r>
        <w:rPr>
          <w:rFonts w:asciiTheme="majorBidi" w:hAnsiTheme="majorBidi" w:cstheme="majorBidi"/>
          <w:i/>
          <w:iCs/>
          <w:sz w:val="24"/>
          <w:szCs w:val="24"/>
          <w:lang w:val="id-ID"/>
        </w:rPr>
        <w:t>siyāsah</w:t>
      </w:r>
      <w:r w:rsidRPr="00910CE3">
        <w:rPr>
          <w:rFonts w:asciiTheme="majorBidi" w:hAnsiTheme="majorBidi" w:cstheme="majorBidi"/>
          <w:bCs/>
          <w:sz w:val="24"/>
          <w:szCs w:val="24"/>
        </w:rPr>
        <w:t xml:space="preserve"> masa sebelumnya. Syah Waliullah membenarkan pembangkangan </w:t>
      </w:r>
      <w:r w:rsidRPr="00910CE3">
        <w:rPr>
          <w:rFonts w:asciiTheme="majorBidi" w:hAnsiTheme="majorBidi" w:cstheme="majorBidi"/>
          <w:bCs/>
          <w:sz w:val="24"/>
          <w:szCs w:val="24"/>
        </w:rPr>
        <w:lastRenderedPageBreak/>
        <w:t>rakyat terhadap kepala negara yang tiran dan zalim. Syah Wali</w:t>
      </w:r>
      <w:r>
        <w:rPr>
          <w:rFonts w:asciiTheme="majorBidi" w:hAnsiTheme="majorBidi" w:cstheme="majorBidi"/>
          <w:bCs/>
          <w:sz w:val="24"/>
          <w:szCs w:val="24"/>
        </w:rPr>
        <w:t>y</w:t>
      </w:r>
      <w:r w:rsidRPr="00910CE3">
        <w:rPr>
          <w:rFonts w:asciiTheme="majorBidi" w:hAnsiTheme="majorBidi" w:cstheme="majorBidi"/>
          <w:bCs/>
          <w:sz w:val="24"/>
          <w:szCs w:val="24"/>
        </w:rPr>
        <w:t>ullah bahkan menegaskan bahwa pemerintah pada periode pasca al-khulafa al-Rasyidun hanyalah berbeda sedikit saja dengan kerajaan Romawi dan kekaisaran Persia</w:t>
      </w:r>
      <w:r w:rsidRPr="00910CE3">
        <w:rPr>
          <w:rStyle w:val="FootnoteReference"/>
          <w:rFonts w:asciiTheme="majorBidi" w:hAnsiTheme="majorBidi" w:cstheme="majorBidi"/>
          <w:bCs/>
          <w:sz w:val="24"/>
          <w:szCs w:val="24"/>
        </w:rPr>
        <w:footnoteReference w:id="229"/>
      </w:r>
      <w:r w:rsidRPr="00910CE3">
        <w:rPr>
          <w:rFonts w:asciiTheme="majorBidi" w:hAnsiTheme="majorBidi" w:cstheme="majorBidi"/>
          <w:bCs/>
          <w:sz w:val="24"/>
          <w:szCs w:val="24"/>
        </w:rPr>
        <w:t>. Karenanya, untuk mengembalikan pemerintahan pada masa Nabi dan Khalifah yang empat tersebut,</w:t>
      </w:r>
      <w:r>
        <w:rPr>
          <w:rFonts w:asciiTheme="majorBidi" w:hAnsiTheme="majorBidi" w:cstheme="majorBidi"/>
          <w:bCs/>
          <w:sz w:val="24"/>
          <w:szCs w:val="24"/>
        </w:rPr>
        <w:t xml:space="preserve"> </w:t>
      </w:r>
      <w:r w:rsidRPr="00910CE3">
        <w:rPr>
          <w:rFonts w:asciiTheme="majorBidi" w:hAnsiTheme="majorBidi" w:cstheme="majorBidi"/>
          <w:bCs/>
          <w:sz w:val="24"/>
          <w:szCs w:val="24"/>
        </w:rPr>
        <w:t>Syah Wali</w:t>
      </w:r>
      <w:r>
        <w:rPr>
          <w:rFonts w:asciiTheme="majorBidi" w:hAnsiTheme="majorBidi" w:cstheme="majorBidi"/>
          <w:bCs/>
          <w:sz w:val="24"/>
          <w:szCs w:val="24"/>
        </w:rPr>
        <w:t>y</w:t>
      </w:r>
      <w:r w:rsidRPr="00910CE3">
        <w:rPr>
          <w:rFonts w:asciiTheme="majorBidi" w:hAnsiTheme="majorBidi" w:cstheme="majorBidi"/>
          <w:bCs/>
          <w:sz w:val="24"/>
          <w:szCs w:val="24"/>
        </w:rPr>
        <w:t xml:space="preserve">ullah membenarkan pembangkangan terhadap kepada Negara yang tidak sesuai dengan cita-cita politik. </w:t>
      </w:r>
    </w:p>
    <w:p w:rsidR="00343B61" w:rsidRPr="00910CE3" w:rsidRDefault="00343B61" w:rsidP="002C0A33">
      <w:pPr>
        <w:numPr>
          <w:ilvl w:val="0"/>
          <w:numId w:val="20"/>
        </w:numPr>
        <w:spacing w:after="0" w:line="360" w:lineRule="auto"/>
        <w:jc w:val="both"/>
        <w:rPr>
          <w:rFonts w:asciiTheme="majorBidi" w:hAnsiTheme="majorBidi" w:cstheme="majorBidi"/>
          <w:b/>
          <w:sz w:val="24"/>
          <w:szCs w:val="24"/>
        </w:rPr>
      </w:pPr>
      <w:r w:rsidRPr="00910CE3">
        <w:rPr>
          <w:rFonts w:asciiTheme="majorBidi" w:hAnsiTheme="majorBidi" w:cstheme="majorBidi"/>
          <w:b/>
          <w:sz w:val="24"/>
          <w:szCs w:val="24"/>
        </w:rPr>
        <w:t>Periode Modern</w:t>
      </w:r>
    </w:p>
    <w:p w:rsidR="00343B61" w:rsidRPr="00910CE3" w:rsidRDefault="00343B61" w:rsidP="00343B61">
      <w:pPr>
        <w:spacing w:line="360" w:lineRule="auto"/>
        <w:ind w:firstLine="720"/>
        <w:jc w:val="both"/>
        <w:rPr>
          <w:rFonts w:asciiTheme="majorBidi" w:hAnsiTheme="majorBidi" w:cstheme="majorBidi"/>
          <w:spacing w:val="1"/>
          <w:sz w:val="24"/>
          <w:szCs w:val="24"/>
        </w:rPr>
      </w:pPr>
      <w:r w:rsidRPr="00910CE3">
        <w:rPr>
          <w:rFonts w:asciiTheme="majorBidi" w:hAnsiTheme="majorBidi" w:cstheme="majorBidi"/>
          <w:spacing w:val="-1"/>
          <w:sz w:val="24"/>
          <w:szCs w:val="24"/>
        </w:rPr>
        <w:t xml:space="preserve">Periode modern ditandai kolonialisme yang melanda negeri-negeri muslim. Hampir seluruh dunia Islam berada di bawah penjajahan Barat. Dunia Islam tidak mampu bangkit dari kemunduran yang berkepanjangan. Singkatnya, ada tiga hal yang melatarbelakangi pemikiran Islam modern atau kontemporer. </w:t>
      </w:r>
      <w:r w:rsidRPr="00910CE3">
        <w:rPr>
          <w:rFonts w:asciiTheme="majorBidi" w:hAnsiTheme="majorBidi" w:cstheme="majorBidi"/>
          <w:i/>
          <w:spacing w:val="-1"/>
          <w:sz w:val="24"/>
          <w:szCs w:val="24"/>
        </w:rPr>
        <w:t xml:space="preserve">Pertama, </w:t>
      </w:r>
      <w:r w:rsidRPr="00910CE3">
        <w:rPr>
          <w:rFonts w:asciiTheme="majorBidi" w:hAnsiTheme="majorBidi" w:cstheme="majorBidi"/>
          <w:spacing w:val="-1"/>
          <w:sz w:val="24"/>
          <w:szCs w:val="24"/>
        </w:rPr>
        <w:t xml:space="preserve">kemunduran dan kerapuhan dunia Islam yang disebabkan oleh faktor-faktor internal dan yang berakibat munculnya gerakan-gerakan pembaharuan dan pemurnian. </w:t>
      </w:r>
      <w:r w:rsidRPr="00910CE3">
        <w:rPr>
          <w:rFonts w:asciiTheme="majorBidi" w:hAnsiTheme="majorBidi" w:cstheme="majorBidi"/>
          <w:i/>
          <w:spacing w:val="-1"/>
          <w:sz w:val="24"/>
          <w:szCs w:val="24"/>
        </w:rPr>
        <w:t xml:space="preserve">Kedua, </w:t>
      </w:r>
      <w:r w:rsidRPr="00910CE3">
        <w:rPr>
          <w:rFonts w:asciiTheme="majorBidi" w:hAnsiTheme="majorBidi" w:cstheme="majorBidi"/>
          <w:spacing w:val="-1"/>
          <w:sz w:val="24"/>
          <w:szCs w:val="24"/>
        </w:rPr>
        <w:t xml:space="preserve">rongrongan Barat terhadap keutuhan kekuasaan politik dan wilayah dunia Islam yang berakhir dengan dominasi atau penjajahan oleh negara-negara Barat atas sebagian besar wilayah dunia Islam dan berkembangnya di kalangan umat Islam semangat permusuhan dan sikap anti-Barat. </w:t>
      </w:r>
      <w:r w:rsidRPr="00910CE3">
        <w:rPr>
          <w:rFonts w:asciiTheme="majorBidi" w:hAnsiTheme="majorBidi" w:cstheme="majorBidi"/>
          <w:i/>
          <w:spacing w:val="-1"/>
          <w:sz w:val="24"/>
          <w:szCs w:val="24"/>
        </w:rPr>
        <w:t xml:space="preserve">Ketiga, </w:t>
      </w:r>
      <w:r w:rsidRPr="00910CE3">
        <w:rPr>
          <w:rFonts w:asciiTheme="majorBidi" w:hAnsiTheme="majorBidi" w:cstheme="majorBidi"/>
          <w:spacing w:val="-1"/>
          <w:sz w:val="24"/>
          <w:szCs w:val="24"/>
        </w:rPr>
        <w:t xml:space="preserve">keunggulan Barat dalam bidang ilmu, teknologi, </w:t>
      </w:r>
      <w:r w:rsidRPr="00910CE3">
        <w:rPr>
          <w:rFonts w:asciiTheme="majorBidi" w:hAnsiTheme="majorBidi" w:cstheme="majorBidi"/>
          <w:spacing w:val="1"/>
          <w:sz w:val="24"/>
          <w:szCs w:val="24"/>
        </w:rPr>
        <w:t>dan organisasi.</w:t>
      </w:r>
      <w:r w:rsidRPr="00910CE3">
        <w:rPr>
          <w:rStyle w:val="FootnoteReference"/>
          <w:rFonts w:asciiTheme="majorBidi" w:hAnsiTheme="majorBidi" w:cstheme="majorBidi"/>
          <w:spacing w:val="1"/>
          <w:sz w:val="24"/>
          <w:szCs w:val="24"/>
        </w:rPr>
        <w:footnoteReference w:id="230"/>
      </w:r>
      <w:r w:rsidRPr="00910CE3">
        <w:rPr>
          <w:rFonts w:asciiTheme="majorBidi" w:hAnsiTheme="majorBidi" w:cstheme="majorBidi"/>
          <w:spacing w:val="1"/>
          <w:sz w:val="24"/>
          <w:szCs w:val="24"/>
        </w:rPr>
        <w:t xml:space="preserve"> </w:t>
      </w:r>
    </w:p>
    <w:p w:rsidR="00343B61" w:rsidRPr="00910CE3" w:rsidRDefault="00343B61" w:rsidP="00343B61">
      <w:pPr>
        <w:spacing w:line="360" w:lineRule="auto"/>
        <w:ind w:firstLine="720"/>
        <w:jc w:val="both"/>
        <w:rPr>
          <w:rFonts w:asciiTheme="majorBidi" w:hAnsiTheme="majorBidi" w:cstheme="majorBidi"/>
          <w:spacing w:val="8"/>
          <w:sz w:val="24"/>
          <w:szCs w:val="24"/>
        </w:rPr>
      </w:pPr>
      <w:r w:rsidRPr="00910CE3">
        <w:rPr>
          <w:rFonts w:asciiTheme="majorBidi" w:hAnsiTheme="majorBidi" w:cstheme="majorBidi"/>
          <w:sz w:val="24"/>
          <w:szCs w:val="24"/>
        </w:rPr>
        <w:t>Mengatasi ancaman</w:t>
      </w:r>
      <w:r w:rsidRPr="00580246">
        <w:rPr>
          <w:rFonts w:asciiTheme="majorBidi" w:eastAsia="PMingLiU" w:hAnsiTheme="majorBidi" w:cstheme="majorBidi"/>
          <w:sz w:val="24"/>
          <w:szCs w:val="24"/>
        </w:rPr>
        <w:pict>
          <v:line id="_x0000_s1026" style="position:absolute;left:0;text-align:left;z-index:251660288;mso-position-horizontal-relative:page;mso-position-vertical-relative:page" from="776.65pt,419.3pt" to="776.65pt,438.75pt" strokeweight=".25pt">
            <w10:wrap anchorx="page" anchory="page"/>
          </v:line>
        </w:pict>
      </w:r>
      <w:r w:rsidRPr="00910CE3">
        <w:rPr>
          <w:rFonts w:asciiTheme="majorBidi" w:hAnsiTheme="majorBidi" w:cstheme="majorBidi"/>
          <w:sz w:val="24"/>
          <w:szCs w:val="24"/>
        </w:rPr>
        <w:t xml:space="preserve"> </w:t>
      </w:r>
      <w:r w:rsidRPr="00910CE3">
        <w:rPr>
          <w:rFonts w:asciiTheme="majorBidi" w:hAnsiTheme="majorBidi" w:cstheme="majorBidi"/>
          <w:spacing w:val="8"/>
          <w:sz w:val="24"/>
          <w:szCs w:val="24"/>
        </w:rPr>
        <w:t>dari Barat tersebut, sebagian pemikir Muslim ada yang bersikap apriori dan anti-Barat, ada yang secara mentah-mentah meniru Barat serta menjadikannya sebagai prototipe bagi kehidupan Muslim, dan ada pula yang mencoba belajar dari Barat dan secara selektif mengambil nilai-nilai Barat yang positif, yang tidak bertentangan dengan Islam.</w:t>
      </w:r>
      <w:r w:rsidRPr="00910CE3">
        <w:rPr>
          <w:rStyle w:val="FootnoteReference"/>
          <w:rFonts w:asciiTheme="majorBidi" w:hAnsiTheme="majorBidi" w:cstheme="majorBidi"/>
          <w:spacing w:val="8"/>
          <w:sz w:val="24"/>
          <w:szCs w:val="24"/>
        </w:rPr>
        <w:footnoteReference w:id="231"/>
      </w:r>
    </w:p>
    <w:p w:rsidR="00343B61" w:rsidRPr="00910CE3" w:rsidRDefault="00343B61" w:rsidP="00343B61">
      <w:pPr>
        <w:spacing w:line="360" w:lineRule="auto"/>
        <w:ind w:firstLine="720"/>
        <w:jc w:val="both"/>
        <w:rPr>
          <w:rFonts w:asciiTheme="majorBidi" w:hAnsiTheme="majorBidi" w:cstheme="majorBidi"/>
          <w:spacing w:val="1"/>
          <w:sz w:val="24"/>
          <w:szCs w:val="24"/>
        </w:rPr>
      </w:pPr>
      <w:r w:rsidRPr="00910CE3">
        <w:rPr>
          <w:rFonts w:asciiTheme="majorBidi" w:hAnsiTheme="majorBidi" w:cstheme="majorBidi"/>
          <w:spacing w:val="8"/>
          <w:sz w:val="24"/>
          <w:szCs w:val="24"/>
        </w:rPr>
        <w:lastRenderedPageBreak/>
        <w:t xml:space="preserve">Dalam lapangan politik, sikap yang pertama menimbulkan aliran integralisme yang menyatakan bahwa Islam merupakan agama yang serba lengkap mengatur segala aspek kehidupan manusia, termasuk politik dan kenegaraan. </w:t>
      </w:r>
      <w:r w:rsidRPr="00910CE3">
        <w:rPr>
          <w:rFonts w:asciiTheme="majorBidi" w:hAnsiTheme="majorBidi" w:cstheme="majorBidi"/>
          <w:sz w:val="24"/>
          <w:szCs w:val="24"/>
        </w:rPr>
        <w:t xml:space="preserve">Mereka merujuk kepada teladan Nabi Muhammad SAW mendirikan Negara Madinah dan </w:t>
      </w:r>
      <w:r w:rsidRPr="00910CE3">
        <w:rPr>
          <w:rFonts w:asciiTheme="majorBidi" w:hAnsiTheme="majorBidi" w:cstheme="majorBidi"/>
          <w:i/>
          <w:iCs/>
          <w:sz w:val="24"/>
          <w:szCs w:val="24"/>
        </w:rPr>
        <w:t xml:space="preserve">al- khulafa' al-Raisyidrin. </w:t>
      </w:r>
      <w:r w:rsidRPr="00910CE3">
        <w:rPr>
          <w:rFonts w:asciiTheme="majorBidi" w:hAnsiTheme="majorBidi" w:cstheme="majorBidi"/>
          <w:sz w:val="24"/>
          <w:szCs w:val="24"/>
        </w:rPr>
        <w:t xml:space="preserve">Sikap kedua menimbulkan aliran sekularisme yang memisahkan kehidupan politik dari agama. Sementara sikap ketiga menimbulkan aliran simbiotisme yang berpandangan bahwa Islam hanya memberikan seperangkat tata nilai dalam kehidupan politik kenegaraan umat Islam. Menurut kelompok ini, Islam tidak memiliki sistem politik yang baku sebagaimana dipahami oleh kelompok integralisme, namun tidak pula meninggalkan masalah politik ini sama sekali seperti pemahaman kelompok sekularisme. Islam hanya memberi seperangkat aturan dan nilai-nilai universal yang penjabarannya sangat tergantung pada situasi dan kondisi masyarakat Muslim itu sendiri. Tiga aliran pemikiran inilah </w:t>
      </w:r>
      <w:r w:rsidRPr="00910CE3">
        <w:rPr>
          <w:rFonts w:asciiTheme="majorBidi" w:hAnsiTheme="majorBidi" w:cstheme="majorBidi"/>
          <w:spacing w:val="1"/>
          <w:sz w:val="24"/>
          <w:szCs w:val="24"/>
        </w:rPr>
        <w:t>yang berkembang hingga masa kontemporer.</w:t>
      </w:r>
      <w:r w:rsidRPr="00910CE3">
        <w:rPr>
          <w:rStyle w:val="FootnoteReference"/>
          <w:rFonts w:asciiTheme="majorBidi" w:hAnsiTheme="majorBidi" w:cstheme="majorBidi"/>
          <w:spacing w:val="1"/>
          <w:sz w:val="24"/>
          <w:szCs w:val="24"/>
        </w:rPr>
        <w:footnoteReference w:id="232"/>
      </w:r>
      <w:r w:rsidRPr="00910CE3">
        <w:rPr>
          <w:rFonts w:asciiTheme="majorBidi" w:hAnsiTheme="majorBidi" w:cstheme="majorBidi"/>
          <w:spacing w:val="1"/>
          <w:sz w:val="24"/>
          <w:szCs w:val="24"/>
        </w:rPr>
        <w:t xml:space="preserve"> Diantar tokoh yang termasuk dalam kelompok pertama adalah:</w:t>
      </w:r>
    </w:p>
    <w:p w:rsidR="00343B61" w:rsidRPr="00910CE3" w:rsidRDefault="00343B61" w:rsidP="002C0A33">
      <w:pPr>
        <w:numPr>
          <w:ilvl w:val="0"/>
          <w:numId w:val="22"/>
        </w:numPr>
        <w:spacing w:after="0" w:line="360" w:lineRule="auto"/>
        <w:ind w:hanging="270"/>
        <w:jc w:val="both"/>
        <w:rPr>
          <w:rFonts w:asciiTheme="majorBidi" w:hAnsiTheme="majorBidi" w:cstheme="majorBidi"/>
          <w:spacing w:val="1"/>
          <w:sz w:val="24"/>
          <w:szCs w:val="24"/>
        </w:rPr>
      </w:pPr>
      <w:r w:rsidRPr="00910CE3">
        <w:rPr>
          <w:rFonts w:asciiTheme="majorBidi" w:hAnsiTheme="majorBidi" w:cstheme="majorBidi"/>
          <w:bCs/>
          <w:spacing w:val="1"/>
          <w:sz w:val="24"/>
          <w:szCs w:val="24"/>
        </w:rPr>
        <w:t>Muhammad Rasyid Ridha (1865-1935 M)</w:t>
      </w:r>
      <w:r w:rsidRPr="00910CE3">
        <w:rPr>
          <w:rFonts w:asciiTheme="majorBidi" w:hAnsiTheme="majorBidi" w:cstheme="majorBidi"/>
          <w:spacing w:val="1"/>
          <w:sz w:val="24"/>
          <w:szCs w:val="24"/>
        </w:rPr>
        <w:t xml:space="preserve"> yang menulis </w:t>
      </w:r>
      <w:r w:rsidRPr="00910CE3">
        <w:rPr>
          <w:rFonts w:asciiTheme="majorBidi" w:hAnsiTheme="majorBidi" w:cstheme="majorBidi"/>
          <w:i/>
          <w:spacing w:val="1"/>
          <w:sz w:val="24"/>
          <w:szCs w:val="24"/>
        </w:rPr>
        <w:t>Al-Khalifah wa al-Imamah al-Uzhma (</w:t>
      </w:r>
      <w:r w:rsidRPr="00910CE3">
        <w:rPr>
          <w:rFonts w:asciiTheme="majorBidi" w:hAnsiTheme="majorBidi" w:cstheme="majorBidi"/>
          <w:spacing w:val="1"/>
          <w:sz w:val="24"/>
          <w:szCs w:val="24"/>
        </w:rPr>
        <w:t xml:space="preserve">Kekhalifahan atau Kepemimpinan Agung) dan Tafsir </w:t>
      </w:r>
      <w:r w:rsidRPr="00910CE3">
        <w:rPr>
          <w:rFonts w:asciiTheme="majorBidi" w:hAnsiTheme="majorBidi" w:cstheme="majorBidi"/>
          <w:i/>
          <w:spacing w:val="1"/>
          <w:sz w:val="24"/>
          <w:szCs w:val="24"/>
        </w:rPr>
        <w:t>Al-Manar.</w:t>
      </w:r>
      <w:r w:rsidRPr="00910CE3">
        <w:rPr>
          <w:rFonts w:asciiTheme="majorBidi" w:hAnsiTheme="majorBidi" w:cstheme="majorBidi"/>
          <w:spacing w:val="1"/>
          <w:sz w:val="24"/>
          <w:szCs w:val="24"/>
        </w:rPr>
        <w:t xml:space="preserve"> Ia adalah kelahiran Syria dan murid terdekat Abduh. Ia aktif di bidang pers, politik dan pendidikan serta kajian pemikiran keagamaan.</w:t>
      </w:r>
      <w:r w:rsidRPr="00910CE3">
        <w:rPr>
          <w:rStyle w:val="FootnoteReference"/>
          <w:rFonts w:asciiTheme="majorBidi" w:hAnsiTheme="majorBidi" w:cstheme="majorBidi"/>
          <w:spacing w:val="1"/>
          <w:sz w:val="24"/>
          <w:szCs w:val="24"/>
        </w:rPr>
        <w:footnoteReference w:id="233"/>
      </w:r>
      <w:r w:rsidRPr="00910CE3">
        <w:rPr>
          <w:rFonts w:asciiTheme="majorBidi" w:hAnsiTheme="majorBidi" w:cstheme="majorBidi"/>
          <w:spacing w:val="1"/>
          <w:sz w:val="24"/>
          <w:szCs w:val="24"/>
        </w:rPr>
        <w:t xml:space="preserve"> </w:t>
      </w:r>
    </w:p>
    <w:p w:rsidR="00343B61" w:rsidRPr="00910CE3" w:rsidRDefault="00343B61" w:rsidP="00343B61">
      <w:pPr>
        <w:spacing w:line="360" w:lineRule="auto"/>
        <w:ind w:left="720" w:firstLine="540"/>
        <w:jc w:val="both"/>
        <w:rPr>
          <w:rFonts w:asciiTheme="majorBidi" w:hAnsiTheme="majorBidi" w:cstheme="majorBidi"/>
          <w:spacing w:val="5"/>
          <w:sz w:val="24"/>
          <w:szCs w:val="24"/>
        </w:rPr>
      </w:pPr>
      <w:r w:rsidRPr="00910CE3">
        <w:rPr>
          <w:rFonts w:asciiTheme="majorBidi" w:hAnsiTheme="majorBidi" w:cstheme="majorBidi"/>
          <w:spacing w:val="1"/>
          <w:sz w:val="24"/>
          <w:szCs w:val="24"/>
        </w:rPr>
        <w:t>Di</w:t>
      </w:r>
      <w:r>
        <w:rPr>
          <w:rFonts w:asciiTheme="majorBidi" w:hAnsiTheme="majorBidi" w:cstheme="majorBidi"/>
          <w:spacing w:val="1"/>
          <w:sz w:val="24"/>
          <w:szCs w:val="24"/>
        </w:rPr>
        <w:t xml:space="preserve"> </w:t>
      </w:r>
      <w:r w:rsidRPr="00910CE3">
        <w:rPr>
          <w:rFonts w:asciiTheme="majorBidi" w:hAnsiTheme="majorBidi" w:cstheme="majorBidi"/>
          <w:spacing w:val="1"/>
          <w:sz w:val="24"/>
          <w:szCs w:val="24"/>
        </w:rPr>
        <w:t xml:space="preserve">antara pemikiran </w:t>
      </w:r>
      <w:r w:rsidRPr="005C419C">
        <w:rPr>
          <w:rFonts w:asciiTheme="majorBidi" w:hAnsiTheme="majorBidi" w:cstheme="majorBidi"/>
          <w:i/>
          <w:iCs/>
          <w:spacing w:val="1"/>
          <w:sz w:val="24"/>
          <w:szCs w:val="24"/>
        </w:rPr>
        <w:t>siyāsah</w:t>
      </w:r>
      <w:r w:rsidRPr="00910CE3">
        <w:rPr>
          <w:rFonts w:asciiTheme="majorBidi" w:hAnsiTheme="majorBidi" w:cstheme="majorBidi"/>
          <w:spacing w:val="1"/>
          <w:sz w:val="24"/>
          <w:szCs w:val="24"/>
        </w:rPr>
        <w:t xml:space="preserve">nya adalah bahwa khalifah baginya adalah wajib syar’i dan eksistensi </w:t>
      </w:r>
      <w:r w:rsidRPr="005C419C">
        <w:rPr>
          <w:rFonts w:asciiTheme="majorBidi" w:hAnsiTheme="majorBidi" w:cstheme="majorBidi"/>
          <w:i/>
          <w:iCs/>
          <w:spacing w:val="1"/>
          <w:sz w:val="24"/>
          <w:szCs w:val="24"/>
        </w:rPr>
        <w:t>khilāfah</w:t>
      </w:r>
      <w:r w:rsidRPr="00910CE3">
        <w:rPr>
          <w:rFonts w:asciiTheme="majorBidi" w:hAnsiTheme="majorBidi" w:cstheme="majorBidi"/>
          <w:spacing w:val="1"/>
          <w:sz w:val="24"/>
          <w:szCs w:val="24"/>
        </w:rPr>
        <w:t xml:space="preserve"> sangat penting dalam rangka penerapan hukum syari’at Islam. Ini sejalan dengan pandangannya, bahwa Islam adalah agama untuk kedaulatan, politik dan pemerintahan. Bila demikian, berarti bentuk pemerintahan lain bagi Ridha tidak bisa menerapkan syari’at Islam. </w:t>
      </w:r>
      <w:r w:rsidRPr="00910CE3">
        <w:rPr>
          <w:rFonts w:asciiTheme="majorBidi" w:hAnsiTheme="majorBidi" w:cstheme="majorBidi"/>
          <w:spacing w:val="-1"/>
          <w:sz w:val="24"/>
          <w:szCs w:val="24"/>
        </w:rPr>
        <w:t xml:space="preserve">Lebih lanjut, Ridha juga mengedepankan pendapat dan argumentasi </w:t>
      </w:r>
      <w:r w:rsidRPr="00910CE3">
        <w:rPr>
          <w:rFonts w:asciiTheme="majorBidi" w:hAnsiTheme="majorBidi" w:cstheme="majorBidi"/>
          <w:sz w:val="24"/>
          <w:szCs w:val="24"/>
        </w:rPr>
        <w:t xml:space="preserve">Al-As'ad tentang </w:t>
      </w:r>
      <w:r w:rsidRPr="005C419C">
        <w:rPr>
          <w:rFonts w:asciiTheme="majorBidi" w:hAnsiTheme="majorBidi" w:cstheme="majorBidi"/>
          <w:i/>
          <w:iCs/>
          <w:sz w:val="24"/>
          <w:szCs w:val="24"/>
        </w:rPr>
        <w:t>khil</w:t>
      </w:r>
      <w:r w:rsidRPr="005C419C">
        <w:rPr>
          <w:rFonts w:asciiTheme="majorBidi" w:hAnsiTheme="majorBidi" w:cstheme="majorBidi"/>
          <w:i/>
          <w:iCs/>
          <w:spacing w:val="1"/>
          <w:sz w:val="24"/>
          <w:szCs w:val="24"/>
        </w:rPr>
        <w:t>ā</w:t>
      </w:r>
      <w:r w:rsidRPr="005C419C">
        <w:rPr>
          <w:rFonts w:asciiTheme="majorBidi" w:hAnsiTheme="majorBidi" w:cstheme="majorBidi"/>
          <w:i/>
          <w:iCs/>
          <w:sz w:val="24"/>
          <w:szCs w:val="24"/>
        </w:rPr>
        <w:t>fah</w:t>
      </w:r>
      <w:r w:rsidRPr="00910CE3">
        <w:rPr>
          <w:rFonts w:asciiTheme="majorBidi" w:hAnsiTheme="majorBidi" w:cstheme="majorBidi"/>
          <w:sz w:val="24"/>
          <w:szCs w:val="24"/>
        </w:rPr>
        <w:t xml:space="preserve"> sebagai kewajiban  </w:t>
      </w:r>
      <w:r w:rsidRPr="00910CE3">
        <w:rPr>
          <w:rFonts w:asciiTheme="majorBidi" w:hAnsiTheme="majorBidi" w:cstheme="majorBidi"/>
          <w:sz w:val="24"/>
          <w:szCs w:val="24"/>
        </w:rPr>
        <w:lastRenderedPageBreak/>
        <w:t xml:space="preserve">syar'i, yaitu </w:t>
      </w:r>
      <w:r w:rsidRPr="00910CE3">
        <w:rPr>
          <w:rFonts w:asciiTheme="majorBidi" w:hAnsiTheme="majorBidi" w:cstheme="majorBidi"/>
          <w:spacing w:val="5"/>
          <w:sz w:val="24"/>
          <w:szCs w:val="24"/>
        </w:rPr>
        <w:t xml:space="preserve">adanya ijma' sahabat dalam hal pengukuhan Abu Bakar sebagai khalifah (pengganti) Nabi sampai mereka mendahulukannya daripada penguburan Nabi. Dengan adanya imam, pelaksanaan hukum syariat terjamin dan terhindar dari berbagai mudarat. Adanya kewajiban taat pada Islam berdasarkan </w:t>
      </w:r>
      <w:r w:rsidRPr="00910CE3">
        <w:rPr>
          <w:rFonts w:asciiTheme="majorBidi" w:hAnsiTheme="majorBidi" w:cstheme="majorBidi"/>
          <w:sz w:val="24"/>
          <w:szCs w:val="24"/>
        </w:rPr>
        <w:t>al-Qur’ān</w:t>
      </w:r>
      <w:r w:rsidRPr="00910CE3">
        <w:rPr>
          <w:rFonts w:asciiTheme="majorBidi" w:hAnsiTheme="majorBidi" w:cstheme="majorBidi"/>
          <w:spacing w:val="5"/>
          <w:sz w:val="24"/>
          <w:szCs w:val="24"/>
        </w:rPr>
        <w:t xml:space="preserve"> dan Sunnah memang menghendaki diangkatnya seorang imam.</w:t>
      </w:r>
      <w:r w:rsidRPr="00910CE3">
        <w:rPr>
          <w:rStyle w:val="FootnoteReference"/>
          <w:rFonts w:asciiTheme="majorBidi" w:hAnsiTheme="majorBidi" w:cstheme="majorBidi"/>
          <w:spacing w:val="5"/>
          <w:sz w:val="24"/>
          <w:szCs w:val="24"/>
        </w:rPr>
        <w:footnoteReference w:id="234"/>
      </w:r>
    </w:p>
    <w:p w:rsidR="00343B61" w:rsidRPr="00910CE3" w:rsidRDefault="00343B61" w:rsidP="00343B61">
      <w:pPr>
        <w:spacing w:line="360" w:lineRule="auto"/>
        <w:ind w:left="720" w:firstLine="540"/>
        <w:jc w:val="both"/>
        <w:rPr>
          <w:rFonts w:asciiTheme="majorBidi" w:hAnsiTheme="majorBidi" w:cstheme="majorBidi"/>
          <w:sz w:val="24"/>
          <w:szCs w:val="24"/>
        </w:rPr>
      </w:pPr>
      <w:r w:rsidRPr="00910CE3">
        <w:rPr>
          <w:rFonts w:asciiTheme="majorBidi" w:hAnsiTheme="majorBidi" w:cstheme="majorBidi"/>
          <w:spacing w:val="4"/>
          <w:sz w:val="24"/>
          <w:szCs w:val="24"/>
        </w:rPr>
        <w:t>Karena itu Ridha menggaris</w:t>
      </w:r>
      <w:r>
        <w:rPr>
          <w:rFonts w:asciiTheme="majorBidi" w:hAnsiTheme="majorBidi" w:cstheme="majorBidi"/>
          <w:spacing w:val="4"/>
          <w:sz w:val="24"/>
          <w:szCs w:val="24"/>
        </w:rPr>
        <w:t xml:space="preserve"> </w:t>
      </w:r>
      <w:r w:rsidRPr="00910CE3">
        <w:rPr>
          <w:rFonts w:asciiTheme="majorBidi" w:hAnsiTheme="majorBidi" w:cstheme="majorBidi"/>
          <w:spacing w:val="4"/>
          <w:sz w:val="24"/>
          <w:szCs w:val="24"/>
        </w:rPr>
        <w:t xml:space="preserve">bawahi pendapat Al-Taftazani yang mengatakan, imamah adalah kepemimpinan umum dalam </w:t>
      </w:r>
      <w:r w:rsidRPr="00910CE3">
        <w:rPr>
          <w:rFonts w:asciiTheme="majorBidi" w:hAnsiTheme="majorBidi" w:cstheme="majorBidi"/>
          <w:sz w:val="24"/>
          <w:szCs w:val="24"/>
        </w:rPr>
        <w:t>urusan agama dan dunia yang diwarisi dari Nabi. la juga sependa</w:t>
      </w:r>
      <w:r w:rsidRPr="00910CE3">
        <w:rPr>
          <w:rFonts w:asciiTheme="majorBidi" w:hAnsiTheme="majorBidi" w:cstheme="majorBidi"/>
          <w:sz w:val="24"/>
          <w:szCs w:val="24"/>
        </w:rPr>
        <w:softHyphen/>
        <w:t>pat dengan Al-Mawardi yang mengatakan, imamah itu ditegak</w:t>
      </w:r>
      <w:r w:rsidRPr="00910CE3">
        <w:rPr>
          <w:rFonts w:asciiTheme="majorBidi" w:hAnsiTheme="majorBidi" w:cstheme="majorBidi"/>
          <w:sz w:val="24"/>
          <w:szCs w:val="24"/>
        </w:rPr>
        <w:softHyphen/>
        <w:t>kan sebagai pengganti Nabi dalam memelihara urusan keagamaan dan keduniaan.</w:t>
      </w:r>
      <w:r w:rsidRPr="00910CE3">
        <w:rPr>
          <w:rStyle w:val="FootnoteReference"/>
          <w:rFonts w:asciiTheme="majorBidi" w:hAnsiTheme="majorBidi" w:cstheme="majorBidi"/>
          <w:sz w:val="24"/>
          <w:szCs w:val="24"/>
        </w:rPr>
        <w:footnoteReference w:id="235"/>
      </w:r>
    </w:p>
    <w:p w:rsidR="00343B61" w:rsidRPr="00910CE3" w:rsidRDefault="00343B61" w:rsidP="002C0A33">
      <w:pPr>
        <w:numPr>
          <w:ilvl w:val="0"/>
          <w:numId w:val="22"/>
        </w:numPr>
        <w:spacing w:after="0" w:line="360" w:lineRule="auto"/>
        <w:ind w:hanging="270"/>
        <w:jc w:val="both"/>
        <w:rPr>
          <w:rFonts w:asciiTheme="majorBidi" w:hAnsiTheme="majorBidi" w:cstheme="majorBidi"/>
          <w:spacing w:val="1"/>
          <w:sz w:val="24"/>
          <w:szCs w:val="24"/>
        </w:rPr>
      </w:pPr>
      <w:r w:rsidRPr="00910CE3">
        <w:rPr>
          <w:rFonts w:asciiTheme="majorBidi" w:hAnsiTheme="majorBidi" w:cstheme="majorBidi"/>
          <w:bCs/>
          <w:sz w:val="24"/>
          <w:szCs w:val="24"/>
        </w:rPr>
        <w:t>Sayyid Quthub (1906-1966 M)</w:t>
      </w:r>
      <w:r w:rsidRPr="00910CE3">
        <w:rPr>
          <w:rFonts w:asciiTheme="majorBidi" w:hAnsiTheme="majorBidi" w:cstheme="majorBidi"/>
          <w:sz w:val="24"/>
          <w:szCs w:val="24"/>
        </w:rPr>
        <w:t xml:space="preserve"> ideologi gerakan Ikhwanul Muslimin yang menulis </w:t>
      </w:r>
      <w:r w:rsidRPr="00910CE3">
        <w:rPr>
          <w:rFonts w:asciiTheme="majorBidi" w:hAnsiTheme="majorBidi" w:cstheme="majorBidi"/>
          <w:i/>
          <w:iCs/>
          <w:sz w:val="24"/>
          <w:szCs w:val="24"/>
        </w:rPr>
        <w:t xml:space="preserve">Al-Adalah al-‘Ijtima’i fi al-Islam </w:t>
      </w:r>
      <w:r w:rsidRPr="00910CE3">
        <w:rPr>
          <w:rFonts w:asciiTheme="majorBidi" w:hAnsiTheme="majorBidi" w:cstheme="majorBidi"/>
          <w:sz w:val="24"/>
          <w:szCs w:val="24"/>
        </w:rPr>
        <w:t xml:space="preserve">(Keadilan Sosial dalam Islam) dan </w:t>
      </w:r>
      <w:r w:rsidRPr="00910CE3">
        <w:rPr>
          <w:rFonts w:asciiTheme="majorBidi" w:hAnsiTheme="majorBidi" w:cstheme="majorBidi"/>
          <w:i/>
          <w:iCs/>
          <w:sz w:val="24"/>
          <w:szCs w:val="24"/>
        </w:rPr>
        <w:t xml:space="preserve">Ma’alim al Thariq </w:t>
      </w:r>
      <w:r w:rsidRPr="00910CE3">
        <w:rPr>
          <w:rFonts w:asciiTheme="majorBidi" w:hAnsiTheme="majorBidi" w:cstheme="majorBidi"/>
          <w:sz w:val="24"/>
          <w:szCs w:val="24"/>
        </w:rPr>
        <w:t>(Petunjuk Jalan).</w:t>
      </w:r>
    </w:p>
    <w:p w:rsidR="00343B61" w:rsidRPr="00910CE3" w:rsidRDefault="00343B61" w:rsidP="002C0A33">
      <w:pPr>
        <w:numPr>
          <w:ilvl w:val="0"/>
          <w:numId w:val="22"/>
        </w:numPr>
        <w:spacing w:after="0" w:line="360" w:lineRule="auto"/>
        <w:ind w:hanging="270"/>
        <w:jc w:val="both"/>
        <w:rPr>
          <w:rFonts w:asciiTheme="majorBidi" w:hAnsiTheme="majorBidi" w:cstheme="majorBidi"/>
          <w:bCs/>
          <w:spacing w:val="16"/>
          <w:sz w:val="24"/>
          <w:szCs w:val="24"/>
        </w:rPr>
      </w:pPr>
      <w:r w:rsidRPr="00910CE3">
        <w:rPr>
          <w:rFonts w:asciiTheme="majorBidi" w:hAnsiTheme="majorBidi" w:cstheme="majorBidi"/>
          <w:bCs/>
          <w:spacing w:val="16"/>
          <w:sz w:val="24"/>
          <w:szCs w:val="24"/>
        </w:rPr>
        <w:t>Hasan bin Ahmad bin Abdurrahman Al-Banna atau yang lebih dikenal dengan nama Hasan Al-Banna (1906-1'09 M) pendiri gerakan Ikhwanul Muslimin.</w:t>
      </w:r>
    </w:p>
    <w:p w:rsidR="00343B61" w:rsidRPr="00910CE3" w:rsidRDefault="00343B61" w:rsidP="002C0A33">
      <w:pPr>
        <w:numPr>
          <w:ilvl w:val="0"/>
          <w:numId w:val="22"/>
        </w:numPr>
        <w:spacing w:after="0" w:line="360" w:lineRule="auto"/>
        <w:ind w:hanging="270"/>
        <w:jc w:val="both"/>
        <w:rPr>
          <w:rFonts w:asciiTheme="majorBidi" w:hAnsiTheme="majorBidi" w:cstheme="majorBidi"/>
          <w:bCs/>
          <w:spacing w:val="16"/>
          <w:sz w:val="24"/>
          <w:szCs w:val="24"/>
        </w:rPr>
      </w:pPr>
      <w:r>
        <w:rPr>
          <w:rFonts w:asciiTheme="majorBidi" w:hAnsiTheme="majorBidi" w:cstheme="majorBidi"/>
          <w:bCs/>
          <w:spacing w:val="16"/>
          <w:sz w:val="24"/>
          <w:szCs w:val="24"/>
        </w:rPr>
        <w:t xml:space="preserve">Abu </w:t>
      </w:r>
      <w:r w:rsidRPr="00910CE3">
        <w:rPr>
          <w:rFonts w:asciiTheme="majorBidi" w:hAnsiTheme="majorBidi" w:cstheme="majorBidi"/>
          <w:bCs/>
          <w:spacing w:val="16"/>
          <w:sz w:val="24"/>
          <w:szCs w:val="24"/>
        </w:rPr>
        <w:t xml:space="preserve">al-Ala al-Maududi (1903-1979 M) yang menulis </w:t>
      </w:r>
      <w:r w:rsidRPr="00910CE3">
        <w:rPr>
          <w:rFonts w:asciiTheme="majorBidi" w:hAnsiTheme="majorBidi" w:cstheme="majorBidi"/>
          <w:bCs/>
          <w:i/>
          <w:iCs/>
          <w:spacing w:val="16"/>
          <w:sz w:val="24"/>
          <w:szCs w:val="24"/>
        </w:rPr>
        <w:t xml:space="preserve">Al-Khilafah wal Mulk </w:t>
      </w:r>
      <w:r w:rsidRPr="00910CE3">
        <w:rPr>
          <w:rFonts w:asciiTheme="majorBidi" w:hAnsiTheme="majorBidi" w:cstheme="majorBidi"/>
          <w:bCs/>
          <w:spacing w:val="16"/>
          <w:sz w:val="24"/>
          <w:szCs w:val="24"/>
        </w:rPr>
        <w:t xml:space="preserve">(Khilafah dan Kerajaan) dan </w:t>
      </w:r>
      <w:r w:rsidRPr="00910CE3">
        <w:rPr>
          <w:rFonts w:asciiTheme="majorBidi" w:hAnsiTheme="majorBidi" w:cstheme="majorBidi"/>
          <w:bCs/>
          <w:i/>
          <w:iCs/>
          <w:spacing w:val="16"/>
          <w:sz w:val="24"/>
          <w:szCs w:val="24"/>
        </w:rPr>
        <w:t xml:space="preserve">Islamic Law and Constitution. </w:t>
      </w:r>
      <w:r w:rsidRPr="00910CE3">
        <w:rPr>
          <w:rFonts w:asciiTheme="majorBidi" w:hAnsiTheme="majorBidi" w:cstheme="majorBidi"/>
          <w:bCs/>
          <w:spacing w:val="16"/>
          <w:sz w:val="24"/>
          <w:szCs w:val="24"/>
        </w:rPr>
        <w:t xml:space="preserve">Ia juga pendiri gerakan </w:t>
      </w:r>
      <w:r w:rsidRPr="00910CE3">
        <w:rPr>
          <w:rFonts w:asciiTheme="majorBidi" w:hAnsiTheme="majorBidi" w:cstheme="majorBidi"/>
          <w:bCs/>
          <w:spacing w:val="7"/>
          <w:sz w:val="24"/>
          <w:szCs w:val="24"/>
        </w:rPr>
        <w:t>Jama'at Islami di Pakistan.</w:t>
      </w:r>
    </w:p>
    <w:p w:rsidR="00343B61" w:rsidRPr="00910CE3" w:rsidRDefault="00343B61" w:rsidP="002C0A33">
      <w:pPr>
        <w:numPr>
          <w:ilvl w:val="0"/>
          <w:numId w:val="22"/>
        </w:numPr>
        <w:spacing w:after="0" w:line="360" w:lineRule="auto"/>
        <w:ind w:hanging="270"/>
        <w:jc w:val="both"/>
        <w:rPr>
          <w:rFonts w:asciiTheme="majorBidi" w:hAnsiTheme="majorBidi" w:cstheme="majorBidi"/>
          <w:bCs/>
          <w:spacing w:val="16"/>
          <w:sz w:val="24"/>
          <w:szCs w:val="24"/>
        </w:rPr>
      </w:pPr>
      <w:r w:rsidRPr="00910CE3">
        <w:rPr>
          <w:rFonts w:asciiTheme="majorBidi" w:hAnsiTheme="majorBidi" w:cstheme="majorBidi"/>
          <w:bCs/>
          <w:spacing w:val="8"/>
          <w:sz w:val="24"/>
          <w:szCs w:val="24"/>
        </w:rPr>
        <w:t xml:space="preserve">Imam Khomeini (1900-1989 M) pemimpin Revolusi Islam Iran 1979 dan penggagas konsep </w:t>
      </w:r>
      <w:r w:rsidRPr="00910CE3">
        <w:rPr>
          <w:rFonts w:asciiTheme="majorBidi" w:hAnsiTheme="majorBidi" w:cstheme="majorBidi"/>
          <w:bCs/>
          <w:i/>
          <w:iCs/>
          <w:spacing w:val="8"/>
          <w:sz w:val="24"/>
          <w:szCs w:val="24"/>
        </w:rPr>
        <w:t xml:space="preserve">wilayatul faqih </w:t>
      </w:r>
      <w:r w:rsidRPr="00910CE3">
        <w:rPr>
          <w:rFonts w:asciiTheme="majorBidi" w:hAnsiTheme="majorBidi" w:cstheme="majorBidi"/>
          <w:bCs/>
          <w:spacing w:val="8"/>
          <w:sz w:val="24"/>
          <w:szCs w:val="24"/>
        </w:rPr>
        <w:t xml:space="preserve">yang menulis </w:t>
      </w:r>
      <w:r w:rsidRPr="00910CE3">
        <w:rPr>
          <w:rFonts w:asciiTheme="majorBidi" w:hAnsiTheme="majorBidi" w:cstheme="majorBidi"/>
          <w:bCs/>
          <w:i/>
          <w:iCs/>
          <w:spacing w:val="8"/>
          <w:sz w:val="24"/>
          <w:szCs w:val="24"/>
        </w:rPr>
        <w:t xml:space="preserve">Hokumat-i Islami </w:t>
      </w:r>
      <w:r w:rsidRPr="00910CE3">
        <w:rPr>
          <w:rFonts w:asciiTheme="majorBidi" w:hAnsiTheme="majorBidi" w:cstheme="majorBidi"/>
          <w:bCs/>
          <w:spacing w:val="8"/>
          <w:sz w:val="24"/>
          <w:szCs w:val="24"/>
        </w:rPr>
        <w:t>(Sistem Pemerintahan Islam).</w:t>
      </w:r>
      <w:r w:rsidRPr="00910CE3">
        <w:rPr>
          <w:rStyle w:val="FootnoteReference"/>
          <w:rFonts w:asciiTheme="majorBidi" w:hAnsiTheme="majorBidi" w:cstheme="majorBidi"/>
          <w:bCs/>
          <w:spacing w:val="8"/>
          <w:sz w:val="24"/>
          <w:szCs w:val="24"/>
        </w:rPr>
        <w:footnoteReference w:id="236"/>
      </w:r>
    </w:p>
    <w:p w:rsidR="00343B61" w:rsidRPr="00910CE3" w:rsidRDefault="00343B61" w:rsidP="00343B61">
      <w:pPr>
        <w:spacing w:line="360" w:lineRule="auto"/>
        <w:ind w:firstLine="540"/>
        <w:jc w:val="both"/>
        <w:rPr>
          <w:rFonts w:asciiTheme="majorBidi" w:hAnsiTheme="majorBidi" w:cstheme="majorBidi"/>
          <w:spacing w:val="8"/>
          <w:sz w:val="24"/>
          <w:szCs w:val="24"/>
        </w:rPr>
      </w:pPr>
      <w:r w:rsidRPr="00910CE3">
        <w:rPr>
          <w:rFonts w:asciiTheme="majorBidi" w:hAnsiTheme="majorBidi" w:cstheme="majorBidi"/>
          <w:spacing w:val="8"/>
          <w:sz w:val="24"/>
          <w:szCs w:val="24"/>
        </w:rPr>
        <w:t xml:space="preserve">Secara umum gagasan kelompok ini masih menginginkan adanya negara universal yang menyatukan seluruh dunia Islam. Ridha menamakannya dengan negara khalifah, Sayyid Quthub menyebutnya </w:t>
      </w:r>
      <w:r w:rsidRPr="00910CE3">
        <w:rPr>
          <w:rFonts w:asciiTheme="majorBidi" w:hAnsiTheme="majorBidi" w:cstheme="majorBidi"/>
          <w:spacing w:val="8"/>
          <w:sz w:val="24"/>
          <w:szCs w:val="24"/>
        </w:rPr>
        <w:lastRenderedPageBreak/>
        <w:t>sebagai negara supranasional,</w:t>
      </w:r>
      <w:r w:rsidRPr="00910CE3">
        <w:rPr>
          <w:rStyle w:val="FootnoteReference"/>
          <w:rFonts w:asciiTheme="majorBidi" w:hAnsiTheme="majorBidi" w:cstheme="majorBidi"/>
          <w:spacing w:val="8"/>
          <w:sz w:val="24"/>
          <w:szCs w:val="24"/>
        </w:rPr>
        <w:footnoteReference w:id="237"/>
      </w:r>
      <w:r w:rsidRPr="00910CE3">
        <w:rPr>
          <w:rFonts w:asciiTheme="majorBidi" w:hAnsiTheme="majorBidi" w:cstheme="majorBidi"/>
          <w:spacing w:val="8"/>
          <w:sz w:val="24"/>
          <w:szCs w:val="24"/>
        </w:rPr>
        <w:t xml:space="preserve"> sementara Maududi menamakannya dengan negara universal yang mirip-mirp dengan negara fasis.</w:t>
      </w:r>
      <w:r w:rsidRPr="00910CE3">
        <w:rPr>
          <w:rStyle w:val="FootnoteReference"/>
          <w:rFonts w:asciiTheme="majorBidi" w:hAnsiTheme="majorBidi" w:cstheme="majorBidi"/>
          <w:spacing w:val="8"/>
          <w:sz w:val="24"/>
          <w:szCs w:val="24"/>
        </w:rPr>
        <w:footnoteReference w:id="238"/>
      </w:r>
    </w:p>
    <w:p w:rsidR="00343B61" w:rsidRPr="00910CE3" w:rsidRDefault="00343B61" w:rsidP="00343B61">
      <w:pPr>
        <w:spacing w:line="360" w:lineRule="auto"/>
        <w:ind w:firstLine="720"/>
        <w:jc w:val="both"/>
        <w:rPr>
          <w:rFonts w:asciiTheme="majorBidi" w:hAnsiTheme="majorBidi" w:cstheme="majorBidi"/>
          <w:spacing w:val="-3"/>
          <w:sz w:val="24"/>
          <w:szCs w:val="24"/>
        </w:rPr>
      </w:pPr>
      <w:r w:rsidRPr="00910CE3">
        <w:rPr>
          <w:rFonts w:asciiTheme="majorBidi" w:hAnsiTheme="majorBidi" w:cstheme="majorBidi"/>
          <w:spacing w:val="8"/>
          <w:sz w:val="24"/>
          <w:szCs w:val="24"/>
        </w:rPr>
        <w:t>Ciri lain yang menandai pemikiran para tokoh tersebut adalah sikap mereka yang anti-Barat. Para tokoh te</w:t>
      </w:r>
      <w:r w:rsidRPr="00910CE3">
        <w:rPr>
          <w:rFonts w:asciiTheme="majorBidi" w:hAnsiTheme="majorBidi" w:cstheme="majorBidi"/>
          <w:sz w:val="24"/>
          <w:szCs w:val="24"/>
        </w:rPr>
        <w:t xml:space="preserve">rsebut memandang Barat sebagai musuh Islam. Karena itu, apa yang datang dari Barat semua itu harus ditolak, karena tidak sesuai dengan kepribadian Islam. Umat muslim harus kembali pada ajaran </w:t>
      </w:r>
      <w:r w:rsidRPr="00910CE3">
        <w:rPr>
          <w:rFonts w:asciiTheme="majorBidi" w:hAnsiTheme="majorBidi" w:cstheme="majorBidi"/>
          <w:spacing w:val="-3"/>
          <w:sz w:val="24"/>
          <w:szCs w:val="24"/>
        </w:rPr>
        <w:t xml:space="preserve">agama mereka secara utuh. Khomeini dalam hal ini dapat dikatakan sebagai orang yang sangat membenci Barat (Amerika) dan menjulukinya dengan </w:t>
      </w:r>
      <w:r w:rsidRPr="00910CE3">
        <w:rPr>
          <w:rFonts w:asciiTheme="majorBidi" w:hAnsiTheme="majorBidi" w:cstheme="majorBidi"/>
          <w:spacing w:val="-3"/>
          <w:sz w:val="24"/>
          <w:szCs w:val="24"/>
          <w:vertAlign w:val="superscript"/>
        </w:rPr>
        <w:t>"</w:t>
      </w:r>
      <w:r w:rsidRPr="00910CE3">
        <w:rPr>
          <w:rFonts w:asciiTheme="majorBidi" w:hAnsiTheme="majorBidi" w:cstheme="majorBidi"/>
          <w:spacing w:val="-3"/>
          <w:sz w:val="24"/>
          <w:szCs w:val="24"/>
        </w:rPr>
        <w:t>Setan Besar</w:t>
      </w:r>
      <w:r w:rsidRPr="00910CE3">
        <w:rPr>
          <w:rFonts w:asciiTheme="majorBidi" w:hAnsiTheme="majorBidi" w:cstheme="majorBidi"/>
          <w:spacing w:val="-3"/>
          <w:sz w:val="24"/>
          <w:szCs w:val="24"/>
          <w:vertAlign w:val="superscript"/>
        </w:rPr>
        <w:t>"</w:t>
      </w:r>
      <w:r w:rsidRPr="00910CE3">
        <w:rPr>
          <w:rFonts w:asciiTheme="majorBidi" w:hAnsiTheme="majorBidi" w:cstheme="majorBidi"/>
          <w:spacing w:val="-3"/>
          <w:sz w:val="24"/>
          <w:szCs w:val="24"/>
        </w:rPr>
        <w:t>.</w:t>
      </w:r>
      <w:r w:rsidRPr="00910CE3">
        <w:rPr>
          <w:rStyle w:val="FootnoteReference"/>
          <w:rFonts w:asciiTheme="majorBidi" w:hAnsiTheme="majorBidi" w:cstheme="majorBidi"/>
          <w:spacing w:val="-3"/>
          <w:sz w:val="24"/>
          <w:szCs w:val="24"/>
        </w:rPr>
        <w:footnoteReference w:id="239"/>
      </w:r>
      <w:r w:rsidRPr="00910CE3">
        <w:rPr>
          <w:rFonts w:asciiTheme="majorBidi" w:hAnsiTheme="majorBidi" w:cstheme="majorBidi"/>
          <w:spacing w:val="-3"/>
          <w:sz w:val="24"/>
          <w:szCs w:val="24"/>
        </w:rPr>
        <w:t xml:space="preserve"> </w:t>
      </w:r>
    </w:p>
    <w:p w:rsidR="00343B61" w:rsidRPr="00910CE3" w:rsidRDefault="00343B61" w:rsidP="00343B61">
      <w:pPr>
        <w:spacing w:after="0" w:line="360" w:lineRule="auto"/>
        <w:ind w:firstLine="720"/>
        <w:jc w:val="both"/>
        <w:rPr>
          <w:rFonts w:asciiTheme="majorBidi" w:hAnsiTheme="majorBidi" w:cstheme="majorBidi"/>
          <w:spacing w:val="7"/>
          <w:sz w:val="24"/>
          <w:szCs w:val="24"/>
        </w:rPr>
      </w:pPr>
      <w:r w:rsidRPr="00910CE3">
        <w:rPr>
          <w:rFonts w:asciiTheme="majorBidi" w:hAnsiTheme="majorBidi" w:cstheme="majorBidi"/>
          <w:spacing w:val="10"/>
          <w:sz w:val="24"/>
          <w:szCs w:val="24"/>
        </w:rPr>
        <w:t xml:space="preserve">Kelompok kedua memiliki pandangan bahwa agama </w:t>
      </w:r>
      <w:r w:rsidRPr="00910CE3">
        <w:rPr>
          <w:rFonts w:asciiTheme="majorBidi" w:hAnsiTheme="majorBidi" w:cstheme="majorBidi"/>
          <w:spacing w:val="16"/>
          <w:sz w:val="24"/>
          <w:szCs w:val="24"/>
        </w:rPr>
        <w:t>harus dipisahka</w:t>
      </w:r>
      <w:r>
        <w:rPr>
          <w:rFonts w:asciiTheme="majorBidi" w:hAnsiTheme="majorBidi" w:cstheme="majorBidi"/>
          <w:spacing w:val="16"/>
          <w:sz w:val="24"/>
          <w:szCs w:val="24"/>
        </w:rPr>
        <w:t>n dengan negara dengan argumen</w:t>
      </w:r>
      <w:r w:rsidRPr="00910CE3">
        <w:rPr>
          <w:rFonts w:asciiTheme="majorBidi" w:hAnsiTheme="majorBidi" w:cstheme="majorBidi"/>
          <w:spacing w:val="16"/>
          <w:sz w:val="24"/>
          <w:szCs w:val="24"/>
        </w:rPr>
        <w:t xml:space="preserve"> Nabi </w:t>
      </w:r>
      <w:r w:rsidRPr="00910CE3">
        <w:rPr>
          <w:rFonts w:asciiTheme="majorBidi" w:hAnsiTheme="majorBidi" w:cstheme="majorBidi"/>
          <w:spacing w:val="7"/>
          <w:sz w:val="24"/>
          <w:szCs w:val="24"/>
        </w:rPr>
        <w:t>Muhammad Saw tidak pernah memerintahkan untuk mendirikan negara. Terbentuknya negara dalam masa awal Islam hanya faktor alamiah dan historis dalam kehidupan masyarakat, sehingga tidak perlu umat Islam mendirikan negara Islam atau khilafah Islamiyah</w:t>
      </w:r>
      <w:r w:rsidRPr="00910CE3">
        <w:rPr>
          <w:rStyle w:val="FootnoteReference"/>
          <w:rFonts w:asciiTheme="majorBidi" w:hAnsiTheme="majorBidi" w:cstheme="majorBidi"/>
          <w:spacing w:val="7"/>
          <w:sz w:val="24"/>
          <w:szCs w:val="24"/>
        </w:rPr>
        <w:footnoteReference w:id="240"/>
      </w:r>
      <w:r w:rsidRPr="00910CE3">
        <w:rPr>
          <w:rFonts w:asciiTheme="majorBidi" w:hAnsiTheme="majorBidi" w:cstheme="majorBidi"/>
          <w:spacing w:val="7"/>
          <w:sz w:val="24"/>
          <w:szCs w:val="24"/>
        </w:rPr>
        <w:t xml:space="preserve">. Kelompok ini diwakili oleh: </w:t>
      </w:r>
    </w:p>
    <w:p w:rsidR="00343B61" w:rsidRPr="00AD7BD5" w:rsidRDefault="00343B61" w:rsidP="002C0A33">
      <w:pPr>
        <w:pStyle w:val="ListParagraph"/>
        <w:numPr>
          <w:ilvl w:val="0"/>
          <w:numId w:val="34"/>
        </w:numPr>
        <w:spacing w:after="0" w:line="360" w:lineRule="auto"/>
        <w:jc w:val="both"/>
        <w:rPr>
          <w:rFonts w:asciiTheme="majorBidi" w:hAnsiTheme="majorBidi" w:cstheme="majorBidi"/>
          <w:i/>
          <w:iCs/>
          <w:sz w:val="24"/>
          <w:szCs w:val="24"/>
        </w:rPr>
      </w:pPr>
      <w:r w:rsidRPr="00AD7BD5">
        <w:rPr>
          <w:rFonts w:asciiTheme="majorBidi" w:hAnsiTheme="majorBidi" w:cstheme="majorBidi"/>
          <w:bCs/>
          <w:spacing w:val="11"/>
          <w:sz w:val="24"/>
          <w:szCs w:val="24"/>
        </w:rPr>
        <w:t xml:space="preserve">Ali Abd al-Raziq ( I 888-1966 M) </w:t>
      </w:r>
      <w:r w:rsidRPr="00AD7BD5">
        <w:rPr>
          <w:rFonts w:asciiTheme="majorBidi" w:hAnsiTheme="majorBidi" w:cstheme="majorBidi"/>
          <w:bCs/>
          <w:sz w:val="24"/>
          <w:szCs w:val="24"/>
        </w:rPr>
        <w:t xml:space="preserve">Ia </w:t>
      </w:r>
      <w:r w:rsidRPr="00AD7BD5">
        <w:rPr>
          <w:rFonts w:asciiTheme="majorBidi" w:hAnsiTheme="majorBidi" w:cstheme="majorBidi"/>
          <w:bCs/>
          <w:spacing w:val="11"/>
          <w:sz w:val="24"/>
          <w:szCs w:val="24"/>
        </w:rPr>
        <w:t xml:space="preserve">adalah kelahiran Mesir, alumnus Universitas Al-Azhar, Cairo, Mesir, dan pernah pula belajar ilmu ekonomi dan politik di Oxford University, Inggris. Ia pernah berprofesi sebagai hakim Mahkamah Syarī’ah, Mesir. Pandangan-pandangan politiknya ia rumuskan dalam bukunya yang berjudul </w:t>
      </w:r>
      <w:r w:rsidRPr="00AD7BD5">
        <w:rPr>
          <w:rFonts w:asciiTheme="majorBidi" w:hAnsiTheme="majorBidi" w:cstheme="majorBidi"/>
          <w:bCs/>
          <w:i/>
          <w:iCs/>
          <w:spacing w:val="11"/>
          <w:sz w:val="24"/>
          <w:szCs w:val="24"/>
        </w:rPr>
        <w:t>Al-Isl</w:t>
      </w:r>
      <w:r w:rsidRPr="00AD7BD5">
        <w:rPr>
          <w:rFonts w:asciiTheme="majorBidi" w:hAnsiTheme="majorBidi" w:cstheme="majorBidi"/>
          <w:i/>
          <w:iCs/>
          <w:sz w:val="24"/>
          <w:szCs w:val="24"/>
          <w:lang w:val="id-ID"/>
        </w:rPr>
        <w:t>ā</w:t>
      </w:r>
      <w:r w:rsidRPr="00AD7BD5">
        <w:rPr>
          <w:rFonts w:asciiTheme="majorBidi" w:hAnsiTheme="majorBidi" w:cstheme="majorBidi"/>
          <w:bCs/>
          <w:i/>
          <w:iCs/>
          <w:spacing w:val="11"/>
          <w:sz w:val="24"/>
          <w:szCs w:val="24"/>
        </w:rPr>
        <w:t>m wa U</w:t>
      </w:r>
      <w:r w:rsidRPr="00AD7BD5">
        <w:rPr>
          <w:rFonts w:asciiTheme="majorBidi" w:hAnsiTheme="majorBidi" w:cstheme="majorBidi"/>
          <w:i/>
          <w:iCs/>
          <w:color w:val="222222"/>
          <w:sz w:val="24"/>
          <w:szCs w:val="24"/>
        </w:rPr>
        <w:t>ṣ</w:t>
      </w:r>
      <w:r w:rsidRPr="00AD7BD5">
        <w:rPr>
          <w:rFonts w:asciiTheme="majorBidi" w:hAnsiTheme="majorBidi" w:cstheme="majorBidi"/>
          <w:i/>
          <w:iCs/>
          <w:sz w:val="24"/>
          <w:szCs w:val="24"/>
        </w:rPr>
        <w:t>ū</w:t>
      </w:r>
      <w:r w:rsidRPr="00AD7BD5">
        <w:rPr>
          <w:rFonts w:asciiTheme="majorBidi" w:hAnsiTheme="majorBidi" w:cstheme="majorBidi"/>
          <w:bCs/>
          <w:i/>
          <w:iCs/>
          <w:spacing w:val="11"/>
          <w:sz w:val="24"/>
          <w:szCs w:val="24"/>
        </w:rPr>
        <w:t>l al-</w:t>
      </w:r>
      <w:r w:rsidRPr="00FD1755">
        <w:rPr>
          <w:rFonts w:asciiTheme="majorBidi" w:hAnsiTheme="majorBidi" w:cstheme="majorBidi"/>
          <w:bCs/>
          <w:i/>
          <w:iCs/>
          <w:sz w:val="24"/>
          <w:szCs w:val="24"/>
          <w:u w:val="single"/>
        </w:rPr>
        <w:t>H</w:t>
      </w:r>
      <w:r w:rsidRPr="00FD1755">
        <w:rPr>
          <w:rFonts w:asciiTheme="majorBidi" w:hAnsiTheme="majorBidi" w:cstheme="majorBidi"/>
          <w:bCs/>
          <w:i/>
          <w:iCs/>
          <w:spacing w:val="11"/>
          <w:sz w:val="24"/>
          <w:szCs w:val="24"/>
        </w:rPr>
        <w:t>ukm</w:t>
      </w:r>
      <w:r>
        <w:rPr>
          <w:rFonts w:asciiTheme="majorBidi" w:hAnsiTheme="majorBidi" w:cstheme="majorBidi"/>
          <w:bCs/>
          <w:i/>
          <w:iCs/>
          <w:spacing w:val="11"/>
          <w:sz w:val="24"/>
          <w:szCs w:val="24"/>
        </w:rPr>
        <w:t>:</w:t>
      </w:r>
      <w:r w:rsidRPr="00AD7BD5">
        <w:rPr>
          <w:rFonts w:asciiTheme="majorBidi" w:hAnsiTheme="majorBidi" w:cstheme="majorBidi"/>
          <w:bCs/>
          <w:i/>
          <w:iCs/>
          <w:spacing w:val="11"/>
          <w:sz w:val="24"/>
          <w:szCs w:val="24"/>
        </w:rPr>
        <w:t>Ba</w:t>
      </w:r>
      <w:r w:rsidRPr="00AD7BD5">
        <w:rPr>
          <w:rFonts w:ascii="Times New Roman" w:hAnsi="Times New Roman" w:cs="Times New Roman"/>
          <w:i/>
          <w:iCs/>
          <w:sz w:val="24"/>
          <w:szCs w:val="24"/>
          <w:u w:val="single"/>
          <w:lang w:val="id-ID"/>
        </w:rPr>
        <w:t>h</w:t>
      </w:r>
      <w:r w:rsidRPr="00AD7BD5">
        <w:rPr>
          <w:rFonts w:asciiTheme="majorBidi" w:hAnsiTheme="majorBidi" w:cstheme="majorBidi"/>
          <w:bCs/>
          <w:i/>
          <w:iCs/>
          <w:spacing w:val="11"/>
          <w:sz w:val="24"/>
          <w:szCs w:val="24"/>
        </w:rPr>
        <w:t>a</w:t>
      </w:r>
      <w:r w:rsidRPr="00AD7BD5">
        <w:rPr>
          <w:rFonts w:asciiTheme="majorBidi" w:hAnsiTheme="majorBidi" w:cstheme="majorBidi"/>
          <w:i/>
          <w:iCs/>
          <w:color w:val="222222"/>
          <w:sz w:val="24"/>
          <w:szCs w:val="24"/>
        </w:rPr>
        <w:t>ṡ</w:t>
      </w:r>
      <w:r w:rsidRPr="00AD7BD5">
        <w:rPr>
          <w:rFonts w:asciiTheme="majorBidi" w:hAnsiTheme="majorBidi" w:cstheme="majorBidi"/>
          <w:bCs/>
          <w:i/>
          <w:iCs/>
          <w:spacing w:val="11"/>
          <w:sz w:val="24"/>
          <w:szCs w:val="24"/>
        </w:rPr>
        <w:t xml:space="preserve"> </w:t>
      </w:r>
      <w:r w:rsidRPr="00AD7BD5">
        <w:rPr>
          <w:rFonts w:asciiTheme="majorBidi" w:hAnsiTheme="majorBidi" w:cstheme="majorBidi"/>
          <w:bCs/>
          <w:i/>
          <w:iCs/>
          <w:sz w:val="24"/>
          <w:szCs w:val="24"/>
        </w:rPr>
        <w:t>fī</w:t>
      </w:r>
      <w:r w:rsidRPr="00AD7BD5">
        <w:rPr>
          <w:rFonts w:asciiTheme="majorBidi" w:hAnsiTheme="majorBidi" w:cstheme="majorBidi"/>
          <w:bCs/>
          <w:i/>
          <w:iCs/>
          <w:spacing w:val="11"/>
          <w:sz w:val="24"/>
          <w:szCs w:val="24"/>
        </w:rPr>
        <w:t xml:space="preserve"> al-Khil</w:t>
      </w:r>
      <w:r w:rsidRPr="00AD7BD5">
        <w:rPr>
          <w:rFonts w:asciiTheme="majorBidi" w:hAnsiTheme="majorBidi" w:cstheme="majorBidi"/>
          <w:i/>
          <w:iCs/>
          <w:sz w:val="24"/>
          <w:szCs w:val="24"/>
          <w:lang w:val="id-ID"/>
        </w:rPr>
        <w:t>ā</w:t>
      </w:r>
      <w:r w:rsidRPr="00AD7BD5">
        <w:rPr>
          <w:rFonts w:asciiTheme="majorBidi" w:hAnsiTheme="majorBidi" w:cstheme="majorBidi"/>
          <w:bCs/>
          <w:i/>
          <w:iCs/>
          <w:spacing w:val="11"/>
          <w:sz w:val="24"/>
          <w:szCs w:val="24"/>
        </w:rPr>
        <w:t>fah wa al</w:t>
      </w:r>
      <w:r w:rsidRPr="00AD7BD5">
        <w:rPr>
          <w:rFonts w:asciiTheme="majorBidi" w:hAnsiTheme="majorBidi" w:cstheme="majorBidi"/>
          <w:bCs/>
          <w:i/>
          <w:iCs/>
          <w:spacing w:val="11"/>
          <w:sz w:val="24"/>
          <w:szCs w:val="24"/>
        </w:rPr>
        <w:softHyphen/>
        <w:t>-Huk</w:t>
      </w:r>
      <w:r w:rsidRPr="00AD7BD5">
        <w:rPr>
          <w:rFonts w:asciiTheme="majorBidi" w:hAnsiTheme="majorBidi" w:cstheme="majorBidi"/>
          <w:i/>
          <w:iCs/>
          <w:sz w:val="24"/>
          <w:szCs w:val="24"/>
        </w:rPr>
        <w:t>ū</w:t>
      </w:r>
      <w:r w:rsidRPr="00AD7BD5">
        <w:rPr>
          <w:rFonts w:asciiTheme="majorBidi" w:hAnsiTheme="majorBidi" w:cstheme="majorBidi"/>
          <w:bCs/>
          <w:i/>
          <w:iCs/>
          <w:spacing w:val="11"/>
          <w:sz w:val="24"/>
          <w:szCs w:val="24"/>
        </w:rPr>
        <w:t xml:space="preserve">mah </w:t>
      </w:r>
      <w:r w:rsidRPr="00AD7BD5">
        <w:rPr>
          <w:rFonts w:asciiTheme="majorBidi" w:hAnsiTheme="majorBidi" w:cstheme="majorBidi"/>
          <w:bCs/>
          <w:i/>
          <w:iCs/>
          <w:sz w:val="24"/>
          <w:szCs w:val="24"/>
        </w:rPr>
        <w:t>fī</w:t>
      </w:r>
      <w:r w:rsidRPr="00AD7BD5">
        <w:rPr>
          <w:rFonts w:asciiTheme="majorBidi" w:hAnsiTheme="majorBidi" w:cstheme="majorBidi"/>
          <w:bCs/>
          <w:i/>
          <w:iCs/>
          <w:spacing w:val="11"/>
          <w:sz w:val="24"/>
          <w:szCs w:val="24"/>
        </w:rPr>
        <w:t xml:space="preserve"> al-Isl</w:t>
      </w:r>
      <w:r w:rsidRPr="00AD7BD5">
        <w:rPr>
          <w:rFonts w:asciiTheme="majorBidi" w:hAnsiTheme="majorBidi" w:cstheme="majorBidi"/>
          <w:i/>
          <w:iCs/>
          <w:sz w:val="24"/>
          <w:szCs w:val="24"/>
          <w:lang w:val="id-ID"/>
        </w:rPr>
        <w:t>ā</w:t>
      </w:r>
      <w:r w:rsidRPr="00AD7BD5">
        <w:rPr>
          <w:rFonts w:asciiTheme="majorBidi" w:hAnsiTheme="majorBidi" w:cstheme="majorBidi"/>
          <w:bCs/>
          <w:i/>
          <w:iCs/>
          <w:spacing w:val="11"/>
          <w:sz w:val="24"/>
          <w:szCs w:val="24"/>
        </w:rPr>
        <w:t>m</w:t>
      </w:r>
      <w:r>
        <w:rPr>
          <w:rStyle w:val="FootnoteReference"/>
          <w:rFonts w:asciiTheme="majorBidi" w:hAnsiTheme="majorBidi" w:cstheme="majorBidi"/>
          <w:bCs/>
          <w:i/>
          <w:iCs/>
          <w:spacing w:val="11"/>
          <w:sz w:val="24"/>
          <w:szCs w:val="24"/>
        </w:rPr>
        <w:footnoteReference w:id="241"/>
      </w:r>
      <w:r w:rsidRPr="00AD7BD5">
        <w:rPr>
          <w:rFonts w:asciiTheme="majorBidi" w:hAnsiTheme="majorBidi" w:cstheme="majorBidi"/>
          <w:bCs/>
          <w:spacing w:val="11"/>
          <w:sz w:val="24"/>
          <w:szCs w:val="24"/>
        </w:rPr>
        <w:t xml:space="preserve"> (Islam dan Dasar-Dasar Pemerintahan), hasil dari penelitian yang dilakukannya beberapa tahun. Buku ini banyak mendapat kritik dari ulama-ulama Al-Azhar, karena isinya </w:t>
      </w:r>
      <w:r w:rsidRPr="00AD7BD5">
        <w:rPr>
          <w:rFonts w:asciiTheme="majorBidi" w:hAnsiTheme="majorBidi" w:cstheme="majorBidi"/>
          <w:bCs/>
          <w:spacing w:val="11"/>
          <w:sz w:val="24"/>
          <w:szCs w:val="24"/>
        </w:rPr>
        <w:lastRenderedPageBreak/>
        <w:t>penuh dengan kritik dari Raziq terhadap sistem pemerintahan yang dilaksanakan oleh “sekelompok umat Islam” selama lebih kurang 13 abad, dan kritiknya terhadap teori-teori politik para ulama zaman klasik dan pertengahan. Konklusi-konklusi yang dikemukakannya merupakan hasil dari penelitian dan analisanya terhadap ayat-ayat al-Qur’ān dan kepemimpinan Nabi, teori politik para ulama dan praktek pemerintahan sistem khilafah.</w:t>
      </w:r>
      <w:r w:rsidRPr="00910CE3">
        <w:rPr>
          <w:rStyle w:val="FootnoteReference"/>
          <w:rFonts w:asciiTheme="majorBidi" w:hAnsiTheme="majorBidi" w:cstheme="majorBidi"/>
          <w:bCs/>
          <w:spacing w:val="11"/>
          <w:sz w:val="24"/>
          <w:szCs w:val="24"/>
        </w:rPr>
        <w:footnoteReference w:id="242"/>
      </w:r>
      <w:r w:rsidRPr="00AD7BD5">
        <w:rPr>
          <w:rFonts w:asciiTheme="majorBidi" w:hAnsiTheme="majorBidi" w:cstheme="majorBidi"/>
          <w:bCs/>
          <w:spacing w:val="11"/>
          <w:sz w:val="24"/>
          <w:szCs w:val="24"/>
        </w:rPr>
        <w:t xml:space="preserve"> </w:t>
      </w:r>
    </w:p>
    <w:p w:rsidR="00343B61" w:rsidRPr="00910CE3" w:rsidRDefault="00343B61" w:rsidP="00343B61">
      <w:pPr>
        <w:widowControl w:val="0"/>
        <w:kinsoku w:val="0"/>
        <w:overflowPunct w:val="0"/>
        <w:spacing w:after="0" w:line="360" w:lineRule="auto"/>
        <w:ind w:left="630" w:firstLine="630"/>
        <w:jc w:val="both"/>
        <w:textAlignment w:val="baseline"/>
        <w:rPr>
          <w:rFonts w:asciiTheme="majorBidi" w:hAnsiTheme="majorBidi" w:cstheme="majorBidi"/>
          <w:iCs/>
          <w:spacing w:val="36"/>
          <w:sz w:val="24"/>
          <w:szCs w:val="24"/>
        </w:rPr>
      </w:pPr>
      <w:r w:rsidRPr="00910CE3">
        <w:rPr>
          <w:rFonts w:asciiTheme="majorBidi" w:hAnsiTheme="majorBidi" w:cstheme="majorBidi"/>
          <w:bCs/>
          <w:spacing w:val="11"/>
          <w:sz w:val="24"/>
          <w:szCs w:val="24"/>
        </w:rPr>
        <w:t>Ali Abdul Raziq</w:t>
      </w:r>
      <w:r w:rsidRPr="00910CE3">
        <w:rPr>
          <w:rFonts w:asciiTheme="majorBidi" w:hAnsiTheme="majorBidi" w:cstheme="majorBidi"/>
          <w:spacing w:val="11"/>
          <w:sz w:val="24"/>
          <w:szCs w:val="24"/>
        </w:rPr>
        <w:t xml:space="preserve"> berpandangan bahwa tugas Nabi Muhammad hanya sebagai rasul untuk menyampaikan dakwah agama, dan semata-mata mengabdi kepada agama tanpa ada kecenderungan kepada kekuasaan maupun kedudukan sebagai raja. Karena itu beliau tidak pernah mendirikan suatu negara. Sebab nabi bukanlah seorang penguasa atau pemegang tampuk pemerintahan. Beliau juga tidak pernah menganjurkan untuk mendirikan pemerintahan politik.</w:t>
      </w:r>
      <w:r w:rsidRPr="00910CE3">
        <w:rPr>
          <w:rStyle w:val="FootnoteReference"/>
          <w:rFonts w:asciiTheme="majorBidi" w:hAnsiTheme="majorBidi" w:cstheme="majorBidi"/>
          <w:spacing w:val="11"/>
          <w:sz w:val="24"/>
          <w:szCs w:val="24"/>
        </w:rPr>
        <w:footnoteReference w:id="243"/>
      </w:r>
    </w:p>
    <w:p w:rsidR="00343B61" w:rsidRPr="00910CE3" w:rsidRDefault="00343B61" w:rsidP="00343B61">
      <w:pPr>
        <w:widowControl w:val="0"/>
        <w:kinsoku w:val="0"/>
        <w:overflowPunct w:val="0"/>
        <w:spacing w:line="360" w:lineRule="auto"/>
        <w:ind w:left="630" w:firstLine="540"/>
        <w:jc w:val="both"/>
        <w:textAlignment w:val="baseline"/>
        <w:rPr>
          <w:rFonts w:asciiTheme="majorBidi" w:hAnsiTheme="majorBidi" w:cstheme="majorBidi"/>
          <w:spacing w:val="11"/>
          <w:sz w:val="24"/>
          <w:szCs w:val="24"/>
        </w:rPr>
      </w:pPr>
      <w:r w:rsidRPr="00910CE3">
        <w:rPr>
          <w:rFonts w:asciiTheme="majorBidi" w:hAnsiTheme="majorBidi" w:cstheme="majorBidi"/>
          <w:spacing w:val="11"/>
          <w:sz w:val="24"/>
          <w:szCs w:val="24"/>
        </w:rPr>
        <w:t>Raziq berpendapat, pemerintahan Rasul bukanlah bagian dan tugas kerasulannya, melainkan tugas yang terpisah dari dakwah Islamnya dan berada diluar tugas kerasulannya. Pemerintahan yang pernah dibentuk oleh Nabi, kata Raziq lebih lanjut, adalah amal duniawi yang tidak ada kaitannya dengan tugas kerasulannya.</w:t>
      </w:r>
      <w:r w:rsidRPr="00910CE3">
        <w:rPr>
          <w:rStyle w:val="FootnoteReference"/>
          <w:rFonts w:asciiTheme="majorBidi" w:hAnsiTheme="majorBidi" w:cstheme="majorBidi"/>
          <w:spacing w:val="11"/>
          <w:sz w:val="24"/>
          <w:szCs w:val="24"/>
        </w:rPr>
        <w:footnoteReference w:id="244"/>
      </w:r>
      <w:r w:rsidRPr="00910CE3">
        <w:rPr>
          <w:rFonts w:asciiTheme="majorBidi" w:hAnsiTheme="majorBidi" w:cstheme="majorBidi"/>
          <w:spacing w:val="11"/>
          <w:sz w:val="24"/>
          <w:szCs w:val="24"/>
        </w:rPr>
        <w:t xml:space="preserve"> </w:t>
      </w:r>
    </w:p>
    <w:p w:rsidR="00343B61" w:rsidRDefault="00343B61" w:rsidP="00343B61">
      <w:pPr>
        <w:widowControl w:val="0"/>
        <w:kinsoku w:val="0"/>
        <w:overflowPunct w:val="0"/>
        <w:spacing w:line="360" w:lineRule="auto"/>
        <w:ind w:left="630" w:firstLine="540"/>
        <w:jc w:val="both"/>
        <w:textAlignment w:val="baseline"/>
        <w:rPr>
          <w:rFonts w:asciiTheme="majorBidi" w:hAnsiTheme="majorBidi" w:cstheme="majorBidi"/>
          <w:iCs/>
          <w:spacing w:val="36"/>
          <w:sz w:val="24"/>
          <w:szCs w:val="24"/>
        </w:rPr>
      </w:pPr>
      <w:r w:rsidRPr="00910CE3">
        <w:rPr>
          <w:rFonts w:asciiTheme="majorBidi" w:hAnsiTheme="majorBidi" w:cstheme="majorBidi"/>
          <w:spacing w:val="11"/>
          <w:sz w:val="24"/>
          <w:szCs w:val="24"/>
        </w:rPr>
        <w:t>Di</w:t>
      </w:r>
      <w:r>
        <w:rPr>
          <w:rFonts w:asciiTheme="majorBidi" w:hAnsiTheme="majorBidi" w:cstheme="majorBidi"/>
          <w:spacing w:val="11"/>
          <w:sz w:val="24"/>
          <w:szCs w:val="24"/>
        </w:rPr>
        <w:t xml:space="preserve"> bagian akhir bukunya Raziq </w:t>
      </w:r>
      <w:r w:rsidRPr="00910CE3">
        <w:rPr>
          <w:rFonts w:asciiTheme="majorBidi" w:hAnsiTheme="majorBidi" w:cstheme="majorBidi"/>
          <w:spacing w:val="11"/>
          <w:sz w:val="24"/>
          <w:szCs w:val="24"/>
        </w:rPr>
        <w:t xml:space="preserve">kembali memperjelas pendapatnya bahwa Islam tidak mengenal lembaga Khilafah. Lembaga ini tidak punya dasar dalam ajaran Islam. Demikianlah pula segala sesuatu yang berhubungan dengan fungsi-fungsi kenegaraan tidak bersangkut paut dengan agama. Semuanya adalah masalah politik dan masalah duniawi. Islam tidak mengenal </w:t>
      </w:r>
      <w:r w:rsidRPr="00910CE3">
        <w:rPr>
          <w:rFonts w:asciiTheme="majorBidi" w:hAnsiTheme="majorBidi" w:cstheme="majorBidi"/>
          <w:spacing w:val="11"/>
          <w:sz w:val="24"/>
          <w:szCs w:val="24"/>
        </w:rPr>
        <w:lastRenderedPageBreak/>
        <w:t>lembaga semacam itu. Tapi Islam tidak menolaknya, tidak memerintahkan dan tidak melarang. Semuanya terserah kepada pertimbangan akal umat.</w:t>
      </w:r>
      <w:r w:rsidRPr="00910CE3">
        <w:rPr>
          <w:rStyle w:val="FootnoteReference"/>
          <w:rFonts w:asciiTheme="majorBidi" w:hAnsiTheme="majorBidi" w:cstheme="majorBidi"/>
          <w:spacing w:val="11"/>
          <w:sz w:val="24"/>
          <w:szCs w:val="24"/>
        </w:rPr>
        <w:footnoteReference w:id="245"/>
      </w:r>
    </w:p>
    <w:p w:rsidR="00343B61" w:rsidRPr="003E7A16" w:rsidRDefault="00343B61" w:rsidP="002C0A33">
      <w:pPr>
        <w:pStyle w:val="ListParagraph"/>
        <w:numPr>
          <w:ilvl w:val="0"/>
          <w:numId w:val="34"/>
        </w:numPr>
        <w:spacing w:line="360" w:lineRule="auto"/>
        <w:ind w:left="630" w:hanging="270"/>
        <w:jc w:val="both"/>
      </w:pPr>
      <w:r w:rsidRPr="003E7A16">
        <w:rPr>
          <w:rFonts w:asciiTheme="majorBidi" w:hAnsiTheme="majorBidi" w:cstheme="majorBidi"/>
          <w:spacing w:val="-2"/>
          <w:sz w:val="24"/>
          <w:szCs w:val="24"/>
        </w:rPr>
        <w:t xml:space="preserve">Thaha Husein (1889-1973 M) yang menulis </w:t>
      </w:r>
      <w:r w:rsidRPr="003E7A16">
        <w:rPr>
          <w:rFonts w:asciiTheme="majorBidi" w:hAnsiTheme="majorBidi" w:cstheme="majorBidi"/>
          <w:i/>
          <w:iCs/>
          <w:spacing w:val="-2"/>
          <w:sz w:val="24"/>
          <w:szCs w:val="24"/>
        </w:rPr>
        <w:t>Mustaqbal al-</w:t>
      </w:r>
      <w:r w:rsidRPr="003E7A16">
        <w:rPr>
          <w:rFonts w:asciiTheme="majorBidi" w:hAnsiTheme="majorBidi" w:cstheme="majorBidi"/>
          <w:i/>
          <w:iCs/>
          <w:sz w:val="24"/>
          <w:szCs w:val="24"/>
        </w:rPr>
        <w:t xml:space="preserve"> Ṡ</w:t>
      </w:r>
      <w:r w:rsidRPr="003E7A16">
        <w:rPr>
          <w:rFonts w:asciiTheme="majorBidi" w:hAnsiTheme="majorBidi" w:cstheme="majorBidi"/>
          <w:i/>
          <w:iCs/>
          <w:spacing w:val="-2"/>
          <w:sz w:val="24"/>
          <w:szCs w:val="24"/>
        </w:rPr>
        <w:t>aq</w:t>
      </w:r>
      <w:r w:rsidRPr="003E7A16">
        <w:rPr>
          <w:rFonts w:asciiTheme="majorBidi" w:hAnsiTheme="majorBidi" w:cstheme="majorBidi"/>
          <w:i/>
          <w:iCs/>
          <w:sz w:val="24"/>
          <w:szCs w:val="24"/>
          <w:lang w:val="id-ID"/>
        </w:rPr>
        <w:t>ā</w:t>
      </w:r>
      <w:r w:rsidRPr="003E7A16">
        <w:rPr>
          <w:rFonts w:asciiTheme="majorBidi" w:hAnsiTheme="majorBidi" w:cstheme="majorBidi"/>
          <w:i/>
          <w:iCs/>
          <w:spacing w:val="-2"/>
          <w:sz w:val="24"/>
          <w:szCs w:val="24"/>
        </w:rPr>
        <w:t>fah fi Mi</w:t>
      </w:r>
      <w:r w:rsidRPr="003E7A16">
        <w:rPr>
          <w:rFonts w:asciiTheme="majorBidi" w:hAnsiTheme="majorBidi" w:cstheme="majorBidi"/>
          <w:i/>
          <w:iCs/>
          <w:color w:val="222222"/>
          <w:sz w:val="24"/>
          <w:szCs w:val="24"/>
        </w:rPr>
        <w:t>ṣ</w:t>
      </w:r>
      <w:r w:rsidRPr="003E7A16">
        <w:rPr>
          <w:rFonts w:asciiTheme="majorBidi" w:hAnsiTheme="majorBidi" w:cstheme="majorBidi"/>
          <w:i/>
          <w:iCs/>
          <w:spacing w:val="-2"/>
          <w:sz w:val="24"/>
          <w:szCs w:val="24"/>
        </w:rPr>
        <w:t>r</w:t>
      </w:r>
      <w:r>
        <w:t xml:space="preserve"> </w:t>
      </w:r>
      <w:r w:rsidRPr="003E7A16">
        <w:rPr>
          <w:rFonts w:asciiTheme="majorBidi" w:hAnsiTheme="majorBidi" w:cstheme="majorBidi"/>
          <w:spacing w:val="-2"/>
          <w:sz w:val="24"/>
          <w:szCs w:val="24"/>
        </w:rPr>
        <w:t xml:space="preserve">(Masa Depan Kebudayaan Mesir). Ia </w:t>
      </w:r>
      <w:r w:rsidRPr="003E7A16">
        <w:rPr>
          <w:rFonts w:asciiTheme="majorBidi" w:hAnsiTheme="majorBidi" w:cstheme="majorBidi"/>
          <w:spacing w:val="-7"/>
          <w:sz w:val="24"/>
          <w:szCs w:val="24"/>
        </w:rPr>
        <w:t>menyatakan bahwa supaya Mesir dan umat Islam umumnya dapat meraih kemajuan, maka jalan satu-satunya ialah dengan meniru dan mengadopsi peradaban Barat.</w:t>
      </w:r>
      <w:r w:rsidRPr="00612F1E">
        <w:rPr>
          <w:rStyle w:val="FootnoteReference"/>
          <w:rFonts w:asciiTheme="majorBidi" w:hAnsiTheme="majorBidi" w:cstheme="majorBidi"/>
          <w:spacing w:val="-7"/>
          <w:sz w:val="24"/>
          <w:szCs w:val="24"/>
        </w:rPr>
        <w:footnoteReference w:id="246"/>
      </w:r>
    </w:p>
    <w:p w:rsidR="00343B61" w:rsidRPr="003E7A16" w:rsidRDefault="00343B61" w:rsidP="002C0A33">
      <w:pPr>
        <w:pStyle w:val="ListParagraph"/>
        <w:widowControl w:val="0"/>
        <w:numPr>
          <w:ilvl w:val="0"/>
          <w:numId w:val="34"/>
        </w:numPr>
        <w:kinsoku w:val="0"/>
        <w:overflowPunct w:val="0"/>
        <w:spacing w:after="0" w:line="360" w:lineRule="auto"/>
        <w:ind w:left="630" w:hanging="270"/>
        <w:jc w:val="both"/>
        <w:textAlignment w:val="baseline"/>
        <w:rPr>
          <w:rFonts w:asciiTheme="majorBidi" w:hAnsiTheme="majorBidi" w:cstheme="majorBidi"/>
          <w:bCs/>
          <w:sz w:val="24"/>
          <w:szCs w:val="24"/>
        </w:rPr>
      </w:pPr>
      <w:r w:rsidRPr="003E7A16">
        <w:rPr>
          <w:rFonts w:asciiTheme="majorBidi" w:hAnsiTheme="majorBidi" w:cstheme="majorBidi"/>
          <w:bCs/>
          <w:spacing w:val="-5"/>
          <w:sz w:val="24"/>
          <w:szCs w:val="24"/>
        </w:rPr>
        <w:t xml:space="preserve">Musthafa Kemal berangkat lebih jauh dari dua tokoh tersebut. Ia melakukan sekularisasi besar-besaran dengan mengikuti bangsa </w:t>
      </w:r>
      <w:r w:rsidRPr="003E7A16">
        <w:rPr>
          <w:rFonts w:asciiTheme="majorBidi" w:hAnsiTheme="majorBidi" w:cstheme="majorBidi"/>
          <w:bCs/>
          <w:sz w:val="24"/>
          <w:szCs w:val="24"/>
        </w:rPr>
        <w:t>Barat dalam segala aspek dan membuang warisan budaya Islam. la meninggalkan bahasa Arab sebagai bahasa umat Islam, mengganti aksara Arab dengan aksara latin, mengganti azan dengan bahasa Turki, meng</w:t>
      </w:r>
      <w:r w:rsidRPr="003E7A16">
        <w:rPr>
          <w:rFonts w:asciiTheme="majorBidi" w:hAnsiTheme="majorBidi" w:cstheme="majorBidi"/>
          <w:bCs/>
          <w:sz w:val="24"/>
          <w:szCs w:val="24"/>
        </w:rPr>
        <w:softHyphen/>
        <w:t>adopsi hukum-hukum Barat serta menghapuskan lembaga-lembaga keagamaan yang pernah ada di dunia Islam.</w:t>
      </w:r>
      <w:r w:rsidRPr="00910CE3">
        <w:rPr>
          <w:rStyle w:val="FootnoteReference"/>
          <w:rFonts w:asciiTheme="majorBidi" w:hAnsiTheme="majorBidi" w:cstheme="majorBidi"/>
          <w:bCs/>
          <w:sz w:val="24"/>
          <w:szCs w:val="24"/>
        </w:rPr>
        <w:footnoteReference w:id="247"/>
      </w:r>
      <w:r w:rsidRPr="003E7A16">
        <w:rPr>
          <w:rFonts w:asciiTheme="majorBidi" w:hAnsiTheme="majorBidi" w:cstheme="majorBidi"/>
          <w:bCs/>
          <w:sz w:val="24"/>
          <w:szCs w:val="24"/>
        </w:rPr>
        <w:t xml:space="preserve"> </w:t>
      </w:r>
    </w:p>
    <w:p w:rsidR="00343B61" w:rsidRPr="00910CE3" w:rsidRDefault="00343B61" w:rsidP="00343B61">
      <w:pPr>
        <w:spacing w:line="360" w:lineRule="auto"/>
        <w:ind w:firstLine="720"/>
        <w:jc w:val="both"/>
        <w:rPr>
          <w:rFonts w:asciiTheme="majorBidi" w:hAnsiTheme="majorBidi" w:cstheme="majorBidi"/>
          <w:bCs/>
          <w:spacing w:val="-7"/>
          <w:sz w:val="24"/>
          <w:szCs w:val="24"/>
        </w:rPr>
      </w:pPr>
      <w:r w:rsidRPr="00910CE3">
        <w:rPr>
          <w:rFonts w:asciiTheme="majorBidi" w:hAnsiTheme="majorBidi" w:cstheme="majorBidi"/>
          <w:bCs/>
          <w:spacing w:val="-8"/>
          <w:sz w:val="24"/>
          <w:szCs w:val="24"/>
        </w:rPr>
        <w:t xml:space="preserve">Kelompok ketiga memiliki pandangan bahwa agama dengan politik melakukan simbiosis atau hubungan timbal balik yang saling bergantung. Agama membutuhkan negara untuk menegakkan aturan-aturan syariat. Sementara </w:t>
      </w:r>
      <w:r w:rsidRPr="00910CE3">
        <w:rPr>
          <w:rFonts w:asciiTheme="majorBidi" w:hAnsiTheme="majorBidi" w:cstheme="majorBidi"/>
          <w:bCs/>
          <w:spacing w:val="-7"/>
          <w:sz w:val="24"/>
          <w:szCs w:val="24"/>
        </w:rPr>
        <w:t>negara membutuhkan Agama untuk mendapatkan legitimasi. Para pemikir ini menunjukkan garis pemikiran politik yang moderat dengan tidak mengabaikan pentingnya negara terhadap agama. Kelompok ini diwakili oleh:</w:t>
      </w:r>
    </w:p>
    <w:p w:rsidR="00343B61" w:rsidRPr="00910CE3" w:rsidRDefault="00343B61" w:rsidP="002C0A33">
      <w:pPr>
        <w:widowControl w:val="0"/>
        <w:numPr>
          <w:ilvl w:val="0"/>
          <w:numId w:val="23"/>
        </w:numPr>
        <w:kinsoku w:val="0"/>
        <w:overflowPunct w:val="0"/>
        <w:spacing w:after="0" w:line="360" w:lineRule="auto"/>
        <w:ind w:left="630" w:hanging="270"/>
        <w:jc w:val="both"/>
        <w:textAlignment w:val="baseline"/>
        <w:rPr>
          <w:rFonts w:asciiTheme="majorBidi" w:hAnsiTheme="majorBidi" w:cstheme="majorBidi"/>
          <w:sz w:val="24"/>
          <w:szCs w:val="24"/>
        </w:rPr>
      </w:pPr>
      <w:r w:rsidRPr="00910CE3">
        <w:rPr>
          <w:rFonts w:asciiTheme="majorBidi" w:hAnsiTheme="majorBidi" w:cstheme="majorBidi"/>
          <w:sz w:val="24"/>
          <w:szCs w:val="24"/>
        </w:rPr>
        <w:t>Muhammad Abduh (1849-1905 M) kelahiran Mesir adalah murid Afghani yang setia. Ia aktif di bidang politik, pers, pendi</w:t>
      </w:r>
      <w:r w:rsidRPr="00910CE3">
        <w:rPr>
          <w:rFonts w:asciiTheme="majorBidi" w:hAnsiTheme="majorBidi" w:cstheme="majorBidi"/>
          <w:sz w:val="24"/>
          <w:szCs w:val="24"/>
        </w:rPr>
        <w:softHyphen/>
        <w:t>dikan dan pengajaran serta di pemerintahan. Tetapi ia lebih dikenal sebagai tokoh pembaharu pemikiran keagamaan. Ia ber</w:t>
      </w:r>
      <w:r w:rsidRPr="00910CE3">
        <w:rPr>
          <w:rFonts w:asciiTheme="majorBidi" w:hAnsiTheme="majorBidi" w:cstheme="majorBidi"/>
          <w:sz w:val="24"/>
          <w:szCs w:val="24"/>
        </w:rPr>
        <w:softHyphen/>
        <w:t xml:space="preserve">sama Afghani pernah tinggal di Paris, dan </w:t>
      </w:r>
      <w:r w:rsidRPr="00910CE3">
        <w:rPr>
          <w:rFonts w:asciiTheme="majorBidi" w:hAnsiTheme="majorBidi" w:cstheme="majorBidi"/>
          <w:sz w:val="24"/>
          <w:szCs w:val="24"/>
        </w:rPr>
        <w:lastRenderedPageBreak/>
        <w:t>bekerjasama menerbit</w:t>
      </w:r>
      <w:r w:rsidRPr="00910CE3">
        <w:rPr>
          <w:rFonts w:asciiTheme="majorBidi" w:hAnsiTheme="majorBidi" w:cstheme="majorBidi"/>
          <w:sz w:val="24"/>
          <w:szCs w:val="24"/>
        </w:rPr>
        <w:softHyphen/>
        <w:t xml:space="preserve">kan majalah </w:t>
      </w:r>
      <w:r w:rsidRPr="00910CE3">
        <w:rPr>
          <w:rFonts w:asciiTheme="majorBidi" w:hAnsiTheme="majorBidi" w:cstheme="majorBidi"/>
          <w:i/>
          <w:iCs/>
          <w:sz w:val="24"/>
          <w:szCs w:val="24"/>
        </w:rPr>
        <w:t xml:space="preserve">Al-' Urwat al-Wustqa </w:t>
      </w:r>
      <w:r w:rsidRPr="00910CE3">
        <w:rPr>
          <w:rFonts w:asciiTheme="majorBidi" w:hAnsiTheme="majorBidi" w:cstheme="majorBidi"/>
          <w:sz w:val="24"/>
          <w:szCs w:val="24"/>
        </w:rPr>
        <w:t>di kota itu.</w:t>
      </w:r>
      <w:r w:rsidRPr="00910CE3">
        <w:rPr>
          <w:rStyle w:val="FootnoteReference"/>
          <w:rFonts w:asciiTheme="majorBidi" w:hAnsiTheme="majorBidi" w:cstheme="majorBidi"/>
          <w:sz w:val="24"/>
          <w:szCs w:val="24"/>
        </w:rPr>
        <w:footnoteReference w:id="248"/>
      </w:r>
      <w:r w:rsidRPr="00910CE3">
        <w:rPr>
          <w:rFonts w:asciiTheme="majorBidi" w:hAnsiTheme="majorBidi" w:cstheme="majorBidi"/>
          <w:sz w:val="24"/>
          <w:szCs w:val="24"/>
        </w:rPr>
        <w:t xml:space="preserve"> </w:t>
      </w:r>
    </w:p>
    <w:p w:rsidR="00343B61" w:rsidRPr="00910CE3" w:rsidRDefault="00343B61" w:rsidP="00343B61">
      <w:pPr>
        <w:widowControl w:val="0"/>
        <w:kinsoku w:val="0"/>
        <w:overflowPunct w:val="0"/>
        <w:spacing w:line="360" w:lineRule="auto"/>
        <w:ind w:left="630" w:firstLine="630"/>
        <w:jc w:val="both"/>
        <w:textAlignment w:val="baseline"/>
        <w:rPr>
          <w:rFonts w:asciiTheme="majorBidi" w:hAnsiTheme="majorBidi" w:cstheme="majorBidi"/>
          <w:bCs/>
          <w:sz w:val="24"/>
          <w:szCs w:val="24"/>
        </w:rPr>
      </w:pPr>
      <w:r w:rsidRPr="00910CE3">
        <w:rPr>
          <w:rFonts w:asciiTheme="majorBidi" w:hAnsiTheme="majorBidi" w:cstheme="majorBidi"/>
          <w:spacing w:val="-8"/>
          <w:sz w:val="24"/>
          <w:szCs w:val="24"/>
        </w:rPr>
        <w:t xml:space="preserve">Abduh berpendapat bahwa kepala negara adalah seorang penguasa sipil yang diangkat dan diberhentikan oleh manusia. Memang, lanjut Abduh, Islam juga mengatur hukum-hukum mengenai masalah-masalah hubungan antara sesama manusia. Agar hukum tersebut dapat berjalan efektif, maka dibutuhkan seorang pemimpin atau kepala negara untuk </w:t>
      </w:r>
      <w:r w:rsidRPr="00910CE3">
        <w:rPr>
          <w:rFonts w:asciiTheme="majorBidi" w:hAnsiTheme="majorBidi" w:cstheme="majorBidi"/>
          <w:spacing w:val="-1"/>
          <w:sz w:val="24"/>
          <w:szCs w:val="24"/>
        </w:rPr>
        <w:t>melaksanakan serta mengawasi pelaksanaannya. Namun demikian, kepala negara bukanlah wakil Tuhan, melainkan hanya pemimpin politik. Karenanya, ia tidak memiliki kekuasaan keagamaan seperti dalam agama Kristen.</w:t>
      </w:r>
      <w:r w:rsidRPr="00910CE3">
        <w:rPr>
          <w:rStyle w:val="FootnoteReference"/>
          <w:rFonts w:asciiTheme="majorBidi" w:hAnsiTheme="majorBidi" w:cstheme="majorBidi"/>
          <w:spacing w:val="-1"/>
          <w:sz w:val="24"/>
          <w:szCs w:val="24"/>
        </w:rPr>
        <w:footnoteReference w:id="249"/>
      </w:r>
    </w:p>
    <w:p w:rsidR="00343B61" w:rsidRPr="00910CE3" w:rsidRDefault="00343B61" w:rsidP="00343B61">
      <w:pPr>
        <w:widowControl w:val="0"/>
        <w:kinsoku w:val="0"/>
        <w:overflowPunct w:val="0"/>
        <w:spacing w:line="360" w:lineRule="auto"/>
        <w:ind w:left="630" w:firstLine="540"/>
        <w:jc w:val="both"/>
        <w:textAlignment w:val="baseline"/>
        <w:rPr>
          <w:rFonts w:asciiTheme="majorBidi" w:hAnsiTheme="majorBidi" w:cstheme="majorBidi"/>
          <w:spacing w:val="-3"/>
          <w:sz w:val="24"/>
          <w:szCs w:val="24"/>
        </w:rPr>
      </w:pPr>
      <w:r w:rsidRPr="00910CE3">
        <w:rPr>
          <w:rFonts w:asciiTheme="majorBidi" w:hAnsiTheme="majorBidi" w:cstheme="majorBidi"/>
          <w:bCs/>
          <w:spacing w:val="-3"/>
          <w:sz w:val="24"/>
          <w:szCs w:val="24"/>
        </w:rPr>
        <w:t xml:space="preserve">Islam dalam pemahaman Abduh, tidak menetapkan suatu bentuk </w:t>
      </w:r>
      <w:r w:rsidRPr="00910CE3">
        <w:rPr>
          <w:rFonts w:asciiTheme="majorBidi" w:hAnsiTheme="majorBidi" w:cstheme="majorBidi"/>
          <w:spacing w:val="-3"/>
          <w:sz w:val="24"/>
          <w:szCs w:val="24"/>
        </w:rPr>
        <w:t xml:space="preserve">pemerintahan. Jika sistem khilafah masih tetap menjadi pilihan sebagai model pemerintahan, maka bentuk demikian pun </w:t>
      </w:r>
      <w:r w:rsidRPr="00910CE3">
        <w:rPr>
          <w:rFonts w:asciiTheme="majorBidi" w:hAnsiTheme="majorBidi" w:cstheme="majorBidi"/>
          <w:sz w:val="24"/>
          <w:szCs w:val="24"/>
        </w:rPr>
        <w:t>harus mengikuti perkembangan masyarakat dalam kehidupan materi dan kebebasan berpikir.</w:t>
      </w:r>
      <w:r w:rsidRPr="00910CE3">
        <w:rPr>
          <w:rStyle w:val="FootnoteReference"/>
          <w:rFonts w:asciiTheme="majorBidi" w:hAnsiTheme="majorBidi" w:cstheme="majorBidi"/>
          <w:sz w:val="24"/>
          <w:szCs w:val="24"/>
        </w:rPr>
        <w:footnoteReference w:id="250"/>
      </w:r>
      <w:r w:rsidRPr="00910CE3">
        <w:rPr>
          <w:rFonts w:asciiTheme="majorBidi" w:hAnsiTheme="majorBidi" w:cstheme="majorBidi"/>
          <w:sz w:val="24"/>
          <w:szCs w:val="24"/>
        </w:rPr>
        <w:t xml:space="preserve"> Ini mengandung makna, bahwa apapun bentuk pemerintahan, Abduh menghendaki suatu pemerintahan yang dinamis. Dengan demikian ia mampu mengantisi</w:t>
      </w:r>
      <w:r w:rsidRPr="00910CE3">
        <w:rPr>
          <w:rFonts w:asciiTheme="majorBidi" w:hAnsiTheme="majorBidi" w:cstheme="majorBidi"/>
          <w:sz w:val="24"/>
          <w:szCs w:val="24"/>
        </w:rPr>
        <w:softHyphen/>
        <w:t>pasi perkembangan zaman. Pendapat demikian, tentu saja, impli</w:t>
      </w:r>
      <w:r w:rsidRPr="00910CE3">
        <w:rPr>
          <w:rFonts w:asciiTheme="majorBidi" w:hAnsiTheme="majorBidi" w:cstheme="majorBidi"/>
          <w:sz w:val="24"/>
          <w:szCs w:val="24"/>
        </w:rPr>
        <w:softHyphen/>
        <w:t>kasi dari konsep teologisnya tentang manusia; manusia punya kehendak bebas dalam memilih dan berbuat.</w:t>
      </w:r>
      <w:r w:rsidRPr="00910CE3">
        <w:rPr>
          <w:rStyle w:val="FootnoteReference"/>
          <w:rFonts w:asciiTheme="majorBidi" w:hAnsiTheme="majorBidi" w:cstheme="majorBidi"/>
          <w:sz w:val="24"/>
          <w:szCs w:val="24"/>
        </w:rPr>
        <w:footnoteReference w:id="251"/>
      </w:r>
    </w:p>
    <w:p w:rsidR="00343B61" w:rsidRPr="00910CE3" w:rsidRDefault="00343B61" w:rsidP="002C0A33">
      <w:pPr>
        <w:widowControl w:val="0"/>
        <w:numPr>
          <w:ilvl w:val="0"/>
          <w:numId w:val="23"/>
        </w:numPr>
        <w:kinsoku w:val="0"/>
        <w:overflowPunct w:val="0"/>
        <w:spacing w:after="0" w:line="360" w:lineRule="auto"/>
        <w:ind w:left="630" w:hanging="270"/>
        <w:jc w:val="both"/>
        <w:textAlignment w:val="baseline"/>
        <w:rPr>
          <w:rFonts w:asciiTheme="majorBidi" w:hAnsiTheme="majorBidi" w:cstheme="majorBidi"/>
          <w:sz w:val="24"/>
          <w:szCs w:val="24"/>
        </w:rPr>
      </w:pPr>
      <w:r w:rsidRPr="00910CE3">
        <w:rPr>
          <w:rFonts w:asciiTheme="majorBidi" w:hAnsiTheme="majorBidi" w:cstheme="majorBidi"/>
          <w:sz w:val="24"/>
          <w:szCs w:val="24"/>
        </w:rPr>
        <w:t xml:space="preserve">Muhammad Iqbal (1873-1938 M) bapak pendiri negara Pakistan. </w:t>
      </w:r>
      <w:r w:rsidRPr="00910CE3">
        <w:rPr>
          <w:rFonts w:asciiTheme="majorBidi" w:hAnsiTheme="majorBidi" w:cstheme="majorBidi"/>
          <w:spacing w:val="-9"/>
          <w:sz w:val="24"/>
          <w:szCs w:val="24"/>
        </w:rPr>
        <w:t xml:space="preserve">Pandangan politik Iqbal antara lain tertuang dalam karyanya </w:t>
      </w:r>
      <w:r w:rsidRPr="00910CE3">
        <w:rPr>
          <w:rFonts w:asciiTheme="majorBidi" w:hAnsiTheme="majorBidi" w:cstheme="majorBidi"/>
          <w:i/>
          <w:iCs/>
          <w:spacing w:val="-9"/>
          <w:sz w:val="24"/>
          <w:szCs w:val="24"/>
        </w:rPr>
        <w:t xml:space="preserve">The Reconstruction of Religious Thought in Islam. </w:t>
      </w:r>
      <w:r w:rsidRPr="00910CE3">
        <w:rPr>
          <w:rFonts w:asciiTheme="majorBidi" w:hAnsiTheme="majorBidi" w:cstheme="majorBidi"/>
          <w:spacing w:val="-9"/>
          <w:sz w:val="24"/>
          <w:szCs w:val="24"/>
        </w:rPr>
        <w:t xml:space="preserve">lqbal dapat menerima sosialisme, karena tidak bertentangan secara prinsip dengan Islam. Sebaliknya, ia menolak komunisme-ateisme bertentangan dengan nilai-nilai kemanusiaan dan ketuhanan. Demokrasi Barat juga dikecam lqbal karena tidak mempunyai landasan hubungan vertikal kepada Allah, </w:t>
      </w:r>
      <w:r w:rsidRPr="00910CE3">
        <w:rPr>
          <w:rFonts w:asciiTheme="majorBidi" w:hAnsiTheme="majorBidi" w:cstheme="majorBidi"/>
          <w:spacing w:val="-9"/>
          <w:sz w:val="24"/>
          <w:szCs w:val="24"/>
        </w:rPr>
        <w:lastRenderedPageBreak/>
        <w:t xml:space="preserve">sehingga cenderung mengeksploitasi manusia. Iqbal menerima demokrasi asalkan karat-karat nodanya dibersihkan terlebih dahulu. Dalam beberapa hal, pandangan lqbal dikembangkan oleh Fazlur Rahman seperti dalam tulisannya yang berjudul </w:t>
      </w:r>
      <w:r w:rsidRPr="00910CE3">
        <w:rPr>
          <w:rFonts w:asciiTheme="majorBidi" w:hAnsiTheme="majorBidi" w:cstheme="majorBidi"/>
          <w:i/>
          <w:spacing w:val="-9"/>
          <w:sz w:val="24"/>
          <w:szCs w:val="24"/>
        </w:rPr>
        <w:t>Implementation of the Islamic Concept of State in the Pakistan Millue.</w:t>
      </w:r>
      <w:r w:rsidRPr="00910CE3">
        <w:rPr>
          <w:rStyle w:val="FootnoteReference"/>
          <w:rFonts w:asciiTheme="majorBidi" w:hAnsiTheme="majorBidi" w:cstheme="majorBidi"/>
          <w:i/>
          <w:spacing w:val="-9"/>
          <w:sz w:val="24"/>
          <w:szCs w:val="24"/>
        </w:rPr>
        <w:footnoteReference w:id="252"/>
      </w:r>
      <w:r w:rsidRPr="00910CE3">
        <w:rPr>
          <w:rFonts w:asciiTheme="majorBidi" w:hAnsiTheme="majorBidi" w:cstheme="majorBidi"/>
          <w:i/>
          <w:spacing w:val="-9"/>
          <w:sz w:val="24"/>
          <w:szCs w:val="24"/>
        </w:rPr>
        <w:t xml:space="preserve"> </w:t>
      </w:r>
    </w:p>
    <w:p w:rsidR="00343B61" w:rsidRPr="00F37F08" w:rsidRDefault="00343B61" w:rsidP="002C0A33">
      <w:pPr>
        <w:pStyle w:val="ListParagraph"/>
        <w:numPr>
          <w:ilvl w:val="0"/>
          <w:numId w:val="23"/>
        </w:numPr>
        <w:spacing w:after="0" w:line="360" w:lineRule="auto"/>
        <w:ind w:left="630" w:hanging="270"/>
        <w:jc w:val="both"/>
        <w:rPr>
          <w:rFonts w:asciiTheme="majorBidi" w:hAnsiTheme="majorBidi" w:cstheme="majorBidi"/>
          <w:i/>
          <w:iCs/>
          <w:sz w:val="24"/>
          <w:szCs w:val="24"/>
        </w:rPr>
      </w:pPr>
      <w:r w:rsidRPr="00F37F08">
        <w:rPr>
          <w:rFonts w:asciiTheme="majorBidi" w:hAnsiTheme="majorBidi" w:cstheme="majorBidi"/>
          <w:spacing w:val="-1"/>
          <w:sz w:val="24"/>
          <w:szCs w:val="24"/>
        </w:rPr>
        <w:t xml:space="preserve">Muhammad Husain Haikal (1888-1945 M) yang menulis </w:t>
      </w:r>
      <w:r w:rsidRPr="00F37F08">
        <w:rPr>
          <w:rFonts w:asciiTheme="majorBidi" w:hAnsiTheme="majorBidi" w:cstheme="majorBidi"/>
          <w:bCs/>
          <w:i/>
          <w:iCs/>
          <w:sz w:val="24"/>
          <w:szCs w:val="24"/>
          <w:u w:val="single"/>
        </w:rPr>
        <w:t>H</w:t>
      </w:r>
      <w:r w:rsidRPr="00F37F08">
        <w:rPr>
          <w:rFonts w:asciiTheme="majorBidi" w:hAnsiTheme="majorBidi" w:cstheme="majorBidi"/>
          <w:i/>
          <w:iCs/>
          <w:spacing w:val="-1"/>
          <w:sz w:val="24"/>
          <w:szCs w:val="24"/>
        </w:rPr>
        <w:t>ay</w:t>
      </w:r>
      <w:r w:rsidRPr="00F37F08">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tu Muhammad</w:t>
      </w:r>
      <w:r w:rsidRPr="00F37F08">
        <w:rPr>
          <w:rFonts w:asciiTheme="majorBidi" w:hAnsiTheme="majorBidi" w:cstheme="majorBidi"/>
          <w:spacing w:val="-1"/>
          <w:sz w:val="24"/>
          <w:szCs w:val="24"/>
        </w:rPr>
        <w:t xml:space="preserve"> (Sejarah hidup Muhammad), </w:t>
      </w:r>
      <w:r w:rsidRPr="00F37F08">
        <w:rPr>
          <w:rFonts w:asciiTheme="majorBidi" w:hAnsiTheme="majorBidi" w:cstheme="majorBidi"/>
          <w:bCs/>
          <w:i/>
          <w:iCs/>
          <w:sz w:val="24"/>
          <w:szCs w:val="24"/>
        </w:rPr>
        <w:t>Fī</w:t>
      </w:r>
      <w:r w:rsidRPr="00F37F08">
        <w:rPr>
          <w:rFonts w:asciiTheme="majorBidi" w:hAnsiTheme="majorBidi" w:cstheme="majorBidi"/>
          <w:i/>
          <w:iCs/>
          <w:spacing w:val="-1"/>
          <w:sz w:val="24"/>
          <w:szCs w:val="24"/>
        </w:rPr>
        <w:t xml:space="preserve"> Manzil al-Wa</w:t>
      </w:r>
      <w:r w:rsidRPr="00F37F08">
        <w:rPr>
          <w:rFonts w:ascii="Times New Roman" w:hAnsi="Times New Roman" w:cs="Times New Roman"/>
          <w:i/>
          <w:iCs/>
          <w:sz w:val="24"/>
          <w:szCs w:val="24"/>
          <w:u w:val="single"/>
          <w:lang w:val="id-ID"/>
        </w:rPr>
        <w:t>h</w:t>
      </w:r>
      <w:r w:rsidRPr="00F37F08">
        <w:rPr>
          <w:rFonts w:asciiTheme="majorBidi" w:hAnsiTheme="majorBidi" w:cstheme="majorBidi"/>
          <w:i/>
          <w:iCs/>
          <w:spacing w:val="-1"/>
          <w:sz w:val="24"/>
          <w:szCs w:val="24"/>
        </w:rPr>
        <w:t>yi</w:t>
      </w:r>
      <w:r w:rsidRPr="00F37F08">
        <w:rPr>
          <w:rFonts w:asciiTheme="majorBidi" w:hAnsiTheme="majorBidi" w:cstheme="majorBidi"/>
          <w:i/>
          <w:iCs/>
          <w:sz w:val="24"/>
          <w:szCs w:val="24"/>
        </w:rPr>
        <w:t xml:space="preserve"> </w:t>
      </w:r>
      <w:r>
        <w:rPr>
          <w:rFonts w:asciiTheme="majorBidi" w:hAnsiTheme="majorBidi" w:cstheme="majorBidi"/>
          <w:spacing w:val="-1"/>
          <w:sz w:val="24"/>
          <w:szCs w:val="24"/>
        </w:rPr>
        <w:t>(Kedudukan Wahyu),</w:t>
      </w:r>
      <w:r w:rsidRPr="00F37F08">
        <w:rPr>
          <w:rFonts w:asciiTheme="majorBidi" w:hAnsiTheme="majorBidi" w:cstheme="majorBidi"/>
          <w:spacing w:val="-1"/>
          <w:sz w:val="24"/>
          <w:szCs w:val="24"/>
        </w:rPr>
        <w:t xml:space="preserve">dan </w:t>
      </w:r>
      <w:r>
        <w:rPr>
          <w:rFonts w:asciiTheme="majorBidi" w:hAnsiTheme="majorBidi" w:cstheme="majorBidi"/>
          <w:i/>
          <w:iCs/>
          <w:spacing w:val="-1"/>
          <w:sz w:val="24"/>
          <w:szCs w:val="24"/>
        </w:rPr>
        <w:t>Al-</w:t>
      </w:r>
      <w:r w:rsidRPr="00FD1755">
        <w:rPr>
          <w:rFonts w:asciiTheme="majorBidi" w:hAnsiTheme="majorBidi" w:cstheme="majorBidi"/>
          <w:bCs/>
          <w:i/>
          <w:iCs/>
          <w:sz w:val="24"/>
          <w:szCs w:val="24"/>
          <w:u w:val="single"/>
        </w:rPr>
        <w:t>H</w:t>
      </w:r>
      <w:r>
        <w:rPr>
          <w:rFonts w:asciiTheme="majorBidi" w:hAnsiTheme="majorBidi" w:cstheme="majorBidi"/>
          <w:i/>
          <w:iCs/>
          <w:spacing w:val="-1"/>
          <w:sz w:val="24"/>
          <w:szCs w:val="24"/>
        </w:rPr>
        <w:t>uk</w:t>
      </w:r>
      <w:r w:rsidRPr="00FD1755">
        <w:rPr>
          <w:rFonts w:asciiTheme="majorBidi" w:hAnsiTheme="majorBidi" w:cstheme="majorBidi"/>
          <w:i/>
          <w:iCs/>
          <w:sz w:val="24"/>
          <w:szCs w:val="24"/>
        </w:rPr>
        <w:t>ū</w:t>
      </w:r>
      <w:r w:rsidRPr="00F37F08">
        <w:rPr>
          <w:rFonts w:asciiTheme="majorBidi" w:hAnsiTheme="majorBidi" w:cstheme="majorBidi"/>
          <w:i/>
          <w:iCs/>
          <w:spacing w:val="-1"/>
          <w:sz w:val="24"/>
          <w:szCs w:val="24"/>
        </w:rPr>
        <w:t>m</w:t>
      </w:r>
      <w:r>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 al-Islamiy</w:t>
      </w:r>
      <w:r>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w:t>
      </w:r>
      <w:r w:rsidRPr="00F37F08">
        <w:rPr>
          <w:rFonts w:asciiTheme="majorBidi" w:hAnsiTheme="majorBidi" w:cstheme="majorBidi"/>
          <w:spacing w:val="-1"/>
          <w:sz w:val="24"/>
          <w:szCs w:val="24"/>
        </w:rPr>
        <w:t xml:space="preserve"> (Pemerintahan Islam).</w:t>
      </w:r>
      <w:r w:rsidRPr="00910CE3">
        <w:rPr>
          <w:rStyle w:val="FootnoteReference"/>
          <w:rFonts w:asciiTheme="majorBidi" w:hAnsiTheme="majorBidi" w:cstheme="majorBidi"/>
          <w:spacing w:val="-1"/>
          <w:sz w:val="24"/>
          <w:szCs w:val="24"/>
        </w:rPr>
        <w:footnoteReference w:id="253"/>
      </w:r>
      <w:r w:rsidRPr="00F37F08">
        <w:rPr>
          <w:rFonts w:asciiTheme="majorBidi" w:hAnsiTheme="majorBidi" w:cstheme="majorBidi"/>
          <w:spacing w:val="-1"/>
          <w:sz w:val="24"/>
          <w:szCs w:val="24"/>
        </w:rPr>
        <w:t xml:space="preserve"> Muhammad Husein Haikal adalah </w:t>
      </w:r>
      <w:r w:rsidRPr="00F37F08">
        <w:rPr>
          <w:rFonts w:asciiTheme="majorBidi" w:hAnsiTheme="majorBidi" w:cstheme="majorBidi"/>
          <w:spacing w:val="-4"/>
          <w:sz w:val="24"/>
          <w:szCs w:val="24"/>
        </w:rPr>
        <w:t>kelahiran Mesir dan  meraih gelar doktor dalam ilmu hukum (1912) di Universitas Sorbonne, Perancis, merupakan orang Mesir perta</w:t>
      </w:r>
      <w:r w:rsidRPr="00F37F08">
        <w:rPr>
          <w:rFonts w:asciiTheme="majorBidi" w:hAnsiTheme="majorBidi" w:cstheme="majorBidi"/>
          <w:spacing w:val="-4"/>
          <w:sz w:val="24"/>
          <w:szCs w:val="24"/>
        </w:rPr>
        <w:softHyphen/>
        <w:t xml:space="preserve">ma yang meraih gelar kesarjanaan seperti ini. Husein Haikal pernah berprofesi sebagai pengacara, dosen, aktivis partai dan pemimpin surat kabar harian. Ia juga pemah dipercaya menjabat Menteri Pendidikan Mesir (1938-1945), kemudian Ketua Senat (1945-1950). Ia dikenal juga sebagai penulis yang produktif di bidang sastra, sejarah, agama dan politik. Bukunya yang terkenal adalah </w:t>
      </w:r>
      <w:r w:rsidRPr="00F37F08">
        <w:rPr>
          <w:rFonts w:asciiTheme="majorBidi" w:hAnsiTheme="majorBidi" w:cstheme="majorBidi"/>
          <w:bCs/>
          <w:i/>
          <w:iCs/>
          <w:sz w:val="24"/>
          <w:szCs w:val="24"/>
          <w:u w:val="single"/>
        </w:rPr>
        <w:t>H</w:t>
      </w:r>
      <w:r w:rsidRPr="00F37F08">
        <w:rPr>
          <w:rFonts w:asciiTheme="majorBidi" w:hAnsiTheme="majorBidi" w:cstheme="majorBidi"/>
          <w:i/>
          <w:iCs/>
          <w:spacing w:val="-1"/>
          <w:sz w:val="24"/>
          <w:szCs w:val="24"/>
        </w:rPr>
        <w:t>ay</w:t>
      </w:r>
      <w:r w:rsidRPr="00F37F08">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tu Muhammad</w:t>
      </w:r>
      <w:r w:rsidRPr="00F37F08">
        <w:rPr>
          <w:rFonts w:asciiTheme="majorBidi" w:hAnsiTheme="majorBidi" w:cstheme="majorBidi"/>
          <w:i/>
          <w:iCs/>
          <w:spacing w:val="-4"/>
          <w:sz w:val="24"/>
          <w:szCs w:val="24"/>
        </w:rPr>
        <w:t xml:space="preserve">. </w:t>
      </w:r>
      <w:r w:rsidRPr="00F37F08">
        <w:rPr>
          <w:rFonts w:asciiTheme="majorBidi" w:hAnsiTheme="majorBidi" w:cstheme="majorBidi"/>
          <w:spacing w:val="-4"/>
          <w:sz w:val="24"/>
          <w:szCs w:val="24"/>
        </w:rPr>
        <w:t>Pokok-pokok pikirannya tentang poli</w:t>
      </w:r>
      <w:r w:rsidRPr="00F37F08">
        <w:rPr>
          <w:rFonts w:asciiTheme="majorBidi" w:hAnsiTheme="majorBidi" w:cstheme="majorBidi"/>
          <w:spacing w:val="-4"/>
          <w:sz w:val="24"/>
          <w:szCs w:val="24"/>
        </w:rPr>
        <w:softHyphen/>
        <w:t xml:space="preserve">tik dan kenegaraan termuat dalam karyanya yang berjudul: </w:t>
      </w:r>
      <w:r>
        <w:rPr>
          <w:rFonts w:asciiTheme="majorBidi" w:hAnsiTheme="majorBidi" w:cstheme="majorBidi"/>
          <w:i/>
          <w:iCs/>
          <w:spacing w:val="-1"/>
          <w:sz w:val="24"/>
          <w:szCs w:val="24"/>
        </w:rPr>
        <w:t>Al-</w:t>
      </w:r>
      <w:r w:rsidRPr="00FD1755">
        <w:rPr>
          <w:rFonts w:asciiTheme="majorBidi" w:hAnsiTheme="majorBidi" w:cstheme="majorBidi"/>
          <w:bCs/>
          <w:i/>
          <w:iCs/>
          <w:sz w:val="24"/>
          <w:szCs w:val="24"/>
          <w:u w:val="single"/>
        </w:rPr>
        <w:t>H</w:t>
      </w:r>
      <w:r>
        <w:rPr>
          <w:rFonts w:asciiTheme="majorBidi" w:hAnsiTheme="majorBidi" w:cstheme="majorBidi"/>
          <w:i/>
          <w:iCs/>
          <w:spacing w:val="-1"/>
          <w:sz w:val="24"/>
          <w:szCs w:val="24"/>
        </w:rPr>
        <w:t>uk</w:t>
      </w:r>
      <w:r w:rsidRPr="00FD1755">
        <w:rPr>
          <w:rFonts w:asciiTheme="majorBidi" w:hAnsiTheme="majorBidi" w:cstheme="majorBidi"/>
          <w:i/>
          <w:iCs/>
          <w:sz w:val="24"/>
          <w:szCs w:val="24"/>
        </w:rPr>
        <w:t>ū</w:t>
      </w:r>
      <w:r w:rsidRPr="00F37F08">
        <w:rPr>
          <w:rFonts w:asciiTheme="majorBidi" w:hAnsiTheme="majorBidi" w:cstheme="majorBidi"/>
          <w:i/>
          <w:iCs/>
          <w:spacing w:val="-1"/>
          <w:sz w:val="24"/>
          <w:szCs w:val="24"/>
        </w:rPr>
        <w:t>m</w:t>
      </w:r>
      <w:r>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 al-Islamiy</w:t>
      </w:r>
      <w:r>
        <w:rPr>
          <w:rFonts w:asciiTheme="majorBidi" w:hAnsiTheme="majorBidi" w:cstheme="majorBidi"/>
          <w:i/>
          <w:iCs/>
          <w:sz w:val="24"/>
          <w:szCs w:val="24"/>
          <w:lang w:val="id-ID"/>
        </w:rPr>
        <w:t>ā</w:t>
      </w:r>
      <w:r w:rsidRPr="00F37F08">
        <w:rPr>
          <w:rFonts w:asciiTheme="majorBidi" w:hAnsiTheme="majorBidi" w:cstheme="majorBidi"/>
          <w:i/>
          <w:iCs/>
          <w:spacing w:val="-1"/>
          <w:sz w:val="24"/>
          <w:szCs w:val="24"/>
        </w:rPr>
        <w:t>t</w:t>
      </w:r>
      <w:r w:rsidRPr="00F37F08">
        <w:rPr>
          <w:rFonts w:asciiTheme="majorBidi" w:hAnsiTheme="majorBidi" w:cstheme="majorBidi"/>
          <w:i/>
          <w:iCs/>
          <w:spacing w:val="-4"/>
          <w:sz w:val="24"/>
          <w:szCs w:val="24"/>
        </w:rPr>
        <w:t xml:space="preserve"> </w:t>
      </w:r>
      <w:r w:rsidRPr="00F37F08">
        <w:rPr>
          <w:rFonts w:asciiTheme="majorBidi" w:hAnsiTheme="majorBidi" w:cstheme="majorBidi"/>
          <w:spacing w:val="-4"/>
          <w:sz w:val="24"/>
          <w:szCs w:val="24"/>
        </w:rPr>
        <w:t>(Pemerintahan Islam)</w:t>
      </w:r>
      <w:r w:rsidRPr="00910CE3">
        <w:rPr>
          <w:rStyle w:val="FootnoteReference"/>
          <w:rFonts w:asciiTheme="majorBidi" w:hAnsiTheme="majorBidi" w:cstheme="majorBidi"/>
          <w:spacing w:val="-4"/>
          <w:sz w:val="24"/>
          <w:szCs w:val="24"/>
        </w:rPr>
        <w:footnoteReference w:id="254"/>
      </w:r>
      <w:r w:rsidRPr="00F37F08">
        <w:rPr>
          <w:rFonts w:asciiTheme="majorBidi" w:hAnsiTheme="majorBidi" w:cstheme="majorBidi"/>
          <w:spacing w:val="-4"/>
          <w:sz w:val="24"/>
          <w:szCs w:val="24"/>
        </w:rPr>
        <w:t xml:space="preserve">. </w:t>
      </w:r>
    </w:p>
    <w:p w:rsidR="00343B61" w:rsidRPr="00910CE3" w:rsidRDefault="00343B61" w:rsidP="00343B61">
      <w:pPr>
        <w:widowControl w:val="0"/>
        <w:kinsoku w:val="0"/>
        <w:overflowPunct w:val="0"/>
        <w:spacing w:before="20" w:after="0" w:line="360" w:lineRule="auto"/>
        <w:ind w:left="630" w:firstLine="630"/>
        <w:jc w:val="both"/>
        <w:textAlignment w:val="baseline"/>
        <w:rPr>
          <w:rFonts w:asciiTheme="majorBidi" w:hAnsiTheme="majorBidi" w:cstheme="majorBidi"/>
          <w:sz w:val="24"/>
          <w:szCs w:val="24"/>
        </w:rPr>
      </w:pPr>
      <w:r w:rsidRPr="00910CE3">
        <w:rPr>
          <w:rFonts w:asciiTheme="majorBidi" w:hAnsiTheme="majorBidi" w:cstheme="majorBidi"/>
          <w:sz w:val="24"/>
          <w:szCs w:val="24"/>
        </w:rPr>
        <w:t>Husein Haikal termasuk dalam</w:t>
      </w:r>
      <w:r w:rsidRPr="00910CE3">
        <w:rPr>
          <w:rFonts w:asciiTheme="majorBidi" w:hAnsiTheme="majorBidi" w:cstheme="majorBidi"/>
          <w:sz w:val="24"/>
          <w:szCs w:val="24"/>
          <w:vertAlign w:val="superscript"/>
        </w:rPr>
        <w:t>.</w:t>
      </w:r>
      <w:r w:rsidRPr="00910CE3">
        <w:rPr>
          <w:rFonts w:asciiTheme="majorBidi" w:hAnsiTheme="majorBidi" w:cstheme="majorBidi"/>
          <w:sz w:val="24"/>
          <w:szCs w:val="24"/>
        </w:rPr>
        <w:t>paham kelompok yang ber</w:t>
      </w:r>
      <w:r w:rsidRPr="00910CE3">
        <w:rPr>
          <w:rFonts w:asciiTheme="majorBidi" w:hAnsiTheme="majorBidi" w:cstheme="majorBidi"/>
          <w:sz w:val="24"/>
          <w:szCs w:val="24"/>
        </w:rPr>
        <w:softHyphen/>
        <w:t xml:space="preserve">pendapat bahwa Islam tidak menentukan sistem dan bentuk </w:t>
      </w:r>
      <w:r w:rsidRPr="00910CE3">
        <w:rPr>
          <w:rFonts w:asciiTheme="majorBidi" w:hAnsiTheme="majorBidi" w:cstheme="majorBidi"/>
          <w:spacing w:val="-4"/>
          <w:sz w:val="24"/>
          <w:szCs w:val="24"/>
        </w:rPr>
        <w:t>pemerintahan yang harus diikuti oleh umat. Ia menyatakan: "Sesungguhnya Islam tidak menetapkan sistem tertentu bagi pemerintahan, dan akan tetapi ia meletakkan kaidah-kaidah bagi tingkah laku dan muamalah dalam kehidupan antar manusia. Kaidah-kadiah itu menjadi dasar untuk menetapkan sistem peme</w:t>
      </w:r>
      <w:r w:rsidRPr="00910CE3">
        <w:rPr>
          <w:rFonts w:asciiTheme="majorBidi" w:hAnsiTheme="majorBidi" w:cstheme="majorBidi"/>
          <w:spacing w:val="-4"/>
          <w:sz w:val="24"/>
          <w:szCs w:val="24"/>
        </w:rPr>
        <w:softHyphen/>
        <w:t>rintahan yang berkembang sepanjang sejarah."</w:t>
      </w:r>
      <w:r w:rsidRPr="00910CE3">
        <w:rPr>
          <w:rStyle w:val="FootnoteReference"/>
          <w:rFonts w:asciiTheme="majorBidi" w:hAnsiTheme="majorBidi" w:cstheme="majorBidi"/>
          <w:spacing w:val="-4"/>
          <w:sz w:val="24"/>
          <w:szCs w:val="24"/>
        </w:rPr>
        <w:footnoteReference w:id="255"/>
      </w:r>
    </w:p>
    <w:p w:rsidR="00343B61" w:rsidRPr="00910CE3" w:rsidRDefault="00343B61" w:rsidP="00343B61">
      <w:pPr>
        <w:widowControl w:val="0"/>
        <w:kinsoku w:val="0"/>
        <w:overflowPunct w:val="0"/>
        <w:spacing w:before="20" w:after="0" w:line="360" w:lineRule="auto"/>
        <w:ind w:left="630" w:firstLine="540"/>
        <w:jc w:val="both"/>
        <w:textAlignment w:val="baseline"/>
        <w:rPr>
          <w:rFonts w:asciiTheme="majorBidi" w:hAnsiTheme="majorBidi" w:cstheme="majorBidi"/>
          <w:sz w:val="24"/>
          <w:szCs w:val="24"/>
        </w:rPr>
      </w:pPr>
      <w:r w:rsidRPr="00910CE3">
        <w:rPr>
          <w:rFonts w:asciiTheme="majorBidi" w:hAnsiTheme="majorBidi" w:cstheme="majorBidi"/>
          <w:spacing w:val="-5"/>
          <w:sz w:val="24"/>
          <w:szCs w:val="24"/>
        </w:rPr>
        <w:t xml:space="preserve">Walaupun Islam tidak menetapkan sistem pemerintahan, namun Islam, </w:t>
      </w:r>
      <w:r w:rsidRPr="00910CE3">
        <w:rPr>
          <w:rFonts w:asciiTheme="majorBidi" w:hAnsiTheme="majorBidi" w:cstheme="majorBidi"/>
          <w:spacing w:val="-5"/>
          <w:sz w:val="24"/>
          <w:szCs w:val="24"/>
        </w:rPr>
        <w:lastRenderedPageBreak/>
        <w:t>menurut Haikal, meletakkan prinsip-prinsip dasar peradaban manusia yang akan berkembang sepanjang zaman sesuai perkembangan pengetahuan manusia dan pemikirannya. Dasar Islam bagi peradaban manusia itu bersifat spiritual yang akan membimbing manusia mengatur perilakunya dan hubungan baik dengan scsamanya dalam kehidupan berdasarkan persauda</w:t>
      </w:r>
      <w:r w:rsidRPr="00910CE3">
        <w:rPr>
          <w:rFonts w:asciiTheme="majorBidi" w:hAnsiTheme="majorBidi" w:cstheme="majorBidi"/>
          <w:spacing w:val="-5"/>
          <w:sz w:val="24"/>
          <w:szCs w:val="24"/>
        </w:rPr>
        <w:softHyphen/>
        <w:t>raan, kasih sayang, kebajikan dan takwa, yang pada gilirannya mengatur kehidupan ekonomi bagi masyarakat manusia.</w:t>
      </w:r>
      <w:r w:rsidRPr="00910CE3">
        <w:rPr>
          <w:rStyle w:val="FootnoteReference"/>
          <w:rFonts w:asciiTheme="majorBidi" w:hAnsiTheme="majorBidi" w:cstheme="majorBidi"/>
          <w:spacing w:val="-5"/>
          <w:sz w:val="24"/>
          <w:szCs w:val="24"/>
        </w:rPr>
        <w:footnoteReference w:id="256"/>
      </w:r>
    </w:p>
    <w:p w:rsidR="00343B61" w:rsidRPr="00910CE3" w:rsidRDefault="00343B61" w:rsidP="00343B61">
      <w:pPr>
        <w:widowControl w:val="0"/>
        <w:kinsoku w:val="0"/>
        <w:overflowPunct w:val="0"/>
        <w:spacing w:before="20" w:line="360" w:lineRule="auto"/>
        <w:ind w:left="630" w:firstLine="630"/>
        <w:jc w:val="both"/>
        <w:textAlignment w:val="baseline"/>
        <w:rPr>
          <w:rFonts w:asciiTheme="majorBidi" w:hAnsiTheme="majorBidi" w:cstheme="majorBidi"/>
          <w:spacing w:val="-3"/>
          <w:sz w:val="24"/>
          <w:szCs w:val="24"/>
        </w:rPr>
      </w:pPr>
      <w:r w:rsidRPr="00910CE3">
        <w:rPr>
          <w:rFonts w:asciiTheme="majorBidi" w:hAnsiTheme="majorBidi" w:cstheme="majorBidi"/>
          <w:spacing w:val="-2"/>
          <w:sz w:val="24"/>
          <w:szCs w:val="24"/>
        </w:rPr>
        <w:t xml:space="preserve">Oleh karena itu, menurut Haikal, sistem pemerintahan yang Islami adalah sistem yang berusaha merealisir prinsip-prinsip </w:t>
      </w:r>
      <w:r w:rsidRPr="00910CE3">
        <w:rPr>
          <w:rFonts w:asciiTheme="majorBidi" w:hAnsiTheme="majorBidi" w:cstheme="majorBidi"/>
          <w:spacing w:val="-3"/>
          <w:sz w:val="24"/>
          <w:szCs w:val="24"/>
        </w:rPr>
        <w:t>ajaran Islam yang berpijak pada keyakinan yang benar pada Allah, mengakui Sunnah-Nya di alam semesta yang dapat diperoleh oleh akal bebas manusia dan memikirkannya secara kontinyu, saling tolong menolong kerjasama atas dasar saling mencintai. Setiap individu melaksanakan kewajibannya kepada Allah dan masyarakat, dan masyarakat menunaikan kewajibannya kepada Allah dan individu seluruhnya atas dasar persamaan.</w:t>
      </w:r>
      <w:r w:rsidRPr="00910CE3">
        <w:rPr>
          <w:rStyle w:val="FootnoteReference"/>
          <w:rFonts w:asciiTheme="majorBidi" w:hAnsiTheme="majorBidi" w:cstheme="majorBidi"/>
          <w:spacing w:val="-3"/>
          <w:sz w:val="24"/>
          <w:szCs w:val="24"/>
        </w:rPr>
        <w:footnoteReference w:id="257"/>
      </w:r>
    </w:p>
    <w:p w:rsidR="00343B61" w:rsidRPr="00910CE3" w:rsidRDefault="00343B61" w:rsidP="00343B61">
      <w:pPr>
        <w:widowControl w:val="0"/>
        <w:kinsoku w:val="0"/>
        <w:overflowPunct w:val="0"/>
        <w:spacing w:before="20" w:line="360" w:lineRule="auto"/>
        <w:ind w:left="630" w:firstLine="630"/>
        <w:jc w:val="both"/>
        <w:textAlignment w:val="baseline"/>
        <w:rPr>
          <w:rFonts w:asciiTheme="majorBidi" w:hAnsiTheme="majorBidi" w:cstheme="majorBidi"/>
          <w:sz w:val="24"/>
          <w:szCs w:val="24"/>
        </w:rPr>
      </w:pPr>
      <w:r w:rsidRPr="00910CE3">
        <w:rPr>
          <w:rFonts w:asciiTheme="majorBidi" w:hAnsiTheme="majorBidi" w:cstheme="majorBidi"/>
          <w:spacing w:val="-5"/>
          <w:sz w:val="24"/>
          <w:szCs w:val="24"/>
        </w:rPr>
        <w:t>Pandangan Haikal tersebut menunjukkan bahwa yang pen</w:t>
      </w:r>
      <w:r w:rsidRPr="00910CE3">
        <w:rPr>
          <w:rFonts w:asciiTheme="majorBidi" w:hAnsiTheme="majorBidi" w:cstheme="majorBidi"/>
          <w:spacing w:val="-5"/>
          <w:sz w:val="24"/>
          <w:szCs w:val="24"/>
        </w:rPr>
        <w:softHyphen/>
        <w:t>ting-baginya bukan sistem, melainkan terealisirnya prinsip-prinsip ajaran Islam. Sebab, sistem pemerintahan Islam yang-berkem</w:t>
      </w:r>
      <w:r w:rsidRPr="00910CE3">
        <w:rPr>
          <w:rFonts w:asciiTheme="majorBidi" w:hAnsiTheme="majorBidi" w:cstheme="majorBidi"/>
          <w:spacing w:val="-5"/>
          <w:sz w:val="24"/>
          <w:szCs w:val="24"/>
        </w:rPr>
        <w:softHyphen/>
        <w:t>bang dalam sejarah tidak hanya ditentukan oleh prinsip-prinsip ajaran saja (faktor interen), tapi juga dipengaruhi oleh situasi lingkungan, sejarah, budaya dan tingkat perkembangan peradab</w:t>
      </w:r>
      <w:r w:rsidRPr="00910CE3">
        <w:rPr>
          <w:rFonts w:asciiTheme="majorBidi" w:hAnsiTheme="majorBidi" w:cstheme="majorBidi"/>
          <w:spacing w:val="-5"/>
          <w:sz w:val="24"/>
          <w:szCs w:val="24"/>
        </w:rPr>
        <w:softHyphen/>
        <w:t>an dan intelektual. Hal ini terbukti dalam sejarah betapa corak dan bentuk pemerintahan Islam sangat beragam, yang terkadang ber</w:t>
      </w:r>
      <w:r w:rsidRPr="00910CE3">
        <w:rPr>
          <w:rFonts w:asciiTheme="majorBidi" w:hAnsiTheme="majorBidi" w:cstheme="majorBidi"/>
          <w:sz w:val="24"/>
          <w:szCs w:val="24"/>
        </w:rPr>
        <w:t>tentangan dengan prinsip-prinsip ajaran Islam.</w:t>
      </w:r>
      <w:r w:rsidRPr="00910CE3">
        <w:rPr>
          <w:rStyle w:val="FootnoteReference"/>
          <w:rFonts w:asciiTheme="majorBidi" w:hAnsiTheme="majorBidi" w:cstheme="majorBidi"/>
          <w:sz w:val="24"/>
          <w:szCs w:val="24"/>
        </w:rPr>
        <w:footnoteReference w:id="258"/>
      </w:r>
    </w:p>
    <w:p w:rsidR="00343B61" w:rsidRPr="00FC4B1C" w:rsidRDefault="00343B61" w:rsidP="002C0A33">
      <w:pPr>
        <w:pStyle w:val="ListParagraph"/>
        <w:widowControl w:val="0"/>
        <w:numPr>
          <w:ilvl w:val="0"/>
          <w:numId w:val="23"/>
        </w:numPr>
        <w:kinsoku w:val="0"/>
        <w:overflowPunct w:val="0"/>
        <w:spacing w:after="0" w:line="360" w:lineRule="auto"/>
        <w:ind w:left="630" w:hanging="270"/>
        <w:jc w:val="both"/>
        <w:textAlignment w:val="baseline"/>
        <w:rPr>
          <w:rFonts w:asciiTheme="majorBidi" w:hAnsiTheme="majorBidi" w:cstheme="majorBidi"/>
          <w:sz w:val="24"/>
          <w:szCs w:val="24"/>
        </w:rPr>
      </w:pPr>
      <w:r w:rsidRPr="00FC4B1C">
        <w:rPr>
          <w:rFonts w:asciiTheme="majorBidi" w:hAnsiTheme="majorBidi" w:cstheme="majorBidi"/>
          <w:sz w:val="24"/>
          <w:szCs w:val="24"/>
        </w:rPr>
        <w:t xml:space="preserve">Fazlur Rahman (1919-1988 M) bapak pembaharu Pakistan yang menulis </w:t>
      </w:r>
      <w:r w:rsidRPr="00FC4B1C">
        <w:rPr>
          <w:rFonts w:asciiTheme="majorBidi" w:hAnsiTheme="majorBidi" w:cstheme="majorBidi"/>
          <w:i/>
          <w:iCs/>
          <w:sz w:val="24"/>
          <w:szCs w:val="24"/>
        </w:rPr>
        <w:lastRenderedPageBreak/>
        <w:t>Islam and Modernity,</w:t>
      </w:r>
      <w:r w:rsidRPr="00FC4B1C">
        <w:rPr>
          <w:rFonts w:asciiTheme="majorBidi" w:hAnsiTheme="majorBidi" w:cstheme="majorBidi"/>
          <w:iCs/>
          <w:sz w:val="24"/>
          <w:szCs w:val="24"/>
        </w:rPr>
        <w:t xml:space="preserve">dan </w:t>
      </w:r>
      <w:r w:rsidRPr="00FC4B1C">
        <w:rPr>
          <w:rFonts w:asciiTheme="majorBidi" w:hAnsiTheme="majorBidi" w:cstheme="majorBidi"/>
          <w:i/>
          <w:iCs/>
          <w:sz w:val="24"/>
          <w:szCs w:val="24"/>
        </w:rPr>
        <w:t xml:space="preserve">Major Themes of the </w:t>
      </w:r>
      <w:r w:rsidRPr="00F26466">
        <w:rPr>
          <w:rFonts w:asciiTheme="majorBidi" w:hAnsiTheme="majorBidi" w:cstheme="majorBidi"/>
          <w:i/>
          <w:iCs/>
          <w:sz w:val="24"/>
          <w:szCs w:val="24"/>
        </w:rPr>
        <w:t>Qur’ān</w:t>
      </w:r>
      <w:r w:rsidRPr="00FC4B1C">
        <w:rPr>
          <w:rFonts w:asciiTheme="majorBidi" w:hAnsiTheme="majorBidi" w:cstheme="majorBidi"/>
          <w:i/>
          <w:iCs/>
          <w:sz w:val="24"/>
          <w:szCs w:val="24"/>
        </w:rPr>
        <w:t>.</w:t>
      </w:r>
      <w:r w:rsidRPr="00910CE3">
        <w:rPr>
          <w:rStyle w:val="FootnoteReference"/>
          <w:rFonts w:asciiTheme="majorBidi" w:hAnsiTheme="majorBidi" w:cstheme="majorBidi"/>
          <w:i/>
          <w:iCs/>
          <w:sz w:val="24"/>
          <w:szCs w:val="24"/>
        </w:rPr>
        <w:footnoteReference w:id="259"/>
      </w:r>
      <w:r w:rsidRPr="00FC4B1C">
        <w:rPr>
          <w:rFonts w:asciiTheme="majorBidi" w:hAnsiTheme="majorBidi" w:cstheme="majorBidi"/>
          <w:i/>
          <w:iCs/>
          <w:sz w:val="24"/>
          <w:szCs w:val="24"/>
        </w:rPr>
        <w:t xml:space="preserve"> </w:t>
      </w:r>
    </w:p>
    <w:p w:rsidR="00343B61" w:rsidRPr="00910CE3" w:rsidRDefault="00343B61" w:rsidP="00343B61">
      <w:pPr>
        <w:widowControl w:val="0"/>
        <w:kinsoku w:val="0"/>
        <w:overflowPunct w:val="0"/>
        <w:spacing w:before="20" w:line="360" w:lineRule="auto"/>
        <w:ind w:firstLine="630"/>
        <w:jc w:val="both"/>
        <w:textAlignment w:val="baseline"/>
        <w:rPr>
          <w:rFonts w:asciiTheme="majorBidi" w:hAnsiTheme="majorBidi" w:cstheme="majorBidi"/>
          <w:sz w:val="24"/>
          <w:szCs w:val="24"/>
        </w:rPr>
      </w:pPr>
      <w:r w:rsidRPr="00910CE3">
        <w:rPr>
          <w:rFonts w:asciiTheme="majorBidi" w:hAnsiTheme="majorBidi" w:cstheme="majorBidi"/>
          <w:sz w:val="24"/>
          <w:szCs w:val="24"/>
        </w:rPr>
        <w:t>Di Indonesia, pandangan kelompok ketiga ini diwakili oleh Mu</w:t>
      </w:r>
      <w:r w:rsidRPr="00910CE3">
        <w:rPr>
          <w:rFonts w:asciiTheme="majorBidi" w:hAnsiTheme="majorBidi" w:cstheme="majorBidi"/>
          <w:sz w:val="24"/>
          <w:szCs w:val="24"/>
        </w:rPr>
        <w:softHyphen/>
        <w:t>ha</w:t>
      </w:r>
      <w:r>
        <w:rPr>
          <w:rFonts w:asciiTheme="majorBidi" w:hAnsiTheme="majorBidi" w:cstheme="majorBidi"/>
          <w:sz w:val="24"/>
          <w:szCs w:val="24"/>
        </w:rPr>
        <w:t xml:space="preserve">mmad Natsir. Menurutnya, Islam </w:t>
      </w:r>
      <w:r w:rsidRPr="00910CE3">
        <w:rPr>
          <w:rFonts w:asciiTheme="majorBidi" w:hAnsiTheme="majorBidi" w:cstheme="majorBidi"/>
          <w:sz w:val="24"/>
          <w:szCs w:val="24"/>
        </w:rPr>
        <w:t xml:space="preserve">berbeda dengan agama lainnya, juga mengandung peraturan hukum-hukum tentang kenegaraan. Untuk menjamin keberlakuan hukum dan peraturan tersebut, maka Islam membutuhkan lembaga pemerintahan (negara). Namun Islam tidak memberi ketentuan yang baku tentang bagaimana bentuk negara yang harus dilaksanakan oleh umat Islam. Oleh karena itu, umat Islam diberikan kebebasan sepenuhnya untuk berkreasi menentukan bentuk negara dan sistem pemerintahan yang cocok dengan situasi dan kondisi yang berkembang. </w:t>
      </w:r>
    </w:p>
    <w:p w:rsidR="00343B61" w:rsidRPr="00910CE3" w:rsidRDefault="00343B61" w:rsidP="00343B61">
      <w:pPr>
        <w:spacing w:line="360" w:lineRule="auto"/>
        <w:ind w:firstLine="630"/>
        <w:jc w:val="both"/>
        <w:rPr>
          <w:rFonts w:asciiTheme="majorBidi" w:hAnsiTheme="majorBidi" w:cstheme="majorBidi"/>
          <w:i/>
          <w:iCs/>
          <w:sz w:val="24"/>
          <w:szCs w:val="24"/>
        </w:rPr>
      </w:pPr>
      <w:r w:rsidRPr="00910CE3">
        <w:rPr>
          <w:rFonts w:asciiTheme="majorBidi" w:hAnsiTheme="majorBidi" w:cstheme="majorBidi"/>
          <w:sz w:val="24"/>
          <w:szCs w:val="24"/>
        </w:rPr>
        <w:t xml:space="preserve">Selain tokoh-tokob di atas, masih ada lagi ulama dan pemikir Islam yang membahas masalah ketatanegaraan Islam ini. Untuk menyebut di antaranya adalah Abd al -Wahhab Khallaf yang menulis </w:t>
      </w:r>
      <w:r w:rsidRPr="00910CE3">
        <w:rPr>
          <w:rFonts w:asciiTheme="majorBidi" w:hAnsiTheme="majorBidi" w:cstheme="majorBidi"/>
          <w:i/>
          <w:iCs/>
          <w:sz w:val="24"/>
          <w:szCs w:val="24"/>
        </w:rPr>
        <w:t xml:space="preserve">buku </w:t>
      </w:r>
      <w:r w:rsidRPr="00910CE3">
        <w:rPr>
          <w:rFonts w:asciiTheme="majorBidi" w:hAnsiTheme="majorBidi" w:cstheme="majorBidi"/>
          <w:bCs/>
          <w:i/>
          <w:iCs/>
          <w:sz w:val="24"/>
          <w:szCs w:val="24"/>
        </w:rPr>
        <w:t>al</w:t>
      </w:r>
      <w:r w:rsidRPr="00910CE3">
        <w:rPr>
          <w:rFonts w:asciiTheme="majorBidi" w:hAnsiTheme="majorBidi" w:cstheme="majorBidi"/>
          <w:bCs/>
          <w:sz w:val="24"/>
          <w:szCs w:val="24"/>
        </w:rPr>
        <w:t>-</w:t>
      </w:r>
      <w:r>
        <w:rPr>
          <w:rFonts w:asciiTheme="majorBidi" w:hAnsiTheme="majorBidi" w:cstheme="majorBidi"/>
          <w:i/>
          <w:iCs/>
          <w:sz w:val="24"/>
          <w:szCs w:val="24"/>
          <w:lang w:val="id-ID"/>
        </w:rPr>
        <w:t xml:space="preserve"> siyāsah</w:t>
      </w:r>
      <w:r>
        <w:rPr>
          <w:rFonts w:asciiTheme="majorBidi" w:hAnsiTheme="majorBidi" w:cstheme="majorBidi"/>
          <w:i/>
          <w:iCs/>
          <w:sz w:val="24"/>
          <w:szCs w:val="24"/>
        </w:rPr>
        <w:t xml:space="preserve"> al-</w:t>
      </w:r>
      <w:r>
        <w:rPr>
          <w:rFonts w:asciiTheme="majorBidi" w:hAnsiTheme="majorBidi" w:cstheme="majorBidi"/>
          <w:i/>
          <w:iCs/>
          <w:sz w:val="24"/>
          <w:szCs w:val="24"/>
          <w:lang w:val="id-ID"/>
        </w:rPr>
        <w:t>syar‘iyyah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Yusuf al-Qardhawi dengan karangannya yang berjudul </w:t>
      </w:r>
      <w:r w:rsidRPr="00910CE3">
        <w:rPr>
          <w:rFonts w:asciiTheme="majorBidi" w:hAnsiTheme="majorBidi" w:cstheme="majorBidi"/>
          <w:i/>
          <w:iCs/>
          <w:sz w:val="24"/>
          <w:szCs w:val="24"/>
        </w:rPr>
        <w:t xml:space="preserve">Min Fiqh al-Dawlah </w:t>
      </w:r>
      <w:r w:rsidRPr="00FD1755">
        <w:rPr>
          <w:rFonts w:asciiTheme="majorBidi" w:hAnsiTheme="majorBidi" w:cstheme="majorBidi"/>
          <w:bCs/>
          <w:i/>
          <w:iCs/>
          <w:sz w:val="24"/>
          <w:szCs w:val="24"/>
        </w:rPr>
        <w:t>fī</w:t>
      </w:r>
      <w:r w:rsidRPr="00910CE3">
        <w:rPr>
          <w:rFonts w:asciiTheme="majorBidi" w:hAnsiTheme="majorBidi" w:cstheme="majorBidi"/>
          <w:i/>
          <w:iCs/>
          <w:sz w:val="24"/>
          <w:szCs w:val="24"/>
        </w:rPr>
        <w:t xml:space="preserve"> al-Isl</w:t>
      </w:r>
      <w:r>
        <w:rPr>
          <w:rFonts w:asciiTheme="majorBidi" w:hAnsiTheme="majorBidi" w:cstheme="majorBidi"/>
          <w:i/>
          <w:iCs/>
          <w:sz w:val="24"/>
          <w:szCs w:val="24"/>
          <w:lang w:val="id-ID"/>
        </w:rPr>
        <w:t>ā</w:t>
      </w:r>
      <w:r w:rsidRPr="00910CE3">
        <w:rPr>
          <w:rFonts w:asciiTheme="majorBidi" w:hAnsiTheme="majorBidi" w:cstheme="majorBidi"/>
          <w:i/>
          <w:iCs/>
          <w:sz w:val="24"/>
          <w:szCs w:val="24"/>
        </w:rPr>
        <w:t xml:space="preserve">m, </w:t>
      </w:r>
      <w:r w:rsidRPr="00910CE3">
        <w:rPr>
          <w:rFonts w:asciiTheme="majorBidi" w:hAnsiTheme="majorBidi" w:cstheme="majorBidi"/>
          <w:sz w:val="24"/>
          <w:szCs w:val="24"/>
        </w:rPr>
        <w:t xml:space="preserve">dan Muhammad Yusuf Musa yang mengarang kitab </w:t>
      </w:r>
      <w:r w:rsidRPr="00910CE3">
        <w:rPr>
          <w:rFonts w:asciiTheme="majorBidi" w:hAnsiTheme="majorBidi" w:cstheme="majorBidi"/>
          <w:i/>
          <w:iCs/>
          <w:sz w:val="24"/>
          <w:szCs w:val="24"/>
        </w:rPr>
        <w:t>Ni</w:t>
      </w:r>
      <w:r w:rsidRPr="00D81B1C">
        <w:rPr>
          <w:rFonts w:asciiTheme="majorBidi" w:hAnsiTheme="majorBidi" w:cstheme="majorBidi"/>
          <w:color w:val="222222"/>
          <w:sz w:val="16"/>
          <w:szCs w:val="16"/>
        </w:rPr>
        <w:t>Ẓ</w:t>
      </w:r>
      <w:r>
        <w:rPr>
          <w:rFonts w:asciiTheme="majorBidi" w:hAnsiTheme="majorBidi" w:cstheme="majorBidi"/>
          <w:i/>
          <w:iCs/>
          <w:sz w:val="24"/>
          <w:szCs w:val="24"/>
          <w:lang w:val="id-ID"/>
        </w:rPr>
        <w:t>ā</w:t>
      </w:r>
      <w:r w:rsidRPr="00910CE3">
        <w:rPr>
          <w:rFonts w:asciiTheme="majorBidi" w:hAnsiTheme="majorBidi" w:cstheme="majorBidi"/>
          <w:i/>
          <w:iCs/>
          <w:sz w:val="24"/>
          <w:szCs w:val="24"/>
        </w:rPr>
        <w:t>m al-</w:t>
      </w:r>
      <w:r w:rsidRPr="00FD1755">
        <w:rPr>
          <w:rFonts w:asciiTheme="majorBidi" w:hAnsiTheme="majorBidi" w:cstheme="majorBidi"/>
          <w:bCs/>
          <w:i/>
          <w:iCs/>
          <w:sz w:val="24"/>
          <w:szCs w:val="24"/>
          <w:u w:val="single"/>
        </w:rPr>
        <w:t>H</w:t>
      </w:r>
      <w:r w:rsidRPr="00910CE3">
        <w:rPr>
          <w:rFonts w:asciiTheme="majorBidi" w:hAnsiTheme="majorBidi" w:cstheme="majorBidi"/>
          <w:i/>
          <w:iCs/>
          <w:sz w:val="24"/>
          <w:szCs w:val="24"/>
        </w:rPr>
        <w:t xml:space="preserve">ukm </w:t>
      </w:r>
      <w:r w:rsidRPr="00FD1755">
        <w:rPr>
          <w:rFonts w:asciiTheme="majorBidi" w:hAnsiTheme="majorBidi" w:cstheme="majorBidi"/>
          <w:bCs/>
          <w:i/>
          <w:iCs/>
          <w:sz w:val="24"/>
          <w:szCs w:val="24"/>
        </w:rPr>
        <w:t>fī</w:t>
      </w:r>
      <w:r w:rsidRPr="00FD1755">
        <w:rPr>
          <w:rFonts w:asciiTheme="majorBidi" w:hAnsiTheme="majorBidi" w:cstheme="majorBidi"/>
          <w:bCs/>
          <w:i/>
          <w:iCs/>
          <w:spacing w:val="11"/>
          <w:sz w:val="24"/>
          <w:szCs w:val="24"/>
        </w:rPr>
        <w:t xml:space="preserve"> </w:t>
      </w:r>
      <w:r w:rsidRPr="00910CE3">
        <w:rPr>
          <w:rFonts w:asciiTheme="majorBidi" w:hAnsiTheme="majorBidi" w:cstheme="majorBidi"/>
          <w:i/>
          <w:iCs/>
          <w:sz w:val="24"/>
          <w:szCs w:val="24"/>
        </w:rPr>
        <w:t>al-Isl</w:t>
      </w:r>
      <w:r>
        <w:rPr>
          <w:rFonts w:asciiTheme="majorBidi" w:hAnsiTheme="majorBidi" w:cstheme="majorBidi"/>
          <w:i/>
          <w:iCs/>
          <w:sz w:val="24"/>
          <w:szCs w:val="24"/>
          <w:lang w:val="id-ID"/>
        </w:rPr>
        <w:t>ā</w:t>
      </w:r>
      <w:r w:rsidRPr="00910CE3">
        <w:rPr>
          <w:rFonts w:asciiTheme="majorBidi" w:hAnsiTheme="majorBidi" w:cstheme="majorBidi"/>
          <w:i/>
          <w:iCs/>
          <w:sz w:val="24"/>
          <w:szCs w:val="24"/>
        </w:rPr>
        <w:t>m.</w:t>
      </w:r>
      <w:r w:rsidRPr="00910CE3">
        <w:rPr>
          <w:rStyle w:val="FootnoteReference"/>
          <w:rFonts w:asciiTheme="majorBidi" w:hAnsiTheme="majorBidi" w:cstheme="majorBidi"/>
          <w:i/>
          <w:iCs/>
          <w:sz w:val="24"/>
          <w:szCs w:val="24"/>
        </w:rPr>
        <w:footnoteReference w:id="260"/>
      </w:r>
    </w:p>
    <w:p w:rsidR="00343B61" w:rsidRPr="00910CE3" w:rsidRDefault="00343B61" w:rsidP="00343B61">
      <w:pPr>
        <w:autoSpaceDE w:val="0"/>
        <w:autoSpaceDN w:val="0"/>
        <w:adjustRightInd w:val="0"/>
        <w:spacing w:after="0" w:line="360" w:lineRule="auto"/>
        <w:rPr>
          <w:rFonts w:asciiTheme="majorBidi" w:hAnsiTheme="majorBidi" w:cstheme="majorBidi"/>
          <w:b/>
          <w:bCs/>
          <w:sz w:val="24"/>
          <w:szCs w:val="24"/>
        </w:rPr>
      </w:pPr>
      <w:r w:rsidRPr="00910CE3">
        <w:rPr>
          <w:rFonts w:asciiTheme="majorBidi" w:hAnsiTheme="majorBidi" w:cstheme="majorBidi"/>
          <w:b/>
          <w:bCs/>
          <w:sz w:val="24"/>
          <w:szCs w:val="24"/>
        </w:rPr>
        <w:t>B. Pendekatan Dalam Mengkaji Siyāsah  Syar’iyyah</w:t>
      </w:r>
    </w:p>
    <w:p w:rsidR="00343B61" w:rsidRPr="006860A8" w:rsidRDefault="00343B61" w:rsidP="00343B61">
      <w:pPr>
        <w:pStyle w:val="ListParagraph"/>
        <w:spacing w:line="360" w:lineRule="auto"/>
        <w:ind w:left="0" w:firstLine="720"/>
        <w:jc w:val="both"/>
        <w:rPr>
          <w:rFonts w:asciiTheme="majorBidi" w:hAnsiTheme="majorBidi" w:cstheme="majorBidi"/>
          <w:i/>
          <w:iCs/>
          <w:sz w:val="24"/>
          <w:szCs w:val="24"/>
        </w:rPr>
      </w:pPr>
      <w:r w:rsidRPr="006860A8">
        <w:rPr>
          <w:rFonts w:asciiTheme="majorBidi" w:hAnsiTheme="majorBidi" w:cstheme="majorBidi"/>
          <w:sz w:val="24"/>
          <w:szCs w:val="24"/>
        </w:rPr>
        <w:t xml:space="preserve">Metode yang digunakan untuk mempelajari </w:t>
      </w:r>
      <w:r w:rsidRPr="006860A8">
        <w:rPr>
          <w:rFonts w:asciiTheme="majorBidi" w:hAnsiTheme="majorBidi" w:cstheme="majorBidi"/>
          <w:i/>
          <w:iCs/>
          <w:sz w:val="24"/>
          <w:szCs w:val="24"/>
          <w:lang w:val="id-ID"/>
        </w:rPr>
        <w:t>siyāsah</w:t>
      </w:r>
      <w:r w:rsidRPr="006860A8">
        <w:rPr>
          <w:rFonts w:asciiTheme="majorBidi" w:hAnsiTheme="majorBidi" w:cstheme="majorBidi"/>
          <w:i/>
          <w:iCs/>
          <w:sz w:val="24"/>
          <w:szCs w:val="24"/>
        </w:rPr>
        <w:t xml:space="preserve"> </w:t>
      </w:r>
      <w:r w:rsidRPr="006860A8">
        <w:rPr>
          <w:rFonts w:asciiTheme="majorBidi" w:hAnsiTheme="majorBidi" w:cstheme="majorBidi"/>
          <w:i/>
          <w:iCs/>
          <w:sz w:val="24"/>
          <w:szCs w:val="24"/>
          <w:lang w:val="id-ID"/>
        </w:rPr>
        <w:t>syar‘iyyah</w:t>
      </w:r>
      <w:r w:rsidRPr="006860A8">
        <w:rPr>
          <w:rFonts w:asciiTheme="majorBidi" w:hAnsiTheme="majorBidi" w:cstheme="majorBidi"/>
          <w:i/>
          <w:iCs/>
          <w:sz w:val="24"/>
          <w:szCs w:val="24"/>
        </w:rPr>
        <w:t xml:space="preserve"> </w:t>
      </w:r>
      <w:r w:rsidRPr="006860A8">
        <w:rPr>
          <w:rFonts w:asciiTheme="majorBidi" w:hAnsiTheme="majorBidi" w:cstheme="majorBidi"/>
          <w:sz w:val="24"/>
          <w:szCs w:val="24"/>
        </w:rPr>
        <w:t xml:space="preserve">tidak berbeda dengan metode yang dipakai dalam mempelejari fiqh, semisal fiqh munakahat dan fiqh mawarist. Dalam kaitan ini digunakan ilmu ushul fiqh dan qawaid fiqh. Dibandingkan dengan fiqh-fiqh yang disebutkan di atas, penggunaan metode ini dalam </w:t>
      </w:r>
      <w:r w:rsidRPr="006860A8">
        <w:rPr>
          <w:rFonts w:asciiTheme="majorBidi" w:hAnsiTheme="majorBidi" w:cstheme="majorBidi"/>
          <w:i/>
          <w:iCs/>
          <w:sz w:val="24"/>
          <w:szCs w:val="24"/>
          <w:lang w:val="id-ID"/>
        </w:rPr>
        <w:t>siyāsah</w:t>
      </w:r>
      <w:r w:rsidRPr="006860A8">
        <w:rPr>
          <w:rFonts w:asciiTheme="majorBidi" w:hAnsiTheme="majorBidi" w:cstheme="majorBidi"/>
          <w:i/>
          <w:iCs/>
          <w:sz w:val="24"/>
          <w:szCs w:val="24"/>
        </w:rPr>
        <w:t xml:space="preserve"> </w:t>
      </w:r>
      <w:r w:rsidRPr="006860A8">
        <w:rPr>
          <w:rFonts w:asciiTheme="majorBidi" w:hAnsiTheme="majorBidi" w:cstheme="majorBidi"/>
          <w:i/>
          <w:iCs/>
          <w:sz w:val="24"/>
          <w:szCs w:val="24"/>
          <w:lang w:val="id-ID"/>
        </w:rPr>
        <w:t>syar‘iyyah</w:t>
      </w:r>
      <w:r w:rsidRPr="006860A8">
        <w:rPr>
          <w:rFonts w:asciiTheme="majorBidi" w:hAnsiTheme="majorBidi" w:cstheme="majorBidi"/>
          <w:i/>
          <w:iCs/>
          <w:sz w:val="24"/>
          <w:szCs w:val="24"/>
        </w:rPr>
        <w:t xml:space="preserve"> </w:t>
      </w:r>
      <w:r w:rsidRPr="006860A8">
        <w:rPr>
          <w:rFonts w:asciiTheme="majorBidi" w:hAnsiTheme="majorBidi" w:cstheme="majorBidi"/>
          <w:sz w:val="24"/>
          <w:szCs w:val="24"/>
        </w:rPr>
        <w:t xml:space="preserve">terasa lebih penting. Alasannya masalah </w:t>
      </w:r>
      <w:r w:rsidRPr="006860A8">
        <w:rPr>
          <w:rFonts w:asciiTheme="majorBidi" w:hAnsiTheme="majorBidi" w:cstheme="majorBidi"/>
          <w:i/>
          <w:iCs/>
          <w:sz w:val="24"/>
          <w:szCs w:val="24"/>
          <w:lang w:val="id-ID"/>
        </w:rPr>
        <w:t>siyāsah</w:t>
      </w:r>
      <w:r w:rsidRPr="006860A8">
        <w:rPr>
          <w:rFonts w:asciiTheme="majorBidi" w:hAnsiTheme="majorBidi" w:cstheme="majorBidi"/>
          <w:i/>
          <w:iCs/>
          <w:sz w:val="24"/>
          <w:szCs w:val="24"/>
        </w:rPr>
        <w:t xml:space="preserve"> </w:t>
      </w:r>
      <w:r w:rsidRPr="006860A8">
        <w:rPr>
          <w:rFonts w:asciiTheme="majorBidi" w:hAnsiTheme="majorBidi" w:cstheme="majorBidi"/>
          <w:i/>
          <w:iCs/>
          <w:sz w:val="24"/>
          <w:szCs w:val="24"/>
          <w:lang w:val="id-ID"/>
        </w:rPr>
        <w:t>syar‘iyyah</w:t>
      </w:r>
      <w:r w:rsidRPr="006860A8">
        <w:rPr>
          <w:rFonts w:asciiTheme="majorBidi" w:hAnsiTheme="majorBidi" w:cstheme="majorBidi"/>
          <w:i/>
          <w:iCs/>
          <w:sz w:val="24"/>
          <w:szCs w:val="24"/>
        </w:rPr>
        <w:t xml:space="preserve"> </w:t>
      </w:r>
      <w:r w:rsidRPr="006860A8">
        <w:rPr>
          <w:rFonts w:asciiTheme="majorBidi" w:hAnsiTheme="majorBidi" w:cstheme="majorBidi"/>
          <w:sz w:val="24"/>
          <w:szCs w:val="24"/>
        </w:rPr>
        <w:t xml:space="preserve">tidak diatur secara terperinci oleh Al-Qur’an dan </w:t>
      </w:r>
      <w:r>
        <w:rPr>
          <w:rFonts w:asciiTheme="majorBidi" w:hAnsiTheme="majorBidi" w:cstheme="majorBidi"/>
          <w:sz w:val="24"/>
          <w:szCs w:val="24"/>
        </w:rPr>
        <w:t>Sunnah</w:t>
      </w:r>
      <w:r w:rsidRPr="006860A8">
        <w:rPr>
          <w:rFonts w:asciiTheme="majorBidi" w:hAnsiTheme="majorBidi" w:cstheme="majorBidi"/>
          <w:sz w:val="24"/>
          <w:szCs w:val="24"/>
        </w:rPr>
        <w:t xml:space="preserve">. Secara Umum, pendekatan yang digunakan dalam mengkajian </w:t>
      </w:r>
      <w:r w:rsidRPr="006860A8">
        <w:rPr>
          <w:rFonts w:asciiTheme="majorBidi" w:hAnsiTheme="majorBidi" w:cstheme="majorBidi"/>
          <w:i/>
          <w:iCs/>
          <w:sz w:val="24"/>
          <w:szCs w:val="24"/>
        </w:rPr>
        <w:t>siyāsah  syar‘iyyah</w:t>
      </w:r>
      <w:r w:rsidRPr="006860A8">
        <w:rPr>
          <w:rFonts w:asciiTheme="majorBidi" w:hAnsiTheme="majorBidi" w:cstheme="majorBidi"/>
          <w:sz w:val="24"/>
          <w:szCs w:val="24"/>
        </w:rPr>
        <w:t xml:space="preserve"> adalah dengan metode </w:t>
      </w:r>
      <w:r w:rsidRPr="006860A8">
        <w:rPr>
          <w:rFonts w:asciiTheme="majorBidi" w:hAnsiTheme="majorBidi" w:cstheme="majorBidi"/>
          <w:i/>
          <w:iCs/>
          <w:sz w:val="24"/>
          <w:szCs w:val="24"/>
        </w:rPr>
        <w:t>al-Qiyās</w:t>
      </w:r>
      <w:r w:rsidRPr="006860A8">
        <w:rPr>
          <w:rFonts w:asciiTheme="majorBidi" w:hAnsiTheme="majorBidi" w:cstheme="majorBidi"/>
          <w:sz w:val="24"/>
          <w:szCs w:val="24"/>
        </w:rPr>
        <w:t xml:space="preserve">, </w:t>
      </w:r>
      <w:r w:rsidRPr="006860A8">
        <w:rPr>
          <w:rFonts w:asciiTheme="majorBidi" w:hAnsiTheme="majorBidi" w:cstheme="majorBidi"/>
          <w:i/>
          <w:iCs/>
          <w:sz w:val="24"/>
          <w:szCs w:val="24"/>
        </w:rPr>
        <w:t>al- Isti</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sān</w:t>
      </w:r>
      <w:r w:rsidRPr="006860A8">
        <w:rPr>
          <w:rFonts w:asciiTheme="majorBidi" w:hAnsiTheme="majorBidi" w:cstheme="majorBidi"/>
          <w:sz w:val="24"/>
          <w:szCs w:val="24"/>
        </w:rPr>
        <w:t xml:space="preserve">, </w:t>
      </w:r>
      <w:r w:rsidRPr="006860A8">
        <w:rPr>
          <w:rFonts w:asciiTheme="majorBidi" w:hAnsiTheme="majorBidi" w:cstheme="majorBidi"/>
          <w:i/>
          <w:iCs/>
          <w:sz w:val="24"/>
          <w:szCs w:val="24"/>
        </w:rPr>
        <w:t>al- Masla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ah Mursalah</w:t>
      </w:r>
      <w:r w:rsidRPr="006860A8">
        <w:rPr>
          <w:rFonts w:asciiTheme="majorBidi" w:hAnsiTheme="majorBidi" w:cstheme="majorBidi"/>
          <w:sz w:val="24"/>
          <w:szCs w:val="24"/>
        </w:rPr>
        <w:t xml:space="preserve">, </w:t>
      </w:r>
      <w:r w:rsidRPr="006860A8">
        <w:rPr>
          <w:rFonts w:asciiTheme="majorBidi" w:hAnsiTheme="majorBidi" w:cstheme="majorBidi"/>
          <w:i/>
          <w:iCs/>
          <w:sz w:val="24"/>
          <w:szCs w:val="24"/>
        </w:rPr>
        <w:t>sadd al-</w:t>
      </w:r>
      <w:r w:rsidRPr="006860A8">
        <w:rPr>
          <w:rFonts w:asciiTheme="majorBidi" w:hAnsiTheme="majorBidi" w:cstheme="majorBidi"/>
          <w:color w:val="222222"/>
          <w:sz w:val="24"/>
          <w:szCs w:val="24"/>
        </w:rPr>
        <w:t>ż</w:t>
      </w:r>
      <w:r w:rsidRPr="006860A8">
        <w:rPr>
          <w:rFonts w:asciiTheme="majorBidi" w:hAnsiTheme="majorBidi" w:cstheme="majorBidi"/>
          <w:i/>
          <w:iCs/>
          <w:sz w:val="24"/>
          <w:szCs w:val="24"/>
        </w:rPr>
        <w:t>arī</w:t>
      </w:r>
      <w:r w:rsidRPr="006860A8">
        <w:rPr>
          <w:rFonts w:asciiTheme="majorBidi" w:hAnsiTheme="majorBidi" w:cstheme="majorBidi"/>
          <w:sz w:val="24"/>
          <w:szCs w:val="24"/>
        </w:rPr>
        <w:t>‘</w:t>
      </w:r>
      <w:r w:rsidRPr="006860A8">
        <w:rPr>
          <w:rFonts w:asciiTheme="majorBidi" w:hAnsiTheme="majorBidi" w:cstheme="majorBidi"/>
          <w:i/>
          <w:iCs/>
          <w:sz w:val="24"/>
          <w:szCs w:val="24"/>
        </w:rPr>
        <w:t>ah</w:t>
      </w:r>
      <w:r w:rsidRPr="006860A8">
        <w:rPr>
          <w:rFonts w:asciiTheme="majorBidi" w:hAnsiTheme="majorBidi" w:cstheme="majorBidi"/>
          <w:sz w:val="24"/>
          <w:szCs w:val="24"/>
        </w:rPr>
        <w:t xml:space="preserve">, </w:t>
      </w:r>
      <w:r w:rsidRPr="006860A8">
        <w:rPr>
          <w:rFonts w:asciiTheme="majorBidi" w:hAnsiTheme="majorBidi" w:cstheme="majorBidi"/>
          <w:i/>
          <w:iCs/>
          <w:sz w:val="24"/>
          <w:szCs w:val="24"/>
        </w:rPr>
        <w:t>Al-</w:t>
      </w:r>
      <w:r w:rsidRPr="006860A8">
        <w:rPr>
          <w:rFonts w:asciiTheme="majorBidi" w:hAnsiTheme="majorBidi" w:cstheme="majorBidi"/>
          <w:sz w:val="24"/>
          <w:szCs w:val="24"/>
        </w:rPr>
        <w:t>‘</w:t>
      </w:r>
      <w:r w:rsidRPr="006860A8">
        <w:rPr>
          <w:rFonts w:asciiTheme="majorBidi" w:hAnsiTheme="majorBidi" w:cstheme="majorBidi"/>
          <w:i/>
          <w:iCs/>
          <w:sz w:val="24"/>
          <w:szCs w:val="24"/>
        </w:rPr>
        <w:t>Adah</w:t>
      </w:r>
      <w:r w:rsidRPr="006860A8">
        <w:rPr>
          <w:rFonts w:asciiTheme="majorBidi" w:hAnsiTheme="majorBidi" w:cstheme="majorBidi"/>
          <w:sz w:val="24"/>
          <w:szCs w:val="24"/>
        </w:rPr>
        <w:t xml:space="preserve">, dan kaidah-kaidah </w:t>
      </w:r>
      <w:r w:rsidRPr="006860A8">
        <w:rPr>
          <w:rFonts w:asciiTheme="majorBidi" w:hAnsiTheme="majorBidi" w:cstheme="majorBidi"/>
          <w:i/>
          <w:iCs/>
          <w:sz w:val="24"/>
          <w:szCs w:val="24"/>
        </w:rPr>
        <w:t>kulliyah fiqhiyah</w:t>
      </w:r>
      <w:r w:rsidRPr="006860A8">
        <w:rPr>
          <w:rFonts w:asciiTheme="majorBidi" w:hAnsiTheme="majorBidi" w:cstheme="majorBidi"/>
          <w:sz w:val="24"/>
          <w:szCs w:val="24"/>
        </w:rPr>
        <w:t xml:space="preserve">, untuk pembahasan secara sederharna penulisan jelaskan di bawah ini. </w:t>
      </w:r>
    </w:p>
    <w:p w:rsidR="00343B61" w:rsidRPr="00910CE3" w:rsidRDefault="00343B61" w:rsidP="002C0A33">
      <w:pPr>
        <w:pStyle w:val="ListParagraph"/>
        <w:numPr>
          <w:ilvl w:val="0"/>
          <w:numId w:val="24"/>
        </w:numPr>
        <w:autoSpaceDE w:val="0"/>
        <w:autoSpaceDN w:val="0"/>
        <w:adjustRightInd w:val="0"/>
        <w:spacing w:after="0" w:line="360" w:lineRule="auto"/>
        <w:ind w:left="450" w:hanging="90"/>
        <w:jc w:val="both"/>
        <w:rPr>
          <w:rFonts w:asciiTheme="majorBidi" w:hAnsiTheme="majorBidi" w:cstheme="majorBidi"/>
          <w:sz w:val="24"/>
          <w:szCs w:val="24"/>
        </w:rPr>
      </w:pPr>
      <w:r w:rsidRPr="00910CE3">
        <w:rPr>
          <w:rFonts w:asciiTheme="majorBidi" w:hAnsiTheme="majorBidi" w:cstheme="majorBidi"/>
          <w:sz w:val="24"/>
          <w:szCs w:val="24"/>
        </w:rPr>
        <w:lastRenderedPageBreak/>
        <w:t xml:space="preserve">Melalui Pendekatan </w:t>
      </w:r>
      <w:r w:rsidRPr="00910CE3">
        <w:rPr>
          <w:rFonts w:asciiTheme="majorBidi" w:hAnsiTheme="majorBidi" w:cstheme="majorBidi"/>
          <w:i/>
          <w:iCs/>
          <w:sz w:val="24"/>
          <w:szCs w:val="24"/>
        </w:rPr>
        <w:t>Qiyās</w:t>
      </w:r>
      <w:r w:rsidRPr="00910CE3">
        <w:rPr>
          <w:rFonts w:asciiTheme="majorBidi" w:hAnsiTheme="majorBidi" w:cstheme="majorBidi"/>
          <w:sz w:val="24"/>
          <w:szCs w:val="24"/>
        </w:rPr>
        <w:t>.</w:t>
      </w:r>
    </w:p>
    <w:p w:rsidR="00343B61" w:rsidRPr="00910CE3" w:rsidRDefault="00343B61" w:rsidP="00343B61">
      <w:pPr>
        <w:pStyle w:val="ListParagraph"/>
        <w:autoSpaceDE w:val="0"/>
        <w:autoSpaceDN w:val="0"/>
        <w:adjustRightInd w:val="0"/>
        <w:spacing w:after="0" w:line="360" w:lineRule="auto"/>
        <w:ind w:left="360" w:firstLine="720"/>
        <w:jc w:val="both"/>
        <w:rPr>
          <w:rFonts w:asciiTheme="majorBidi" w:hAnsiTheme="majorBidi" w:cstheme="majorBidi"/>
          <w:sz w:val="24"/>
          <w:szCs w:val="24"/>
        </w:rPr>
      </w:pPr>
      <w:r w:rsidRPr="00910CE3">
        <w:rPr>
          <w:rFonts w:asciiTheme="majorBidi" w:hAnsiTheme="majorBidi" w:cstheme="majorBidi"/>
          <w:i/>
          <w:iCs/>
          <w:sz w:val="24"/>
          <w:szCs w:val="24"/>
        </w:rPr>
        <w:t xml:space="preserve">Qiyās </w:t>
      </w:r>
      <w:r w:rsidRPr="00910CE3">
        <w:rPr>
          <w:rFonts w:asciiTheme="majorBidi" w:hAnsiTheme="majorBidi" w:cstheme="majorBidi"/>
          <w:sz w:val="24"/>
          <w:szCs w:val="24"/>
        </w:rPr>
        <w:t xml:space="preserve">menurut bahasa berarti “ mengukur sesuatu dengan sesuatu yang lain untuk diketahui adanya persamaan antara keduanya”. Menurut Istilah sebagaimana di kemukakan oleh al-Syaukani: </w:t>
      </w:r>
    </w:p>
    <w:p w:rsidR="00343B61" w:rsidRPr="00953982" w:rsidRDefault="00343B61" w:rsidP="00343B61">
      <w:pPr>
        <w:pStyle w:val="ListParagraph"/>
        <w:autoSpaceDE w:val="0"/>
        <w:autoSpaceDN w:val="0"/>
        <w:bidi/>
        <w:adjustRightInd w:val="0"/>
        <w:spacing w:after="0" w:line="240" w:lineRule="auto"/>
        <w:ind w:left="180" w:hanging="163"/>
        <w:jc w:val="both"/>
        <w:rPr>
          <w:rFonts w:ascii="Adobe نسخ Medium" w:hAnsi="Adobe نسخ Medium" w:cs="Adobe نسخ Medium"/>
          <w:sz w:val="32"/>
          <w:szCs w:val="32"/>
          <w:rtl/>
        </w:rPr>
      </w:pPr>
      <w:r w:rsidRPr="007E25E5">
        <w:rPr>
          <w:rFonts w:ascii="Adobe نسخ Medium" w:hAnsi="Adobe نسخ Medium" w:cs="Traditional Arabic"/>
          <w:sz w:val="32"/>
          <w:szCs w:val="32"/>
          <w:rtl/>
        </w:rPr>
        <w:t>استخراج مثل حكم المدْكور لما لم يدْكر بجامع بينهما</w:t>
      </w:r>
      <w:r w:rsidRPr="00953982">
        <w:rPr>
          <w:rFonts w:ascii="Adobe نسخ Medium" w:hAnsi="Adobe نسخ Medium" w:cs="Adobe نسخ Medium"/>
          <w:sz w:val="32"/>
          <w:szCs w:val="32"/>
          <w:rtl/>
        </w:rPr>
        <w:t>.</w:t>
      </w:r>
      <w:r w:rsidRPr="00953982">
        <w:rPr>
          <w:rStyle w:val="FootnoteReference"/>
          <w:rFonts w:ascii="Adobe نسخ Medium" w:hAnsi="Adobe نسخ Medium" w:cs="Adobe نسخ Medium"/>
          <w:sz w:val="32"/>
          <w:szCs w:val="32"/>
          <w:rtl/>
        </w:rPr>
        <w:footnoteReference w:id="261"/>
      </w:r>
    </w:p>
    <w:p w:rsidR="00343B61" w:rsidRPr="00910CE3" w:rsidRDefault="00343B61" w:rsidP="00343B61">
      <w:pPr>
        <w:pStyle w:val="ListParagraph"/>
        <w:autoSpaceDE w:val="0"/>
        <w:autoSpaceDN w:val="0"/>
        <w:adjustRightInd w:val="0"/>
        <w:spacing w:after="0" w:line="240" w:lineRule="auto"/>
        <w:ind w:left="1170"/>
        <w:jc w:val="both"/>
        <w:rPr>
          <w:rFonts w:asciiTheme="majorBidi" w:hAnsiTheme="majorBidi" w:cstheme="majorBidi"/>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“Upaya mengeluarkan hukum atas sesuatu yang belum ada hukumnya sebanding dengan sesuatu yang telah ada hukumnya dengan memperhatikan kesamaan ‘illat antara keduanya”</w:t>
      </w:r>
      <w:r w:rsidRPr="00910CE3">
        <w:rPr>
          <w:rFonts w:asciiTheme="majorBidi" w:hAnsiTheme="majorBidi" w:cstheme="majorBidi"/>
          <w:sz w:val="24"/>
          <w:szCs w:val="24"/>
        </w:rPr>
        <w:t xml:space="preserve">. </w:t>
      </w:r>
    </w:p>
    <w:p w:rsidR="00343B61" w:rsidRPr="00910CE3" w:rsidRDefault="00343B61" w:rsidP="00343B61">
      <w:pPr>
        <w:pStyle w:val="ListParagraph"/>
        <w:autoSpaceDE w:val="0"/>
        <w:autoSpaceDN w:val="0"/>
        <w:adjustRightInd w:val="0"/>
        <w:spacing w:after="0" w:line="360" w:lineRule="auto"/>
        <w:jc w:val="both"/>
        <w:rPr>
          <w:rFonts w:asciiTheme="majorBidi" w:hAnsiTheme="majorBidi" w:cstheme="majorBidi"/>
          <w:i/>
          <w:iCs/>
          <w:sz w:val="24"/>
          <w:szCs w:val="24"/>
        </w:rPr>
      </w:pPr>
    </w:p>
    <w:p w:rsidR="00343B61" w:rsidRPr="00910CE3" w:rsidRDefault="00343B61" w:rsidP="00343B61">
      <w:pPr>
        <w:autoSpaceDE w:val="0"/>
        <w:autoSpaceDN w:val="0"/>
        <w:adjustRightInd w:val="0"/>
        <w:spacing w:after="0" w:line="360" w:lineRule="auto"/>
        <w:ind w:left="360" w:firstLine="720"/>
        <w:jc w:val="both"/>
        <w:rPr>
          <w:rFonts w:ascii="Times New Roman" w:hAnsi="Times New Roman" w:cs="Times New Roman"/>
          <w:sz w:val="24"/>
          <w:szCs w:val="24"/>
        </w:rPr>
      </w:pPr>
      <w:r w:rsidRPr="00910CE3">
        <w:rPr>
          <w:rFonts w:asciiTheme="majorBidi" w:hAnsiTheme="majorBidi" w:cstheme="majorBidi"/>
          <w:sz w:val="24"/>
          <w:szCs w:val="24"/>
        </w:rPr>
        <w:t>Menurut ‘Abd al-</w:t>
      </w:r>
      <w:r w:rsidRPr="00910CE3">
        <w:rPr>
          <w:rFonts w:ascii="Times New Roman" w:hAnsi="Times New Roman" w:cs="Times New Roman"/>
          <w:sz w:val="24"/>
          <w:szCs w:val="24"/>
        </w:rPr>
        <w:t xml:space="preserve"> Hak</w:t>
      </w:r>
      <w:r w:rsidRPr="0082707B">
        <w:rPr>
          <w:rFonts w:asciiTheme="majorBidi" w:hAnsiTheme="majorBidi" w:cstheme="majorBidi"/>
          <w:sz w:val="24"/>
          <w:szCs w:val="24"/>
        </w:rPr>
        <w:t>ī</w:t>
      </w:r>
      <w:r w:rsidRPr="00910CE3">
        <w:rPr>
          <w:rFonts w:ascii="Times New Roman" w:hAnsi="Times New Roman" w:cs="Times New Roman"/>
          <w:sz w:val="24"/>
          <w:szCs w:val="24"/>
        </w:rPr>
        <w:t>m ‘Abd al-</w:t>
      </w:r>
      <w:r>
        <w:rPr>
          <w:rFonts w:ascii="Times New Roman" w:hAnsi="Times New Roman" w:cs="Times New Roman"/>
          <w:sz w:val="24"/>
          <w:szCs w:val="24"/>
        </w:rPr>
        <w:t>Rahma</w:t>
      </w:r>
      <w:r w:rsidRPr="00910CE3">
        <w:rPr>
          <w:rFonts w:ascii="Times New Roman" w:hAnsi="Times New Roman" w:cs="Times New Roman"/>
          <w:sz w:val="24"/>
          <w:szCs w:val="24"/>
        </w:rPr>
        <w:t xml:space="preserve">n al-Sa‘di, definisi </w:t>
      </w:r>
      <w:r w:rsidRPr="00910CE3">
        <w:rPr>
          <w:rFonts w:ascii="Times New Roman" w:hAnsi="Times New Roman" w:cs="Times New Roman"/>
          <w:i/>
          <w:iCs/>
          <w:sz w:val="24"/>
          <w:szCs w:val="24"/>
        </w:rPr>
        <w:t>al-</w:t>
      </w:r>
      <w:r w:rsidRPr="003A2EE2">
        <w:rPr>
          <w:rFonts w:asciiTheme="majorBidi" w:hAnsiTheme="majorBidi" w:cstheme="majorBidi"/>
          <w:i/>
          <w:iCs/>
          <w:sz w:val="24"/>
          <w:szCs w:val="24"/>
        </w:rPr>
        <w:t xml:space="preserve"> </w:t>
      </w:r>
      <w:r w:rsidRPr="00910CE3">
        <w:rPr>
          <w:rFonts w:asciiTheme="majorBidi" w:hAnsiTheme="majorBidi" w:cstheme="majorBidi"/>
          <w:i/>
          <w:iCs/>
          <w:sz w:val="24"/>
          <w:szCs w:val="24"/>
        </w:rPr>
        <w:t>qiyās</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yang paling tepat adalah yang dikemukakan oleh al-Baidawi, yakni :</w:t>
      </w:r>
    </w:p>
    <w:p w:rsidR="00343B61" w:rsidRPr="00953982" w:rsidRDefault="00343B61" w:rsidP="00343B61">
      <w:pPr>
        <w:autoSpaceDE w:val="0"/>
        <w:autoSpaceDN w:val="0"/>
        <w:bidi/>
        <w:adjustRightInd w:val="0"/>
        <w:spacing w:after="0" w:line="240" w:lineRule="auto"/>
        <w:rPr>
          <w:rFonts w:ascii="Adobe نسخ Medium" w:hAnsi="Adobe نسخ Medium" w:cs="Adobe نسخ Medium"/>
          <w:sz w:val="32"/>
          <w:szCs w:val="32"/>
        </w:rPr>
      </w:pPr>
      <w:r w:rsidRPr="007E25E5">
        <w:rPr>
          <w:rFonts w:ascii="Adobe نسخ Medium" w:hAnsi="Adobe نسخ Medium" w:cs="Traditional Arabic"/>
          <w:sz w:val="32"/>
          <w:szCs w:val="32"/>
          <w:rtl/>
        </w:rPr>
        <w:t>إثبات</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مثل</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حكم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معلوم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فى</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معلوم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أخر</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لاشتراكهما</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في</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علة</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الحكم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عند</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المثبت</w:t>
      </w:r>
      <w:r w:rsidRPr="00953982">
        <w:rPr>
          <w:rFonts w:ascii="Adobe نسخ Medium" w:hAnsi="Adobe نسخ Medium" w:cs="Adobe نسخ Medium"/>
          <w:sz w:val="32"/>
          <w:szCs w:val="32"/>
          <w:rtl/>
        </w:rPr>
        <w:t xml:space="preserve"> </w:t>
      </w:r>
      <w:r w:rsidRPr="00953982">
        <w:rPr>
          <w:rStyle w:val="FootnoteReference"/>
          <w:rFonts w:ascii="Adobe نسخ Medium" w:hAnsi="Adobe نسخ Medium" w:cs="Adobe نسخ Medium"/>
          <w:sz w:val="32"/>
          <w:szCs w:val="32"/>
          <w:rtl/>
        </w:rPr>
        <w:footnoteReference w:id="262"/>
      </w:r>
    </w:p>
    <w:p w:rsidR="00343B61" w:rsidRPr="00910CE3" w:rsidRDefault="00343B61" w:rsidP="00343B61">
      <w:pPr>
        <w:autoSpaceDE w:val="0"/>
        <w:autoSpaceDN w:val="0"/>
        <w:bidi/>
        <w:adjustRightInd w:val="0"/>
        <w:spacing w:after="0" w:line="240" w:lineRule="auto"/>
        <w:rPr>
          <w:rFonts w:ascii="Times New Roman" w:hAnsi="Times New Roman" w:cs="Times New Roman"/>
          <w:sz w:val="13"/>
          <w:szCs w:val="13"/>
        </w:rPr>
      </w:pPr>
      <w:r w:rsidRPr="00910CE3">
        <w:rPr>
          <w:rFonts w:ascii="TraditionalArabic" w:hAnsi="Times New Roman" w:cs="TraditionalArabic"/>
          <w:sz w:val="32"/>
          <w:szCs w:val="32"/>
        </w:rPr>
        <w:t xml:space="preserve">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w:t>
      </w:r>
      <w:r w:rsidRPr="00910CE3">
        <w:rPr>
          <w:rFonts w:ascii="Times New Roman" w:hAnsi="Times New Roman" w:cs="Times New Roman"/>
          <w:i/>
          <w:iCs/>
          <w:sz w:val="24"/>
          <w:szCs w:val="24"/>
        </w:rPr>
        <w:t xml:space="preserve">Menetapkan hukum serupa dari suatu obyek atas obyek lain karena adanya kesamaan keduanya pada </w:t>
      </w:r>
      <w:r w:rsidRPr="00910CE3">
        <w:rPr>
          <w:rFonts w:ascii="Times New Roman" w:hAnsi="Times New Roman" w:cs="Times New Roman"/>
          <w:sz w:val="24"/>
          <w:szCs w:val="24"/>
        </w:rPr>
        <w:t>‘</w:t>
      </w:r>
      <w:r w:rsidRPr="00910CE3">
        <w:rPr>
          <w:rFonts w:ascii="Times New Roman" w:hAnsi="Times New Roman" w:cs="Times New Roman"/>
          <w:i/>
          <w:iCs/>
          <w:sz w:val="24"/>
          <w:szCs w:val="24"/>
        </w:rPr>
        <w:t>illat al-hukm menurut mujtahid</w:t>
      </w:r>
      <w:r w:rsidRPr="00910CE3">
        <w:rPr>
          <w:rFonts w:ascii="Times New Roman" w:hAnsi="Times New Roman" w:cs="Times New Roman"/>
          <w:sz w:val="24"/>
          <w:szCs w:val="24"/>
        </w:rPr>
        <w:t>”.</w:t>
      </w:r>
    </w:p>
    <w:p w:rsidR="00343B61" w:rsidRPr="00910CE3" w:rsidRDefault="00343B61" w:rsidP="00343B61">
      <w:pPr>
        <w:autoSpaceDE w:val="0"/>
        <w:autoSpaceDN w:val="0"/>
        <w:adjustRightInd w:val="0"/>
        <w:spacing w:after="0" w:line="360" w:lineRule="auto"/>
        <w:jc w:val="both"/>
        <w:rPr>
          <w:rFonts w:asciiTheme="majorBidi" w:hAnsiTheme="majorBidi" w:cstheme="majorBidi"/>
          <w:i/>
          <w:iCs/>
          <w:sz w:val="24"/>
          <w:szCs w:val="24"/>
        </w:rPr>
      </w:pPr>
    </w:p>
    <w:p w:rsidR="00343B61" w:rsidRPr="00880CF4" w:rsidRDefault="00343B61" w:rsidP="00343B61">
      <w:pPr>
        <w:pStyle w:val="ListParagraph"/>
        <w:autoSpaceDE w:val="0"/>
        <w:autoSpaceDN w:val="0"/>
        <w:adjustRightInd w:val="0"/>
        <w:spacing w:after="0" w:line="360" w:lineRule="auto"/>
        <w:ind w:left="450" w:firstLine="630"/>
        <w:jc w:val="both"/>
        <w:rPr>
          <w:rFonts w:asciiTheme="majorBidi" w:hAnsiTheme="majorBidi" w:cstheme="majorBidi"/>
          <w:sz w:val="24"/>
          <w:szCs w:val="24"/>
        </w:rPr>
      </w:pPr>
      <w:r w:rsidRPr="00880CF4">
        <w:rPr>
          <w:rFonts w:asciiTheme="majorBidi" w:hAnsiTheme="majorBidi" w:cstheme="majorBidi"/>
          <w:sz w:val="24"/>
          <w:szCs w:val="24"/>
        </w:rPr>
        <w:t xml:space="preserve">Al-Husaini mendefinisikan </w:t>
      </w:r>
      <w:r w:rsidRPr="00880CF4">
        <w:rPr>
          <w:rFonts w:asciiTheme="majorBidi" w:hAnsiTheme="majorBidi" w:cstheme="majorBidi"/>
          <w:i/>
          <w:iCs/>
          <w:sz w:val="24"/>
          <w:szCs w:val="24"/>
        </w:rPr>
        <w:t>Qiyās</w:t>
      </w:r>
      <w:r w:rsidRPr="00880CF4">
        <w:rPr>
          <w:rFonts w:asciiTheme="majorBidi" w:hAnsiTheme="majorBidi" w:cstheme="majorBidi"/>
          <w:sz w:val="24"/>
          <w:szCs w:val="24"/>
        </w:rPr>
        <w:t xml:space="preserve"> dengan menerapkan hukum yang terdapat pada </w:t>
      </w:r>
      <w:r w:rsidRPr="00880CF4">
        <w:rPr>
          <w:rFonts w:asciiTheme="majorBidi" w:hAnsiTheme="majorBidi" w:cstheme="majorBidi"/>
          <w:i/>
          <w:iCs/>
          <w:sz w:val="24"/>
          <w:szCs w:val="24"/>
        </w:rPr>
        <w:t>ashl</w:t>
      </w:r>
      <w:r w:rsidRPr="00880CF4">
        <w:rPr>
          <w:rFonts w:asciiTheme="majorBidi" w:hAnsiTheme="majorBidi" w:cstheme="majorBidi"/>
          <w:sz w:val="24"/>
          <w:szCs w:val="24"/>
        </w:rPr>
        <w:t xml:space="preserve">( pokok) kepada </w:t>
      </w:r>
      <w:r w:rsidRPr="00880CF4">
        <w:rPr>
          <w:rFonts w:asciiTheme="majorBidi" w:hAnsiTheme="majorBidi" w:cstheme="majorBidi"/>
          <w:i/>
          <w:iCs/>
          <w:sz w:val="24"/>
          <w:szCs w:val="24"/>
        </w:rPr>
        <w:t>far</w:t>
      </w:r>
      <w:r w:rsidRPr="00880CF4">
        <w:rPr>
          <w:sz w:val="24"/>
          <w:szCs w:val="24"/>
        </w:rPr>
        <w:t>‘</w:t>
      </w:r>
      <w:r w:rsidRPr="00880CF4">
        <w:rPr>
          <w:rFonts w:asciiTheme="majorBidi" w:hAnsiTheme="majorBidi" w:cstheme="majorBidi"/>
          <w:i/>
          <w:iCs/>
          <w:sz w:val="24"/>
          <w:szCs w:val="24"/>
        </w:rPr>
        <w:t xml:space="preserve">u </w:t>
      </w:r>
      <w:r w:rsidRPr="00880CF4">
        <w:rPr>
          <w:rFonts w:asciiTheme="majorBidi" w:hAnsiTheme="majorBidi" w:cstheme="majorBidi"/>
          <w:sz w:val="24"/>
          <w:szCs w:val="24"/>
        </w:rPr>
        <w:t xml:space="preserve">( cabang), karena terdapat kesamaan </w:t>
      </w:r>
      <w:r w:rsidRPr="00880CF4">
        <w:rPr>
          <w:rFonts w:asciiTheme="majorBidi" w:hAnsiTheme="majorBidi" w:cstheme="majorBidi"/>
          <w:i/>
          <w:iCs/>
          <w:sz w:val="24"/>
          <w:szCs w:val="24"/>
        </w:rPr>
        <w:t>‘illat</w:t>
      </w:r>
      <w:r>
        <w:rPr>
          <w:rFonts w:asciiTheme="majorBidi" w:hAnsiTheme="majorBidi" w:cstheme="majorBidi"/>
          <w:sz w:val="24"/>
          <w:szCs w:val="24"/>
        </w:rPr>
        <w:t xml:space="preserve"> </w:t>
      </w:r>
      <w:r w:rsidRPr="00880CF4">
        <w:rPr>
          <w:rFonts w:asciiTheme="majorBidi" w:hAnsiTheme="majorBidi" w:cstheme="majorBidi"/>
          <w:sz w:val="24"/>
          <w:szCs w:val="24"/>
        </w:rPr>
        <w:t>hukum antara keduanya”.</w:t>
      </w:r>
      <w:r w:rsidRPr="00880CF4">
        <w:rPr>
          <w:rStyle w:val="FootnoteReference"/>
          <w:rFonts w:asciiTheme="majorBidi" w:hAnsiTheme="majorBidi" w:cstheme="majorBidi"/>
          <w:sz w:val="24"/>
          <w:szCs w:val="24"/>
        </w:rPr>
        <w:footnoteReference w:id="263"/>
      </w:r>
      <w:r>
        <w:rPr>
          <w:rFonts w:asciiTheme="majorBidi" w:hAnsiTheme="majorBidi" w:cstheme="majorBidi"/>
          <w:sz w:val="24"/>
          <w:szCs w:val="24"/>
        </w:rPr>
        <w:t xml:space="preserve"> Dengan </w:t>
      </w:r>
      <w:r w:rsidRPr="00880CF4">
        <w:rPr>
          <w:rFonts w:asciiTheme="majorBidi" w:hAnsiTheme="majorBidi" w:cstheme="majorBidi"/>
          <w:sz w:val="24"/>
          <w:szCs w:val="24"/>
        </w:rPr>
        <w:t xml:space="preserve">ungkapan lain, </w:t>
      </w:r>
      <w:r w:rsidRPr="00880CF4">
        <w:rPr>
          <w:rFonts w:asciiTheme="majorBidi" w:hAnsiTheme="majorBidi" w:cstheme="majorBidi"/>
          <w:i/>
          <w:iCs/>
          <w:sz w:val="24"/>
          <w:szCs w:val="24"/>
        </w:rPr>
        <w:t>Qiyās</w:t>
      </w:r>
      <w:r w:rsidRPr="00880CF4">
        <w:rPr>
          <w:rFonts w:asciiTheme="majorBidi" w:hAnsiTheme="majorBidi" w:cstheme="majorBidi"/>
          <w:sz w:val="24"/>
          <w:szCs w:val="24"/>
        </w:rPr>
        <w:t xml:space="preserve"> mempersamakan suatu masalah yang hukumnya tidak disebutkan dalam </w:t>
      </w:r>
      <w:r w:rsidRPr="00880CF4">
        <w:rPr>
          <w:rFonts w:asciiTheme="majorBidi" w:hAnsiTheme="majorBidi" w:cstheme="majorBidi"/>
          <w:i/>
          <w:iCs/>
          <w:sz w:val="24"/>
          <w:szCs w:val="24"/>
        </w:rPr>
        <w:t>nash</w:t>
      </w:r>
      <w:r w:rsidRPr="00880CF4">
        <w:rPr>
          <w:rFonts w:asciiTheme="majorBidi" w:hAnsiTheme="majorBidi" w:cstheme="majorBidi"/>
          <w:sz w:val="24"/>
          <w:szCs w:val="24"/>
        </w:rPr>
        <w:t xml:space="preserve"> dengan sutau masalah yang ada penjelasan hukumnya dalam </w:t>
      </w:r>
      <w:r w:rsidRPr="00880CF4">
        <w:rPr>
          <w:rFonts w:asciiTheme="majorBidi" w:hAnsiTheme="majorBidi" w:cstheme="majorBidi"/>
          <w:i/>
          <w:iCs/>
          <w:sz w:val="24"/>
          <w:szCs w:val="24"/>
        </w:rPr>
        <w:t>nash</w:t>
      </w:r>
      <w:r w:rsidRPr="00880CF4">
        <w:rPr>
          <w:rFonts w:asciiTheme="majorBidi" w:hAnsiTheme="majorBidi" w:cstheme="majorBidi"/>
          <w:sz w:val="24"/>
          <w:szCs w:val="24"/>
        </w:rPr>
        <w:t xml:space="preserve">, karena persamaan </w:t>
      </w:r>
      <w:r w:rsidRPr="00880CF4">
        <w:rPr>
          <w:rFonts w:asciiTheme="majorBidi" w:hAnsiTheme="majorBidi" w:cstheme="majorBidi"/>
          <w:i/>
          <w:iCs/>
          <w:sz w:val="24"/>
          <w:szCs w:val="24"/>
        </w:rPr>
        <w:t>‘illat</w:t>
      </w:r>
      <w:r w:rsidRPr="00880CF4">
        <w:rPr>
          <w:rFonts w:asciiTheme="majorBidi" w:hAnsiTheme="majorBidi" w:cstheme="majorBidi"/>
          <w:sz w:val="24"/>
          <w:szCs w:val="24"/>
        </w:rPr>
        <w:t xml:space="preserve"> hukum pada keduanya. </w:t>
      </w: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i/>
          <w:iCs/>
          <w:sz w:val="24"/>
          <w:szCs w:val="24"/>
        </w:rPr>
      </w:pPr>
      <w:r w:rsidRPr="00910CE3">
        <w:rPr>
          <w:rFonts w:ascii="Times New Roman" w:hAnsi="Times New Roman" w:cs="Times New Roman"/>
          <w:sz w:val="24"/>
          <w:szCs w:val="24"/>
        </w:rPr>
        <w:t xml:space="preserve">Suatu aplikasi </w:t>
      </w:r>
      <w:r w:rsidRPr="00910CE3">
        <w:rPr>
          <w:rFonts w:ascii="Times New Roman" w:hAnsi="Times New Roman" w:cs="Times New Roman"/>
          <w:i/>
          <w:iCs/>
          <w:sz w:val="24"/>
          <w:szCs w:val="24"/>
        </w:rPr>
        <w:t>al-qiy</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 xml:space="preserve">s </w:t>
      </w:r>
      <w:r w:rsidRPr="00910CE3">
        <w:rPr>
          <w:rFonts w:ascii="Times New Roman" w:hAnsi="Times New Roman" w:cs="Times New Roman"/>
          <w:sz w:val="24"/>
          <w:szCs w:val="24"/>
        </w:rPr>
        <w:t>dikualifikasi valid (</w:t>
      </w:r>
      <w:r w:rsidRPr="00910CE3">
        <w:rPr>
          <w:rFonts w:ascii="Times New Roman" w:hAnsi="Times New Roman" w:cs="Times New Roman"/>
          <w:i/>
          <w:iCs/>
          <w:sz w:val="24"/>
          <w:szCs w:val="24"/>
        </w:rPr>
        <w:t>sah</w:t>
      </w:r>
      <w:r w:rsidRPr="00D12D05">
        <w:rPr>
          <w:rFonts w:asciiTheme="majorBidi" w:hAnsiTheme="majorBidi" w:cstheme="majorBidi"/>
          <w:i/>
          <w:iCs/>
          <w:sz w:val="20"/>
          <w:szCs w:val="20"/>
        </w:rPr>
        <w:t>ī</w:t>
      </w:r>
      <w:r w:rsidRPr="00910CE3">
        <w:rPr>
          <w:rFonts w:ascii="Times New Roman" w:hAnsi="Times New Roman" w:cs="Times New Roman"/>
          <w:i/>
          <w:iCs/>
          <w:sz w:val="24"/>
          <w:szCs w:val="24"/>
        </w:rPr>
        <w:t>h</w:t>
      </w:r>
      <w:r w:rsidRPr="00910CE3">
        <w:rPr>
          <w:rFonts w:ascii="Times New Roman" w:hAnsi="Times New Roman" w:cs="Times New Roman"/>
          <w:sz w:val="24"/>
          <w:szCs w:val="24"/>
        </w:rPr>
        <w:t xml:space="preserve">) apabila memenuhi 4 (empat) unsur-yang kemudian dikenal dengan </w:t>
      </w:r>
      <w:r w:rsidRPr="00910CE3">
        <w:rPr>
          <w:rFonts w:ascii="Times New Roman" w:hAnsi="Times New Roman" w:cs="Times New Roman"/>
          <w:i/>
          <w:iCs/>
          <w:sz w:val="24"/>
          <w:szCs w:val="24"/>
        </w:rPr>
        <w:t>arkân al-qiy</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s</w:t>
      </w:r>
      <w:r w:rsidRPr="00910CE3">
        <w:rPr>
          <w:rFonts w:ascii="Times New Roman" w:hAnsi="Times New Roman" w:cs="Times New Roman"/>
          <w:sz w:val="24"/>
          <w:szCs w:val="24"/>
        </w:rPr>
        <w:t xml:space="preserve">. Ini meliputi (a) </w:t>
      </w:r>
      <w:r w:rsidRPr="00910CE3">
        <w:rPr>
          <w:rFonts w:ascii="Times New Roman" w:hAnsi="Times New Roman" w:cs="Times New Roman"/>
          <w:i/>
          <w:iCs/>
          <w:sz w:val="24"/>
          <w:szCs w:val="24"/>
        </w:rPr>
        <w:t>al-asl</w:t>
      </w:r>
      <w:r w:rsidRPr="00910CE3">
        <w:rPr>
          <w:rFonts w:ascii="Times New Roman" w:hAnsi="Times New Roman" w:cs="Times New Roman"/>
          <w:sz w:val="24"/>
          <w:szCs w:val="24"/>
        </w:rPr>
        <w:t xml:space="preserve">, (d) </w:t>
      </w:r>
      <w:r w:rsidRPr="00910CE3">
        <w:rPr>
          <w:rFonts w:ascii="Times New Roman" w:hAnsi="Times New Roman" w:cs="Times New Roman"/>
          <w:i/>
          <w:iCs/>
          <w:sz w:val="24"/>
          <w:szCs w:val="24"/>
        </w:rPr>
        <w:t>al-far</w:t>
      </w:r>
      <w:r>
        <w:rPr>
          <w:rFonts w:ascii="Times New Roman" w:hAnsi="Times New Roman" w:cs="Times New Roman"/>
          <w:i/>
          <w:iCs/>
          <w:sz w:val="24"/>
          <w:szCs w:val="24"/>
        </w:rPr>
        <w:t>u</w:t>
      </w:r>
      <w:r w:rsidRPr="00910CE3">
        <w:rPr>
          <w:rFonts w:ascii="Times New Roman" w:hAnsi="Times New Roman" w:cs="Times New Roman"/>
          <w:i/>
          <w:iCs/>
          <w:sz w:val="24"/>
          <w:szCs w:val="24"/>
        </w:rPr>
        <w:t>‘</w:t>
      </w:r>
      <w:r w:rsidRPr="00910CE3">
        <w:rPr>
          <w:rFonts w:ascii="Times New Roman" w:hAnsi="Times New Roman" w:cs="Times New Roman"/>
          <w:sz w:val="24"/>
          <w:szCs w:val="24"/>
        </w:rPr>
        <w:t xml:space="preserve">, (c) </w:t>
      </w:r>
      <w:r w:rsidRPr="00910CE3">
        <w:rPr>
          <w:rFonts w:ascii="Times New Roman" w:hAnsi="Times New Roman" w:cs="Times New Roman"/>
          <w:i/>
          <w:iCs/>
          <w:sz w:val="24"/>
          <w:szCs w:val="24"/>
        </w:rPr>
        <w:t>‘illat hukm al-asl</w:t>
      </w:r>
      <w:r w:rsidRPr="00910CE3">
        <w:rPr>
          <w:rFonts w:ascii="Times New Roman" w:hAnsi="Times New Roman" w:cs="Times New Roman"/>
          <w:sz w:val="24"/>
          <w:szCs w:val="24"/>
        </w:rPr>
        <w:t xml:space="preserve">, dan (d) </w:t>
      </w:r>
      <w:r w:rsidRPr="00910CE3">
        <w:rPr>
          <w:rFonts w:ascii="Times New Roman" w:hAnsi="Times New Roman" w:cs="Times New Roman"/>
          <w:i/>
          <w:iCs/>
          <w:sz w:val="24"/>
          <w:szCs w:val="24"/>
        </w:rPr>
        <w:t>hukm al-asl</w:t>
      </w:r>
      <w:r w:rsidRPr="00910CE3">
        <w:rPr>
          <w:rFonts w:ascii="Times New Roman" w:hAnsi="Times New Roman" w:cs="Times New Roman"/>
          <w:sz w:val="24"/>
          <w:szCs w:val="24"/>
        </w:rPr>
        <w:t>.</w:t>
      </w:r>
      <w:r w:rsidRPr="00910CE3">
        <w:rPr>
          <w:rStyle w:val="FootnoteReference"/>
          <w:rFonts w:ascii="Times New Roman" w:hAnsi="Times New Roman" w:cs="Times New Roman"/>
          <w:sz w:val="24"/>
          <w:szCs w:val="24"/>
        </w:rPr>
        <w:footnoteReference w:id="264"/>
      </w:r>
      <w:r w:rsidRPr="00910CE3">
        <w:rPr>
          <w:rFonts w:ascii="Times New Roman" w:hAnsi="Times New Roman" w:cs="Times New Roman"/>
          <w:sz w:val="24"/>
          <w:szCs w:val="24"/>
        </w:rPr>
        <w:t xml:space="preserve"> Yang dimaksud </w:t>
      </w:r>
      <w:r w:rsidRPr="00910CE3">
        <w:rPr>
          <w:rFonts w:ascii="Times New Roman" w:hAnsi="Times New Roman" w:cs="Times New Roman"/>
          <w:i/>
          <w:iCs/>
          <w:sz w:val="24"/>
          <w:szCs w:val="24"/>
        </w:rPr>
        <w:t xml:space="preserve">al-asl </w:t>
      </w:r>
      <w:r w:rsidRPr="00910CE3">
        <w:rPr>
          <w:rFonts w:ascii="Times New Roman" w:hAnsi="Times New Roman" w:cs="Times New Roman"/>
          <w:sz w:val="24"/>
          <w:szCs w:val="24"/>
        </w:rPr>
        <w:t xml:space="preserve">ialah obyek yang dikenai hukum oleh </w:t>
      </w:r>
      <w:r w:rsidRPr="00910CE3">
        <w:rPr>
          <w:rFonts w:ascii="Times New Roman" w:hAnsi="Times New Roman" w:cs="Times New Roman"/>
          <w:i/>
          <w:iCs/>
          <w:sz w:val="24"/>
          <w:szCs w:val="24"/>
        </w:rPr>
        <w:t xml:space="preserve">nass </w:t>
      </w:r>
      <w:r w:rsidRPr="00910CE3">
        <w:rPr>
          <w:rFonts w:ascii="Times New Roman" w:hAnsi="Times New Roman" w:cs="Times New Roman"/>
          <w:sz w:val="24"/>
          <w:szCs w:val="24"/>
        </w:rPr>
        <w:t xml:space="preserve">atau </w:t>
      </w:r>
      <w:r w:rsidRPr="00910CE3">
        <w:rPr>
          <w:rFonts w:ascii="Times New Roman" w:hAnsi="Times New Roman" w:cs="Times New Roman"/>
          <w:i/>
          <w:iCs/>
          <w:sz w:val="24"/>
          <w:szCs w:val="24"/>
        </w:rPr>
        <w:t>Ijm</w:t>
      </w:r>
      <w:r>
        <w:rPr>
          <w:rFonts w:ascii="Times New Roman" w:hAnsi="Times New Roman" w:cs="Times New Roman"/>
          <w:i/>
          <w:iCs/>
          <w:sz w:val="24"/>
          <w:szCs w:val="24"/>
        </w:rPr>
        <w:t>a</w:t>
      </w:r>
      <w:r w:rsidRPr="00910CE3">
        <w:rPr>
          <w:rFonts w:ascii="Times New Roman" w:hAnsi="Times New Roman" w:cs="Times New Roman"/>
          <w:i/>
          <w:iCs/>
          <w:sz w:val="24"/>
          <w:szCs w:val="24"/>
        </w:rPr>
        <w:t>‘ al-‘ulam</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w:t>
      </w:r>
      <w:r w:rsidRPr="00910CE3">
        <w:rPr>
          <w:rFonts w:ascii="Times New Roman" w:hAnsi="Times New Roman" w:cs="Times New Roman"/>
          <w:sz w:val="24"/>
          <w:szCs w:val="24"/>
        </w:rPr>
        <w:t xml:space="preserve">. Adapun </w:t>
      </w:r>
      <w:r w:rsidRPr="00910CE3">
        <w:rPr>
          <w:rFonts w:ascii="Times New Roman" w:hAnsi="Times New Roman" w:cs="Times New Roman"/>
          <w:i/>
          <w:iCs/>
          <w:sz w:val="24"/>
          <w:szCs w:val="24"/>
        </w:rPr>
        <w:t xml:space="preserve">al-far‘ </w:t>
      </w:r>
      <w:r w:rsidRPr="00910CE3">
        <w:rPr>
          <w:rFonts w:ascii="Times New Roman" w:hAnsi="Times New Roman" w:cs="Times New Roman"/>
          <w:sz w:val="24"/>
          <w:szCs w:val="24"/>
        </w:rPr>
        <w:t xml:space="preserve">adalah obyek kasus yang hendak dicari hukumnya </w:t>
      </w:r>
      <w:r w:rsidRPr="00910CE3">
        <w:rPr>
          <w:rFonts w:ascii="Times New Roman" w:hAnsi="Times New Roman" w:cs="Times New Roman"/>
          <w:sz w:val="24"/>
          <w:szCs w:val="24"/>
        </w:rPr>
        <w:lastRenderedPageBreak/>
        <w:t xml:space="preserve">melalui analogi terhadap obyek yang dinyatakan oleh </w:t>
      </w:r>
      <w:r w:rsidRPr="002A370D">
        <w:rPr>
          <w:rFonts w:ascii="Times New Roman" w:hAnsi="Times New Roman" w:cs="Times New Roman"/>
          <w:sz w:val="24"/>
          <w:szCs w:val="24"/>
        </w:rPr>
        <w:t>nash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atau </w:t>
      </w:r>
      <w:r>
        <w:rPr>
          <w:rFonts w:ascii="Times New Roman" w:hAnsi="Times New Roman" w:cs="Times New Roman"/>
          <w:i/>
          <w:iCs/>
          <w:sz w:val="24"/>
          <w:szCs w:val="24"/>
        </w:rPr>
        <w:t>al-ijma</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w:t>
      </w:r>
      <w:r w:rsidRPr="00910CE3">
        <w:rPr>
          <w:rFonts w:ascii="Times New Roman" w:hAnsi="Times New Roman" w:cs="Times New Roman"/>
          <w:i/>
          <w:iCs/>
          <w:sz w:val="24"/>
          <w:szCs w:val="24"/>
        </w:rPr>
        <w:t>al-asl</w:t>
      </w:r>
      <w:r w:rsidRPr="00910CE3">
        <w:rPr>
          <w:rFonts w:ascii="Times New Roman" w:hAnsi="Times New Roman" w:cs="Times New Roman"/>
          <w:sz w:val="24"/>
          <w:szCs w:val="24"/>
        </w:rPr>
        <w:t xml:space="preserve">). Yang dimaksud </w:t>
      </w:r>
      <w:r w:rsidRPr="00910CE3">
        <w:rPr>
          <w:rFonts w:ascii="Times New Roman" w:hAnsi="Times New Roman" w:cs="Times New Roman"/>
          <w:i/>
          <w:iCs/>
          <w:sz w:val="24"/>
          <w:szCs w:val="24"/>
        </w:rPr>
        <w:t xml:space="preserve">‘illat </w:t>
      </w:r>
      <w:r w:rsidRPr="002A370D">
        <w:rPr>
          <w:rFonts w:ascii="Times New Roman" w:hAnsi="Times New Roman" w:cs="Times New Roman"/>
          <w:sz w:val="24"/>
          <w:szCs w:val="24"/>
        </w:rPr>
        <w:t>hukum</w:t>
      </w:r>
      <w:r>
        <w:rPr>
          <w:rFonts w:ascii="Times New Roman" w:hAnsi="Times New Roman" w:cs="Times New Roman"/>
          <w:i/>
          <w:iCs/>
          <w:sz w:val="24"/>
          <w:szCs w:val="24"/>
        </w:rPr>
        <w:t xml:space="preserve"> </w:t>
      </w:r>
      <w:r w:rsidRPr="002A370D">
        <w:rPr>
          <w:rFonts w:ascii="Times New Roman" w:hAnsi="Times New Roman" w:cs="Times New Roman"/>
          <w:sz w:val="24"/>
          <w:szCs w:val="24"/>
        </w:rPr>
        <w:t>asal</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adalah alasan, landasan, dasar pikiran, </w:t>
      </w:r>
      <w:r w:rsidRPr="00910CE3">
        <w:rPr>
          <w:rFonts w:ascii="Times New Roman" w:hAnsi="Times New Roman" w:cs="Times New Roman"/>
          <w:i/>
          <w:iCs/>
          <w:sz w:val="24"/>
          <w:szCs w:val="24"/>
        </w:rPr>
        <w:t xml:space="preserve">ratio-legis </w:t>
      </w:r>
      <w:r w:rsidRPr="00910CE3">
        <w:rPr>
          <w:rFonts w:ascii="Times New Roman" w:hAnsi="Times New Roman" w:cs="Times New Roman"/>
          <w:sz w:val="24"/>
          <w:szCs w:val="24"/>
        </w:rPr>
        <w:t xml:space="preserve">dari ditetapkannya hukum pada obyek kasus yang dinyatakan oleh </w:t>
      </w:r>
      <w:r w:rsidRPr="00910CE3">
        <w:rPr>
          <w:rFonts w:ascii="Times New Roman" w:hAnsi="Times New Roman" w:cs="Times New Roman"/>
          <w:i/>
          <w:iCs/>
          <w:sz w:val="24"/>
          <w:szCs w:val="24"/>
        </w:rPr>
        <w:t xml:space="preserve">nass </w:t>
      </w:r>
      <w:r w:rsidRPr="00910CE3">
        <w:rPr>
          <w:rFonts w:ascii="Times New Roman" w:hAnsi="Times New Roman" w:cs="Times New Roman"/>
          <w:sz w:val="24"/>
          <w:szCs w:val="24"/>
        </w:rPr>
        <w:t xml:space="preserve">atau </w:t>
      </w:r>
      <w:r>
        <w:rPr>
          <w:rFonts w:ascii="Times New Roman" w:hAnsi="Times New Roman" w:cs="Times New Roman"/>
          <w:i/>
          <w:iCs/>
          <w:sz w:val="24"/>
          <w:szCs w:val="24"/>
        </w:rPr>
        <w:t>al-ijma</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itu. Sedangkan </w:t>
      </w:r>
      <w:r w:rsidRPr="00880CF4">
        <w:rPr>
          <w:rFonts w:ascii="Times New Roman" w:hAnsi="Times New Roman" w:cs="Times New Roman"/>
          <w:sz w:val="24"/>
          <w:szCs w:val="24"/>
        </w:rPr>
        <w:t>huk</w:t>
      </w:r>
      <w:r>
        <w:rPr>
          <w:rFonts w:ascii="Times New Roman" w:hAnsi="Times New Roman" w:cs="Times New Roman"/>
          <w:sz w:val="24"/>
          <w:szCs w:val="24"/>
        </w:rPr>
        <w:t>u</w:t>
      </w:r>
      <w:r w:rsidRPr="00880CF4">
        <w:rPr>
          <w:rFonts w:ascii="Times New Roman" w:hAnsi="Times New Roman" w:cs="Times New Roman"/>
          <w:sz w:val="24"/>
          <w:szCs w:val="24"/>
        </w:rPr>
        <w:t>m</w:t>
      </w:r>
      <w:r w:rsidRPr="00910CE3">
        <w:rPr>
          <w:rFonts w:ascii="Times New Roman" w:hAnsi="Times New Roman" w:cs="Times New Roman"/>
          <w:i/>
          <w:iCs/>
          <w:sz w:val="24"/>
          <w:szCs w:val="24"/>
        </w:rPr>
        <w:t xml:space="preserve"> al-asl </w:t>
      </w:r>
      <w:r w:rsidRPr="00910CE3">
        <w:rPr>
          <w:rFonts w:ascii="Times New Roman" w:hAnsi="Times New Roman" w:cs="Times New Roman"/>
          <w:sz w:val="24"/>
          <w:szCs w:val="24"/>
        </w:rPr>
        <w:t xml:space="preserve">adalah hukum pada obyek yang dinyatakan oleh </w:t>
      </w:r>
      <w:r w:rsidRPr="00910CE3">
        <w:rPr>
          <w:rFonts w:ascii="Times New Roman" w:hAnsi="Times New Roman" w:cs="Times New Roman"/>
          <w:i/>
          <w:iCs/>
          <w:sz w:val="24"/>
          <w:szCs w:val="24"/>
        </w:rPr>
        <w:t xml:space="preserve">nass </w:t>
      </w:r>
      <w:r w:rsidRPr="00910CE3">
        <w:rPr>
          <w:rFonts w:ascii="Times New Roman" w:hAnsi="Times New Roman" w:cs="Times New Roman"/>
          <w:sz w:val="24"/>
          <w:szCs w:val="24"/>
        </w:rPr>
        <w:t xml:space="preserve">atau </w:t>
      </w:r>
      <w:r>
        <w:rPr>
          <w:rFonts w:ascii="Times New Roman" w:hAnsi="Times New Roman" w:cs="Times New Roman"/>
          <w:i/>
          <w:iCs/>
          <w:sz w:val="24"/>
          <w:szCs w:val="24"/>
        </w:rPr>
        <w:t>al-ijma</w:t>
      </w:r>
      <w:r w:rsidRPr="00910CE3">
        <w:rPr>
          <w:rFonts w:ascii="Times New Roman" w:hAnsi="Times New Roman" w:cs="Times New Roman"/>
          <w:i/>
          <w:iCs/>
          <w:sz w:val="24"/>
          <w:szCs w:val="24"/>
        </w:rPr>
        <w:t>‘</w:t>
      </w:r>
      <w:r w:rsidRPr="00910CE3">
        <w:rPr>
          <w:rStyle w:val="FootnoteReference"/>
          <w:rFonts w:ascii="Times New Roman" w:hAnsi="Times New Roman" w:cs="Times New Roman"/>
          <w:i/>
          <w:iCs/>
          <w:sz w:val="24"/>
          <w:szCs w:val="24"/>
        </w:rPr>
        <w:footnoteReference w:id="265"/>
      </w:r>
      <w:r w:rsidRPr="00910CE3">
        <w:rPr>
          <w:rFonts w:ascii="Times New Roman" w:hAnsi="Times New Roman" w:cs="Times New Roman"/>
          <w:i/>
          <w:iCs/>
          <w:sz w:val="24"/>
          <w:szCs w:val="24"/>
        </w:rPr>
        <w:t>.</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Dalam proses aplikasi </w:t>
      </w:r>
      <w:r w:rsidRPr="00910CE3">
        <w:rPr>
          <w:rFonts w:ascii="Times New Roman" w:hAnsi="Times New Roman" w:cs="Times New Roman"/>
          <w:i/>
          <w:iCs/>
          <w:sz w:val="24"/>
          <w:szCs w:val="24"/>
        </w:rPr>
        <w:t>al-qiy</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s</w:t>
      </w:r>
      <w:r w:rsidRPr="00910CE3">
        <w:rPr>
          <w:rFonts w:ascii="Times New Roman" w:hAnsi="Times New Roman" w:cs="Times New Roman"/>
          <w:sz w:val="24"/>
          <w:szCs w:val="24"/>
        </w:rPr>
        <w:t xml:space="preserve">, rasionalisasi dan identifikasi </w:t>
      </w:r>
      <w:r w:rsidRPr="00910CE3">
        <w:rPr>
          <w:rFonts w:ascii="Times New Roman" w:hAnsi="Times New Roman" w:cs="Times New Roman"/>
          <w:i/>
          <w:iCs/>
          <w:sz w:val="24"/>
          <w:szCs w:val="24"/>
        </w:rPr>
        <w:t xml:space="preserve">‘illah </w:t>
      </w:r>
      <w:r w:rsidRPr="00910CE3">
        <w:rPr>
          <w:rFonts w:ascii="Times New Roman" w:hAnsi="Times New Roman" w:cs="Times New Roman"/>
          <w:sz w:val="24"/>
          <w:szCs w:val="24"/>
        </w:rPr>
        <w:t>(</w:t>
      </w:r>
      <w:r w:rsidRPr="00910CE3">
        <w:rPr>
          <w:rFonts w:ascii="Times New Roman" w:hAnsi="Times New Roman" w:cs="Times New Roman"/>
          <w:i/>
          <w:iCs/>
          <w:sz w:val="24"/>
          <w:szCs w:val="24"/>
        </w:rPr>
        <w:t>al-</w:t>
      </w:r>
      <w:r w:rsidRPr="00880CF4">
        <w:rPr>
          <w:rFonts w:asciiTheme="majorBidi" w:hAnsiTheme="majorBidi" w:cstheme="majorBidi"/>
          <w:i/>
          <w:iCs/>
          <w:sz w:val="24"/>
          <w:szCs w:val="24"/>
        </w:rPr>
        <w:t>ta</w:t>
      </w:r>
      <w:r w:rsidRPr="00880CF4">
        <w:rPr>
          <w:rFonts w:asciiTheme="majorBidi" w:hAnsiTheme="majorBidi" w:cstheme="majorBidi"/>
          <w:sz w:val="24"/>
          <w:szCs w:val="24"/>
        </w:rPr>
        <w:t>‘</w:t>
      </w:r>
      <w:r w:rsidRPr="00880CF4">
        <w:rPr>
          <w:rFonts w:asciiTheme="majorBidi" w:hAnsiTheme="majorBidi" w:cstheme="majorBidi"/>
          <w:i/>
          <w:iCs/>
          <w:sz w:val="24"/>
          <w:szCs w:val="24"/>
        </w:rPr>
        <w:t>līl</w:t>
      </w:r>
      <w:r w:rsidRPr="00910CE3">
        <w:rPr>
          <w:rFonts w:ascii="Times New Roman" w:hAnsi="Times New Roman" w:cs="Times New Roman"/>
          <w:sz w:val="24"/>
          <w:szCs w:val="24"/>
        </w:rPr>
        <w:t>) merupakan hal yang sangat penting. Menuru</w:t>
      </w:r>
      <w:r>
        <w:rPr>
          <w:rFonts w:ascii="Times New Roman" w:hAnsi="Times New Roman" w:cs="Times New Roman"/>
          <w:sz w:val="24"/>
          <w:szCs w:val="24"/>
        </w:rPr>
        <w:t>t pendapat ‘Abd al-Wahhab Khalla</w:t>
      </w:r>
      <w:r w:rsidRPr="00910CE3">
        <w:rPr>
          <w:rFonts w:ascii="Times New Roman" w:hAnsi="Times New Roman" w:cs="Times New Roman"/>
          <w:sz w:val="24"/>
          <w:szCs w:val="24"/>
        </w:rPr>
        <w:t xml:space="preserve">f, </w:t>
      </w:r>
      <w:r w:rsidRPr="00910CE3">
        <w:rPr>
          <w:rFonts w:ascii="Times New Roman" w:hAnsi="Times New Roman" w:cs="Times New Roman"/>
          <w:i/>
          <w:iCs/>
          <w:sz w:val="24"/>
          <w:szCs w:val="24"/>
        </w:rPr>
        <w:t>al-</w:t>
      </w:r>
      <w:r w:rsidRPr="00880CF4">
        <w:rPr>
          <w:rFonts w:asciiTheme="majorBidi" w:hAnsiTheme="majorBidi" w:cstheme="majorBidi"/>
          <w:i/>
          <w:iCs/>
          <w:sz w:val="24"/>
          <w:szCs w:val="24"/>
        </w:rPr>
        <w:t>ta</w:t>
      </w:r>
      <w:r w:rsidRPr="00880CF4">
        <w:rPr>
          <w:rFonts w:asciiTheme="majorBidi" w:hAnsiTheme="majorBidi" w:cstheme="majorBidi"/>
          <w:sz w:val="24"/>
          <w:szCs w:val="24"/>
        </w:rPr>
        <w:t>‘</w:t>
      </w:r>
      <w:r w:rsidRPr="00880CF4">
        <w:rPr>
          <w:rFonts w:asciiTheme="majorBidi" w:hAnsiTheme="majorBidi" w:cstheme="majorBidi"/>
          <w:i/>
          <w:iCs/>
          <w:sz w:val="24"/>
          <w:szCs w:val="24"/>
        </w:rPr>
        <w:t>līl</w:t>
      </w:r>
      <w:r w:rsidRPr="00910CE3">
        <w:rPr>
          <w:rFonts w:ascii="Times New Roman" w:hAnsi="Times New Roman" w:cs="Times New Roman"/>
          <w:sz w:val="24"/>
          <w:szCs w:val="24"/>
        </w:rPr>
        <w:t xml:space="preserve"> itu sesungguhnya akan berhulu dan bermuara pada maslahat karena maslahat itulah yang merupakan tujuan utama dan final dari penetapan hukum Islam.</w:t>
      </w:r>
      <w:r w:rsidRPr="00910CE3">
        <w:rPr>
          <w:rStyle w:val="FootnoteReference"/>
          <w:rFonts w:ascii="Times New Roman" w:hAnsi="Times New Roman" w:cs="Times New Roman"/>
          <w:sz w:val="24"/>
          <w:szCs w:val="24"/>
        </w:rPr>
        <w:footnoteReference w:id="266"/>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Pr>
          <w:rFonts w:ascii="Times New Roman" w:hAnsi="Times New Roman" w:cs="Times New Roman"/>
          <w:sz w:val="24"/>
          <w:szCs w:val="24"/>
        </w:rPr>
        <w:t xml:space="preserve">‘Abd al-Hakm ‘Abd al-Rahman </w:t>
      </w:r>
      <w:r w:rsidRPr="00910CE3">
        <w:rPr>
          <w:rFonts w:ascii="Times New Roman" w:hAnsi="Times New Roman" w:cs="Times New Roman"/>
          <w:sz w:val="24"/>
          <w:szCs w:val="24"/>
        </w:rPr>
        <w:t xml:space="preserve">al-Sa‘di menyimpulkan bahwa dalam hal rasionalisasi dan identifikasi </w:t>
      </w:r>
      <w:r w:rsidRPr="00910CE3">
        <w:rPr>
          <w:rFonts w:ascii="Times New Roman" w:hAnsi="Times New Roman" w:cs="Times New Roman"/>
          <w:i/>
          <w:iCs/>
          <w:sz w:val="24"/>
          <w:szCs w:val="24"/>
        </w:rPr>
        <w:t xml:space="preserve">al-‘illah </w:t>
      </w:r>
      <w:r w:rsidRPr="00910CE3">
        <w:rPr>
          <w:rFonts w:ascii="Times New Roman" w:hAnsi="Times New Roman" w:cs="Times New Roman"/>
          <w:sz w:val="24"/>
          <w:szCs w:val="24"/>
        </w:rPr>
        <w:t>(</w:t>
      </w:r>
      <w:r w:rsidRPr="00910CE3">
        <w:rPr>
          <w:rFonts w:ascii="Times New Roman" w:hAnsi="Times New Roman" w:cs="Times New Roman"/>
          <w:i/>
          <w:iCs/>
          <w:sz w:val="24"/>
          <w:szCs w:val="24"/>
        </w:rPr>
        <w:t>al-</w:t>
      </w:r>
      <w:r w:rsidRPr="00880CF4">
        <w:rPr>
          <w:rFonts w:asciiTheme="majorBidi" w:hAnsiTheme="majorBidi" w:cstheme="majorBidi"/>
          <w:i/>
          <w:iCs/>
          <w:sz w:val="24"/>
          <w:szCs w:val="24"/>
        </w:rPr>
        <w:t>ta</w:t>
      </w:r>
      <w:r w:rsidRPr="00880CF4">
        <w:rPr>
          <w:rFonts w:asciiTheme="majorBidi" w:hAnsiTheme="majorBidi" w:cstheme="majorBidi"/>
          <w:sz w:val="24"/>
          <w:szCs w:val="24"/>
        </w:rPr>
        <w:t>‘</w:t>
      </w:r>
      <w:r w:rsidRPr="00880CF4">
        <w:rPr>
          <w:rFonts w:asciiTheme="majorBidi" w:hAnsiTheme="majorBidi" w:cstheme="majorBidi"/>
          <w:i/>
          <w:iCs/>
          <w:sz w:val="24"/>
          <w:szCs w:val="24"/>
        </w:rPr>
        <w:t>līl</w:t>
      </w:r>
      <w:r w:rsidRPr="00910CE3">
        <w:rPr>
          <w:rFonts w:ascii="Times New Roman" w:hAnsi="Times New Roman" w:cs="Times New Roman"/>
          <w:sz w:val="24"/>
          <w:szCs w:val="24"/>
        </w:rPr>
        <w:t xml:space="preserve">), pandangan para ulama teoretisi hukum Islam mengalami divergensi ke dalam 3 (tiga) pola pandangan. </w:t>
      </w:r>
      <w:r w:rsidRPr="00910CE3">
        <w:rPr>
          <w:rFonts w:ascii="Times New Roman" w:hAnsi="Times New Roman" w:cs="Times New Roman"/>
          <w:i/>
          <w:iCs/>
          <w:sz w:val="24"/>
          <w:szCs w:val="24"/>
        </w:rPr>
        <w:t>Pertama</w:t>
      </w:r>
      <w:r w:rsidRPr="00910CE3">
        <w:rPr>
          <w:rFonts w:ascii="Times New Roman" w:hAnsi="Times New Roman" w:cs="Times New Roman"/>
          <w:sz w:val="24"/>
          <w:szCs w:val="24"/>
        </w:rPr>
        <w:t>, pandangan yang meyakini bahwa perbuatan Allah SWT dan hukum yang ditetapkan-Nya itu senantiasa didasari (</w:t>
      </w:r>
      <w:r w:rsidRPr="00910CE3">
        <w:rPr>
          <w:rFonts w:ascii="Times New Roman" w:hAnsi="Times New Roman" w:cs="Times New Roman"/>
          <w:i/>
          <w:iCs/>
          <w:sz w:val="24"/>
          <w:szCs w:val="24"/>
        </w:rPr>
        <w:t>mu‘allalah</w:t>
      </w:r>
      <w:r w:rsidRPr="00910CE3">
        <w:rPr>
          <w:rFonts w:ascii="Times New Roman" w:hAnsi="Times New Roman" w:cs="Times New Roman"/>
          <w:sz w:val="24"/>
          <w:szCs w:val="24"/>
        </w:rPr>
        <w:t xml:space="preserve">) oleh tujuan atau maksud yang mendorongnya untuk berbuat atau menetapkan hukum berupa sesuatu yang sejalan dengan maslahat. Inilah pandangan yang dianut oleh ulama teoretisi hukum Mu’tazilah. </w:t>
      </w:r>
      <w:r w:rsidRPr="00910CE3">
        <w:rPr>
          <w:rFonts w:ascii="Times New Roman" w:hAnsi="Times New Roman" w:cs="Times New Roman"/>
          <w:i/>
          <w:iCs/>
          <w:sz w:val="24"/>
          <w:szCs w:val="24"/>
        </w:rPr>
        <w:t>Kedua</w:t>
      </w:r>
      <w:r w:rsidRPr="00910CE3">
        <w:rPr>
          <w:rFonts w:ascii="Times New Roman" w:hAnsi="Times New Roman" w:cs="Times New Roman"/>
          <w:sz w:val="24"/>
          <w:szCs w:val="24"/>
        </w:rPr>
        <w:t xml:space="preserve">, pandangan yang meyakini bahwa hukum-hukum Allah SWT Itu ditegakkan di atas fondasi maslahat, baik itu </w:t>
      </w:r>
      <w:r w:rsidRPr="00910CE3">
        <w:rPr>
          <w:rFonts w:ascii="Times New Roman" w:hAnsi="Times New Roman" w:cs="Times New Roman"/>
          <w:i/>
          <w:iCs/>
          <w:sz w:val="24"/>
          <w:szCs w:val="24"/>
        </w:rPr>
        <w:t xml:space="preserve">al-Maslaḥah al-dunyawiyyah </w:t>
      </w:r>
      <w:r w:rsidRPr="00910CE3">
        <w:rPr>
          <w:rFonts w:ascii="Times New Roman" w:hAnsi="Times New Roman" w:cs="Times New Roman"/>
          <w:sz w:val="24"/>
          <w:szCs w:val="24"/>
        </w:rPr>
        <w:t xml:space="preserve">maupun </w:t>
      </w:r>
      <w:r w:rsidRPr="00910CE3">
        <w:rPr>
          <w:rFonts w:ascii="Times New Roman" w:hAnsi="Times New Roman" w:cs="Times New Roman"/>
          <w:i/>
          <w:iCs/>
          <w:sz w:val="24"/>
          <w:szCs w:val="24"/>
        </w:rPr>
        <w:t>al-Maslaḥah al-ukhrawiyyah</w:t>
      </w:r>
      <w:r w:rsidRPr="00910CE3">
        <w:rPr>
          <w:rFonts w:ascii="Times New Roman" w:hAnsi="Times New Roman" w:cs="Times New Roman"/>
          <w:sz w:val="24"/>
          <w:szCs w:val="24"/>
        </w:rPr>
        <w:t xml:space="preserve">. Pandangan ini dikemukakan oleh mayoritas ulama teoretisi hukum. </w:t>
      </w:r>
      <w:r w:rsidRPr="00910CE3">
        <w:rPr>
          <w:rFonts w:ascii="Times New Roman" w:hAnsi="Times New Roman" w:cs="Times New Roman"/>
          <w:i/>
          <w:iCs/>
          <w:sz w:val="24"/>
          <w:szCs w:val="24"/>
        </w:rPr>
        <w:t>Ketiga</w:t>
      </w:r>
      <w:r w:rsidRPr="00910CE3">
        <w:rPr>
          <w:rFonts w:ascii="Times New Roman" w:hAnsi="Times New Roman" w:cs="Times New Roman"/>
          <w:sz w:val="24"/>
          <w:szCs w:val="24"/>
        </w:rPr>
        <w:t>, pandangan yang berkeyakinan bahwa hukum-hukum Allah SWT itu sama sekali tidak didasari (</w:t>
      </w:r>
      <w:r w:rsidRPr="00910CE3">
        <w:rPr>
          <w:rFonts w:ascii="Times New Roman" w:hAnsi="Times New Roman" w:cs="Times New Roman"/>
          <w:i/>
          <w:iCs/>
          <w:sz w:val="24"/>
          <w:szCs w:val="24"/>
        </w:rPr>
        <w:t>gair mu‘allalah</w:t>
      </w:r>
      <w:r w:rsidRPr="00910CE3">
        <w:rPr>
          <w:rFonts w:ascii="Times New Roman" w:hAnsi="Times New Roman" w:cs="Times New Roman"/>
          <w:sz w:val="24"/>
          <w:szCs w:val="24"/>
        </w:rPr>
        <w:t xml:space="preserve">) oleh tujuan atau maksud yang berupa maslahat. Eksponen pandangan ini ialah ulama ahli </w:t>
      </w:r>
      <w:r w:rsidRPr="002A370D">
        <w:rPr>
          <w:rFonts w:ascii="Times New Roman" w:hAnsi="Times New Roman" w:cs="Times New Roman"/>
          <w:sz w:val="24"/>
          <w:szCs w:val="24"/>
        </w:rPr>
        <w:t>usu</w:t>
      </w:r>
      <w:r>
        <w:rPr>
          <w:rFonts w:ascii="Times New Roman" w:hAnsi="Times New Roman" w:cs="Times New Roman"/>
          <w:sz w:val="24"/>
          <w:szCs w:val="24"/>
        </w:rPr>
        <w:t xml:space="preserve">l </w:t>
      </w:r>
      <w:r w:rsidRPr="002A370D">
        <w:rPr>
          <w:rFonts w:ascii="Times New Roman" w:hAnsi="Times New Roman" w:cs="Times New Roman"/>
          <w:sz w:val="24"/>
          <w:szCs w:val="24"/>
        </w:rPr>
        <w:t>fiqh</w:t>
      </w:r>
      <w:r w:rsidRPr="00910CE3">
        <w:rPr>
          <w:rFonts w:ascii="Times New Roman" w:hAnsi="Times New Roman" w:cs="Times New Roman"/>
          <w:i/>
          <w:iCs/>
          <w:sz w:val="24"/>
          <w:szCs w:val="24"/>
        </w:rPr>
        <w:t xml:space="preserve"> </w:t>
      </w:r>
      <w:r>
        <w:rPr>
          <w:rFonts w:ascii="Times New Roman" w:hAnsi="Times New Roman" w:cs="Times New Roman"/>
          <w:sz w:val="24"/>
          <w:szCs w:val="24"/>
        </w:rPr>
        <w:t>dari Mazhab Za</w:t>
      </w:r>
      <w:r w:rsidRPr="00910CE3">
        <w:rPr>
          <w:rFonts w:ascii="Times New Roman" w:hAnsi="Times New Roman" w:cs="Times New Roman"/>
          <w:sz w:val="24"/>
          <w:szCs w:val="24"/>
        </w:rPr>
        <w:t>hiri.</w:t>
      </w:r>
      <w:r w:rsidRPr="00910CE3">
        <w:rPr>
          <w:rStyle w:val="FootnoteReference"/>
          <w:rFonts w:ascii="Times New Roman" w:hAnsi="Times New Roman" w:cs="Times New Roman"/>
          <w:sz w:val="24"/>
          <w:szCs w:val="24"/>
        </w:rPr>
        <w:footnoteReference w:id="267"/>
      </w:r>
      <w:r w:rsidRPr="00910CE3">
        <w:rPr>
          <w:rFonts w:ascii="Times New Roman" w:hAnsi="Times New Roman" w:cs="Times New Roman"/>
          <w:sz w:val="13"/>
          <w:szCs w:val="13"/>
        </w:rPr>
        <w:t xml:space="preserve"> </w:t>
      </w:r>
    </w:p>
    <w:p w:rsidR="00343B61" w:rsidRPr="00910CE3" w:rsidRDefault="00343B61" w:rsidP="00343B61">
      <w:pPr>
        <w:autoSpaceDE w:val="0"/>
        <w:autoSpaceDN w:val="0"/>
        <w:adjustRightInd w:val="0"/>
        <w:spacing w:after="0" w:line="360" w:lineRule="auto"/>
        <w:ind w:left="450" w:firstLine="720"/>
        <w:jc w:val="both"/>
        <w:rPr>
          <w:rFonts w:ascii="Times New Roman" w:hAnsi="Times New Roman" w:cs="Times New Roman"/>
          <w:sz w:val="24"/>
          <w:szCs w:val="24"/>
        </w:rPr>
      </w:pPr>
      <w:r w:rsidRPr="00910CE3">
        <w:rPr>
          <w:rFonts w:ascii="Times New Roman" w:hAnsi="Times New Roman" w:cs="Times New Roman"/>
          <w:sz w:val="24"/>
          <w:szCs w:val="24"/>
        </w:rPr>
        <w:lastRenderedPageBreak/>
        <w:t xml:space="preserve">Dalam pembahasan </w:t>
      </w:r>
      <w:r w:rsidRPr="00910CE3">
        <w:rPr>
          <w:rFonts w:ascii="Times New Roman" w:hAnsi="Times New Roman" w:cs="Times New Roman"/>
          <w:i/>
          <w:iCs/>
          <w:sz w:val="24"/>
          <w:szCs w:val="24"/>
        </w:rPr>
        <w:t>al-‘illah</w:t>
      </w:r>
      <w:r w:rsidRPr="00910CE3">
        <w:rPr>
          <w:rFonts w:ascii="Times New Roman" w:hAnsi="Times New Roman" w:cs="Times New Roman"/>
          <w:sz w:val="24"/>
          <w:szCs w:val="24"/>
        </w:rPr>
        <w:t xml:space="preserve">, para ulama teoretisi hukum Islam memperbincangkan persyaratan </w:t>
      </w:r>
      <w:r w:rsidRPr="00910CE3">
        <w:rPr>
          <w:rFonts w:ascii="Times New Roman" w:hAnsi="Times New Roman" w:cs="Times New Roman"/>
          <w:i/>
          <w:iCs/>
          <w:sz w:val="24"/>
          <w:szCs w:val="24"/>
        </w:rPr>
        <w:t>al-‘illah</w:t>
      </w:r>
      <w:r w:rsidRPr="00910CE3">
        <w:rPr>
          <w:rFonts w:ascii="Times New Roman" w:hAnsi="Times New Roman" w:cs="Times New Roman"/>
          <w:sz w:val="24"/>
          <w:szCs w:val="24"/>
        </w:rPr>
        <w:t xml:space="preserve">, dan salah satu syaratnya ialah sesuatu yang akan dijadikan </w:t>
      </w:r>
      <w:r w:rsidRPr="00910CE3">
        <w:rPr>
          <w:rFonts w:ascii="Times New Roman" w:hAnsi="Times New Roman" w:cs="Times New Roman"/>
          <w:i/>
          <w:iCs/>
          <w:sz w:val="24"/>
          <w:szCs w:val="24"/>
        </w:rPr>
        <w:t xml:space="preserve">al-‘illah </w:t>
      </w:r>
      <w:r w:rsidRPr="00910CE3">
        <w:rPr>
          <w:rFonts w:ascii="Times New Roman" w:hAnsi="Times New Roman" w:cs="Times New Roman"/>
          <w:sz w:val="24"/>
          <w:szCs w:val="24"/>
        </w:rPr>
        <w:t xml:space="preserve">itu harus nyata-nyata mewujudkan </w:t>
      </w:r>
      <w:r w:rsidRPr="00910CE3">
        <w:rPr>
          <w:rFonts w:ascii="Times New Roman" w:hAnsi="Times New Roman" w:cs="Times New Roman"/>
          <w:i/>
          <w:iCs/>
          <w:sz w:val="24"/>
          <w:szCs w:val="24"/>
        </w:rPr>
        <w:t xml:space="preserve">al-hikmah </w:t>
      </w:r>
      <w:r w:rsidRPr="00910CE3">
        <w:rPr>
          <w:rFonts w:ascii="Times New Roman" w:hAnsi="Times New Roman" w:cs="Times New Roman"/>
          <w:sz w:val="24"/>
          <w:szCs w:val="24"/>
        </w:rPr>
        <w:t xml:space="preserve">yang dikehendaki </w:t>
      </w:r>
      <w:r w:rsidRPr="00910CE3">
        <w:rPr>
          <w:rFonts w:ascii="Times New Roman" w:hAnsi="Times New Roman" w:cs="Times New Roman"/>
          <w:i/>
          <w:iCs/>
          <w:sz w:val="24"/>
          <w:szCs w:val="24"/>
        </w:rPr>
        <w:t>al-Sy</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ri</w:t>
      </w:r>
      <w:r>
        <w:rPr>
          <w:rFonts w:ascii="Times New Roman" w:hAnsi="Times New Roman" w:cs="Times New Roman"/>
          <w:sz w:val="24"/>
          <w:szCs w:val="24"/>
        </w:rPr>
        <w:t>‘</w:t>
      </w:r>
      <w:r w:rsidRPr="00910CE3">
        <w:rPr>
          <w:rFonts w:ascii="Times New Roman" w:hAnsi="Times New Roman" w:cs="Times New Roman"/>
          <w:sz w:val="24"/>
          <w:szCs w:val="24"/>
        </w:rPr>
        <w:t xml:space="preserve">(Allah), bukan sembarang </w:t>
      </w:r>
      <w:r w:rsidRPr="002A370D">
        <w:rPr>
          <w:rFonts w:ascii="Times New Roman" w:hAnsi="Times New Roman" w:cs="Times New Roman"/>
          <w:sz w:val="24"/>
          <w:szCs w:val="24"/>
        </w:rPr>
        <w:t xml:space="preserve">hikmah </w:t>
      </w:r>
      <w:r w:rsidRPr="00910CE3">
        <w:rPr>
          <w:rFonts w:ascii="Times New Roman" w:hAnsi="Times New Roman" w:cs="Times New Roman"/>
          <w:sz w:val="24"/>
          <w:szCs w:val="24"/>
        </w:rPr>
        <w:t xml:space="preserve">semata. Ini artinya bahwa sesuatu yang akan dijadikan </w:t>
      </w:r>
      <w:r w:rsidRPr="00910CE3">
        <w:rPr>
          <w:rFonts w:ascii="Times New Roman" w:hAnsi="Times New Roman" w:cs="Times New Roman"/>
          <w:i/>
          <w:iCs/>
          <w:sz w:val="24"/>
          <w:szCs w:val="24"/>
        </w:rPr>
        <w:t xml:space="preserve">al-‘illah </w:t>
      </w:r>
      <w:r w:rsidRPr="00910CE3">
        <w:rPr>
          <w:rFonts w:ascii="Times New Roman" w:hAnsi="Times New Roman" w:cs="Times New Roman"/>
          <w:sz w:val="24"/>
          <w:szCs w:val="24"/>
        </w:rPr>
        <w:t xml:space="preserve">itu harus punya potensi mewujudkan maslahat, baik itu </w:t>
      </w:r>
      <w:r w:rsidRPr="00A953FB">
        <w:rPr>
          <w:rFonts w:ascii="Times New Roman" w:hAnsi="Times New Roman" w:cs="Times New Roman"/>
          <w:sz w:val="24"/>
          <w:szCs w:val="24"/>
        </w:rPr>
        <w:t>maslahat dunia</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maupun </w:t>
      </w:r>
      <w:r w:rsidRPr="00A953FB">
        <w:rPr>
          <w:rFonts w:ascii="Times New Roman" w:hAnsi="Times New Roman" w:cs="Times New Roman"/>
          <w:sz w:val="24"/>
          <w:szCs w:val="24"/>
        </w:rPr>
        <w:t>maslahat ukhrawi</w:t>
      </w:r>
      <w:r w:rsidRPr="00910CE3">
        <w:rPr>
          <w:rFonts w:ascii="Times New Roman" w:hAnsi="Times New Roman" w:cs="Times New Roman"/>
          <w:sz w:val="24"/>
          <w:szCs w:val="24"/>
        </w:rPr>
        <w:t xml:space="preserve">; dan inilah </w:t>
      </w:r>
      <w:r w:rsidRPr="00A953FB">
        <w:rPr>
          <w:rFonts w:ascii="Times New Roman" w:hAnsi="Times New Roman" w:cs="Times New Roman"/>
          <w:sz w:val="24"/>
          <w:szCs w:val="24"/>
        </w:rPr>
        <w:t>hikmah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yang sebenarnya. Kebanyakan aturan hukum yang ditetapkan dalam al-Qur’ān dan Sunnah senantiasa disertai dengan </w:t>
      </w:r>
      <w:r w:rsidRPr="00A953FB">
        <w:rPr>
          <w:rFonts w:ascii="Times New Roman" w:hAnsi="Times New Roman" w:cs="Times New Roman"/>
          <w:sz w:val="24"/>
          <w:szCs w:val="24"/>
        </w:rPr>
        <w:t>hikmah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yang merasionalisasi penetapannya.</w:t>
      </w:r>
      <w:r w:rsidRPr="00910CE3">
        <w:rPr>
          <w:rStyle w:val="FootnoteReference"/>
          <w:rFonts w:ascii="Times New Roman" w:hAnsi="Times New Roman" w:cs="Times New Roman"/>
          <w:sz w:val="24"/>
          <w:szCs w:val="24"/>
        </w:rPr>
        <w:footnoteReference w:id="268"/>
      </w:r>
      <w:r w:rsidRPr="00910CE3">
        <w:rPr>
          <w:rFonts w:ascii="Times New Roman" w:hAnsi="Times New Roman" w:cs="Times New Roman"/>
          <w:sz w:val="13"/>
          <w:szCs w:val="13"/>
        </w:rPr>
        <w:t xml:space="preserve"> </w:t>
      </w:r>
    </w:p>
    <w:p w:rsidR="00343B61" w:rsidRPr="00910CE3" w:rsidRDefault="00343B61" w:rsidP="00343B61">
      <w:pPr>
        <w:autoSpaceDE w:val="0"/>
        <w:autoSpaceDN w:val="0"/>
        <w:adjustRightInd w:val="0"/>
        <w:spacing w:after="0" w:line="360" w:lineRule="auto"/>
        <w:ind w:left="450"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Dalam perbincangan tehnik identifikasi </w:t>
      </w:r>
      <w:r w:rsidRPr="00910CE3">
        <w:rPr>
          <w:rFonts w:ascii="Times New Roman" w:hAnsi="Times New Roman" w:cs="Times New Roman"/>
          <w:i/>
          <w:iCs/>
          <w:sz w:val="24"/>
          <w:szCs w:val="24"/>
        </w:rPr>
        <w:t xml:space="preserve">al-‘illah </w:t>
      </w:r>
      <w:r w:rsidRPr="00910CE3">
        <w:rPr>
          <w:rFonts w:ascii="Times New Roman" w:hAnsi="Times New Roman" w:cs="Times New Roman"/>
          <w:sz w:val="24"/>
          <w:szCs w:val="24"/>
        </w:rPr>
        <w:t>(</w:t>
      </w:r>
      <w:r w:rsidRPr="00910CE3">
        <w:rPr>
          <w:rFonts w:ascii="Times New Roman" w:hAnsi="Times New Roman" w:cs="Times New Roman"/>
          <w:i/>
          <w:iCs/>
          <w:sz w:val="24"/>
          <w:szCs w:val="24"/>
        </w:rPr>
        <w:t>mas</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lik al-‘illah</w:t>
      </w:r>
      <w:r w:rsidRPr="00910CE3">
        <w:rPr>
          <w:rFonts w:ascii="Times New Roman" w:hAnsi="Times New Roman" w:cs="Times New Roman"/>
          <w:sz w:val="24"/>
          <w:szCs w:val="24"/>
        </w:rPr>
        <w:t xml:space="preserve">), para ulama teoretisi hukum Islam menyebut </w:t>
      </w:r>
      <w:r w:rsidRPr="00910CE3">
        <w:rPr>
          <w:rFonts w:ascii="Times New Roman" w:hAnsi="Times New Roman" w:cs="Times New Roman"/>
          <w:i/>
          <w:iCs/>
          <w:sz w:val="24"/>
          <w:szCs w:val="24"/>
        </w:rPr>
        <w:t xml:space="preserve">al-munâsabah </w:t>
      </w:r>
      <w:r w:rsidRPr="00910CE3">
        <w:rPr>
          <w:rFonts w:ascii="Times New Roman" w:hAnsi="Times New Roman" w:cs="Times New Roman"/>
          <w:sz w:val="24"/>
          <w:szCs w:val="24"/>
        </w:rPr>
        <w:t xml:space="preserve">sebagai salah satu tehnik tersebut. Istilah lain yang digunakan oleh sebagian untuk makna </w:t>
      </w:r>
      <w:r w:rsidRPr="00910CE3">
        <w:rPr>
          <w:rFonts w:ascii="Times New Roman" w:hAnsi="Times New Roman" w:cs="Times New Roman"/>
          <w:i/>
          <w:iCs/>
          <w:sz w:val="24"/>
          <w:szCs w:val="24"/>
        </w:rPr>
        <w:t>al-mun</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 xml:space="preserve">sabah </w:t>
      </w:r>
      <w:r w:rsidRPr="00910CE3">
        <w:rPr>
          <w:rFonts w:ascii="Times New Roman" w:hAnsi="Times New Roman" w:cs="Times New Roman"/>
          <w:sz w:val="24"/>
          <w:szCs w:val="24"/>
        </w:rPr>
        <w:t xml:space="preserve">ialah </w:t>
      </w:r>
      <w:r w:rsidRPr="00910CE3">
        <w:rPr>
          <w:rFonts w:ascii="Times New Roman" w:hAnsi="Times New Roman" w:cs="Times New Roman"/>
          <w:i/>
          <w:iCs/>
          <w:sz w:val="24"/>
          <w:szCs w:val="24"/>
        </w:rPr>
        <w:t>al-ikh</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lah</w:t>
      </w:r>
      <w:r w:rsidRPr="00910CE3">
        <w:rPr>
          <w:rFonts w:ascii="Times New Roman" w:hAnsi="Times New Roman" w:cs="Times New Roman"/>
          <w:sz w:val="24"/>
          <w:szCs w:val="24"/>
        </w:rPr>
        <w:t xml:space="preserve">, </w:t>
      </w:r>
      <w:r w:rsidRPr="00910CE3">
        <w:rPr>
          <w:rFonts w:ascii="Times New Roman" w:hAnsi="Times New Roman" w:cs="Times New Roman"/>
          <w:i/>
          <w:iCs/>
          <w:sz w:val="24"/>
          <w:szCs w:val="24"/>
        </w:rPr>
        <w:t>al-mul</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’amah</w:t>
      </w:r>
      <w:r w:rsidRPr="00910CE3">
        <w:rPr>
          <w:rFonts w:ascii="Times New Roman" w:hAnsi="Times New Roman" w:cs="Times New Roman"/>
          <w:sz w:val="24"/>
          <w:szCs w:val="24"/>
        </w:rPr>
        <w:t xml:space="preserve">, </w:t>
      </w:r>
      <w:r w:rsidRPr="00910CE3">
        <w:rPr>
          <w:rFonts w:ascii="Times New Roman" w:hAnsi="Times New Roman" w:cs="Times New Roman"/>
          <w:i/>
          <w:iCs/>
          <w:sz w:val="24"/>
          <w:szCs w:val="24"/>
        </w:rPr>
        <w:t>al-</w:t>
      </w:r>
      <w:r w:rsidRPr="00A249CE">
        <w:rPr>
          <w:rFonts w:asciiTheme="majorBidi" w:hAnsiTheme="majorBidi" w:cstheme="majorBidi"/>
          <w:i/>
          <w:iCs/>
        </w:rPr>
        <w:t xml:space="preserve"> </w:t>
      </w:r>
      <w:r w:rsidRPr="00A249CE">
        <w:rPr>
          <w:rFonts w:asciiTheme="majorBidi" w:hAnsiTheme="majorBidi" w:cstheme="majorBidi"/>
          <w:i/>
          <w:iCs/>
          <w:sz w:val="24"/>
          <w:szCs w:val="24"/>
        </w:rPr>
        <w:t>masla</w:t>
      </w:r>
      <w:r w:rsidRPr="00A249CE">
        <w:rPr>
          <w:i/>
          <w:iCs/>
          <w:sz w:val="24"/>
          <w:szCs w:val="24"/>
          <w:u w:val="single"/>
        </w:rPr>
        <w:t>h</w:t>
      </w:r>
      <w:r w:rsidRPr="00A249CE">
        <w:rPr>
          <w:rFonts w:asciiTheme="majorBidi" w:hAnsiTheme="majorBidi" w:cstheme="majorBidi"/>
          <w:i/>
          <w:iCs/>
          <w:sz w:val="24"/>
          <w:szCs w:val="24"/>
        </w:rPr>
        <w:t>ah</w:t>
      </w:r>
      <w:r w:rsidRPr="00910CE3">
        <w:rPr>
          <w:rFonts w:ascii="Times New Roman" w:hAnsi="Times New Roman" w:cs="Times New Roman"/>
          <w:sz w:val="24"/>
          <w:szCs w:val="24"/>
        </w:rPr>
        <w:t xml:space="preserve">, </w:t>
      </w:r>
      <w:r w:rsidRPr="00910CE3">
        <w:rPr>
          <w:rFonts w:ascii="Times New Roman" w:hAnsi="Times New Roman" w:cs="Times New Roman"/>
          <w:i/>
          <w:iCs/>
          <w:sz w:val="24"/>
          <w:szCs w:val="24"/>
        </w:rPr>
        <w:t>al-istidl</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l</w:t>
      </w:r>
      <w:r w:rsidRPr="00910CE3">
        <w:rPr>
          <w:rFonts w:ascii="Times New Roman" w:hAnsi="Times New Roman" w:cs="Times New Roman"/>
          <w:sz w:val="24"/>
          <w:szCs w:val="24"/>
        </w:rPr>
        <w:t xml:space="preserve">, </w:t>
      </w:r>
      <w:r w:rsidRPr="00910CE3">
        <w:rPr>
          <w:rFonts w:ascii="Times New Roman" w:hAnsi="Times New Roman" w:cs="Times New Roman"/>
          <w:i/>
          <w:iCs/>
          <w:sz w:val="24"/>
          <w:szCs w:val="24"/>
        </w:rPr>
        <w:t>ri‘</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yat al-maq</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sid</w:t>
      </w:r>
      <w:r w:rsidRPr="00910CE3">
        <w:rPr>
          <w:rFonts w:ascii="Times New Roman" w:hAnsi="Times New Roman" w:cs="Times New Roman"/>
          <w:sz w:val="24"/>
          <w:szCs w:val="24"/>
        </w:rPr>
        <w:t xml:space="preserve">, dan </w:t>
      </w:r>
      <w:r w:rsidRPr="00910CE3">
        <w:rPr>
          <w:rFonts w:ascii="Times New Roman" w:hAnsi="Times New Roman" w:cs="Times New Roman"/>
          <w:i/>
          <w:iCs/>
          <w:sz w:val="24"/>
          <w:szCs w:val="24"/>
        </w:rPr>
        <w:t>takhr</w:t>
      </w:r>
      <w:r w:rsidRPr="00FD1755">
        <w:rPr>
          <w:rFonts w:asciiTheme="majorBidi" w:hAnsiTheme="majorBidi" w:cstheme="majorBidi"/>
          <w:bCs/>
          <w:i/>
          <w:iCs/>
          <w:sz w:val="24"/>
          <w:szCs w:val="24"/>
        </w:rPr>
        <w:t>ī</w:t>
      </w:r>
      <w:r w:rsidRPr="00910CE3">
        <w:rPr>
          <w:rFonts w:ascii="Times New Roman" w:hAnsi="Times New Roman" w:cs="Times New Roman"/>
          <w:i/>
          <w:iCs/>
          <w:sz w:val="24"/>
          <w:szCs w:val="24"/>
        </w:rPr>
        <w:t>j al-man</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t</w:t>
      </w:r>
      <w:r w:rsidRPr="00910CE3">
        <w:rPr>
          <w:rFonts w:ascii="Times New Roman" w:hAnsi="Times New Roman" w:cs="Times New Roman"/>
          <w:sz w:val="24"/>
          <w:szCs w:val="24"/>
        </w:rPr>
        <w:t>. ‘Abd al-Hak</w:t>
      </w:r>
      <w:r w:rsidRPr="00A249CE">
        <w:rPr>
          <w:rFonts w:asciiTheme="majorBidi" w:hAnsiTheme="majorBidi" w:cstheme="majorBidi"/>
          <w:sz w:val="24"/>
          <w:szCs w:val="24"/>
        </w:rPr>
        <w:t>ī</w:t>
      </w:r>
      <w:r w:rsidRPr="00910CE3">
        <w:rPr>
          <w:rFonts w:ascii="Times New Roman" w:hAnsi="Times New Roman" w:cs="Times New Roman"/>
          <w:sz w:val="24"/>
          <w:szCs w:val="24"/>
        </w:rPr>
        <w:t>m ‘Abd</w:t>
      </w:r>
      <w:r>
        <w:rPr>
          <w:rFonts w:ascii="Times New Roman" w:hAnsi="Times New Roman" w:cs="Times New Roman"/>
          <w:sz w:val="24"/>
          <w:szCs w:val="24"/>
        </w:rPr>
        <w:t xml:space="preserve"> al-Rahma</w:t>
      </w:r>
      <w:r w:rsidRPr="00910CE3">
        <w:rPr>
          <w:rFonts w:ascii="Times New Roman" w:hAnsi="Times New Roman" w:cs="Times New Roman"/>
          <w:sz w:val="24"/>
          <w:szCs w:val="24"/>
        </w:rPr>
        <w:t xml:space="preserve">n As‘ad al-Sa‘di mencatat sejumlah pendapat ulama tentang definisi </w:t>
      </w:r>
      <w:r w:rsidRPr="00910CE3">
        <w:rPr>
          <w:rFonts w:ascii="Times New Roman" w:hAnsi="Times New Roman" w:cs="Times New Roman"/>
          <w:i/>
          <w:iCs/>
          <w:sz w:val="24"/>
          <w:szCs w:val="24"/>
        </w:rPr>
        <w:t>al-mun</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sabah</w:t>
      </w:r>
      <w:r w:rsidRPr="00910CE3">
        <w:rPr>
          <w:rFonts w:ascii="Times New Roman" w:hAnsi="Times New Roman" w:cs="Times New Roman"/>
          <w:sz w:val="24"/>
          <w:szCs w:val="24"/>
        </w:rPr>
        <w:t xml:space="preserve">, dan definisi yang dipandangnya paling tepat ialah definisi yang mengatakan bahwa </w:t>
      </w:r>
      <w:r w:rsidRPr="00910CE3">
        <w:rPr>
          <w:rFonts w:ascii="Times New Roman" w:hAnsi="Times New Roman" w:cs="Times New Roman"/>
          <w:i/>
          <w:iCs/>
          <w:sz w:val="24"/>
          <w:szCs w:val="24"/>
        </w:rPr>
        <w:t>al-mun</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 xml:space="preserve">sabah </w:t>
      </w:r>
      <w:r w:rsidRPr="00910CE3">
        <w:rPr>
          <w:rFonts w:ascii="Times New Roman" w:hAnsi="Times New Roman" w:cs="Times New Roman"/>
          <w:sz w:val="24"/>
          <w:szCs w:val="24"/>
        </w:rPr>
        <w:t>adalah penentuan sesuatu yang bersifat konkret dan terukur, yang secara rasional apabila ditetapkan hukum di atas landasannya akan terwujud sesuatu yang merupakan maslahat.</w:t>
      </w:r>
      <w:r w:rsidRPr="00910CE3">
        <w:rPr>
          <w:rStyle w:val="FootnoteReference"/>
          <w:rFonts w:ascii="Times New Roman" w:hAnsi="Times New Roman" w:cs="Times New Roman"/>
          <w:sz w:val="24"/>
          <w:szCs w:val="24"/>
        </w:rPr>
        <w:footnoteReference w:id="269"/>
      </w:r>
    </w:p>
    <w:p w:rsidR="00343B61" w:rsidRPr="00910CE3" w:rsidRDefault="00343B61" w:rsidP="00343B61">
      <w:pPr>
        <w:autoSpaceDE w:val="0"/>
        <w:autoSpaceDN w:val="0"/>
        <w:adjustRightInd w:val="0"/>
        <w:spacing w:after="0" w:line="360" w:lineRule="auto"/>
        <w:ind w:left="450" w:firstLine="720"/>
        <w:jc w:val="both"/>
        <w:rPr>
          <w:rFonts w:ascii="Times New Roman" w:hAnsi="Times New Roman" w:cs="Times New Roman"/>
          <w:i/>
          <w:iCs/>
          <w:sz w:val="24"/>
          <w:szCs w:val="24"/>
        </w:rPr>
      </w:pPr>
      <w:r w:rsidRPr="00910CE3">
        <w:rPr>
          <w:rFonts w:ascii="Times New Roman" w:hAnsi="Times New Roman" w:cs="Times New Roman"/>
          <w:sz w:val="24"/>
          <w:szCs w:val="24"/>
        </w:rPr>
        <w:t xml:space="preserve">Dalam proses </w:t>
      </w:r>
      <w:r w:rsidRPr="00910CE3">
        <w:rPr>
          <w:rFonts w:ascii="Times New Roman" w:hAnsi="Times New Roman" w:cs="Times New Roman"/>
          <w:i/>
          <w:iCs/>
          <w:sz w:val="24"/>
          <w:szCs w:val="24"/>
        </w:rPr>
        <w:t>almun</w:t>
      </w:r>
      <w:r w:rsidRPr="00880CF4">
        <w:rPr>
          <w:rFonts w:asciiTheme="majorBidi" w:hAnsiTheme="majorBidi" w:cstheme="majorBidi"/>
          <w:i/>
          <w:iCs/>
          <w:sz w:val="24"/>
          <w:szCs w:val="24"/>
        </w:rPr>
        <w:t>ā</w:t>
      </w:r>
      <w:r w:rsidRPr="00910CE3">
        <w:rPr>
          <w:rFonts w:ascii="Times New Roman" w:hAnsi="Times New Roman" w:cs="Times New Roman"/>
          <w:i/>
          <w:iCs/>
          <w:sz w:val="24"/>
          <w:szCs w:val="24"/>
        </w:rPr>
        <w:t xml:space="preserve">sabah </w:t>
      </w:r>
      <w:r w:rsidRPr="00910CE3">
        <w:rPr>
          <w:rFonts w:ascii="Times New Roman" w:hAnsi="Times New Roman" w:cs="Times New Roman"/>
          <w:sz w:val="24"/>
          <w:szCs w:val="24"/>
        </w:rPr>
        <w:t>diterapkan kerangka pikir logis (</w:t>
      </w:r>
      <w:r w:rsidRPr="00910CE3">
        <w:rPr>
          <w:rFonts w:ascii="Times New Roman" w:hAnsi="Times New Roman" w:cs="Times New Roman"/>
          <w:i/>
          <w:iCs/>
          <w:sz w:val="24"/>
          <w:szCs w:val="24"/>
        </w:rPr>
        <w:t>mantiqiy</w:t>
      </w:r>
      <w:r w:rsidRPr="00910CE3">
        <w:rPr>
          <w:rFonts w:ascii="Times New Roman" w:hAnsi="Times New Roman" w:cs="Times New Roman"/>
          <w:sz w:val="24"/>
          <w:szCs w:val="24"/>
        </w:rPr>
        <w:t>) yang tegak di atas fondasi 2</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(dua) premis (</w:t>
      </w:r>
      <w:r w:rsidRPr="00910CE3">
        <w:rPr>
          <w:rFonts w:ascii="Times New Roman" w:hAnsi="Times New Roman" w:cs="Times New Roman"/>
          <w:i/>
          <w:iCs/>
          <w:sz w:val="24"/>
          <w:szCs w:val="24"/>
        </w:rPr>
        <w:t>muqaddamah</w:t>
      </w:r>
      <w:r w:rsidRPr="00910CE3">
        <w:rPr>
          <w:rFonts w:ascii="Times New Roman" w:hAnsi="Times New Roman" w:cs="Times New Roman"/>
          <w:sz w:val="24"/>
          <w:szCs w:val="24"/>
        </w:rPr>
        <w:t>) dan 1 (satu) konklusi (</w:t>
      </w:r>
      <w:r w:rsidRPr="00910CE3">
        <w:rPr>
          <w:rFonts w:ascii="Times New Roman" w:hAnsi="Times New Roman" w:cs="Times New Roman"/>
          <w:i/>
          <w:iCs/>
          <w:sz w:val="24"/>
          <w:szCs w:val="24"/>
        </w:rPr>
        <w:t>nat</w:t>
      </w:r>
      <w:r w:rsidRPr="00A249CE">
        <w:rPr>
          <w:rFonts w:asciiTheme="majorBidi" w:hAnsiTheme="majorBidi" w:cstheme="majorBidi"/>
          <w:i/>
          <w:iCs/>
          <w:sz w:val="24"/>
          <w:szCs w:val="24"/>
        </w:rPr>
        <w:t>ī</w:t>
      </w:r>
      <w:r w:rsidRPr="00910CE3">
        <w:rPr>
          <w:rFonts w:ascii="Times New Roman" w:hAnsi="Times New Roman" w:cs="Times New Roman"/>
          <w:i/>
          <w:iCs/>
          <w:sz w:val="24"/>
          <w:szCs w:val="24"/>
        </w:rPr>
        <w:t>jah</w:t>
      </w:r>
      <w:r w:rsidRPr="00910CE3">
        <w:rPr>
          <w:rFonts w:ascii="Times New Roman" w:hAnsi="Times New Roman" w:cs="Times New Roman"/>
          <w:sz w:val="24"/>
          <w:szCs w:val="24"/>
        </w:rPr>
        <w:t>). Kedua premis dimaksud</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ialah (a) semua hukum itu ditetapkan untuk mewujudkan maslahat, dan (b) suatu</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hukum yang akan diterapkan terhadap suatu kasus baru ternyata mengandung maslahat; maka konklusinya adalah hukum kasus baru itu ditetapkan hanya lantaran adanya maslahat tersebut</w:t>
      </w:r>
      <w:r w:rsidRPr="00910CE3">
        <w:rPr>
          <w:rStyle w:val="FootnoteReference"/>
          <w:rFonts w:ascii="Times New Roman" w:hAnsi="Times New Roman" w:cs="Times New Roman"/>
          <w:sz w:val="24"/>
          <w:szCs w:val="24"/>
        </w:rPr>
        <w:footnoteReference w:id="270"/>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Dalam pada itu, para ulama teoretisi hukum Islam </w:t>
      </w:r>
      <w:r w:rsidRPr="00910CE3">
        <w:rPr>
          <w:rFonts w:ascii="Times New Roman" w:hAnsi="Times New Roman" w:cs="Times New Roman"/>
          <w:sz w:val="24"/>
          <w:szCs w:val="24"/>
        </w:rPr>
        <w:lastRenderedPageBreak/>
        <w:t xml:space="preserve">membuat klasifikasi al-munâsib (sesuatu yang menjadi obyek </w:t>
      </w:r>
      <w:r w:rsidRPr="00910CE3">
        <w:rPr>
          <w:rFonts w:ascii="Times New Roman" w:hAnsi="Times New Roman" w:cs="Times New Roman"/>
          <w:i/>
          <w:iCs/>
          <w:sz w:val="24"/>
          <w:szCs w:val="24"/>
        </w:rPr>
        <w:t>al-munâsabah</w:t>
      </w:r>
      <w:r w:rsidRPr="00910CE3">
        <w:rPr>
          <w:rFonts w:ascii="Times New Roman" w:hAnsi="Times New Roman" w:cs="Times New Roman"/>
          <w:sz w:val="24"/>
          <w:szCs w:val="24"/>
        </w:rPr>
        <w:t>) atas dasar sudut pandang maslahat yang dikandungnya.</w:t>
      </w:r>
      <w:r w:rsidRPr="00910CE3">
        <w:rPr>
          <w:rStyle w:val="FootnoteReference"/>
          <w:rFonts w:ascii="Times New Roman" w:hAnsi="Times New Roman" w:cs="Times New Roman"/>
          <w:sz w:val="24"/>
          <w:szCs w:val="24"/>
        </w:rPr>
        <w:footnoteReference w:id="271"/>
      </w:r>
    </w:p>
    <w:p w:rsidR="00343B61" w:rsidRPr="00910CE3" w:rsidRDefault="00343B61" w:rsidP="00343B61">
      <w:pPr>
        <w:pStyle w:val="ListParagraph"/>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Penggunaan Qiyās sangat bermanfaat terutama dalam memecahkan masalah-masalah baru. Akan tetapi, tidak semua masalah baru dapat dipecahkan dengan Qiyās. Dalam keadaan demikian, digunakan metode lainnya. </w:t>
      </w:r>
    </w:p>
    <w:p w:rsidR="00343B61" w:rsidRPr="00A953FB" w:rsidRDefault="00343B61" w:rsidP="002C0A33">
      <w:pPr>
        <w:pStyle w:val="ListParagraph"/>
        <w:numPr>
          <w:ilvl w:val="0"/>
          <w:numId w:val="24"/>
        </w:numPr>
        <w:spacing w:line="360" w:lineRule="auto"/>
        <w:ind w:left="720" w:hanging="270"/>
        <w:rPr>
          <w:rFonts w:asciiTheme="majorBidi" w:hAnsiTheme="majorBidi" w:cstheme="majorBidi"/>
          <w:i/>
          <w:iCs/>
          <w:sz w:val="24"/>
          <w:szCs w:val="24"/>
        </w:rPr>
      </w:pPr>
      <w:r w:rsidRPr="00A953FB">
        <w:rPr>
          <w:rFonts w:asciiTheme="majorBidi" w:hAnsiTheme="majorBidi" w:cstheme="majorBidi"/>
          <w:sz w:val="24"/>
          <w:szCs w:val="24"/>
        </w:rPr>
        <w:t xml:space="preserve">Metode </w:t>
      </w: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p>
    <w:p w:rsidR="00343B61" w:rsidRPr="007E25E5" w:rsidRDefault="00343B61" w:rsidP="00343B61">
      <w:pPr>
        <w:autoSpaceDE w:val="0"/>
        <w:autoSpaceDN w:val="0"/>
        <w:adjustRightInd w:val="0"/>
        <w:spacing w:after="0" w:line="360" w:lineRule="auto"/>
        <w:ind w:left="450" w:firstLine="630"/>
        <w:jc w:val="both"/>
        <w:rPr>
          <w:rFonts w:asciiTheme="majorBidi" w:hAnsiTheme="majorBidi" w:cstheme="majorBidi"/>
          <w:sz w:val="24"/>
          <w:szCs w:val="24"/>
        </w:rPr>
      </w:pP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heme="majorBidi" w:hAnsiTheme="majorBidi" w:cstheme="majorBidi"/>
          <w:sz w:val="24"/>
          <w:szCs w:val="24"/>
        </w:rPr>
        <w:t xml:space="preserve"> secara sederhana dapat diartikan sebagai berpaling dari ketetapan dalil khusus kepada ketetapan dalil umum. ‘Abd al-Wahhab Khallâf mendefinisikan </w:t>
      </w:r>
      <w:r w:rsidRPr="00910CE3">
        <w:rPr>
          <w:rFonts w:asciiTheme="majorBidi" w:hAnsiTheme="majorBidi" w:cstheme="majorBidi"/>
          <w:i/>
          <w:iCs/>
          <w:sz w:val="24"/>
          <w:szCs w:val="24"/>
        </w:rPr>
        <w:t xml:space="preserve">al- </w:t>
      </w: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dengan :</w:t>
      </w:r>
    </w:p>
    <w:p w:rsidR="00343B61" w:rsidRPr="007E25E5" w:rsidRDefault="00343B61" w:rsidP="00343B61">
      <w:pPr>
        <w:autoSpaceDE w:val="0"/>
        <w:autoSpaceDN w:val="0"/>
        <w:bidi/>
        <w:adjustRightInd w:val="0"/>
        <w:spacing w:after="0" w:line="240" w:lineRule="auto"/>
        <w:ind w:right="450"/>
        <w:rPr>
          <w:rFonts w:ascii="TraditionalArabic" w:hAnsi="Times New Roman" w:cs="TraditionalArabic"/>
          <w:sz w:val="28"/>
          <w:szCs w:val="28"/>
        </w:rPr>
      </w:pPr>
      <w:r w:rsidRPr="007E25E5">
        <w:rPr>
          <w:rFonts w:ascii="Adobe نسخ Medium" w:hAnsi="Adobe نسخ Medium" w:cs="Traditional Arabic"/>
          <w:sz w:val="32"/>
          <w:szCs w:val="32"/>
          <w:rtl/>
        </w:rPr>
        <w:t>العدول</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عن</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حكم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اقتضاه</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دليل</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شرعي</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في</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واقعة</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إلى</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حكم</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أخر</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فيها</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لدليل</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شرعي</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اقتضى</w:t>
      </w:r>
      <w:r w:rsidRPr="007E25E5">
        <w:rPr>
          <w:rFonts w:ascii="Adobe نسخ Medium" w:hAnsi="Adobe نسخ Medium" w:cs="Traditional Arabic"/>
          <w:sz w:val="32"/>
          <w:szCs w:val="32"/>
        </w:rPr>
        <w:t xml:space="preserve"> </w:t>
      </w:r>
      <w:r w:rsidRPr="007E25E5">
        <w:rPr>
          <w:rFonts w:ascii="Adobe نسخ Medium" w:hAnsi="Adobe نسخ Medium" w:cs="Traditional Arabic"/>
          <w:sz w:val="32"/>
          <w:szCs w:val="32"/>
          <w:rtl/>
        </w:rPr>
        <w:t>هذاالعدول</w:t>
      </w:r>
      <w:r w:rsidRPr="00910CE3">
        <w:rPr>
          <w:rFonts w:ascii="TraditionalArabic" w:hAnsi="Times New Roman" w:cs="TraditionalArabic" w:hint="cs"/>
          <w:sz w:val="13"/>
          <w:szCs w:val="13"/>
          <w:rtl/>
        </w:rPr>
        <w:t xml:space="preserve"> </w:t>
      </w:r>
      <w:r w:rsidRPr="00910CE3">
        <w:rPr>
          <w:rStyle w:val="FootnoteReference"/>
          <w:rFonts w:ascii="TraditionalArabic" w:hAnsi="Times New Roman" w:cs="TraditionalArabic"/>
          <w:sz w:val="13"/>
          <w:szCs w:val="13"/>
          <w:rtl/>
        </w:rPr>
        <w:footnoteReference w:id="272"/>
      </w:r>
    </w:p>
    <w:p w:rsidR="00343B61" w:rsidRPr="00910CE3" w:rsidRDefault="00343B61" w:rsidP="00343B61">
      <w:pPr>
        <w:autoSpaceDE w:val="0"/>
        <w:autoSpaceDN w:val="0"/>
        <w:adjustRightInd w:val="0"/>
        <w:spacing w:after="0" w:line="240" w:lineRule="auto"/>
        <w:ind w:left="1260"/>
        <w:jc w:val="both"/>
        <w:rPr>
          <w:rFonts w:ascii="Times New Roman" w:hAnsi="Times New Roman" w:cs="Times New Roman"/>
          <w:i/>
          <w:iCs/>
          <w:sz w:val="24"/>
          <w:szCs w:val="24"/>
        </w:rPr>
      </w:pPr>
      <w:r w:rsidRPr="00910CE3">
        <w:rPr>
          <w:rFonts w:ascii="Times New Roman" w:hAnsi="Times New Roman" w:cs="Times New Roman"/>
          <w:sz w:val="24"/>
          <w:szCs w:val="24"/>
        </w:rPr>
        <w:t>Artinya “</w:t>
      </w:r>
      <w:r w:rsidRPr="00910CE3">
        <w:rPr>
          <w:rFonts w:ascii="Times New Roman" w:hAnsi="Times New Roman" w:cs="Times New Roman"/>
          <w:i/>
          <w:iCs/>
          <w:sz w:val="24"/>
          <w:szCs w:val="24"/>
        </w:rPr>
        <w:t>Beralih dari ketentuan hukum yang dikehendaki oleh dalil Syariah mengenai suatu kasus kepada ketentuan hukum lain lantaran ada dalil Syariah lain yang menghendaki tindakan beralih tersebut</w:t>
      </w:r>
      <w:r w:rsidRPr="00910CE3">
        <w:rPr>
          <w:rFonts w:ascii="Times New Roman" w:hAnsi="Times New Roman" w:cs="Times New Roman"/>
          <w:sz w:val="24"/>
          <w:szCs w:val="24"/>
        </w:rPr>
        <w:t>”.</w:t>
      </w:r>
    </w:p>
    <w:p w:rsidR="00343B61" w:rsidRPr="00910CE3" w:rsidRDefault="00343B61" w:rsidP="00343B61">
      <w:pPr>
        <w:autoSpaceDE w:val="0"/>
        <w:autoSpaceDN w:val="0"/>
        <w:adjustRightInd w:val="0"/>
        <w:spacing w:after="0" w:line="360" w:lineRule="auto"/>
        <w:ind w:left="1260"/>
        <w:jc w:val="both"/>
        <w:rPr>
          <w:rFonts w:ascii="Times New Roman" w:hAnsi="Times New Roman" w:cs="Times New Roman"/>
          <w:i/>
          <w:iCs/>
          <w:sz w:val="24"/>
          <w:szCs w:val="24"/>
        </w:rPr>
      </w:pPr>
    </w:p>
    <w:p w:rsidR="00343B61" w:rsidRPr="00D54AA1" w:rsidRDefault="00343B61" w:rsidP="00343B61">
      <w:pPr>
        <w:spacing w:line="360" w:lineRule="auto"/>
        <w:ind w:left="450" w:firstLine="630"/>
        <w:jc w:val="both"/>
        <w:rPr>
          <w:rFonts w:asciiTheme="majorBidi" w:hAnsiTheme="majorBidi" w:cstheme="majorBidi"/>
          <w:i/>
          <w:iCs/>
          <w:sz w:val="24"/>
          <w:szCs w:val="24"/>
        </w:rPr>
      </w:pP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imesNewArabic" w:hAnsi="TimesNewArabic" w:cs="TimesNewArabic"/>
          <w:sz w:val="24"/>
          <w:szCs w:val="24"/>
        </w:rPr>
        <w:t xml:space="preserve"> dibedakan menjadi 2 (dua) macam, yaitu (a) </w:t>
      </w:r>
      <w:r w:rsidRPr="00910CE3">
        <w:rPr>
          <w:rFonts w:ascii="TimesNewArabic" w:hAnsi="TimesNewArabic" w:cs="TimesNewArabic"/>
          <w:i/>
          <w:iCs/>
          <w:sz w:val="24"/>
          <w:szCs w:val="24"/>
        </w:rPr>
        <w:t>al-</w:t>
      </w:r>
      <w:r w:rsidRPr="00910CE3">
        <w:rPr>
          <w:rFonts w:asciiTheme="majorBidi" w:hAnsiTheme="majorBidi" w:cstheme="majorBidi"/>
          <w:i/>
          <w:iCs/>
          <w:sz w:val="24"/>
          <w:szCs w:val="24"/>
        </w:rPr>
        <w:t xml:space="preserve"> </w:t>
      </w: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imesNewArabic" w:hAnsi="TimesNewArabic" w:cs="TimesNewArabic"/>
          <w:i/>
          <w:iCs/>
          <w:sz w:val="24"/>
          <w:szCs w:val="24"/>
        </w:rPr>
        <w:t xml:space="preserve"> al-qiy</w:t>
      </w:r>
      <w:r w:rsidRPr="00A953FB">
        <w:rPr>
          <w:rFonts w:asciiTheme="majorBidi" w:hAnsiTheme="majorBidi" w:cstheme="majorBidi"/>
          <w:i/>
          <w:iCs/>
          <w:sz w:val="24"/>
          <w:szCs w:val="24"/>
        </w:rPr>
        <w:t>ā</w:t>
      </w:r>
      <w:r w:rsidRPr="00910CE3">
        <w:rPr>
          <w:rFonts w:ascii="TimesNewArabic" w:hAnsi="TimesNewArabic" w:cs="TimesNewArabic"/>
          <w:i/>
          <w:iCs/>
          <w:sz w:val="24"/>
          <w:szCs w:val="24"/>
        </w:rPr>
        <w:t>siy</w:t>
      </w:r>
      <w:r w:rsidRPr="00910CE3">
        <w:rPr>
          <w:rFonts w:ascii="TimesNewArabic" w:hAnsi="TimesNewArabic" w:cs="TimesNewArabic"/>
          <w:sz w:val="24"/>
          <w:szCs w:val="24"/>
        </w:rPr>
        <w:t xml:space="preserve"> dan (b) </w:t>
      </w:r>
      <w:r w:rsidRPr="00910CE3">
        <w:rPr>
          <w:rFonts w:ascii="TimesNewArabic" w:hAnsi="TimesNewArabic" w:cs="TimesNewArabic"/>
          <w:i/>
          <w:iCs/>
          <w:sz w:val="24"/>
          <w:szCs w:val="24"/>
        </w:rPr>
        <w:t>al-</w:t>
      </w:r>
      <w:r w:rsidRPr="00910CE3">
        <w:rPr>
          <w:rFonts w:asciiTheme="majorBidi" w:hAnsiTheme="majorBidi" w:cstheme="majorBidi"/>
          <w:i/>
          <w:iCs/>
          <w:sz w:val="24"/>
          <w:szCs w:val="24"/>
        </w:rPr>
        <w:t xml:space="preserve"> </w:t>
      </w: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imesNewArabic" w:hAnsi="TimesNewArabic" w:cs="TimesNewArabic"/>
          <w:i/>
          <w:iCs/>
          <w:sz w:val="24"/>
          <w:szCs w:val="24"/>
        </w:rPr>
        <w:t xml:space="preserve"> al-istitsn</w:t>
      </w:r>
      <w:r w:rsidRPr="00A953FB">
        <w:rPr>
          <w:rFonts w:asciiTheme="majorBidi" w:hAnsiTheme="majorBidi" w:cstheme="majorBidi"/>
          <w:i/>
          <w:iCs/>
          <w:sz w:val="24"/>
          <w:szCs w:val="24"/>
        </w:rPr>
        <w:t>ā</w:t>
      </w:r>
      <w:r w:rsidRPr="00910CE3">
        <w:rPr>
          <w:rFonts w:ascii="TimesNewArabic" w:hAnsi="TimesNewArabic" w:cs="TimesNewArabic"/>
          <w:i/>
          <w:iCs/>
          <w:sz w:val="24"/>
          <w:szCs w:val="24"/>
        </w:rPr>
        <w:t>’iy</w:t>
      </w:r>
      <w:r w:rsidRPr="00910CE3">
        <w:rPr>
          <w:rFonts w:ascii="TimesNewArabic" w:hAnsi="TimesNewArabic" w:cs="TimesNewArabic"/>
          <w:sz w:val="24"/>
          <w:szCs w:val="24"/>
        </w:rPr>
        <w:t xml:space="preserve">. Yang dimaksud </w:t>
      </w:r>
      <w:r w:rsidRPr="00910CE3">
        <w:rPr>
          <w:rFonts w:ascii="TimesNewArabic" w:hAnsi="TimesNewArabic" w:cs="TimesNewArabic"/>
          <w:i/>
          <w:iCs/>
          <w:sz w:val="24"/>
          <w:szCs w:val="24"/>
        </w:rPr>
        <w:t>al-</w:t>
      </w:r>
      <w:r w:rsidRPr="00910CE3">
        <w:rPr>
          <w:rFonts w:asciiTheme="majorBidi" w:hAnsiTheme="majorBidi" w:cstheme="majorBidi"/>
          <w:i/>
          <w:iCs/>
          <w:sz w:val="24"/>
          <w:szCs w:val="24"/>
        </w:rPr>
        <w:t xml:space="preserve"> </w:t>
      </w:r>
      <w:r w:rsidRPr="00A953FB">
        <w:rPr>
          <w:rFonts w:asciiTheme="majorBidi" w:hAnsiTheme="majorBidi" w:cstheme="majorBidi"/>
          <w:i/>
          <w:iCs/>
          <w:sz w:val="24"/>
          <w:szCs w:val="24"/>
        </w:rPr>
        <w:t>isti</w:t>
      </w:r>
      <w:r w:rsidRPr="00A953FB">
        <w:rPr>
          <w:rFonts w:asciiTheme="majorBidi" w:hAnsiTheme="majorBidi" w:cstheme="majorBidi"/>
          <w:i/>
          <w:iCs/>
          <w:sz w:val="24"/>
          <w:szCs w:val="24"/>
          <w:u w:val="single"/>
        </w:rPr>
        <w:t>h</w:t>
      </w:r>
      <w:r w:rsidRPr="00A953FB">
        <w:rPr>
          <w:rFonts w:asciiTheme="majorBidi" w:hAnsiTheme="majorBidi" w:cstheme="majorBidi"/>
          <w:i/>
          <w:iCs/>
          <w:sz w:val="24"/>
          <w:szCs w:val="24"/>
        </w:rPr>
        <w:t>sān</w:t>
      </w:r>
      <w:r w:rsidRPr="00910CE3">
        <w:rPr>
          <w:rFonts w:ascii="TimesNewArabic" w:hAnsi="TimesNewArabic" w:cs="TimesNewArabic"/>
          <w:i/>
          <w:iCs/>
          <w:sz w:val="24"/>
          <w:szCs w:val="24"/>
        </w:rPr>
        <w:t xml:space="preserve"> al-qiy</w:t>
      </w:r>
      <w:r w:rsidRPr="00A953FB">
        <w:rPr>
          <w:rFonts w:asciiTheme="majorBidi" w:hAnsiTheme="majorBidi" w:cstheme="majorBidi"/>
          <w:i/>
          <w:iCs/>
          <w:sz w:val="24"/>
          <w:szCs w:val="24"/>
        </w:rPr>
        <w:t>ā</w:t>
      </w:r>
      <w:r w:rsidRPr="00910CE3">
        <w:rPr>
          <w:rFonts w:ascii="TimesNewArabic" w:hAnsi="TimesNewArabic" w:cs="TimesNewArabic"/>
          <w:i/>
          <w:iCs/>
          <w:sz w:val="24"/>
          <w:szCs w:val="24"/>
        </w:rPr>
        <w:t>siy</w:t>
      </w:r>
      <w:r w:rsidRPr="00910CE3">
        <w:rPr>
          <w:rFonts w:ascii="TimesNewArabic" w:hAnsi="TimesNewArabic" w:cs="TimesNewArabic"/>
          <w:sz w:val="24"/>
          <w:szCs w:val="24"/>
        </w:rPr>
        <w:t xml:space="preserve"> adalah mengutamakan dan mendahulukan (</w:t>
      </w:r>
      <w:r w:rsidRPr="00AC0872">
        <w:rPr>
          <w:rFonts w:asciiTheme="majorBidi" w:hAnsiTheme="majorBidi" w:cstheme="majorBidi"/>
          <w:i/>
          <w:iCs/>
          <w:sz w:val="24"/>
          <w:szCs w:val="24"/>
        </w:rPr>
        <w:t>tarj</w:t>
      </w:r>
      <w:r w:rsidRPr="00D44F72">
        <w:rPr>
          <w:rFonts w:asciiTheme="majorBidi" w:hAnsiTheme="majorBidi" w:cstheme="majorBidi"/>
          <w:i/>
          <w:iCs/>
          <w:sz w:val="24"/>
          <w:szCs w:val="24"/>
        </w:rPr>
        <w:t>ī</w:t>
      </w:r>
      <w:r w:rsidRPr="00AC0872">
        <w:rPr>
          <w:rFonts w:asciiTheme="majorBidi" w:hAnsiTheme="majorBidi" w:cstheme="majorBidi"/>
          <w:i/>
          <w:iCs/>
          <w:sz w:val="24"/>
          <w:szCs w:val="24"/>
        </w:rPr>
        <w:t>h</w:t>
      </w:r>
      <w:r w:rsidRPr="00D54AA1">
        <w:rPr>
          <w:rFonts w:ascii="TimesNewArabic" w:hAnsi="TimesNewArabic" w:cs="TimesNewArabic"/>
          <w:sz w:val="24"/>
          <w:szCs w:val="24"/>
        </w:rPr>
        <w:t xml:space="preserve">) penerapan </w:t>
      </w:r>
      <w:r w:rsidRPr="00D54AA1">
        <w:rPr>
          <w:rFonts w:ascii="TimesNewArabic" w:hAnsi="TimesNewArabic" w:cs="TimesNewArabic"/>
          <w:i/>
          <w:iCs/>
          <w:sz w:val="24"/>
          <w:szCs w:val="24"/>
        </w:rPr>
        <w:t>qiy</w:t>
      </w:r>
      <w:r w:rsidRPr="00D54AA1">
        <w:rPr>
          <w:rFonts w:asciiTheme="majorBidi" w:hAnsiTheme="majorBidi" w:cstheme="majorBidi"/>
          <w:i/>
          <w:iCs/>
          <w:sz w:val="24"/>
          <w:szCs w:val="24"/>
        </w:rPr>
        <w:t>ā</w:t>
      </w:r>
      <w:r w:rsidRPr="00D54AA1">
        <w:rPr>
          <w:rFonts w:ascii="TimesNewArabic" w:hAnsi="TimesNewArabic" w:cs="TimesNewArabic"/>
          <w:i/>
          <w:iCs/>
          <w:sz w:val="24"/>
          <w:szCs w:val="24"/>
        </w:rPr>
        <w:t>s</w:t>
      </w:r>
      <w:r w:rsidRPr="00D54AA1">
        <w:rPr>
          <w:rFonts w:ascii="TimesNewArabic" w:hAnsi="TimesNewArabic" w:cs="TimesNewArabic"/>
          <w:sz w:val="24"/>
          <w:szCs w:val="24"/>
        </w:rPr>
        <w:t xml:space="preserve"> </w:t>
      </w:r>
      <w:r w:rsidRPr="00D54AA1">
        <w:rPr>
          <w:rFonts w:ascii="TimesNewArabic" w:hAnsi="TimesNewArabic" w:cs="TimesNewArabic"/>
          <w:i/>
          <w:iCs/>
          <w:sz w:val="24"/>
          <w:szCs w:val="24"/>
        </w:rPr>
        <w:t>kh</w:t>
      </w:r>
      <w:r w:rsidRPr="00D54AA1">
        <w:rPr>
          <w:rFonts w:asciiTheme="majorBidi" w:hAnsiTheme="majorBidi" w:cstheme="majorBidi"/>
          <w:i/>
          <w:iCs/>
          <w:sz w:val="24"/>
          <w:szCs w:val="24"/>
        </w:rPr>
        <w:t>ā</w:t>
      </w:r>
      <w:r w:rsidRPr="00D54AA1">
        <w:rPr>
          <w:rFonts w:ascii="TimesNewArabic" w:hAnsi="TimesNewArabic" w:cs="TimesNewArabic"/>
          <w:i/>
          <w:iCs/>
          <w:sz w:val="24"/>
          <w:szCs w:val="24"/>
        </w:rPr>
        <w:t>fiy</w:t>
      </w:r>
      <w:r w:rsidRPr="00D54AA1">
        <w:rPr>
          <w:rFonts w:ascii="TimesNewArabic" w:hAnsi="TimesNewArabic" w:cs="TimesNewArabic"/>
          <w:sz w:val="24"/>
          <w:szCs w:val="24"/>
        </w:rPr>
        <w:t xml:space="preserve"> dari pada penerapan </w:t>
      </w:r>
      <w:r w:rsidRPr="00D54AA1">
        <w:rPr>
          <w:rFonts w:ascii="TimesNewArabic" w:hAnsi="TimesNewArabic" w:cs="TimesNewArabic"/>
          <w:i/>
          <w:iCs/>
          <w:sz w:val="24"/>
          <w:szCs w:val="24"/>
        </w:rPr>
        <w:t>qiy</w:t>
      </w:r>
      <w:r w:rsidRPr="00D54AA1">
        <w:rPr>
          <w:rFonts w:asciiTheme="majorBidi" w:hAnsiTheme="majorBidi" w:cstheme="majorBidi"/>
          <w:i/>
          <w:iCs/>
          <w:sz w:val="24"/>
          <w:szCs w:val="24"/>
        </w:rPr>
        <w:t>ā</w:t>
      </w:r>
      <w:r w:rsidRPr="00D54AA1">
        <w:rPr>
          <w:rFonts w:ascii="TimesNewArabic" w:hAnsi="TimesNewArabic" w:cs="TimesNewArabic"/>
          <w:i/>
          <w:iCs/>
          <w:sz w:val="24"/>
          <w:szCs w:val="24"/>
        </w:rPr>
        <w:t>s</w:t>
      </w:r>
      <w:r w:rsidRPr="00D54AA1">
        <w:rPr>
          <w:rFonts w:ascii="TimesNewArabic" w:hAnsi="TimesNewArabic" w:cs="TimesNewArabic"/>
          <w:sz w:val="24"/>
          <w:szCs w:val="24"/>
        </w:rPr>
        <w:t xml:space="preserve"> </w:t>
      </w:r>
      <w:r w:rsidRPr="00D54AA1">
        <w:rPr>
          <w:rFonts w:ascii="TimesNewArabic" w:hAnsi="TimesNewArabic" w:cs="TimesNewArabic"/>
          <w:i/>
          <w:iCs/>
          <w:sz w:val="24"/>
          <w:szCs w:val="24"/>
        </w:rPr>
        <w:t>jaliy</w:t>
      </w:r>
      <w:r w:rsidRPr="00D54AA1">
        <w:rPr>
          <w:rFonts w:ascii="TimesNewArabic" w:hAnsi="TimesNewArabic" w:cs="TimesNewArabic"/>
          <w:sz w:val="24"/>
          <w:szCs w:val="24"/>
        </w:rPr>
        <w:t xml:space="preserve"> berdasarkan </w:t>
      </w:r>
      <w:r w:rsidRPr="00D54AA1">
        <w:rPr>
          <w:rFonts w:ascii="Times New Roman" w:hAnsi="Times New Roman" w:cs="Times New Roman"/>
          <w:sz w:val="24"/>
          <w:szCs w:val="24"/>
        </w:rPr>
        <w:t xml:space="preserve">suatu dalil. Sedangkan </w:t>
      </w:r>
      <w:r w:rsidRPr="00D54AA1">
        <w:rPr>
          <w:rFonts w:ascii="TimesNewArabic" w:hAnsi="TimesNewArabic" w:cs="TimesNewArabic"/>
          <w:i/>
          <w:iCs/>
          <w:sz w:val="24"/>
          <w:szCs w:val="24"/>
        </w:rPr>
        <w:t>al-</w:t>
      </w:r>
      <w:r w:rsidRPr="00D54AA1">
        <w:rPr>
          <w:rFonts w:asciiTheme="majorBidi" w:hAnsiTheme="majorBidi" w:cstheme="majorBidi"/>
          <w:i/>
          <w:iCs/>
          <w:sz w:val="24"/>
          <w:szCs w:val="24"/>
        </w:rPr>
        <w:t xml:space="preserve"> isti</w:t>
      </w:r>
      <w:r w:rsidRPr="00D54AA1">
        <w:rPr>
          <w:rFonts w:asciiTheme="majorBidi" w:hAnsiTheme="majorBidi" w:cstheme="majorBidi"/>
          <w:i/>
          <w:iCs/>
          <w:sz w:val="24"/>
          <w:szCs w:val="24"/>
          <w:u w:val="single"/>
        </w:rPr>
        <w:t>h</w:t>
      </w:r>
      <w:r w:rsidRPr="00D54AA1">
        <w:rPr>
          <w:rFonts w:asciiTheme="majorBidi" w:hAnsiTheme="majorBidi" w:cstheme="majorBidi"/>
          <w:i/>
          <w:iCs/>
          <w:sz w:val="24"/>
          <w:szCs w:val="24"/>
        </w:rPr>
        <w:t>sān</w:t>
      </w:r>
      <w:r w:rsidRPr="00D54AA1">
        <w:rPr>
          <w:rFonts w:ascii="TimesNewArabic" w:hAnsi="TimesNewArabic" w:cs="TimesNewArabic"/>
          <w:i/>
          <w:iCs/>
          <w:sz w:val="24"/>
          <w:szCs w:val="24"/>
        </w:rPr>
        <w:t xml:space="preserve"> al-istitsn</w:t>
      </w:r>
      <w:r w:rsidRPr="00D54AA1">
        <w:rPr>
          <w:rFonts w:asciiTheme="majorBidi" w:hAnsiTheme="majorBidi" w:cstheme="majorBidi"/>
          <w:i/>
          <w:iCs/>
          <w:sz w:val="24"/>
          <w:szCs w:val="24"/>
        </w:rPr>
        <w:t>ā</w:t>
      </w:r>
      <w:r w:rsidRPr="00D54AA1">
        <w:rPr>
          <w:rFonts w:ascii="TimesNewArabic" w:hAnsi="TimesNewArabic" w:cs="TimesNewArabic"/>
          <w:i/>
          <w:iCs/>
          <w:sz w:val="24"/>
          <w:szCs w:val="24"/>
        </w:rPr>
        <w:t>’iy</w:t>
      </w:r>
      <w:r w:rsidRPr="00D54AA1">
        <w:rPr>
          <w:rFonts w:ascii="Times New Roman" w:hAnsi="Times New Roman" w:cs="Times New Roman"/>
          <w:i/>
          <w:iCs/>
          <w:sz w:val="24"/>
          <w:szCs w:val="24"/>
        </w:rPr>
        <w:t xml:space="preserve"> </w:t>
      </w:r>
      <w:r w:rsidRPr="00D54AA1">
        <w:rPr>
          <w:rFonts w:ascii="Times New Roman" w:hAnsi="Times New Roman" w:cs="Times New Roman"/>
          <w:sz w:val="24"/>
          <w:szCs w:val="24"/>
        </w:rPr>
        <w:t>adalah mengecualikan dan mengeluarkan (</w:t>
      </w:r>
      <w:r w:rsidRPr="00D54AA1">
        <w:rPr>
          <w:rFonts w:ascii="Times New Roman" w:hAnsi="Times New Roman" w:cs="Times New Roman"/>
          <w:i/>
          <w:iCs/>
          <w:sz w:val="24"/>
          <w:szCs w:val="24"/>
        </w:rPr>
        <w:t>istitsn</w:t>
      </w:r>
      <w:r w:rsidRPr="00D54AA1">
        <w:rPr>
          <w:rFonts w:asciiTheme="majorBidi" w:hAnsiTheme="majorBidi" w:cstheme="majorBidi"/>
          <w:i/>
          <w:iCs/>
          <w:sz w:val="24"/>
          <w:szCs w:val="24"/>
        </w:rPr>
        <w:t>ā</w:t>
      </w:r>
      <w:r w:rsidRPr="00D54AA1">
        <w:rPr>
          <w:rFonts w:ascii="Times New Roman" w:hAnsi="Times New Roman" w:cs="Times New Roman"/>
          <w:i/>
          <w:iCs/>
          <w:sz w:val="24"/>
          <w:szCs w:val="24"/>
        </w:rPr>
        <w:t>’</w:t>
      </w:r>
      <w:r w:rsidRPr="00D54AA1">
        <w:rPr>
          <w:rFonts w:ascii="Times New Roman" w:hAnsi="Times New Roman" w:cs="Times New Roman"/>
          <w:sz w:val="24"/>
          <w:szCs w:val="24"/>
        </w:rPr>
        <w:t>) suatu masalah partikular dari cakupan prinsip, asas, dan hukum yang universal berdasarkan suatu dalil.</w:t>
      </w:r>
      <w:r w:rsidRPr="00910CE3">
        <w:rPr>
          <w:rStyle w:val="FootnoteReference"/>
          <w:rFonts w:ascii="Times New Roman" w:hAnsi="Times New Roman" w:cs="Times New Roman"/>
          <w:sz w:val="24"/>
          <w:szCs w:val="24"/>
        </w:rPr>
        <w:footnoteReference w:id="273"/>
      </w:r>
    </w:p>
    <w:p w:rsidR="00343B61" w:rsidRPr="00953982" w:rsidRDefault="00343B61" w:rsidP="00343B61">
      <w:pPr>
        <w:pStyle w:val="ListParagraph"/>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Sebagai contoh, menurut sunnah tanah wakaf tidak boleh dialihkan kepemilikannya dengan dijual, atau diwariskan dan dihibahkan. Tapi jika tanah wakaf tersebut tidak difungsikan sesuai dengan tujuan wakaf, ini berarti mubazir. Al-Qur’ān melarang perbuatan mubazir. Untuk kasus seperti ini bisa </w:t>
      </w:r>
      <w:r w:rsidRPr="00910CE3">
        <w:rPr>
          <w:rFonts w:ascii="Times New Roman" w:hAnsi="Times New Roman" w:cs="Times New Roman"/>
          <w:sz w:val="24"/>
          <w:szCs w:val="24"/>
        </w:rPr>
        <w:lastRenderedPageBreak/>
        <w:t xml:space="preserve">diterapkan metode </w:t>
      </w:r>
      <w:r w:rsidRPr="00D54AA1">
        <w:rPr>
          <w:rFonts w:asciiTheme="majorBidi" w:hAnsiTheme="majorBidi" w:cstheme="majorBidi"/>
          <w:i/>
          <w:iCs/>
          <w:sz w:val="24"/>
          <w:szCs w:val="24"/>
        </w:rPr>
        <w:t>isti</w:t>
      </w:r>
      <w:r w:rsidRPr="00D54AA1">
        <w:rPr>
          <w:rFonts w:asciiTheme="majorBidi" w:hAnsiTheme="majorBidi" w:cstheme="majorBidi"/>
          <w:i/>
          <w:iCs/>
          <w:sz w:val="24"/>
          <w:szCs w:val="24"/>
          <w:u w:val="single"/>
        </w:rPr>
        <w:t>h</w:t>
      </w:r>
      <w:r w:rsidRPr="00D54AA1">
        <w:rPr>
          <w:rFonts w:asciiTheme="majorBidi" w:hAnsiTheme="majorBidi" w:cstheme="majorBidi"/>
          <w:i/>
          <w:iCs/>
          <w:sz w:val="24"/>
          <w:szCs w:val="24"/>
        </w:rPr>
        <w:t>sān</w:t>
      </w:r>
      <w:r w:rsidRPr="00910CE3">
        <w:rPr>
          <w:rFonts w:ascii="Times New Roman" w:hAnsi="Times New Roman" w:cs="Times New Roman"/>
          <w:sz w:val="24"/>
          <w:szCs w:val="24"/>
        </w:rPr>
        <w:t xml:space="preserve"> untuk mengefektifkan tanah wakaf tersebut sesuai dengan tujuan wakaf.</w:t>
      </w:r>
      <w:r w:rsidRPr="00910CE3">
        <w:rPr>
          <w:rStyle w:val="FootnoteReference"/>
          <w:rFonts w:ascii="Times New Roman" w:hAnsi="Times New Roman" w:cs="Times New Roman"/>
          <w:sz w:val="24"/>
          <w:szCs w:val="24"/>
        </w:rPr>
        <w:footnoteReference w:id="274"/>
      </w:r>
    </w:p>
    <w:p w:rsidR="00343B61" w:rsidRPr="00910CE3" w:rsidRDefault="00343B61" w:rsidP="00343B61">
      <w:pPr>
        <w:pStyle w:val="ListParagraph"/>
        <w:tabs>
          <w:tab w:val="left" w:pos="450"/>
        </w:tabs>
        <w:autoSpaceDE w:val="0"/>
        <w:autoSpaceDN w:val="0"/>
        <w:adjustRightInd w:val="0"/>
        <w:spacing w:after="0" w:line="360" w:lineRule="auto"/>
        <w:ind w:left="450"/>
        <w:jc w:val="both"/>
        <w:rPr>
          <w:rFonts w:ascii="TimesNewArabic" w:hAnsi="TimesNewArabic" w:cs="TimesNewArabic"/>
          <w:sz w:val="25"/>
          <w:szCs w:val="25"/>
        </w:rPr>
      </w:pPr>
      <w:r w:rsidRPr="000E3045">
        <w:rPr>
          <w:rFonts w:ascii="TimesNewArabic" w:hAnsi="TimesNewArabic" w:cs="TimesNewArabic"/>
          <w:sz w:val="25"/>
          <w:szCs w:val="25"/>
        </w:rPr>
        <w:t>3</w:t>
      </w:r>
      <w:r>
        <w:rPr>
          <w:rFonts w:ascii="TimesNewArabic" w:hAnsi="TimesNewArabic" w:cs="TimesNewArabic"/>
          <w:i/>
          <w:iCs/>
          <w:sz w:val="25"/>
          <w:szCs w:val="25"/>
        </w:rPr>
        <w:t xml:space="preserve">. </w:t>
      </w:r>
      <w:r w:rsidRPr="006860A8">
        <w:rPr>
          <w:rFonts w:asciiTheme="majorBidi" w:hAnsiTheme="majorBidi" w:cstheme="majorBidi"/>
          <w:i/>
          <w:iCs/>
          <w:sz w:val="24"/>
          <w:szCs w:val="24"/>
        </w:rPr>
        <w:t>Ma</w:t>
      </w:r>
      <w:r w:rsidRPr="009260BA">
        <w:rPr>
          <w:rFonts w:asciiTheme="majorBidi" w:hAnsiTheme="majorBidi" w:cstheme="majorBidi"/>
          <w:i/>
          <w:iCs/>
          <w:color w:val="222222"/>
          <w:sz w:val="24"/>
          <w:szCs w:val="24"/>
        </w:rPr>
        <w:t>ṣ</w:t>
      </w:r>
      <w:r w:rsidRPr="006860A8">
        <w:rPr>
          <w:rFonts w:asciiTheme="majorBidi" w:hAnsiTheme="majorBidi" w:cstheme="majorBidi"/>
          <w:i/>
          <w:iCs/>
          <w:sz w:val="24"/>
          <w:szCs w:val="24"/>
        </w:rPr>
        <w:t>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ah Mursalah</w:t>
      </w:r>
    </w:p>
    <w:p w:rsidR="00343B61" w:rsidRPr="00910CE3" w:rsidRDefault="00343B61" w:rsidP="00343B61">
      <w:pPr>
        <w:pStyle w:val="ListParagraph"/>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Kata </w:t>
      </w:r>
      <w:r w:rsidRPr="006860A8">
        <w:rPr>
          <w:rFonts w:asciiTheme="majorBidi" w:hAnsiTheme="majorBidi" w:cstheme="majorBidi"/>
          <w:i/>
          <w:iCs/>
          <w:sz w:val="24"/>
          <w:szCs w:val="24"/>
        </w:rPr>
        <w:t>ma</w:t>
      </w:r>
      <w:r w:rsidRPr="009260BA">
        <w:rPr>
          <w:rFonts w:asciiTheme="majorBidi" w:hAnsiTheme="majorBidi" w:cstheme="majorBidi"/>
          <w:i/>
          <w:iCs/>
          <w:color w:val="222222"/>
          <w:sz w:val="24"/>
          <w:szCs w:val="24"/>
        </w:rPr>
        <w:t>ṣ</w:t>
      </w:r>
      <w:r w:rsidRPr="006860A8">
        <w:rPr>
          <w:rFonts w:asciiTheme="majorBidi" w:hAnsiTheme="majorBidi" w:cstheme="majorBidi"/>
          <w:i/>
          <w:iCs/>
          <w:sz w:val="24"/>
          <w:szCs w:val="24"/>
        </w:rPr>
        <w:t>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 xml:space="preserve">ah </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telah disadur kedalam bahasa Indonesia yang berarti </w:t>
      </w:r>
      <w:r w:rsidRPr="00910CE3">
        <w:rPr>
          <w:rFonts w:ascii="TimesNewRoman" w:hAnsi="Times New Roman" w:cs="TimesNewRoman" w:hint="cs"/>
          <w:sz w:val="24"/>
          <w:szCs w:val="24"/>
        </w:rPr>
        <w:t>“</w:t>
      </w:r>
      <w:r w:rsidRPr="00910CE3">
        <w:rPr>
          <w:rFonts w:ascii="Times New Roman" w:hAnsi="Times New Roman" w:cs="Times New Roman"/>
          <w:sz w:val="24"/>
          <w:szCs w:val="24"/>
        </w:rPr>
        <w:t>sesuatu yang mendatangkan kebaikan</w:t>
      </w:r>
      <w:r w:rsidRPr="00910CE3">
        <w:rPr>
          <w:rFonts w:ascii="TimesNewRoman" w:hAnsi="Times New Roman" w:cs="TimesNewRoman" w:hint="cs"/>
          <w:sz w:val="24"/>
          <w:szCs w:val="24"/>
        </w:rPr>
        <w:t>”</w:t>
      </w:r>
      <w:r w:rsidRPr="00910CE3">
        <w:rPr>
          <w:rFonts w:ascii="Times New Roman" w:hAnsi="Times New Roman" w:cs="Times New Roman"/>
          <w:sz w:val="24"/>
          <w:szCs w:val="24"/>
        </w:rPr>
        <w:t>.</w:t>
      </w:r>
      <w:r w:rsidRPr="00910CE3">
        <w:rPr>
          <w:rStyle w:val="FootnoteReference"/>
          <w:rFonts w:ascii="Times New Roman" w:hAnsi="Times New Roman" w:cs="Times New Roman"/>
          <w:sz w:val="24"/>
          <w:szCs w:val="24"/>
        </w:rPr>
        <w:footnoteReference w:id="275"/>
      </w:r>
      <w:r w:rsidRPr="00910CE3">
        <w:rPr>
          <w:rFonts w:ascii="Times New Roman" w:hAnsi="Times New Roman" w:cs="Times New Roman"/>
          <w:sz w:val="24"/>
          <w:szCs w:val="24"/>
        </w:rPr>
        <w:t xml:space="preserve"> Secara etimologis, arti </w:t>
      </w:r>
      <w:r w:rsidRPr="006860A8">
        <w:rPr>
          <w:rFonts w:asciiTheme="majorBidi" w:hAnsiTheme="majorBidi" w:cstheme="majorBidi"/>
          <w:i/>
          <w:iCs/>
          <w:sz w:val="24"/>
          <w:szCs w:val="24"/>
        </w:rPr>
        <w:t>ma</w:t>
      </w:r>
      <w:r w:rsidRPr="009260BA">
        <w:rPr>
          <w:rFonts w:asciiTheme="majorBidi" w:hAnsiTheme="majorBidi" w:cstheme="majorBidi"/>
          <w:i/>
          <w:iCs/>
          <w:color w:val="222222"/>
          <w:sz w:val="24"/>
          <w:szCs w:val="24"/>
        </w:rPr>
        <w:t>ṣ</w:t>
      </w:r>
      <w:r w:rsidRPr="006860A8">
        <w:rPr>
          <w:rFonts w:asciiTheme="majorBidi" w:hAnsiTheme="majorBidi" w:cstheme="majorBidi"/>
          <w:i/>
          <w:iCs/>
          <w:sz w:val="24"/>
          <w:szCs w:val="24"/>
        </w:rPr>
        <w:t>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ah</w:t>
      </w:r>
      <w:r>
        <w:rPr>
          <w:rFonts w:asciiTheme="majorBidi" w:hAnsiTheme="majorBidi" w:cstheme="majorBidi"/>
          <w:i/>
          <w:iCs/>
          <w:sz w:val="24"/>
          <w:szCs w:val="24"/>
        </w:rPr>
        <w:t xml:space="preserve"> </w:t>
      </w:r>
      <w:r w:rsidRPr="00910CE3">
        <w:rPr>
          <w:rFonts w:ascii="Times New Roman" w:hAnsi="Times New Roman" w:cs="Times New Roman"/>
          <w:i/>
          <w:iCs/>
          <w:sz w:val="24"/>
          <w:szCs w:val="24"/>
        </w:rPr>
        <w:t xml:space="preserve"> </w:t>
      </w:r>
      <w:r w:rsidRPr="00CF716F">
        <w:rPr>
          <w:rFonts w:ascii="Times New Roman" w:hAnsi="Times New Roman" w:cs="Times New Roman"/>
          <w:b/>
          <w:bCs/>
          <w:sz w:val="20"/>
          <w:szCs w:val="20"/>
        </w:rPr>
        <w:t>(</w:t>
      </w:r>
      <w:r w:rsidRPr="00CF716F">
        <w:rPr>
          <w:rFonts w:ascii="SimplifiedArabic" w:hAnsi="Times New Roman" w:cs="Traditional Arabic" w:hint="cs"/>
          <w:sz w:val="27"/>
          <w:szCs w:val="27"/>
          <w:rtl/>
        </w:rPr>
        <w:t>مصلحة</w:t>
      </w:r>
      <w:r w:rsidRPr="00CF716F">
        <w:rPr>
          <w:rFonts w:ascii="Times New Roman" w:hAnsi="Times New Roman" w:cs="Times New Roman"/>
          <w:b/>
          <w:bCs/>
          <w:sz w:val="20"/>
          <w:szCs w:val="20"/>
        </w:rPr>
        <w:t>)</w:t>
      </w:r>
      <w:r w:rsidRPr="00CF716F">
        <w:rPr>
          <w:rFonts w:ascii="Times New Roman" w:hAnsi="Times New Roman" w:cs="Times New Roman"/>
          <w:sz w:val="20"/>
          <w:szCs w:val="20"/>
        </w:rPr>
        <w:t xml:space="preserve"> </w:t>
      </w:r>
      <w:r w:rsidRPr="00910CE3">
        <w:rPr>
          <w:rFonts w:ascii="Times New Roman" w:hAnsi="Times New Roman" w:cs="Times New Roman"/>
          <w:sz w:val="24"/>
          <w:szCs w:val="24"/>
        </w:rPr>
        <w:t xml:space="preserve">dapat berarti kebaikan, kebermanfaatan, kepantasan, kelayakan, keselarasan, kepatutan. Kata </w:t>
      </w:r>
      <w:r w:rsidRPr="00910CE3">
        <w:rPr>
          <w:rFonts w:ascii="Times New Roman" w:hAnsi="Times New Roman" w:cs="Times New Roman"/>
          <w:i/>
          <w:iCs/>
          <w:sz w:val="24"/>
          <w:szCs w:val="24"/>
        </w:rPr>
        <w:t>al-</w:t>
      </w:r>
      <w:r w:rsidRPr="006860A8">
        <w:rPr>
          <w:rFonts w:asciiTheme="majorBidi" w:hAnsiTheme="majorBidi" w:cstheme="majorBidi"/>
          <w:i/>
          <w:iCs/>
          <w:sz w:val="24"/>
          <w:szCs w:val="24"/>
        </w:rPr>
        <w:t>ma</w:t>
      </w:r>
      <w:r w:rsidRPr="009260BA">
        <w:rPr>
          <w:rFonts w:asciiTheme="majorBidi" w:hAnsiTheme="majorBidi" w:cstheme="majorBidi"/>
          <w:i/>
          <w:iCs/>
          <w:color w:val="222222"/>
          <w:sz w:val="24"/>
          <w:szCs w:val="24"/>
        </w:rPr>
        <w:t>ṣ</w:t>
      </w:r>
      <w:r w:rsidRPr="006860A8">
        <w:rPr>
          <w:rFonts w:asciiTheme="majorBidi" w:hAnsiTheme="majorBidi" w:cstheme="majorBidi"/>
          <w:i/>
          <w:iCs/>
          <w:sz w:val="24"/>
          <w:szCs w:val="24"/>
        </w:rPr>
        <w:t>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adakalanya dilawankan dengan kata </w:t>
      </w:r>
      <w:r w:rsidRPr="00910CE3">
        <w:rPr>
          <w:rFonts w:ascii="Times New Roman" w:hAnsi="Times New Roman" w:cs="Times New Roman"/>
          <w:i/>
          <w:iCs/>
          <w:sz w:val="24"/>
          <w:szCs w:val="24"/>
        </w:rPr>
        <w:t xml:space="preserve">al-mafsadah </w:t>
      </w:r>
      <w:r w:rsidRPr="00910CE3">
        <w:rPr>
          <w:rFonts w:ascii="Times New Roman" w:hAnsi="Times New Roman" w:cs="Times New Roman"/>
          <w:sz w:val="24"/>
          <w:szCs w:val="24"/>
        </w:rPr>
        <w:t xml:space="preserve">dan adakalanya dilawankan dengan kata </w:t>
      </w:r>
      <w:r w:rsidRPr="00910CE3">
        <w:rPr>
          <w:rFonts w:ascii="Times New Roman" w:hAnsi="Times New Roman" w:cs="Times New Roman"/>
          <w:i/>
          <w:iCs/>
          <w:sz w:val="24"/>
          <w:szCs w:val="24"/>
        </w:rPr>
        <w:t>al-madarrah</w:t>
      </w:r>
      <w:r w:rsidRPr="00910CE3">
        <w:rPr>
          <w:rFonts w:ascii="Times New Roman" w:hAnsi="Times New Roman" w:cs="Times New Roman"/>
          <w:sz w:val="24"/>
          <w:szCs w:val="24"/>
        </w:rPr>
        <w:t>, yang mengandung arti: kerusakan.</w:t>
      </w:r>
      <w:r w:rsidRPr="00910CE3">
        <w:rPr>
          <w:rStyle w:val="FootnoteReference"/>
          <w:rFonts w:ascii="Times New Roman" w:hAnsi="Times New Roman" w:cs="Times New Roman"/>
          <w:sz w:val="24"/>
          <w:szCs w:val="24"/>
        </w:rPr>
        <w:footnoteReference w:id="276"/>
      </w:r>
    </w:p>
    <w:p w:rsidR="00343B61" w:rsidRPr="00910CE3" w:rsidRDefault="00343B61" w:rsidP="00343B61">
      <w:pPr>
        <w:autoSpaceDE w:val="0"/>
        <w:autoSpaceDN w:val="0"/>
        <w:adjustRightInd w:val="0"/>
        <w:spacing w:after="0" w:line="360" w:lineRule="auto"/>
        <w:ind w:firstLine="1260"/>
        <w:rPr>
          <w:rFonts w:ascii="Times New Roman" w:hAnsi="Times New Roman" w:cs="Times New Roman"/>
          <w:sz w:val="24"/>
          <w:szCs w:val="24"/>
        </w:rPr>
      </w:pPr>
      <w:r w:rsidRPr="00910CE3">
        <w:rPr>
          <w:rFonts w:ascii="Times New Roman" w:hAnsi="Times New Roman" w:cs="Times New Roman"/>
          <w:sz w:val="24"/>
          <w:szCs w:val="24"/>
        </w:rPr>
        <w:t xml:space="preserve">Al-Buthi memahami </w:t>
      </w:r>
      <w:r w:rsidRPr="006860A8">
        <w:rPr>
          <w:rFonts w:asciiTheme="majorBidi" w:hAnsiTheme="majorBidi" w:cstheme="majorBidi"/>
          <w:i/>
          <w:iCs/>
          <w:sz w:val="24"/>
          <w:szCs w:val="24"/>
        </w:rPr>
        <w:t>ma</w:t>
      </w:r>
      <w:r w:rsidRPr="009260BA">
        <w:rPr>
          <w:rFonts w:asciiTheme="majorBidi" w:hAnsiTheme="majorBidi" w:cstheme="majorBidi"/>
          <w:i/>
          <w:iCs/>
          <w:color w:val="222222"/>
          <w:sz w:val="24"/>
          <w:szCs w:val="24"/>
        </w:rPr>
        <w:t>ṣ</w:t>
      </w:r>
      <w:r w:rsidRPr="006860A8">
        <w:rPr>
          <w:rFonts w:asciiTheme="majorBidi" w:hAnsiTheme="majorBidi" w:cstheme="majorBidi"/>
          <w:i/>
          <w:iCs/>
          <w:sz w:val="24"/>
          <w:szCs w:val="24"/>
        </w:rPr>
        <w:t>la</w:t>
      </w:r>
      <w:r w:rsidRPr="006860A8">
        <w:rPr>
          <w:rFonts w:asciiTheme="majorBidi" w:hAnsiTheme="majorBidi" w:cstheme="majorBidi"/>
          <w:i/>
          <w:iCs/>
          <w:sz w:val="24"/>
          <w:szCs w:val="24"/>
          <w:u w:val="single"/>
        </w:rPr>
        <w:t>h</w:t>
      </w:r>
      <w:r w:rsidRPr="006860A8">
        <w:rPr>
          <w:rFonts w:asciiTheme="majorBidi" w:hAnsiTheme="majorBidi" w:cstheme="majorBidi"/>
          <w:i/>
          <w:iCs/>
          <w:sz w:val="24"/>
          <w:szCs w:val="24"/>
        </w:rPr>
        <w:t>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secara etimologi sebagai berikut: </w:t>
      </w:r>
    </w:p>
    <w:p w:rsidR="00343B61" w:rsidRPr="00910CE3" w:rsidRDefault="00343B61" w:rsidP="00343B61">
      <w:pPr>
        <w:autoSpaceDE w:val="0"/>
        <w:autoSpaceDN w:val="0"/>
        <w:bidi/>
        <w:adjustRightInd w:val="0"/>
        <w:spacing w:after="0" w:line="240" w:lineRule="auto"/>
        <w:ind w:right="450"/>
        <w:rPr>
          <w:rFonts w:ascii="Arial" w:hAnsi="Arial"/>
          <w:sz w:val="28"/>
          <w:szCs w:val="28"/>
        </w:rPr>
      </w:pPr>
      <w:r w:rsidRPr="0076609C">
        <w:rPr>
          <w:rFonts w:ascii="Adobe نسخ Medium" w:hAnsi="Adobe نسخ Medium" w:cs="Traditional Arabic"/>
          <w:sz w:val="32"/>
          <w:szCs w:val="32"/>
          <w:rtl/>
        </w:rPr>
        <w:t>فكل</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ما</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كان</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فيه</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نفع</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سواء</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كان</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بالجلب</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والتحصيل</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كاستحصال</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الفوائد</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واللذائذ</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أو بالدفع</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والإتفاء،</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كاستبعاد</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المضار</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والآلام</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فهو</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جدير</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بأنه</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يسمى</w:t>
      </w:r>
      <w:r w:rsidRPr="0076609C">
        <w:rPr>
          <w:rFonts w:ascii="Adobe نسخ Medium" w:hAnsi="Adobe نسخ Medium" w:cs="Traditional Arabic"/>
          <w:sz w:val="32"/>
          <w:szCs w:val="32"/>
        </w:rPr>
        <w:t xml:space="preserve"> </w:t>
      </w:r>
      <w:r w:rsidRPr="0076609C">
        <w:rPr>
          <w:rFonts w:ascii="Adobe نسخ Medium" w:hAnsi="Adobe نسخ Medium" w:cs="Traditional Arabic"/>
          <w:sz w:val="32"/>
          <w:szCs w:val="32"/>
          <w:rtl/>
        </w:rPr>
        <w:t>مصلحة</w:t>
      </w:r>
      <w:r w:rsidRPr="00910CE3">
        <w:rPr>
          <w:rFonts w:ascii="SimplifiedArabic" w:cs="SimplifiedArabic" w:hint="cs"/>
          <w:sz w:val="28"/>
          <w:szCs w:val="28"/>
          <w:rtl/>
        </w:rPr>
        <w:t xml:space="preserve"> </w:t>
      </w:r>
      <w:r w:rsidRPr="00910CE3">
        <w:rPr>
          <w:rStyle w:val="FootnoteReference"/>
          <w:rFonts w:ascii="SimplifiedArabic" w:cs="SimplifiedArabic"/>
          <w:sz w:val="28"/>
          <w:szCs w:val="28"/>
          <w:rtl/>
        </w:rPr>
        <w:footnoteReference w:id="277"/>
      </w:r>
    </w:p>
    <w:p w:rsidR="00343B61" w:rsidRDefault="00343B61" w:rsidP="00343B61">
      <w:pPr>
        <w:autoSpaceDE w:val="0"/>
        <w:autoSpaceDN w:val="0"/>
        <w:adjustRightInd w:val="0"/>
        <w:spacing w:after="0" w:line="240" w:lineRule="auto"/>
        <w:ind w:left="1260"/>
        <w:jc w:val="both"/>
        <w:rPr>
          <w:rFonts w:ascii="Times New Roman" w:hAnsi="Times New Roman" w:cs="Times New Roman"/>
          <w:i/>
          <w:iCs/>
          <w:sz w:val="24"/>
          <w:szCs w:val="24"/>
        </w:rPr>
      </w:pPr>
      <w:r w:rsidRPr="00910CE3">
        <w:rPr>
          <w:rFonts w:ascii="Times New Roman" w:hAnsi="Times New Roman" w:cs="Times New Roman"/>
          <w:sz w:val="24"/>
          <w:szCs w:val="24"/>
        </w:rPr>
        <w:t xml:space="preserve">Artinya: </w:t>
      </w:r>
      <w:r w:rsidRPr="00910CE3">
        <w:rPr>
          <w:rFonts w:ascii="Times New Roman" w:hAnsi="Times New Roman" w:cs="Times New Roman"/>
          <w:i/>
          <w:iCs/>
          <w:sz w:val="24"/>
          <w:szCs w:val="24"/>
        </w:rPr>
        <w:t>“Segala sesuatu yang mengandung kemanfaatan, baik dengan cara meraih atau mewujudkan, seperti mewujudkan berbagai faedah dan kenikmatan atau dengan cara menolak dan memelihara diri, seperti menjauhkan diri dari berbagai kemudharatan dan sesuatu yang menyakiti, maka hal tersebut patut disebut mashlahah.”</w:t>
      </w:r>
    </w:p>
    <w:p w:rsidR="00343B61" w:rsidRPr="00953982" w:rsidRDefault="00343B61" w:rsidP="00343B61">
      <w:pPr>
        <w:autoSpaceDE w:val="0"/>
        <w:autoSpaceDN w:val="0"/>
        <w:adjustRightInd w:val="0"/>
        <w:spacing w:after="0" w:line="240" w:lineRule="auto"/>
        <w:ind w:left="1260"/>
        <w:jc w:val="both"/>
        <w:rPr>
          <w:rFonts w:ascii="Times New Roman" w:hAnsi="Times New Roman" w:cs="Times New Roman"/>
          <w:i/>
          <w:iCs/>
          <w:sz w:val="24"/>
          <w:szCs w:val="24"/>
        </w:rPr>
      </w:pP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Secara terminologis, maslahat telah diberi muatan makna oleh beberapa ulama </w:t>
      </w:r>
      <w:r w:rsidRPr="00791345">
        <w:rPr>
          <w:rFonts w:ascii="Times New Roman" w:hAnsi="Times New Roman" w:cs="Times New Roman"/>
          <w:sz w:val="24"/>
          <w:szCs w:val="24"/>
        </w:rPr>
        <w:t>usul fiqh</w:t>
      </w:r>
      <w:r>
        <w:rPr>
          <w:rFonts w:ascii="Times New Roman" w:hAnsi="Times New Roman" w:cs="Times New Roman"/>
          <w:sz w:val="24"/>
          <w:szCs w:val="24"/>
        </w:rPr>
        <w:t>. Al-Gaza</w:t>
      </w:r>
      <w:r w:rsidRPr="00910CE3">
        <w:rPr>
          <w:rFonts w:ascii="Times New Roman" w:hAnsi="Times New Roman" w:cs="Times New Roman"/>
          <w:sz w:val="24"/>
          <w:szCs w:val="24"/>
        </w:rPr>
        <w:t xml:space="preserve">li (w. 505 H), misalnya, mengatakan bahwa makna </w:t>
      </w:r>
      <w:r w:rsidRPr="00910CE3">
        <w:rPr>
          <w:rFonts w:ascii="Times New Roman" w:hAnsi="Times New Roman" w:cs="Times New Roman"/>
          <w:i/>
          <w:iCs/>
          <w:sz w:val="24"/>
          <w:szCs w:val="24"/>
        </w:rPr>
        <w:t xml:space="preserve">genuine </w:t>
      </w:r>
      <w:r w:rsidRPr="00910CE3">
        <w:rPr>
          <w:rFonts w:ascii="Times New Roman" w:hAnsi="Times New Roman" w:cs="Times New Roman"/>
          <w:sz w:val="24"/>
          <w:szCs w:val="24"/>
        </w:rPr>
        <w:t>dari maslahat adalah menarik/mewujudkan kemanfaatan atau menyingkirkan/menghindari kemudaratan (</w:t>
      </w:r>
      <w:r w:rsidRPr="0076609C">
        <w:rPr>
          <w:rFonts w:ascii="Times New Roman" w:hAnsi="Times New Roman" w:cs="Traditional Arabic" w:hint="cs"/>
          <w:sz w:val="24"/>
          <w:szCs w:val="24"/>
          <w:rtl/>
        </w:rPr>
        <w:t>جلب المنفعة أو دفع</w:t>
      </w:r>
      <w:r w:rsidRPr="00910CE3">
        <w:rPr>
          <w:rFonts w:ascii="Times New Roman" w:hAnsi="Times New Roman" w:cs="Times New Roman" w:hint="cs"/>
          <w:sz w:val="24"/>
          <w:szCs w:val="24"/>
          <w:rtl/>
        </w:rPr>
        <w:t xml:space="preserve"> </w:t>
      </w:r>
      <w:r w:rsidRPr="0076609C">
        <w:rPr>
          <w:rFonts w:ascii="Times New Roman" w:hAnsi="Times New Roman" w:cs="Traditional Arabic" w:hint="cs"/>
          <w:sz w:val="24"/>
          <w:szCs w:val="24"/>
          <w:rtl/>
        </w:rPr>
        <w:t>المضارة</w:t>
      </w:r>
      <w:r w:rsidRPr="0076609C">
        <w:rPr>
          <w:rFonts w:ascii="Times New Roman" w:hAnsi="Times New Roman" w:cs="Traditional Arabic"/>
          <w:sz w:val="24"/>
          <w:szCs w:val="24"/>
        </w:rPr>
        <w:t>).</w:t>
      </w:r>
      <w:r w:rsidRPr="00910CE3">
        <w:rPr>
          <w:rFonts w:ascii="Times New Roman" w:hAnsi="Times New Roman" w:cs="Times New Roman"/>
          <w:sz w:val="24"/>
          <w:szCs w:val="24"/>
        </w:rPr>
        <w:t xml:space="preserve"> Menurut al-Gazâli, yang dimaksud maslahat, dalam arti terminologis-syar’i, adalah memelihara dan mewujudkan tujuan hukum Islam (Syariah) </w:t>
      </w:r>
      <w:r w:rsidRPr="00910CE3">
        <w:rPr>
          <w:rFonts w:ascii="Times New Roman" w:hAnsi="Times New Roman" w:cs="Times New Roman"/>
          <w:sz w:val="24"/>
          <w:szCs w:val="24"/>
        </w:rPr>
        <w:lastRenderedPageBreak/>
        <w:t xml:space="preserve">yang berupa memelihara agama, jiwa, akal budi, keturunan, dan harta kekayaan. Ditegaskan oleh al-Gazâli bahwa setiap sesuatu yang dapat menjamin dan melindungi eksistensi salah satu dari kelima hal tersebut dikualifikasi sebagai maslahat; sebaliknya, setiap sesuatu yang dapat mengganggu dan merusak salah satu dari kelima hal tersebut dinilai sebagai </w:t>
      </w:r>
      <w:r w:rsidRPr="00910CE3">
        <w:rPr>
          <w:rFonts w:ascii="Times New Roman" w:hAnsi="Times New Roman" w:cs="Times New Roman"/>
          <w:i/>
          <w:iCs/>
          <w:sz w:val="24"/>
          <w:szCs w:val="24"/>
        </w:rPr>
        <w:t>almafsadah</w:t>
      </w:r>
      <w:r w:rsidRPr="00910CE3">
        <w:rPr>
          <w:rFonts w:ascii="Times New Roman" w:hAnsi="Times New Roman" w:cs="Times New Roman"/>
          <w:sz w:val="24"/>
          <w:szCs w:val="24"/>
        </w:rPr>
        <w:t>; maka, mencegah dan menghilangkan sesuatu yang dapat mengganggu dan merusak salah satu dari kelima hal tersebut dikualifikasi sebagai maslahat.</w:t>
      </w:r>
      <w:r w:rsidRPr="00910CE3">
        <w:rPr>
          <w:rStyle w:val="FootnoteReference"/>
          <w:rFonts w:ascii="Times New Roman" w:hAnsi="Times New Roman" w:cs="Times New Roman"/>
          <w:sz w:val="24"/>
          <w:szCs w:val="24"/>
        </w:rPr>
        <w:footnoteReference w:id="278"/>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Pengertian maslahat </w:t>
      </w:r>
      <w:r>
        <w:rPr>
          <w:rFonts w:ascii="Times New Roman" w:hAnsi="Times New Roman" w:cs="Times New Roman"/>
          <w:sz w:val="24"/>
          <w:szCs w:val="24"/>
        </w:rPr>
        <w:t>juga dikemukakan oleh ‘Izz al-Din ‘Abd al-Sala</w:t>
      </w:r>
      <w:r w:rsidRPr="00910CE3">
        <w:rPr>
          <w:rFonts w:ascii="Times New Roman" w:hAnsi="Times New Roman" w:cs="Times New Roman"/>
          <w:sz w:val="24"/>
          <w:szCs w:val="24"/>
        </w:rPr>
        <w:t>m (w. 660 H). Dalam pandanga</w:t>
      </w:r>
      <w:r>
        <w:rPr>
          <w:rFonts w:ascii="Times New Roman" w:hAnsi="Times New Roman" w:cs="Times New Roman"/>
          <w:sz w:val="24"/>
          <w:szCs w:val="24"/>
        </w:rPr>
        <w:t>n ‘Izz al-Din ‘Abd al-Sala</w:t>
      </w:r>
      <w:r w:rsidRPr="00910CE3">
        <w:rPr>
          <w:rFonts w:ascii="Times New Roman" w:hAnsi="Times New Roman" w:cs="Times New Roman"/>
          <w:sz w:val="24"/>
          <w:szCs w:val="24"/>
        </w:rPr>
        <w:t xml:space="preserve">m, maslahat itu identik dengan </w:t>
      </w:r>
      <w:r w:rsidRPr="00910CE3">
        <w:rPr>
          <w:rFonts w:ascii="Times New Roman" w:hAnsi="Times New Roman" w:cs="Times New Roman"/>
          <w:i/>
          <w:iCs/>
          <w:sz w:val="24"/>
          <w:szCs w:val="24"/>
        </w:rPr>
        <w:t>alkhair</w:t>
      </w:r>
      <w:r w:rsidRPr="00910CE3">
        <w:rPr>
          <w:rFonts w:ascii="Times New Roman" w:hAnsi="Times New Roman" w:cs="Times New Roman"/>
          <w:sz w:val="24"/>
          <w:szCs w:val="24"/>
        </w:rPr>
        <w:t xml:space="preserve"> (kebajikan), </w:t>
      </w:r>
      <w:r w:rsidRPr="00910CE3">
        <w:rPr>
          <w:rFonts w:ascii="Times New Roman" w:hAnsi="Times New Roman" w:cs="Times New Roman"/>
          <w:i/>
          <w:iCs/>
          <w:sz w:val="24"/>
          <w:szCs w:val="24"/>
        </w:rPr>
        <w:t>al-naf</w:t>
      </w:r>
      <w:r w:rsidRPr="00910CE3">
        <w:rPr>
          <w:rFonts w:ascii="Times New Roman" w:hAnsi="Times New Roman" w:cs="Times New Roman"/>
          <w:sz w:val="24"/>
          <w:szCs w:val="24"/>
        </w:rPr>
        <w:t xml:space="preserve">‘(kebermanfaatan), </w:t>
      </w:r>
      <w:r w:rsidRPr="00910CE3">
        <w:rPr>
          <w:rFonts w:ascii="Times New Roman" w:hAnsi="Times New Roman" w:cs="Times New Roman"/>
          <w:i/>
          <w:iCs/>
          <w:sz w:val="24"/>
          <w:szCs w:val="24"/>
        </w:rPr>
        <w:t xml:space="preserve">al-hasan </w:t>
      </w:r>
      <w:r w:rsidRPr="00910CE3">
        <w:rPr>
          <w:rFonts w:ascii="Times New Roman" w:hAnsi="Times New Roman" w:cs="Times New Roman"/>
          <w:sz w:val="24"/>
          <w:szCs w:val="24"/>
        </w:rPr>
        <w:t>(kebaikan).</w:t>
      </w:r>
      <w:r w:rsidRPr="00910CE3">
        <w:rPr>
          <w:rStyle w:val="FootnoteReference"/>
          <w:rFonts w:ascii="Times New Roman" w:hAnsi="Times New Roman" w:cs="Times New Roman"/>
          <w:sz w:val="24"/>
          <w:szCs w:val="24"/>
        </w:rPr>
        <w:footnoteReference w:id="279"/>
      </w:r>
      <w:r w:rsidRPr="00910CE3">
        <w:rPr>
          <w:rFonts w:ascii="Times New Roman" w:hAnsi="Times New Roman" w:cs="Times New Roman"/>
          <w:sz w:val="13"/>
          <w:szCs w:val="13"/>
        </w:rPr>
        <w:t xml:space="preserve"> </w:t>
      </w:r>
      <w:r>
        <w:rPr>
          <w:rFonts w:ascii="Times New Roman" w:hAnsi="Times New Roman" w:cs="Times New Roman"/>
          <w:sz w:val="24"/>
          <w:szCs w:val="24"/>
        </w:rPr>
        <w:t>Sementara Najm al- Din al-Tu</w:t>
      </w:r>
      <w:r w:rsidRPr="00910CE3">
        <w:rPr>
          <w:rFonts w:ascii="Times New Roman" w:hAnsi="Times New Roman" w:cs="Times New Roman"/>
          <w:sz w:val="24"/>
          <w:szCs w:val="24"/>
        </w:rPr>
        <w:t>fi (w. 716 H) berpendapat bahwa makna maslahat dapat ditinjau dari segi ‘</w:t>
      </w:r>
      <w:r w:rsidRPr="00910CE3">
        <w:rPr>
          <w:rFonts w:ascii="Times New Roman" w:hAnsi="Times New Roman" w:cs="Times New Roman"/>
          <w:i/>
          <w:iCs/>
          <w:sz w:val="24"/>
          <w:szCs w:val="24"/>
        </w:rPr>
        <w:t>urf</w:t>
      </w:r>
      <w:r w:rsidRPr="00FD1755">
        <w:rPr>
          <w:rFonts w:asciiTheme="majorBidi" w:hAnsiTheme="majorBidi" w:cstheme="majorBidi"/>
          <w:bCs/>
          <w:i/>
          <w:iCs/>
          <w:sz w:val="24"/>
          <w:szCs w:val="24"/>
        </w:rPr>
        <w:t>ī</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dan </w:t>
      </w:r>
      <w:r w:rsidRPr="00910CE3">
        <w:rPr>
          <w:rFonts w:ascii="Times New Roman" w:hAnsi="Times New Roman" w:cs="Times New Roman"/>
          <w:i/>
          <w:iCs/>
          <w:sz w:val="24"/>
          <w:szCs w:val="24"/>
        </w:rPr>
        <w:t>syar</w:t>
      </w:r>
      <w:r w:rsidRPr="00910CE3">
        <w:rPr>
          <w:rFonts w:ascii="Times New Roman" w:hAnsi="Times New Roman" w:cs="Times New Roman"/>
          <w:sz w:val="24"/>
          <w:szCs w:val="24"/>
        </w:rPr>
        <w:t>‘</w:t>
      </w:r>
      <w:r w:rsidRPr="00FD1755">
        <w:rPr>
          <w:rFonts w:asciiTheme="majorBidi" w:hAnsiTheme="majorBidi" w:cstheme="majorBidi"/>
          <w:bCs/>
          <w:i/>
          <w:iCs/>
          <w:sz w:val="24"/>
          <w:szCs w:val="24"/>
        </w:rPr>
        <w:t>ī</w:t>
      </w:r>
      <w:r w:rsidRPr="00910CE3">
        <w:rPr>
          <w:rFonts w:ascii="Times New Roman" w:hAnsi="Times New Roman" w:cs="Times New Roman"/>
          <w:sz w:val="24"/>
          <w:szCs w:val="24"/>
        </w:rPr>
        <w:t>. Menurut al-T</w:t>
      </w:r>
      <w:r>
        <w:rPr>
          <w:rFonts w:ascii="Times New Roman" w:hAnsi="Times New Roman" w:cs="Times New Roman"/>
          <w:sz w:val="24"/>
          <w:szCs w:val="24"/>
        </w:rPr>
        <w:t>ufi</w:t>
      </w:r>
      <w:r w:rsidRPr="00910CE3">
        <w:rPr>
          <w:rFonts w:ascii="Times New Roman" w:hAnsi="Times New Roman" w:cs="Times New Roman"/>
          <w:sz w:val="24"/>
          <w:szCs w:val="24"/>
        </w:rPr>
        <w:t xml:space="preserve">, dalam arti </w:t>
      </w:r>
      <w:r w:rsidRPr="00910CE3">
        <w:rPr>
          <w:rFonts w:ascii="Times New Roman" w:hAnsi="Times New Roman" w:cs="Times New Roman"/>
          <w:i/>
          <w:iCs/>
          <w:sz w:val="24"/>
          <w:szCs w:val="24"/>
        </w:rPr>
        <w:t>‘urfi</w:t>
      </w:r>
      <w:r w:rsidRPr="00910CE3">
        <w:rPr>
          <w:rFonts w:ascii="Times New Roman" w:hAnsi="Times New Roman" w:cs="Times New Roman"/>
          <w:sz w:val="24"/>
          <w:szCs w:val="24"/>
        </w:rPr>
        <w:t xml:space="preserve">, maslahat adalah sebab yang membawa kepada kebaikan dan kemanfaatan, seperti perniagaan yang merupakan sebab yang membawa kepada keuntungan, sedang dalam arti </w:t>
      </w:r>
      <w:r w:rsidRPr="00910CE3">
        <w:rPr>
          <w:rFonts w:ascii="Times New Roman" w:hAnsi="Times New Roman" w:cs="Times New Roman"/>
          <w:i/>
          <w:iCs/>
          <w:sz w:val="24"/>
          <w:szCs w:val="24"/>
        </w:rPr>
        <w:t>syar</w:t>
      </w:r>
      <w:r w:rsidRPr="00910CE3">
        <w:rPr>
          <w:rFonts w:ascii="Times New Roman" w:hAnsi="Times New Roman" w:cs="Times New Roman"/>
          <w:sz w:val="24"/>
          <w:szCs w:val="24"/>
        </w:rPr>
        <w:t>‘</w:t>
      </w:r>
      <w:r w:rsidRPr="00910CE3">
        <w:rPr>
          <w:rFonts w:ascii="Times New Roman" w:hAnsi="Times New Roman" w:cs="Times New Roman"/>
          <w:i/>
          <w:iCs/>
          <w:sz w:val="24"/>
          <w:szCs w:val="24"/>
        </w:rPr>
        <w:t>î</w:t>
      </w:r>
      <w:r w:rsidRPr="00910CE3">
        <w:rPr>
          <w:rFonts w:ascii="Times New Roman" w:hAnsi="Times New Roman" w:cs="Times New Roman"/>
          <w:sz w:val="24"/>
          <w:szCs w:val="24"/>
        </w:rPr>
        <w:t xml:space="preserve">, maslahat adalah sebab yang membawa kepada tujuan </w:t>
      </w:r>
      <w:r w:rsidRPr="00910CE3">
        <w:rPr>
          <w:rFonts w:ascii="Times New Roman" w:hAnsi="Times New Roman" w:cs="Times New Roman"/>
          <w:i/>
          <w:iCs/>
          <w:sz w:val="24"/>
          <w:szCs w:val="24"/>
        </w:rPr>
        <w:t>al-Sy</w:t>
      </w:r>
      <w:r>
        <w:rPr>
          <w:rFonts w:asciiTheme="majorBidi" w:hAnsiTheme="majorBidi" w:cstheme="majorBidi"/>
          <w:i/>
          <w:iCs/>
          <w:sz w:val="24"/>
          <w:szCs w:val="24"/>
          <w:lang w:val="id-ID"/>
        </w:rPr>
        <w:t>ā</w:t>
      </w:r>
      <w:r w:rsidRPr="00910CE3">
        <w:rPr>
          <w:rFonts w:ascii="Times New Roman" w:hAnsi="Times New Roman" w:cs="Times New Roman"/>
          <w:i/>
          <w:iCs/>
          <w:sz w:val="24"/>
          <w:szCs w:val="24"/>
        </w:rPr>
        <w:t>ri</w:t>
      </w:r>
      <w:r w:rsidRPr="00910CE3">
        <w:rPr>
          <w:rFonts w:ascii="Times New Roman" w:hAnsi="Times New Roman" w:cs="Times New Roman"/>
          <w:sz w:val="24"/>
          <w:szCs w:val="24"/>
        </w:rPr>
        <w:t>‘, baik yang menyangkut ibadah maupun muamalah.</w:t>
      </w:r>
      <w:r w:rsidRPr="00910CE3">
        <w:rPr>
          <w:rStyle w:val="FootnoteReference"/>
          <w:rFonts w:ascii="Times New Roman" w:hAnsi="Times New Roman" w:cs="Times New Roman"/>
          <w:sz w:val="24"/>
          <w:szCs w:val="24"/>
        </w:rPr>
        <w:footnoteReference w:id="280"/>
      </w:r>
      <w:r w:rsidRPr="00910CE3">
        <w:rPr>
          <w:rFonts w:ascii="Times New Roman" w:hAnsi="Times New Roman" w:cs="Times New Roman"/>
          <w:sz w:val="13"/>
          <w:szCs w:val="13"/>
        </w:rPr>
        <w:t xml:space="preserve"> </w:t>
      </w:r>
      <w:r w:rsidRPr="00910CE3">
        <w:rPr>
          <w:rFonts w:ascii="Times New Roman" w:hAnsi="Times New Roman" w:cs="Times New Roman"/>
          <w:sz w:val="24"/>
          <w:szCs w:val="24"/>
        </w:rPr>
        <w:t xml:space="preserve">Tegasnya, maslahat masuk dalam cakupan </w:t>
      </w:r>
      <w:r w:rsidRPr="00910CE3">
        <w:rPr>
          <w:rFonts w:ascii="Times New Roman" w:hAnsi="Times New Roman" w:cs="Times New Roman"/>
          <w:i/>
          <w:iCs/>
          <w:sz w:val="24"/>
          <w:szCs w:val="24"/>
        </w:rPr>
        <w:t>maq</w:t>
      </w:r>
      <w:r>
        <w:rPr>
          <w:rFonts w:asciiTheme="majorBidi" w:hAnsiTheme="majorBidi" w:cstheme="majorBidi"/>
          <w:i/>
          <w:iCs/>
          <w:sz w:val="24"/>
          <w:szCs w:val="24"/>
          <w:lang w:val="id-ID"/>
        </w:rPr>
        <w:t>ā</w:t>
      </w:r>
      <w:r>
        <w:rPr>
          <w:rFonts w:ascii="Times New Roman" w:hAnsi="Times New Roman" w:cs="Times New Roman"/>
          <w:i/>
          <w:iCs/>
          <w:sz w:val="24"/>
          <w:szCs w:val="24"/>
        </w:rPr>
        <w:t xml:space="preserve">sid </w:t>
      </w:r>
      <w:r w:rsidRPr="00910CE3">
        <w:rPr>
          <w:rFonts w:ascii="Times New Roman" w:hAnsi="Times New Roman" w:cs="Times New Roman"/>
          <w:i/>
          <w:iCs/>
          <w:sz w:val="24"/>
          <w:szCs w:val="24"/>
        </w:rPr>
        <w:t>al-syar</w:t>
      </w:r>
      <w:r w:rsidRPr="00FD1755">
        <w:rPr>
          <w:rFonts w:asciiTheme="majorBidi" w:hAnsiTheme="majorBidi" w:cstheme="majorBidi"/>
          <w:bCs/>
          <w:i/>
          <w:iCs/>
          <w:sz w:val="24"/>
          <w:szCs w:val="24"/>
        </w:rPr>
        <w:t>ī</w:t>
      </w:r>
      <w:r w:rsidRPr="00910CE3">
        <w:rPr>
          <w:rFonts w:ascii="Times New Roman" w:hAnsi="Times New Roman" w:cs="Times New Roman"/>
          <w:i/>
          <w:iCs/>
          <w:sz w:val="24"/>
          <w:szCs w:val="24"/>
        </w:rPr>
        <w:t>‘ah</w:t>
      </w:r>
      <w:r w:rsidRPr="00910CE3">
        <w:rPr>
          <w:rFonts w:ascii="Times New Roman" w:hAnsi="Times New Roman" w:cs="Times New Roman"/>
          <w:sz w:val="24"/>
          <w:szCs w:val="24"/>
        </w:rPr>
        <w:t>.</w:t>
      </w:r>
      <w:r w:rsidRPr="00910CE3">
        <w:rPr>
          <w:rStyle w:val="FootnoteReference"/>
          <w:rFonts w:ascii="Times New Roman" w:hAnsi="Times New Roman" w:cs="Times New Roman"/>
          <w:sz w:val="24"/>
          <w:szCs w:val="24"/>
        </w:rPr>
        <w:footnoteReference w:id="281"/>
      </w:r>
      <w:r w:rsidRPr="00910CE3">
        <w:rPr>
          <w:rFonts w:ascii="Times New Roman" w:hAnsi="Times New Roman" w:cs="Times New Roman"/>
          <w:sz w:val="24"/>
          <w:szCs w:val="24"/>
        </w:rPr>
        <w:t xml:space="preserve"> </w:t>
      </w:r>
    </w:p>
    <w:p w:rsidR="00343B61" w:rsidRPr="00910CE3" w:rsidRDefault="00343B61" w:rsidP="00343B61">
      <w:pPr>
        <w:pStyle w:val="ListParagraph"/>
        <w:autoSpaceDE w:val="0"/>
        <w:autoSpaceDN w:val="0"/>
        <w:adjustRightInd w:val="0"/>
        <w:spacing w:after="0" w:line="360" w:lineRule="auto"/>
        <w:ind w:left="450"/>
        <w:jc w:val="both"/>
        <w:rPr>
          <w:rFonts w:ascii="TimesNewArabic" w:hAnsi="TimesNewArabic" w:cs="TimesNewArabic"/>
          <w:sz w:val="25"/>
          <w:szCs w:val="25"/>
        </w:rPr>
      </w:pPr>
      <w:r>
        <w:rPr>
          <w:rFonts w:ascii="TimesNewArabic" w:hAnsi="TimesNewArabic" w:cs="TimesNewArabic"/>
          <w:sz w:val="25"/>
          <w:szCs w:val="25"/>
        </w:rPr>
        <w:t>4. Pendekatan Sadd al- żarī‘ah</w:t>
      </w:r>
    </w:p>
    <w:p w:rsidR="00343B61" w:rsidRPr="00910CE3" w:rsidRDefault="00343B61" w:rsidP="00343B61">
      <w:pPr>
        <w:autoSpaceDE w:val="0"/>
        <w:autoSpaceDN w:val="0"/>
        <w:adjustRightInd w:val="0"/>
        <w:spacing w:after="0" w:line="360" w:lineRule="auto"/>
        <w:ind w:left="450" w:firstLine="810"/>
        <w:jc w:val="both"/>
        <w:rPr>
          <w:rFonts w:asciiTheme="majorBidi" w:hAnsiTheme="majorBidi" w:cstheme="majorBidi"/>
          <w:sz w:val="24"/>
          <w:szCs w:val="24"/>
        </w:rPr>
      </w:pPr>
      <w:r w:rsidRPr="00910CE3">
        <w:rPr>
          <w:rFonts w:asciiTheme="majorBidi" w:hAnsiTheme="majorBidi" w:cstheme="majorBidi"/>
          <w:sz w:val="24"/>
          <w:szCs w:val="24"/>
        </w:rPr>
        <w:t xml:space="preserve">Kata </w:t>
      </w:r>
      <w:r w:rsidRPr="00AA5C3F">
        <w:rPr>
          <w:rFonts w:ascii="TimesNewArabic" w:hAnsi="TimesNewArabic" w:cs="TimesNewArabic"/>
          <w:i/>
          <w:iCs/>
          <w:sz w:val="25"/>
          <w:szCs w:val="25"/>
        </w:rPr>
        <w:t>Sadd al- żarī‘ah</w:t>
      </w:r>
      <w:r w:rsidRPr="00910CE3">
        <w:rPr>
          <w:rFonts w:ascii="TimesNewArabic" w:hAnsi="TimesNewArabic" w:cs="TimesNewArabic"/>
          <w:sz w:val="25"/>
          <w:szCs w:val="25"/>
        </w:rPr>
        <w:t xml:space="preserve"> </w:t>
      </w:r>
      <w:r w:rsidRPr="00910CE3">
        <w:rPr>
          <w:rFonts w:asciiTheme="majorBidi" w:hAnsiTheme="majorBidi" w:cstheme="majorBidi"/>
          <w:sz w:val="24"/>
          <w:szCs w:val="24"/>
        </w:rPr>
        <w:t xml:space="preserve">merupakan kata majemuk yang terdiri dari dua kata; </w:t>
      </w:r>
      <w:r w:rsidRPr="00910CE3">
        <w:rPr>
          <w:rFonts w:asciiTheme="majorBidi" w:hAnsiTheme="majorBidi" w:cstheme="majorBidi"/>
          <w:i/>
          <w:iCs/>
          <w:sz w:val="24"/>
          <w:szCs w:val="24"/>
        </w:rPr>
        <w:t xml:space="preserve">sadd </w:t>
      </w:r>
      <w:r w:rsidRPr="00910CE3">
        <w:rPr>
          <w:rFonts w:asciiTheme="majorBidi" w:hAnsiTheme="majorBidi" w:cstheme="majorBidi"/>
          <w:sz w:val="24"/>
          <w:szCs w:val="24"/>
        </w:rPr>
        <w:t xml:space="preserve">dan </w:t>
      </w:r>
      <w:r w:rsidRPr="00910CE3">
        <w:rPr>
          <w:rFonts w:asciiTheme="majorBidi" w:hAnsiTheme="majorBidi" w:cstheme="majorBidi"/>
          <w:i/>
          <w:iCs/>
          <w:sz w:val="24"/>
          <w:szCs w:val="24"/>
        </w:rPr>
        <w:t>al-dzari‘ah</w:t>
      </w:r>
      <w:r w:rsidRPr="00910CE3">
        <w:rPr>
          <w:rFonts w:asciiTheme="majorBidi" w:hAnsiTheme="majorBidi" w:cstheme="majorBidi"/>
          <w:sz w:val="24"/>
          <w:szCs w:val="24"/>
        </w:rPr>
        <w:t>. Secara bahasa, kata sadd merupakan bentuk mashdar dari akar kata</w:t>
      </w:r>
      <w:r w:rsidRPr="008E1CE9">
        <w:rPr>
          <w:rFonts w:asciiTheme="majorBidi" w:hAnsiTheme="majorBidi" w:cs="Traditional Arabic"/>
          <w:b/>
          <w:bCs/>
          <w:sz w:val="26"/>
          <w:szCs w:val="26"/>
          <w:rtl/>
        </w:rPr>
        <w:t xml:space="preserve">سد –يسد–سدا </w:t>
      </w:r>
      <w:r w:rsidRPr="008E1CE9">
        <w:rPr>
          <w:rFonts w:asciiTheme="majorBidi" w:hAnsiTheme="majorBidi" w:cs="Traditional Arabic"/>
          <w:b/>
          <w:bCs/>
          <w:sz w:val="26"/>
          <w:szCs w:val="26"/>
        </w:rPr>
        <w:t xml:space="preserve"> </w:t>
      </w:r>
      <w:r w:rsidRPr="00910CE3">
        <w:rPr>
          <w:rFonts w:asciiTheme="majorBidi" w:hAnsiTheme="majorBidi" w:cstheme="majorBidi"/>
          <w:sz w:val="24"/>
          <w:szCs w:val="24"/>
        </w:rPr>
        <w:t xml:space="preserve">berarti menghilangkan </w:t>
      </w:r>
      <w:r w:rsidRPr="0076609C">
        <w:rPr>
          <w:rFonts w:asciiTheme="majorBidi" w:hAnsiTheme="majorBidi" w:cs="Traditional Arabic"/>
          <w:sz w:val="24"/>
          <w:szCs w:val="24"/>
        </w:rPr>
        <w:t>(</w:t>
      </w:r>
      <w:r w:rsidRPr="0076609C">
        <w:rPr>
          <w:rFonts w:asciiTheme="majorBidi" w:hAnsiTheme="majorBidi" w:cs="Traditional Arabic"/>
          <w:sz w:val="24"/>
          <w:szCs w:val="24"/>
          <w:rtl/>
        </w:rPr>
        <w:t>الرفع</w:t>
      </w:r>
      <w:r w:rsidRPr="00910CE3">
        <w:rPr>
          <w:rFonts w:asciiTheme="majorBidi" w:hAnsiTheme="majorBidi" w:cstheme="majorBidi"/>
          <w:sz w:val="24"/>
          <w:szCs w:val="24"/>
        </w:rPr>
        <w:t xml:space="preserve">) dan </w:t>
      </w:r>
      <w:r w:rsidRPr="00910CE3">
        <w:rPr>
          <w:rFonts w:asciiTheme="majorBidi" w:hAnsiTheme="majorBidi" w:cstheme="majorBidi"/>
          <w:sz w:val="24"/>
          <w:szCs w:val="24"/>
        </w:rPr>
        <w:lastRenderedPageBreak/>
        <w:t>mencegah (</w:t>
      </w:r>
      <w:r w:rsidRPr="0076609C">
        <w:rPr>
          <w:rFonts w:asciiTheme="majorBidi" w:hAnsiTheme="majorBidi" w:cs="Traditional Arabic"/>
          <w:sz w:val="24"/>
          <w:szCs w:val="24"/>
          <w:rtl/>
        </w:rPr>
        <w:t>الحسم</w:t>
      </w:r>
      <w:r w:rsidRPr="00910CE3">
        <w:rPr>
          <w:rFonts w:asciiTheme="majorBidi" w:hAnsiTheme="majorBidi" w:cstheme="majorBidi"/>
          <w:sz w:val="24"/>
          <w:szCs w:val="24"/>
          <w:rtl/>
        </w:rPr>
        <w:t xml:space="preserve"> </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282"/>
      </w:r>
      <w:r w:rsidRPr="00910CE3">
        <w:rPr>
          <w:rFonts w:asciiTheme="majorBidi" w:hAnsiTheme="majorBidi" w:cstheme="majorBidi"/>
          <w:sz w:val="24"/>
          <w:szCs w:val="24"/>
        </w:rPr>
        <w:t xml:space="preserve"> Di samping itu, </w:t>
      </w:r>
      <w:r w:rsidRPr="00910CE3">
        <w:rPr>
          <w:rFonts w:asciiTheme="majorBidi" w:hAnsiTheme="majorBidi" w:cstheme="majorBidi"/>
          <w:i/>
          <w:iCs/>
          <w:sz w:val="24"/>
          <w:szCs w:val="24"/>
        </w:rPr>
        <w:t xml:space="preserve">sadd </w:t>
      </w:r>
      <w:r w:rsidRPr="00910CE3">
        <w:rPr>
          <w:rFonts w:asciiTheme="majorBidi" w:hAnsiTheme="majorBidi" w:cstheme="majorBidi"/>
          <w:sz w:val="24"/>
          <w:szCs w:val="24"/>
        </w:rPr>
        <w:t>juga bermakna penghalang antara dua tempat (</w:t>
      </w:r>
      <w:r w:rsidRPr="0076609C">
        <w:rPr>
          <w:rFonts w:asciiTheme="majorBidi" w:hAnsiTheme="majorBidi" w:cs="Traditional Arabic"/>
          <w:sz w:val="24"/>
          <w:szCs w:val="24"/>
          <w:rtl/>
        </w:rPr>
        <w:t>الحاجز بين ال</w:t>
      </w:r>
      <w:r w:rsidRPr="0076609C">
        <w:rPr>
          <w:rFonts w:asciiTheme="majorBidi" w:hAnsiTheme="majorBidi" w:cs="Traditional Arabic" w:hint="cs"/>
          <w:sz w:val="24"/>
          <w:szCs w:val="24"/>
          <w:rtl/>
        </w:rPr>
        <w:t>ش</w:t>
      </w:r>
      <w:r w:rsidRPr="0076609C">
        <w:rPr>
          <w:rFonts w:asciiTheme="majorBidi" w:hAnsiTheme="majorBidi" w:cs="Traditional Arabic"/>
          <w:sz w:val="24"/>
          <w:szCs w:val="24"/>
          <w:rtl/>
        </w:rPr>
        <w:t xml:space="preserve">يئين </w:t>
      </w:r>
      <w:r w:rsidRPr="0076609C">
        <w:rPr>
          <w:rFonts w:asciiTheme="majorBidi" w:hAnsiTheme="majorBidi" w:cs="Traditional Arabic"/>
          <w:sz w:val="24"/>
          <w:szCs w:val="24"/>
        </w:rPr>
        <w:t xml:space="preserve"> </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283"/>
      </w:r>
      <w:r w:rsidRPr="00910CE3">
        <w:rPr>
          <w:rFonts w:asciiTheme="majorBidi" w:hAnsiTheme="majorBidi" w:cstheme="majorBidi"/>
          <w:sz w:val="24"/>
          <w:szCs w:val="24"/>
        </w:rPr>
        <w:t xml:space="preserve"> </w:t>
      </w:r>
      <w:r w:rsidRPr="00910CE3">
        <w:rPr>
          <w:rFonts w:ascii="Z@R7072.tmp" w:hAnsi="Z@R7072.tmp" w:cs="Z@R7072.tmp"/>
          <w:sz w:val="24"/>
          <w:szCs w:val="24"/>
        </w:rPr>
        <w:t xml:space="preserve">Penggunaan kata </w:t>
      </w:r>
      <w:r w:rsidRPr="00910CE3">
        <w:rPr>
          <w:rFonts w:ascii="Z@R7078.tmp,Italic" w:hAnsi="Z@R7078.tmp,Italic" w:cs="Z@R7078.tmp,Italic"/>
          <w:i/>
          <w:iCs/>
          <w:sz w:val="24"/>
          <w:szCs w:val="24"/>
        </w:rPr>
        <w:t xml:space="preserve">sadd </w:t>
      </w:r>
      <w:r w:rsidRPr="00910CE3">
        <w:rPr>
          <w:rFonts w:ascii="Z@R7072.tmp" w:hAnsi="Z@R7072.tmp" w:cs="Z@R7072.tmp"/>
          <w:sz w:val="24"/>
          <w:szCs w:val="24"/>
        </w:rPr>
        <w:t xml:space="preserve">ditemukan dalam beberapa ayat </w:t>
      </w:r>
      <w:r w:rsidRPr="00910CE3">
        <w:rPr>
          <w:rFonts w:asciiTheme="majorBidi" w:hAnsiTheme="majorBidi" w:cstheme="majorBidi"/>
          <w:sz w:val="24"/>
          <w:szCs w:val="24"/>
        </w:rPr>
        <w:t>al-Qur’ān</w:t>
      </w:r>
      <w:r w:rsidRPr="00910CE3">
        <w:rPr>
          <w:rFonts w:ascii="Z@R7072.tmp" w:hAnsi="Z@R7072.tmp" w:cs="Z@R7072.tmp"/>
          <w:sz w:val="24"/>
          <w:szCs w:val="24"/>
        </w:rPr>
        <w:t xml:space="preserve"> maupun teks hadis, antara lain firman Allah SWT dalam QS.Yasin ayat 9, sebagai berikut:</w:t>
      </w:r>
    </w:p>
    <w:p w:rsidR="00343B61" w:rsidRPr="00910CE3" w:rsidRDefault="00343B61" w:rsidP="00343B61">
      <w:pPr>
        <w:autoSpaceDE w:val="0"/>
        <w:autoSpaceDN w:val="0"/>
        <w:bidi/>
        <w:adjustRightInd w:val="0"/>
        <w:spacing w:after="0" w:line="240" w:lineRule="auto"/>
        <w:jc w:val="both"/>
        <w:rPr>
          <w:rFonts w:ascii="(normal text)" w:hAnsi="(normal text)"/>
          <w:rtl/>
        </w:rPr>
      </w:pPr>
      <w:r w:rsidRPr="00910CE3">
        <w:rPr>
          <w:sz w:val="28"/>
          <w:szCs w:val="28"/>
        </w:rPr>
        <w:sym w:font="HQPB1" w:char="F024"/>
      </w:r>
      <w:r w:rsidRPr="00910CE3">
        <w:rPr>
          <w:sz w:val="28"/>
          <w:szCs w:val="28"/>
        </w:rPr>
        <w:sym w:font="HQPB5" w:char="F075"/>
      </w:r>
      <w:r w:rsidRPr="00910CE3">
        <w:rPr>
          <w:sz w:val="28"/>
          <w:szCs w:val="28"/>
        </w:rPr>
        <w:sym w:font="HQPB2" w:char="F05A"/>
      </w:r>
      <w:r w:rsidRPr="00910CE3">
        <w:rPr>
          <w:sz w:val="28"/>
          <w:szCs w:val="28"/>
        </w:rPr>
        <w:sym w:font="HQPB4" w:char="F0F9"/>
      </w:r>
      <w:r w:rsidRPr="00910CE3">
        <w:rPr>
          <w:sz w:val="28"/>
          <w:szCs w:val="28"/>
        </w:rPr>
        <w:sym w:font="HQPB2" w:char="F03D"/>
      </w:r>
      <w:r w:rsidRPr="00910CE3">
        <w:rPr>
          <w:sz w:val="28"/>
          <w:szCs w:val="28"/>
        </w:rPr>
        <w:sym w:font="HQPB5" w:char="F079"/>
      </w:r>
      <w:r w:rsidRPr="00910CE3">
        <w:rPr>
          <w:sz w:val="28"/>
          <w:szCs w:val="28"/>
        </w:rPr>
        <w:sym w:font="HQPB1" w:char="F0E8"/>
      </w:r>
      <w:r w:rsidRPr="00910CE3">
        <w:rPr>
          <w:sz w:val="28"/>
          <w:szCs w:val="28"/>
        </w:rPr>
        <w:sym w:font="HQPB5" w:char="F079"/>
      </w:r>
      <w:r w:rsidRPr="00910CE3">
        <w:rPr>
          <w:sz w:val="28"/>
          <w:szCs w:val="28"/>
        </w:rPr>
        <w:sym w:font="HQPB1" w:char="F05F"/>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5" w:char="F02E"/>
      </w:r>
      <w:r w:rsidRPr="00910CE3">
        <w:rPr>
          <w:sz w:val="28"/>
          <w:szCs w:val="28"/>
        </w:rPr>
        <w:sym w:font="HQPB2" w:char="F060"/>
      </w:r>
      <w:r w:rsidRPr="00910CE3">
        <w:rPr>
          <w:sz w:val="28"/>
          <w:szCs w:val="28"/>
        </w:rPr>
        <w:sym w:font="HQPB4" w:char="F0CF"/>
      </w:r>
      <w:r w:rsidRPr="00910CE3">
        <w:rPr>
          <w:sz w:val="28"/>
          <w:szCs w:val="28"/>
        </w:rPr>
        <w:sym w:font="HQPB2" w:char="F042"/>
      </w:r>
      <w:r w:rsidRPr="00910CE3">
        <w:rPr>
          <w:rFonts w:ascii="(normal text)" w:hAnsi="(normal text)"/>
          <w:rtl/>
        </w:rPr>
        <w:t xml:space="preserve"> </w:t>
      </w:r>
      <w:r w:rsidRPr="00910CE3">
        <w:rPr>
          <w:sz w:val="28"/>
          <w:szCs w:val="28"/>
        </w:rPr>
        <w:sym w:font="HQPB4" w:char="F0C8"/>
      </w:r>
      <w:r w:rsidRPr="00910CE3">
        <w:rPr>
          <w:sz w:val="28"/>
          <w:szCs w:val="28"/>
        </w:rPr>
        <w:sym w:font="HQPB2" w:char="F0FB"/>
      </w:r>
      <w:r w:rsidRPr="00910CE3">
        <w:rPr>
          <w:sz w:val="28"/>
          <w:szCs w:val="28"/>
        </w:rPr>
        <w:sym w:font="HQPB4" w:char="F0F7"/>
      </w:r>
      <w:r w:rsidRPr="00910CE3">
        <w:rPr>
          <w:sz w:val="28"/>
          <w:szCs w:val="28"/>
        </w:rPr>
        <w:sym w:font="HQPB2" w:char="F0FC"/>
      </w:r>
      <w:r w:rsidRPr="00910CE3">
        <w:rPr>
          <w:sz w:val="28"/>
          <w:szCs w:val="28"/>
        </w:rPr>
        <w:sym w:font="HQPB5" w:char="F074"/>
      </w:r>
      <w:r w:rsidRPr="00910CE3">
        <w:rPr>
          <w:sz w:val="28"/>
          <w:szCs w:val="28"/>
        </w:rPr>
        <w:sym w:font="HQPB1" w:char="F02F"/>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CD"/>
      </w:r>
      <w:r w:rsidRPr="00910CE3">
        <w:rPr>
          <w:sz w:val="28"/>
          <w:szCs w:val="28"/>
        </w:rPr>
        <w:sym w:font="HQPB2" w:char="F06B"/>
      </w:r>
      <w:r w:rsidRPr="00910CE3">
        <w:rPr>
          <w:sz w:val="28"/>
          <w:szCs w:val="28"/>
        </w:rPr>
        <w:sym w:font="HQPB2" w:char="F089"/>
      </w:r>
      <w:r w:rsidRPr="00910CE3">
        <w:rPr>
          <w:sz w:val="28"/>
          <w:szCs w:val="28"/>
        </w:rPr>
        <w:sym w:font="HQPB4" w:char="F0C9"/>
      </w:r>
      <w:r w:rsidRPr="00910CE3">
        <w:rPr>
          <w:sz w:val="28"/>
          <w:szCs w:val="28"/>
        </w:rPr>
        <w:sym w:font="HQPB1" w:char="F089"/>
      </w:r>
      <w:r w:rsidRPr="00910CE3">
        <w:rPr>
          <w:sz w:val="28"/>
          <w:szCs w:val="28"/>
        </w:rPr>
        <w:sym w:font="HQPB4" w:char="F0F7"/>
      </w:r>
      <w:r w:rsidRPr="00910CE3">
        <w:rPr>
          <w:sz w:val="28"/>
          <w:szCs w:val="28"/>
        </w:rPr>
        <w:sym w:font="HQPB2" w:char="F083"/>
      </w:r>
      <w:r w:rsidRPr="00910CE3">
        <w:rPr>
          <w:sz w:val="28"/>
          <w:szCs w:val="28"/>
        </w:rPr>
        <w:sym w:font="HQPB5" w:char="F072"/>
      </w:r>
      <w:r w:rsidRPr="00910CE3">
        <w:rPr>
          <w:sz w:val="28"/>
          <w:szCs w:val="28"/>
        </w:rPr>
        <w:sym w:font="HQPB1" w:char="F026"/>
      </w:r>
      <w:r w:rsidRPr="00910CE3">
        <w:rPr>
          <w:rFonts w:ascii="(normal text)" w:hAnsi="(normal text)"/>
          <w:rtl/>
        </w:rPr>
        <w:t xml:space="preserve"> </w:t>
      </w:r>
      <w:r w:rsidRPr="00910CE3">
        <w:rPr>
          <w:sz w:val="28"/>
          <w:szCs w:val="28"/>
        </w:rPr>
        <w:sym w:font="HQPB1" w:char="F023"/>
      </w:r>
      <w:r w:rsidRPr="00910CE3">
        <w:rPr>
          <w:sz w:val="28"/>
          <w:szCs w:val="28"/>
        </w:rPr>
        <w:sym w:font="HQPB4" w:char="F074"/>
      </w:r>
      <w:r w:rsidRPr="00910CE3">
        <w:rPr>
          <w:sz w:val="28"/>
          <w:szCs w:val="28"/>
        </w:rPr>
        <w:sym w:font="HQPB1" w:char="F089"/>
      </w:r>
      <w:r w:rsidRPr="00910CE3">
        <w:rPr>
          <w:sz w:val="28"/>
          <w:szCs w:val="28"/>
        </w:rPr>
        <w:sym w:font="HQPB5" w:char="F079"/>
      </w:r>
      <w:r w:rsidRPr="00910CE3">
        <w:rPr>
          <w:sz w:val="28"/>
          <w:szCs w:val="28"/>
        </w:rPr>
        <w:sym w:font="HQPB1" w:char="F099"/>
      </w:r>
      <w:r w:rsidRPr="00910CE3">
        <w:rPr>
          <w:rFonts w:ascii="(normal text)" w:hAnsi="(normal text)"/>
          <w:rtl/>
        </w:rPr>
        <w:t xml:space="preserve"> </w:t>
      </w:r>
      <w:r w:rsidRPr="00910CE3">
        <w:rPr>
          <w:sz w:val="28"/>
          <w:szCs w:val="28"/>
        </w:rPr>
        <w:sym w:font="HQPB4" w:char="F0F4"/>
      </w:r>
      <w:r w:rsidRPr="00910CE3">
        <w:rPr>
          <w:sz w:val="28"/>
          <w:szCs w:val="28"/>
        </w:rPr>
        <w:sym w:font="HQPB2" w:char="F060"/>
      </w:r>
      <w:r w:rsidRPr="00910CE3">
        <w:rPr>
          <w:sz w:val="28"/>
          <w:szCs w:val="28"/>
        </w:rPr>
        <w:sym w:font="HQPB4" w:char="F0CF"/>
      </w:r>
      <w:r w:rsidRPr="00910CE3">
        <w:rPr>
          <w:sz w:val="28"/>
          <w:szCs w:val="28"/>
        </w:rPr>
        <w:sym w:font="HQPB2" w:char="F042"/>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3"/>
      </w:r>
      <w:r w:rsidRPr="00910CE3">
        <w:rPr>
          <w:sz w:val="28"/>
          <w:szCs w:val="28"/>
        </w:rPr>
        <w:sym w:font="HQPB2" w:char="F04F"/>
      </w:r>
      <w:r w:rsidRPr="00910CE3">
        <w:rPr>
          <w:sz w:val="28"/>
          <w:szCs w:val="28"/>
        </w:rPr>
        <w:sym w:font="HQPB4" w:char="F0CE"/>
      </w:r>
      <w:r w:rsidRPr="00910CE3">
        <w:rPr>
          <w:sz w:val="28"/>
          <w:szCs w:val="28"/>
        </w:rPr>
        <w:sym w:font="HQPB2" w:char="F067"/>
      </w:r>
      <w:r w:rsidRPr="00910CE3">
        <w:rPr>
          <w:sz w:val="28"/>
          <w:szCs w:val="28"/>
        </w:rPr>
        <w:sym w:font="HQPB4" w:char="F0CF"/>
      </w:r>
      <w:r w:rsidRPr="00910CE3">
        <w:rPr>
          <w:sz w:val="28"/>
          <w:szCs w:val="28"/>
        </w:rPr>
        <w:sym w:font="HQPB1" w:char="F0FF"/>
      </w:r>
      <w:r w:rsidRPr="00910CE3">
        <w:rPr>
          <w:sz w:val="28"/>
          <w:szCs w:val="28"/>
        </w:rPr>
        <w:sym w:font="HQPB4" w:char="F0F9"/>
      </w:r>
      <w:r w:rsidRPr="00910CE3">
        <w:rPr>
          <w:sz w:val="28"/>
          <w:szCs w:val="28"/>
        </w:rPr>
        <w:sym w:font="HQPB2" w:char="F03D"/>
      </w:r>
      <w:r w:rsidRPr="00910CE3">
        <w:rPr>
          <w:sz w:val="28"/>
          <w:szCs w:val="28"/>
        </w:rPr>
        <w:sym w:font="HQPB5" w:char="F079"/>
      </w:r>
      <w:r w:rsidRPr="00910CE3">
        <w:rPr>
          <w:sz w:val="28"/>
          <w:szCs w:val="28"/>
        </w:rPr>
        <w:sym w:font="HQPB1" w:char="F07A"/>
      </w:r>
      <w:r w:rsidRPr="00910CE3">
        <w:rPr>
          <w:rFonts w:ascii="(normal text)" w:hAnsi="(normal text)"/>
          <w:rtl/>
        </w:rPr>
        <w:t xml:space="preserve"> </w:t>
      </w:r>
      <w:r w:rsidRPr="00910CE3">
        <w:rPr>
          <w:sz w:val="28"/>
          <w:szCs w:val="28"/>
        </w:rPr>
        <w:sym w:font="HQPB1" w:char="F023"/>
      </w:r>
      <w:r w:rsidRPr="00910CE3">
        <w:rPr>
          <w:sz w:val="28"/>
          <w:szCs w:val="28"/>
        </w:rPr>
        <w:sym w:font="HQPB4" w:char="F074"/>
      </w:r>
      <w:r w:rsidRPr="00910CE3">
        <w:rPr>
          <w:sz w:val="28"/>
          <w:szCs w:val="28"/>
        </w:rPr>
        <w:sym w:font="HQPB1" w:char="F089"/>
      </w:r>
      <w:r w:rsidRPr="00910CE3">
        <w:rPr>
          <w:sz w:val="28"/>
          <w:szCs w:val="28"/>
        </w:rPr>
        <w:sym w:font="HQPB5" w:char="F079"/>
      </w:r>
      <w:r w:rsidRPr="00910CE3">
        <w:rPr>
          <w:sz w:val="28"/>
          <w:szCs w:val="28"/>
        </w:rPr>
        <w:sym w:font="HQPB1" w:char="F099"/>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DF"/>
      </w:r>
      <w:r w:rsidRPr="00910CE3">
        <w:rPr>
          <w:sz w:val="28"/>
          <w:szCs w:val="28"/>
        </w:rPr>
        <w:sym w:font="HQPB2" w:char="F067"/>
      </w:r>
      <w:r w:rsidRPr="00910CE3">
        <w:rPr>
          <w:sz w:val="28"/>
          <w:szCs w:val="28"/>
        </w:rPr>
        <w:sym w:font="HQPB2" w:char="F0BB"/>
      </w:r>
      <w:r w:rsidRPr="00910CE3">
        <w:rPr>
          <w:sz w:val="28"/>
          <w:szCs w:val="28"/>
        </w:rPr>
        <w:sym w:font="HQPB5" w:char="F06F"/>
      </w:r>
      <w:r w:rsidRPr="00910CE3">
        <w:rPr>
          <w:sz w:val="28"/>
          <w:szCs w:val="28"/>
        </w:rPr>
        <w:sym w:font="HQPB2" w:char="F059"/>
      </w:r>
      <w:r w:rsidRPr="00910CE3">
        <w:rPr>
          <w:sz w:val="28"/>
          <w:szCs w:val="28"/>
        </w:rPr>
        <w:sym w:font="HQPB4" w:char="F0F8"/>
      </w:r>
      <w:r w:rsidRPr="00910CE3">
        <w:rPr>
          <w:sz w:val="28"/>
          <w:szCs w:val="28"/>
        </w:rPr>
        <w:sym w:font="HQPB2" w:char="F08A"/>
      </w:r>
      <w:r w:rsidRPr="00910CE3">
        <w:rPr>
          <w:sz w:val="28"/>
          <w:szCs w:val="28"/>
        </w:rPr>
        <w:sym w:font="HQPB5" w:char="F074"/>
      </w:r>
      <w:r w:rsidRPr="00910CE3">
        <w:rPr>
          <w:sz w:val="28"/>
          <w:szCs w:val="28"/>
        </w:rPr>
        <w:sym w:font="HQPB1" w:char="F0B1"/>
      </w:r>
      <w:r w:rsidRPr="00910CE3">
        <w:rPr>
          <w:sz w:val="28"/>
          <w:szCs w:val="28"/>
        </w:rPr>
        <w:sym w:font="HQPB4" w:char="F0F8"/>
      </w:r>
      <w:r w:rsidRPr="00910CE3">
        <w:rPr>
          <w:sz w:val="28"/>
          <w:szCs w:val="28"/>
        </w:rPr>
        <w:sym w:font="HQPB1" w:char="F0EE"/>
      </w:r>
      <w:r w:rsidRPr="00910CE3">
        <w:rPr>
          <w:sz w:val="28"/>
          <w:szCs w:val="28"/>
        </w:rPr>
        <w:sym w:font="HQPB5" w:char="F072"/>
      </w:r>
      <w:r w:rsidRPr="00910CE3">
        <w:rPr>
          <w:sz w:val="28"/>
          <w:szCs w:val="28"/>
        </w:rPr>
        <w:sym w:font="HQPB1" w:char="F027"/>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4" w:char="F0F4"/>
      </w:r>
      <w:r w:rsidRPr="00910CE3">
        <w:rPr>
          <w:sz w:val="28"/>
          <w:szCs w:val="28"/>
        </w:rPr>
        <w:sym w:font="HQPB2" w:char="F04D"/>
      </w:r>
      <w:r w:rsidRPr="00910CE3">
        <w:rPr>
          <w:sz w:val="28"/>
          <w:szCs w:val="28"/>
        </w:rPr>
        <w:sym w:font="HQPB4" w:char="F0DF"/>
      </w:r>
      <w:r w:rsidRPr="00910CE3">
        <w:rPr>
          <w:sz w:val="28"/>
          <w:szCs w:val="28"/>
        </w:rPr>
        <w:sym w:font="HQPB2" w:char="F067"/>
      </w:r>
      <w:r w:rsidRPr="00910CE3">
        <w:rPr>
          <w:sz w:val="28"/>
          <w:szCs w:val="28"/>
        </w:rPr>
        <w:sym w:font="HQPB5" w:char="F073"/>
      </w:r>
      <w:r w:rsidRPr="00910CE3">
        <w:rPr>
          <w:sz w:val="28"/>
          <w:szCs w:val="28"/>
        </w:rPr>
        <w:sym w:font="HQPB1" w:char="F0F9"/>
      </w:r>
      <w:r w:rsidRPr="00910CE3">
        <w:rPr>
          <w:rFonts w:ascii="(normal text)" w:hAnsi="(normal text)"/>
          <w:rtl/>
        </w:rPr>
        <w:t xml:space="preserve"> </w:t>
      </w:r>
      <w:r w:rsidRPr="00910CE3">
        <w:rPr>
          <w:sz w:val="28"/>
          <w:szCs w:val="28"/>
        </w:rPr>
        <w:sym w:font="HQPB5" w:char="F09F"/>
      </w:r>
      <w:r w:rsidRPr="00910CE3">
        <w:rPr>
          <w:sz w:val="28"/>
          <w:szCs w:val="28"/>
        </w:rPr>
        <w:sym w:font="HQPB2" w:char="F077"/>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2"/>
      </w:r>
      <w:r w:rsidRPr="00910CE3">
        <w:rPr>
          <w:sz w:val="28"/>
          <w:szCs w:val="28"/>
        </w:rPr>
        <w:sym w:font="HQPB4" w:char="F0E7"/>
      </w:r>
      <w:r w:rsidRPr="00910CE3">
        <w:rPr>
          <w:sz w:val="28"/>
          <w:szCs w:val="28"/>
        </w:rPr>
        <w:sym w:font="HQPB1" w:char="F08E"/>
      </w:r>
      <w:r w:rsidRPr="00910CE3">
        <w:rPr>
          <w:sz w:val="28"/>
          <w:szCs w:val="28"/>
        </w:rPr>
        <w:sym w:font="HQPB4" w:char="F0C5"/>
      </w:r>
      <w:r w:rsidRPr="00910CE3">
        <w:rPr>
          <w:sz w:val="28"/>
          <w:szCs w:val="28"/>
        </w:rPr>
        <w:sym w:font="HQPB1" w:char="F0C7"/>
      </w:r>
      <w:r w:rsidRPr="00910CE3">
        <w:rPr>
          <w:sz w:val="28"/>
          <w:szCs w:val="28"/>
        </w:rPr>
        <w:sym w:font="HQPB4" w:char="F0F6"/>
      </w:r>
      <w:r w:rsidRPr="00910CE3">
        <w:rPr>
          <w:sz w:val="28"/>
          <w:szCs w:val="28"/>
        </w:rPr>
        <w:sym w:font="HQPB1" w:char="F037"/>
      </w:r>
      <w:r w:rsidRPr="00910CE3">
        <w:rPr>
          <w:sz w:val="28"/>
          <w:szCs w:val="28"/>
        </w:rPr>
        <w:sym w:font="HQPB4" w:char="F0E3"/>
      </w:r>
      <w:r w:rsidRPr="00910CE3">
        <w:rPr>
          <w:sz w:val="28"/>
          <w:szCs w:val="28"/>
        </w:rPr>
        <w:sym w:font="HQPB2" w:char="F083"/>
      </w:r>
      <w:r w:rsidRPr="00910CE3">
        <w:rPr>
          <w:rFonts w:ascii="(normal text)" w:hAnsi="(normal text)"/>
          <w:rtl/>
        </w:rPr>
        <w:t xml:space="preserve"> </w:t>
      </w:r>
      <w:r w:rsidRPr="00910CE3">
        <w:rPr>
          <w:sz w:val="28"/>
          <w:szCs w:val="28"/>
        </w:rPr>
        <w:sym w:font="HQPB2" w:char="F0C7"/>
      </w:r>
      <w:r w:rsidRPr="00910CE3">
        <w:rPr>
          <w:sz w:val="28"/>
          <w:szCs w:val="28"/>
        </w:rPr>
        <w:sym w:font="HQPB2" w:char="F0D2"/>
      </w:r>
      <w:r w:rsidRPr="00910CE3">
        <w:rPr>
          <w:sz w:val="28"/>
          <w:szCs w:val="28"/>
        </w:rPr>
        <w:sym w:font="HQPB2" w:char="F0C8"/>
      </w:r>
      <w:r w:rsidRPr="00910CE3">
        <w:rPr>
          <w:rFonts w:ascii="(normal text)" w:hAnsi="(normal text)"/>
          <w:rtl/>
        </w:rPr>
        <w:t xml:space="preserve">   </w:t>
      </w:r>
    </w:p>
    <w:p w:rsidR="00343B61" w:rsidRDefault="00343B61" w:rsidP="00343B61">
      <w:pPr>
        <w:autoSpaceDE w:val="0"/>
        <w:autoSpaceDN w:val="0"/>
        <w:adjustRightInd w:val="0"/>
        <w:spacing w:after="0" w:line="240" w:lineRule="auto"/>
        <w:ind w:left="1260"/>
        <w:jc w:val="both"/>
        <w:rPr>
          <w:rFonts w:ascii="(normal text)" w:hAnsi="(normal text)"/>
          <w:sz w:val="24"/>
          <w:szCs w:val="24"/>
        </w:rPr>
      </w:pPr>
      <w:r w:rsidRPr="00910CE3">
        <w:rPr>
          <w:rFonts w:ascii="(normal text)" w:hAnsi="(normal text)"/>
          <w:sz w:val="24"/>
          <w:szCs w:val="24"/>
        </w:rPr>
        <w:t>Artinya: “</w:t>
      </w:r>
      <w:r w:rsidRPr="00910CE3">
        <w:rPr>
          <w:rFonts w:ascii="(normal text)" w:hAnsi="(normal text)"/>
          <w:i/>
          <w:iCs/>
          <w:sz w:val="24"/>
          <w:szCs w:val="24"/>
        </w:rPr>
        <w:t>dan Kami adakan di hadapan mereka dinding dan di belakang mereka dinding (pula), dan Kami tutup (mata) mereka sehingga mereka tidak dapat melihat</w:t>
      </w:r>
      <w:r w:rsidRPr="00910CE3">
        <w:rPr>
          <w:rFonts w:ascii="(normal text)" w:hAnsi="(normal text)"/>
          <w:sz w:val="24"/>
          <w:szCs w:val="24"/>
        </w:rPr>
        <w:t>.” (QS.Yasin [36 ] : 9)</w:t>
      </w:r>
      <w:r w:rsidRPr="00910CE3">
        <w:rPr>
          <w:rStyle w:val="FootnoteReference"/>
          <w:rFonts w:ascii="(normal text)" w:hAnsi="(normal text)"/>
          <w:sz w:val="24"/>
          <w:szCs w:val="24"/>
        </w:rPr>
        <w:footnoteReference w:id="284"/>
      </w:r>
    </w:p>
    <w:p w:rsidR="00343B61" w:rsidRPr="00A455C1" w:rsidRDefault="00343B61" w:rsidP="00343B61">
      <w:pPr>
        <w:autoSpaceDE w:val="0"/>
        <w:autoSpaceDN w:val="0"/>
        <w:adjustRightInd w:val="0"/>
        <w:spacing w:after="0" w:line="240" w:lineRule="auto"/>
        <w:ind w:left="1260"/>
        <w:jc w:val="both"/>
        <w:rPr>
          <w:rFonts w:ascii="(normal text)" w:hAnsi="(normal text)"/>
          <w:sz w:val="24"/>
          <w:szCs w:val="24"/>
        </w:rPr>
      </w:pPr>
    </w:p>
    <w:p w:rsidR="00343B61" w:rsidRPr="00910CE3" w:rsidRDefault="00343B61" w:rsidP="00343B61">
      <w:pPr>
        <w:autoSpaceDE w:val="0"/>
        <w:autoSpaceDN w:val="0"/>
        <w:adjustRightInd w:val="0"/>
        <w:spacing w:after="0" w:line="360" w:lineRule="auto"/>
        <w:ind w:left="450" w:firstLine="810"/>
        <w:jc w:val="both"/>
        <w:rPr>
          <w:rFonts w:ascii="(normal text)" w:hAnsi="(normal text)"/>
          <w:sz w:val="24"/>
          <w:szCs w:val="24"/>
        </w:rPr>
      </w:pPr>
      <w:r w:rsidRPr="00910CE3">
        <w:rPr>
          <w:rFonts w:ascii="(normal text)" w:hAnsi="(normal text)"/>
          <w:sz w:val="24"/>
          <w:szCs w:val="24"/>
        </w:rPr>
        <w:t xml:space="preserve">Pada ayat diatas, kata </w:t>
      </w:r>
      <w:r w:rsidRPr="00910CE3">
        <w:rPr>
          <w:rFonts w:ascii="(normal text)" w:hAnsi="(normal text)"/>
          <w:i/>
          <w:iCs/>
          <w:sz w:val="24"/>
          <w:szCs w:val="24"/>
        </w:rPr>
        <w:t>sadd</w:t>
      </w:r>
      <w:r w:rsidRPr="00910CE3">
        <w:rPr>
          <w:rFonts w:ascii="(normal text)" w:hAnsi="(normal text)"/>
          <w:sz w:val="24"/>
          <w:szCs w:val="24"/>
        </w:rPr>
        <w:t xml:space="preserve"> merujuk pada pengertian dinding, penutup, dan penghalang yang berfungsi untuk menghalangi, mencegah, dan menutupi.</w:t>
      </w:r>
    </w:p>
    <w:p w:rsidR="00343B61" w:rsidRPr="00910CE3" w:rsidRDefault="00343B61" w:rsidP="00343B61">
      <w:pPr>
        <w:autoSpaceDE w:val="0"/>
        <w:autoSpaceDN w:val="0"/>
        <w:adjustRightInd w:val="0"/>
        <w:spacing w:after="0" w:line="360" w:lineRule="auto"/>
        <w:ind w:left="450" w:firstLine="810"/>
        <w:jc w:val="both"/>
        <w:rPr>
          <w:rFonts w:ascii="(normal text)" w:hAnsi="(normal text)"/>
          <w:sz w:val="24"/>
          <w:szCs w:val="24"/>
        </w:rPr>
      </w:pPr>
      <w:r w:rsidRPr="00910CE3">
        <w:rPr>
          <w:rFonts w:ascii="(normal text)" w:hAnsi="(normal text)"/>
          <w:sz w:val="24"/>
          <w:szCs w:val="24"/>
        </w:rPr>
        <w:t xml:space="preserve">Sedang kata </w:t>
      </w:r>
      <w:r w:rsidRPr="008E1CE9">
        <w:rPr>
          <w:rFonts w:ascii="TimesNewArabic" w:hAnsi="TimesNewArabic" w:cs="TimesNewArabic"/>
          <w:i/>
          <w:iCs/>
          <w:sz w:val="25"/>
          <w:szCs w:val="25"/>
        </w:rPr>
        <w:t>al- żarī‘ah</w:t>
      </w:r>
      <w:r w:rsidRPr="00910CE3">
        <w:rPr>
          <w:rFonts w:ascii="Times New Roman" w:hAnsi="Times New Roman" w:cs="Times New Roman"/>
          <w:sz w:val="24"/>
          <w:szCs w:val="24"/>
        </w:rPr>
        <w:t xml:space="preserve">, secara bahasa berasal dari kata </w:t>
      </w:r>
      <w:r w:rsidRPr="008E1CE9">
        <w:rPr>
          <w:rFonts w:ascii="TimesNewArabic" w:hAnsi="TimesNewArabic" w:cs="TimesNewArabic"/>
          <w:i/>
          <w:iCs/>
          <w:sz w:val="25"/>
          <w:szCs w:val="25"/>
        </w:rPr>
        <w:t>ż</w:t>
      </w:r>
      <w:r w:rsidRPr="00910CE3">
        <w:rPr>
          <w:rFonts w:ascii="Times New Roman" w:hAnsi="Times New Roman" w:cs="Times New Roman"/>
          <w:i/>
          <w:iCs/>
          <w:sz w:val="24"/>
          <w:szCs w:val="24"/>
        </w:rPr>
        <w:t>ara’a</w:t>
      </w:r>
      <w:r w:rsidRPr="00910CE3">
        <w:rPr>
          <w:rFonts w:ascii="Times New Roman" w:hAnsi="Times New Roman" w:cs="Times New Roman"/>
          <w:sz w:val="24"/>
          <w:szCs w:val="24"/>
        </w:rPr>
        <w:t xml:space="preserve"> yang berarti</w:t>
      </w:r>
      <w:r w:rsidRPr="00910CE3">
        <w:rPr>
          <w:rFonts w:ascii="(normal text)" w:hAnsi="(normal text)"/>
          <w:sz w:val="24"/>
          <w:szCs w:val="24"/>
        </w:rPr>
        <w:t xml:space="preserve"> </w:t>
      </w:r>
      <w:r w:rsidRPr="00910CE3">
        <w:rPr>
          <w:rFonts w:ascii="(normal text)" w:hAnsi="(normal text)"/>
          <w:i/>
          <w:iCs/>
          <w:sz w:val="24"/>
          <w:szCs w:val="24"/>
        </w:rPr>
        <w:t>al-imtid</w:t>
      </w:r>
      <w:r w:rsidRPr="008E1CE9">
        <w:rPr>
          <w:rFonts w:asciiTheme="majorBidi" w:hAnsiTheme="majorBidi" w:cstheme="majorBidi"/>
          <w:i/>
          <w:iCs/>
          <w:sz w:val="24"/>
          <w:szCs w:val="24"/>
        </w:rPr>
        <w:t>ā</w:t>
      </w:r>
      <w:r w:rsidRPr="00910CE3">
        <w:rPr>
          <w:rFonts w:ascii="(normal text)" w:hAnsi="(normal text)"/>
          <w:i/>
          <w:iCs/>
          <w:sz w:val="24"/>
          <w:szCs w:val="24"/>
        </w:rPr>
        <w:t>d</w:t>
      </w:r>
      <w:r w:rsidRPr="00910CE3">
        <w:rPr>
          <w:rFonts w:ascii="(normal text)" w:hAnsi="(normal text)"/>
          <w:sz w:val="24"/>
          <w:szCs w:val="24"/>
        </w:rPr>
        <w:t xml:space="preserve"> (berkelanjutan), juga </w:t>
      </w:r>
      <w:r w:rsidRPr="00910CE3">
        <w:rPr>
          <w:rFonts w:ascii="(normal text)" w:hAnsi="(normal text)"/>
          <w:i/>
          <w:iCs/>
          <w:sz w:val="24"/>
          <w:szCs w:val="24"/>
        </w:rPr>
        <w:t>al-</w:t>
      </w:r>
      <w:r w:rsidRPr="00FD1755">
        <w:rPr>
          <w:rFonts w:ascii="Times New Roman" w:hAnsi="Times New Roman" w:cs="Times New Roman"/>
          <w:i/>
          <w:iCs/>
          <w:sz w:val="24"/>
          <w:szCs w:val="24"/>
          <w:u w:val="single"/>
          <w:lang w:val="id-ID"/>
        </w:rPr>
        <w:t>h</w:t>
      </w:r>
      <w:r w:rsidRPr="00910CE3">
        <w:rPr>
          <w:rFonts w:ascii="(normal text)" w:hAnsi="(normal text)"/>
          <w:i/>
          <w:iCs/>
          <w:sz w:val="24"/>
          <w:szCs w:val="24"/>
        </w:rPr>
        <w:t>arakah</w:t>
      </w:r>
      <w:r w:rsidRPr="00910CE3">
        <w:rPr>
          <w:rFonts w:ascii="(normal text)" w:hAnsi="(normal text)"/>
          <w:sz w:val="24"/>
          <w:szCs w:val="24"/>
        </w:rPr>
        <w:t xml:space="preserve"> (gerakan). Satu akar kata dengan kata </w:t>
      </w:r>
      <w:r w:rsidRPr="00910CE3">
        <w:rPr>
          <w:rFonts w:ascii="(normal text)" w:hAnsi="(normal text)"/>
          <w:i/>
          <w:iCs/>
          <w:sz w:val="24"/>
          <w:szCs w:val="24"/>
        </w:rPr>
        <w:t>al-dzira’</w:t>
      </w:r>
      <w:r w:rsidRPr="00910CE3">
        <w:rPr>
          <w:rFonts w:ascii="(normal text)" w:hAnsi="(normal text)"/>
          <w:sz w:val="24"/>
          <w:szCs w:val="24"/>
        </w:rPr>
        <w:t xml:space="preserve">  yang berarti satu hasta, yakni jarak antara siku-siku tangan sampai ke ujung anak jari tengah. Kata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Times New Roman" w:hAnsi="Times New Roman" w:cs="Times New Roman"/>
          <w:sz w:val="24"/>
          <w:szCs w:val="24"/>
        </w:rPr>
        <w:t xml:space="preserve">, bentuk jamaknya adalah </w:t>
      </w:r>
      <w:r w:rsidRPr="00910CE3">
        <w:rPr>
          <w:rFonts w:ascii="Times New Roman" w:hAnsi="Times New Roman" w:cs="Times New Roman"/>
          <w:i/>
          <w:iCs/>
          <w:sz w:val="24"/>
          <w:szCs w:val="24"/>
        </w:rPr>
        <w:t>al-</w:t>
      </w:r>
      <w:r w:rsidRPr="008E1CE9">
        <w:rPr>
          <w:rFonts w:ascii="TimesNewArabic" w:hAnsi="TimesNewArabic" w:cs="TimesNewArabic"/>
          <w:i/>
          <w:iCs/>
          <w:sz w:val="25"/>
          <w:szCs w:val="25"/>
        </w:rPr>
        <w:t>ż</w:t>
      </w:r>
      <w:r w:rsidRPr="00910CE3">
        <w:rPr>
          <w:rFonts w:ascii="Times New Roman" w:hAnsi="Times New Roman" w:cs="Times New Roman"/>
          <w:i/>
          <w:iCs/>
          <w:sz w:val="24"/>
          <w:szCs w:val="24"/>
        </w:rPr>
        <w:t>ar'i</w:t>
      </w:r>
      <w:r w:rsidRPr="00910CE3">
        <w:rPr>
          <w:rFonts w:ascii="Times New Roman" w:hAnsi="Times New Roman" w:cs="Times New Roman"/>
          <w:sz w:val="24"/>
          <w:szCs w:val="24"/>
        </w:rPr>
        <w:t xml:space="preserve"> yang berarti</w:t>
      </w:r>
      <w:r w:rsidRPr="00910CE3">
        <w:rPr>
          <w:rFonts w:ascii="(normal text)" w:hAnsi="(normal text)"/>
          <w:sz w:val="24"/>
          <w:szCs w:val="24"/>
        </w:rPr>
        <w:t xml:space="preserve"> perantara atau jalan yang menyampaikan kepada tujuan atau arah tertentu.</w:t>
      </w:r>
      <w:r w:rsidRPr="00910CE3">
        <w:rPr>
          <w:rStyle w:val="FootnoteReference"/>
          <w:rFonts w:ascii="(normal text)" w:hAnsi="(normal text)"/>
          <w:sz w:val="24"/>
          <w:szCs w:val="24"/>
        </w:rPr>
        <w:footnoteReference w:id="285"/>
      </w:r>
      <w:r w:rsidRPr="00910CE3">
        <w:rPr>
          <w:rFonts w:ascii="(normal text)" w:hAnsi="(normal text)"/>
          <w:sz w:val="24"/>
          <w:szCs w:val="24"/>
        </w:rPr>
        <w:t xml:space="preserve"> </w:t>
      </w:r>
      <w:r w:rsidRPr="00910CE3">
        <w:rPr>
          <w:rFonts w:ascii="Z@R7072.tmp" w:hAnsi="Z@R7072.tmp" w:cs="Z@R7072.tmp"/>
          <w:sz w:val="23"/>
          <w:szCs w:val="23"/>
        </w:rPr>
        <w:t xml:space="preserve">Adapun pengertian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Z@R7072.tmp" w:hAnsi="Z@R7072.tmp" w:cs="Z@R7072.tmp"/>
          <w:sz w:val="23"/>
          <w:szCs w:val="23"/>
        </w:rPr>
        <w:t xml:space="preserve"> menurut istilah, </w:t>
      </w:r>
      <w:r w:rsidRPr="00910CE3">
        <w:rPr>
          <w:rFonts w:ascii="Z@R7072.tmp" w:hAnsi="Z@R7072.tmp" w:cs="Z@R7072.tmp"/>
          <w:sz w:val="24"/>
          <w:szCs w:val="24"/>
        </w:rPr>
        <w:t xml:space="preserve">Imam </w:t>
      </w:r>
      <w:r>
        <w:rPr>
          <w:rFonts w:asciiTheme="majorBidi" w:hAnsiTheme="majorBidi" w:cstheme="majorBidi"/>
          <w:sz w:val="24"/>
          <w:szCs w:val="24"/>
          <w:lang w:val="sv-SE"/>
        </w:rPr>
        <w:t>Al-</w:t>
      </w:r>
      <w:r w:rsidRPr="005F73F5">
        <w:rPr>
          <w:rFonts w:asciiTheme="majorBidi" w:hAnsiTheme="majorBidi" w:cstheme="majorBidi"/>
          <w:sz w:val="24"/>
          <w:szCs w:val="24"/>
          <w:lang w:val="sv-SE"/>
        </w:rPr>
        <w:t>Sy</w:t>
      </w:r>
      <w:r w:rsidRPr="005F73F5">
        <w:rPr>
          <w:rFonts w:asciiTheme="majorBidi" w:hAnsiTheme="majorBidi" w:cstheme="majorBidi"/>
          <w:sz w:val="24"/>
          <w:szCs w:val="24"/>
        </w:rPr>
        <w:t>ā</w:t>
      </w:r>
      <w:r w:rsidRPr="005F73F5">
        <w:rPr>
          <w:rFonts w:asciiTheme="majorBidi" w:hAnsiTheme="majorBidi" w:cstheme="majorBidi"/>
          <w:sz w:val="24"/>
          <w:szCs w:val="24"/>
          <w:lang w:val="sv-SE"/>
        </w:rPr>
        <w:t>thib</w:t>
      </w:r>
      <w:r w:rsidRPr="005F73F5">
        <w:rPr>
          <w:rFonts w:asciiTheme="majorBidi" w:hAnsiTheme="majorBidi" w:cstheme="majorBidi"/>
          <w:sz w:val="24"/>
          <w:szCs w:val="24"/>
        </w:rPr>
        <w:t>ī</w:t>
      </w:r>
      <w:r>
        <w:rPr>
          <w:rFonts w:asciiTheme="majorBidi" w:hAnsiTheme="majorBidi" w:cstheme="majorBidi"/>
          <w:sz w:val="24"/>
          <w:szCs w:val="24"/>
        </w:rPr>
        <w:t xml:space="preserve"> </w:t>
      </w:r>
      <w:r w:rsidRPr="00910CE3">
        <w:rPr>
          <w:rFonts w:ascii="Z@R7072.tmp" w:hAnsi="Z@R7072.tmp" w:cs="Z@R7072.tmp"/>
          <w:sz w:val="24"/>
          <w:szCs w:val="24"/>
        </w:rPr>
        <w:t xml:space="preserve">dalam kitab </w:t>
      </w:r>
      <w:r w:rsidRPr="00910CE3">
        <w:rPr>
          <w:rFonts w:ascii="Z@R7078.tmp,Italic" w:hAnsi="Z@R7078.tmp,Italic" w:cs="Z@R7078.tmp,Italic"/>
          <w:i/>
          <w:iCs/>
          <w:sz w:val="24"/>
          <w:szCs w:val="24"/>
        </w:rPr>
        <w:t>Al-Muwafaq</w:t>
      </w:r>
      <w:r w:rsidRPr="008E1CE9">
        <w:rPr>
          <w:rFonts w:asciiTheme="majorBidi" w:hAnsiTheme="majorBidi" w:cstheme="majorBidi"/>
          <w:i/>
          <w:iCs/>
          <w:sz w:val="24"/>
          <w:szCs w:val="24"/>
        </w:rPr>
        <w:t>ā</w:t>
      </w:r>
      <w:r w:rsidRPr="00910CE3">
        <w:rPr>
          <w:rFonts w:ascii="Z@R7078.tmp,Italic" w:hAnsi="Z@R7078.tmp,Italic" w:cs="Z@R7078.tmp,Italic"/>
          <w:i/>
          <w:iCs/>
          <w:sz w:val="24"/>
          <w:szCs w:val="24"/>
        </w:rPr>
        <w:t>t-</w:t>
      </w:r>
      <w:r w:rsidRPr="00910CE3">
        <w:rPr>
          <w:rFonts w:ascii="Z@R7072.tmp" w:hAnsi="Z@R7072.tmp" w:cs="Z@R7072.tmp"/>
          <w:sz w:val="24"/>
          <w:szCs w:val="24"/>
        </w:rPr>
        <w:t>nya</w:t>
      </w:r>
      <w:r w:rsidRPr="00910CE3">
        <w:rPr>
          <w:rFonts w:ascii="Z@R7078.tmp,Italic" w:hAnsi="Z@R7078.tmp,Italic" w:cs="Z@R7078.tmp,Italic"/>
          <w:i/>
          <w:iCs/>
          <w:sz w:val="24"/>
          <w:szCs w:val="24"/>
        </w:rPr>
        <w:t xml:space="preserve">, </w:t>
      </w:r>
      <w:r w:rsidRPr="00910CE3">
        <w:rPr>
          <w:rFonts w:ascii="Z@R7072.tmp" w:hAnsi="Z@R7072.tmp" w:cs="Z@R7072.tmp"/>
          <w:sz w:val="24"/>
          <w:szCs w:val="24"/>
        </w:rPr>
        <w:t xml:space="preserve">mendefinisikan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Z@R7072.tmp" w:hAnsi="Z@R7072.tmp" w:cs="Z@R7072.tmp"/>
          <w:sz w:val="24"/>
          <w:szCs w:val="24"/>
        </w:rPr>
        <w:t xml:space="preserve"> dengan:</w:t>
      </w:r>
    </w:p>
    <w:p w:rsidR="00343B61" w:rsidRPr="00953982" w:rsidRDefault="00343B61" w:rsidP="00343B61">
      <w:pPr>
        <w:autoSpaceDE w:val="0"/>
        <w:autoSpaceDN w:val="0"/>
        <w:bidi/>
        <w:adjustRightInd w:val="0"/>
        <w:spacing w:after="0" w:line="240" w:lineRule="auto"/>
        <w:jc w:val="both"/>
        <w:rPr>
          <w:rFonts w:ascii="Adobe نسخ Medium" w:hAnsi="Adobe نسخ Medium" w:cs="Adobe نسخ Medium"/>
          <w:sz w:val="32"/>
          <w:szCs w:val="32"/>
          <w:rtl/>
        </w:rPr>
      </w:pPr>
      <w:r w:rsidRPr="00BA6E3A">
        <w:rPr>
          <w:rFonts w:ascii="Adobe نسخ Medium" w:hAnsi="Adobe نسخ Medium" w:cs="Traditional Arabic"/>
          <w:sz w:val="32"/>
          <w:szCs w:val="32"/>
          <w:rtl/>
        </w:rPr>
        <w:t>التوسل بما هو مصلحة إلى مفسدة</w:t>
      </w:r>
      <w:r w:rsidRPr="00953982">
        <w:rPr>
          <w:rFonts w:ascii="Adobe نسخ Medium" w:hAnsi="Adobe نسخ Medium" w:cs="Adobe نسخ Medium"/>
          <w:sz w:val="32"/>
          <w:szCs w:val="32"/>
          <w:rtl/>
        </w:rPr>
        <w:t xml:space="preserve"> </w:t>
      </w:r>
      <w:r w:rsidRPr="00953982">
        <w:rPr>
          <w:rStyle w:val="FootnoteReference"/>
          <w:rFonts w:ascii="Adobe نسخ Medium" w:hAnsi="Adobe نسخ Medium" w:cs="Adobe نسخ Medium"/>
          <w:sz w:val="32"/>
          <w:szCs w:val="32"/>
          <w:rtl/>
        </w:rPr>
        <w:footnoteReference w:id="286"/>
      </w:r>
    </w:p>
    <w:p w:rsidR="00343B61" w:rsidRDefault="00343B61" w:rsidP="00343B61">
      <w:pPr>
        <w:autoSpaceDE w:val="0"/>
        <w:autoSpaceDN w:val="0"/>
        <w:adjustRightInd w:val="0"/>
        <w:spacing w:after="0" w:line="240" w:lineRule="auto"/>
        <w:ind w:left="1260"/>
        <w:jc w:val="both"/>
        <w:rPr>
          <w:rFonts w:asciiTheme="majorBidi" w:hAnsiTheme="majorBidi" w:cstheme="majorBidi"/>
          <w:i/>
          <w:iCs/>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“Melakukan suatu pekerjaan yang semula mengandung kemaslahatan untuk menuju kepada suatu kemafsadatan”.</w:t>
      </w:r>
    </w:p>
    <w:p w:rsidR="00343B61" w:rsidRPr="00910CE3" w:rsidRDefault="00343B61" w:rsidP="00343B61">
      <w:pPr>
        <w:autoSpaceDE w:val="0"/>
        <w:autoSpaceDN w:val="0"/>
        <w:adjustRightInd w:val="0"/>
        <w:spacing w:after="0" w:line="240" w:lineRule="auto"/>
        <w:ind w:left="1260"/>
        <w:jc w:val="both"/>
        <w:rPr>
          <w:rFonts w:asciiTheme="majorBidi" w:hAnsiTheme="majorBidi" w:cstheme="majorBidi"/>
          <w:i/>
          <w:iCs/>
          <w:sz w:val="24"/>
          <w:szCs w:val="24"/>
        </w:rPr>
      </w:pPr>
    </w:p>
    <w:p w:rsidR="00343B61" w:rsidRPr="00910CE3" w:rsidRDefault="00343B61" w:rsidP="00343B61">
      <w:pPr>
        <w:autoSpaceDE w:val="0"/>
        <w:autoSpaceDN w:val="0"/>
        <w:adjustRightInd w:val="0"/>
        <w:spacing w:after="0" w:line="360" w:lineRule="auto"/>
        <w:ind w:left="450" w:firstLine="810"/>
        <w:jc w:val="both"/>
        <w:rPr>
          <w:rFonts w:ascii="Z@R7072.tmp" w:hAnsi="Z@R7072.tmp" w:cs="Z@R7072.tmp"/>
          <w:sz w:val="24"/>
          <w:szCs w:val="24"/>
        </w:rPr>
      </w:pPr>
      <w:r w:rsidRPr="00910CE3">
        <w:rPr>
          <w:rFonts w:ascii="Z@R7072.tmp" w:hAnsi="Z@R7072.tmp" w:cs="Z@R7072.tmp"/>
          <w:sz w:val="24"/>
          <w:szCs w:val="24"/>
        </w:rPr>
        <w:lastRenderedPageBreak/>
        <w:t>Sementara al-Qar</w:t>
      </w:r>
      <w:r w:rsidRPr="005F73F5">
        <w:rPr>
          <w:rFonts w:asciiTheme="majorBidi" w:hAnsiTheme="majorBidi" w:cstheme="majorBidi"/>
          <w:sz w:val="24"/>
          <w:szCs w:val="24"/>
        </w:rPr>
        <w:t>ā</w:t>
      </w:r>
      <w:r w:rsidRPr="00910CE3">
        <w:rPr>
          <w:rFonts w:ascii="Z@R7072.tmp" w:hAnsi="Z@R7072.tmp" w:cs="Z@R7072.tmp"/>
          <w:sz w:val="24"/>
          <w:szCs w:val="24"/>
        </w:rPr>
        <w:t>f</w:t>
      </w:r>
      <w:r w:rsidRPr="005F73F5">
        <w:rPr>
          <w:rFonts w:asciiTheme="majorBidi" w:hAnsiTheme="majorBidi" w:cstheme="majorBidi"/>
          <w:sz w:val="24"/>
          <w:szCs w:val="24"/>
        </w:rPr>
        <w:t>ī</w:t>
      </w:r>
      <w:r w:rsidRPr="00910CE3">
        <w:rPr>
          <w:rFonts w:ascii="Z@R7072.tmp" w:hAnsi="Z@R7072.tmp" w:cs="Z@R7072.tmp"/>
          <w:sz w:val="24"/>
          <w:szCs w:val="24"/>
        </w:rPr>
        <w:t xml:space="preserve"> mendefinisikan</w:t>
      </w:r>
      <w:r w:rsidRPr="00910CE3">
        <w:rPr>
          <w:rFonts w:ascii="Z@R7078.tmp,Italic" w:hAnsi="Z@R7078.tmp,Italic" w:cs="Z@R7078.tmp,Italic"/>
          <w:i/>
          <w:iCs/>
          <w:sz w:val="24"/>
          <w:szCs w:val="24"/>
        </w:rPr>
        <w:t xml:space="preserve">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Z@R7072.tmp" w:hAnsi="Z@R7072.tmp" w:cs="Z@R7072.tmp"/>
          <w:sz w:val="24"/>
          <w:szCs w:val="24"/>
        </w:rPr>
        <w:t xml:space="preserve"> dengan: “</w:t>
      </w:r>
      <w:r w:rsidRPr="00910CE3">
        <w:rPr>
          <w:rFonts w:ascii="Times New Roman" w:hAnsi="Times New Roman" w:cs="Times New Roman"/>
          <w:sz w:val="24"/>
          <w:szCs w:val="24"/>
        </w:rPr>
        <w:t>wasilah (perantara) untuk</w:t>
      </w:r>
      <w:r w:rsidRPr="00910CE3">
        <w:rPr>
          <w:rFonts w:ascii="Z@R7072.tmp" w:hAnsi="Z@R7072.tmp" w:cs="Z@R7072.tmp"/>
          <w:sz w:val="24"/>
          <w:szCs w:val="24"/>
        </w:rPr>
        <w:t xml:space="preserve"> mencapai tujuan tertentu, sebagaimana </w:t>
      </w:r>
      <w:r w:rsidRPr="00910CE3">
        <w:rPr>
          <w:rFonts w:ascii="Z@R7072.tmp" w:hAnsi="Z@R7072.tmp" w:cs="Z@R7072.tmp"/>
          <w:i/>
          <w:iCs/>
          <w:sz w:val="24"/>
          <w:szCs w:val="24"/>
        </w:rPr>
        <w:t>wasilah</w:t>
      </w:r>
      <w:r w:rsidRPr="00910CE3">
        <w:rPr>
          <w:rFonts w:ascii="Z@R7072.tmp" w:hAnsi="Z@R7072.tmp" w:cs="Z@R7072.tmp"/>
          <w:sz w:val="24"/>
          <w:szCs w:val="24"/>
        </w:rPr>
        <w:t xml:space="preserve"> kepada yang haram adalah haram dan </w:t>
      </w:r>
      <w:r w:rsidRPr="00910CE3">
        <w:rPr>
          <w:rFonts w:ascii="Z@R7072.tmp" w:hAnsi="Z@R7072.tmp" w:cs="Z@R7072.tmp"/>
          <w:i/>
          <w:iCs/>
          <w:sz w:val="24"/>
          <w:szCs w:val="24"/>
        </w:rPr>
        <w:t>wasilah</w:t>
      </w:r>
      <w:r w:rsidRPr="00910CE3">
        <w:rPr>
          <w:rFonts w:ascii="Z@R7072.tmp" w:hAnsi="Z@R7072.tmp" w:cs="Z@R7072.tmp"/>
          <w:sz w:val="24"/>
          <w:szCs w:val="24"/>
        </w:rPr>
        <w:t xml:space="preserve"> kepada yang wajib adalaah wajib, seperti berusaha untuk melaksanakan shalat jum’at dan mengerjakan ibadah haji”.</w:t>
      </w:r>
      <w:r w:rsidRPr="00910CE3">
        <w:rPr>
          <w:rStyle w:val="FootnoteReference"/>
          <w:rFonts w:ascii="Z@R7072.tmp" w:hAnsi="Z@R7072.tmp" w:cs="Z@R7072.tmp"/>
          <w:sz w:val="24"/>
          <w:szCs w:val="24"/>
        </w:rPr>
        <w:footnoteReference w:id="287"/>
      </w:r>
    </w:p>
    <w:p w:rsidR="00343B61" w:rsidRPr="008C3088" w:rsidRDefault="00343B61" w:rsidP="00343B61">
      <w:pPr>
        <w:autoSpaceDE w:val="0"/>
        <w:autoSpaceDN w:val="0"/>
        <w:adjustRightInd w:val="0"/>
        <w:spacing w:after="0" w:line="360" w:lineRule="auto"/>
        <w:ind w:left="450" w:firstLine="810"/>
        <w:jc w:val="both"/>
        <w:rPr>
          <w:rFonts w:asciiTheme="majorBidi" w:hAnsiTheme="majorBidi" w:cstheme="majorBidi"/>
          <w:i/>
          <w:iCs/>
          <w:sz w:val="24"/>
          <w:szCs w:val="24"/>
        </w:rPr>
      </w:pPr>
      <w:r w:rsidRPr="008C3088">
        <w:rPr>
          <w:rFonts w:asciiTheme="majorBidi" w:hAnsiTheme="majorBidi" w:cstheme="majorBidi"/>
          <w:sz w:val="24"/>
          <w:szCs w:val="24"/>
        </w:rPr>
        <w:t xml:space="preserve">Menurut </w:t>
      </w:r>
      <w:r w:rsidRPr="00910CE3">
        <w:rPr>
          <w:rFonts w:ascii="Z@R7072.tmp" w:hAnsi="Z@R7072.tmp" w:cs="Z@R7072.tmp"/>
          <w:sz w:val="24"/>
          <w:szCs w:val="24"/>
        </w:rPr>
        <w:t>al-Qar</w:t>
      </w:r>
      <w:r w:rsidRPr="005F73F5">
        <w:rPr>
          <w:rFonts w:asciiTheme="majorBidi" w:hAnsiTheme="majorBidi" w:cstheme="majorBidi"/>
          <w:sz w:val="24"/>
          <w:szCs w:val="24"/>
        </w:rPr>
        <w:t>ā</w:t>
      </w:r>
      <w:r w:rsidRPr="00910CE3">
        <w:rPr>
          <w:rFonts w:ascii="Z@R7072.tmp" w:hAnsi="Z@R7072.tmp" w:cs="Z@R7072.tmp"/>
          <w:sz w:val="24"/>
          <w:szCs w:val="24"/>
        </w:rPr>
        <w:t>f</w:t>
      </w:r>
      <w:r w:rsidRPr="005F73F5">
        <w:rPr>
          <w:rFonts w:asciiTheme="majorBidi" w:hAnsiTheme="majorBidi" w:cstheme="majorBidi"/>
          <w:sz w:val="24"/>
          <w:szCs w:val="24"/>
        </w:rPr>
        <w:t>ī</w:t>
      </w:r>
      <w:r w:rsidRPr="008C3088">
        <w:rPr>
          <w:rFonts w:asciiTheme="majorBidi" w:hAnsiTheme="majorBidi" w:cstheme="majorBidi"/>
          <w:sz w:val="24"/>
          <w:szCs w:val="24"/>
        </w:rPr>
        <w:t xml:space="preserve">, sasaran hukum </w:t>
      </w:r>
      <w:r w:rsidRPr="008C3088">
        <w:rPr>
          <w:rFonts w:asciiTheme="majorBidi" w:hAnsiTheme="majorBidi" w:cstheme="majorBidi"/>
          <w:i/>
          <w:iCs/>
          <w:sz w:val="24"/>
          <w:szCs w:val="24"/>
        </w:rPr>
        <w:t>al-żarī‘ah</w:t>
      </w:r>
      <w:r w:rsidRPr="008C3088">
        <w:rPr>
          <w:rFonts w:asciiTheme="majorBidi" w:hAnsiTheme="majorBidi" w:cstheme="majorBidi"/>
          <w:sz w:val="24"/>
          <w:szCs w:val="24"/>
        </w:rPr>
        <w:t xml:space="preserve"> dapat dilihat dari dua bentuk. Pertama, </w:t>
      </w:r>
      <w:r w:rsidRPr="008C3088">
        <w:rPr>
          <w:rFonts w:asciiTheme="majorBidi" w:hAnsiTheme="majorBidi" w:cstheme="majorBidi"/>
          <w:i/>
          <w:iCs/>
          <w:sz w:val="24"/>
          <w:szCs w:val="24"/>
        </w:rPr>
        <w:t>maqāṣid</w:t>
      </w:r>
      <w:r w:rsidRPr="008C3088">
        <w:rPr>
          <w:rFonts w:asciiTheme="majorBidi" w:hAnsiTheme="majorBidi" w:cstheme="majorBidi"/>
          <w:sz w:val="24"/>
          <w:szCs w:val="24"/>
        </w:rPr>
        <w:t>, yaitu sesuatu yang mengandung</w:t>
      </w:r>
      <w:r w:rsidRPr="008C3088">
        <w:rPr>
          <w:rFonts w:asciiTheme="majorBidi" w:hAnsiTheme="majorBidi" w:cstheme="majorBidi"/>
          <w:i/>
          <w:iCs/>
          <w:sz w:val="24"/>
          <w:szCs w:val="24"/>
        </w:rPr>
        <w:t xml:space="preserve"> ma</w:t>
      </w:r>
      <w:r w:rsidRPr="008C3088">
        <w:rPr>
          <w:rFonts w:asciiTheme="majorBidi" w:hAnsiTheme="majorBidi" w:cstheme="majorBidi"/>
          <w:i/>
          <w:iCs/>
          <w:color w:val="222222"/>
          <w:sz w:val="24"/>
          <w:szCs w:val="24"/>
        </w:rPr>
        <w:t>ṣ</w:t>
      </w:r>
      <w:r w:rsidRPr="008C3088">
        <w:rPr>
          <w:rFonts w:asciiTheme="majorBidi" w:hAnsiTheme="majorBidi" w:cstheme="majorBidi"/>
          <w:i/>
          <w:iCs/>
          <w:sz w:val="24"/>
          <w:szCs w:val="24"/>
        </w:rPr>
        <w:t>la</w:t>
      </w:r>
      <w:r w:rsidRPr="008C3088">
        <w:rPr>
          <w:rFonts w:asciiTheme="majorBidi" w:hAnsiTheme="majorBidi" w:cstheme="majorBidi"/>
          <w:i/>
          <w:iCs/>
          <w:sz w:val="24"/>
          <w:szCs w:val="24"/>
          <w:u w:val="single"/>
        </w:rPr>
        <w:t>h</w:t>
      </w:r>
      <w:r w:rsidRPr="008C3088">
        <w:rPr>
          <w:rFonts w:asciiTheme="majorBidi" w:hAnsiTheme="majorBidi" w:cstheme="majorBidi"/>
          <w:i/>
          <w:iCs/>
          <w:sz w:val="24"/>
          <w:szCs w:val="24"/>
        </w:rPr>
        <w:t xml:space="preserve">ah </w:t>
      </w:r>
      <w:r w:rsidRPr="008C3088">
        <w:rPr>
          <w:rFonts w:asciiTheme="majorBidi" w:hAnsiTheme="majorBidi" w:cstheme="majorBidi"/>
          <w:sz w:val="24"/>
          <w:szCs w:val="24"/>
        </w:rPr>
        <w:t xml:space="preserve">dan </w:t>
      </w:r>
      <w:r w:rsidRPr="008C3088">
        <w:rPr>
          <w:rFonts w:asciiTheme="majorBidi" w:hAnsiTheme="majorBidi" w:cstheme="majorBidi"/>
          <w:i/>
          <w:iCs/>
          <w:sz w:val="24"/>
          <w:szCs w:val="24"/>
        </w:rPr>
        <w:t>mafsadah</w:t>
      </w:r>
      <w:r w:rsidRPr="008C3088">
        <w:rPr>
          <w:rFonts w:asciiTheme="majorBidi" w:hAnsiTheme="majorBidi" w:cstheme="majorBidi"/>
          <w:sz w:val="24"/>
          <w:szCs w:val="24"/>
        </w:rPr>
        <w:t xml:space="preserve">. Kedua, </w:t>
      </w:r>
      <w:r w:rsidRPr="008C3088">
        <w:rPr>
          <w:rFonts w:asciiTheme="majorBidi" w:hAnsiTheme="majorBidi" w:cstheme="majorBidi"/>
          <w:i/>
          <w:iCs/>
          <w:sz w:val="24"/>
          <w:szCs w:val="24"/>
        </w:rPr>
        <w:t xml:space="preserve">wasāil </w:t>
      </w:r>
      <w:r w:rsidRPr="008C3088">
        <w:rPr>
          <w:rFonts w:asciiTheme="majorBidi" w:hAnsiTheme="majorBidi" w:cstheme="majorBidi"/>
          <w:sz w:val="24"/>
          <w:szCs w:val="24"/>
        </w:rPr>
        <w:t>yaitu hal-hal yang membawa kepada</w:t>
      </w:r>
      <w:r w:rsidRPr="008C3088">
        <w:rPr>
          <w:rFonts w:asciiTheme="majorBidi" w:hAnsiTheme="majorBidi" w:cstheme="majorBidi"/>
          <w:i/>
          <w:iCs/>
          <w:sz w:val="24"/>
          <w:szCs w:val="24"/>
        </w:rPr>
        <w:t xml:space="preserve"> maqāṣid</w:t>
      </w:r>
      <w:r w:rsidRPr="008C3088">
        <w:rPr>
          <w:rFonts w:asciiTheme="majorBidi" w:hAnsiTheme="majorBidi" w:cstheme="majorBidi"/>
          <w:sz w:val="24"/>
          <w:szCs w:val="24"/>
        </w:rPr>
        <w:t xml:space="preserve"> dan hukum </w:t>
      </w:r>
      <w:r w:rsidRPr="008C3088">
        <w:rPr>
          <w:rFonts w:asciiTheme="majorBidi" w:hAnsiTheme="majorBidi" w:cstheme="majorBidi"/>
          <w:i/>
          <w:iCs/>
          <w:sz w:val="24"/>
          <w:szCs w:val="24"/>
        </w:rPr>
        <w:t xml:space="preserve">wasail </w:t>
      </w:r>
      <w:r w:rsidRPr="008C3088">
        <w:rPr>
          <w:rFonts w:asciiTheme="majorBidi" w:hAnsiTheme="majorBidi" w:cstheme="majorBidi"/>
          <w:sz w:val="24"/>
          <w:szCs w:val="24"/>
        </w:rPr>
        <w:t xml:space="preserve">sama dengan hukum </w:t>
      </w:r>
      <w:r w:rsidRPr="008C3088">
        <w:rPr>
          <w:rFonts w:asciiTheme="majorBidi" w:hAnsiTheme="majorBidi" w:cstheme="majorBidi"/>
          <w:i/>
          <w:iCs/>
          <w:sz w:val="24"/>
          <w:szCs w:val="24"/>
        </w:rPr>
        <w:t>maqāṣid</w:t>
      </w:r>
      <w:r w:rsidRPr="008C3088">
        <w:rPr>
          <w:rFonts w:asciiTheme="majorBidi" w:hAnsiTheme="majorBidi" w:cstheme="majorBidi"/>
          <w:sz w:val="24"/>
          <w:szCs w:val="24"/>
        </w:rPr>
        <w:t>, hanya saja tingkat</w:t>
      </w:r>
      <w:r w:rsidRPr="008C3088">
        <w:rPr>
          <w:rFonts w:asciiTheme="majorBidi" w:hAnsiTheme="majorBidi" w:cstheme="majorBidi"/>
          <w:i/>
          <w:iCs/>
          <w:sz w:val="24"/>
          <w:szCs w:val="24"/>
        </w:rPr>
        <w:t xml:space="preserve"> wasāil </w:t>
      </w:r>
      <w:r w:rsidRPr="008C3088">
        <w:rPr>
          <w:rFonts w:asciiTheme="majorBidi" w:hAnsiTheme="majorBidi" w:cstheme="majorBidi"/>
          <w:sz w:val="24"/>
          <w:szCs w:val="24"/>
        </w:rPr>
        <w:t xml:space="preserve">lebih rendah dari tingkat </w:t>
      </w:r>
      <w:r w:rsidRPr="008C3088">
        <w:rPr>
          <w:rFonts w:asciiTheme="majorBidi" w:hAnsiTheme="majorBidi" w:cstheme="majorBidi"/>
          <w:i/>
          <w:iCs/>
          <w:sz w:val="24"/>
          <w:szCs w:val="24"/>
        </w:rPr>
        <w:t>maqāṣid</w:t>
      </w:r>
      <w:r w:rsidRPr="008C3088">
        <w:rPr>
          <w:rStyle w:val="FootnoteReference"/>
          <w:rFonts w:asciiTheme="majorBidi" w:hAnsiTheme="majorBidi" w:cstheme="majorBidi"/>
          <w:sz w:val="24"/>
          <w:szCs w:val="24"/>
        </w:rPr>
        <w:t xml:space="preserve"> </w:t>
      </w:r>
      <w:r w:rsidRPr="008C3088">
        <w:rPr>
          <w:rStyle w:val="FootnoteReference"/>
          <w:rFonts w:asciiTheme="majorBidi" w:hAnsiTheme="majorBidi" w:cstheme="majorBidi"/>
          <w:sz w:val="24"/>
          <w:szCs w:val="24"/>
        </w:rPr>
        <w:footnoteReference w:id="288"/>
      </w:r>
      <w:r w:rsidRPr="008C3088">
        <w:rPr>
          <w:rFonts w:asciiTheme="majorBidi" w:hAnsiTheme="majorBidi" w:cstheme="majorBidi"/>
          <w:sz w:val="24"/>
          <w:szCs w:val="24"/>
        </w:rPr>
        <w:t xml:space="preserve">. Jadi menurut al-Qarafi, hukum </w:t>
      </w:r>
      <w:r w:rsidRPr="008C3088">
        <w:rPr>
          <w:rFonts w:asciiTheme="majorBidi" w:hAnsiTheme="majorBidi" w:cstheme="majorBidi"/>
          <w:i/>
          <w:iCs/>
          <w:sz w:val="24"/>
          <w:szCs w:val="24"/>
        </w:rPr>
        <w:t xml:space="preserve">wasāil </w:t>
      </w:r>
      <w:r w:rsidRPr="008C3088">
        <w:rPr>
          <w:rFonts w:asciiTheme="majorBidi" w:hAnsiTheme="majorBidi" w:cstheme="majorBidi"/>
          <w:sz w:val="24"/>
          <w:szCs w:val="24"/>
        </w:rPr>
        <w:t xml:space="preserve">sangat ditentukan oleh </w:t>
      </w:r>
      <w:r w:rsidRPr="008C3088">
        <w:rPr>
          <w:rFonts w:asciiTheme="majorBidi" w:hAnsiTheme="majorBidi" w:cstheme="majorBidi"/>
          <w:i/>
          <w:iCs/>
          <w:sz w:val="24"/>
          <w:szCs w:val="24"/>
        </w:rPr>
        <w:t xml:space="preserve">maqāṣid </w:t>
      </w:r>
      <w:r w:rsidRPr="008C3088">
        <w:rPr>
          <w:rFonts w:asciiTheme="majorBidi" w:hAnsiTheme="majorBidi" w:cstheme="majorBidi"/>
          <w:sz w:val="24"/>
          <w:szCs w:val="24"/>
        </w:rPr>
        <w:t xml:space="preserve">karena </w:t>
      </w:r>
      <w:r w:rsidRPr="008C3088">
        <w:rPr>
          <w:rFonts w:asciiTheme="majorBidi" w:hAnsiTheme="majorBidi" w:cstheme="majorBidi"/>
          <w:i/>
          <w:iCs/>
          <w:sz w:val="24"/>
          <w:szCs w:val="24"/>
        </w:rPr>
        <w:t xml:space="preserve">wasāil </w:t>
      </w:r>
      <w:r w:rsidRPr="008C3088">
        <w:rPr>
          <w:rFonts w:asciiTheme="majorBidi" w:hAnsiTheme="majorBidi" w:cstheme="majorBidi"/>
          <w:sz w:val="24"/>
          <w:szCs w:val="24"/>
        </w:rPr>
        <w:t xml:space="preserve">tidak berubah hukumnya tanpa </w:t>
      </w:r>
      <w:r w:rsidRPr="008C3088">
        <w:rPr>
          <w:rFonts w:asciiTheme="majorBidi" w:hAnsiTheme="majorBidi" w:cstheme="majorBidi"/>
          <w:i/>
          <w:iCs/>
          <w:sz w:val="24"/>
          <w:szCs w:val="24"/>
        </w:rPr>
        <w:t>maqāṣid</w:t>
      </w:r>
      <w:r w:rsidRPr="008C3088">
        <w:rPr>
          <w:rFonts w:asciiTheme="majorBidi" w:hAnsiTheme="majorBidi" w:cstheme="majorBidi"/>
          <w:sz w:val="24"/>
          <w:szCs w:val="24"/>
        </w:rPr>
        <w:t>.</w:t>
      </w:r>
      <w:r w:rsidRPr="008C3088">
        <w:rPr>
          <w:rFonts w:asciiTheme="majorBidi" w:hAnsiTheme="majorBidi" w:cstheme="majorBidi"/>
          <w:i/>
          <w:iCs/>
          <w:sz w:val="24"/>
          <w:szCs w:val="24"/>
        </w:rPr>
        <w:t xml:space="preserve"> </w:t>
      </w:r>
      <w:r w:rsidRPr="008C3088">
        <w:rPr>
          <w:rFonts w:asciiTheme="majorBidi" w:hAnsiTheme="majorBidi" w:cstheme="majorBidi"/>
          <w:sz w:val="24"/>
          <w:szCs w:val="24"/>
        </w:rPr>
        <w:t xml:space="preserve">Menurut Ibn Rusyd (520 . 595 H /1126 . 1198 M), </w:t>
      </w:r>
      <w:r w:rsidRPr="008C3088">
        <w:rPr>
          <w:rFonts w:asciiTheme="majorBidi" w:hAnsiTheme="majorBidi" w:cstheme="majorBidi"/>
          <w:i/>
          <w:iCs/>
          <w:sz w:val="24"/>
          <w:szCs w:val="24"/>
        </w:rPr>
        <w:t xml:space="preserve">al-dzari’ah </w:t>
      </w:r>
      <w:r w:rsidRPr="008C3088">
        <w:rPr>
          <w:rFonts w:asciiTheme="majorBidi" w:hAnsiTheme="majorBidi" w:cstheme="majorBidi"/>
          <w:sz w:val="24"/>
          <w:szCs w:val="24"/>
        </w:rPr>
        <w:t>adalah sesuatu yang pada lahirnya boleh tetapi penghubung kepada perbuatan yang dilarang, seperti jual beli yang membawa kepada riba.</w:t>
      </w:r>
      <w:r w:rsidRPr="008C3088">
        <w:rPr>
          <w:rStyle w:val="FootnoteReference"/>
          <w:rFonts w:asciiTheme="majorBidi" w:hAnsiTheme="majorBidi" w:cstheme="majorBidi"/>
          <w:sz w:val="24"/>
          <w:szCs w:val="24"/>
        </w:rPr>
        <w:footnoteReference w:id="289"/>
      </w:r>
    </w:p>
    <w:p w:rsidR="00343B61" w:rsidRPr="00910CE3" w:rsidRDefault="00343B61" w:rsidP="00343B61">
      <w:pPr>
        <w:autoSpaceDE w:val="0"/>
        <w:autoSpaceDN w:val="0"/>
        <w:adjustRightInd w:val="0"/>
        <w:spacing w:after="0" w:line="360" w:lineRule="auto"/>
        <w:ind w:left="450" w:firstLine="810"/>
        <w:jc w:val="both"/>
        <w:rPr>
          <w:rFonts w:asciiTheme="majorBidi" w:hAnsiTheme="majorBidi" w:cstheme="majorBidi"/>
          <w:sz w:val="24"/>
          <w:szCs w:val="24"/>
        </w:rPr>
      </w:pPr>
      <w:r w:rsidRPr="005F73F5">
        <w:rPr>
          <w:rFonts w:asciiTheme="majorBidi" w:hAnsiTheme="majorBidi" w:cstheme="majorBidi"/>
          <w:sz w:val="24"/>
          <w:szCs w:val="24"/>
        </w:rPr>
        <w:t>Al-Qurthubī</w:t>
      </w:r>
      <w:r w:rsidRPr="00AC6C5F">
        <w:rPr>
          <w:rFonts w:asciiTheme="majorBidi" w:hAnsiTheme="majorBidi" w:cstheme="majorBidi"/>
        </w:rPr>
        <w:t xml:space="preserve"> </w:t>
      </w:r>
      <w:r w:rsidRPr="00910CE3">
        <w:rPr>
          <w:rFonts w:asciiTheme="majorBidi" w:hAnsiTheme="majorBidi" w:cstheme="majorBidi"/>
          <w:sz w:val="24"/>
          <w:szCs w:val="24"/>
        </w:rPr>
        <w:t xml:space="preserve">(W.671 H.), berpendapat bahwa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Theme="majorBidi" w:hAnsiTheme="majorBidi" w:cstheme="majorBidi"/>
          <w:sz w:val="24"/>
          <w:szCs w:val="24"/>
        </w:rPr>
        <w:t xml:space="preserve"> yaitu bentuk perbuatan yang esensi perbuatan itu tidak dilarang tetapi dikhawatirkan dengan mengerjakan perbuatan tersebut, seseorang terjatuh kepada perbuatan yang dilarang.</w:t>
      </w:r>
      <w:r w:rsidRPr="00910CE3">
        <w:rPr>
          <w:rStyle w:val="FootnoteReference"/>
          <w:rFonts w:asciiTheme="majorBidi" w:hAnsiTheme="majorBidi" w:cstheme="majorBidi"/>
          <w:sz w:val="24"/>
          <w:szCs w:val="24"/>
        </w:rPr>
        <w:footnoteReference w:id="290"/>
      </w:r>
      <w:r w:rsidRPr="00910CE3">
        <w:rPr>
          <w:rFonts w:asciiTheme="majorBidi" w:hAnsiTheme="majorBidi" w:cstheme="majorBidi"/>
          <w:sz w:val="24"/>
          <w:szCs w:val="24"/>
        </w:rPr>
        <w:t xml:space="preserve"> Al-Syaukani menegaskan bahwa </w:t>
      </w:r>
      <w:r>
        <w:rPr>
          <w:rFonts w:ascii="TimesNewArabic" w:hAnsi="TimesNewArabic" w:cs="TimesNewArabic"/>
          <w:i/>
          <w:iCs/>
          <w:sz w:val="25"/>
          <w:szCs w:val="25"/>
        </w:rPr>
        <w:t>al-</w:t>
      </w:r>
      <w:r w:rsidRPr="008E1CE9">
        <w:rPr>
          <w:rFonts w:ascii="TimesNewArabic" w:hAnsi="TimesNewArabic" w:cs="TimesNewArabic"/>
          <w:i/>
          <w:iCs/>
          <w:sz w:val="25"/>
          <w:szCs w:val="25"/>
        </w:rPr>
        <w:t>żarī‘ah</w:t>
      </w:r>
      <w:r w:rsidRPr="00910CE3">
        <w:rPr>
          <w:rFonts w:asciiTheme="majorBidi" w:hAnsiTheme="majorBidi" w:cstheme="majorBidi"/>
          <w:sz w:val="24"/>
          <w:szCs w:val="24"/>
        </w:rPr>
        <w:t xml:space="preserve"> yaitu sesuatu perantara yang secara lahir dibolehkan namun dapat membawa kepada yang dilarang.</w:t>
      </w:r>
      <w:r w:rsidRPr="00910CE3">
        <w:rPr>
          <w:rStyle w:val="FootnoteReference"/>
          <w:rFonts w:asciiTheme="majorBidi" w:hAnsiTheme="majorBidi" w:cstheme="majorBidi"/>
          <w:sz w:val="24"/>
          <w:szCs w:val="24"/>
        </w:rPr>
        <w:footnoteReference w:id="291"/>
      </w:r>
    </w:p>
    <w:p w:rsidR="00343B61" w:rsidRPr="008C3088" w:rsidRDefault="00343B61" w:rsidP="00343B61">
      <w:pPr>
        <w:autoSpaceDE w:val="0"/>
        <w:autoSpaceDN w:val="0"/>
        <w:adjustRightInd w:val="0"/>
        <w:spacing w:after="0" w:line="360" w:lineRule="auto"/>
        <w:ind w:left="450" w:firstLine="810"/>
        <w:jc w:val="both"/>
        <w:rPr>
          <w:rFonts w:asciiTheme="majorBidi" w:hAnsiTheme="majorBidi" w:cstheme="majorBidi"/>
          <w:sz w:val="24"/>
          <w:szCs w:val="24"/>
        </w:rPr>
      </w:pPr>
      <w:r w:rsidRPr="008C3088">
        <w:rPr>
          <w:rFonts w:asciiTheme="majorBidi" w:hAnsiTheme="majorBidi" w:cstheme="majorBidi"/>
          <w:sz w:val="24"/>
          <w:szCs w:val="24"/>
        </w:rPr>
        <w:t xml:space="preserve">Dengan demikian, definisi </w:t>
      </w:r>
      <w:r w:rsidRPr="008C3088">
        <w:rPr>
          <w:rFonts w:asciiTheme="majorBidi" w:hAnsiTheme="majorBidi" w:cstheme="majorBidi"/>
          <w:i/>
          <w:iCs/>
          <w:sz w:val="24"/>
          <w:szCs w:val="24"/>
        </w:rPr>
        <w:t>Sadd al-żarī‘ah</w:t>
      </w:r>
      <w:r w:rsidRPr="008C3088">
        <w:rPr>
          <w:rFonts w:asciiTheme="majorBidi" w:hAnsiTheme="majorBidi" w:cstheme="majorBidi"/>
          <w:sz w:val="24"/>
          <w:szCs w:val="24"/>
        </w:rPr>
        <w:t xml:space="preserve"> adalah metode penetapan hukum dengan cara menutup jalan yang mengantarkan pada perbuatan yang mendatangkan </w:t>
      </w:r>
      <w:r w:rsidRPr="008C3088">
        <w:rPr>
          <w:rFonts w:asciiTheme="majorBidi" w:hAnsiTheme="majorBidi" w:cstheme="majorBidi"/>
          <w:i/>
          <w:iCs/>
          <w:sz w:val="24"/>
          <w:szCs w:val="24"/>
        </w:rPr>
        <w:t xml:space="preserve">mafsadah </w:t>
      </w:r>
      <w:r w:rsidRPr="008C3088">
        <w:rPr>
          <w:rFonts w:asciiTheme="majorBidi" w:hAnsiTheme="majorBidi" w:cstheme="majorBidi"/>
          <w:sz w:val="24"/>
          <w:szCs w:val="24"/>
        </w:rPr>
        <w:t xml:space="preserve">dan yang dilarang. Hakekat dari </w:t>
      </w:r>
      <w:r w:rsidRPr="008C3088">
        <w:rPr>
          <w:rFonts w:asciiTheme="majorBidi" w:hAnsiTheme="majorBidi" w:cstheme="majorBidi"/>
          <w:i/>
          <w:iCs/>
          <w:sz w:val="24"/>
          <w:szCs w:val="24"/>
        </w:rPr>
        <w:t>sadd al dzari</w:t>
      </w:r>
      <w:r w:rsidRPr="008C3088">
        <w:rPr>
          <w:rFonts w:asciiTheme="majorBidi" w:hAnsiTheme="majorBidi" w:cstheme="majorBidi"/>
          <w:sz w:val="24"/>
          <w:szCs w:val="24"/>
        </w:rPr>
        <w:t>’</w:t>
      </w:r>
      <w:r w:rsidRPr="008C3088">
        <w:rPr>
          <w:rFonts w:asciiTheme="majorBidi" w:hAnsiTheme="majorBidi" w:cstheme="majorBidi"/>
          <w:i/>
          <w:iCs/>
          <w:sz w:val="24"/>
          <w:szCs w:val="24"/>
        </w:rPr>
        <w:t xml:space="preserve">ah </w:t>
      </w:r>
      <w:r w:rsidRPr="008C3088">
        <w:rPr>
          <w:rFonts w:asciiTheme="majorBidi" w:hAnsiTheme="majorBidi" w:cstheme="majorBidi"/>
          <w:sz w:val="24"/>
          <w:szCs w:val="24"/>
        </w:rPr>
        <w:lastRenderedPageBreak/>
        <w:t>adalah upaya melarang sesuatu yang hukum asalnya boleh (</w:t>
      </w:r>
      <w:r w:rsidRPr="008C3088">
        <w:rPr>
          <w:rFonts w:asciiTheme="majorBidi" w:hAnsiTheme="majorBidi" w:cstheme="majorBidi"/>
          <w:i/>
          <w:iCs/>
          <w:sz w:val="24"/>
          <w:szCs w:val="24"/>
        </w:rPr>
        <w:t>jāiz</w:t>
      </w:r>
      <w:r w:rsidRPr="008C3088">
        <w:rPr>
          <w:rFonts w:asciiTheme="majorBidi" w:hAnsiTheme="majorBidi" w:cstheme="majorBidi"/>
          <w:sz w:val="24"/>
          <w:szCs w:val="24"/>
        </w:rPr>
        <w:t>) agar tidak mengantarkan pada perbuatan yang terlarang.</w:t>
      </w:r>
      <w:r w:rsidRPr="008C3088">
        <w:rPr>
          <w:rStyle w:val="FootnoteReference"/>
          <w:rFonts w:asciiTheme="majorBidi" w:hAnsiTheme="majorBidi" w:cstheme="majorBidi"/>
          <w:sz w:val="24"/>
          <w:szCs w:val="24"/>
        </w:rPr>
        <w:footnoteReference w:id="292"/>
      </w:r>
    </w:p>
    <w:p w:rsidR="00343B61" w:rsidRPr="00910CE3" w:rsidRDefault="00343B61" w:rsidP="002C0A33">
      <w:pPr>
        <w:pStyle w:val="ListParagraph"/>
        <w:numPr>
          <w:ilvl w:val="0"/>
          <w:numId w:val="23"/>
        </w:numPr>
        <w:tabs>
          <w:tab w:val="left" w:pos="450"/>
        </w:tabs>
        <w:autoSpaceDE w:val="0"/>
        <w:autoSpaceDN w:val="0"/>
        <w:adjustRightInd w:val="0"/>
        <w:spacing w:after="0" w:line="360" w:lineRule="auto"/>
        <w:ind w:firstLine="18"/>
        <w:jc w:val="both"/>
        <w:rPr>
          <w:rFonts w:ascii="TimesNewArabic" w:hAnsi="TimesNewArabic" w:cs="TimesNewArabic"/>
          <w:sz w:val="25"/>
          <w:szCs w:val="25"/>
        </w:rPr>
      </w:pPr>
      <w:r w:rsidRPr="00910CE3">
        <w:rPr>
          <w:rFonts w:ascii="TimesNewArabic" w:hAnsi="TimesNewArabic" w:cs="TimesNewArabic"/>
          <w:sz w:val="25"/>
          <w:szCs w:val="25"/>
        </w:rPr>
        <w:t xml:space="preserve">Melalui Pendekatan </w:t>
      </w:r>
      <w:r w:rsidRPr="00910CE3">
        <w:rPr>
          <w:rFonts w:ascii="TimesNewArabic" w:hAnsi="TimesNewArabic" w:cs="TimesNewArabic"/>
          <w:i/>
          <w:iCs/>
          <w:sz w:val="25"/>
          <w:szCs w:val="25"/>
        </w:rPr>
        <w:t>Al-</w:t>
      </w:r>
      <w:r w:rsidRPr="00910CE3">
        <w:rPr>
          <w:rFonts w:ascii="Times New Roman" w:hAnsi="Times New Roman" w:cs="Times New Roman"/>
          <w:i/>
          <w:iCs/>
          <w:sz w:val="24"/>
          <w:szCs w:val="24"/>
        </w:rPr>
        <w:t>‘Urf</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15"/>
          <w:szCs w:val="15"/>
        </w:rPr>
      </w:pPr>
      <w:r w:rsidRPr="00910CE3">
        <w:rPr>
          <w:rFonts w:ascii="Times New Roman" w:hAnsi="Times New Roman" w:cs="Times New Roman"/>
          <w:sz w:val="24"/>
          <w:szCs w:val="24"/>
        </w:rPr>
        <w:t>Kata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berarti adat istiadat.</w:t>
      </w:r>
      <w:r w:rsidRPr="00910CE3">
        <w:rPr>
          <w:rFonts w:ascii="TimesNewRoman,Italic" w:hAnsi="Times New Roman" w:cs="TimesNewRoman,Italic" w:hint="eastAsia"/>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dalam kajian usul fiqh semakna dengan kata </w:t>
      </w:r>
      <w:r w:rsidRPr="00910CE3">
        <w:rPr>
          <w:rFonts w:ascii="Times New Roman" w:hAnsi="Times New Roman" w:cs="Times New Roman"/>
          <w:i/>
          <w:iCs/>
          <w:sz w:val="24"/>
          <w:szCs w:val="24"/>
        </w:rPr>
        <w:t xml:space="preserve">custom </w:t>
      </w:r>
      <w:r w:rsidRPr="00910CE3">
        <w:rPr>
          <w:rFonts w:ascii="Times New Roman" w:hAnsi="Times New Roman" w:cs="Times New Roman"/>
          <w:sz w:val="24"/>
          <w:szCs w:val="24"/>
        </w:rPr>
        <w:t xml:space="preserve">atau </w:t>
      </w:r>
      <w:r w:rsidRPr="00910CE3">
        <w:rPr>
          <w:rFonts w:ascii="Times New Roman" w:hAnsi="Times New Roman" w:cs="Times New Roman"/>
          <w:i/>
          <w:iCs/>
          <w:sz w:val="24"/>
          <w:szCs w:val="24"/>
        </w:rPr>
        <w:t xml:space="preserve">habit </w:t>
      </w:r>
      <w:r w:rsidRPr="00910CE3">
        <w:rPr>
          <w:rFonts w:ascii="Times New Roman" w:hAnsi="Times New Roman" w:cs="Times New Roman"/>
          <w:sz w:val="24"/>
          <w:szCs w:val="24"/>
        </w:rPr>
        <w:t>dalam bahasa Inggeris.</w:t>
      </w:r>
      <w:r w:rsidRPr="00910CE3">
        <w:rPr>
          <w:rStyle w:val="FootnoteReference"/>
          <w:rFonts w:ascii="Times New Roman" w:hAnsi="Times New Roman" w:cs="Times New Roman"/>
          <w:sz w:val="24"/>
          <w:szCs w:val="24"/>
        </w:rPr>
        <w:footnoteReference w:id="293"/>
      </w:r>
      <w:r w:rsidRPr="00910CE3">
        <w:rPr>
          <w:rFonts w:ascii="Times New Roman" w:hAnsi="Times New Roman" w:cs="Times New Roman"/>
          <w:sz w:val="15"/>
          <w:szCs w:val="15"/>
        </w:rPr>
        <w:t xml:space="preserve"> </w:t>
      </w:r>
      <w:r w:rsidRPr="00910CE3">
        <w:rPr>
          <w:rFonts w:ascii="Times New Roman" w:hAnsi="Times New Roman" w:cs="Times New Roman"/>
          <w:sz w:val="24"/>
          <w:szCs w:val="24"/>
        </w:rPr>
        <w:t xml:space="preserve">Kata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berasal dari kata </w:t>
      </w:r>
      <w:r w:rsidRPr="00BA6E3A">
        <w:rPr>
          <w:rFonts w:ascii="TraditionalArabic" w:hAnsi="Times New Roman" w:cs="Traditional Arabic" w:hint="cs"/>
          <w:sz w:val="24"/>
          <w:szCs w:val="24"/>
          <w:rtl/>
        </w:rPr>
        <w:t>عرف</w:t>
      </w:r>
      <w:r w:rsidRPr="00BA6E3A">
        <w:rPr>
          <w:rFonts w:ascii="Arial" w:hAnsi="Arial" w:cs="Traditional Arabic"/>
          <w:sz w:val="24"/>
          <w:szCs w:val="24"/>
        </w:rPr>
        <w:t>-</w:t>
      </w:r>
      <w:r w:rsidRPr="00BA6E3A">
        <w:rPr>
          <w:rFonts w:ascii="TraditionalArabic" w:hAnsi="Times New Roman" w:cs="Traditional Arabic" w:hint="cs"/>
          <w:sz w:val="24"/>
          <w:szCs w:val="24"/>
          <w:rtl/>
        </w:rPr>
        <w:t>يعرف</w:t>
      </w:r>
      <w:r w:rsidRPr="00BA6E3A">
        <w:rPr>
          <w:rFonts w:ascii="Arial" w:hAnsi="Arial" w:cs="Traditional Arabic"/>
          <w:sz w:val="24"/>
          <w:szCs w:val="24"/>
        </w:rPr>
        <w:t>-</w:t>
      </w:r>
      <w:r w:rsidRPr="00BA6E3A">
        <w:rPr>
          <w:rFonts w:ascii="TraditionalArabic" w:hAnsi="Times New Roman" w:cs="Traditional Arabic" w:hint="cs"/>
          <w:sz w:val="24"/>
          <w:szCs w:val="24"/>
          <w:rtl/>
        </w:rPr>
        <w:t>عرفا</w:t>
      </w:r>
      <w:r w:rsidRPr="00910CE3">
        <w:rPr>
          <w:rFonts w:ascii="Times New Roman" w:hAnsi="Times New Roman" w:cs="Times New Roman"/>
          <w:sz w:val="24"/>
          <w:szCs w:val="24"/>
        </w:rPr>
        <w:t>. Menurut ibn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Manzh</w:t>
      </w:r>
      <w:r>
        <w:rPr>
          <w:rFonts w:ascii="Times New Roman" w:hAnsi="Times New Roman" w:cs="Times New Roman"/>
          <w:sz w:val="24"/>
          <w:szCs w:val="24"/>
        </w:rPr>
        <w:t>u</w:t>
      </w:r>
      <w:r w:rsidRPr="00910CE3">
        <w:rPr>
          <w:rFonts w:ascii="Times New Roman" w:hAnsi="Times New Roman" w:cs="Times New Roman"/>
          <w:sz w:val="24"/>
          <w:szCs w:val="24"/>
        </w:rPr>
        <w:t xml:space="preserve">r kata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seakar dengan kata </w:t>
      </w:r>
      <w:r w:rsidRPr="00910CE3">
        <w:rPr>
          <w:rFonts w:ascii="Times New Roman" w:hAnsi="Times New Roman" w:cs="Times New Roman"/>
          <w:i/>
          <w:iCs/>
          <w:sz w:val="24"/>
          <w:szCs w:val="24"/>
        </w:rPr>
        <w:t>al-ma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r</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 xml:space="preserve">f </w:t>
      </w:r>
      <w:r w:rsidRPr="00BA6E3A">
        <w:rPr>
          <w:rFonts w:ascii="Times New Roman" w:hAnsi="Times New Roman" w:cs="Traditional Arabic"/>
          <w:sz w:val="24"/>
          <w:szCs w:val="24"/>
        </w:rPr>
        <w:t xml:space="preserve">( </w:t>
      </w:r>
      <w:r w:rsidRPr="00BA6E3A">
        <w:rPr>
          <w:rFonts w:ascii="TraditionalArabic" w:hAnsi="Times New Roman" w:cs="Traditional Arabic" w:hint="cs"/>
          <w:sz w:val="24"/>
          <w:szCs w:val="24"/>
          <w:rtl/>
        </w:rPr>
        <w:t>المعروف</w:t>
      </w:r>
      <w:r w:rsidRPr="00BA6E3A">
        <w:rPr>
          <w:rFonts w:ascii="TraditionalArabic" w:hAnsi="Times New Roman" w:cs="Traditional Arabic"/>
          <w:sz w:val="24"/>
          <w:szCs w:val="24"/>
        </w:rPr>
        <w:t xml:space="preserve"> </w:t>
      </w:r>
      <w:r w:rsidRPr="00BA6E3A">
        <w:rPr>
          <w:rFonts w:ascii="Times New Roman" w:hAnsi="Times New Roman" w:cs="Traditional Arabic"/>
          <w:sz w:val="24"/>
          <w:szCs w:val="24"/>
        </w:rPr>
        <w:t>).</w:t>
      </w:r>
      <w:r w:rsidRPr="00910CE3">
        <w:rPr>
          <w:rFonts w:ascii="Times New Roman" w:hAnsi="Times New Roman" w:cs="Times New Roman"/>
          <w:sz w:val="24"/>
          <w:szCs w:val="24"/>
        </w:rPr>
        <w:t xml:space="preserve"> Kata </w:t>
      </w:r>
      <w:r w:rsidRPr="00910CE3">
        <w:rPr>
          <w:rFonts w:ascii="Times New Roman" w:hAnsi="Times New Roman" w:cs="Times New Roman"/>
          <w:i/>
          <w:iCs/>
          <w:sz w:val="24"/>
          <w:szCs w:val="24"/>
        </w:rPr>
        <w:t>al-ma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r</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f</w:t>
      </w:r>
      <w:r w:rsidRPr="00910CE3">
        <w:rPr>
          <w:rFonts w:ascii="Times New Roman" w:hAnsi="Times New Roman" w:cs="Times New Roman"/>
          <w:sz w:val="24"/>
          <w:szCs w:val="24"/>
        </w:rPr>
        <w:t xml:space="preserve"> lawan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dari kata </w:t>
      </w:r>
      <w:r w:rsidRPr="00910CE3">
        <w:rPr>
          <w:rFonts w:ascii="Times New Roman" w:hAnsi="Times New Roman" w:cs="Times New Roman"/>
          <w:i/>
          <w:iCs/>
          <w:sz w:val="24"/>
          <w:szCs w:val="24"/>
        </w:rPr>
        <w:t xml:space="preserve">al-mungkar </w:t>
      </w:r>
      <w:r w:rsidRPr="00BA6E3A">
        <w:rPr>
          <w:rFonts w:ascii="Times New Roman" w:hAnsi="Times New Roman" w:cs="Traditional Arabic"/>
          <w:sz w:val="24"/>
          <w:szCs w:val="24"/>
        </w:rPr>
        <w:t xml:space="preserve">( </w:t>
      </w:r>
      <w:r w:rsidRPr="00BA6E3A">
        <w:rPr>
          <w:rFonts w:ascii="TraditionalArabic" w:hAnsi="Times New Roman" w:cs="Traditional Arabic" w:hint="cs"/>
          <w:sz w:val="24"/>
          <w:szCs w:val="24"/>
          <w:rtl/>
        </w:rPr>
        <w:t>المنكر</w:t>
      </w:r>
      <w:r w:rsidRPr="00BA6E3A">
        <w:rPr>
          <w:rFonts w:ascii="TraditionalArabic" w:hAnsi="Times New Roman" w:cs="Traditional Arabic"/>
          <w:sz w:val="24"/>
          <w:szCs w:val="24"/>
        </w:rPr>
        <w:t xml:space="preserve"> </w:t>
      </w:r>
      <w:r w:rsidRPr="00BA6E3A">
        <w:rPr>
          <w:rFonts w:ascii="Times New Roman" w:hAnsi="Times New Roman" w:cs="Traditional Arabic"/>
          <w:sz w:val="24"/>
          <w:szCs w:val="24"/>
        </w:rPr>
        <w:t>)</w:t>
      </w:r>
      <w:r w:rsidRPr="00910CE3">
        <w:rPr>
          <w:rFonts w:ascii="Times New Roman" w:hAnsi="Times New Roman" w:cs="Times New Roman"/>
          <w:sz w:val="24"/>
          <w:szCs w:val="24"/>
        </w:rPr>
        <w:t xml:space="preserve"> dan </w:t>
      </w:r>
      <w:r w:rsidRPr="00910CE3">
        <w:rPr>
          <w:rFonts w:ascii="Times New Roman" w:hAnsi="Times New Roman" w:cs="Times New Roman"/>
          <w:i/>
          <w:iCs/>
          <w:sz w:val="24"/>
          <w:szCs w:val="24"/>
        </w:rPr>
        <w:t>al-</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sebagai lawan dari kata </w:t>
      </w:r>
      <w:r w:rsidRPr="00910CE3">
        <w:rPr>
          <w:rFonts w:ascii="Times New Roman" w:hAnsi="Times New Roman" w:cs="Times New Roman"/>
          <w:i/>
          <w:iCs/>
          <w:sz w:val="24"/>
          <w:szCs w:val="24"/>
        </w:rPr>
        <w:t>al-nakr</w:t>
      </w:r>
      <w:r w:rsidRPr="00910CE3">
        <w:rPr>
          <w:rFonts w:ascii="Times New Roman" w:hAnsi="Times New Roman" w:cs="Times New Roman"/>
          <w:sz w:val="24"/>
          <w:szCs w:val="24"/>
        </w:rPr>
        <w:t>. Kata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mempunyai beberapa makna. Ia dapat berarti </w:t>
      </w:r>
      <w:r w:rsidRPr="00910CE3">
        <w:rPr>
          <w:rFonts w:ascii="Times New Roman" w:hAnsi="Times New Roman" w:cs="Times New Roman"/>
          <w:i/>
          <w:iCs/>
          <w:sz w:val="24"/>
          <w:szCs w:val="24"/>
        </w:rPr>
        <w:t>al-J</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d</w:t>
      </w:r>
      <w:r w:rsidRPr="00910CE3">
        <w:rPr>
          <w:rFonts w:ascii="Times New Roman" w:hAnsi="Times New Roman" w:cs="Times New Roman"/>
          <w:sz w:val="24"/>
          <w:szCs w:val="24"/>
        </w:rPr>
        <w:t>, yaitu kemurahan dan kebaikan.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Disamping itu, kata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dan </w:t>
      </w:r>
      <w:r w:rsidRPr="00910CE3">
        <w:rPr>
          <w:rFonts w:ascii="Times New Roman" w:hAnsi="Times New Roman" w:cs="Times New Roman"/>
          <w:i/>
          <w:iCs/>
          <w:sz w:val="24"/>
          <w:szCs w:val="24"/>
        </w:rPr>
        <w:t>al-ma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r</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 xml:space="preserve">f </w:t>
      </w:r>
      <w:r w:rsidRPr="00910CE3">
        <w:rPr>
          <w:rFonts w:ascii="Times New Roman" w:hAnsi="Times New Roman" w:cs="Times New Roman"/>
          <w:sz w:val="24"/>
          <w:szCs w:val="24"/>
        </w:rPr>
        <w:t>dipakai untuk menunjukkan suatu perbuatan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yang dilakukan dengan cara yang baik.</w:t>
      </w:r>
      <w:r w:rsidRPr="00910CE3">
        <w:rPr>
          <w:rStyle w:val="FootnoteReference"/>
          <w:rFonts w:ascii="Times New Roman" w:hAnsi="Times New Roman" w:cs="Times New Roman"/>
          <w:sz w:val="24"/>
          <w:szCs w:val="24"/>
        </w:rPr>
        <w:footnoteReference w:id="294"/>
      </w:r>
    </w:p>
    <w:p w:rsidR="00343B61" w:rsidRPr="00910CE3" w:rsidRDefault="00343B61" w:rsidP="00343B61">
      <w:pPr>
        <w:autoSpaceDE w:val="0"/>
        <w:autoSpaceDN w:val="0"/>
        <w:adjustRightInd w:val="0"/>
        <w:spacing w:after="0" w:line="360" w:lineRule="auto"/>
        <w:jc w:val="both"/>
        <w:rPr>
          <w:rFonts w:ascii="Times New Roman" w:hAnsi="Times New Roman" w:cs="Times New Roman"/>
          <w:sz w:val="15"/>
          <w:szCs w:val="15"/>
        </w:rPr>
      </w:pP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Selain itu, d</w:t>
      </w:r>
      <w:r>
        <w:rPr>
          <w:rFonts w:ascii="Times New Roman" w:hAnsi="Times New Roman" w:cs="Times New Roman"/>
          <w:sz w:val="24"/>
          <w:szCs w:val="24"/>
        </w:rPr>
        <w:t>alam pandangan ibn Manzhu</w:t>
      </w:r>
      <w:r w:rsidRPr="00910CE3">
        <w:rPr>
          <w:rFonts w:ascii="Times New Roman" w:hAnsi="Times New Roman" w:cs="Times New Roman"/>
          <w:sz w:val="24"/>
          <w:szCs w:val="24"/>
        </w:rPr>
        <w:t xml:space="preserve">r, kata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dan </w:t>
      </w:r>
      <w:r w:rsidRPr="00910CE3">
        <w:rPr>
          <w:rFonts w:ascii="Times New Roman" w:hAnsi="Times New Roman" w:cs="Times New Roman"/>
          <w:i/>
          <w:iCs/>
          <w:sz w:val="24"/>
          <w:szCs w:val="24"/>
        </w:rPr>
        <w:t>al-ma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r</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 xml:space="preserve">f </w:t>
      </w:r>
      <w:r w:rsidRPr="00910CE3">
        <w:rPr>
          <w:rFonts w:ascii="Times New Roman" w:hAnsi="Times New Roman" w:cs="Times New Roman"/>
          <w:sz w:val="24"/>
          <w:szCs w:val="24"/>
        </w:rPr>
        <w:t xml:space="preserve">seakar dan semakna pula dengan kata </w:t>
      </w:r>
      <w:r w:rsidRPr="00910CE3">
        <w:rPr>
          <w:rFonts w:ascii="Times New Roman" w:hAnsi="Times New Roman" w:cs="Times New Roman"/>
          <w:i/>
          <w:iCs/>
          <w:sz w:val="24"/>
          <w:szCs w:val="24"/>
        </w:rPr>
        <w:t>al-</w:t>
      </w:r>
      <w:r w:rsidRPr="008C3088">
        <w:rPr>
          <w:rFonts w:asciiTheme="majorBidi" w:hAnsiTheme="majorBidi" w:cstheme="majorBidi"/>
          <w:i/>
          <w:iCs/>
          <w:sz w:val="24"/>
          <w:szCs w:val="24"/>
        </w:rPr>
        <w:t>ā</w:t>
      </w:r>
      <w:r w:rsidRPr="00910CE3">
        <w:rPr>
          <w:rFonts w:ascii="Times New Roman" w:hAnsi="Times New Roman" w:cs="Times New Roman"/>
          <w:i/>
          <w:iCs/>
          <w:sz w:val="24"/>
          <w:szCs w:val="24"/>
        </w:rPr>
        <w:t xml:space="preserve">rifah </w:t>
      </w:r>
      <w:r w:rsidRPr="00BA6E3A">
        <w:rPr>
          <w:rFonts w:ascii="Times New Roman" w:hAnsi="Times New Roman" w:cs="Traditional Arabic"/>
          <w:sz w:val="24"/>
          <w:szCs w:val="24"/>
        </w:rPr>
        <w:t xml:space="preserve">( </w:t>
      </w:r>
      <w:r w:rsidRPr="00BA6E3A">
        <w:rPr>
          <w:rFonts w:ascii="TraditionalArabic" w:hAnsi="Times New Roman" w:cs="Traditional Arabic" w:hint="cs"/>
          <w:sz w:val="24"/>
          <w:szCs w:val="24"/>
          <w:rtl/>
        </w:rPr>
        <w:t>العارفة</w:t>
      </w:r>
      <w:r w:rsidRPr="00BA6E3A">
        <w:rPr>
          <w:rFonts w:ascii="TraditionalArabic" w:hAnsi="Times New Roman" w:cs="Traditional Arabic"/>
          <w:sz w:val="24"/>
          <w:szCs w:val="24"/>
        </w:rPr>
        <w:t xml:space="preserve"> </w:t>
      </w:r>
      <w:r w:rsidRPr="00BA6E3A">
        <w:rPr>
          <w:rFonts w:ascii="Times New Roman" w:hAnsi="Times New Roman" w:cs="Traditional Arabic"/>
          <w:sz w:val="24"/>
          <w:szCs w:val="24"/>
        </w:rPr>
        <w:t>),</w:t>
      </w:r>
      <w:r w:rsidRPr="00910CE3">
        <w:rPr>
          <w:rFonts w:ascii="Times New Roman" w:hAnsi="Times New Roman" w:cs="Times New Roman"/>
          <w:sz w:val="24"/>
          <w:szCs w:val="24"/>
        </w:rPr>
        <w:t xml:space="preserve"> berarti sesuatu yang dikenal dan mendatangkan ketenangan jiwa, sebagai lawan dari kata </w:t>
      </w:r>
      <w:r w:rsidRPr="00910CE3">
        <w:rPr>
          <w:rFonts w:ascii="Times New Roman" w:hAnsi="Times New Roman" w:cs="Times New Roman"/>
          <w:i/>
          <w:iCs/>
          <w:sz w:val="24"/>
          <w:szCs w:val="24"/>
        </w:rPr>
        <w:t xml:space="preserve">al-nakr </w:t>
      </w:r>
      <w:r w:rsidRPr="00910CE3">
        <w:rPr>
          <w:rFonts w:ascii="Times New Roman" w:hAnsi="Times New Roman" w:cs="Times New Roman"/>
          <w:sz w:val="24"/>
          <w:szCs w:val="24"/>
        </w:rPr>
        <w:t>yang berarti tiada mengenal sesuatu. Kemudian kata ini dipakai dengan pengertian sesuatu yang telah dikenal lagi dipandang lazim dan baik oleh manusia sehingga dapat diterima akal sehat.</w:t>
      </w:r>
      <w:r w:rsidRPr="00910CE3">
        <w:rPr>
          <w:rStyle w:val="FootnoteReference"/>
          <w:rFonts w:ascii="Times New Roman" w:hAnsi="Times New Roman" w:cs="Times New Roman"/>
          <w:sz w:val="24"/>
          <w:szCs w:val="24"/>
        </w:rPr>
        <w:footnoteReference w:id="295"/>
      </w:r>
    </w:p>
    <w:p w:rsidR="00343B61" w:rsidRPr="00910CE3" w:rsidRDefault="00343B61" w:rsidP="00343B61">
      <w:pPr>
        <w:autoSpaceDE w:val="0"/>
        <w:autoSpaceDN w:val="0"/>
        <w:adjustRightInd w:val="0"/>
        <w:spacing w:after="0" w:line="360" w:lineRule="auto"/>
        <w:ind w:left="450" w:firstLine="720"/>
        <w:jc w:val="both"/>
        <w:rPr>
          <w:rFonts w:ascii="Times New Roman" w:hAnsi="Times New Roman" w:cs="Times New Roman"/>
          <w:sz w:val="24"/>
          <w:szCs w:val="24"/>
        </w:rPr>
      </w:pPr>
      <w:r w:rsidRPr="00910CE3">
        <w:rPr>
          <w:rFonts w:ascii="Times New Roman" w:hAnsi="Times New Roman" w:cs="Times New Roman"/>
          <w:sz w:val="24"/>
          <w:szCs w:val="24"/>
        </w:rPr>
        <w:t>Dalam pandangan al-R</w:t>
      </w:r>
      <w:r w:rsidRPr="008C3088">
        <w:rPr>
          <w:rFonts w:asciiTheme="majorBidi" w:hAnsiTheme="majorBidi" w:cstheme="majorBidi"/>
          <w:sz w:val="24"/>
          <w:szCs w:val="24"/>
        </w:rPr>
        <w:t>ā</w:t>
      </w:r>
      <w:r w:rsidRPr="00910CE3">
        <w:rPr>
          <w:rFonts w:ascii="Times New Roman" w:hAnsi="Times New Roman" w:cs="Times New Roman"/>
          <w:sz w:val="24"/>
          <w:szCs w:val="24"/>
        </w:rPr>
        <w:t xml:space="preserve">ghib kata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yang seakar dengan kata </w:t>
      </w:r>
      <w:r w:rsidRPr="00910CE3">
        <w:rPr>
          <w:rFonts w:ascii="Times New Roman" w:hAnsi="Times New Roman" w:cs="Times New Roman"/>
          <w:i/>
          <w:iCs/>
          <w:sz w:val="24"/>
          <w:szCs w:val="24"/>
        </w:rPr>
        <w:t>ma</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r</w:t>
      </w:r>
      <w:r w:rsidRPr="00FD1755">
        <w:rPr>
          <w:rFonts w:asciiTheme="majorBidi" w:hAnsiTheme="majorBidi" w:cstheme="majorBidi"/>
          <w:i/>
          <w:iCs/>
          <w:sz w:val="24"/>
          <w:szCs w:val="24"/>
        </w:rPr>
        <w:t>ū</w:t>
      </w:r>
      <w:r w:rsidRPr="00910CE3">
        <w:rPr>
          <w:rFonts w:ascii="Times New Roman" w:hAnsi="Times New Roman" w:cs="Times New Roman"/>
          <w:i/>
          <w:iCs/>
          <w:sz w:val="24"/>
          <w:szCs w:val="24"/>
        </w:rPr>
        <w:t xml:space="preserve">f  </w:t>
      </w:r>
      <w:r w:rsidRPr="00910CE3">
        <w:rPr>
          <w:rFonts w:ascii="Times New Roman" w:hAnsi="Times New Roman" w:cs="Times New Roman"/>
          <w:sz w:val="24"/>
          <w:szCs w:val="24"/>
        </w:rPr>
        <w:t>merupakan nama bagi suatu perbuatan yang dinilai baik oleh akal dan agama.</w:t>
      </w:r>
      <w:r w:rsidRPr="00910CE3">
        <w:rPr>
          <w:rStyle w:val="FootnoteReference"/>
          <w:rFonts w:ascii="Times New Roman" w:hAnsi="Times New Roman" w:cs="Times New Roman"/>
          <w:sz w:val="24"/>
          <w:szCs w:val="24"/>
        </w:rPr>
        <w:footnoteReference w:id="296"/>
      </w:r>
      <w:r w:rsidRPr="00910CE3">
        <w:rPr>
          <w:rFonts w:ascii="Times New Roman" w:hAnsi="Times New Roman" w:cs="Times New Roman"/>
          <w:sz w:val="15"/>
          <w:szCs w:val="15"/>
        </w:rPr>
        <w:t xml:space="preserve"> </w:t>
      </w:r>
      <w:r w:rsidRPr="00910CE3">
        <w:rPr>
          <w:rFonts w:ascii="Times New Roman" w:hAnsi="Times New Roman" w:cs="Times New Roman"/>
          <w:sz w:val="24"/>
          <w:szCs w:val="24"/>
        </w:rPr>
        <w:t>Makna</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ini dapat ditemukan dalam sejumlah firman Allah, diantaranya:</w:t>
      </w:r>
    </w:p>
    <w:p w:rsidR="00343B61" w:rsidRPr="00910CE3" w:rsidRDefault="00343B61" w:rsidP="00343B61">
      <w:pPr>
        <w:autoSpaceDE w:val="0"/>
        <w:autoSpaceDN w:val="0"/>
        <w:bidi/>
        <w:adjustRightInd w:val="0"/>
        <w:spacing w:after="0" w:line="240" w:lineRule="auto"/>
        <w:ind w:right="450" w:firstLine="17"/>
        <w:jc w:val="both"/>
        <w:rPr>
          <w:rFonts w:ascii="Arial" w:hAnsi="Arial"/>
          <w:sz w:val="39"/>
          <w:szCs w:val="39"/>
        </w:rPr>
      </w:pPr>
      <w:r w:rsidRPr="00910CE3">
        <w:rPr>
          <w:sz w:val="28"/>
          <w:szCs w:val="28"/>
        </w:rPr>
        <w:lastRenderedPageBreak/>
        <w:sym w:font="HQPB2" w:char="F060"/>
      </w:r>
      <w:r w:rsidRPr="00910CE3">
        <w:rPr>
          <w:sz w:val="28"/>
          <w:szCs w:val="28"/>
        </w:rPr>
        <w:sym w:font="HQPB4" w:char="F0E4"/>
      </w:r>
      <w:r w:rsidRPr="00910CE3">
        <w:rPr>
          <w:sz w:val="28"/>
          <w:szCs w:val="28"/>
        </w:rPr>
        <w:sym w:font="HQPB2" w:char="F033"/>
      </w:r>
      <w:r w:rsidRPr="00910CE3">
        <w:rPr>
          <w:sz w:val="28"/>
          <w:szCs w:val="28"/>
        </w:rPr>
        <w:sym w:font="HQPB5" w:char="F074"/>
      </w:r>
      <w:r w:rsidRPr="00910CE3">
        <w:rPr>
          <w:sz w:val="28"/>
          <w:szCs w:val="28"/>
        </w:rPr>
        <w:sym w:font="HQPB1" w:char="F046"/>
      </w:r>
      <w:r w:rsidRPr="00910CE3">
        <w:rPr>
          <w:sz w:val="28"/>
          <w:szCs w:val="28"/>
        </w:rPr>
        <w:sym w:font="HQPB4" w:char="F0F8"/>
      </w:r>
      <w:r w:rsidRPr="00910CE3">
        <w:rPr>
          <w:sz w:val="28"/>
          <w:szCs w:val="28"/>
        </w:rPr>
        <w:sym w:font="HQPB2" w:char="F039"/>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F6"/>
      </w:r>
      <w:r w:rsidRPr="00910CE3">
        <w:rPr>
          <w:sz w:val="28"/>
          <w:szCs w:val="28"/>
        </w:rPr>
        <w:sym w:font="HQPB2" w:char="F04E"/>
      </w:r>
      <w:r w:rsidRPr="00910CE3">
        <w:rPr>
          <w:sz w:val="28"/>
          <w:szCs w:val="28"/>
        </w:rPr>
        <w:sym w:font="HQPB4" w:char="F0E4"/>
      </w:r>
      <w:r w:rsidRPr="00910CE3">
        <w:rPr>
          <w:sz w:val="28"/>
          <w:szCs w:val="28"/>
        </w:rPr>
        <w:sym w:font="HQPB2" w:char="F033"/>
      </w:r>
      <w:r w:rsidRPr="00910CE3">
        <w:rPr>
          <w:sz w:val="28"/>
          <w:szCs w:val="28"/>
        </w:rPr>
        <w:sym w:font="HQPB2" w:char="F059"/>
      </w:r>
      <w:r w:rsidRPr="00910CE3">
        <w:rPr>
          <w:sz w:val="28"/>
          <w:szCs w:val="28"/>
        </w:rPr>
        <w:sym w:font="HQPB4" w:char="F0CF"/>
      </w:r>
      <w:r w:rsidRPr="00910CE3">
        <w:rPr>
          <w:sz w:val="28"/>
          <w:szCs w:val="28"/>
        </w:rPr>
        <w:sym w:font="HQPB4" w:char="F069"/>
      </w:r>
      <w:r w:rsidRPr="00910CE3">
        <w:rPr>
          <w:sz w:val="28"/>
          <w:szCs w:val="28"/>
        </w:rPr>
        <w:sym w:font="HQPB2" w:char="F042"/>
      </w:r>
      <w:r w:rsidRPr="00910CE3">
        <w:rPr>
          <w:rFonts w:ascii="(normal text)" w:hAnsi="(normal text)"/>
          <w:rtl/>
        </w:rPr>
        <w:t xml:space="preserve"> </w:t>
      </w:r>
      <w:r w:rsidRPr="00910CE3">
        <w:rPr>
          <w:sz w:val="28"/>
          <w:szCs w:val="28"/>
        </w:rPr>
        <w:sym w:font="HQPB4" w:char="F0D7"/>
      </w:r>
      <w:r w:rsidRPr="00910CE3">
        <w:rPr>
          <w:sz w:val="28"/>
          <w:szCs w:val="28"/>
        </w:rPr>
        <w:sym w:font="HQPB2" w:char="F070"/>
      </w:r>
      <w:r w:rsidRPr="00910CE3">
        <w:rPr>
          <w:sz w:val="28"/>
          <w:szCs w:val="28"/>
        </w:rPr>
        <w:sym w:font="HQPB4" w:char="F0A8"/>
      </w:r>
      <w:r w:rsidRPr="00910CE3">
        <w:rPr>
          <w:sz w:val="28"/>
          <w:szCs w:val="28"/>
        </w:rPr>
        <w:sym w:font="HQPB2" w:char="F042"/>
      </w:r>
      <w:r w:rsidRPr="00910CE3">
        <w:rPr>
          <w:sz w:val="28"/>
          <w:szCs w:val="28"/>
        </w:rPr>
        <w:sym w:font="HQPB4" w:char="F0E9"/>
      </w:r>
      <w:r w:rsidRPr="00910CE3">
        <w:rPr>
          <w:sz w:val="28"/>
          <w:szCs w:val="28"/>
        </w:rPr>
        <w:sym w:font="HQPB1" w:char="F026"/>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1"/>
      </w:r>
      <w:r w:rsidRPr="00910CE3">
        <w:rPr>
          <w:sz w:val="28"/>
          <w:szCs w:val="28"/>
        </w:rPr>
        <w:sym w:font="HQPB4" w:char="F0E3"/>
      </w:r>
      <w:r w:rsidRPr="00910CE3">
        <w:rPr>
          <w:sz w:val="28"/>
          <w:szCs w:val="28"/>
        </w:rPr>
        <w:sym w:font="HQPB1" w:char="F0E3"/>
      </w:r>
      <w:r w:rsidRPr="00910CE3">
        <w:rPr>
          <w:sz w:val="28"/>
          <w:szCs w:val="28"/>
        </w:rPr>
        <w:sym w:font="HQPB4" w:char="F0F4"/>
      </w:r>
      <w:r w:rsidRPr="00910CE3">
        <w:rPr>
          <w:sz w:val="28"/>
          <w:szCs w:val="28"/>
        </w:rPr>
        <w:sym w:font="HQPB1" w:char="F089"/>
      </w:r>
      <w:r w:rsidRPr="00910CE3">
        <w:rPr>
          <w:sz w:val="28"/>
          <w:szCs w:val="28"/>
        </w:rPr>
        <w:sym w:font="HQPB5" w:char="F074"/>
      </w:r>
      <w:r w:rsidRPr="00910CE3">
        <w:rPr>
          <w:sz w:val="28"/>
          <w:szCs w:val="28"/>
        </w:rPr>
        <w:sym w:font="HQPB2" w:char="F083"/>
      </w:r>
      <w:r w:rsidRPr="00910CE3">
        <w:rPr>
          <w:rFonts w:ascii="(normal text)" w:hAnsi="(normal text)"/>
          <w:rtl/>
        </w:rPr>
        <w:t xml:space="preserve"> </w:t>
      </w:r>
      <w:r w:rsidRPr="00910CE3">
        <w:rPr>
          <w:sz w:val="28"/>
          <w:szCs w:val="28"/>
        </w:rPr>
        <w:sym w:font="HQPB2" w:char="F092"/>
      </w:r>
      <w:r w:rsidRPr="00910CE3">
        <w:rPr>
          <w:sz w:val="28"/>
          <w:szCs w:val="28"/>
        </w:rPr>
        <w:sym w:font="HQPB5" w:char="F06E"/>
      </w:r>
      <w:r w:rsidRPr="00910CE3">
        <w:rPr>
          <w:sz w:val="28"/>
          <w:szCs w:val="28"/>
        </w:rPr>
        <w:sym w:font="HQPB2" w:char="F03C"/>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910CE3">
        <w:rPr>
          <w:sz w:val="28"/>
          <w:szCs w:val="28"/>
        </w:rPr>
        <w:sym w:font="HQPB4" w:char="F0CE"/>
      </w:r>
      <w:r w:rsidRPr="00910CE3">
        <w:rPr>
          <w:sz w:val="28"/>
          <w:szCs w:val="28"/>
        </w:rPr>
        <w:sym w:font="HQPB1" w:char="F08E"/>
      </w:r>
      <w:r w:rsidRPr="00910CE3">
        <w:rPr>
          <w:sz w:val="28"/>
          <w:szCs w:val="28"/>
        </w:rPr>
        <w:sym w:font="HQPB4" w:char="F0F6"/>
      </w:r>
      <w:r w:rsidRPr="00910CE3">
        <w:rPr>
          <w:sz w:val="28"/>
          <w:szCs w:val="28"/>
        </w:rPr>
        <w:sym w:font="HQPB2" w:char="F08D"/>
      </w:r>
      <w:r w:rsidRPr="00910CE3">
        <w:rPr>
          <w:sz w:val="28"/>
          <w:szCs w:val="28"/>
        </w:rPr>
        <w:sym w:font="HQPB5" w:char="F073"/>
      </w:r>
      <w:r w:rsidRPr="00910CE3">
        <w:rPr>
          <w:sz w:val="28"/>
          <w:szCs w:val="28"/>
        </w:rPr>
        <w:sym w:font="HQPB1" w:char="F083"/>
      </w:r>
      <w:r w:rsidRPr="00910CE3">
        <w:rPr>
          <w:sz w:val="28"/>
          <w:szCs w:val="28"/>
        </w:rPr>
        <w:sym w:font="HQPB4" w:char="F0F8"/>
      </w:r>
      <w:r w:rsidRPr="00910CE3">
        <w:rPr>
          <w:sz w:val="28"/>
          <w:szCs w:val="28"/>
        </w:rPr>
        <w:sym w:font="HQPB2" w:char="F03A"/>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2" w:char="F072"/>
      </w:r>
      <w:r w:rsidRPr="00910CE3">
        <w:rPr>
          <w:sz w:val="28"/>
          <w:szCs w:val="28"/>
        </w:rPr>
        <w:sym w:font="HQPB4" w:char="F0E3"/>
      </w:r>
      <w:r w:rsidRPr="00910CE3">
        <w:rPr>
          <w:sz w:val="28"/>
          <w:szCs w:val="28"/>
        </w:rPr>
        <w:sym w:font="HQPB1" w:char="F08D"/>
      </w:r>
      <w:r w:rsidRPr="00910CE3">
        <w:rPr>
          <w:sz w:val="28"/>
          <w:szCs w:val="28"/>
        </w:rPr>
        <w:sym w:font="HQPB4" w:char="F0E3"/>
      </w:r>
      <w:r w:rsidRPr="00910CE3">
        <w:rPr>
          <w:sz w:val="28"/>
          <w:szCs w:val="28"/>
        </w:rPr>
        <w:sym w:font="HQPB2" w:char="F042"/>
      </w:r>
      <w:r w:rsidRPr="00910CE3">
        <w:rPr>
          <w:sz w:val="28"/>
          <w:szCs w:val="28"/>
        </w:rPr>
        <w:sym w:font="HQPB4" w:char="F0F9"/>
      </w:r>
      <w:r w:rsidRPr="00910CE3">
        <w:rPr>
          <w:sz w:val="28"/>
          <w:szCs w:val="28"/>
        </w:rPr>
        <w:sym w:font="HQPB1" w:char="F027"/>
      </w:r>
      <w:r w:rsidRPr="00910CE3">
        <w:rPr>
          <w:sz w:val="28"/>
          <w:szCs w:val="28"/>
        </w:rPr>
        <w:sym w:font="HQPB5" w:char="F074"/>
      </w:r>
      <w:r w:rsidRPr="00910CE3">
        <w:rPr>
          <w:sz w:val="28"/>
          <w:szCs w:val="28"/>
        </w:rPr>
        <w:sym w:font="HQPB2" w:char="F083"/>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C5"/>
      </w:r>
      <w:r w:rsidRPr="00910CE3">
        <w:rPr>
          <w:sz w:val="28"/>
          <w:szCs w:val="28"/>
        </w:rPr>
        <w:sym w:font="HQPB2" w:char="F024"/>
      </w:r>
      <w:r w:rsidRPr="00910CE3">
        <w:rPr>
          <w:sz w:val="28"/>
          <w:szCs w:val="28"/>
        </w:rPr>
        <w:sym w:font="HQPB2" w:char="F072"/>
      </w:r>
      <w:r w:rsidRPr="00910CE3">
        <w:rPr>
          <w:sz w:val="28"/>
          <w:szCs w:val="28"/>
        </w:rPr>
        <w:sym w:font="HQPB4" w:char="F0E3"/>
      </w:r>
      <w:r w:rsidRPr="00910CE3">
        <w:rPr>
          <w:sz w:val="28"/>
          <w:szCs w:val="28"/>
        </w:rPr>
        <w:sym w:font="HQPB1" w:char="F08D"/>
      </w:r>
      <w:r w:rsidRPr="00910CE3">
        <w:rPr>
          <w:sz w:val="28"/>
          <w:szCs w:val="28"/>
        </w:rPr>
        <w:sym w:font="HQPB4" w:char="F0F7"/>
      </w:r>
      <w:r w:rsidRPr="00910CE3">
        <w:rPr>
          <w:sz w:val="28"/>
          <w:szCs w:val="28"/>
        </w:rPr>
        <w:sym w:font="HQPB1" w:char="F0E8"/>
      </w:r>
      <w:r w:rsidRPr="00910CE3">
        <w:rPr>
          <w:sz w:val="28"/>
          <w:szCs w:val="28"/>
        </w:rPr>
        <w:sym w:font="HQPB5" w:char="F070"/>
      </w:r>
      <w:r w:rsidRPr="00910CE3">
        <w:rPr>
          <w:sz w:val="28"/>
          <w:szCs w:val="28"/>
        </w:rPr>
        <w:sym w:font="HQPB3" w:char="F052"/>
      </w:r>
      <w:r w:rsidRPr="00910CE3">
        <w:rPr>
          <w:sz w:val="28"/>
          <w:szCs w:val="28"/>
        </w:rPr>
        <w:sym w:font="HQPB4" w:char="F0F9"/>
      </w:r>
      <w:r w:rsidRPr="00910CE3">
        <w:rPr>
          <w:sz w:val="28"/>
          <w:szCs w:val="28"/>
        </w:rPr>
        <w:sym w:font="HQPB3" w:char="F051"/>
      </w:r>
      <w:r w:rsidRPr="00910CE3">
        <w:rPr>
          <w:sz w:val="28"/>
          <w:szCs w:val="28"/>
        </w:rPr>
        <w:sym w:font="HQPB5" w:char="F024"/>
      </w:r>
      <w:r w:rsidRPr="00910CE3">
        <w:rPr>
          <w:sz w:val="28"/>
          <w:szCs w:val="28"/>
        </w:rPr>
        <w:sym w:font="HQPB1" w:char="F024"/>
      </w:r>
      <w:r w:rsidRPr="00910CE3">
        <w:rPr>
          <w:sz w:val="28"/>
          <w:szCs w:val="28"/>
        </w:rPr>
        <w:sym w:font="HQPB4" w:char="F0CE"/>
      </w:r>
      <w:r w:rsidRPr="00910CE3">
        <w:rPr>
          <w:sz w:val="28"/>
          <w:szCs w:val="28"/>
        </w:rPr>
        <w:sym w:font="HQPB1" w:char="F02F"/>
      </w:r>
      <w:r w:rsidRPr="00910CE3">
        <w:rPr>
          <w:rFonts w:ascii="(normal text)" w:hAnsi="(normal text)"/>
          <w:rtl/>
        </w:rPr>
        <w:t xml:space="preserve"> </w:t>
      </w:r>
      <w:r w:rsidRPr="00910CE3">
        <w:rPr>
          <w:sz w:val="28"/>
          <w:szCs w:val="28"/>
        </w:rPr>
        <w:sym w:font="HQPB5" w:char="F074"/>
      </w:r>
      <w:r w:rsidRPr="00910CE3">
        <w:rPr>
          <w:sz w:val="28"/>
          <w:szCs w:val="28"/>
        </w:rPr>
        <w:sym w:font="HQPB2" w:char="F062"/>
      </w:r>
      <w:r w:rsidRPr="00910CE3">
        <w:rPr>
          <w:sz w:val="28"/>
          <w:szCs w:val="28"/>
        </w:rPr>
        <w:sym w:font="HQPB4" w:char="F0F6"/>
      </w:r>
      <w:r w:rsidRPr="00910CE3">
        <w:rPr>
          <w:sz w:val="28"/>
          <w:szCs w:val="28"/>
        </w:rPr>
        <w:sym w:font="HQPB2" w:char="F071"/>
      </w:r>
      <w:r w:rsidRPr="00910CE3">
        <w:rPr>
          <w:sz w:val="28"/>
          <w:szCs w:val="28"/>
        </w:rPr>
        <w:sym w:font="HQPB5" w:char="F079"/>
      </w:r>
      <w:r w:rsidRPr="00910CE3">
        <w:rPr>
          <w:sz w:val="28"/>
          <w:szCs w:val="28"/>
        </w:rPr>
        <w:sym w:font="HQPB2" w:char="F067"/>
      </w:r>
      <w:r w:rsidRPr="00910CE3">
        <w:rPr>
          <w:sz w:val="28"/>
          <w:szCs w:val="28"/>
        </w:rPr>
        <w:sym w:font="HQPB4" w:char="F0F7"/>
      </w:r>
      <w:r w:rsidRPr="00910CE3">
        <w:rPr>
          <w:sz w:val="28"/>
          <w:szCs w:val="28"/>
        </w:rPr>
        <w:sym w:font="HQPB2" w:char="F05A"/>
      </w:r>
      <w:r w:rsidRPr="00910CE3">
        <w:rPr>
          <w:sz w:val="28"/>
          <w:szCs w:val="28"/>
        </w:rPr>
        <w:sym w:font="HQPB5" w:char="F074"/>
      </w:r>
      <w:r w:rsidRPr="00910CE3">
        <w:rPr>
          <w:sz w:val="28"/>
          <w:szCs w:val="28"/>
        </w:rPr>
        <w:sym w:font="HQPB2" w:char="F083"/>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C7"/>
      </w:r>
      <w:r w:rsidRPr="00910CE3">
        <w:rPr>
          <w:sz w:val="28"/>
          <w:szCs w:val="28"/>
        </w:rPr>
        <w:sym w:font="HQPB2" w:char="F060"/>
      </w:r>
      <w:r w:rsidRPr="00910CE3">
        <w:rPr>
          <w:sz w:val="28"/>
          <w:szCs w:val="28"/>
        </w:rPr>
        <w:sym w:font="HQPB5" w:char="F074"/>
      </w:r>
      <w:r w:rsidRPr="00910CE3">
        <w:rPr>
          <w:sz w:val="28"/>
          <w:szCs w:val="28"/>
        </w:rPr>
        <w:sym w:font="HQPB1" w:char="F0E3"/>
      </w:r>
      <w:r w:rsidRPr="00910CE3">
        <w:rPr>
          <w:rFonts w:ascii="(normal text)" w:hAnsi="(normal text)"/>
          <w:rtl/>
        </w:rPr>
        <w:t xml:space="preserve"> </w:t>
      </w:r>
      <w:r w:rsidRPr="00910CE3">
        <w:rPr>
          <w:sz w:val="28"/>
          <w:szCs w:val="28"/>
        </w:rPr>
        <w:sym w:font="HQPB4" w:char="F0CC"/>
      </w:r>
      <w:r w:rsidRPr="00910CE3">
        <w:rPr>
          <w:sz w:val="28"/>
          <w:szCs w:val="28"/>
        </w:rPr>
        <w:sym w:font="HQPB1" w:char="F08D"/>
      </w:r>
      <w:r w:rsidRPr="00910CE3">
        <w:rPr>
          <w:sz w:val="28"/>
          <w:szCs w:val="28"/>
        </w:rPr>
        <w:sym w:font="HQPB5" w:char="F073"/>
      </w:r>
      <w:r w:rsidRPr="00910CE3">
        <w:rPr>
          <w:sz w:val="28"/>
          <w:szCs w:val="28"/>
        </w:rPr>
        <w:sym w:font="HQPB2" w:char="F033"/>
      </w:r>
      <w:r w:rsidRPr="00910CE3">
        <w:rPr>
          <w:sz w:val="28"/>
          <w:szCs w:val="28"/>
        </w:rPr>
        <w:sym w:font="HQPB2" w:char="F059"/>
      </w:r>
      <w:r w:rsidRPr="00910CE3">
        <w:rPr>
          <w:sz w:val="28"/>
          <w:szCs w:val="28"/>
        </w:rPr>
        <w:sym w:font="HQPB4" w:char="F0DF"/>
      </w:r>
      <w:r w:rsidRPr="00910CE3">
        <w:rPr>
          <w:sz w:val="28"/>
          <w:szCs w:val="28"/>
        </w:rPr>
        <w:sym w:font="HQPB2" w:char="F04A"/>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4" w:char="F034"/>
      </w:r>
      <w:r w:rsidRPr="00910CE3">
        <w:rPr>
          <w:rFonts w:ascii="(normal text)" w:hAnsi="(normal text)"/>
          <w:rtl/>
        </w:rPr>
        <w:t xml:space="preserve"> </w:t>
      </w:r>
      <w:r w:rsidRPr="00910CE3">
        <w:rPr>
          <w:sz w:val="28"/>
          <w:szCs w:val="28"/>
        </w:rPr>
        <w:sym w:font="HQPB5" w:char="F079"/>
      </w:r>
      <w:r w:rsidRPr="00910CE3">
        <w:rPr>
          <w:sz w:val="28"/>
          <w:szCs w:val="28"/>
        </w:rPr>
        <w:sym w:font="HQPB2" w:char="F037"/>
      </w:r>
      <w:r w:rsidRPr="00910CE3">
        <w:rPr>
          <w:sz w:val="28"/>
          <w:szCs w:val="28"/>
        </w:rPr>
        <w:sym w:font="HQPB4" w:char="F0CD"/>
      </w:r>
      <w:r w:rsidRPr="00910CE3">
        <w:rPr>
          <w:sz w:val="28"/>
          <w:szCs w:val="28"/>
        </w:rPr>
        <w:sym w:font="HQPB2" w:char="F0B4"/>
      </w:r>
      <w:r w:rsidRPr="00910CE3">
        <w:rPr>
          <w:sz w:val="28"/>
          <w:szCs w:val="28"/>
        </w:rPr>
        <w:sym w:font="HQPB5" w:char="F0AF"/>
      </w:r>
      <w:r w:rsidRPr="00910CE3">
        <w:rPr>
          <w:sz w:val="28"/>
          <w:szCs w:val="28"/>
        </w:rPr>
        <w:sym w:font="HQPB2" w:char="F0BB"/>
      </w:r>
      <w:r w:rsidRPr="00910CE3">
        <w:rPr>
          <w:sz w:val="28"/>
          <w:szCs w:val="28"/>
        </w:rPr>
        <w:sym w:font="HQPB5" w:char="F073"/>
      </w:r>
      <w:r w:rsidRPr="00910CE3">
        <w:rPr>
          <w:sz w:val="28"/>
          <w:szCs w:val="28"/>
        </w:rPr>
        <w:sym w:font="HQPB2" w:char="F039"/>
      </w:r>
      <w:r w:rsidRPr="00910CE3">
        <w:rPr>
          <w:sz w:val="28"/>
          <w:szCs w:val="28"/>
        </w:rPr>
        <w:sym w:font="HQPB5" w:char="F027"/>
      </w:r>
      <w:r w:rsidRPr="00910CE3">
        <w:rPr>
          <w:sz w:val="28"/>
          <w:szCs w:val="28"/>
        </w:rPr>
        <w:sym w:font="HQPB2" w:char="F072"/>
      </w:r>
      <w:r w:rsidRPr="00910CE3">
        <w:rPr>
          <w:sz w:val="28"/>
          <w:szCs w:val="28"/>
        </w:rPr>
        <w:sym w:font="HQPB4" w:char="F0E9"/>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E3"/>
      </w:r>
      <w:r w:rsidRPr="00910CE3">
        <w:rPr>
          <w:sz w:val="28"/>
          <w:szCs w:val="28"/>
        </w:rPr>
        <w:sym w:font="HQPB2" w:char="F04E"/>
      </w:r>
      <w:r w:rsidRPr="00910CE3">
        <w:rPr>
          <w:sz w:val="28"/>
          <w:szCs w:val="28"/>
        </w:rPr>
        <w:sym w:font="HQPB4" w:char="F0E8"/>
      </w:r>
      <w:r w:rsidRPr="00910CE3">
        <w:rPr>
          <w:sz w:val="28"/>
          <w:szCs w:val="28"/>
        </w:rPr>
        <w:sym w:font="HQPB2" w:char="F064"/>
      </w:r>
      <w:r w:rsidRPr="00910CE3">
        <w:rPr>
          <w:rFonts w:ascii="(normal text)" w:hAnsi="(normal text)"/>
          <w:rtl/>
        </w:rPr>
        <w:t xml:space="preserve"> </w:t>
      </w:r>
      <w:r w:rsidRPr="00910CE3">
        <w:rPr>
          <w:sz w:val="28"/>
          <w:szCs w:val="28"/>
        </w:rPr>
        <w:sym w:font="HQPB5" w:char="F09A"/>
      </w:r>
      <w:r w:rsidRPr="00910CE3">
        <w:rPr>
          <w:sz w:val="28"/>
          <w:szCs w:val="28"/>
        </w:rPr>
        <w:sym w:font="HQPB2" w:char="F063"/>
      </w:r>
      <w:r w:rsidRPr="00910CE3">
        <w:rPr>
          <w:sz w:val="28"/>
          <w:szCs w:val="28"/>
        </w:rPr>
        <w:sym w:font="HQPB2" w:char="F071"/>
      </w:r>
      <w:r w:rsidRPr="00910CE3">
        <w:rPr>
          <w:sz w:val="28"/>
          <w:szCs w:val="28"/>
        </w:rPr>
        <w:sym w:font="HQPB4" w:char="F0DF"/>
      </w:r>
      <w:r w:rsidRPr="00910CE3">
        <w:rPr>
          <w:sz w:val="28"/>
          <w:szCs w:val="28"/>
        </w:rPr>
        <w:sym w:font="HQPB1" w:char="F073"/>
      </w:r>
      <w:r w:rsidRPr="00910CE3">
        <w:rPr>
          <w:sz w:val="28"/>
          <w:szCs w:val="28"/>
        </w:rPr>
        <w:sym w:font="HQPB4" w:char="F0CE"/>
      </w:r>
      <w:r w:rsidRPr="00910CE3">
        <w:rPr>
          <w:sz w:val="28"/>
          <w:szCs w:val="28"/>
        </w:rPr>
        <w:sym w:font="HQPB2" w:char="F03D"/>
      </w:r>
      <w:r w:rsidRPr="00910CE3">
        <w:rPr>
          <w:sz w:val="28"/>
          <w:szCs w:val="28"/>
        </w:rPr>
        <w:sym w:font="HQPB4" w:char="F0F8"/>
      </w:r>
      <w:r w:rsidRPr="00910CE3">
        <w:rPr>
          <w:sz w:val="28"/>
          <w:szCs w:val="28"/>
        </w:rPr>
        <w:sym w:font="HQPB1" w:char="F0FF"/>
      </w:r>
      <w:r w:rsidRPr="00910CE3">
        <w:rPr>
          <w:sz w:val="28"/>
          <w:szCs w:val="28"/>
        </w:rPr>
        <w:sym w:font="HQPB4" w:char="F0DF"/>
      </w:r>
      <w:r w:rsidRPr="00910CE3">
        <w:rPr>
          <w:sz w:val="28"/>
          <w:szCs w:val="28"/>
        </w:rPr>
        <w:sym w:font="HQPB2" w:char="F04A"/>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2" w:char="F0C7"/>
      </w:r>
      <w:r w:rsidRPr="00910CE3">
        <w:rPr>
          <w:sz w:val="28"/>
          <w:szCs w:val="28"/>
        </w:rPr>
        <w:sym w:font="HQPB2" w:char="F0CA"/>
      </w:r>
      <w:r w:rsidRPr="00910CE3">
        <w:rPr>
          <w:sz w:val="28"/>
          <w:szCs w:val="28"/>
        </w:rPr>
        <w:sym w:font="HQPB2" w:char="F0C9"/>
      </w:r>
      <w:r w:rsidRPr="00910CE3">
        <w:rPr>
          <w:sz w:val="28"/>
          <w:szCs w:val="28"/>
        </w:rPr>
        <w:sym w:font="HQPB2" w:char="F0CD"/>
      </w:r>
      <w:r w:rsidRPr="00910CE3">
        <w:rPr>
          <w:sz w:val="28"/>
          <w:szCs w:val="28"/>
        </w:rPr>
        <w:sym w:font="HQPB2" w:char="F0C8"/>
      </w:r>
      <w:r w:rsidRPr="00910CE3">
        <w:rPr>
          <w:rFonts w:ascii="(normal text)" w:hAnsi="(normal text)"/>
          <w:rtl/>
        </w:rPr>
        <w:t xml:space="preserve">   </w:t>
      </w:r>
      <w:r w:rsidRPr="00910CE3">
        <w:rPr>
          <w:rFonts w:ascii="(normal text)" w:hAnsi="(normal text)"/>
          <w:sz w:val="28"/>
          <w:szCs w:val="28"/>
        </w:rPr>
        <w:t>)</w:t>
      </w:r>
      <w:r w:rsidRPr="00910CE3">
        <w:rPr>
          <w:rFonts w:ascii="TraditionalArabic" w:hAnsi="Arial" w:cs="TraditionalArabic" w:hint="cs"/>
          <w:sz w:val="28"/>
          <w:szCs w:val="28"/>
          <w:rtl/>
        </w:rPr>
        <w:t xml:space="preserve"> ال عمران </w:t>
      </w:r>
      <w:r w:rsidRPr="00910CE3">
        <w:rPr>
          <w:rFonts w:ascii="Arial" w:hAnsi="Arial"/>
          <w:sz w:val="28"/>
          <w:szCs w:val="28"/>
        </w:rPr>
        <w:t>/</w:t>
      </w:r>
      <w:r w:rsidRPr="00910CE3">
        <w:rPr>
          <w:rFonts w:ascii="TraditionalArabic" w:hAnsi="Arial" w:cs="TraditionalArabic" w:hint="cs"/>
          <w:sz w:val="28"/>
          <w:szCs w:val="28"/>
          <w:rtl/>
        </w:rPr>
        <w:t xml:space="preserve"> </w:t>
      </w:r>
      <w:r w:rsidRPr="00910CE3">
        <w:rPr>
          <w:rFonts w:ascii="Arial" w:hAnsi="Arial"/>
          <w:sz w:val="28"/>
          <w:szCs w:val="28"/>
        </w:rPr>
        <w:t>3</w:t>
      </w:r>
      <w:r w:rsidRPr="00910CE3">
        <w:rPr>
          <w:rFonts w:ascii="Arial" w:hAnsi="Arial" w:hint="cs"/>
          <w:sz w:val="28"/>
          <w:szCs w:val="28"/>
          <w:rtl/>
        </w:rPr>
        <w:t>: 104)</w:t>
      </w:r>
    </w:p>
    <w:p w:rsidR="00343B61" w:rsidRPr="00910CE3" w:rsidRDefault="00343B61" w:rsidP="00343B61">
      <w:pPr>
        <w:autoSpaceDE w:val="0"/>
        <w:autoSpaceDN w:val="0"/>
        <w:adjustRightInd w:val="0"/>
        <w:spacing w:after="0" w:line="240" w:lineRule="auto"/>
        <w:ind w:left="900"/>
        <w:jc w:val="both"/>
        <w:rPr>
          <w:rFonts w:asciiTheme="majorBidi" w:hAnsiTheme="majorBidi" w:cstheme="majorBidi"/>
          <w:sz w:val="24"/>
          <w:szCs w:val="24"/>
        </w:rPr>
      </w:pPr>
      <w:r w:rsidRPr="00910CE3">
        <w:rPr>
          <w:rFonts w:asciiTheme="majorBidi" w:hAnsiTheme="majorBidi" w:cstheme="majorBidi"/>
          <w:sz w:val="24"/>
          <w:szCs w:val="24"/>
        </w:rPr>
        <w:t>“</w:t>
      </w:r>
      <w:r w:rsidRPr="00910CE3">
        <w:rPr>
          <w:rFonts w:asciiTheme="majorBidi" w:hAnsiTheme="majorBidi" w:cstheme="majorBidi"/>
          <w:i/>
          <w:iCs/>
          <w:sz w:val="24"/>
          <w:szCs w:val="24"/>
        </w:rPr>
        <w:t>dan hendaklah ada di antara kamu segolongan umat yang menyeru kepada kebajikan, menyuruh kepada yang ma'ruf dan mencegah dari yang munkar merekalah orang-orang yang beruntung</w:t>
      </w:r>
      <w:r w:rsidRPr="00910CE3">
        <w:rPr>
          <w:rFonts w:asciiTheme="majorBidi" w:hAnsiTheme="majorBidi" w:cstheme="majorBidi"/>
          <w:sz w:val="24"/>
          <w:szCs w:val="24"/>
        </w:rPr>
        <w:t>” ( QS. Ali Imran [ 3]: 104)</w:t>
      </w:r>
      <w:r w:rsidRPr="00910CE3">
        <w:rPr>
          <w:rStyle w:val="FootnoteReference"/>
          <w:rFonts w:asciiTheme="majorBidi" w:hAnsiTheme="majorBidi" w:cstheme="majorBidi"/>
          <w:sz w:val="24"/>
          <w:szCs w:val="24"/>
        </w:rPr>
        <w:footnoteReference w:id="297"/>
      </w:r>
    </w:p>
    <w:p w:rsidR="00343B61" w:rsidRPr="00910CE3" w:rsidRDefault="00343B61" w:rsidP="00343B61">
      <w:pPr>
        <w:autoSpaceDE w:val="0"/>
        <w:autoSpaceDN w:val="0"/>
        <w:adjustRightInd w:val="0"/>
        <w:spacing w:after="0" w:line="360" w:lineRule="auto"/>
        <w:ind w:left="900"/>
        <w:jc w:val="both"/>
        <w:rPr>
          <w:rFonts w:asciiTheme="majorBidi" w:hAnsiTheme="majorBidi" w:cstheme="majorBidi"/>
          <w:sz w:val="24"/>
          <w:szCs w:val="24"/>
        </w:rPr>
      </w:pPr>
    </w:p>
    <w:p w:rsidR="00343B61" w:rsidRPr="00910CE3" w:rsidRDefault="00343B61" w:rsidP="00343B61">
      <w:pPr>
        <w:autoSpaceDE w:val="0"/>
        <w:autoSpaceDN w:val="0"/>
        <w:adjustRightInd w:val="0"/>
        <w:spacing w:after="0" w:line="360" w:lineRule="auto"/>
        <w:ind w:firstLine="1260"/>
        <w:jc w:val="both"/>
        <w:rPr>
          <w:rFonts w:ascii="Times New Roman" w:hAnsi="Times New Roman" w:cs="Times New Roman"/>
          <w:sz w:val="24"/>
          <w:szCs w:val="24"/>
        </w:rPr>
      </w:pPr>
      <w:r w:rsidRPr="00910CE3">
        <w:rPr>
          <w:rFonts w:ascii="(normal text)" w:hAnsi="(normal text)"/>
          <w:sz w:val="24"/>
          <w:szCs w:val="24"/>
        </w:rPr>
        <w:t xml:space="preserve">Dan juga kata </w:t>
      </w:r>
      <w:r w:rsidRPr="00910CE3">
        <w:rPr>
          <w:rFonts w:ascii="(normal text)" w:hAnsi="(normal text)"/>
          <w:i/>
          <w:iCs/>
          <w:sz w:val="24"/>
          <w:szCs w:val="24"/>
        </w:rPr>
        <w:t>al</w:t>
      </w:r>
      <w:r>
        <w:rPr>
          <w:rFonts w:ascii="(normal text)" w:hAnsi="(normal text)"/>
          <w:i/>
          <w:iCs/>
          <w:sz w:val="24"/>
          <w:szCs w:val="24"/>
        </w:rPr>
        <w:t>-</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normal text)" w:hAnsi="(normal text)"/>
          <w:sz w:val="24"/>
          <w:szCs w:val="24"/>
        </w:rPr>
        <w:t>ditemukan dalam Al-Qur’ān sebagai berikut:</w:t>
      </w:r>
    </w:p>
    <w:p w:rsidR="00343B61" w:rsidRPr="00910CE3" w:rsidRDefault="00343B61" w:rsidP="00343B61">
      <w:pPr>
        <w:autoSpaceDE w:val="0"/>
        <w:autoSpaceDN w:val="0"/>
        <w:bidi/>
        <w:adjustRightInd w:val="0"/>
        <w:spacing w:after="0" w:line="240" w:lineRule="auto"/>
        <w:ind w:right="450" w:firstLine="17"/>
        <w:jc w:val="both"/>
        <w:rPr>
          <w:rFonts w:ascii="Arial" w:hAnsi="Arial"/>
          <w:sz w:val="35"/>
          <w:szCs w:val="35"/>
          <w:rtl/>
        </w:rPr>
      </w:pPr>
      <w:r w:rsidRPr="00910CE3">
        <w:rPr>
          <w:sz w:val="28"/>
          <w:szCs w:val="28"/>
        </w:rPr>
        <w:sym w:font="HQPB4" w:char="F0C9"/>
      </w:r>
      <w:r w:rsidRPr="00910CE3">
        <w:rPr>
          <w:sz w:val="28"/>
          <w:szCs w:val="28"/>
        </w:rPr>
        <w:sym w:font="HQPB1" w:char="F08B"/>
      </w:r>
      <w:r w:rsidRPr="00910CE3">
        <w:rPr>
          <w:sz w:val="28"/>
          <w:szCs w:val="28"/>
        </w:rPr>
        <w:sym w:font="HQPB4" w:char="F0E8"/>
      </w:r>
      <w:r w:rsidRPr="00910CE3">
        <w:rPr>
          <w:sz w:val="28"/>
          <w:szCs w:val="28"/>
        </w:rPr>
        <w:sym w:font="HQPB1" w:char="F07B"/>
      </w:r>
      <w:r w:rsidRPr="00910CE3">
        <w:rPr>
          <w:rFonts w:ascii="(normal text)" w:hAnsi="(normal text)"/>
          <w:sz w:val="28"/>
          <w:szCs w:val="28"/>
          <w:rtl/>
        </w:rPr>
        <w:t xml:space="preserve"> </w:t>
      </w:r>
      <w:r w:rsidRPr="00910CE3">
        <w:rPr>
          <w:sz w:val="28"/>
          <w:szCs w:val="28"/>
        </w:rPr>
        <w:sym w:font="HQPB5" w:char="F075"/>
      </w:r>
      <w:r w:rsidRPr="00910CE3">
        <w:rPr>
          <w:sz w:val="28"/>
          <w:szCs w:val="28"/>
        </w:rPr>
        <w:sym w:font="HQPB2" w:char="F071"/>
      </w:r>
      <w:r w:rsidRPr="00910CE3">
        <w:rPr>
          <w:sz w:val="28"/>
          <w:szCs w:val="28"/>
        </w:rPr>
        <w:sym w:font="HQPB4" w:char="F0F8"/>
      </w:r>
      <w:r w:rsidRPr="00910CE3">
        <w:rPr>
          <w:sz w:val="28"/>
          <w:szCs w:val="28"/>
        </w:rPr>
        <w:sym w:font="HQPB1" w:char="F0FF"/>
      </w:r>
      <w:r w:rsidRPr="00910CE3">
        <w:rPr>
          <w:sz w:val="28"/>
          <w:szCs w:val="28"/>
        </w:rPr>
        <w:sym w:font="HQPB5" w:char="F079"/>
      </w:r>
      <w:r w:rsidRPr="00910CE3">
        <w:rPr>
          <w:sz w:val="28"/>
          <w:szCs w:val="28"/>
        </w:rPr>
        <w:sym w:font="HQPB1" w:char="F0E8"/>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4" w:char="F0F3"/>
      </w:r>
      <w:r w:rsidRPr="00910CE3">
        <w:rPr>
          <w:sz w:val="28"/>
          <w:szCs w:val="28"/>
        </w:rPr>
        <w:sym w:font="HQPB1" w:char="F090"/>
      </w:r>
      <w:r w:rsidRPr="00910CE3">
        <w:rPr>
          <w:sz w:val="28"/>
          <w:szCs w:val="28"/>
        </w:rPr>
        <w:sym w:font="HQPB4" w:char="F0DF"/>
      </w:r>
      <w:r w:rsidRPr="00910CE3">
        <w:rPr>
          <w:sz w:val="28"/>
          <w:szCs w:val="28"/>
        </w:rPr>
        <w:sym w:font="HQPB2" w:char="F044"/>
      </w:r>
      <w:r w:rsidRPr="00910CE3">
        <w:rPr>
          <w:sz w:val="28"/>
          <w:szCs w:val="28"/>
        </w:rPr>
        <w:sym w:font="HQPB4" w:char="F0F9"/>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4" w:char="F0C5"/>
      </w:r>
      <w:r w:rsidRPr="00910CE3">
        <w:rPr>
          <w:sz w:val="28"/>
          <w:szCs w:val="28"/>
        </w:rPr>
        <w:sym w:font="HQPB2" w:char="F024"/>
      </w:r>
      <w:r w:rsidRPr="00910CE3">
        <w:rPr>
          <w:sz w:val="28"/>
          <w:szCs w:val="28"/>
        </w:rPr>
        <w:sym w:font="HQPB4" w:char="F0F3"/>
      </w:r>
      <w:r w:rsidRPr="00910CE3">
        <w:rPr>
          <w:sz w:val="28"/>
          <w:szCs w:val="28"/>
        </w:rPr>
        <w:sym w:font="HQPB1" w:char="F08F"/>
      </w:r>
      <w:r w:rsidRPr="00910CE3">
        <w:rPr>
          <w:sz w:val="28"/>
          <w:szCs w:val="28"/>
        </w:rPr>
        <w:sym w:font="HQPB4" w:char="F0E3"/>
      </w:r>
      <w:r w:rsidRPr="00910CE3">
        <w:rPr>
          <w:sz w:val="28"/>
          <w:szCs w:val="28"/>
        </w:rPr>
        <w:sym w:font="HQPB1" w:char="F0E8"/>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4"/>
      </w:r>
      <w:r w:rsidRPr="00910CE3">
        <w:rPr>
          <w:sz w:val="28"/>
          <w:szCs w:val="28"/>
        </w:rPr>
        <w:sym w:font="HQPB4" w:char="F0CE"/>
      </w:r>
      <w:r w:rsidRPr="00910CE3">
        <w:rPr>
          <w:sz w:val="28"/>
          <w:szCs w:val="28"/>
        </w:rPr>
        <w:sym w:font="HQPB1" w:char="F02F"/>
      </w:r>
      <w:r w:rsidRPr="00910CE3">
        <w:rPr>
          <w:rFonts w:ascii="(normal text)" w:hAnsi="(normal text)"/>
          <w:sz w:val="28"/>
          <w:szCs w:val="28"/>
          <w:rtl/>
        </w:rPr>
        <w:t xml:space="preserve"> </w:t>
      </w:r>
      <w:r w:rsidRPr="00910CE3">
        <w:rPr>
          <w:sz w:val="28"/>
          <w:szCs w:val="28"/>
        </w:rPr>
        <w:sym w:font="HQPB4" w:char="F0F3"/>
      </w:r>
      <w:r w:rsidRPr="00910CE3">
        <w:rPr>
          <w:sz w:val="28"/>
          <w:szCs w:val="28"/>
        </w:rPr>
        <w:sym w:font="HQPB1" w:char="F0DA"/>
      </w:r>
      <w:r w:rsidRPr="00910CE3">
        <w:rPr>
          <w:sz w:val="28"/>
          <w:szCs w:val="28"/>
        </w:rPr>
        <w:sym w:font="HQPB4" w:char="F0CC"/>
      </w:r>
      <w:r w:rsidRPr="00910CE3">
        <w:rPr>
          <w:sz w:val="28"/>
          <w:szCs w:val="28"/>
        </w:rPr>
        <w:sym w:font="HQPB1" w:char="F08D"/>
      </w:r>
      <w:r w:rsidRPr="00910CE3">
        <w:rPr>
          <w:sz w:val="28"/>
          <w:szCs w:val="28"/>
        </w:rPr>
        <w:sym w:font="HQPB4" w:char="F0F4"/>
      </w:r>
      <w:r w:rsidRPr="00910CE3">
        <w:rPr>
          <w:sz w:val="28"/>
          <w:szCs w:val="28"/>
        </w:rPr>
        <w:sym w:font="HQPB1" w:char="F0E3"/>
      </w:r>
      <w:r w:rsidRPr="00910CE3">
        <w:rPr>
          <w:sz w:val="28"/>
          <w:szCs w:val="28"/>
        </w:rPr>
        <w:sym w:font="HQPB5" w:char="F072"/>
      </w:r>
      <w:r w:rsidRPr="00910CE3">
        <w:rPr>
          <w:sz w:val="28"/>
          <w:szCs w:val="28"/>
        </w:rPr>
        <w:sym w:font="HQPB1" w:char="F026"/>
      </w:r>
      <w:r w:rsidRPr="00910CE3">
        <w:rPr>
          <w:sz w:val="28"/>
          <w:szCs w:val="28"/>
        </w:rPr>
        <w:sym w:font="HQPB5" w:char="F075"/>
      </w:r>
      <w:r w:rsidRPr="00910CE3">
        <w:rPr>
          <w:sz w:val="28"/>
          <w:szCs w:val="28"/>
        </w:rPr>
        <w:sym w:font="HQPB2" w:char="F072"/>
      </w:r>
      <w:r w:rsidRPr="00910CE3">
        <w:rPr>
          <w:rFonts w:ascii="(normal text)" w:hAnsi="(normal text)"/>
          <w:sz w:val="28"/>
          <w:szCs w:val="28"/>
          <w:rtl/>
        </w:rPr>
        <w:t xml:space="preserve"> </w:t>
      </w:r>
      <w:r w:rsidRPr="00910CE3">
        <w:rPr>
          <w:sz w:val="28"/>
          <w:szCs w:val="28"/>
        </w:rPr>
        <w:sym w:font="HQPB4" w:char="F0C7"/>
      </w:r>
      <w:r w:rsidRPr="00910CE3">
        <w:rPr>
          <w:sz w:val="28"/>
          <w:szCs w:val="28"/>
        </w:rPr>
        <w:sym w:font="HQPB2" w:char="F060"/>
      </w:r>
      <w:r w:rsidRPr="00910CE3">
        <w:rPr>
          <w:sz w:val="28"/>
          <w:szCs w:val="28"/>
        </w:rPr>
        <w:sym w:font="HQPB5" w:char="F074"/>
      </w:r>
      <w:r w:rsidRPr="00910CE3">
        <w:rPr>
          <w:sz w:val="28"/>
          <w:szCs w:val="28"/>
        </w:rPr>
        <w:sym w:font="HQPB1" w:char="F0E3"/>
      </w:r>
      <w:r w:rsidRPr="00910CE3">
        <w:rPr>
          <w:rFonts w:ascii="(normal text)" w:hAnsi="(normal text)"/>
          <w:sz w:val="28"/>
          <w:szCs w:val="28"/>
          <w:rtl/>
        </w:rPr>
        <w:t xml:space="preserve"> </w:t>
      </w:r>
      <w:r w:rsidRPr="00910CE3">
        <w:rPr>
          <w:sz w:val="28"/>
          <w:szCs w:val="28"/>
        </w:rPr>
        <w:sym w:font="HQPB5" w:char="F09A"/>
      </w:r>
      <w:r w:rsidRPr="00910CE3">
        <w:rPr>
          <w:sz w:val="28"/>
          <w:szCs w:val="28"/>
        </w:rPr>
        <w:sym w:font="HQPB2" w:char="F0FA"/>
      </w:r>
      <w:r w:rsidRPr="00910CE3">
        <w:rPr>
          <w:sz w:val="28"/>
          <w:szCs w:val="28"/>
        </w:rPr>
        <w:sym w:font="HQPB2" w:char="F0FC"/>
      </w:r>
      <w:r w:rsidRPr="00910CE3">
        <w:rPr>
          <w:sz w:val="28"/>
          <w:szCs w:val="28"/>
        </w:rPr>
        <w:sym w:font="HQPB4" w:char="F0CE"/>
      </w:r>
      <w:r w:rsidRPr="00910CE3">
        <w:rPr>
          <w:sz w:val="28"/>
          <w:szCs w:val="28"/>
        </w:rPr>
        <w:sym w:font="HQPB2" w:char="F03D"/>
      </w:r>
      <w:r w:rsidRPr="00910CE3">
        <w:rPr>
          <w:sz w:val="28"/>
          <w:szCs w:val="28"/>
        </w:rPr>
        <w:sym w:font="HQPB4" w:char="F0CE"/>
      </w:r>
      <w:r w:rsidRPr="00910CE3">
        <w:rPr>
          <w:sz w:val="28"/>
          <w:szCs w:val="28"/>
        </w:rPr>
        <w:sym w:font="HQPB2" w:char="F067"/>
      </w:r>
      <w:r w:rsidRPr="00910CE3">
        <w:rPr>
          <w:sz w:val="28"/>
          <w:szCs w:val="28"/>
        </w:rPr>
        <w:sym w:font="HQPB2" w:char="F0BB"/>
      </w:r>
      <w:r w:rsidRPr="00910CE3">
        <w:rPr>
          <w:sz w:val="28"/>
          <w:szCs w:val="28"/>
        </w:rPr>
        <w:sym w:font="HQPB5" w:char="F070"/>
      </w:r>
      <w:r w:rsidRPr="00910CE3">
        <w:rPr>
          <w:sz w:val="28"/>
          <w:szCs w:val="28"/>
        </w:rPr>
        <w:sym w:font="HQPB1" w:char="F067"/>
      </w:r>
      <w:r w:rsidRPr="00910CE3">
        <w:rPr>
          <w:sz w:val="28"/>
          <w:szCs w:val="28"/>
        </w:rPr>
        <w:sym w:font="HQPB4" w:char="F0F8"/>
      </w:r>
      <w:r w:rsidRPr="00910CE3">
        <w:rPr>
          <w:sz w:val="28"/>
          <w:szCs w:val="28"/>
        </w:rPr>
        <w:sym w:font="HQPB2" w:char="F03A"/>
      </w:r>
      <w:r w:rsidRPr="00910CE3">
        <w:rPr>
          <w:sz w:val="28"/>
          <w:szCs w:val="28"/>
        </w:rPr>
        <w:sym w:font="HQPB5" w:char="F024"/>
      </w:r>
      <w:r w:rsidRPr="00910CE3">
        <w:rPr>
          <w:sz w:val="28"/>
          <w:szCs w:val="28"/>
        </w:rPr>
        <w:sym w:font="HQPB1" w:char="F023"/>
      </w:r>
      <w:r w:rsidRPr="00910CE3">
        <w:rPr>
          <w:rFonts w:ascii="(normal text)" w:hAnsi="(normal text)"/>
          <w:sz w:val="28"/>
          <w:szCs w:val="28"/>
          <w:rtl/>
        </w:rPr>
        <w:t xml:space="preserve"> </w:t>
      </w:r>
      <w:r w:rsidRPr="00910CE3">
        <w:rPr>
          <w:sz w:val="28"/>
          <w:szCs w:val="28"/>
        </w:rPr>
        <w:sym w:font="HQPB2" w:char="F0C7"/>
      </w:r>
      <w:r w:rsidRPr="00910CE3">
        <w:rPr>
          <w:sz w:val="28"/>
          <w:szCs w:val="28"/>
        </w:rPr>
        <w:sym w:font="HQPB2" w:char="F0CA"/>
      </w:r>
      <w:r w:rsidRPr="00910CE3">
        <w:rPr>
          <w:sz w:val="28"/>
          <w:szCs w:val="28"/>
        </w:rPr>
        <w:sym w:font="HQPB2" w:char="F0D2"/>
      </w:r>
      <w:r w:rsidRPr="00910CE3">
        <w:rPr>
          <w:sz w:val="28"/>
          <w:szCs w:val="28"/>
        </w:rPr>
        <w:sym w:font="HQPB2" w:char="F0D2"/>
      </w:r>
      <w:r w:rsidRPr="00910CE3">
        <w:rPr>
          <w:sz w:val="28"/>
          <w:szCs w:val="28"/>
        </w:rPr>
        <w:sym w:font="HQPB2" w:char="F0C8"/>
      </w:r>
      <w:r w:rsidRPr="00910CE3">
        <w:rPr>
          <w:rFonts w:ascii="(normal text)" w:hAnsi="(normal text)"/>
          <w:sz w:val="28"/>
          <w:szCs w:val="28"/>
          <w:rtl/>
        </w:rPr>
        <w:t xml:space="preserve">   </w:t>
      </w:r>
      <w:r w:rsidRPr="00910CE3">
        <w:rPr>
          <w:rFonts w:ascii="(normal text)" w:hAnsi="(normal text)"/>
          <w:sz w:val="28"/>
          <w:szCs w:val="28"/>
        </w:rPr>
        <w:t>)</w:t>
      </w:r>
      <w:r w:rsidRPr="00910CE3">
        <w:rPr>
          <w:rFonts w:ascii="TraditionalArabic" w:hAnsi="Arial" w:cs="TraditionalArabic" w:hint="cs"/>
          <w:sz w:val="24"/>
          <w:szCs w:val="24"/>
          <w:rtl/>
        </w:rPr>
        <w:t xml:space="preserve"> الأعراف</w:t>
      </w:r>
      <w:r w:rsidRPr="00910CE3">
        <w:rPr>
          <w:rFonts w:ascii="Arial" w:hAnsi="Arial"/>
          <w:sz w:val="24"/>
          <w:szCs w:val="24"/>
        </w:rPr>
        <w:t>/</w:t>
      </w:r>
      <w:r w:rsidRPr="00910CE3">
        <w:rPr>
          <w:rFonts w:ascii="Arial" w:hAnsi="Arial" w:hint="cs"/>
          <w:sz w:val="24"/>
          <w:szCs w:val="24"/>
          <w:rtl/>
        </w:rPr>
        <w:t>7: 199)</w:t>
      </w:r>
    </w:p>
    <w:p w:rsidR="00343B61" w:rsidRPr="00910CE3" w:rsidRDefault="00343B61" w:rsidP="00343B61">
      <w:pPr>
        <w:autoSpaceDE w:val="0"/>
        <w:autoSpaceDN w:val="0"/>
        <w:adjustRightInd w:val="0"/>
        <w:spacing w:after="0" w:line="240" w:lineRule="auto"/>
        <w:ind w:left="1260"/>
        <w:jc w:val="both"/>
        <w:rPr>
          <w:rFonts w:asciiTheme="majorBidi" w:hAnsiTheme="majorBidi" w:cstheme="majorBidi"/>
          <w:sz w:val="24"/>
          <w:szCs w:val="24"/>
        </w:rPr>
      </w:pPr>
      <w:r w:rsidRPr="00910CE3">
        <w:rPr>
          <w:rFonts w:asciiTheme="majorBidi" w:hAnsiTheme="majorBidi" w:cstheme="majorBidi"/>
          <w:sz w:val="24"/>
          <w:szCs w:val="24"/>
        </w:rPr>
        <w:t>“</w:t>
      </w:r>
      <w:r w:rsidRPr="00910CE3">
        <w:rPr>
          <w:rFonts w:asciiTheme="majorBidi" w:hAnsiTheme="majorBidi" w:cstheme="majorBidi"/>
          <w:i/>
          <w:iCs/>
          <w:sz w:val="24"/>
          <w:szCs w:val="24"/>
        </w:rPr>
        <w:t>Jadilah Engkau Pema'af dan suruhlah orang mengerjakan yang ma'ruf, serta berpalinglah dari pada orang-orang yang bodoh</w:t>
      </w:r>
      <w:r w:rsidRPr="00910CE3">
        <w:rPr>
          <w:rFonts w:asciiTheme="majorBidi" w:hAnsiTheme="majorBidi" w:cstheme="majorBidi"/>
          <w:sz w:val="24"/>
          <w:szCs w:val="24"/>
        </w:rPr>
        <w:t xml:space="preserve">”. ( QS. Al-‘Akraf [7]:199) </w:t>
      </w:r>
      <w:r w:rsidRPr="00910CE3">
        <w:rPr>
          <w:rStyle w:val="FootnoteReference"/>
          <w:rFonts w:asciiTheme="majorBidi" w:hAnsiTheme="majorBidi" w:cstheme="majorBidi"/>
          <w:sz w:val="24"/>
          <w:szCs w:val="24"/>
        </w:rPr>
        <w:footnoteReference w:id="298"/>
      </w:r>
    </w:p>
    <w:p w:rsidR="00343B61" w:rsidRPr="00910CE3" w:rsidRDefault="00343B61" w:rsidP="00343B61">
      <w:pPr>
        <w:autoSpaceDE w:val="0"/>
        <w:autoSpaceDN w:val="0"/>
        <w:adjustRightInd w:val="0"/>
        <w:spacing w:after="0" w:line="360" w:lineRule="auto"/>
        <w:ind w:left="900"/>
        <w:jc w:val="both"/>
        <w:rPr>
          <w:rFonts w:asciiTheme="majorBidi" w:hAnsiTheme="majorBidi" w:cstheme="majorBidi"/>
          <w:sz w:val="24"/>
          <w:szCs w:val="24"/>
        </w:rPr>
      </w:pPr>
    </w:p>
    <w:p w:rsidR="00343B61" w:rsidRPr="00A962F3" w:rsidRDefault="00343B61" w:rsidP="00343B61">
      <w:pPr>
        <w:spacing w:after="0" w:line="360" w:lineRule="auto"/>
        <w:ind w:left="450" w:firstLine="630"/>
        <w:jc w:val="both"/>
        <w:rPr>
          <w:rFonts w:asciiTheme="majorBidi" w:hAnsiTheme="majorBidi" w:cstheme="majorBidi"/>
          <w:sz w:val="24"/>
          <w:szCs w:val="24"/>
        </w:rPr>
      </w:pPr>
      <w:r w:rsidRPr="00910CE3">
        <w:rPr>
          <w:rFonts w:ascii="Times New Roman" w:hAnsi="Times New Roman" w:cs="Times New Roman"/>
          <w:sz w:val="24"/>
          <w:szCs w:val="24"/>
        </w:rPr>
        <w:t xml:space="preserve">Menurut Ibn al-Najjar kata </w:t>
      </w:r>
      <w:r w:rsidRPr="00910CE3">
        <w:rPr>
          <w:rFonts w:ascii="Times New Roman" w:hAnsi="Times New Roman" w:cs="Times New Roman"/>
          <w:i/>
          <w:iCs/>
          <w:sz w:val="24"/>
          <w:szCs w:val="24"/>
        </w:rPr>
        <w:t>al-</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yang terdapat dalam ayat ini meliputi segala sesuatu yang disenangi oleh jiwa manusia dan sejalan dengan nilai-nilai </w:t>
      </w:r>
      <w:r>
        <w:rPr>
          <w:rFonts w:asciiTheme="majorBidi" w:hAnsiTheme="majorBidi" w:cstheme="majorBidi"/>
          <w:sz w:val="24"/>
          <w:szCs w:val="24"/>
        </w:rPr>
        <w:t>Syarī</w:t>
      </w:r>
      <w:r>
        <w:t>‘</w:t>
      </w:r>
      <w:r>
        <w:rPr>
          <w:rFonts w:asciiTheme="majorBidi" w:hAnsiTheme="majorBidi" w:cstheme="majorBidi"/>
          <w:sz w:val="24"/>
          <w:szCs w:val="24"/>
        </w:rPr>
        <w:t>ah</w:t>
      </w:r>
      <w:r w:rsidRPr="00910CE3">
        <w:rPr>
          <w:rFonts w:ascii="Times New Roman" w:hAnsi="Times New Roman" w:cs="Times New Roman"/>
          <w:sz w:val="24"/>
          <w:szCs w:val="24"/>
        </w:rPr>
        <w:t>.</w:t>
      </w:r>
      <w:r w:rsidRPr="00910CE3">
        <w:rPr>
          <w:rStyle w:val="FootnoteReference"/>
          <w:rFonts w:ascii="Times New Roman" w:hAnsi="Times New Roman" w:cs="Times New Roman"/>
          <w:sz w:val="24"/>
          <w:szCs w:val="24"/>
        </w:rPr>
        <w:footnoteReference w:id="299"/>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Dalam mendefinisikan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secara istilah ada beberapa </w:t>
      </w:r>
      <w:r>
        <w:rPr>
          <w:rFonts w:ascii="Times New Roman" w:hAnsi="Times New Roman" w:cs="Times New Roman"/>
          <w:sz w:val="24"/>
          <w:szCs w:val="24"/>
        </w:rPr>
        <w:t>pendapat ulama. Al- Jurjani</w:t>
      </w:r>
      <w:r w:rsidRPr="00910CE3">
        <w:rPr>
          <w:rFonts w:ascii="Times New Roman" w:hAnsi="Times New Roman" w:cs="Times New Roman"/>
          <w:sz w:val="24"/>
          <w:szCs w:val="24"/>
        </w:rPr>
        <w:t xml:space="preserve"> memahami</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sebagai semua yang telah tetap dalam jiwa, didukung akal, dan dapat diterima tabiat. Sementara adat merupakan segala yang dipraktekkan manusia secara terus menerus yang sejalan dengan akal sehat dan telah menjadi kebiasaan mereka.</w:t>
      </w:r>
      <w:r w:rsidRPr="00910CE3">
        <w:rPr>
          <w:rStyle w:val="FootnoteReference"/>
          <w:rFonts w:ascii="Times New Roman" w:hAnsi="Times New Roman" w:cs="Times New Roman"/>
          <w:sz w:val="24"/>
          <w:szCs w:val="24"/>
        </w:rPr>
        <w:footnoteReference w:id="300"/>
      </w:r>
    </w:p>
    <w:p w:rsidR="00343B61" w:rsidRPr="00910CE3" w:rsidRDefault="00343B61" w:rsidP="00343B61">
      <w:pPr>
        <w:autoSpaceDE w:val="0"/>
        <w:autoSpaceDN w:val="0"/>
        <w:adjustRightInd w:val="0"/>
        <w:spacing w:after="0" w:line="360" w:lineRule="auto"/>
        <w:ind w:left="450" w:firstLine="810"/>
        <w:jc w:val="both"/>
        <w:rPr>
          <w:rFonts w:ascii="(normal text)" w:hAnsi="(normal text)"/>
          <w:sz w:val="24"/>
          <w:szCs w:val="24"/>
        </w:rPr>
      </w:pPr>
      <w:r>
        <w:rPr>
          <w:rFonts w:ascii="(normal text)" w:hAnsi="(normal text)"/>
          <w:sz w:val="24"/>
          <w:szCs w:val="24"/>
        </w:rPr>
        <w:t>Sementara Abd al-Wahhab Khalla</w:t>
      </w:r>
      <w:r w:rsidRPr="00910CE3">
        <w:rPr>
          <w:rFonts w:ascii="(normal text)" w:hAnsi="(normal text)"/>
          <w:sz w:val="24"/>
          <w:szCs w:val="24"/>
        </w:rPr>
        <w:t xml:space="preserve">f memahami bahwa sesuatu yang disebut </w:t>
      </w:r>
      <w:r w:rsidRPr="00A962F3">
        <w:rPr>
          <w:rFonts w:ascii="(normal text)" w:hAnsi="(normal text)"/>
          <w:i/>
          <w:iCs/>
          <w:sz w:val="24"/>
          <w:szCs w:val="24"/>
        </w:rPr>
        <w:t>‘urf</w:t>
      </w:r>
      <w:r w:rsidRPr="00910CE3">
        <w:rPr>
          <w:rFonts w:ascii="(normal text)" w:hAnsi="(normal text)"/>
          <w:sz w:val="24"/>
          <w:szCs w:val="24"/>
        </w:rPr>
        <w:t xml:space="preserve">, telah dikenal manusia dan menjadi tradisi mereka. Ulama ini juga memperinci bentuk ‘urf yang meliputi perkataan, perbuatan atau </w:t>
      </w:r>
      <w:r w:rsidRPr="00910CE3">
        <w:rPr>
          <w:rFonts w:ascii="(normal text)" w:hAnsi="(normal text)"/>
          <w:sz w:val="24"/>
          <w:szCs w:val="24"/>
        </w:rPr>
        <w:lastRenderedPageBreak/>
        <w:t>meninggalkan perbuatan. Dalam konteks</w:t>
      </w:r>
      <w:r>
        <w:rPr>
          <w:rFonts w:ascii="(normal text)" w:hAnsi="(normal text)"/>
          <w:sz w:val="24"/>
          <w:szCs w:val="24"/>
        </w:rPr>
        <w:t xml:space="preserve"> ini, Khalla</w:t>
      </w:r>
      <w:r w:rsidRPr="00910CE3">
        <w:rPr>
          <w:rFonts w:ascii="(normal text)" w:hAnsi="(normal text)"/>
          <w:sz w:val="24"/>
          <w:szCs w:val="24"/>
        </w:rPr>
        <w:t>f menyamakan antara ‘urf dan adat.</w:t>
      </w:r>
      <w:r w:rsidRPr="00910CE3">
        <w:rPr>
          <w:rStyle w:val="FootnoteReference"/>
          <w:rFonts w:ascii="(normal text)" w:hAnsi="(normal text)"/>
          <w:sz w:val="24"/>
          <w:szCs w:val="24"/>
        </w:rPr>
        <w:footnoteReference w:id="301"/>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Pr>
          <w:rFonts w:ascii="Times New Roman" w:hAnsi="Times New Roman" w:cs="Times New Roman"/>
          <w:sz w:val="24"/>
          <w:szCs w:val="24"/>
        </w:rPr>
        <w:t>Ab</w:t>
      </w:r>
      <w:r w:rsidRPr="00BE7B84">
        <w:rPr>
          <w:rFonts w:asciiTheme="majorBidi" w:hAnsiTheme="majorBidi" w:cstheme="majorBidi"/>
          <w:sz w:val="24"/>
          <w:szCs w:val="24"/>
        </w:rPr>
        <w:t xml:space="preserve">ū </w:t>
      </w:r>
      <w:r w:rsidRPr="00910CE3">
        <w:rPr>
          <w:rFonts w:ascii="Times New Roman" w:hAnsi="Times New Roman" w:cs="Times New Roman"/>
          <w:sz w:val="24"/>
          <w:szCs w:val="24"/>
        </w:rPr>
        <w:t>Zahrah membatasi</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menyangkut kebiasaan manusia dalam kegiatan muamalah mereka.</w:t>
      </w:r>
      <w:r w:rsidRPr="00910CE3">
        <w:rPr>
          <w:rStyle w:val="FootnoteReference"/>
          <w:rFonts w:ascii="Times New Roman" w:hAnsi="Times New Roman" w:cs="Times New Roman"/>
          <w:sz w:val="24"/>
          <w:szCs w:val="24"/>
        </w:rPr>
        <w:footnoteReference w:id="302"/>
      </w:r>
      <w:r w:rsidRPr="00910CE3">
        <w:rPr>
          <w:rFonts w:ascii="Times New Roman" w:hAnsi="Times New Roman" w:cs="Times New Roman"/>
          <w:sz w:val="15"/>
          <w:szCs w:val="15"/>
        </w:rPr>
        <w:t xml:space="preserve"> </w:t>
      </w:r>
      <w:r w:rsidRPr="00910CE3">
        <w:rPr>
          <w:rFonts w:ascii="Times New Roman" w:hAnsi="Times New Roman" w:cs="Times New Roman"/>
          <w:sz w:val="24"/>
          <w:szCs w:val="24"/>
        </w:rPr>
        <w:t xml:space="preserve">Muamalah yang dimaksud ulama ini sebagai bandingan dari bagian hukum Islam yang lain, yaitu aspek ibadah. Pembatasan ini tentu didasarkan pada pertimbangan bahwa umumnya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terkait dengan kegiatan muamalah. Sebab, masalah muamalah ini cukup banyak diatur dalam bentuk prinsip-prinsip dasar dalam </w:t>
      </w:r>
      <w:r w:rsidRPr="00910CE3">
        <w:rPr>
          <w:rFonts w:asciiTheme="majorBidi" w:hAnsiTheme="majorBidi" w:cstheme="majorBidi"/>
          <w:sz w:val="24"/>
          <w:szCs w:val="24"/>
        </w:rPr>
        <w:t>al-Qur’ān</w:t>
      </w:r>
      <w:r w:rsidRPr="00910CE3">
        <w:rPr>
          <w:rFonts w:ascii="Times New Roman" w:hAnsi="Times New Roman" w:cs="Times New Roman"/>
          <w:sz w:val="24"/>
          <w:szCs w:val="24"/>
        </w:rPr>
        <w:t xml:space="preserve"> dan Hadis sehingga berpeluang dimasuki unsur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dimana umat Islam berada. Sebaliknya, masalah ibadah yang sudah dijelaskan secara rinci, kecil kemungkinan dimasuki unsur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setelah sumber hukum Islam, </w:t>
      </w:r>
      <w:r w:rsidRPr="00910CE3">
        <w:rPr>
          <w:rFonts w:asciiTheme="majorBidi" w:hAnsiTheme="majorBidi" w:cstheme="majorBidi"/>
          <w:sz w:val="24"/>
          <w:szCs w:val="24"/>
        </w:rPr>
        <w:t>al-Qur’ān</w:t>
      </w:r>
      <w:r w:rsidRPr="00910CE3">
        <w:rPr>
          <w:rFonts w:ascii="Times New Roman" w:hAnsi="Times New Roman" w:cs="Times New Roman"/>
          <w:sz w:val="24"/>
          <w:szCs w:val="24"/>
        </w:rPr>
        <w:t xml:space="preserve"> dan Hadis lengkap diturunkan.</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Pr>
          <w:rFonts w:ascii="Times New Roman" w:hAnsi="Times New Roman" w:cs="Times New Roman"/>
          <w:sz w:val="24"/>
          <w:szCs w:val="24"/>
        </w:rPr>
        <w:t>Mushthafa</w:t>
      </w:r>
      <w:r w:rsidRPr="00910CE3">
        <w:rPr>
          <w:rFonts w:ascii="Times New Roman" w:hAnsi="Times New Roman" w:cs="Times New Roman"/>
          <w:sz w:val="24"/>
          <w:szCs w:val="24"/>
        </w:rPr>
        <w:t xml:space="preserve"> Ahmad Zarq</w:t>
      </w:r>
      <w:r>
        <w:rPr>
          <w:rFonts w:ascii="Times New Roman" w:hAnsi="Times New Roman" w:cs="Times New Roman"/>
          <w:sz w:val="24"/>
          <w:szCs w:val="24"/>
        </w:rPr>
        <w:t>a</w:t>
      </w:r>
      <w:r w:rsidRPr="00910CE3">
        <w:rPr>
          <w:rFonts w:ascii="TimesNewRoman" w:hAnsi="Times New Roman" w:cs="TimesNewRoman" w:hint="cs"/>
          <w:sz w:val="24"/>
          <w:szCs w:val="24"/>
        </w:rPr>
        <w:t>’</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 xml:space="preserve">setelah mempelajari beberapa pendapat ahli usul fiqh dalam menjelaskan definisi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menyimpulkan bahwa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bersumber dari adat kebanyakan kaum dalam bentuk perkataan atau perbuatan</w:t>
      </w:r>
      <w:r w:rsidRPr="00910CE3">
        <w:rPr>
          <w:rStyle w:val="FootnoteReference"/>
          <w:rFonts w:ascii="Times New Roman" w:hAnsi="Times New Roman" w:cs="Times New Roman"/>
          <w:sz w:val="24"/>
          <w:szCs w:val="24"/>
        </w:rPr>
        <w:footnoteReference w:id="303"/>
      </w:r>
      <w:r w:rsidRPr="00910CE3">
        <w:rPr>
          <w:rFonts w:ascii="Times New Roman" w:hAnsi="Times New Roman" w:cs="Times New Roman"/>
          <w:sz w:val="24"/>
          <w:szCs w:val="24"/>
        </w:rPr>
        <w:t>.</w:t>
      </w:r>
      <w:r w:rsidRPr="00910CE3">
        <w:rPr>
          <w:rFonts w:ascii="Times New Roman" w:hAnsi="Times New Roman" w:cs="Times New Roman"/>
          <w:sz w:val="15"/>
          <w:szCs w:val="15"/>
        </w:rPr>
        <w:t xml:space="preserve"> </w:t>
      </w:r>
      <w:r w:rsidRPr="00910CE3">
        <w:rPr>
          <w:rFonts w:ascii="Times New Roman" w:hAnsi="Times New Roman" w:cs="Times New Roman"/>
          <w:sz w:val="24"/>
          <w:szCs w:val="24"/>
        </w:rPr>
        <w:t xml:space="preserve">Ia tampaknya tidak mensyaratkan sesuatu yang disebut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 xml:space="preserve">dilakukan oleh semua orang, tetapi cukup dilakukan oleh mayoritas kaum atau masyarakat. Dalam hal ini,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tidak hanya cukup dalam bentuk perbuatan, dapat pula berupa perkataan.</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Dari sejumlah pendapat ulama di atas dapat dirumuskan bahwa </w:t>
      </w:r>
      <w:r w:rsidRPr="00910CE3">
        <w:rPr>
          <w:rFonts w:ascii="TimesNewRoman,Italic" w:hAnsi="Times New Roman" w:cs="TimesNewRoman,Italic" w:hint="cs"/>
          <w:i/>
          <w:iCs/>
          <w:sz w:val="24"/>
          <w:szCs w:val="24"/>
        </w:rPr>
        <w:t>‘</w:t>
      </w:r>
      <w:r w:rsidRPr="00910CE3">
        <w:rPr>
          <w:rFonts w:ascii="Times New Roman" w:hAnsi="Times New Roman" w:cs="Times New Roman"/>
          <w:i/>
          <w:iCs/>
          <w:sz w:val="24"/>
          <w:szCs w:val="24"/>
        </w:rPr>
        <w:t xml:space="preserve">urf </w:t>
      </w:r>
      <w:r w:rsidRPr="00910CE3">
        <w:rPr>
          <w:rFonts w:ascii="Times New Roman" w:hAnsi="Times New Roman" w:cs="Times New Roman"/>
          <w:sz w:val="24"/>
          <w:szCs w:val="24"/>
        </w:rPr>
        <w:t>adalah apa-apa yang dibiasakan oleh kebanyakan masyarakat di semua atau sebagian negeri, baik dalam bentuk ucapan maupun perbuatan.</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Fiqh membagi </w:t>
      </w:r>
      <w:r w:rsidRPr="00910CE3">
        <w:rPr>
          <w:rFonts w:ascii="Times New Roman" w:hAnsi="Times New Roman" w:cs="Times New Roman"/>
          <w:i/>
          <w:iCs/>
          <w:sz w:val="24"/>
          <w:szCs w:val="24"/>
        </w:rPr>
        <w:t>‘urf</w:t>
      </w:r>
      <w:r w:rsidRPr="00910CE3">
        <w:rPr>
          <w:rFonts w:ascii="Times New Roman" w:hAnsi="Times New Roman" w:cs="Times New Roman"/>
          <w:sz w:val="24"/>
          <w:szCs w:val="24"/>
        </w:rPr>
        <w:t xml:space="preserve"> menjadi dua unsur; </w:t>
      </w:r>
      <w:r w:rsidRPr="00910CE3">
        <w:rPr>
          <w:rFonts w:ascii="Times New Roman" w:hAnsi="Times New Roman" w:cs="Times New Roman"/>
          <w:i/>
          <w:iCs/>
          <w:sz w:val="24"/>
          <w:szCs w:val="24"/>
        </w:rPr>
        <w:t>‘urf shahih</w:t>
      </w:r>
      <w:r w:rsidRPr="00910CE3">
        <w:rPr>
          <w:rFonts w:ascii="Times New Roman" w:hAnsi="Times New Roman" w:cs="Times New Roman"/>
          <w:sz w:val="24"/>
          <w:szCs w:val="24"/>
        </w:rPr>
        <w:t xml:space="preserve"> ( adat yang baik) dan </w:t>
      </w:r>
      <w:r w:rsidRPr="00910CE3">
        <w:rPr>
          <w:rFonts w:ascii="Times New Roman" w:hAnsi="Times New Roman" w:cs="Times New Roman"/>
          <w:i/>
          <w:iCs/>
          <w:sz w:val="24"/>
          <w:szCs w:val="24"/>
        </w:rPr>
        <w:t>‘urf fasid</w:t>
      </w:r>
      <w:r w:rsidRPr="00910CE3">
        <w:rPr>
          <w:rFonts w:ascii="Times New Roman" w:hAnsi="Times New Roman" w:cs="Times New Roman"/>
          <w:sz w:val="24"/>
          <w:szCs w:val="24"/>
        </w:rPr>
        <w:t>( adat yang rusak).</w:t>
      </w:r>
      <w:r w:rsidRPr="00910CE3">
        <w:rPr>
          <w:rFonts w:ascii="Times New Roman" w:hAnsi="Times New Roman" w:cs="Times New Roman"/>
          <w:i/>
          <w:iCs/>
          <w:sz w:val="24"/>
          <w:szCs w:val="24"/>
        </w:rPr>
        <w:t xml:space="preserve">‘urf shahih </w:t>
      </w:r>
      <w:r w:rsidRPr="00910CE3">
        <w:rPr>
          <w:rFonts w:ascii="Times New Roman" w:hAnsi="Times New Roman" w:cs="Times New Roman"/>
          <w:sz w:val="24"/>
          <w:szCs w:val="24"/>
        </w:rPr>
        <w:t xml:space="preserve">adalah apa yang telah dikenal oleh manusia dan tidak bertentangan dengan dalil syara’, tidak menghalalkan yang haram, dan tidak pula membatalkan yang wajib. Sedangkan </w:t>
      </w:r>
      <w:r w:rsidRPr="00910CE3">
        <w:rPr>
          <w:rFonts w:ascii="Times New Roman" w:hAnsi="Times New Roman" w:cs="Times New Roman"/>
          <w:i/>
          <w:iCs/>
          <w:sz w:val="24"/>
          <w:szCs w:val="24"/>
        </w:rPr>
        <w:t xml:space="preserve">‘urf fasid </w:t>
      </w:r>
      <w:r w:rsidRPr="00910CE3">
        <w:rPr>
          <w:rFonts w:ascii="Times New Roman" w:hAnsi="Times New Roman" w:cs="Times New Roman"/>
          <w:sz w:val="24"/>
          <w:szCs w:val="24"/>
        </w:rPr>
        <w:lastRenderedPageBreak/>
        <w:t>adalah apa yang telah dikenal oleh manusia tetapi bertentangan dengan syara’ atau menghalalkan yang haram dan membatalkan yang wajib.</w:t>
      </w:r>
      <w:r w:rsidRPr="00910CE3">
        <w:rPr>
          <w:rStyle w:val="FootnoteReference"/>
          <w:rFonts w:ascii="Times New Roman" w:hAnsi="Times New Roman" w:cs="Times New Roman"/>
          <w:sz w:val="24"/>
          <w:szCs w:val="24"/>
        </w:rPr>
        <w:footnoteReference w:id="304"/>
      </w:r>
    </w:p>
    <w:p w:rsidR="00343B61"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Bila ada suatu kejadian atau kebiasaan dalam kehidupan masyarakat dapat dikategorikan ke dalam definisi di atas, maka ia dapat ditetapkan sebagai sumber penetapan hukum atau mengakui kelangsungannya sepanjang ia tidak bertentangan dengan </w:t>
      </w:r>
      <w:r w:rsidRPr="00910CE3">
        <w:rPr>
          <w:rFonts w:ascii="Times New Roman" w:hAnsi="Times New Roman" w:cs="Times New Roman"/>
          <w:i/>
          <w:iCs/>
          <w:sz w:val="24"/>
          <w:szCs w:val="24"/>
        </w:rPr>
        <w:t>nash</w:t>
      </w:r>
      <w:r w:rsidRPr="00910CE3">
        <w:rPr>
          <w:rFonts w:ascii="Times New Roman" w:hAnsi="Times New Roman" w:cs="Times New Roman"/>
          <w:sz w:val="24"/>
          <w:szCs w:val="24"/>
        </w:rPr>
        <w:t xml:space="preserve"> dan jiwa syari’at. Dalam konteks ini kaidah mengatakan: “Adat kebiasaan dapat ditetapkan sebagai sumber hukum”.</w:t>
      </w:r>
      <w:r w:rsidRPr="00910CE3">
        <w:rPr>
          <w:rStyle w:val="FootnoteReference"/>
          <w:rFonts w:ascii="Times New Roman" w:hAnsi="Times New Roman" w:cs="Times New Roman"/>
          <w:sz w:val="24"/>
          <w:szCs w:val="24"/>
        </w:rPr>
        <w:footnoteReference w:id="305"/>
      </w:r>
      <w:r w:rsidRPr="00910CE3">
        <w:rPr>
          <w:rFonts w:ascii="Times New Roman" w:hAnsi="Times New Roman" w:cs="Times New Roman"/>
          <w:sz w:val="24"/>
          <w:szCs w:val="24"/>
        </w:rPr>
        <w:t xml:space="preserve"> Perlu dicatat bahwa adat kebiasaan adalah bagian dari kultur masyarakat, maka suatu waktu ia bisa berubah. Karena itu pula suatu ketetapan hukum yang didasarkan pada ‘</w:t>
      </w:r>
      <w:r w:rsidRPr="00910CE3">
        <w:rPr>
          <w:rFonts w:ascii="Times New Roman" w:hAnsi="Times New Roman" w:cs="Times New Roman"/>
          <w:i/>
          <w:iCs/>
          <w:sz w:val="24"/>
          <w:szCs w:val="24"/>
        </w:rPr>
        <w:t>urf shahih</w:t>
      </w:r>
      <w:r w:rsidRPr="00910CE3">
        <w:rPr>
          <w:rFonts w:ascii="Times New Roman" w:hAnsi="Times New Roman" w:cs="Times New Roman"/>
          <w:sz w:val="24"/>
          <w:szCs w:val="24"/>
        </w:rPr>
        <w:t xml:space="preserve"> bisa berubah dengan sebab berubahnya </w:t>
      </w:r>
      <w:r w:rsidRPr="00910CE3">
        <w:rPr>
          <w:rFonts w:ascii="Times New Roman" w:hAnsi="Times New Roman" w:cs="Times New Roman"/>
          <w:i/>
          <w:iCs/>
          <w:sz w:val="24"/>
          <w:szCs w:val="24"/>
        </w:rPr>
        <w:t>‘urf</w:t>
      </w:r>
      <w:r w:rsidRPr="00910CE3">
        <w:rPr>
          <w:rFonts w:ascii="Times New Roman" w:hAnsi="Times New Roman" w:cs="Times New Roman"/>
          <w:sz w:val="24"/>
          <w:szCs w:val="24"/>
        </w:rPr>
        <w:t xml:space="preserve"> yang menjadi sumber penetapan hukum tersebut.</w:t>
      </w:r>
      <w:r w:rsidRPr="00910CE3">
        <w:rPr>
          <w:rStyle w:val="FootnoteReference"/>
          <w:rFonts w:ascii="Times New Roman" w:hAnsi="Times New Roman" w:cs="Times New Roman"/>
          <w:sz w:val="24"/>
          <w:szCs w:val="24"/>
        </w:rPr>
        <w:footnoteReference w:id="306"/>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360" w:lineRule="auto"/>
        <w:ind w:left="450" w:firstLine="810"/>
        <w:jc w:val="both"/>
        <w:rPr>
          <w:rFonts w:ascii="Times New Roman" w:hAnsi="Times New Roman" w:cs="Times New Roman"/>
          <w:sz w:val="24"/>
          <w:szCs w:val="24"/>
        </w:rPr>
      </w:pPr>
    </w:p>
    <w:p w:rsidR="00343B61" w:rsidRPr="00910CE3" w:rsidRDefault="00343B61" w:rsidP="00343B61">
      <w:pPr>
        <w:pStyle w:val="ListParagraph"/>
        <w:autoSpaceDE w:val="0"/>
        <w:autoSpaceDN w:val="0"/>
        <w:adjustRightInd w:val="0"/>
        <w:spacing w:after="0" w:line="360" w:lineRule="auto"/>
        <w:ind w:left="540" w:hanging="90"/>
        <w:jc w:val="both"/>
        <w:rPr>
          <w:rFonts w:ascii="TimesNewArabic" w:hAnsi="TimesNewArabic" w:cs="TimesNewArabic"/>
          <w:sz w:val="25"/>
          <w:szCs w:val="25"/>
        </w:rPr>
      </w:pPr>
      <w:r>
        <w:rPr>
          <w:rFonts w:ascii="TimesNewArabic" w:hAnsi="TimesNewArabic" w:cs="TimesNewArabic"/>
          <w:sz w:val="24"/>
          <w:szCs w:val="24"/>
        </w:rPr>
        <w:t xml:space="preserve">6. </w:t>
      </w:r>
      <w:r w:rsidRPr="00910CE3">
        <w:rPr>
          <w:rFonts w:ascii="TimesNewArabic" w:hAnsi="TimesNewArabic" w:cs="TimesNewArabic"/>
          <w:sz w:val="24"/>
          <w:szCs w:val="24"/>
        </w:rPr>
        <w:t xml:space="preserve">Kaidah-Kaidah </w:t>
      </w:r>
      <w:r w:rsidRPr="00910CE3">
        <w:rPr>
          <w:rFonts w:ascii="TimesNewArabic" w:hAnsi="TimesNewArabic" w:cs="TimesNewArabic"/>
          <w:sz w:val="25"/>
          <w:szCs w:val="25"/>
        </w:rPr>
        <w:t>fiqhiyah  (</w:t>
      </w:r>
      <w:r w:rsidRPr="00910CE3">
        <w:rPr>
          <w:rFonts w:ascii="TimesNewArabic" w:hAnsi="TimesNewArabic" w:cs="TimesNewArabic"/>
          <w:i/>
          <w:iCs/>
          <w:sz w:val="25"/>
          <w:szCs w:val="25"/>
        </w:rPr>
        <w:t>Qawā‘id  fiqhiyyah</w:t>
      </w:r>
      <w:r w:rsidRPr="00910CE3">
        <w:rPr>
          <w:rFonts w:ascii="TimesNewArabic" w:hAnsi="TimesNewArabic" w:cs="TimesNewArabic"/>
          <w:sz w:val="25"/>
          <w:szCs w:val="25"/>
        </w:rPr>
        <w:t>)</w:t>
      </w:r>
    </w:p>
    <w:p w:rsidR="00343B61" w:rsidRPr="00910CE3" w:rsidRDefault="00343B61" w:rsidP="00343B61">
      <w:pPr>
        <w:pStyle w:val="ListParagraph"/>
        <w:autoSpaceDE w:val="0"/>
        <w:autoSpaceDN w:val="0"/>
        <w:adjustRightInd w:val="0"/>
        <w:spacing w:after="0" w:line="360" w:lineRule="auto"/>
        <w:ind w:left="450" w:firstLine="630"/>
        <w:jc w:val="both"/>
        <w:rPr>
          <w:rFonts w:ascii="TimesNewArabic" w:hAnsi="TimesNewArabic" w:cs="TimesNewArabic"/>
          <w:sz w:val="25"/>
          <w:szCs w:val="25"/>
        </w:rPr>
      </w:pPr>
      <w:r w:rsidRPr="00910CE3">
        <w:rPr>
          <w:rFonts w:ascii="TimesNewArabic" w:hAnsi="TimesNewArabic" w:cs="TimesNewArabic"/>
          <w:i/>
          <w:iCs/>
          <w:sz w:val="25"/>
          <w:szCs w:val="25"/>
        </w:rPr>
        <w:t>Qawā‘id fiqhiyyah</w:t>
      </w:r>
      <w:r w:rsidRPr="00910CE3">
        <w:rPr>
          <w:rFonts w:ascii="TimesNewArabic" w:hAnsi="TimesNewArabic" w:cs="TimesNewArabic"/>
          <w:sz w:val="25"/>
          <w:szCs w:val="25"/>
        </w:rPr>
        <w:t xml:space="preserve"> terbentuk dari dua suku kata, yaitu kata qawā‘id dan fiqhiyyah, yang masing-masing memiliki pengertian tersendiri. </w:t>
      </w:r>
      <w:r w:rsidRPr="00910CE3">
        <w:rPr>
          <w:rFonts w:ascii="TimesNewArabic" w:hAnsi="TimesNewArabic" w:cs="TimesNewArabic"/>
          <w:i/>
          <w:iCs/>
          <w:sz w:val="25"/>
          <w:szCs w:val="25"/>
        </w:rPr>
        <w:t>Qawā‘id</w:t>
      </w:r>
      <w:r w:rsidRPr="00910CE3">
        <w:rPr>
          <w:rFonts w:ascii="TimesNewArabic" w:hAnsi="TimesNewArabic" w:cs="TimesNewArabic"/>
          <w:sz w:val="25"/>
          <w:szCs w:val="25"/>
        </w:rPr>
        <w:t xml:space="preserve"> merupakan bentuk jamak (plural) dari </w:t>
      </w:r>
      <w:r w:rsidRPr="00910CE3">
        <w:rPr>
          <w:rFonts w:ascii="TimesNewArabic" w:hAnsi="TimesNewArabic" w:cs="TimesNewArabic"/>
          <w:i/>
          <w:iCs/>
          <w:sz w:val="25"/>
          <w:szCs w:val="25"/>
        </w:rPr>
        <w:t>qā‘idah</w:t>
      </w:r>
      <w:r w:rsidRPr="00910CE3">
        <w:rPr>
          <w:rFonts w:ascii="TimesNewArabic" w:hAnsi="TimesNewArabic" w:cs="TimesNewArabic"/>
          <w:sz w:val="25"/>
          <w:szCs w:val="25"/>
        </w:rPr>
        <w:t xml:space="preserve"> yang secara etimologi (bahasa) berarti dasar-dasar atau fondasi sesuatu,</w:t>
      </w:r>
      <w:r w:rsidRPr="00910CE3">
        <w:rPr>
          <w:rStyle w:val="FootnoteReference"/>
          <w:rFonts w:ascii="TimesNewArabic" w:hAnsi="TimesNewArabic" w:cs="TimesNewArabic"/>
          <w:sz w:val="25"/>
          <w:szCs w:val="25"/>
        </w:rPr>
        <w:footnoteReference w:id="307"/>
      </w:r>
      <w:r w:rsidRPr="00910CE3">
        <w:rPr>
          <w:rFonts w:ascii="TimesNewArabic" w:hAnsi="TimesNewArabic" w:cs="TimesNewArabic"/>
          <w:sz w:val="25"/>
          <w:szCs w:val="25"/>
        </w:rPr>
        <w:t xml:space="preserve"> baik yang kongkrit, materi atau inderawi (hissi) seperti </w:t>
      </w:r>
      <w:r w:rsidRPr="00910CE3">
        <w:rPr>
          <w:rFonts w:ascii="TimesNewArabic" w:hAnsi="TimesNewArabic" w:cs="TimesNewArabic"/>
          <w:i/>
          <w:iCs/>
          <w:sz w:val="25"/>
          <w:szCs w:val="25"/>
        </w:rPr>
        <w:t>qawā‘id al-bait</w:t>
      </w:r>
      <w:r w:rsidRPr="00910CE3">
        <w:rPr>
          <w:rFonts w:ascii="TimesNewArabic" w:hAnsi="TimesNewArabic" w:cs="TimesNewArabic"/>
          <w:sz w:val="25"/>
          <w:szCs w:val="25"/>
        </w:rPr>
        <w:t xml:space="preserve"> (fondasi rumah), maupun yang abstrak, non-materi atau non-inderawi (</w:t>
      </w:r>
      <w:r w:rsidRPr="00910CE3">
        <w:rPr>
          <w:rFonts w:ascii="TimesNewArabic" w:hAnsi="TimesNewArabic" w:cs="TimesNewArabic"/>
          <w:i/>
          <w:iCs/>
          <w:sz w:val="25"/>
          <w:szCs w:val="25"/>
        </w:rPr>
        <w:t>ma‘nawi</w:t>
      </w:r>
      <w:r w:rsidRPr="00910CE3">
        <w:rPr>
          <w:rFonts w:ascii="TimesNewArabic" w:hAnsi="TimesNewArabic" w:cs="TimesNewArabic"/>
          <w:sz w:val="25"/>
          <w:szCs w:val="25"/>
        </w:rPr>
        <w:t xml:space="preserve">) seperti </w:t>
      </w:r>
      <w:r w:rsidRPr="00910CE3">
        <w:rPr>
          <w:rFonts w:ascii="TimesNewArabic" w:hAnsi="TimesNewArabic" w:cs="TimesNewArabic"/>
          <w:i/>
          <w:iCs/>
          <w:sz w:val="25"/>
          <w:szCs w:val="25"/>
        </w:rPr>
        <w:t>qawā‘id a-dīn</w:t>
      </w:r>
      <w:r w:rsidRPr="00910CE3">
        <w:rPr>
          <w:rFonts w:ascii="TimesNewArabic" w:hAnsi="TimesNewArabic" w:cs="TimesNewArabic"/>
          <w:sz w:val="25"/>
          <w:szCs w:val="25"/>
        </w:rPr>
        <w:t xml:space="preserve"> (dasar-dasar agama).</w:t>
      </w:r>
      <w:r w:rsidRPr="00910CE3">
        <w:rPr>
          <w:rStyle w:val="FootnoteReference"/>
          <w:rFonts w:ascii="TimesNewArabic" w:hAnsi="TimesNewArabic" w:cs="TimesNewArabic"/>
          <w:sz w:val="25"/>
          <w:szCs w:val="25"/>
        </w:rPr>
        <w:footnoteReference w:id="308"/>
      </w: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i/>
          <w:iCs/>
          <w:sz w:val="24"/>
          <w:szCs w:val="24"/>
        </w:rPr>
        <w:t>Qaw</w:t>
      </w:r>
      <w:r w:rsidRPr="00910CE3">
        <w:rPr>
          <w:rFonts w:ascii="TimesNewRoman,Italic" w:hAnsi="Times New Roman" w:cs="TimesNewRoman,Italic" w:hint="cs"/>
          <w:i/>
          <w:iCs/>
          <w:sz w:val="24"/>
          <w:szCs w:val="24"/>
        </w:rPr>
        <w:t>ā</w:t>
      </w:r>
      <w:r w:rsidRPr="00910CE3">
        <w:rPr>
          <w:rFonts w:ascii="Arial,Italic" w:hAnsi="Times New Roman" w:cs="Arial,Italic" w:hint="cs"/>
          <w:i/>
          <w:iCs/>
          <w:sz w:val="24"/>
          <w:szCs w:val="24"/>
        </w:rPr>
        <w:t>‘</w:t>
      </w:r>
      <w:r w:rsidRPr="00910CE3">
        <w:rPr>
          <w:rFonts w:ascii="Times New Roman" w:hAnsi="Times New Roman" w:cs="Times New Roman"/>
          <w:i/>
          <w:iCs/>
          <w:sz w:val="24"/>
          <w:szCs w:val="24"/>
        </w:rPr>
        <w:t xml:space="preserve">id </w:t>
      </w:r>
      <w:r w:rsidRPr="00910CE3">
        <w:rPr>
          <w:rFonts w:ascii="Times New Roman" w:hAnsi="Times New Roman" w:cs="Times New Roman"/>
          <w:sz w:val="24"/>
          <w:szCs w:val="24"/>
        </w:rPr>
        <w:t>yang berarti dasar-dasar (fondasi) yang bersifat materi terdapat dalam firman Allah SWT yaitu:</w:t>
      </w:r>
    </w:p>
    <w:p w:rsidR="00343B61" w:rsidRPr="00910CE3" w:rsidRDefault="00343B61" w:rsidP="00343B61">
      <w:pPr>
        <w:autoSpaceDE w:val="0"/>
        <w:autoSpaceDN w:val="0"/>
        <w:bidi/>
        <w:adjustRightInd w:val="0"/>
        <w:spacing w:after="0" w:line="240" w:lineRule="auto"/>
        <w:rPr>
          <w:rFonts w:ascii="TraditionalArabic" w:hAnsi="Times New Roman" w:cs="TraditionalArabic"/>
          <w:sz w:val="40"/>
          <w:szCs w:val="40"/>
          <w:rtl/>
        </w:rPr>
      </w:pPr>
      <w:r w:rsidRPr="00910CE3">
        <w:rPr>
          <w:sz w:val="28"/>
          <w:szCs w:val="28"/>
        </w:rPr>
        <w:lastRenderedPageBreak/>
        <w:sym w:font="HQPB4" w:char="F0F8"/>
      </w:r>
      <w:r w:rsidRPr="00910CE3">
        <w:rPr>
          <w:sz w:val="28"/>
          <w:szCs w:val="28"/>
        </w:rPr>
        <w:sym w:font="HQPB1" w:char="F08C"/>
      </w:r>
      <w:r w:rsidRPr="00910CE3">
        <w:rPr>
          <w:sz w:val="28"/>
          <w:szCs w:val="28"/>
        </w:rPr>
        <w:sym w:font="HQPB4" w:char="F0CE"/>
      </w:r>
      <w:r w:rsidRPr="00910CE3">
        <w:rPr>
          <w:sz w:val="28"/>
          <w:szCs w:val="28"/>
        </w:rPr>
        <w:sym w:font="HQPB1" w:char="F029"/>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4" w:char="F0DF"/>
      </w:r>
      <w:r w:rsidRPr="00910CE3">
        <w:rPr>
          <w:sz w:val="28"/>
          <w:szCs w:val="28"/>
        </w:rPr>
        <w:sym w:font="HQPB1" w:char="F0EC"/>
      </w:r>
      <w:r w:rsidRPr="00910CE3">
        <w:rPr>
          <w:sz w:val="28"/>
          <w:szCs w:val="28"/>
        </w:rPr>
        <w:sym w:font="HQPB5" w:char="F073"/>
      </w:r>
      <w:r w:rsidRPr="00910CE3">
        <w:rPr>
          <w:sz w:val="28"/>
          <w:szCs w:val="28"/>
        </w:rPr>
        <w:sym w:font="HQPB1" w:char="F0F9"/>
      </w:r>
      <w:r w:rsidRPr="00910CE3">
        <w:rPr>
          <w:sz w:val="28"/>
          <w:szCs w:val="28"/>
        </w:rPr>
        <w:sym w:font="HQPB4" w:char="F0F6"/>
      </w:r>
      <w:r w:rsidRPr="00910CE3">
        <w:rPr>
          <w:sz w:val="28"/>
          <w:szCs w:val="28"/>
        </w:rPr>
        <w:sym w:font="HQPB1" w:char="F08D"/>
      </w:r>
      <w:r w:rsidRPr="00910CE3">
        <w:rPr>
          <w:sz w:val="28"/>
          <w:szCs w:val="28"/>
        </w:rPr>
        <w:sym w:font="HQPB5" w:char="F074"/>
      </w:r>
      <w:r w:rsidRPr="00910CE3">
        <w:rPr>
          <w:sz w:val="28"/>
          <w:szCs w:val="28"/>
        </w:rPr>
        <w:sym w:font="HQPB2" w:char="F083"/>
      </w:r>
      <w:r w:rsidRPr="00910CE3">
        <w:rPr>
          <w:rFonts w:ascii="(normal text)" w:hAnsi="(normal text)"/>
          <w:rtl/>
        </w:rPr>
        <w:t xml:space="preserve"> </w:t>
      </w:r>
      <w:r w:rsidRPr="00910CE3">
        <w:rPr>
          <w:sz w:val="28"/>
          <w:szCs w:val="28"/>
        </w:rPr>
        <w:sym w:font="HQPB4" w:char="F0DE"/>
      </w:r>
      <w:r w:rsidRPr="00910CE3">
        <w:rPr>
          <w:sz w:val="28"/>
          <w:szCs w:val="28"/>
        </w:rPr>
        <w:sym w:font="HQPB2" w:char="F04F"/>
      </w:r>
      <w:r w:rsidRPr="00910CE3">
        <w:rPr>
          <w:sz w:val="28"/>
          <w:szCs w:val="28"/>
        </w:rPr>
        <w:sym w:font="HQPB2" w:char="F0BF"/>
      </w:r>
      <w:r w:rsidRPr="00910CE3">
        <w:rPr>
          <w:sz w:val="28"/>
          <w:szCs w:val="28"/>
        </w:rPr>
        <w:sym w:font="HQPB4" w:char="F0CF"/>
      </w:r>
      <w:r w:rsidRPr="00910CE3">
        <w:rPr>
          <w:sz w:val="28"/>
          <w:szCs w:val="28"/>
        </w:rPr>
        <w:sym w:font="HQPB2" w:char="F064"/>
      </w:r>
      <w:r w:rsidRPr="00910CE3">
        <w:rPr>
          <w:sz w:val="28"/>
          <w:szCs w:val="28"/>
        </w:rPr>
        <w:sym w:font="HQPB2" w:char="F0BA"/>
      </w:r>
      <w:r w:rsidRPr="00910CE3">
        <w:rPr>
          <w:sz w:val="28"/>
          <w:szCs w:val="28"/>
        </w:rPr>
        <w:sym w:font="HQPB5" w:char="F074"/>
      </w:r>
      <w:r w:rsidRPr="00910CE3">
        <w:rPr>
          <w:sz w:val="28"/>
          <w:szCs w:val="28"/>
        </w:rPr>
        <w:sym w:font="HQPB1" w:char="F08D"/>
      </w:r>
      <w:r w:rsidRPr="00910CE3">
        <w:rPr>
          <w:sz w:val="28"/>
          <w:szCs w:val="28"/>
        </w:rPr>
        <w:sym w:font="HQPB4" w:char="F0F6"/>
      </w:r>
      <w:r w:rsidRPr="00910CE3">
        <w:rPr>
          <w:sz w:val="28"/>
          <w:szCs w:val="28"/>
        </w:rPr>
        <w:sym w:font="HQPB1" w:char="F02F"/>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910CE3">
        <w:rPr>
          <w:sz w:val="28"/>
          <w:szCs w:val="28"/>
        </w:rPr>
        <w:sym w:font="HQPB5" w:char="F079"/>
      </w:r>
      <w:r w:rsidRPr="00910CE3">
        <w:rPr>
          <w:sz w:val="28"/>
          <w:szCs w:val="28"/>
        </w:rPr>
        <w:sym w:font="HQPB1" w:char="F089"/>
      </w:r>
      <w:r w:rsidRPr="00910CE3">
        <w:rPr>
          <w:sz w:val="28"/>
          <w:szCs w:val="28"/>
        </w:rPr>
        <w:sym w:font="HQPB4" w:char="F0CF"/>
      </w:r>
      <w:r w:rsidRPr="00910CE3">
        <w:rPr>
          <w:sz w:val="28"/>
          <w:szCs w:val="28"/>
        </w:rPr>
        <w:sym w:font="HQPB1" w:char="F0E3"/>
      </w:r>
      <w:r w:rsidRPr="00910CE3">
        <w:rPr>
          <w:sz w:val="28"/>
          <w:szCs w:val="28"/>
        </w:rPr>
        <w:sym w:font="HQPB1" w:char="F023"/>
      </w:r>
      <w:r w:rsidRPr="00910CE3">
        <w:rPr>
          <w:sz w:val="28"/>
          <w:szCs w:val="28"/>
        </w:rPr>
        <w:sym w:font="HQPB5" w:char="F075"/>
      </w:r>
      <w:r w:rsidRPr="00910CE3">
        <w:rPr>
          <w:sz w:val="28"/>
          <w:szCs w:val="28"/>
        </w:rPr>
        <w:sym w:font="HQPB2" w:char="F071"/>
      </w:r>
      <w:r w:rsidRPr="00910CE3">
        <w:rPr>
          <w:sz w:val="28"/>
          <w:szCs w:val="28"/>
        </w:rPr>
        <w:sym w:font="HQPB5" w:char="F073"/>
      </w:r>
      <w:r w:rsidRPr="00910CE3">
        <w:rPr>
          <w:sz w:val="28"/>
          <w:szCs w:val="28"/>
        </w:rPr>
        <w:sym w:font="HQPB2" w:char="F029"/>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5" w:char="F07A"/>
      </w:r>
      <w:r w:rsidRPr="00910CE3">
        <w:rPr>
          <w:sz w:val="28"/>
          <w:szCs w:val="28"/>
        </w:rPr>
        <w:sym w:font="HQPB2" w:char="F060"/>
      </w:r>
      <w:r w:rsidRPr="00910CE3">
        <w:rPr>
          <w:sz w:val="28"/>
          <w:szCs w:val="28"/>
        </w:rPr>
        <w:sym w:font="HQPB4" w:char="F0CF"/>
      </w:r>
      <w:r w:rsidRPr="00910CE3">
        <w:rPr>
          <w:sz w:val="28"/>
          <w:szCs w:val="28"/>
        </w:rPr>
        <w:sym w:font="HQPB2" w:char="F042"/>
      </w:r>
      <w:r w:rsidRPr="00910CE3">
        <w:rPr>
          <w:rFonts w:ascii="(normal text)" w:hAnsi="(normal text)"/>
          <w:rtl/>
        </w:rPr>
        <w:t xml:space="preserve"> </w:t>
      </w:r>
      <w:r w:rsidRPr="00910CE3">
        <w:rPr>
          <w:sz w:val="28"/>
          <w:szCs w:val="28"/>
        </w:rPr>
        <w:sym w:font="HQPB4" w:char="F0CF"/>
      </w:r>
      <w:r w:rsidRPr="00910CE3">
        <w:rPr>
          <w:sz w:val="28"/>
          <w:szCs w:val="28"/>
        </w:rPr>
        <w:sym w:font="HQPB1" w:char="F04D"/>
      </w:r>
      <w:r w:rsidRPr="00910CE3">
        <w:rPr>
          <w:sz w:val="28"/>
          <w:szCs w:val="28"/>
        </w:rPr>
        <w:sym w:font="HQPB4" w:char="F0F8"/>
      </w:r>
      <w:r w:rsidRPr="00910CE3">
        <w:rPr>
          <w:sz w:val="28"/>
          <w:szCs w:val="28"/>
        </w:rPr>
        <w:sym w:font="HQPB2" w:char="F08F"/>
      </w:r>
      <w:r w:rsidRPr="00910CE3">
        <w:rPr>
          <w:sz w:val="28"/>
          <w:szCs w:val="28"/>
        </w:rPr>
        <w:sym w:font="HQPB5" w:char="F074"/>
      </w:r>
      <w:r w:rsidRPr="00910CE3">
        <w:rPr>
          <w:sz w:val="28"/>
          <w:szCs w:val="28"/>
        </w:rPr>
        <w:sym w:font="HQPB1" w:char="F037"/>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4" w:char="F0E3"/>
      </w:r>
      <w:r w:rsidRPr="00910CE3">
        <w:rPr>
          <w:sz w:val="28"/>
          <w:szCs w:val="28"/>
        </w:rPr>
        <w:sym w:font="HQPB2" w:char="F040"/>
      </w:r>
      <w:r w:rsidRPr="00910CE3">
        <w:rPr>
          <w:sz w:val="28"/>
          <w:szCs w:val="28"/>
        </w:rPr>
        <w:sym w:font="HQPB2" w:char="F08A"/>
      </w:r>
      <w:r w:rsidRPr="00910CE3">
        <w:rPr>
          <w:sz w:val="28"/>
          <w:szCs w:val="28"/>
        </w:rPr>
        <w:sym w:font="HQPB4" w:char="F0CF"/>
      </w:r>
      <w:r w:rsidRPr="00910CE3">
        <w:rPr>
          <w:sz w:val="28"/>
          <w:szCs w:val="28"/>
        </w:rPr>
        <w:sym w:font="HQPB1" w:char="F0E8"/>
      </w:r>
      <w:r w:rsidRPr="00910CE3">
        <w:rPr>
          <w:sz w:val="28"/>
          <w:szCs w:val="28"/>
        </w:rPr>
        <w:sym w:font="HQPB2" w:char="F0BB"/>
      </w:r>
      <w:r w:rsidRPr="00910CE3">
        <w:rPr>
          <w:sz w:val="28"/>
          <w:szCs w:val="28"/>
        </w:rPr>
        <w:sym w:font="HQPB5" w:char="F079"/>
      </w:r>
      <w:r w:rsidRPr="00910CE3">
        <w:rPr>
          <w:sz w:val="28"/>
          <w:szCs w:val="28"/>
        </w:rPr>
        <w:sym w:font="HQPB2" w:char="F04A"/>
      </w:r>
      <w:r w:rsidRPr="00910CE3">
        <w:rPr>
          <w:sz w:val="28"/>
          <w:szCs w:val="28"/>
        </w:rPr>
        <w:sym w:font="HQPB4" w:char="F0F3"/>
      </w:r>
      <w:r w:rsidRPr="00910CE3">
        <w:rPr>
          <w:sz w:val="28"/>
          <w:szCs w:val="28"/>
        </w:rPr>
        <w:sym w:font="HQPB1" w:char="F099"/>
      </w:r>
      <w:r w:rsidRPr="00910CE3">
        <w:rPr>
          <w:sz w:val="28"/>
          <w:szCs w:val="28"/>
        </w:rPr>
        <w:sym w:font="HQPB4" w:char="F0CE"/>
      </w:r>
      <w:r w:rsidRPr="00910CE3">
        <w:rPr>
          <w:sz w:val="28"/>
          <w:szCs w:val="28"/>
        </w:rPr>
        <w:sym w:font="HQPB1" w:char="F029"/>
      </w:r>
      <w:r w:rsidRPr="00910CE3">
        <w:rPr>
          <w:sz w:val="28"/>
          <w:szCs w:val="28"/>
        </w:rPr>
        <w:sym w:font="HQPB5" w:char="F075"/>
      </w:r>
      <w:r w:rsidRPr="00910CE3">
        <w:rPr>
          <w:sz w:val="28"/>
          <w:szCs w:val="28"/>
        </w:rPr>
        <w:sym w:font="HQPB2" w:char="F072"/>
      </w:r>
      <w:r w:rsidRPr="00910CE3">
        <w:rPr>
          <w:rFonts w:ascii="(normal text)" w:hAnsi="(normal text)"/>
          <w:rtl/>
        </w:rPr>
        <w:t xml:space="preserve"> </w:t>
      </w:r>
      <w:r w:rsidRPr="00910CE3">
        <w:rPr>
          <w:sz w:val="28"/>
          <w:szCs w:val="28"/>
        </w:rPr>
        <w:sym w:font="HQPB1" w:char="F024"/>
      </w:r>
      <w:r w:rsidRPr="00910CE3">
        <w:rPr>
          <w:sz w:val="28"/>
          <w:szCs w:val="28"/>
        </w:rPr>
        <w:sym w:font="HQPB5" w:char="F075"/>
      </w:r>
      <w:r w:rsidRPr="00910CE3">
        <w:rPr>
          <w:sz w:val="28"/>
          <w:szCs w:val="28"/>
        </w:rPr>
        <w:sym w:font="HQPB2" w:char="F05A"/>
      </w:r>
      <w:r w:rsidRPr="00910CE3">
        <w:rPr>
          <w:sz w:val="28"/>
          <w:szCs w:val="28"/>
        </w:rPr>
        <w:sym w:font="HQPB4" w:char="F0AD"/>
      </w:r>
      <w:r w:rsidRPr="00910CE3">
        <w:rPr>
          <w:sz w:val="28"/>
          <w:szCs w:val="28"/>
        </w:rPr>
        <w:sym w:font="HQPB1" w:char="F02F"/>
      </w:r>
      <w:r w:rsidRPr="00910CE3">
        <w:rPr>
          <w:sz w:val="28"/>
          <w:szCs w:val="28"/>
        </w:rPr>
        <w:sym w:font="HQPB5" w:char="F075"/>
      </w:r>
      <w:r w:rsidRPr="00910CE3">
        <w:rPr>
          <w:sz w:val="28"/>
          <w:szCs w:val="28"/>
        </w:rPr>
        <w:sym w:font="HQPB1" w:char="F091"/>
      </w:r>
      <w:r w:rsidRPr="00910CE3">
        <w:rPr>
          <w:rFonts w:ascii="(normal text)" w:hAnsi="(normal text)"/>
          <w:rtl/>
        </w:rPr>
        <w:t xml:space="preserve"> </w:t>
      </w:r>
      <w:r w:rsidRPr="00910CE3">
        <w:rPr>
          <w:sz w:val="28"/>
          <w:szCs w:val="28"/>
        </w:rPr>
        <w:sym w:font="HQPB4" w:char="F0F6"/>
      </w:r>
      <w:r w:rsidRPr="00910CE3">
        <w:rPr>
          <w:sz w:val="28"/>
          <w:szCs w:val="28"/>
        </w:rPr>
        <w:sym w:font="HQPB2" w:char="F040"/>
      </w:r>
      <w:r w:rsidRPr="00910CE3">
        <w:rPr>
          <w:sz w:val="28"/>
          <w:szCs w:val="28"/>
        </w:rPr>
        <w:sym w:font="HQPB4" w:char="F0AC"/>
      </w:r>
      <w:r w:rsidRPr="00910CE3">
        <w:rPr>
          <w:sz w:val="28"/>
          <w:szCs w:val="28"/>
        </w:rPr>
        <w:sym w:font="HQPB1" w:char="F037"/>
      </w:r>
      <w:r w:rsidRPr="00910CE3">
        <w:rPr>
          <w:sz w:val="28"/>
          <w:szCs w:val="28"/>
        </w:rPr>
        <w:sym w:font="HQPB5" w:char="F073"/>
      </w:r>
      <w:r w:rsidRPr="00910CE3">
        <w:rPr>
          <w:sz w:val="28"/>
          <w:szCs w:val="28"/>
        </w:rPr>
        <w:sym w:font="HQPB2" w:char="F029"/>
      </w:r>
      <w:r w:rsidRPr="00910CE3">
        <w:rPr>
          <w:sz w:val="28"/>
          <w:szCs w:val="28"/>
        </w:rPr>
        <w:sym w:font="HQPB5" w:char="F073"/>
      </w:r>
      <w:r w:rsidRPr="00910CE3">
        <w:rPr>
          <w:sz w:val="28"/>
          <w:szCs w:val="28"/>
        </w:rPr>
        <w:sym w:font="HQPB1" w:char="F03F"/>
      </w:r>
      <w:r w:rsidRPr="00910CE3">
        <w:rPr>
          <w:rFonts w:ascii="(normal text)" w:hAnsi="(normal text)"/>
          <w:rtl/>
        </w:rPr>
        <w:t xml:space="preserve"> </w:t>
      </w:r>
      <w:r w:rsidRPr="00910CE3">
        <w:rPr>
          <w:sz w:val="28"/>
          <w:szCs w:val="28"/>
        </w:rPr>
        <w:sym w:font="HQPB5" w:char="F021"/>
      </w:r>
      <w:r w:rsidRPr="00910CE3">
        <w:rPr>
          <w:sz w:val="28"/>
          <w:szCs w:val="28"/>
        </w:rPr>
        <w:sym w:font="HQPB1" w:char="F024"/>
      </w:r>
      <w:r w:rsidRPr="00910CE3">
        <w:rPr>
          <w:sz w:val="28"/>
          <w:szCs w:val="28"/>
        </w:rPr>
        <w:sym w:font="HQPB4" w:char="F0A8"/>
      </w:r>
      <w:r w:rsidRPr="00910CE3">
        <w:rPr>
          <w:sz w:val="28"/>
          <w:szCs w:val="28"/>
        </w:rPr>
        <w:sym w:font="HQPB2" w:char="F059"/>
      </w:r>
      <w:r w:rsidRPr="00910CE3">
        <w:rPr>
          <w:sz w:val="28"/>
          <w:szCs w:val="28"/>
        </w:rPr>
        <w:sym w:font="HQPB4" w:char="F0CF"/>
      </w:r>
      <w:r w:rsidRPr="00910CE3">
        <w:rPr>
          <w:sz w:val="28"/>
          <w:szCs w:val="28"/>
        </w:rPr>
        <w:sym w:font="HQPB2" w:char="F042"/>
      </w:r>
      <w:r w:rsidRPr="00910CE3">
        <w:rPr>
          <w:rFonts w:ascii="(normal text)" w:hAnsi="(normal text)"/>
          <w:rtl/>
        </w:rPr>
        <w:t xml:space="preserve"> </w:t>
      </w:r>
      <w:r w:rsidRPr="00910CE3">
        <w:rPr>
          <w:sz w:val="28"/>
          <w:szCs w:val="28"/>
        </w:rPr>
        <w:sym w:font="HQPB4" w:char="F028"/>
      </w:r>
      <w:r w:rsidRPr="00910CE3">
        <w:rPr>
          <w:rFonts w:ascii="(normal text)" w:hAnsi="(normal text)"/>
          <w:rtl/>
        </w:rPr>
        <w:t xml:space="preserve"> </w:t>
      </w:r>
      <w:r w:rsidRPr="00910CE3">
        <w:rPr>
          <w:sz w:val="28"/>
          <w:szCs w:val="28"/>
        </w:rPr>
        <w:sym w:font="HQPB5" w:char="F079"/>
      </w:r>
      <w:r w:rsidRPr="00910CE3">
        <w:rPr>
          <w:sz w:val="28"/>
          <w:szCs w:val="28"/>
        </w:rPr>
        <w:sym w:font="HQPB2" w:char="F037"/>
      </w:r>
      <w:r w:rsidRPr="00910CE3">
        <w:rPr>
          <w:sz w:val="28"/>
          <w:szCs w:val="28"/>
        </w:rPr>
        <w:sym w:font="HQPB4" w:char="F0A8"/>
      </w:r>
      <w:r w:rsidRPr="00910CE3">
        <w:rPr>
          <w:sz w:val="28"/>
          <w:szCs w:val="28"/>
        </w:rPr>
        <w:sym w:font="HQPB2" w:char="F052"/>
      </w:r>
      <w:r w:rsidRPr="00910CE3">
        <w:rPr>
          <w:sz w:val="28"/>
          <w:szCs w:val="28"/>
        </w:rPr>
        <w:sym w:font="HQPB4" w:char="F0CE"/>
      </w:r>
      <w:r w:rsidRPr="00910CE3">
        <w:rPr>
          <w:sz w:val="28"/>
          <w:szCs w:val="28"/>
        </w:rPr>
        <w:sym w:font="HQPB1" w:char="F029"/>
      </w:r>
      <w:r w:rsidRPr="00910CE3">
        <w:rPr>
          <w:rFonts w:ascii="(normal text)" w:hAnsi="(normal text)"/>
          <w:rtl/>
        </w:rPr>
        <w:t xml:space="preserve"> </w:t>
      </w:r>
      <w:r w:rsidRPr="00910CE3">
        <w:rPr>
          <w:sz w:val="28"/>
          <w:szCs w:val="28"/>
        </w:rPr>
        <w:sym w:font="HQPB5" w:char="F07C"/>
      </w:r>
      <w:r w:rsidRPr="00910CE3">
        <w:rPr>
          <w:sz w:val="28"/>
          <w:szCs w:val="28"/>
        </w:rPr>
        <w:sym w:font="HQPB1" w:char="F04D"/>
      </w:r>
      <w:r w:rsidRPr="00910CE3">
        <w:rPr>
          <w:sz w:val="28"/>
          <w:szCs w:val="28"/>
        </w:rPr>
        <w:sym w:font="HQPB2" w:char="F052"/>
      </w:r>
      <w:r w:rsidRPr="00910CE3">
        <w:rPr>
          <w:sz w:val="28"/>
          <w:szCs w:val="28"/>
        </w:rPr>
        <w:sym w:font="HQPB5" w:char="F072"/>
      </w:r>
      <w:r w:rsidRPr="00910CE3">
        <w:rPr>
          <w:sz w:val="28"/>
          <w:szCs w:val="28"/>
        </w:rPr>
        <w:sym w:font="HQPB1" w:char="F026"/>
      </w:r>
      <w:r w:rsidRPr="00910CE3">
        <w:rPr>
          <w:rFonts w:ascii="(normal text)" w:hAnsi="(normal text)"/>
          <w:rtl/>
        </w:rPr>
        <w:t xml:space="preserve"> </w:t>
      </w:r>
      <w:r w:rsidRPr="00910CE3">
        <w:rPr>
          <w:sz w:val="28"/>
          <w:szCs w:val="28"/>
        </w:rPr>
        <w:sym w:font="HQPB4" w:char="F0DF"/>
      </w:r>
      <w:r w:rsidRPr="00910CE3">
        <w:rPr>
          <w:sz w:val="28"/>
          <w:szCs w:val="28"/>
        </w:rPr>
        <w:sym w:font="HQPB1" w:char="F0EC"/>
      </w:r>
      <w:r w:rsidRPr="00910CE3">
        <w:rPr>
          <w:sz w:val="28"/>
          <w:szCs w:val="28"/>
        </w:rPr>
        <w:sym w:font="HQPB2" w:char="F08A"/>
      </w:r>
      <w:r w:rsidRPr="00910CE3">
        <w:rPr>
          <w:sz w:val="28"/>
          <w:szCs w:val="28"/>
        </w:rPr>
        <w:sym w:font="HQPB4" w:char="F0CF"/>
      </w:r>
      <w:r w:rsidRPr="00910CE3">
        <w:rPr>
          <w:sz w:val="28"/>
          <w:szCs w:val="28"/>
        </w:rPr>
        <w:sym w:font="HQPB2" w:char="F04A"/>
      </w:r>
      <w:r w:rsidRPr="00910CE3">
        <w:rPr>
          <w:sz w:val="28"/>
          <w:szCs w:val="28"/>
        </w:rPr>
        <w:sym w:font="HQPB4" w:char="F0A1"/>
      </w:r>
      <w:r w:rsidRPr="00910CE3">
        <w:rPr>
          <w:sz w:val="28"/>
          <w:szCs w:val="28"/>
        </w:rPr>
        <w:sym w:font="HQPB1" w:char="F0A1"/>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4" w:char="F0DE"/>
      </w:r>
      <w:r w:rsidRPr="00910CE3">
        <w:rPr>
          <w:sz w:val="28"/>
          <w:szCs w:val="28"/>
        </w:rPr>
        <w:sym w:font="HQPB2" w:char="F04F"/>
      </w:r>
      <w:r w:rsidRPr="00910CE3">
        <w:rPr>
          <w:sz w:val="28"/>
          <w:szCs w:val="28"/>
        </w:rPr>
        <w:sym w:font="HQPB2" w:char="F08A"/>
      </w:r>
      <w:r w:rsidRPr="00910CE3">
        <w:rPr>
          <w:sz w:val="28"/>
          <w:szCs w:val="28"/>
        </w:rPr>
        <w:sym w:font="HQPB4" w:char="F0CE"/>
      </w:r>
      <w:r w:rsidRPr="00910CE3">
        <w:rPr>
          <w:sz w:val="28"/>
          <w:szCs w:val="28"/>
        </w:rPr>
        <w:sym w:font="HQPB2" w:char="F03D"/>
      </w:r>
      <w:r w:rsidRPr="00910CE3">
        <w:rPr>
          <w:sz w:val="28"/>
          <w:szCs w:val="28"/>
        </w:rPr>
        <w:sym w:font="HQPB5" w:char="F079"/>
      </w:r>
      <w:r w:rsidRPr="00910CE3">
        <w:rPr>
          <w:sz w:val="28"/>
          <w:szCs w:val="28"/>
        </w:rPr>
        <w:sym w:font="HQPB1" w:char="F0E8"/>
      </w:r>
      <w:r w:rsidRPr="00910CE3">
        <w:rPr>
          <w:sz w:val="28"/>
          <w:szCs w:val="28"/>
        </w:rPr>
        <w:sym w:font="HQPB4" w:char="F0F8"/>
      </w:r>
      <w:r w:rsidRPr="00910CE3">
        <w:rPr>
          <w:sz w:val="28"/>
          <w:szCs w:val="28"/>
        </w:rPr>
        <w:sym w:font="HQPB2" w:char="F039"/>
      </w:r>
      <w:r w:rsidRPr="00910CE3">
        <w:rPr>
          <w:sz w:val="28"/>
          <w:szCs w:val="28"/>
        </w:rPr>
        <w:sym w:font="HQPB5" w:char="F024"/>
      </w:r>
      <w:r w:rsidRPr="00910CE3">
        <w:rPr>
          <w:sz w:val="28"/>
          <w:szCs w:val="28"/>
        </w:rPr>
        <w:sym w:font="HQPB1" w:char="F023"/>
      </w:r>
      <w:r w:rsidRPr="00910CE3">
        <w:rPr>
          <w:rFonts w:ascii="(normal text)" w:hAnsi="(normal text)"/>
          <w:rtl/>
        </w:rPr>
        <w:t xml:space="preserve"> </w:t>
      </w:r>
      <w:r w:rsidRPr="00910CE3">
        <w:rPr>
          <w:sz w:val="28"/>
          <w:szCs w:val="28"/>
        </w:rPr>
        <w:sym w:font="HQPB2" w:char="F0C7"/>
      </w:r>
      <w:r w:rsidRPr="00910CE3">
        <w:rPr>
          <w:sz w:val="28"/>
          <w:szCs w:val="28"/>
        </w:rPr>
        <w:sym w:font="HQPB2" w:char="F0CA"/>
      </w:r>
      <w:r w:rsidRPr="00910CE3">
        <w:rPr>
          <w:sz w:val="28"/>
          <w:szCs w:val="28"/>
        </w:rPr>
        <w:sym w:font="HQPB2" w:char="F0CB"/>
      </w:r>
      <w:r w:rsidRPr="00910CE3">
        <w:rPr>
          <w:sz w:val="28"/>
          <w:szCs w:val="28"/>
        </w:rPr>
        <w:sym w:font="HQPB2" w:char="F0D0"/>
      </w:r>
      <w:r w:rsidRPr="00910CE3">
        <w:rPr>
          <w:sz w:val="28"/>
          <w:szCs w:val="28"/>
        </w:rPr>
        <w:sym w:font="HQPB2" w:char="F0C8"/>
      </w:r>
      <w:r w:rsidRPr="00910CE3">
        <w:rPr>
          <w:rFonts w:ascii="(normal text)" w:hAnsi="(normal text)"/>
          <w:rtl/>
        </w:rPr>
        <w:t xml:space="preserve">   </w:t>
      </w:r>
      <w:r w:rsidRPr="00910CE3">
        <w:rPr>
          <w:rFonts w:ascii="TraditionalArabic" w:hAnsi="Times New Roman" w:cs="TraditionalArabic"/>
          <w:sz w:val="28"/>
          <w:szCs w:val="28"/>
        </w:rPr>
        <w:t xml:space="preserve"> </w:t>
      </w:r>
      <w:r w:rsidRPr="00910CE3">
        <w:rPr>
          <w:rFonts w:ascii="Arial" w:hAnsi="Arial"/>
          <w:sz w:val="28"/>
          <w:szCs w:val="28"/>
        </w:rPr>
        <w:t>)</w:t>
      </w:r>
      <w:r w:rsidRPr="00910CE3">
        <w:rPr>
          <w:rFonts w:ascii="TraditionalArabic" w:hAnsi="Times New Roman" w:cs="TraditionalArabic" w:hint="cs"/>
          <w:sz w:val="28"/>
          <w:szCs w:val="28"/>
          <w:rtl/>
        </w:rPr>
        <w:t>البقرة</w:t>
      </w:r>
      <w:r w:rsidRPr="00910CE3">
        <w:rPr>
          <w:rFonts w:ascii="Arial" w:hAnsi="Arial"/>
          <w:sz w:val="28"/>
          <w:szCs w:val="28"/>
        </w:rPr>
        <w:t xml:space="preserve">/ </w:t>
      </w:r>
      <w:r w:rsidRPr="00910CE3">
        <w:rPr>
          <w:rFonts w:ascii="TraditionalArabic" w:hAnsi="Times New Roman" w:cs="TraditionalArabic" w:hint="cs"/>
          <w:sz w:val="28"/>
          <w:szCs w:val="28"/>
          <w:rtl/>
        </w:rPr>
        <w:t>٢</w:t>
      </w:r>
      <w:r w:rsidRPr="00910CE3">
        <w:rPr>
          <w:rFonts w:ascii="TraditionalArabic" w:hAnsi="Times New Roman" w:cs="TraditionalArabic"/>
          <w:sz w:val="28"/>
          <w:szCs w:val="28"/>
        </w:rPr>
        <w:t xml:space="preserve">: </w:t>
      </w:r>
      <w:r w:rsidRPr="00910CE3">
        <w:rPr>
          <w:rFonts w:ascii="TraditionalArabic" w:hAnsi="Times New Roman" w:cs="TraditionalArabic" w:hint="cs"/>
          <w:sz w:val="28"/>
          <w:szCs w:val="28"/>
          <w:rtl/>
        </w:rPr>
        <w:t>١٢٧</w:t>
      </w:r>
      <w:r w:rsidRPr="00910CE3">
        <w:rPr>
          <w:rFonts w:ascii="TraditionalArabic" w:hAnsi="Times New Roman" w:cs="TraditionalArabic"/>
          <w:sz w:val="28"/>
          <w:szCs w:val="28"/>
        </w:rPr>
        <w:t>(</w:t>
      </w:r>
    </w:p>
    <w:p w:rsidR="00343B61"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Artinya:</w:t>
      </w:r>
      <w:r w:rsidRPr="00910CE3">
        <w:rPr>
          <w:rFonts w:ascii="(normal text)" w:hAnsi="(normal text)"/>
          <w:sz w:val="24"/>
          <w:szCs w:val="24"/>
        </w:rPr>
        <w:t xml:space="preserve">“ </w:t>
      </w:r>
      <w:r w:rsidRPr="00910CE3">
        <w:rPr>
          <w:rFonts w:ascii="(normal text)" w:hAnsi="(normal text)"/>
          <w:i/>
          <w:iCs/>
          <w:sz w:val="24"/>
          <w:szCs w:val="24"/>
        </w:rPr>
        <w:t>Dan (ingatlah), ketika Ibrahim meninggikan (membina) dasar-dasar Baitullah bersama Ismail (seraya berdoa): "Ya Tuhan Kami terimalah daripada Kami (amalan kami), Sesungguhnya Engkaulah yang Maha mendengar lagi Maha Mengetahui</w:t>
      </w:r>
      <w:r w:rsidRPr="00910CE3">
        <w:rPr>
          <w:rFonts w:ascii="(normal text)" w:hAnsi="(normal text)"/>
          <w:sz w:val="24"/>
          <w:szCs w:val="24"/>
        </w:rPr>
        <w:t>".</w:t>
      </w:r>
      <w:r w:rsidRPr="00910CE3">
        <w:rPr>
          <w:rFonts w:ascii="Times New Roman" w:hAnsi="Times New Roman" w:cs="Times New Roman"/>
          <w:sz w:val="24"/>
          <w:szCs w:val="24"/>
        </w:rPr>
        <w:t>(Q.S. Al-Baqarah (2): 127)</w:t>
      </w:r>
      <w:r w:rsidRPr="00910CE3">
        <w:rPr>
          <w:rStyle w:val="FootnoteReference"/>
          <w:rFonts w:ascii="Times New Roman" w:hAnsi="Times New Roman" w:cs="Times New Roman"/>
          <w:sz w:val="24"/>
          <w:szCs w:val="24"/>
        </w:rPr>
        <w:footnoteReference w:id="309"/>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NewRoman,Italic" w:hAnsi="Times New Roman" w:cs="TimesNewRoman,Italic"/>
          <w:sz w:val="24"/>
          <w:szCs w:val="24"/>
        </w:rPr>
      </w:pPr>
      <w:r w:rsidRPr="00910CE3">
        <w:rPr>
          <w:rFonts w:ascii="Times New Roman" w:hAnsi="Times New Roman" w:cs="Times New Roman"/>
          <w:sz w:val="24"/>
          <w:szCs w:val="24"/>
        </w:rPr>
        <w:t>Secara terminologi (istilah), al-Taft</w:t>
      </w:r>
      <w:r w:rsidRPr="00910CE3">
        <w:rPr>
          <w:rFonts w:ascii="TimesNewRoman" w:hAnsi="Times New Roman" w:cs="TimesNewRoman" w:hint="cs"/>
          <w:sz w:val="24"/>
          <w:szCs w:val="24"/>
        </w:rPr>
        <w:t>ā</w:t>
      </w:r>
      <w:r w:rsidRPr="00910CE3">
        <w:rPr>
          <w:rFonts w:ascii="Times New Roman" w:hAnsi="Times New Roman" w:cs="Times New Roman"/>
          <w:sz w:val="24"/>
          <w:szCs w:val="24"/>
        </w:rPr>
        <w:t>z</w:t>
      </w:r>
      <w:r w:rsidRPr="00910CE3">
        <w:rPr>
          <w:rFonts w:ascii="TimesNewRoman" w:hAnsi="Times New Roman" w:cs="TimesNewRoman" w:hint="cs"/>
          <w:sz w:val="24"/>
          <w:szCs w:val="24"/>
        </w:rPr>
        <w:t>ā</w:t>
      </w:r>
      <w:r w:rsidRPr="00910CE3">
        <w:rPr>
          <w:rFonts w:ascii="Times New Roman" w:hAnsi="Times New Roman" w:cs="Times New Roman"/>
          <w:sz w:val="24"/>
          <w:szCs w:val="24"/>
        </w:rPr>
        <w:t>n</w:t>
      </w:r>
      <w:r w:rsidRPr="00910CE3">
        <w:rPr>
          <w:rFonts w:ascii="TimesNewRoman" w:hAnsi="Times New Roman" w:cs="TimesNewRoman" w:hint="cs"/>
          <w:sz w:val="24"/>
          <w:szCs w:val="24"/>
        </w:rPr>
        <w:t>ī</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 xml:space="preserve">(w.791 H) mendefinisikan </w:t>
      </w:r>
      <w:r w:rsidRPr="00910CE3">
        <w:rPr>
          <w:rFonts w:ascii="Times New Roman" w:hAnsi="Times New Roman" w:cs="Times New Roman"/>
          <w:i/>
          <w:iCs/>
          <w:sz w:val="24"/>
          <w:szCs w:val="24"/>
        </w:rPr>
        <w:t>q</w:t>
      </w:r>
      <w:r w:rsidRPr="00910CE3">
        <w:rPr>
          <w:rFonts w:ascii="TimesNewRoman,Italic" w:hAnsi="Times New Roman" w:cs="TimesNewRoman,Italic" w:hint="cs"/>
          <w:i/>
          <w:iCs/>
          <w:sz w:val="24"/>
          <w:szCs w:val="24"/>
        </w:rPr>
        <w:t>ā‘</w:t>
      </w:r>
      <w:r w:rsidRPr="00910CE3">
        <w:rPr>
          <w:rFonts w:ascii="Times New Roman" w:hAnsi="Times New Roman" w:cs="Times New Roman"/>
          <w:i/>
          <w:iCs/>
          <w:sz w:val="24"/>
          <w:szCs w:val="24"/>
        </w:rPr>
        <w:t xml:space="preserve">idah </w:t>
      </w:r>
      <w:r w:rsidRPr="00910CE3">
        <w:rPr>
          <w:rFonts w:ascii="Times New Roman" w:hAnsi="Times New Roman" w:cs="Times New Roman"/>
          <w:sz w:val="24"/>
          <w:szCs w:val="24"/>
        </w:rPr>
        <w:t xml:space="preserve">sebagai </w:t>
      </w:r>
      <w:r w:rsidRPr="00910CE3">
        <w:rPr>
          <w:rFonts w:ascii="TimesNewRoman,Italic" w:hAnsi="Times New Roman" w:cs="TimesNewRoman,Italic"/>
          <w:sz w:val="24"/>
          <w:szCs w:val="24"/>
        </w:rPr>
        <w:t xml:space="preserve"> </w:t>
      </w:r>
      <w:r w:rsidRPr="00910CE3">
        <w:rPr>
          <w:rFonts w:ascii="Times New Roman" w:hAnsi="Times New Roman" w:cs="Times New Roman"/>
          <w:sz w:val="24"/>
          <w:szCs w:val="24"/>
        </w:rPr>
        <w:t xml:space="preserve">hukum kulli yang dapat diaplikasikan kepada seluruh juz`inya (bagiannya), di mana persoalan </w:t>
      </w:r>
      <w:r w:rsidRPr="00910CE3">
        <w:rPr>
          <w:rFonts w:ascii="Times New Roman" w:hAnsi="Times New Roman" w:cs="Times New Roman"/>
          <w:i/>
          <w:iCs/>
          <w:sz w:val="24"/>
          <w:szCs w:val="24"/>
        </w:rPr>
        <w:t>juz`i</w:t>
      </w:r>
      <w:r w:rsidRPr="00910CE3">
        <w:rPr>
          <w:rFonts w:ascii="Times New Roman" w:hAnsi="Times New Roman" w:cs="Times New Roman"/>
          <w:sz w:val="24"/>
          <w:szCs w:val="24"/>
        </w:rPr>
        <w:t xml:space="preserve"> (bagian) tersebut dapat diidentifikasi daripadanya</w:t>
      </w:r>
      <w:r w:rsidRPr="00910CE3">
        <w:rPr>
          <w:rFonts w:ascii="TimesNewRoman,Italic" w:hAnsi="Times New Roman" w:cs="TimesNewRoman,Italic"/>
          <w:sz w:val="24"/>
          <w:szCs w:val="24"/>
        </w:rPr>
        <w:t>.</w:t>
      </w:r>
      <w:r w:rsidRPr="00910CE3">
        <w:rPr>
          <w:rStyle w:val="FootnoteReference"/>
          <w:rFonts w:ascii="TimesNewRoman,Italic" w:hAnsi="Times New Roman" w:cs="TimesNewRoman,Italic"/>
          <w:sz w:val="24"/>
          <w:szCs w:val="24"/>
        </w:rPr>
        <w:footnoteReference w:id="310"/>
      </w:r>
    </w:p>
    <w:p w:rsidR="00343B61" w:rsidRPr="00910CE3" w:rsidRDefault="00343B61" w:rsidP="00343B61">
      <w:pPr>
        <w:autoSpaceDE w:val="0"/>
        <w:autoSpaceDN w:val="0"/>
        <w:adjustRightInd w:val="0"/>
        <w:spacing w:after="0" w:line="360" w:lineRule="auto"/>
        <w:ind w:firstLine="1080"/>
        <w:rPr>
          <w:rFonts w:ascii="Times New Roman" w:hAnsi="Times New Roman" w:cs="Times New Roman"/>
          <w:sz w:val="24"/>
          <w:szCs w:val="24"/>
        </w:rPr>
      </w:pPr>
      <w:r w:rsidRPr="00910CE3">
        <w:rPr>
          <w:rFonts w:ascii="Times New Roman" w:hAnsi="Times New Roman" w:cs="Times New Roman"/>
          <w:sz w:val="24"/>
          <w:szCs w:val="24"/>
        </w:rPr>
        <w:t>Al-Jurj</w:t>
      </w:r>
      <w:r w:rsidRPr="00910CE3">
        <w:rPr>
          <w:rFonts w:ascii="TimesNewRoman" w:hAnsi="Times New Roman" w:cs="TimesNewRoman" w:hint="cs"/>
          <w:sz w:val="24"/>
          <w:szCs w:val="24"/>
        </w:rPr>
        <w:t>ā</w:t>
      </w:r>
      <w:r w:rsidRPr="00910CE3">
        <w:rPr>
          <w:rFonts w:ascii="Times New Roman" w:hAnsi="Times New Roman" w:cs="Times New Roman"/>
          <w:sz w:val="24"/>
          <w:szCs w:val="24"/>
        </w:rPr>
        <w:t>n</w:t>
      </w:r>
      <w:r w:rsidRPr="00910CE3">
        <w:rPr>
          <w:rFonts w:ascii="TimesNewRoman" w:hAnsi="Times New Roman" w:cs="TimesNewRoman" w:hint="cs"/>
          <w:sz w:val="24"/>
          <w:szCs w:val="24"/>
        </w:rPr>
        <w:t>ī</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 xml:space="preserve">mendefiniskan </w:t>
      </w:r>
      <w:r w:rsidRPr="00910CE3">
        <w:rPr>
          <w:rFonts w:ascii="Times New Roman" w:hAnsi="Times New Roman" w:cs="Times New Roman"/>
          <w:i/>
          <w:iCs/>
          <w:sz w:val="24"/>
          <w:szCs w:val="24"/>
        </w:rPr>
        <w:t>q</w:t>
      </w:r>
      <w:r w:rsidRPr="00910CE3">
        <w:rPr>
          <w:rFonts w:ascii="TimesNewRoman,Italic" w:hAnsi="Times New Roman" w:cs="TimesNewRoman,Italic" w:hint="cs"/>
          <w:i/>
          <w:iCs/>
          <w:sz w:val="24"/>
          <w:szCs w:val="24"/>
        </w:rPr>
        <w:t>ā‘</w:t>
      </w:r>
      <w:r w:rsidRPr="00910CE3">
        <w:rPr>
          <w:rFonts w:ascii="Times New Roman" w:hAnsi="Times New Roman" w:cs="Times New Roman"/>
          <w:i/>
          <w:iCs/>
          <w:sz w:val="24"/>
          <w:szCs w:val="24"/>
        </w:rPr>
        <w:t xml:space="preserve">idah </w:t>
      </w:r>
      <w:r w:rsidRPr="00910CE3">
        <w:rPr>
          <w:rFonts w:ascii="Times New Roman" w:hAnsi="Times New Roman" w:cs="Times New Roman"/>
          <w:sz w:val="24"/>
          <w:szCs w:val="24"/>
        </w:rPr>
        <w:t>sebagai berikut:</w:t>
      </w:r>
    </w:p>
    <w:p w:rsidR="00343B61" w:rsidRPr="00910CE3" w:rsidRDefault="00343B61" w:rsidP="00343B61">
      <w:pPr>
        <w:autoSpaceDE w:val="0"/>
        <w:autoSpaceDN w:val="0"/>
        <w:bidi/>
        <w:adjustRightInd w:val="0"/>
        <w:spacing w:after="0" w:line="240" w:lineRule="auto"/>
        <w:rPr>
          <w:rFonts w:ascii="TraditionalArabic" w:hAnsi="Times New Roman" w:cs="TraditionalArabic"/>
          <w:sz w:val="28"/>
          <w:szCs w:val="28"/>
        </w:rPr>
      </w:pPr>
      <w:r w:rsidRPr="00BA6E3A">
        <w:rPr>
          <w:rFonts w:ascii="Adobe نسخ Medium" w:hAnsi="Adobe نسخ Medium" w:cs="Traditional Arabic"/>
          <w:sz w:val="32"/>
          <w:szCs w:val="32"/>
          <w:rtl/>
        </w:rPr>
        <w:t>قضية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كلّية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منطبقة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على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جميع</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جزئيّاتها</w:t>
      </w:r>
      <w:r w:rsidRPr="00910CE3">
        <w:rPr>
          <w:rStyle w:val="FootnoteReference"/>
          <w:rFonts w:ascii="TraditionalArabic" w:hAnsi="Times New Roman" w:cs="TraditionalArabic"/>
          <w:rtl/>
        </w:rPr>
        <w:footnoteReference w:id="311"/>
      </w:r>
    </w:p>
    <w:p w:rsidR="00343B61" w:rsidRPr="00910CE3" w:rsidRDefault="00343B61" w:rsidP="00343B61">
      <w:pPr>
        <w:autoSpaceDE w:val="0"/>
        <w:autoSpaceDN w:val="0"/>
        <w:adjustRightInd w:val="0"/>
        <w:spacing w:after="0" w:line="240" w:lineRule="auto"/>
        <w:ind w:left="1080"/>
        <w:jc w:val="both"/>
        <w:rPr>
          <w:rFonts w:ascii="TimesNewRoman,Italic" w:hAnsi="Times New Roman" w:cs="TimesNewRoman,Italic"/>
          <w:i/>
          <w:iCs/>
          <w:sz w:val="24"/>
          <w:szCs w:val="24"/>
        </w:rPr>
      </w:pPr>
      <w:r w:rsidRPr="00910CE3">
        <w:rPr>
          <w:rFonts w:ascii="Times New Roman" w:hAnsi="Times New Roman" w:cs="Times New Roman"/>
          <w:sz w:val="24"/>
          <w:szCs w:val="24"/>
        </w:rPr>
        <w:t xml:space="preserve">Artinya: </w:t>
      </w:r>
      <w:r w:rsidRPr="00910CE3">
        <w:rPr>
          <w:rFonts w:ascii="TimesNewRoman,Italic" w:hAnsi="Times New Roman" w:cs="TimesNewRoman,Italic" w:hint="cs"/>
          <w:i/>
          <w:iCs/>
          <w:sz w:val="24"/>
          <w:szCs w:val="24"/>
        </w:rPr>
        <w:t>“</w:t>
      </w:r>
      <w:r w:rsidRPr="00910CE3">
        <w:rPr>
          <w:rFonts w:ascii="TimesNewRoman,Italic" w:hAnsi="Times New Roman" w:cs="TimesNewRoman,Italic"/>
          <w:i/>
          <w:iCs/>
          <w:sz w:val="24"/>
          <w:szCs w:val="24"/>
        </w:rPr>
        <w:t xml:space="preserve"> </w:t>
      </w:r>
      <w:r w:rsidRPr="00910CE3">
        <w:rPr>
          <w:rFonts w:ascii="Times New Roman" w:hAnsi="Times New Roman" w:cs="Times New Roman"/>
          <w:i/>
          <w:iCs/>
          <w:sz w:val="24"/>
          <w:szCs w:val="24"/>
        </w:rPr>
        <w:t>Proposisi kulli yang dapat diaplikasikan kepada seluruh juz`inya (bagiannya).</w:t>
      </w:r>
      <w:r w:rsidRPr="00910CE3">
        <w:rPr>
          <w:rFonts w:ascii="TimesNewRoman,Italic" w:hAnsi="Times New Roman" w:cs="TimesNewRoman,Italic" w:hint="cs"/>
          <w:i/>
          <w:iCs/>
          <w:sz w:val="24"/>
          <w:szCs w:val="24"/>
        </w:rPr>
        <w:t>”</w:t>
      </w:r>
    </w:p>
    <w:p w:rsidR="00343B61" w:rsidRPr="00910CE3" w:rsidRDefault="00343B61" w:rsidP="00343B61">
      <w:pPr>
        <w:autoSpaceDE w:val="0"/>
        <w:autoSpaceDN w:val="0"/>
        <w:adjustRightInd w:val="0"/>
        <w:spacing w:after="0" w:line="360" w:lineRule="auto"/>
        <w:rPr>
          <w:rFonts w:ascii="TimesNewRoman,Italic" w:hAnsi="Times New Roman" w:cs="TimesNewRoman,Italic"/>
          <w:sz w:val="24"/>
          <w:szCs w:val="24"/>
        </w:rPr>
      </w:pPr>
    </w:p>
    <w:p w:rsidR="00343B61" w:rsidRPr="00910CE3" w:rsidRDefault="00343B61" w:rsidP="00343B61">
      <w:pPr>
        <w:autoSpaceDE w:val="0"/>
        <w:autoSpaceDN w:val="0"/>
        <w:adjustRightInd w:val="0"/>
        <w:spacing w:after="0" w:line="360" w:lineRule="auto"/>
        <w:ind w:left="450" w:firstLine="630"/>
        <w:jc w:val="both"/>
        <w:rPr>
          <w:rFonts w:asciiTheme="majorBidi" w:hAnsiTheme="majorBidi" w:cstheme="majorBidi"/>
          <w:sz w:val="24"/>
          <w:szCs w:val="24"/>
        </w:rPr>
      </w:pPr>
      <w:r w:rsidRPr="00910CE3">
        <w:rPr>
          <w:rFonts w:asciiTheme="majorBidi" w:hAnsiTheme="majorBidi" w:cstheme="majorBidi"/>
          <w:sz w:val="24"/>
          <w:szCs w:val="24"/>
        </w:rPr>
        <w:t xml:space="preserve">Sementara secara istilah, qaedah fiqhiyah didefinisikan oleh ulama sebagai berikut: </w:t>
      </w:r>
      <w:r w:rsidRPr="00910CE3">
        <w:rPr>
          <w:rFonts w:ascii="TimesNewRoman" w:cs="TimesNewRoman" w:hint="cs"/>
          <w:sz w:val="24"/>
          <w:szCs w:val="24"/>
        </w:rPr>
        <w:t>‘</w:t>
      </w:r>
      <w:r w:rsidRPr="00910CE3">
        <w:rPr>
          <w:rFonts w:ascii="Times New Roman" w:hAnsi="Times New Roman" w:cs="Times New Roman"/>
          <w:sz w:val="24"/>
          <w:szCs w:val="24"/>
        </w:rPr>
        <w:t>Al</w:t>
      </w:r>
      <w:r w:rsidRPr="00910CE3">
        <w:rPr>
          <w:rFonts w:ascii="TimesNewRoman" w:cs="TimesNewRoman" w:hint="cs"/>
          <w:sz w:val="24"/>
          <w:szCs w:val="24"/>
        </w:rPr>
        <w:t>ī</w:t>
      </w:r>
      <w:r w:rsidRPr="00910CE3">
        <w:rPr>
          <w:rFonts w:ascii="TimesNewRoman" w:cs="TimesNewRoman"/>
          <w:sz w:val="24"/>
          <w:szCs w:val="24"/>
        </w:rPr>
        <w:t xml:space="preserve"> </w:t>
      </w:r>
      <w:r w:rsidRPr="00910CE3">
        <w:rPr>
          <w:rFonts w:ascii="Times New Roman" w:hAnsi="Times New Roman" w:cs="Times New Roman"/>
          <w:sz w:val="24"/>
          <w:szCs w:val="24"/>
        </w:rPr>
        <w:t>Ahmad al-Nadaw</w:t>
      </w:r>
      <w:r w:rsidRPr="00910CE3">
        <w:rPr>
          <w:rFonts w:ascii="TimesNewRoman" w:cs="TimesNewRoman" w:hint="cs"/>
          <w:sz w:val="24"/>
          <w:szCs w:val="24"/>
        </w:rPr>
        <w:t>ī</w:t>
      </w:r>
      <w:r w:rsidRPr="00910CE3">
        <w:rPr>
          <w:rFonts w:ascii="Times New Roman" w:hAnsi="Times New Roman" w:cs="Times New Roman"/>
          <w:sz w:val="24"/>
          <w:szCs w:val="24"/>
        </w:rPr>
        <w:t xml:space="preserve"> mengemukakan definisi qaidah fiqh sebagai berikut:</w:t>
      </w:r>
    </w:p>
    <w:p w:rsidR="00343B61" w:rsidRPr="00910CE3" w:rsidRDefault="00343B61" w:rsidP="00343B61">
      <w:pPr>
        <w:autoSpaceDE w:val="0"/>
        <w:autoSpaceDN w:val="0"/>
        <w:bidi/>
        <w:adjustRightInd w:val="0"/>
        <w:spacing w:after="0" w:line="240" w:lineRule="auto"/>
        <w:rPr>
          <w:rFonts w:ascii="Times New Roman" w:hAnsi="Times New Roman" w:cs="Times New Roman"/>
          <w:sz w:val="24"/>
          <w:szCs w:val="24"/>
        </w:rPr>
      </w:pPr>
      <w:r w:rsidRPr="00BA6E3A">
        <w:rPr>
          <w:rFonts w:ascii="Adobe نسخ Medium" w:hAnsi="Adobe نسخ Medium" w:cs="Traditional Arabic"/>
          <w:sz w:val="32"/>
          <w:szCs w:val="32"/>
          <w:rtl/>
        </w:rPr>
        <w:t>حكم</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شرعي</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في</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قضية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أغلبية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يتعرف</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منها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أحكام</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دخل</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تحتها</w:t>
      </w:r>
      <w:r w:rsidRPr="00910CE3">
        <w:rPr>
          <w:rFonts w:ascii="TraditionalArabic" w:cs="TraditionalArabic"/>
          <w:sz w:val="28"/>
          <w:szCs w:val="28"/>
        </w:rPr>
        <w:t xml:space="preserve"> </w:t>
      </w:r>
      <w:r w:rsidRPr="00910CE3">
        <w:rPr>
          <w:rStyle w:val="FootnoteReference"/>
          <w:rFonts w:ascii="TraditionalArabic" w:cs="TraditionalArabic"/>
          <w:sz w:val="28"/>
          <w:szCs w:val="28"/>
        </w:rPr>
        <w:footnoteReference w:id="312"/>
      </w:r>
      <w:r w:rsidRPr="00910CE3">
        <w:rPr>
          <w:rFonts w:ascii="Times New Roman" w:hAnsi="Times New Roman" w:cs="Times New Roman"/>
          <w:sz w:val="24"/>
          <w:szCs w:val="24"/>
        </w:rPr>
        <w:t xml:space="preserve"> </w:t>
      </w:r>
    </w:p>
    <w:p w:rsidR="00343B61"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r w:rsidRPr="00910CE3">
        <w:rPr>
          <w:rFonts w:ascii="Times New Roman" w:hAnsi="Times New Roman" w:cs="Times New Roman"/>
          <w:sz w:val="24"/>
          <w:szCs w:val="24"/>
        </w:rPr>
        <w:t xml:space="preserve">Artinya: </w:t>
      </w:r>
      <w:r w:rsidRPr="00910CE3">
        <w:rPr>
          <w:rFonts w:ascii="TimesNewRoman" w:cs="TimesNewRoman" w:hint="cs"/>
          <w:sz w:val="24"/>
          <w:szCs w:val="24"/>
        </w:rPr>
        <w:t>“</w:t>
      </w:r>
      <w:r w:rsidRPr="00910CE3">
        <w:rPr>
          <w:rFonts w:ascii="Times New Roman" w:hAnsi="Times New Roman" w:cs="Times New Roman"/>
          <w:i/>
          <w:iCs/>
          <w:sz w:val="24"/>
          <w:szCs w:val="24"/>
        </w:rPr>
        <w:t>Hukum syara</w:t>
      </w:r>
      <w:r w:rsidRPr="00910CE3">
        <w:rPr>
          <w:rFonts w:ascii="TimesNewRoman,Italic" w:cs="TimesNewRoman,Italic" w:hint="cs"/>
          <w:i/>
          <w:iCs/>
          <w:sz w:val="24"/>
          <w:szCs w:val="24"/>
        </w:rPr>
        <w:t>‘</w:t>
      </w:r>
      <w:r w:rsidRPr="00910CE3">
        <w:rPr>
          <w:rFonts w:ascii="TimesNewRoman,Italic" w:cs="TimesNewRoman,Italic"/>
          <w:i/>
          <w:iCs/>
          <w:sz w:val="24"/>
          <w:szCs w:val="24"/>
        </w:rPr>
        <w:t xml:space="preserve"> </w:t>
      </w:r>
      <w:r w:rsidRPr="00910CE3">
        <w:rPr>
          <w:rFonts w:ascii="Times New Roman" w:hAnsi="Times New Roman" w:cs="Times New Roman"/>
          <w:i/>
          <w:iCs/>
          <w:sz w:val="24"/>
          <w:szCs w:val="24"/>
        </w:rPr>
        <w:t>tentang peristiwa yang bersifat a</w:t>
      </w:r>
      <w:r w:rsidRPr="00910CE3">
        <w:rPr>
          <w:rFonts w:ascii="TimesNewRoman,Italic" w:cs="TimesNewRoman,Italic" w:hint="cs"/>
          <w:i/>
          <w:iCs/>
          <w:sz w:val="24"/>
          <w:szCs w:val="24"/>
        </w:rPr>
        <w:t>ġ</w:t>
      </w:r>
      <w:r w:rsidRPr="00910CE3">
        <w:rPr>
          <w:rFonts w:ascii="Times New Roman" w:hAnsi="Times New Roman" w:cs="Times New Roman"/>
          <w:i/>
          <w:iCs/>
          <w:sz w:val="24"/>
          <w:szCs w:val="24"/>
        </w:rPr>
        <w:t>labiyyah, dan daripadanya dapat diidentifikasi hukum berbagai peristiwa yang masuk dalam ruang lingkupnya.</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p>
    <w:p w:rsidR="00343B61" w:rsidRPr="00910CE3" w:rsidRDefault="00343B61" w:rsidP="00343B61">
      <w:pPr>
        <w:autoSpaceDE w:val="0"/>
        <w:autoSpaceDN w:val="0"/>
        <w:adjustRightInd w:val="0"/>
        <w:spacing w:after="0" w:line="360" w:lineRule="auto"/>
        <w:ind w:left="1080"/>
        <w:rPr>
          <w:rFonts w:ascii="Times New Roman" w:hAnsi="Times New Roman" w:cs="Times New Roman"/>
          <w:sz w:val="24"/>
          <w:szCs w:val="24"/>
        </w:rPr>
      </w:pPr>
      <w:r w:rsidRPr="00910CE3">
        <w:rPr>
          <w:rFonts w:ascii="Times New Roman" w:hAnsi="Times New Roman" w:cs="Times New Roman"/>
          <w:sz w:val="24"/>
          <w:szCs w:val="24"/>
        </w:rPr>
        <w:t>T</w:t>
      </w:r>
      <w:r w:rsidRPr="00910CE3">
        <w:rPr>
          <w:rFonts w:ascii="TimesNewRoman" w:hAnsi="Times New Roman" w:cs="TimesNewRoman" w:hint="cs"/>
          <w:sz w:val="24"/>
          <w:szCs w:val="24"/>
        </w:rPr>
        <w:t>ā</w:t>
      </w:r>
      <w:r w:rsidRPr="00910CE3">
        <w:rPr>
          <w:rFonts w:ascii="Times New Roman" w:hAnsi="Times New Roman" w:cs="Times New Roman"/>
          <w:sz w:val="24"/>
          <w:szCs w:val="24"/>
        </w:rPr>
        <w:t>judd</w:t>
      </w:r>
      <w:r w:rsidRPr="00910CE3">
        <w:rPr>
          <w:rFonts w:ascii="TimesNewRoman" w:hAnsi="Times New Roman" w:cs="TimesNewRoman" w:hint="cs"/>
          <w:sz w:val="24"/>
          <w:szCs w:val="24"/>
        </w:rPr>
        <w:t>ī</w:t>
      </w:r>
      <w:r w:rsidRPr="00910CE3">
        <w:rPr>
          <w:rFonts w:ascii="Times New Roman" w:hAnsi="Times New Roman" w:cs="Times New Roman"/>
          <w:sz w:val="24"/>
          <w:szCs w:val="24"/>
        </w:rPr>
        <w:t>n al-Subk</w:t>
      </w:r>
      <w:r w:rsidRPr="00910CE3">
        <w:rPr>
          <w:rFonts w:ascii="TimesNewRoman" w:hAnsi="Times New Roman" w:cs="TimesNewRoman" w:hint="cs"/>
          <w:sz w:val="24"/>
          <w:szCs w:val="24"/>
        </w:rPr>
        <w:t>ī</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(w.77I H) mendefinisikan qaidah fiqh dengan:</w:t>
      </w:r>
    </w:p>
    <w:p w:rsidR="00343B61" w:rsidRPr="00B538D0" w:rsidRDefault="00343B61" w:rsidP="00343B61">
      <w:pPr>
        <w:autoSpaceDE w:val="0"/>
        <w:autoSpaceDN w:val="0"/>
        <w:bidi/>
        <w:adjustRightInd w:val="0"/>
        <w:spacing w:after="0" w:line="240" w:lineRule="auto"/>
        <w:rPr>
          <w:rFonts w:ascii="Adobe نسخ Medium" w:hAnsi="Adobe نسخ Medium" w:cs="Adobe نسخ Medium"/>
          <w:sz w:val="32"/>
          <w:szCs w:val="32"/>
        </w:rPr>
      </w:pPr>
      <w:r w:rsidRPr="00BA6E3A">
        <w:rPr>
          <w:rFonts w:ascii="Adobe نسخ Medium" w:hAnsi="Adobe نسخ Medium" w:cs="Traditional Arabic"/>
          <w:sz w:val="32"/>
          <w:szCs w:val="32"/>
          <w:rtl/>
        </w:rPr>
        <w:t>هي</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الأمر</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الكلّي</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الذى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ينطبق</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عليه</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جزئيات</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كثيرة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تفهم</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أحكامها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منه</w:t>
      </w:r>
      <w:r w:rsidRPr="00B538D0">
        <w:rPr>
          <w:rStyle w:val="FootnoteReference"/>
          <w:rFonts w:ascii="Adobe نسخ Medium" w:hAnsi="Adobe نسخ Medium" w:cs="Adobe نسخ Medium"/>
          <w:sz w:val="32"/>
          <w:szCs w:val="32"/>
          <w:rtl/>
        </w:rPr>
        <w:footnoteReference w:id="313"/>
      </w:r>
    </w:p>
    <w:p w:rsidR="00343B61" w:rsidRPr="00910CE3" w:rsidRDefault="00343B61" w:rsidP="00343B61">
      <w:pPr>
        <w:autoSpaceDE w:val="0"/>
        <w:autoSpaceDN w:val="0"/>
        <w:adjustRightInd w:val="0"/>
        <w:spacing w:after="0" w:line="240" w:lineRule="auto"/>
        <w:ind w:firstLine="720"/>
        <w:jc w:val="both"/>
        <w:rPr>
          <w:rFonts w:ascii="Times New Roman" w:hAnsi="Times New Roman" w:cs="Times New Roman"/>
          <w:sz w:val="20"/>
          <w:szCs w:val="24"/>
        </w:rPr>
      </w:pPr>
    </w:p>
    <w:p w:rsidR="00343B61"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r w:rsidRPr="00910CE3">
        <w:rPr>
          <w:rFonts w:asciiTheme="majorBidi" w:hAnsiTheme="majorBidi" w:cstheme="majorBidi"/>
          <w:sz w:val="24"/>
          <w:szCs w:val="24"/>
        </w:rPr>
        <w:t>Artinya:</w:t>
      </w:r>
      <w:r w:rsidRPr="00910CE3">
        <w:rPr>
          <w:rFonts w:ascii="TimesNewRoman,Italic" w:cs="TimesNewRoman,Italic"/>
          <w:sz w:val="24"/>
          <w:szCs w:val="24"/>
        </w:rPr>
        <w:t xml:space="preserve"> </w:t>
      </w:r>
      <w:r w:rsidRPr="00910CE3">
        <w:rPr>
          <w:rFonts w:ascii="TimesNewRoman,Italic" w:cs="TimesNewRoman,Italic" w:hint="cs"/>
          <w:i/>
          <w:iCs/>
          <w:sz w:val="24"/>
          <w:szCs w:val="24"/>
        </w:rPr>
        <w:t>“</w:t>
      </w:r>
      <w:r w:rsidRPr="00910CE3">
        <w:rPr>
          <w:rFonts w:ascii="Times New Roman" w:hAnsi="Times New Roman" w:cs="Times New Roman"/>
          <w:i/>
          <w:iCs/>
          <w:sz w:val="24"/>
          <w:szCs w:val="24"/>
        </w:rPr>
        <w:t>Perkara kulli di mana banyak persoalan juz`i (bagian) yang dapat diaplikasikan padanya, di mana hukum-hukum juz`i (bagian) tersebut dapat diidentifikasi daripadanya.</w:t>
      </w:r>
      <w:r w:rsidRPr="00910CE3">
        <w:rPr>
          <w:rFonts w:ascii="TimesNewRoman,Italic" w:cs="TimesNewRoman,Italic" w:hint="cs"/>
          <w:i/>
          <w:iCs/>
          <w:sz w:val="24"/>
          <w:szCs w:val="24"/>
        </w:rPr>
        <w:t>”</w:t>
      </w:r>
    </w:p>
    <w:p w:rsidR="00343B61" w:rsidRPr="00A455C1"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i/>
          <w:iCs/>
          <w:sz w:val="24"/>
          <w:szCs w:val="24"/>
        </w:rPr>
      </w:pPr>
      <w:r w:rsidRPr="00910CE3">
        <w:rPr>
          <w:rFonts w:ascii="Times New Roman" w:hAnsi="Times New Roman" w:cs="Times New Roman"/>
          <w:sz w:val="24"/>
          <w:szCs w:val="24"/>
        </w:rPr>
        <w:t>Menurut Mu</w:t>
      </w:r>
      <w:r w:rsidRPr="00910CE3">
        <w:rPr>
          <w:rFonts w:ascii="TimesNewRoman" w:hAnsi="Times New Roman" w:cs="TimesNewRoman" w:hint="cs"/>
          <w:sz w:val="24"/>
          <w:szCs w:val="24"/>
        </w:rPr>
        <w:t>şţ</w:t>
      </w:r>
      <w:r w:rsidRPr="00910CE3">
        <w:rPr>
          <w:rFonts w:ascii="Times New Roman" w:hAnsi="Times New Roman" w:cs="Times New Roman"/>
          <w:sz w:val="24"/>
          <w:szCs w:val="24"/>
        </w:rPr>
        <w:t>af</w:t>
      </w:r>
      <w:r w:rsidRPr="00910CE3">
        <w:rPr>
          <w:rFonts w:ascii="TimesNewRoman" w:hAnsi="Times New Roman" w:cs="TimesNewRoman" w:hint="cs"/>
          <w:sz w:val="24"/>
          <w:szCs w:val="24"/>
        </w:rPr>
        <w:t>ā</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Ahmad al-Zarq</w:t>
      </w:r>
      <w:r w:rsidRPr="00910CE3">
        <w:rPr>
          <w:rFonts w:ascii="TimesNewRoman" w:hAnsi="Times New Roman" w:cs="TimesNewRoman" w:hint="cs"/>
          <w:sz w:val="24"/>
          <w:szCs w:val="24"/>
        </w:rPr>
        <w:t>ā</w:t>
      </w:r>
      <w:r w:rsidRPr="00910CE3">
        <w:rPr>
          <w:rFonts w:ascii="Times New Roman" w:hAnsi="Times New Roman" w:cs="Times New Roman"/>
          <w:sz w:val="24"/>
          <w:szCs w:val="24"/>
        </w:rPr>
        <w:t>, qaidah fiqh adalah dasar-dasar fiqh yang kulli, menggunakan redaksi-redaksi singkat yang bersifat undang-undang, serta mencakup hukum-hukum syara</w:t>
      </w:r>
      <w:r w:rsidRPr="00910CE3">
        <w:rPr>
          <w:rFonts w:ascii="TimesNewRoman,Italic" w:hAnsi="Times New Roman" w:cs="TimesNewRoman,Italic" w:hint="cs"/>
          <w:sz w:val="24"/>
          <w:szCs w:val="24"/>
        </w:rPr>
        <w:t>‘</w:t>
      </w:r>
      <w:r w:rsidRPr="00910CE3">
        <w:rPr>
          <w:rFonts w:ascii="TimesNewRoman,Italic" w:hAnsi="Times New Roman" w:cs="TimesNewRoman,Italic"/>
          <w:sz w:val="24"/>
          <w:szCs w:val="24"/>
        </w:rPr>
        <w:t xml:space="preserve"> </w:t>
      </w:r>
      <w:r w:rsidRPr="00910CE3">
        <w:rPr>
          <w:rFonts w:ascii="Times New Roman" w:hAnsi="Times New Roman" w:cs="Times New Roman"/>
          <w:sz w:val="24"/>
          <w:szCs w:val="24"/>
        </w:rPr>
        <w:t>umum tentang peristiwa-peristiwa yang masuk dalam ruang lingkupnya.</w:t>
      </w:r>
      <w:r w:rsidRPr="00910CE3">
        <w:rPr>
          <w:rStyle w:val="FootnoteReference"/>
          <w:rFonts w:ascii="Times New Roman" w:hAnsi="Times New Roman" w:cs="Times New Roman"/>
          <w:sz w:val="24"/>
          <w:szCs w:val="24"/>
        </w:rPr>
        <w:footnoteReference w:id="314"/>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Adapun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Kaidah-kaidah fiqh yang dapat digunakan untuk mempelajari dan mengembangkan </w:t>
      </w:r>
      <w:r w:rsidRPr="00910CE3">
        <w:rPr>
          <w:rFonts w:ascii="Times New Roman" w:hAnsi="Times New Roman" w:cs="Times New Roman"/>
          <w:i/>
          <w:iCs/>
          <w:sz w:val="24"/>
          <w:szCs w:val="24"/>
        </w:rPr>
        <w:t xml:space="preserve">siyāsah  </w:t>
      </w:r>
      <w:r>
        <w:rPr>
          <w:rFonts w:ascii="Times New Roman" w:hAnsi="Times New Roman" w:cs="Times New Roman"/>
          <w:i/>
          <w:iCs/>
          <w:sz w:val="24"/>
          <w:szCs w:val="24"/>
        </w:rPr>
        <w:t>syar‘iyyah</w:t>
      </w:r>
      <w:r w:rsidRPr="00910CE3">
        <w:rPr>
          <w:rFonts w:ascii="Times New Roman" w:hAnsi="Times New Roman" w:cs="Times New Roman"/>
          <w:sz w:val="24"/>
          <w:szCs w:val="24"/>
        </w:rPr>
        <w:t xml:space="preserve"> antara lain :</w:t>
      </w:r>
    </w:p>
    <w:p w:rsidR="00343B61" w:rsidRPr="00A61FD1" w:rsidRDefault="00343B61" w:rsidP="00343B61">
      <w:pPr>
        <w:autoSpaceDE w:val="0"/>
        <w:autoSpaceDN w:val="0"/>
        <w:bidi/>
        <w:adjustRightInd w:val="0"/>
        <w:spacing w:after="0" w:line="240" w:lineRule="auto"/>
        <w:rPr>
          <w:rFonts w:ascii="TraditionalArabic" w:cs="TraditionalArabic"/>
          <w:sz w:val="28"/>
          <w:szCs w:val="28"/>
          <w:rtl/>
        </w:rPr>
      </w:pPr>
      <w:r w:rsidRPr="00BA6E3A">
        <w:rPr>
          <w:rFonts w:ascii="Adobe نسخ Medium" w:hAnsi="Adobe نسخ Medium" w:cs="Traditional Arabic"/>
          <w:sz w:val="32"/>
          <w:szCs w:val="32"/>
          <w:rtl/>
        </w:rPr>
        <w:t>تصرف</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الإمام على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الرعية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منوط</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بالمصلحة</w:t>
      </w:r>
      <w:r w:rsidRPr="00910CE3">
        <w:rPr>
          <w:rStyle w:val="FootnoteReference"/>
          <w:rFonts w:ascii="TraditionalArabic" w:cs="TraditionalArabic"/>
          <w:sz w:val="28"/>
          <w:szCs w:val="28"/>
          <w:rtl/>
        </w:rPr>
        <w:footnoteReference w:id="315"/>
      </w:r>
      <w:r w:rsidRPr="00910CE3">
        <w:rPr>
          <w:rFonts w:ascii="TraditionalArabic" w:cs="TraditionalArabic"/>
          <w:sz w:val="28"/>
          <w:szCs w:val="28"/>
        </w:rPr>
        <w:t xml:space="preserve"> </w:t>
      </w:r>
      <w:r w:rsidRPr="00910CE3">
        <w:rPr>
          <w:rFonts w:ascii="TraditionalArabic" w:cs="TraditionalArabic" w:hint="cs"/>
          <w:sz w:val="28"/>
          <w:szCs w:val="28"/>
          <w:rtl/>
        </w:rPr>
        <w:t xml:space="preserve"> </w:t>
      </w:r>
    </w:p>
    <w:p w:rsidR="00343B61" w:rsidRPr="00910CE3"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sidRPr="00910CE3">
        <w:rPr>
          <w:rFonts w:asciiTheme="majorBidi" w:hAnsiTheme="majorBidi" w:cstheme="majorBidi"/>
          <w:sz w:val="24"/>
          <w:szCs w:val="24"/>
        </w:rPr>
        <w:t>Artinya: “</w:t>
      </w:r>
      <w:r w:rsidRPr="00910CE3">
        <w:rPr>
          <w:rFonts w:asciiTheme="majorBidi" w:hAnsiTheme="majorBidi" w:cstheme="majorBidi"/>
          <w:i/>
          <w:iCs/>
          <w:sz w:val="24"/>
          <w:szCs w:val="24"/>
        </w:rPr>
        <w:t>Kebijakan kepala negara terhadap rakyat harus disesuaikan dengan kemaşlahatan</w:t>
      </w:r>
      <w:r w:rsidRPr="00910CE3">
        <w:rPr>
          <w:rFonts w:asciiTheme="majorBidi" w:hAnsiTheme="majorBidi" w:cstheme="majorBidi"/>
          <w:sz w:val="24"/>
          <w:szCs w:val="24"/>
        </w:rPr>
        <w:t>”.</w:t>
      </w:r>
    </w:p>
    <w:p w:rsidR="00343B61" w:rsidRPr="00910CE3" w:rsidRDefault="00343B61" w:rsidP="00343B61">
      <w:pPr>
        <w:autoSpaceDE w:val="0"/>
        <w:autoSpaceDN w:val="0"/>
        <w:adjustRightInd w:val="0"/>
        <w:spacing w:after="0" w:line="360" w:lineRule="auto"/>
        <w:rPr>
          <w:rFonts w:ascii="Transliterasi" w:cs="Transliterasi"/>
          <w:sz w:val="24"/>
          <w:szCs w:val="24"/>
        </w:rPr>
      </w:pPr>
    </w:p>
    <w:p w:rsidR="00343B61" w:rsidRPr="00910CE3" w:rsidRDefault="00343B61" w:rsidP="00343B61">
      <w:pPr>
        <w:autoSpaceDE w:val="0"/>
        <w:autoSpaceDN w:val="0"/>
        <w:adjustRightInd w:val="0"/>
        <w:spacing w:after="0" w:line="360" w:lineRule="auto"/>
        <w:ind w:left="450" w:firstLine="630"/>
        <w:jc w:val="both"/>
        <w:rPr>
          <w:rFonts w:asciiTheme="majorBidi" w:hAnsiTheme="majorBidi" w:cstheme="majorBidi"/>
          <w:sz w:val="24"/>
          <w:szCs w:val="24"/>
        </w:rPr>
      </w:pPr>
      <w:r w:rsidRPr="00910CE3">
        <w:rPr>
          <w:rFonts w:asciiTheme="majorBidi" w:hAnsiTheme="majorBidi" w:cstheme="majorBidi"/>
          <w:sz w:val="24"/>
          <w:szCs w:val="24"/>
        </w:rPr>
        <w:t>Artinya, pemimpin harus berorientasi kepada kemaslahatan rakyat, bukan mengikuti keinginan hawa nafsu atau keinginan keluarganya atau kelompoknya. Dengan demikian, setiap kebijakan yang maslahat dan bermanfaat bagi rakyat, maka itu yang harus dipentingkan, dikerjakan, dan dievaluasi kemajuannya. Misalnya, membuat irigasi untuk petani, membuka lapangan kerja, melindungi hutan, menjaga lingkungan, mengangkat pegawai pegawai yang amanah dan profesional, dan lain sebagainya.. Sebaliknya, kebijakan yang dapat mendatangkan mafsadat bagi rakyat, maka itulah yang harus dihindari dan dijauhi.</w:t>
      </w:r>
      <w:r w:rsidRPr="00910CE3">
        <w:rPr>
          <w:rStyle w:val="FootnoteReference"/>
          <w:rFonts w:asciiTheme="majorBidi" w:hAnsiTheme="majorBidi" w:cstheme="majorBidi"/>
          <w:sz w:val="24"/>
          <w:szCs w:val="24"/>
        </w:rPr>
        <w:footnoteReference w:id="316"/>
      </w:r>
    </w:p>
    <w:p w:rsidR="00343B61" w:rsidRPr="00910CE3" w:rsidRDefault="00343B61" w:rsidP="00343B61">
      <w:pPr>
        <w:autoSpaceDE w:val="0"/>
        <w:autoSpaceDN w:val="0"/>
        <w:bidi/>
        <w:adjustRightInd w:val="0"/>
        <w:spacing w:after="0" w:line="240" w:lineRule="auto"/>
        <w:rPr>
          <w:rFonts w:ascii="Times New Roman" w:hAnsi="Times New Roman" w:cs="Times New Roman"/>
          <w:spacing w:val="6"/>
          <w:sz w:val="28"/>
          <w:szCs w:val="28"/>
          <w:rtl/>
          <w:lang w:val="sv-SE"/>
        </w:rPr>
      </w:pPr>
      <w:r w:rsidRPr="00BA6E3A">
        <w:rPr>
          <w:rFonts w:ascii="Adobe نسخ Medium" w:hAnsi="Adobe نسخ Medium" w:cs="Traditional Arabic"/>
          <w:spacing w:val="6"/>
          <w:sz w:val="32"/>
          <w:szCs w:val="32"/>
          <w:rtl/>
        </w:rPr>
        <w:t>لا ينكر تغير الأحكام المبنية على المصلحه والعرف بتغير الزمان</w:t>
      </w:r>
      <w:r w:rsidRPr="00910CE3">
        <w:rPr>
          <w:rStyle w:val="FootnoteReference"/>
          <w:rFonts w:ascii="Traditional Arabic" w:hAnsi="Traditional Arabic" w:cs="Times New Roman"/>
          <w:spacing w:val="6"/>
          <w:sz w:val="28"/>
          <w:szCs w:val="28"/>
          <w:rtl/>
        </w:rPr>
        <w:t xml:space="preserve"> </w:t>
      </w:r>
      <w:r w:rsidRPr="00910CE3">
        <w:rPr>
          <w:rStyle w:val="FootnoteReference"/>
          <w:rFonts w:ascii="Traditional Arabic" w:hAnsi="Traditional Arabic" w:cs="Times New Roman"/>
          <w:spacing w:val="6"/>
          <w:sz w:val="28"/>
          <w:szCs w:val="28"/>
          <w:rtl/>
        </w:rPr>
        <w:footnoteReference w:id="317"/>
      </w:r>
      <w:r w:rsidRPr="00910CE3">
        <w:rPr>
          <w:rFonts w:ascii="Times New Roman" w:hAnsi="Times New Roman" w:cs="Times New Roman" w:hint="cs"/>
          <w:spacing w:val="6"/>
          <w:sz w:val="28"/>
          <w:szCs w:val="28"/>
          <w:rtl/>
        </w:rPr>
        <w:t xml:space="preserve"> </w:t>
      </w:r>
      <w:r w:rsidRPr="00910CE3">
        <w:rPr>
          <w:rFonts w:ascii="Times New Roman" w:hAnsi="Times New Roman" w:cs="Times New Roman"/>
          <w:spacing w:val="6"/>
          <w:sz w:val="28"/>
          <w:szCs w:val="28"/>
          <w:lang w:val="sv-SE"/>
        </w:rPr>
        <w:t xml:space="preserve">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pacing w:val="6"/>
          <w:sz w:val="24"/>
          <w:szCs w:val="24"/>
          <w:lang w:val="sv-SE"/>
        </w:rPr>
      </w:pPr>
      <w:r w:rsidRPr="00910CE3">
        <w:rPr>
          <w:rFonts w:ascii="Times New Roman" w:hAnsi="Times New Roman" w:cs="Times New Roman"/>
          <w:spacing w:val="6"/>
          <w:sz w:val="24"/>
          <w:szCs w:val="24"/>
        </w:rPr>
        <w:t>Artinya:“</w:t>
      </w:r>
      <w:r w:rsidRPr="00910CE3">
        <w:rPr>
          <w:rFonts w:ascii="Times New Roman" w:hAnsi="Times New Roman" w:cs="Times New Roman"/>
          <w:spacing w:val="6"/>
          <w:sz w:val="24"/>
          <w:szCs w:val="24"/>
          <w:lang w:val="sv-SE"/>
        </w:rPr>
        <w:t xml:space="preserve"> </w:t>
      </w:r>
      <w:r w:rsidRPr="00910CE3">
        <w:rPr>
          <w:rFonts w:ascii="Times New Roman" w:hAnsi="Times New Roman" w:cs="Times New Roman"/>
          <w:i/>
          <w:iCs/>
          <w:spacing w:val="6"/>
          <w:sz w:val="24"/>
          <w:szCs w:val="24"/>
          <w:lang w:val="sv-SE"/>
        </w:rPr>
        <w:t>Tidak ditolak perubahan hukum yang dibangun oleh kemaslahatan dan ’urf karena perubahan zaman</w:t>
      </w:r>
      <w:r w:rsidRPr="00910CE3">
        <w:rPr>
          <w:rFonts w:ascii="Times New Roman" w:hAnsi="Times New Roman" w:cs="Times New Roman"/>
          <w:spacing w:val="6"/>
          <w:sz w:val="24"/>
          <w:szCs w:val="24"/>
          <w:lang w:val="sv-SE"/>
        </w:rPr>
        <w:t>”</w:t>
      </w:r>
    </w:p>
    <w:p w:rsidR="00343B61" w:rsidRPr="00910CE3" w:rsidRDefault="00343B61" w:rsidP="00343B61">
      <w:pPr>
        <w:autoSpaceDE w:val="0"/>
        <w:autoSpaceDN w:val="0"/>
        <w:adjustRightInd w:val="0"/>
        <w:spacing w:after="0" w:line="360" w:lineRule="auto"/>
        <w:rPr>
          <w:rFonts w:ascii="Transliterasi,Italic" w:hAnsi="Transliterasi,Italic" w:cs="Transliterasi,Italic"/>
          <w:i/>
          <w:iCs/>
          <w:sz w:val="24"/>
          <w:szCs w:val="24"/>
        </w:rPr>
      </w:pPr>
    </w:p>
    <w:p w:rsidR="00343B61" w:rsidRPr="00910CE3" w:rsidRDefault="00343B61" w:rsidP="00343B61">
      <w:pPr>
        <w:autoSpaceDE w:val="0"/>
        <w:autoSpaceDN w:val="0"/>
        <w:bidi/>
        <w:adjustRightInd w:val="0"/>
        <w:spacing w:after="0" w:line="240" w:lineRule="auto"/>
        <w:rPr>
          <w:rFonts w:ascii="TraditionalArabic" w:cs="TraditionalArabic"/>
          <w:sz w:val="28"/>
          <w:szCs w:val="28"/>
        </w:rPr>
      </w:pPr>
      <w:r w:rsidRPr="00BA6E3A">
        <w:rPr>
          <w:rFonts w:ascii="Adobe نسخ Medium" w:hAnsi="Adobe نسخ Medium" w:cs="Traditional Arabic"/>
          <w:sz w:val="32"/>
          <w:szCs w:val="32"/>
          <w:rtl/>
        </w:rPr>
        <w:t>المشقة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تجلب</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التيسير</w:t>
      </w:r>
      <w:r w:rsidRPr="00910CE3">
        <w:rPr>
          <w:rFonts w:ascii="TraditionalArabic" w:cs="TraditionalArabic"/>
          <w:sz w:val="28"/>
          <w:szCs w:val="28"/>
        </w:rPr>
        <w:t xml:space="preserve"> </w:t>
      </w:r>
      <w:r w:rsidRPr="00910CE3">
        <w:rPr>
          <w:rStyle w:val="FootnoteReference"/>
          <w:rFonts w:ascii="TraditionalArabic" w:cs="TraditionalArabic"/>
          <w:sz w:val="28"/>
          <w:szCs w:val="28"/>
        </w:rPr>
        <w:footnoteReference w:id="318"/>
      </w:r>
    </w:p>
    <w:p w:rsidR="00343B61" w:rsidRDefault="00343B61" w:rsidP="00343B61">
      <w:pPr>
        <w:autoSpaceDE w:val="0"/>
        <w:autoSpaceDN w:val="0"/>
        <w:adjustRightInd w:val="0"/>
        <w:spacing w:after="0" w:line="240" w:lineRule="auto"/>
        <w:ind w:left="720" w:firstLine="360"/>
        <w:rPr>
          <w:rFonts w:ascii="Times New Roman" w:hAnsi="Times New Roman" w:cs="Times New Roman"/>
          <w:sz w:val="24"/>
          <w:szCs w:val="24"/>
        </w:rPr>
      </w:pPr>
      <w:r w:rsidRPr="00910CE3">
        <w:rPr>
          <w:rFonts w:ascii="Times New Roman" w:hAnsi="Times New Roman" w:cs="Times New Roman"/>
          <w:sz w:val="24"/>
          <w:szCs w:val="24"/>
        </w:rPr>
        <w:t xml:space="preserve">Artinya: </w:t>
      </w:r>
      <w:r w:rsidRPr="00910CE3">
        <w:rPr>
          <w:rFonts w:ascii="Times New Roman" w:hAnsi="Times New Roman" w:cs="Times New Roman"/>
          <w:i/>
          <w:iCs/>
          <w:sz w:val="24"/>
          <w:szCs w:val="24"/>
        </w:rPr>
        <w:t>“ Kesulitan dapat menarik kemudahan</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left="720" w:firstLine="360"/>
        <w:rPr>
          <w:rFonts w:ascii="Times New Roman" w:hAnsi="Times New Roman" w:cs="Times New Roman"/>
          <w:sz w:val="24"/>
          <w:szCs w:val="24"/>
        </w:rPr>
      </w:pPr>
    </w:p>
    <w:p w:rsidR="00343B61" w:rsidRPr="00910CE3" w:rsidRDefault="00343B61" w:rsidP="00343B61">
      <w:pPr>
        <w:tabs>
          <w:tab w:val="left" w:pos="450"/>
        </w:tabs>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sz w:val="24"/>
          <w:szCs w:val="24"/>
        </w:rPr>
        <w:t xml:space="preserve">Secara etimologi, </w:t>
      </w:r>
      <w:r>
        <w:rPr>
          <w:rFonts w:ascii="Times New Roman" w:hAnsi="Times New Roman" w:cs="Times New Roman"/>
          <w:i/>
          <w:iCs/>
          <w:sz w:val="24"/>
          <w:szCs w:val="24"/>
        </w:rPr>
        <w:t>al-masyaqqah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adalah kelelahan,</w:t>
      </w:r>
      <w:r>
        <w:rPr>
          <w:rFonts w:ascii="Times New Roman" w:hAnsi="Times New Roman" w:cs="Times New Roman"/>
          <w:sz w:val="24"/>
          <w:szCs w:val="24"/>
        </w:rPr>
        <w:t xml:space="preserve"> </w:t>
      </w:r>
      <w:r w:rsidRPr="00910CE3">
        <w:rPr>
          <w:rFonts w:ascii="Times New Roman" w:hAnsi="Times New Roman" w:cs="Times New Roman"/>
          <w:sz w:val="24"/>
          <w:szCs w:val="24"/>
        </w:rPr>
        <w:t>kepayahan, kesulitan, dan kesukaran, sedangkan al-taisīr secara etimologi berarti kemudahan.</w:t>
      </w:r>
      <w:r w:rsidRPr="00910CE3">
        <w:rPr>
          <w:rStyle w:val="FootnoteReference"/>
          <w:rFonts w:ascii="Times New Roman" w:hAnsi="Times New Roman" w:cs="Times New Roman"/>
          <w:sz w:val="24"/>
          <w:szCs w:val="24"/>
        </w:rPr>
        <w:footnoteReference w:id="319"/>
      </w:r>
      <w:r w:rsidRPr="00910CE3">
        <w:rPr>
          <w:rFonts w:ascii="Times New Roman" w:hAnsi="Times New Roman" w:cs="Times New Roman"/>
          <w:sz w:val="24"/>
          <w:szCs w:val="24"/>
        </w:rPr>
        <w:t xml:space="preserve"> Makna kaidah ini adalah kesulitan menyebabkan adanya kemudahan. Hukum-hukum yang dalam penerapannya menimbulkan kesulitan dan kesukaran bagi mukallaf (subjek hukum), maka syari</w:t>
      </w:r>
      <w:r w:rsidRPr="00910CE3">
        <w:rPr>
          <w:rFonts w:ascii="TimesNewRoman" w:hAnsi="Times New Roman" w:cs="TimesNewRoman" w:hint="cs"/>
          <w:sz w:val="24"/>
          <w:szCs w:val="24"/>
        </w:rPr>
        <w:t>‘</w:t>
      </w:r>
      <w:r w:rsidRPr="00910CE3">
        <w:rPr>
          <w:rFonts w:ascii="Times New Roman" w:hAnsi="Times New Roman" w:cs="Times New Roman"/>
          <w:sz w:val="24"/>
          <w:szCs w:val="24"/>
        </w:rPr>
        <w:t>at meringankannya sehingga mukallaf mampu melaksanakannya tanpa kesulitan dan kesukaran.</w:t>
      </w:r>
    </w:p>
    <w:p w:rsidR="00343B61" w:rsidRPr="00910CE3" w:rsidRDefault="00343B61" w:rsidP="00343B61">
      <w:pPr>
        <w:autoSpaceDE w:val="0"/>
        <w:autoSpaceDN w:val="0"/>
        <w:bidi/>
        <w:adjustRightInd w:val="0"/>
        <w:spacing w:after="0" w:line="240" w:lineRule="auto"/>
        <w:ind w:firstLine="17"/>
        <w:jc w:val="both"/>
        <w:rPr>
          <w:rFonts w:ascii="Times New Roman" w:hAnsi="Times New Roman" w:cs="Times New Roman"/>
          <w:sz w:val="28"/>
          <w:szCs w:val="28"/>
        </w:rPr>
      </w:pPr>
      <w:r w:rsidRPr="00BA6E3A">
        <w:rPr>
          <w:rFonts w:ascii="Adobe نسخ Medium" w:hAnsi="Adobe نسخ Medium" w:cs="Traditional Arabic"/>
          <w:sz w:val="32"/>
          <w:szCs w:val="32"/>
          <w:rtl/>
        </w:rPr>
        <w:t>الضرر</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يزال</w:t>
      </w:r>
      <w:r w:rsidRPr="00910CE3">
        <w:rPr>
          <w:rFonts w:ascii="TraditionalArabic" w:cs="TraditionalArabic" w:hint="cs"/>
          <w:sz w:val="28"/>
          <w:szCs w:val="28"/>
          <w:rtl/>
        </w:rPr>
        <w:t xml:space="preserve"> </w:t>
      </w:r>
      <w:r w:rsidRPr="00910CE3">
        <w:rPr>
          <w:rStyle w:val="FootnoteReference"/>
          <w:rFonts w:ascii="TraditionalArabic" w:cs="TraditionalArabic"/>
          <w:sz w:val="28"/>
          <w:szCs w:val="28"/>
          <w:rtl/>
        </w:rPr>
        <w:footnoteReference w:id="320"/>
      </w:r>
    </w:p>
    <w:p w:rsidR="00343B61" w:rsidRDefault="00343B61" w:rsidP="00343B61">
      <w:pPr>
        <w:autoSpaceDE w:val="0"/>
        <w:autoSpaceDN w:val="0"/>
        <w:adjustRightInd w:val="0"/>
        <w:spacing w:after="0" w:line="240" w:lineRule="auto"/>
        <w:ind w:firstLine="1080"/>
        <w:rPr>
          <w:rFonts w:ascii="Times New Roman" w:hAnsi="Times New Roman" w:cs="Times New Roman"/>
          <w:sz w:val="24"/>
          <w:szCs w:val="24"/>
        </w:rPr>
      </w:pPr>
      <w:r w:rsidRPr="00910CE3">
        <w:rPr>
          <w:rFonts w:ascii="Times New Roman" w:hAnsi="Times New Roman" w:cs="Times New Roman"/>
          <w:sz w:val="24"/>
          <w:szCs w:val="24"/>
        </w:rPr>
        <w:t>Artinya: “</w:t>
      </w:r>
      <w:r w:rsidRPr="00910CE3">
        <w:rPr>
          <w:rFonts w:ascii="Times New Roman" w:hAnsi="Times New Roman" w:cs="Times New Roman"/>
          <w:i/>
          <w:iCs/>
          <w:sz w:val="24"/>
          <w:szCs w:val="24"/>
        </w:rPr>
        <w:t>Kemudaratan itu harus dihilangkan</w:t>
      </w:r>
      <w:r w:rsidRPr="00910CE3">
        <w:rPr>
          <w:rFonts w:ascii="Times New Roman" w:hAnsi="Times New Roman" w:cs="Times New Roman"/>
          <w:sz w:val="24"/>
          <w:szCs w:val="24"/>
        </w:rPr>
        <w:t>”</w:t>
      </w:r>
    </w:p>
    <w:p w:rsidR="00343B61" w:rsidRPr="00910CE3" w:rsidRDefault="00343B61" w:rsidP="00343B61">
      <w:pPr>
        <w:autoSpaceDE w:val="0"/>
        <w:autoSpaceDN w:val="0"/>
        <w:adjustRightInd w:val="0"/>
        <w:spacing w:after="0" w:line="240" w:lineRule="auto"/>
        <w:ind w:firstLine="1080"/>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8"/>
          <w:szCs w:val="28"/>
        </w:rPr>
      </w:pPr>
      <w:r w:rsidRPr="00910CE3">
        <w:rPr>
          <w:rFonts w:ascii="Times New Roman" w:hAnsi="Times New Roman" w:cs="Times New Roman"/>
          <w:sz w:val="24"/>
          <w:szCs w:val="24"/>
        </w:rPr>
        <w:t xml:space="preserve">Kaidah fiqh ini kembali kepada tujuan untuk merealisasikan </w:t>
      </w:r>
      <w:r w:rsidRPr="00910CE3">
        <w:rPr>
          <w:rFonts w:ascii="Times New Roman" w:hAnsi="Times New Roman" w:cs="Times New Roman"/>
          <w:i/>
          <w:iCs/>
          <w:sz w:val="24"/>
          <w:szCs w:val="24"/>
        </w:rPr>
        <w:t>maq</w:t>
      </w:r>
      <w:r w:rsidRPr="00910CE3">
        <w:rPr>
          <w:rFonts w:ascii="TimesNewRoman,Italic" w:hAnsi="Times New Roman" w:cs="TimesNewRoman,Italic" w:hint="cs"/>
          <w:i/>
          <w:iCs/>
          <w:sz w:val="24"/>
          <w:szCs w:val="24"/>
        </w:rPr>
        <w:t>āş</w:t>
      </w:r>
      <w:r w:rsidRPr="00910CE3">
        <w:rPr>
          <w:rFonts w:ascii="Times New Roman" w:hAnsi="Times New Roman" w:cs="Times New Roman"/>
          <w:i/>
          <w:iCs/>
          <w:sz w:val="24"/>
          <w:szCs w:val="24"/>
        </w:rPr>
        <w:t>id al-syar</w:t>
      </w:r>
      <w:r w:rsidRPr="00910CE3">
        <w:rPr>
          <w:rFonts w:ascii="TimesNewRoman,Italic" w:hAnsi="Times New Roman" w:cs="TimesNewRoman,Italic" w:hint="cs"/>
          <w:i/>
          <w:iCs/>
          <w:sz w:val="24"/>
          <w:szCs w:val="24"/>
        </w:rPr>
        <w:t>ī‘</w:t>
      </w:r>
      <w:r w:rsidRPr="00910CE3">
        <w:rPr>
          <w:rFonts w:ascii="Times New Roman" w:hAnsi="Times New Roman" w:cs="Times New Roman"/>
          <w:i/>
          <w:iCs/>
          <w:sz w:val="24"/>
          <w:szCs w:val="24"/>
        </w:rPr>
        <w:t xml:space="preserve">at </w:t>
      </w:r>
      <w:r w:rsidRPr="00910CE3">
        <w:rPr>
          <w:rFonts w:ascii="Times New Roman" w:hAnsi="Times New Roman" w:cs="Times New Roman"/>
          <w:sz w:val="24"/>
          <w:szCs w:val="24"/>
        </w:rPr>
        <w:t xml:space="preserve">dengan menolak kemafsadatan, yaitu menghilangkan kemadaratan atau meringankannya. Oleh karena itu, tidak mengherankan jika </w:t>
      </w:r>
      <w:r w:rsidRPr="00910CE3">
        <w:rPr>
          <w:rFonts w:ascii="TimesNewRoman" w:hAnsi="Times New Roman" w:cs="TimesNewRoman" w:hint="cs"/>
          <w:sz w:val="24"/>
          <w:szCs w:val="24"/>
        </w:rPr>
        <w:t>‘</w:t>
      </w:r>
      <w:r w:rsidRPr="00910CE3">
        <w:rPr>
          <w:rFonts w:ascii="Times New Roman" w:hAnsi="Times New Roman" w:cs="Times New Roman"/>
          <w:sz w:val="24"/>
          <w:szCs w:val="24"/>
        </w:rPr>
        <w:t>Al</w:t>
      </w:r>
      <w:r w:rsidRPr="00910CE3">
        <w:rPr>
          <w:rFonts w:ascii="TimesNewRoman" w:hAnsi="Times New Roman" w:cs="TimesNewRoman" w:hint="cs"/>
          <w:sz w:val="24"/>
          <w:szCs w:val="24"/>
        </w:rPr>
        <w:t>ī</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Ahmad al-</w:t>
      </w:r>
      <w:r w:rsidRPr="00910CE3">
        <w:rPr>
          <w:rFonts w:ascii="TimesNewRoman,Italic" w:hAnsi="Times New Roman" w:cs="TimesNewRoman,Italic"/>
          <w:i/>
          <w:iCs/>
          <w:sz w:val="24"/>
          <w:szCs w:val="24"/>
        </w:rPr>
        <w:t xml:space="preserve"> </w:t>
      </w:r>
      <w:r w:rsidRPr="00910CE3">
        <w:rPr>
          <w:rFonts w:ascii="Times New Roman" w:hAnsi="Times New Roman" w:cs="Times New Roman"/>
          <w:sz w:val="24"/>
          <w:szCs w:val="24"/>
        </w:rPr>
        <w:t>Nadaw</w:t>
      </w:r>
      <w:r w:rsidRPr="00910CE3">
        <w:rPr>
          <w:rFonts w:ascii="TimesNewRoman" w:hAnsi="Times New Roman" w:cs="TimesNewRoman" w:hint="cs"/>
          <w:sz w:val="24"/>
          <w:szCs w:val="24"/>
        </w:rPr>
        <w:t>ī</w:t>
      </w:r>
      <w:r w:rsidRPr="00910CE3">
        <w:rPr>
          <w:rFonts w:ascii="TimesNewRoman" w:hAnsi="Times New Roman" w:cs="TimesNewRoman"/>
          <w:sz w:val="24"/>
          <w:szCs w:val="24"/>
        </w:rPr>
        <w:t xml:space="preserve"> </w:t>
      </w:r>
      <w:r w:rsidRPr="00910CE3">
        <w:rPr>
          <w:rFonts w:ascii="Times New Roman" w:hAnsi="Times New Roman" w:cs="Times New Roman"/>
          <w:sz w:val="24"/>
          <w:szCs w:val="24"/>
        </w:rPr>
        <w:t>berpendapat bahwa penerapan kaidah fiqh ini meliputi lapangan yang</w:t>
      </w:r>
      <w:r w:rsidRPr="00910CE3">
        <w:rPr>
          <w:rFonts w:ascii="TimesNewRoman,Italic" w:hAnsi="Times New Roman" w:cs="TimesNewRoman,Italic"/>
          <w:i/>
          <w:iCs/>
          <w:sz w:val="24"/>
          <w:szCs w:val="24"/>
        </w:rPr>
        <w:t xml:space="preserve"> </w:t>
      </w:r>
      <w:r w:rsidRPr="00910CE3">
        <w:rPr>
          <w:rFonts w:ascii="Times New Roman" w:hAnsi="Times New Roman" w:cs="Times New Roman"/>
          <w:sz w:val="24"/>
          <w:szCs w:val="24"/>
        </w:rPr>
        <w:t>luas di dalam fiqh bahkan bisa jadi meliputi seluruh materi fiqh yang ada.</w:t>
      </w:r>
      <w:r w:rsidRPr="00910CE3">
        <w:rPr>
          <w:rStyle w:val="FootnoteReference"/>
          <w:rFonts w:ascii="Times New Roman" w:hAnsi="Times New Roman" w:cs="Times New Roman"/>
          <w:sz w:val="24"/>
          <w:szCs w:val="24"/>
        </w:rPr>
        <w:footnoteReference w:id="321"/>
      </w:r>
    </w:p>
    <w:p w:rsidR="00343B61" w:rsidRPr="00910CE3" w:rsidRDefault="00343B61" w:rsidP="00343B61">
      <w:pPr>
        <w:autoSpaceDE w:val="0"/>
        <w:autoSpaceDN w:val="0"/>
        <w:bidi/>
        <w:adjustRightInd w:val="0"/>
        <w:spacing w:after="0" w:line="240" w:lineRule="auto"/>
        <w:rPr>
          <w:rFonts w:ascii="TraditionalArabic" w:hAnsi="Times New Roman" w:cs="TraditionalArabic"/>
          <w:sz w:val="28"/>
          <w:szCs w:val="28"/>
        </w:rPr>
      </w:pPr>
      <w:r w:rsidRPr="00BA6E3A">
        <w:rPr>
          <w:rFonts w:ascii="Adobe نسخ Medium" w:hAnsi="Adobe نسخ Medium" w:cs="Traditional Arabic"/>
          <w:sz w:val="32"/>
          <w:szCs w:val="32"/>
          <w:rtl/>
        </w:rPr>
        <w:t>الحقوق</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لا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يجوز</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فيها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إلا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ما</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يجوز</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فى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الحكم</w:t>
      </w:r>
      <w:r w:rsidRPr="00910CE3">
        <w:rPr>
          <w:rFonts w:ascii="TraditionalArabic" w:hAnsi="Times New Roman" w:cs="TraditionalArabic"/>
          <w:sz w:val="28"/>
          <w:szCs w:val="28"/>
        </w:rPr>
        <w:t xml:space="preserve"> </w:t>
      </w:r>
      <w:r w:rsidRPr="00910CE3">
        <w:rPr>
          <w:rStyle w:val="FootnoteReference"/>
          <w:rFonts w:ascii="TraditionalArabic" w:hAnsi="Times New Roman" w:cs="TraditionalArabic"/>
          <w:sz w:val="28"/>
          <w:szCs w:val="28"/>
        </w:rPr>
        <w:footnoteReference w:id="322"/>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 xml:space="preserve">Artinya: </w:t>
      </w:r>
      <w:r w:rsidRPr="00910CE3">
        <w:rPr>
          <w:rFonts w:ascii="Times New Roman" w:hAnsi="Times New Roman" w:cs="Times New Roman"/>
        </w:rPr>
        <w:t xml:space="preserve"> </w:t>
      </w:r>
      <w:r w:rsidRPr="00910CE3">
        <w:rPr>
          <w:rFonts w:ascii="Times New Roman" w:hAnsi="Times New Roman" w:cs="Times New Roman"/>
          <w:sz w:val="24"/>
          <w:szCs w:val="24"/>
        </w:rPr>
        <w:t>“</w:t>
      </w:r>
      <w:r w:rsidRPr="00910CE3">
        <w:rPr>
          <w:rFonts w:ascii="Times New Roman" w:hAnsi="Times New Roman" w:cs="Times New Roman"/>
          <w:i/>
          <w:iCs/>
          <w:sz w:val="24"/>
          <w:szCs w:val="24"/>
        </w:rPr>
        <w:t>Hak tidak dapat ditetapkan kecuali yang ditetapka n oleh hukum</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sz w:val="24"/>
          <w:szCs w:val="24"/>
        </w:rPr>
        <w:lastRenderedPageBreak/>
        <w:t>Misalnya, tidak</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cukup menetapkan hak dengan satu orang saksi meskipun saksi itu adalah orang</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yang adil, seperti dalam kasus hutang piutang, tetapi hak itu harus ditetapkan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oleh dua orang saksi sebagaimana yang diisyaratkan oleh hukum.</w:t>
      </w:r>
      <w:r w:rsidRPr="00910CE3">
        <w:rPr>
          <w:rFonts w:ascii="Times New Roman" w:hAnsi="Times New Roman" w:cs="Times New Roman"/>
          <w:sz w:val="16"/>
          <w:szCs w:val="16"/>
        </w:rPr>
        <w:t xml:space="preserve"> </w:t>
      </w:r>
      <w:r w:rsidRPr="00910CE3">
        <w:rPr>
          <w:rFonts w:ascii="Times New Roman" w:hAnsi="Times New Roman" w:cs="Times New Roman"/>
          <w:sz w:val="24"/>
          <w:szCs w:val="24"/>
        </w:rPr>
        <w:t>Begitu</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juga, dalam kasus perkawinan dan tindakan kriminal kecuali saksi dalam kasus</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perzinaan yang ditetapkan harus berjumlah empat orang laki-laki.</w:t>
      </w:r>
      <w:r w:rsidRPr="00910CE3">
        <w:rPr>
          <w:rStyle w:val="FootnoteReference"/>
          <w:rFonts w:ascii="Times New Roman" w:hAnsi="Times New Roman" w:cs="Times New Roman"/>
          <w:sz w:val="24"/>
          <w:szCs w:val="24"/>
        </w:rPr>
        <w:footnoteReference w:id="323"/>
      </w:r>
    </w:p>
    <w:p w:rsidR="00343B61" w:rsidRPr="00BA6E3A" w:rsidRDefault="00343B61" w:rsidP="00343B61">
      <w:pPr>
        <w:autoSpaceDE w:val="0"/>
        <w:autoSpaceDN w:val="0"/>
        <w:bidi/>
        <w:adjustRightInd w:val="0"/>
        <w:spacing w:after="0" w:line="240" w:lineRule="auto"/>
        <w:rPr>
          <w:rFonts w:ascii="Adobe نسخ Medium" w:hAnsi="Adobe نسخ Medium" w:cs="Traditional Arabic"/>
          <w:sz w:val="32"/>
          <w:szCs w:val="32"/>
        </w:rPr>
      </w:pPr>
      <w:r w:rsidRPr="00BA6E3A">
        <w:rPr>
          <w:rFonts w:ascii="Adobe نسخ Medium" w:hAnsi="Adobe نسخ Medium" w:cs="Traditional Arabic"/>
          <w:sz w:val="32"/>
          <w:szCs w:val="32"/>
          <w:rtl/>
        </w:rPr>
        <w:t>كل</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شرط</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مخالف</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أصول</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الشريعة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باطل</w:t>
      </w:r>
    </w:p>
    <w:p w:rsidR="00343B61"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Artinya: “</w:t>
      </w:r>
      <w:r w:rsidRPr="00910CE3">
        <w:rPr>
          <w:rFonts w:ascii="Times New Roman" w:hAnsi="Times New Roman" w:cs="Times New Roman"/>
          <w:i/>
          <w:iCs/>
          <w:sz w:val="24"/>
          <w:szCs w:val="24"/>
        </w:rPr>
        <w:t>Setiap syarat yang bertentangan dengan dasar-dasar syari</w:t>
      </w:r>
      <w:r w:rsidRPr="00910CE3">
        <w:rPr>
          <w:rFonts w:ascii="TimesNewRoman,Italic" w:cs="TimesNewRoman,Italic" w:hint="cs"/>
          <w:i/>
          <w:iCs/>
          <w:sz w:val="24"/>
          <w:szCs w:val="24"/>
        </w:rPr>
        <w:t>‘</w:t>
      </w:r>
      <w:r w:rsidRPr="00910CE3">
        <w:rPr>
          <w:rFonts w:ascii="Times New Roman" w:hAnsi="Times New Roman" w:cs="Times New Roman"/>
          <w:i/>
          <w:iCs/>
          <w:sz w:val="24"/>
          <w:szCs w:val="24"/>
        </w:rPr>
        <w:t>at adalah batal</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lowKashida"/>
        <w:rPr>
          <w:rFonts w:asciiTheme="majorBidi" w:hAnsiTheme="majorBidi" w:cstheme="majorBidi"/>
          <w:sz w:val="24"/>
          <w:szCs w:val="24"/>
        </w:rPr>
      </w:pPr>
      <w:r w:rsidRPr="00910CE3">
        <w:rPr>
          <w:rFonts w:asciiTheme="majorBidi" w:hAnsiTheme="majorBidi" w:cstheme="majorBidi"/>
          <w:sz w:val="24"/>
          <w:szCs w:val="24"/>
        </w:rPr>
        <w:t xml:space="preserve">Yang dimaksud dengan </w:t>
      </w:r>
      <w:r w:rsidRPr="00910CE3">
        <w:rPr>
          <w:rFonts w:asciiTheme="majorBidi" w:hAnsiTheme="majorBidi" w:cstheme="majorBidi"/>
          <w:i/>
          <w:iCs/>
          <w:sz w:val="24"/>
          <w:szCs w:val="24"/>
        </w:rPr>
        <w:t xml:space="preserve">uşūl syarī‘at </w:t>
      </w:r>
      <w:r w:rsidRPr="00910CE3">
        <w:rPr>
          <w:rFonts w:asciiTheme="majorBidi" w:hAnsiTheme="majorBidi" w:cstheme="majorBidi"/>
          <w:sz w:val="24"/>
          <w:szCs w:val="24"/>
        </w:rPr>
        <w:t>adalah aturan-aturan, prinsip-prinsip, atau ketentuan-ketentuan syari‘at. Ketentuan</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seperti yang ditetapkan kaidah fiqh ini berlaku pada semua bidang fiqh, baik</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dalam bidang ibadah </w:t>
      </w:r>
      <w:r w:rsidRPr="00910CE3">
        <w:rPr>
          <w:rFonts w:asciiTheme="majorBidi" w:hAnsiTheme="majorBidi" w:cstheme="majorBidi"/>
          <w:i/>
          <w:iCs/>
          <w:sz w:val="24"/>
          <w:szCs w:val="24"/>
        </w:rPr>
        <w:t>mahdlah</w:t>
      </w:r>
      <w:r w:rsidRPr="00910CE3">
        <w:rPr>
          <w:rFonts w:asciiTheme="majorBidi" w:hAnsiTheme="majorBidi" w:cstheme="majorBidi"/>
          <w:sz w:val="24"/>
          <w:szCs w:val="24"/>
        </w:rPr>
        <w:t xml:space="preserve">, munakahat, waris, muamalah, </w:t>
      </w:r>
      <w:r>
        <w:rPr>
          <w:rFonts w:asciiTheme="majorBidi" w:hAnsiTheme="majorBidi" w:cstheme="majorBidi"/>
          <w:sz w:val="24"/>
          <w:szCs w:val="24"/>
        </w:rPr>
        <w:t>siyāsah</w:t>
      </w:r>
      <w:r w:rsidRPr="00910CE3">
        <w:rPr>
          <w:rFonts w:asciiTheme="majorBidi" w:hAnsiTheme="majorBidi" w:cstheme="majorBidi"/>
          <w:sz w:val="24"/>
          <w:szCs w:val="24"/>
        </w:rPr>
        <w:t>, jinayah,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maupun peradilan.</w:t>
      </w:r>
      <w:r w:rsidRPr="00910CE3">
        <w:rPr>
          <w:rStyle w:val="FootnoteReference"/>
          <w:rFonts w:asciiTheme="majorBidi" w:hAnsiTheme="majorBidi" w:cstheme="majorBidi"/>
          <w:sz w:val="24"/>
          <w:szCs w:val="24"/>
        </w:rPr>
        <w:footnoteReference w:id="324"/>
      </w:r>
    </w:p>
    <w:p w:rsidR="00343B61" w:rsidRPr="00910CE3" w:rsidRDefault="00343B61" w:rsidP="00343B61">
      <w:pPr>
        <w:autoSpaceDE w:val="0"/>
        <w:autoSpaceDN w:val="0"/>
        <w:bidi/>
        <w:adjustRightInd w:val="0"/>
        <w:spacing w:after="0" w:line="240" w:lineRule="auto"/>
        <w:rPr>
          <w:rFonts w:ascii="TraditionalArabic" w:hAnsi="Times New Roman" w:cs="TraditionalArabic"/>
          <w:sz w:val="28"/>
          <w:szCs w:val="28"/>
        </w:rPr>
      </w:pPr>
      <w:r w:rsidRPr="00BA6E3A">
        <w:rPr>
          <w:rFonts w:ascii="Adobe نسخ Medium" w:hAnsi="Adobe نسخ Medium" w:cs="Traditional Arabic"/>
          <w:sz w:val="32"/>
          <w:szCs w:val="32"/>
          <w:rtl/>
        </w:rPr>
        <w:t>إقامة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الحدود</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و</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رفع</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التنازع</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فى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الحقوق</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يختص</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بالحكام</w:t>
      </w:r>
      <w:r w:rsidRPr="00910CE3">
        <w:rPr>
          <w:rFonts w:ascii="TraditionalArabic" w:hAnsi="Times New Roman" w:cs="TraditionalArabic"/>
          <w:sz w:val="28"/>
          <w:szCs w:val="28"/>
        </w:rPr>
        <w:t xml:space="preserve"> </w:t>
      </w:r>
      <w:r w:rsidRPr="00910CE3">
        <w:rPr>
          <w:rStyle w:val="FootnoteReference"/>
          <w:rFonts w:ascii="TraditionalArabic" w:hAnsi="Times New Roman" w:cs="TraditionalArabic"/>
          <w:sz w:val="28"/>
          <w:szCs w:val="28"/>
        </w:rPr>
        <w:footnoteReference w:id="325"/>
      </w:r>
    </w:p>
    <w:p w:rsidR="00343B61"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Artinya:”</w:t>
      </w:r>
      <w:r w:rsidRPr="00910CE3">
        <w:rPr>
          <w:rFonts w:ascii="Times New Roman" w:hAnsi="Times New Roman" w:cs="Times New Roman"/>
          <w:i/>
          <w:iCs/>
          <w:sz w:val="24"/>
          <w:szCs w:val="24"/>
        </w:rPr>
        <w:t>Menegakkan hudud dan menyelesaikan persengketaan tentang hak-hak, khusus kepada pemerintah/pengadilan</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i/>
          <w:iCs/>
          <w:sz w:val="24"/>
          <w:szCs w:val="24"/>
        </w:rPr>
      </w:pPr>
      <w:r w:rsidRPr="00910CE3">
        <w:rPr>
          <w:rFonts w:ascii="Times New Roman" w:hAnsi="Times New Roman" w:cs="Times New Roman"/>
          <w:sz w:val="24"/>
          <w:szCs w:val="24"/>
        </w:rPr>
        <w:t xml:space="preserve">Artinya, tidak dapat seseorang yang tidak memiliki kekuasaan untuk melaksanakan hukuman </w:t>
      </w:r>
      <w:r w:rsidRPr="00910CE3">
        <w:rPr>
          <w:rFonts w:ascii="Times New Roman" w:hAnsi="Times New Roman" w:cs="Times New Roman"/>
          <w:i/>
          <w:iCs/>
          <w:sz w:val="24"/>
          <w:szCs w:val="24"/>
        </w:rPr>
        <w:t xml:space="preserve">hudud </w:t>
      </w:r>
      <w:r w:rsidRPr="00910CE3">
        <w:rPr>
          <w:rFonts w:ascii="Times New Roman" w:hAnsi="Times New Roman" w:cs="Times New Roman"/>
          <w:sz w:val="24"/>
          <w:szCs w:val="24"/>
        </w:rPr>
        <w:t>atau</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menyelesaikan pertengkaran kecuali melalui petugas khusus dari</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penguasa.</w:t>
      </w:r>
    </w:p>
    <w:p w:rsidR="00343B61" w:rsidRPr="00910CE3" w:rsidRDefault="00343B61" w:rsidP="00343B61">
      <w:pPr>
        <w:autoSpaceDE w:val="0"/>
        <w:autoSpaceDN w:val="0"/>
        <w:bidi/>
        <w:adjustRightInd w:val="0"/>
        <w:spacing w:after="0" w:line="240" w:lineRule="auto"/>
        <w:rPr>
          <w:rFonts w:ascii="Times New Roman" w:hAnsi="Times New Roman" w:cs="Times New Roman"/>
          <w:sz w:val="24"/>
          <w:szCs w:val="24"/>
        </w:rPr>
      </w:pPr>
      <w:r w:rsidRPr="00BA6E3A">
        <w:rPr>
          <w:rFonts w:ascii="Adobe نسخ Medium" w:hAnsi="Adobe نسخ Medium" w:cs="Traditional Arabic"/>
          <w:sz w:val="32"/>
          <w:szCs w:val="32"/>
          <w:rtl/>
        </w:rPr>
        <w:t>الولاية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الخاصة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أقوى</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من</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الولاية</w:t>
      </w:r>
      <w:r w:rsidRPr="00BA6E3A">
        <w:rPr>
          <w:rFonts w:ascii="Adobe نسخ Medium" w:hAnsi="Adobe نسخ Medium" w:cs="Traditional Arabic"/>
          <w:sz w:val="32"/>
          <w:szCs w:val="32"/>
        </w:rPr>
        <w:t xml:space="preserve"> </w:t>
      </w:r>
      <w:r w:rsidRPr="00BA6E3A">
        <w:rPr>
          <w:rFonts w:ascii="Adobe نسخ Medium" w:hAnsi="Adobe نسخ Medium" w:cs="Traditional Arabic"/>
          <w:sz w:val="32"/>
          <w:szCs w:val="32"/>
          <w:rtl/>
        </w:rPr>
        <w:t>العامة</w:t>
      </w:r>
      <w:r w:rsidRPr="00910CE3">
        <w:rPr>
          <w:rStyle w:val="FootnoteReference"/>
          <w:rFonts w:ascii="TraditionalArabic" w:cs="TraditionalArabic"/>
          <w:sz w:val="28"/>
          <w:szCs w:val="28"/>
          <w:rtl/>
        </w:rPr>
        <w:footnoteReference w:id="326"/>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firstLine="1080"/>
        <w:rPr>
          <w:rFonts w:ascii="Times New Roman" w:hAnsi="Times New Roman" w:cs="Times New Roman"/>
          <w:sz w:val="24"/>
          <w:szCs w:val="24"/>
        </w:rPr>
      </w:pPr>
      <w:r w:rsidRPr="00910CE3">
        <w:rPr>
          <w:rFonts w:ascii="Times New Roman" w:hAnsi="Times New Roman" w:cs="Times New Roman"/>
          <w:sz w:val="24"/>
          <w:szCs w:val="24"/>
        </w:rPr>
        <w:t xml:space="preserve">Artinya: “ </w:t>
      </w:r>
      <w:r w:rsidRPr="00910CE3">
        <w:rPr>
          <w:rFonts w:ascii="Times New Roman" w:hAnsi="Times New Roman" w:cs="Times New Roman"/>
          <w:i/>
          <w:iCs/>
          <w:sz w:val="24"/>
          <w:szCs w:val="24"/>
        </w:rPr>
        <w:t>Kekuasaan khusus lebih kuat daripaaa kekuasaan umum</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firstLine="810"/>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sz w:val="24"/>
          <w:szCs w:val="24"/>
        </w:rPr>
        <w:t>Maksudnya, lembaga-lembaga yang khusus lebih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kuat kekuasaannya daripada lembaga-lembaga yang umum, seperti camat</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lebih kuat kekuasaannya dalam wilayahnya daripada bupati, ketua RT lebih</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kuat </w:t>
      </w:r>
      <w:r w:rsidRPr="00910CE3">
        <w:rPr>
          <w:rFonts w:ascii="Times New Roman" w:hAnsi="Times New Roman" w:cs="Times New Roman"/>
          <w:sz w:val="24"/>
          <w:szCs w:val="24"/>
        </w:rPr>
        <w:lastRenderedPageBreak/>
        <w:t>kekuasaannya dalam wilayahnya daripada kepala desa, wali nasab</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lebih kuat kekuasaannya terhadap anaknya daripada lembaga peradilan</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agama, dan sebagainya.</w:t>
      </w:r>
    </w:p>
    <w:p w:rsidR="00343B61" w:rsidRPr="004569F4" w:rsidRDefault="00343B61" w:rsidP="00343B61">
      <w:pPr>
        <w:autoSpaceDE w:val="0"/>
        <w:autoSpaceDN w:val="0"/>
        <w:bidi/>
        <w:adjustRightInd w:val="0"/>
        <w:spacing w:after="0" w:line="240" w:lineRule="auto"/>
        <w:jc w:val="both"/>
        <w:rPr>
          <w:rFonts w:ascii="Times New Roman" w:hAnsi="Times New Roman" w:cs="Times New Roman"/>
          <w:sz w:val="28"/>
          <w:szCs w:val="28"/>
        </w:rPr>
      </w:pPr>
      <w:r w:rsidRPr="00BA6E3A">
        <w:rPr>
          <w:rFonts w:ascii="Adobe نسخ Medium" w:hAnsi="Adobe نسخ Medium" w:cs="Traditional Arabic"/>
          <w:sz w:val="32"/>
          <w:szCs w:val="32"/>
          <w:rtl/>
        </w:rPr>
        <w:t>ما لا يدرك كله لا يترك كله</w:t>
      </w:r>
      <w:r w:rsidRPr="00910CE3">
        <w:rPr>
          <w:rFonts w:ascii="Times New Roman" w:hAnsi="Times New Roman" w:cs="Times New Roman"/>
          <w:sz w:val="28"/>
          <w:szCs w:val="28"/>
        </w:rPr>
        <w:t xml:space="preserve"> </w:t>
      </w:r>
      <w:r w:rsidRPr="00910CE3">
        <w:rPr>
          <w:rStyle w:val="FootnoteReference"/>
          <w:rFonts w:ascii="Times New Roman" w:hAnsi="Times New Roman" w:cs="Times New Roman"/>
          <w:sz w:val="28"/>
          <w:szCs w:val="28"/>
        </w:rPr>
        <w:footnoteReference w:id="327"/>
      </w:r>
    </w:p>
    <w:p w:rsidR="00343B61"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r w:rsidRPr="00910CE3">
        <w:rPr>
          <w:rFonts w:ascii="Times New Roman" w:hAnsi="Times New Roman" w:cs="Times New Roman"/>
          <w:sz w:val="24"/>
          <w:szCs w:val="24"/>
        </w:rPr>
        <w:t>Artinya:</w:t>
      </w:r>
      <w:r w:rsidRPr="00910CE3">
        <w:rPr>
          <w:rFonts w:ascii="Times New Roman" w:hAnsi="Times New Roman" w:cs="Times New Roman"/>
          <w:i/>
          <w:iCs/>
          <w:sz w:val="24"/>
          <w:szCs w:val="24"/>
        </w:rPr>
        <w:t xml:space="preserve">“Perkara yang tidak dapat dikerjakan seluruhnya, maka tidak ditinggalkan seluruhnya”.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i/>
          <w:iCs/>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sz w:val="24"/>
          <w:szCs w:val="24"/>
        </w:rPr>
        <w:t>Artinya, apabila suatu keputusan yang baik sudah diambil tetapi dalam pelaksanaannya banyak hambatan, maka tidak berarti harus ditinggalkan semuanya. Akan tetapi, apa yang dapat dilaksanakan itulah yang dikerjakan sesuai dengan kesempatan dan kemampuan yang ada.</w:t>
      </w:r>
    </w:p>
    <w:p w:rsidR="00343B61" w:rsidRPr="00910CE3" w:rsidRDefault="00343B61" w:rsidP="00343B61">
      <w:pPr>
        <w:autoSpaceDE w:val="0"/>
        <w:autoSpaceDN w:val="0"/>
        <w:bidi/>
        <w:adjustRightInd w:val="0"/>
        <w:spacing w:after="0" w:line="240" w:lineRule="auto"/>
        <w:rPr>
          <w:rFonts w:ascii="Times New Roman" w:hAnsi="Times New Roman" w:cs="Times New Roman"/>
          <w:sz w:val="24"/>
          <w:szCs w:val="24"/>
        </w:rPr>
      </w:pPr>
      <w:r w:rsidRPr="006B1067">
        <w:rPr>
          <w:rFonts w:ascii="Adobe نسخ Medium" w:hAnsi="Adobe نسخ Medium" w:cs="Traditional Arabic"/>
          <w:sz w:val="32"/>
          <w:szCs w:val="32"/>
          <w:rtl/>
        </w:rPr>
        <w:t>حكم</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الحاكم</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فى</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مسائل</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الإجتهاد</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يرفع</w:t>
      </w:r>
      <w:r w:rsidRPr="006B1067">
        <w:rPr>
          <w:rFonts w:ascii="Adobe نسخ Medium" w:hAnsi="Adobe نسخ Medium" w:cs="Traditional Arabic"/>
          <w:sz w:val="32"/>
          <w:szCs w:val="32"/>
        </w:rPr>
        <w:t xml:space="preserve"> </w:t>
      </w:r>
      <w:r w:rsidRPr="006B1067">
        <w:rPr>
          <w:rFonts w:ascii="Adobe نسخ Medium" w:hAnsi="Adobe نسخ Medium" w:cs="Traditional Arabic"/>
          <w:sz w:val="32"/>
          <w:szCs w:val="32"/>
          <w:rtl/>
        </w:rPr>
        <w:t>الخلاف</w:t>
      </w:r>
      <w:r w:rsidRPr="00910CE3">
        <w:rPr>
          <w:rStyle w:val="FootnoteReference"/>
          <w:rFonts w:ascii="TraditionalArabic" w:hAnsi="Times New Roman" w:cs="TraditionalArabic"/>
          <w:sz w:val="28"/>
          <w:szCs w:val="28"/>
          <w:rtl/>
        </w:rPr>
        <w:footnoteReference w:id="328"/>
      </w:r>
      <w:r w:rsidRPr="00910CE3">
        <w:rPr>
          <w:rFonts w:ascii="Times New Roman" w:hAnsi="Times New Roman" w:cs="Times New Roman"/>
          <w:sz w:val="24"/>
          <w:szCs w:val="24"/>
        </w:rPr>
        <w:t>.</w:t>
      </w:r>
    </w:p>
    <w:p w:rsidR="00343B61"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r w:rsidRPr="00910CE3">
        <w:rPr>
          <w:rFonts w:ascii="Times New Roman" w:hAnsi="Times New Roman" w:cs="Times New Roman"/>
          <w:sz w:val="24"/>
          <w:szCs w:val="24"/>
        </w:rPr>
        <w:t>Artinya: “</w:t>
      </w:r>
      <w:r w:rsidRPr="00910CE3">
        <w:rPr>
          <w:rFonts w:ascii="Times New Roman" w:hAnsi="Times New Roman" w:cs="Times New Roman"/>
          <w:i/>
          <w:iCs/>
          <w:sz w:val="24"/>
          <w:szCs w:val="24"/>
        </w:rPr>
        <w:t>Hukum yang diputuskan hakim dalam masalah-masalah ijtihad menghilangkan perbedaan pendapat</w:t>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240" w:lineRule="auto"/>
        <w:ind w:left="1080"/>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ind w:left="450" w:firstLine="630"/>
        <w:jc w:val="both"/>
        <w:rPr>
          <w:rFonts w:ascii="Times New Roman" w:hAnsi="Times New Roman" w:cs="Times New Roman"/>
          <w:sz w:val="24"/>
          <w:szCs w:val="24"/>
        </w:rPr>
      </w:pPr>
      <w:r w:rsidRPr="00910CE3">
        <w:rPr>
          <w:rFonts w:ascii="Times New Roman" w:hAnsi="Times New Roman" w:cs="Times New Roman"/>
          <w:sz w:val="24"/>
          <w:szCs w:val="24"/>
        </w:rPr>
        <w:t>Artinya, apabila seorang hakim menghadapi</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 xml:space="preserve">perbedaan pendapat di kalangan ulama, kemudian dia </w:t>
      </w:r>
      <w:r w:rsidRPr="00910CE3">
        <w:rPr>
          <w:rFonts w:ascii="Times New Roman" w:hAnsi="Times New Roman" w:cs="Times New Roman"/>
          <w:i/>
          <w:iCs/>
          <w:sz w:val="24"/>
          <w:szCs w:val="24"/>
        </w:rPr>
        <w:t xml:space="preserve">mentarjih </w:t>
      </w:r>
      <w:r w:rsidRPr="00910CE3">
        <w:rPr>
          <w:rFonts w:ascii="Times New Roman" w:hAnsi="Times New Roman" w:cs="Times New Roman"/>
          <w:sz w:val="24"/>
          <w:szCs w:val="24"/>
        </w:rPr>
        <w:t>(menguatkan) salah satu pendapat di antara pendapat-pendapat ulama</w:t>
      </w:r>
      <w:r w:rsidRPr="00910CE3">
        <w:rPr>
          <w:rFonts w:ascii="Times New Roman" w:hAnsi="Times New Roman" w:cs="Times New Roman"/>
          <w:i/>
          <w:iCs/>
          <w:sz w:val="24"/>
          <w:szCs w:val="24"/>
        </w:rPr>
        <w:t xml:space="preserve"> </w:t>
      </w:r>
      <w:r w:rsidRPr="00910CE3">
        <w:rPr>
          <w:rFonts w:ascii="Times New Roman" w:hAnsi="Times New Roman" w:cs="Times New Roman"/>
          <w:sz w:val="24"/>
          <w:szCs w:val="24"/>
        </w:rPr>
        <w:t>tersebut, maka bagi orang-orang yang berperkara harus menerima keputusan tersebut. Orang yang berperkara tidak dapat menolak keputusan hukum tersebut dengan alasan ada pendapat lain yang berbeda dengan hasil ijtihad hakim.</w:t>
      </w:r>
    </w:p>
    <w:p w:rsidR="00343B61" w:rsidRPr="00910CE3" w:rsidRDefault="00343B61" w:rsidP="002C0A33">
      <w:pPr>
        <w:pStyle w:val="ListParagraph"/>
        <w:numPr>
          <w:ilvl w:val="0"/>
          <w:numId w:val="25"/>
        </w:numPr>
        <w:tabs>
          <w:tab w:val="left" w:pos="1843"/>
        </w:tabs>
        <w:spacing w:line="360" w:lineRule="auto"/>
        <w:ind w:left="360"/>
        <w:jc w:val="both"/>
        <w:rPr>
          <w:rFonts w:asciiTheme="majorBidi" w:hAnsiTheme="majorBidi" w:cstheme="majorBidi"/>
          <w:sz w:val="24"/>
          <w:szCs w:val="24"/>
        </w:rPr>
      </w:pPr>
      <w:r w:rsidRPr="00910CE3">
        <w:rPr>
          <w:rFonts w:asciiTheme="majorBidi" w:hAnsiTheme="majorBidi" w:cstheme="majorBidi"/>
          <w:sz w:val="24"/>
          <w:szCs w:val="24"/>
        </w:rPr>
        <w:t xml:space="preserve">Inplementasi </w:t>
      </w:r>
      <w:r>
        <w:rPr>
          <w:rFonts w:asciiTheme="majorBidi" w:hAnsiTheme="majorBidi" w:cstheme="majorBidi"/>
          <w:i/>
          <w:iCs/>
          <w:sz w:val="24"/>
          <w:szCs w:val="24"/>
        </w:rPr>
        <w:t xml:space="preserve">Siyāsah syar‘iyyah </w:t>
      </w:r>
      <w:r w:rsidRPr="00910CE3">
        <w:rPr>
          <w:rFonts w:asciiTheme="majorBidi" w:hAnsiTheme="majorBidi" w:cstheme="majorBidi"/>
          <w:sz w:val="24"/>
          <w:szCs w:val="24"/>
        </w:rPr>
        <w:t>Dalam Legislasi Hukum Islam di Indonesia</w:t>
      </w:r>
    </w:p>
    <w:p w:rsidR="00343B61" w:rsidRPr="00910CE3" w:rsidRDefault="00343B61" w:rsidP="00343B61">
      <w:pPr>
        <w:pStyle w:val="ListParagraph"/>
        <w:spacing w:line="360" w:lineRule="auto"/>
        <w:ind w:left="0" w:firstLine="720"/>
        <w:jc w:val="both"/>
        <w:rPr>
          <w:rFonts w:ascii="Times New Roman" w:hAnsi="Times New Roman" w:cs="Times New Roman"/>
          <w:sz w:val="24"/>
          <w:szCs w:val="24"/>
        </w:rPr>
      </w:pPr>
      <w:r w:rsidRPr="00910CE3">
        <w:rPr>
          <w:rFonts w:ascii="Times New Roman" w:hAnsi="Times New Roman" w:cs="Times New Roman"/>
          <w:sz w:val="24"/>
          <w:szCs w:val="24"/>
        </w:rPr>
        <w:t>Dinamika pemikiran Islam khususnya dalam hukum Islam sudah dilakukan mulai dari adanya Islam di Nusantara. Hanya saja yang terjadi adalah belum maksimalnya kajian secara khusus terhadap hukum Islam itu sendiri.</w:t>
      </w:r>
      <w:r w:rsidRPr="00910CE3">
        <w:rPr>
          <w:rStyle w:val="FootnoteReference"/>
          <w:rFonts w:ascii="Times New Roman" w:hAnsi="Times New Roman" w:cs="Times New Roman"/>
          <w:sz w:val="24"/>
          <w:szCs w:val="24"/>
        </w:rPr>
        <w:footnoteReference w:id="329"/>
      </w:r>
      <w:r w:rsidRPr="00910CE3">
        <w:rPr>
          <w:rFonts w:ascii="Times New Roman" w:hAnsi="Times New Roman" w:cs="Times New Roman"/>
          <w:sz w:val="24"/>
          <w:szCs w:val="24"/>
        </w:rPr>
        <w:t xml:space="preserve"> Hal ini boleh jadi disebabkan oleh faktor atmosfir umat yang yang ketika itu berada dalam kejumudan berfikir, terlebih pada masanya umat Islam berada dalam </w:t>
      </w:r>
      <w:r w:rsidRPr="00910CE3">
        <w:rPr>
          <w:rFonts w:ascii="Times New Roman" w:hAnsi="Times New Roman" w:cs="Times New Roman"/>
          <w:sz w:val="24"/>
          <w:szCs w:val="24"/>
        </w:rPr>
        <w:lastRenderedPageBreak/>
        <w:t>kecenderungan membawa warna tasauf,</w:t>
      </w:r>
      <w:r w:rsidRPr="00910CE3">
        <w:rPr>
          <w:rStyle w:val="FootnoteReference"/>
          <w:rFonts w:ascii="Times New Roman" w:hAnsi="Times New Roman" w:cs="Times New Roman"/>
          <w:sz w:val="24"/>
          <w:szCs w:val="24"/>
        </w:rPr>
        <w:footnoteReference w:id="330"/>
      </w:r>
      <w:r w:rsidRPr="00910CE3">
        <w:rPr>
          <w:rFonts w:ascii="Times New Roman" w:hAnsi="Times New Roman" w:cs="Times New Roman"/>
          <w:sz w:val="24"/>
          <w:szCs w:val="24"/>
        </w:rPr>
        <w:t xml:space="preserve"> yang dampaknya mengesampingkan aspek syari’ah.</w:t>
      </w:r>
    </w:p>
    <w:p w:rsidR="00343B61" w:rsidRDefault="00343B61" w:rsidP="00343B61">
      <w:pPr>
        <w:pStyle w:val="ListParagraph"/>
        <w:spacing w:line="360" w:lineRule="auto"/>
        <w:ind w:left="0" w:firstLine="720"/>
        <w:jc w:val="both"/>
        <w:rPr>
          <w:rFonts w:ascii="Times New Roman" w:hAnsi="Times New Roman" w:cs="Times New Roman"/>
          <w:sz w:val="24"/>
          <w:szCs w:val="24"/>
        </w:rPr>
      </w:pPr>
      <w:r w:rsidRPr="00910CE3">
        <w:rPr>
          <w:rFonts w:ascii="Times New Roman" w:hAnsi="Times New Roman" w:cs="Times New Roman"/>
          <w:sz w:val="24"/>
          <w:szCs w:val="24"/>
        </w:rPr>
        <w:t>Politik hukum Islam di Indonesia dilihat dari segi pembentukannya pada masa orde baru masih berkarakter semi responsif. Sementara dari segi materi hukumnya, politik hukum Islam di Indonesia berkarakter otonom. politik hukum Islam di Indonesia dalam implementasi hukumnya berkarakter fakultatif dan dari segi fungsi hukum, politik hukum Islam di Indonesia dalam implementasi hukumnya berkarakter regulative dan legitimatif.</w:t>
      </w:r>
      <w:r w:rsidRPr="00910CE3">
        <w:rPr>
          <w:rStyle w:val="FootnoteReference"/>
          <w:rFonts w:ascii="Times New Roman" w:hAnsi="Times New Roman" w:cs="Times New Roman"/>
          <w:sz w:val="24"/>
          <w:szCs w:val="24"/>
        </w:rPr>
        <w:footnoteReference w:id="331"/>
      </w:r>
      <w:r w:rsidRPr="00910CE3">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6D3616">
        <w:rPr>
          <w:rFonts w:asciiTheme="majorBidi" w:hAnsiTheme="majorBidi" w:cstheme="majorBidi"/>
          <w:sz w:val="24"/>
          <w:szCs w:val="24"/>
        </w:rPr>
        <w:t>Dalam realitas politik, Indonesia secara konstitusional bukan negara Islam</w:t>
      </w:r>
      <w:r>
        <w:rPr>
          <w:rFonts w:asciiTheme="majorBidi" w:hAnsiTheme="majorBidi" w:cstheme="majorBidi"/>
          <w:sz w:val="24"/>
          <w:szCs w:val="24"/>
        </w:rPr>
        <w:t xml:space="preserve"> </w:t>
      </w:r>
      <w:r w:rsidRPr="006D3616">
        <w:rPr>
          <w:rFonts w:asciiTheme="majorBidi" w:hAnsiTheme="majorBidi" w:cstheme="majorBidi"/>
          <w:sz w:val="24"/>
          <w:szCs w:val="24"/>
        </w:rPr>
        <w:t>melainkan negara Pancasila, sehingga secara formal kelembagaan tidak</w:t>
      </w:r>
      <w:r>
        <w:rPr>
          <w:rFonts w:asciiTheme="majorBidi" w:hAnsiTheme="majorBidi" w:cstheme="majorBidi"/>
          <w:sz w:val="24"/>
          <w:szCs w:val="24"/>
        </w:rPr>
        <w:t xml:space="preserve"> </w:t>
      </w:r>
      <w:r w:rsidRPr="006D3616">
        <w:rPr>
          <w:rFonts w:asciiTheme="majorBidi" w:hAnsiTheme="majorBidi" w:cstheme="majorBidi"/>
          <w:sz w:val="24"/>
          <w:szCs w:val="24"/>
        </w:rPr>
        <w:t>memungkinkan bagi umat Islam untuk mewujudkan seutuhnya prinsip</w:t>
      </w:r>
      <w:r>
        <w:rPr>
          <w:rFonts w:asciiTheme="majorBidi" w:hAnsiTheme="majorBidi" w:cstheme="majorBidi"/>
          <w:sz w:val="24"/>
          <w:szCs w:val="24"/>
        </w:rPr>
        <w:t>-</w:t>
      </w:r>
      <w:r w:rsidRPr="006D3616">
        <w:rPr>
          <w:rFonts w:asciiTheme="majorBidi" w:hAnsiTheme="majorBidi" w:cstheme="majorBidi"/>
          <w:sz w:val="24"/>
          <w:szCs w:val="24"/>
        </w:rPr>
        <w:t>prinsip</w:t>
      </w:r>
      <w:r>
        <w:rPr>
          <w:rFonts w:asciiTheme="majorBidi" w:hAnsiTheme="majorBidi" w:cstheme="majorBidi"/>
          <w:sz w:val="24"/>
          <w:szCs w:val="24"/>
        </w:rPr>
        <w:t xml:space="preserve"> </w:t>
      </w:r>
      <w:r w:rsidRPr="006D3616">
        <w:rPr>
          <w:rFonts w:asciiTheme="majorBidi" w:hAnsiTheme="majorBidi" w:cstheme="majorBidi"/>
          <w:sz w:val="24"/>
          <w:szCs w:val="24"/>
        </w:rPr>
        <w:t>Islam tentang hukum. Untuk memberlakukan hukum Islam pada</w:t>
      </w:r>
      <w:r>
        <w:rPr>
          <w:rFonts w:asciiTheme="majorBidi" w:hAnsiTheme="majorBidi" w:cstheme="majorBidi"/>
          <w:sz w:val="24"/>
          <w:szCs w:val="24"/>
        </w:rPr>
        <w:t xml:space="preserve"> </w:t>
      </w:r>
      <w:r w:rsidRPr="006D3616">
        <w:rPr>
          <w:rFonts w:asciiTheme="majorBidi" w:hAnsiTheme="majorBidi" w:cstheme="majorBidi"/>
          <w:sz w:val="24"/>
          <w:szCs w:val="24"/>
        </w:rPr>
        <w:t>umatnya berdasarkan sistem politik yang ada sekarang ini yang dapat</w:t>
      </w:r>
      <w:r>
        <w:rPr>
          <w:rFonts w:asciiTheme="majorBidi" w:hAnsiTheme="majorBidi" w:cstheme="majorBidi"/>
          <w:sz w:val="24"/>
          <w:szCs w:val="24"/>
        </w:rPr>
        <w:t xml:space="preserve"> </w:t>
      </w:r>
      <w:r w:rsidRPr="006D3616">
        <w:rPr>
          <w:rFonts w:asciiTheme="majorBidi" w:hAnsiTheme="majorBidi" w:cstheme="majorBidi"/>
          <w:sz w:val="24"/>
          <w:szCs w:val="24"/>
        </w:rPr>
        <w:t>dilakukan oleh umat Islam adalah berjuang dalam bingkai politik untuk bisa</w:t>
      </w:r>
      <w:r>
        <w:rPr>
          <w:rFonts w:asciiTheme="majorBidi" w:hAnsiTheme="majorBidi" w:cstheme="majorBidi"/>
          <w:sz w:val="24"/>
          <w:szCs w:val="24"/>
        </w:rPr>
        <w:t xml:space="preserve"> </w:t>
      </w:r>
      <w:r w:rsidRPr="006D3616">
        <w:rPr>
          <w:rFonts w:asciiTheme="majorBidi" w:hAnsiTheme="majorBidi" w:cstheme="majorBidi"/>
          <w:sz w:val="24"/>
          <w:szCs w:val="24"/>
        </w:rPr>
        <w:t>menjadikan materi hukum Islam dalam materi hukum nasional</w:t>
      </w:r>
      <w:r>
        <w:rPr>
          <w:rFonts w:asciiTheme="majorBidi" w:hAnsiTheme="majorBidi" w:cstheme="majorBidi"/>
          <w:sz w:val="24"/>
          <w:szCs w:val="24"/>
        </w:rPr>
        <w:t>.</w:t>
      </w:r>
      <w:r>
        <w:rPr>
          <w:rStyle w:val="FootnoteReference"/>
          <w:rFonts w:asciiTheme="majorBidi" w:hAnsiTheme="majorBidi" w:cstheme="majorBidi"/>
          <w:sz w:val="24"/>
          <w:szCs w:val="24"/>
        </w:rPr>
        <w:footnoteReference w:id="332"/>
      </w:r>
    </w:p>
    <w:p w:rsidR="00343B61" w:rsidRPr="000B4815"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7C197C">
        <w:rPr>
          <w:rFonts w:asciiTheme="majorBidi" w:hAnsiTheme="majorBidi" w:cstheme="majorBidi"/>
          <w:sz w:val="24"/>
          <w:szCs w:val="24"/>
        </w:rPr>
        <w:t>Gerakan perjuangan pemberlakuan syariat Islam lahir dari politik</w:t>
      </w:r>
      <w:r>
        <w:rPr>
          <w:rFonts w:asciiTheme="majorBidi" w:hAnsiTheme="majorBidi" w:cstheme="majorBidi"/>
          <w:sz w:val="24"/>
          <w:szCs w:val="24"/>
        </w:rPr>
        <w:t xml:space="preserve"> </w:t>
      </w:r>
      <w:r w:rsidRPr="007C197C">
        <w:rPr>
          <w:rFonts w:asciiTheme="majorBidi" w:hAnsiTheme="majorBidi" w:cstheme="majorBidi"/>
          <w:sz w:val="24"/>
          <w:szCs w:val="24"/>
        </w:rPr>
        <w:t>kebebasan yang disediakan demokrasi. Demokrasi tidak membatasi</w:t>
      </w:r>
      <w:r>
        <w:rPr>
          <w:rFonts w:asciiTheme="majorBidi" w:hAnsiTheme="majorBidi" w:cstheme="majorBidi"/>
          <w:sz w:val="24"/>
          <w:szCs w:val="24"/>
        </w:rPr>
        <w:t xml:space="preserve"> </w:t>
      </w:r>
      <w:r w:rsidRPr="007C197C">
        <w:rPr>
          <w:rFonts w:asciiTheme="majorBidi" w:hAnsiTheme="majorBidi" w:cstheme="majorBidi"/>
          <w:sz w:val="24"/>
          <w:szCs w:val="24"/>
        </w:rPr>
        <w:t>pembentukan organisasi-organisasi untuk memberi ruang bagi</w:t>
      </w:r>
      <w:r>
        <w:rPr>
          <w:rFonts w:asciiTheme="majorBidi" w:hAnsiTheme="majorBidi" w:cstheme="majorBidi"/>
          <w:sz w:val="24"/>
          <w:szCs w:val="24"/>
        </w:rPr>
        <w:t xml:space="preserve"> </w:t>
      </w:r>
      <w:r w:rsidRPr="007C197C">
        <w:rPr>
          <w:rFonts w:asciiTheme="majorBidi" w:hAnsiTheme="majorBidi" w:cstheme="majorBidi"/>
          <w:sz w:val="24"/>
          <w:szCs w:val="24"/>
        </w:rPr>
        <w:t>penyaluran aspirasi. Munculnya gerakan Islam di Indonesia, seperti</w:t>
      </w:r>
      <w:r>
        <w:rPr>
          <w:rFonts w:asciiTheme="majorBidi" w:hAnsiTheme="majorBidi" w:cstheme="majorBidi"/>
          <w:sz w:val="24"/>
          <w:szCs w:val="24"/>
        </w:rPr>
        <w:t xml:space="preserve"> Majelis </w:t>
      </w:r>
      <w:r w:rsidRPr="007C197C">
        <w:rPr>
          <w:rFonts w:asciiTheme="majorBidi" w:hAnsiTheme="majorBidi" w:cstheme="majorBidi"/>
          <w:sz w:val="24"/>
          <w:szCs w:val="24"/>
        </w:rPr>
        <w:t>Mujahidin Indonesia, Front Pembela Islam, Hizbut Tahrir, dan</w:t>
      </w:r>
      <w:r>
        <w:rPr>
          <w:rFonts w:asciiTheme="majorBidi" w:hAnsiTheme="majorBidi" w:cstheme="majorBidi"/>
          <w:sz w:val="24"/>
          <w:szCs w:val="24"/>
        </w:rPr>
        <w:t xml:space="preserve"> </w:t>
      </w:r>
      <w:r w:rsidRPr="007C197C">
        <w:rPr>
          <w:rFonts w:asciiTheme="majorBidi" w:hAnsiTheme="majorBidi" w:cstheme="majorBidi"/>
          <w:sz w:val="24"/>
          <w:szCs w:val="24"/>
        </w:rPr>
        <w:t>Ikhwanul Muslimin dan organisasi Islam lainnya yang menyuarakan</w:t>
      </w:r>
      <w:r>
        <w:rPr>
          <w:rFonts w:asciiTheme="majorBidi" w:hAnsiTheme="majorBidi" w:cstheme="majorBidi"/>
          <w:sz w:val="24"/>
          <w:szCs w:val="24"/>
        </w:rPr>
        <w:t xml:space="preserve"> </w:t>
      </w:r>
      <w:r w:rsidRPr="007C197C">
        <w:rPr>
          <w:rFonts w:asciiTheme="majorBidi" w:hAnsiTheme="majorBidi" w:cstheme="majorBidi"/>
          <w:sz w:val="24"/>
          <w:szCs w:val="24"/>
        </w:rPr>
        <w:t xml:space="preserve">aspirasi pemberlakuan syariat Islam oleh negara secara </w:t>
      </w:r>
      <w:r>
        <w:rPr>
          <w:rFonts w:asciiTheme="majorBidi" w:hAnsiTheme="majorBidi" w:cstheme="majorBidi"/>
          <w:sz w:val="24"/>
          <w:szCs w:val="24"/>
        </w:rPr>
        <w:t>ka</w:t>
      </w:r>
      <w:r w:rsidRPr="007C197C">
        <w:rPr>
          <w:rFonts w:asciiTheme="majorBidi" w:hAnsiTheme="majorBidi" w:cstheme="majorBidi"/>
          <w:sz w:val="24"/>
          <w:szCs w:val="24"/>
        </w:rPr>
        <w:t xml:space="preserve">ffah </w:t>
      </w:r>
      <w:r w:rsidRPr="007C197C">
        <w:rPr>
          <w:rFonts w:asciiTheme="majorBidi" w:hAnsiTheme="majorBidi" w:cstheme="majorBidi"/>
          <w:sz w:val="24"/>
          <w:szCs w:val="24"/>
        </w:rPr>
        <w:lastRenderedPageBreak/>
        <w:t>merupakan</w:t>
      </w:r>
      <w:r>
        <w:rPr>
          <w:rFonts w:asciiTheme="majorBidi" w:hAnsiTheme="majorBidi" w:cstheme="majorBidi"/>
          <w:sz w:val="24"/>
          <w:szCs w:val="24"/>
        </w:rPr>
        <w:t xml:space="preserve"> </w:t>
      </w:r>
      <w:r w:rsidRPr="007C197C">
        <w:rPr>
          <w:rFonts w:asciiTheme="majorBidi" w:hAnsiTheme="majorBidi" w:cstheme="majorBidi"/>
          <w:sz w:val="24"/>
          <w:szCs w:val="24"/>
        </w:rPr>
        <w:t xml:space="preserve">efek dari demokrasi yang menyediakan kebebasan dalam ruang </w:t>
      </w:r>
      <w:r>
        <w:rPr>
          <w:rFonts w:asciiTheme="majorBidi" w:hAnsiTheme="majorBidi" w:cstheme="majorBidi"/>
          <w:sz w:val="24"/>
          <w:szCs w:val="24"/>
        </w:rPr>
        <w:t>publik.</w:t>
      </w:r>
      <w:r>
        <w:rPr>
          <w:rStyle w:val="FootnoteReference"/>
          <w:rFonts w:asciiTheme="majorBidi" w:hAnsiTheme="majorBidi" w:cstheme="majorBidi"/>
          <w:sz w:val="24"/>
          <w:szCs w:val="24"/>
        </w:rPr>
        <w:footnoteReference w:id="333"/>
      </w:r>
    </w:p>
    <w:p w:rsidR="00343B61" w:rsidRPr="002B2A6B"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515C1">
        <w:rPr>
          <w:rFonts w:asciiTheme="majorBidi" w:hAnsiTheme="majorBidi" w:cstheme="majorBidi"/>
          <w:sz w:val="24"/>
          <w:szCs w:val="24"/>
        </w:rPr>
        <w:t>Kesempatan untuk mengeluarkan aspirasi politik oleh kelompok</w:t>
      </w:r>
      <w:r>
        <w:rPr>
          <w:rFonts w:asciiTheme="majorBidi" w:hAnsiTheme="majorBidi" w:cstheme="majorBidi"/>
          <w:sz w:val="24"/>
          <w:szCs w:val="24"/>
        </w:rPr>
        <w:t xml:space="preserve"> </w:t>
      </w:r>
      <w:r w:rsidRPr="00A515C1">
        <w:rPr>
          <w:rFonts w:asciiTheme="majorBidi" w:hAnsiTheme="majorBidi" w:cstheme="majorBidi"/>
          <w:sz w:val="24"/>
          <w:szCs w:val="24"/>
        </w:rPr>
        <w:t>masyarakat akan mengalami eskalasi ketika negara sedang bertransisi.</w:t>
      </w:r>
      <w:r>
        <w:rPr>
          <w:rFonts w:asciiTheme="majorBidi" w:hAnsiTheme="majorBidi" w:cstheme="majorBidi"/>
          <w:sz w:val="24"/>
          <w:szCs w:val="24"/>
        </w:rPr>
        <w:t xml:space="preserve"> </w:t>
      </w:r>
      <w:r w:rsidRPr="00A515C1">
        <w:rPr>
          <w:rFonts w:asciiTheme="majorBidi" w:hAnsiTheme="majorBidi" w:cstheme="majorBidi"/>
          <w:sz w:val="24"/>
          <w:szCs w:val="24"/>
        </w:rPr>
        <w:t>Transisi politik dari otoriter ke demokrasi yang pernah terjadi di</w:t>
      </w:r>
      <w:r>
        <w:rPr>
          <w:rFonts w:asciiTheme="majorBidi" w:hAnsiTheme="majorBidi" w:cstheme="majorBidi"/>
          <w:sz w:val="24"/>
          <w:szCs w:val="24"/>
        </w:rPr>
        <w:t xml:space="preserve"> </w:t>
      </w:r>
      <w:r w:rsidRPr="00A515C1">
        <w:rPr>
          <w:rFonts w:asciiTheme="majorBidi" w:hAnsiTheme="majorBidi" w:cstheme="majorBidi"/>
          <w:sz w:val="24"/>
          <w:szCs w:val="24"/>
        </w:rPr>
        <w:t>Indonesia telah menjadikan ruang publik kembali dipenuhi dengan</w:t>
      </w:r>
      <w:r>
        <w:rPr>
          <w:rFonts w:asciiTheme="majorBidi" w:hAnsiTheme="majorBidi" w:cstheme="majorBidi"/>
          <w:sz w:val="24"/>
          <w:szCs w:val="24"/>
        </w:rPr>
        <w:t xml:space="preserve"> </w:t>
      </w:r>
      <w:r w:rsidRPr="00A515C1">
        <w:rPr>
          <w:rFonts w:asciiTheme="majorBidi" w:hAnsiTheme="majorBidi" w:cstheme="majorBidi"/>
          <w:sz w:val="24"/>
          <w:szCs w:val="24"/>
        </w:rPr>
        <w:t>tuntutan pemberlakuan syariat Islam. Ruang publik yang dipenuhi oleh</w:t>
      </w:r>
      <w:r>
        <w:rPr>
          <w:rFonts w:asciiTheme="majorBidi" w:hAnsiTheme="majorBidi" w:cstheme="majorBidi"/>
          <w:sz w:val="24"/>
          <w:szCs w:val="24"/>
        </w:rPr>
        <w:t xml:space="preserve"> </w:t>
      </w:r>
      <w:r w:rsidRPr="00A515C1">
        <w:rPr>
          <w:rFonts w:asciiTheme="majorBidi" w:hAnsiTheme="majorBidi" w:cstheme="majorBidi"/>
          <w:sz w:val="24"/>
          <w:szCs w:val="24"/>
        </w:rPr>
        <w:t>syariat Islam telah menjadi konektor utama antara rakyat dan</w:t>
      </w:r>
      <w:r>
        <w:rPr>
          <w:rFonts w:asciiTheme="majorBidi" w:hAnsiTheme="majorBidi" w:cstheme="majorBidi"/>
          <w:sz w:val="24"/>
          <w:szCs w:val="24"/>
        </w:rPr>
        <w:t xml:space="preserve"> </w:t>
      </w:r>
      <w:r w:rsidRPr="00A515C1">
        <w:rPr>
          <w:rFonts w:asciiTheme="majorBidi" w:hAnsiTheme="majorBidi" w:cstheme="majorBidi"/>
          <w:sz w:val="24"/>
          <w:szCs w:val="24"/>
        </w:rPr>
        <w:t>kekuasaan.</w:t>
      </w:r>
      <w:r>
        <w:rPr>
          <w:rStyle w:val="FootnoteReference"/>
          <w:rFonts w:asciiTheme="majorBidi" w:hAnsiTheme="majorBidi" w:cstheme="majorBidi"/>
          <w:sz w:val="24"/>
          <w:szCs w:val="24"/>
        </w:rPr>
        <w:footnoteReference w:id="334"/>
      </w:r>
      <w:r>
        <w:rPr>
          <w:rFonts w:asciiTheme="majorBidi" w:hAnsiTheme="majorBidi" w:cstheme="majorBidi"/>
          <w:sz w:val="24"/>
          <w:szCs w:val="24"/>
        </w:rPr>
        <w:t xml:space="preserve"> </w:t>
      </w:r>
      <w:r w:rsidRPr="00A515C1">
        <w:rPr>
          <w:rFonts w:asciiTheme="majorBidi" w:hAnsiTheme="majorBidi" w:cstheme="majorBidi"/>
          <w:sz w:val="24"/>
          <w:szCs w:val="24"/>
        </w:rPr>
        <w:t>Sepanjang kejatuhan rezim Orde Baru di Indonesia, di</w:t>
      </w:r>
      <w:r>
        <w:rPr>
          <w:rFonts w:asciiTheme="majorBidi" w:hAnsiTheme="majorBidi" w:cstheme="majorBidi"/>
          <w:sz w:val="24"/>
          <w:szCs w:val="24"/>
        </w:rPr>
        <w:t xml:space="preserve"> </w:t>
      </w:r>
      <w:r w:rsidRPr="00A515C1">
        <w:rPr>
          <w:rFonts w:asciiTheme="majorBidi" w:hAnsiTheme="majorBidi" w:cstheme="majorBidi"/>
          <w:sz w:val="24"/>
          <w:szCs w:val="24"/>
        </w:rPr>
        <w:t>samping reformasi sebagai isu utama dalam ruang publik, orientasi</w:t>
      </w:r>
      <w:r>
        <w:rPr>
          <w:rFonts w:asciiTheme="majorBidi" w:hAnsiTheme="majorBidi" w:cstheme="majorBidi"/>
          <w:sz w:val="24"/>
          <w:szCs w:val="24"/>
        </w:rPr>
        <w:t xml:space="preserve"> </w:t>
      </w:r>
      <w:r w:rsidRPr="00A515C1">
        <w:rPr>
          <w:rFonts w:asciiTheme="majorBidi" w:hAnsiTheme="majorBidi" w:cstheme="majorBidi"/>
          <w:sz w:val="24"/>
          <w:szCs w:val="24"/>
        </w:rPr>
        <w:t>kepada Islam, seperti Piagam Jakarta,</w:t>
      </w:r>
      <w:r>
        <w:rPr>
          <w:rStyle w:val="FootnoteReference"/>
          <w:rFonts w:asciiTheme="majorBidi" w:hAnsiTheme="majorBidi" w:cstheme="majorBidi"/>
          <w:sz w:val="24"/>
          <w:szCs w:val="24"/>
        </w:rPr>
        <w:footnoteReference w:id="335"/>
      </w:r>
      <w:r w:rsidRPr="00A515C1">
        <w:rPr>
          <w:rFonts w:asciiTheme="majorBidi" w:hAnsiTheme="majorBidi" w:cstheme="majorBidi"/>
          <w:sz w:val="24"/>
          <w:szCs w:val="24"/>
        </w:rPr>
        <w:t xml:space="preserve"> Islamisasi, syariat Islam, dan</w:t>
      </w:r>
      <w:r>
        <w:rPr>
          <w:rFonts w:asciiTheme="majorBidi" w:hAnsiTheme="majorBidi" w:cstheme="majorBidi"/>
          <w:sz w:val="24"/>
          <w:szCs w:val="24"/>
        </w:rPr>
        <w:t xml:space="preserve"> </w:t>
      </w:r>
      <w:r w:rsidRPr="00A515C1">
        <w:rPr>
          <w:rFonts w:asciiTheme="majorBidi" w:hAnsiTheme="majorBidi" w:cstheme="majorBidi"/>
          <w:sz w:val="24"/>
          <w:szCs w:val="24"/>
        </w:rPr>
        <w:t>Negara Islam menjadi tema-tema utama dalam ruang publik.</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B2A6B">
        <w:rPr>
          <w:rFonts w:asciiTheme="majorBidi" w:hAnsiTheme="majorBidi" w:cstheme="majorBidi"/>
          <w:sz w:val="24"/>
          <w:szCs w:val="24"/>
        </w:rPr>
        <w:t xml:space="preserve">Pemberlakuan syariat Islam secara </w:t>
      </w:r>
      <w:r>
        <w:rPr>
          <w:rFonts w:asciiTheme="majorBidi" w:hAnsiTheme="majorBidi" w:cstheme="majorBidi"/>
          <w:sz w:val="24"/>
          <w:szCs w:val="24"/>
        </w:rPr>
        <w:t>ka</w:t>
      </w:r>
      <w:r w:rsidRPr="002B2A6B">
        <w:rPr>
          <w:rFonts w:asciiTheme="majorBidi" w:hAnsiTheme="majorBidi" w:cstheme="majorBidi"/>
          <w:sz w:val="24"/>
          <w:szCs w:val="24"/>
        </w:rPr>
        <w:t>ffah</w:t>
      </w:r>
      <w:r>
        <w:rPr>
          <w:rFonts w:asciiTheme="majorBidi" w:hAnsiTheme="majorBidi" w:cstheme="majorBidi"/>
          <w:sz w:val="24"/>
          <w:szCs w:val="24"/>
        </w:rPr>
        <w:t xml:space="preserve"> </w:t>
      </w:r>
      <w:r w:rsidRPr="002B2A6B">
        <w:rPr>
          <w:rFonts w:asciiTheme="majorBidi" w:hAnsiTheme="majorBidi" w:cstheme="majorBidi"/>
          <w:sz w:val="24"/>
          <w:szCs w:val="24"/>
        </w:rPr>
        <w:t>sesungguhnya adalah alternatif revolusioner. Jika tidak diakomodasi,</w:t>
      </w:r>
      <w:r>
        <w:rPr>
          <w:rFonts w:asciiTheme="majorBidi" w:hAnsiTheme="majorBidi" w:cstheme="majorBidi"/>
          <w:sz w:val="24"/>
          <w:szCs w:val="24"/>
        </w:rPr>
        <w:t xml:space="preserve"> </w:t>
      </w:r>
      <w:r w:rsidRPr="002B2A6B">
        <w:rPr>
          <w:rFonts w:asciiTheme="majorBidi" w:hAnsiTheme="majorBidi" w:cstheme="majorBidi"/>
          <w:sz w:val="24"/>
          <w:szCs w:val="24"/>
        </w:rPr>
        <w:t>maka gelombang masyarakat untuk memperjuangkan pemberlakuan</w:t>
      </w:r>
      <w:r>
        <w:rPr>
          <w:rFonts w:asciiTheme="majorBidi" w:hAnsiTheme="majorBidi" w:cstheme="majorBidi"/>
          <w:sz w:val="24"/>
          <w:szCs w:val="24"/>
        </w:rPr>
        <w:t xml:space="preserve"> </w:t>
      </w:r>
      <w:r w:rsidRPr="002B2A6B">
        <w:rPr>
          <w:rFonts w:asciiTheme="majorBidi" w:hAnsiTheme="majorBidi" w:cstheme="majorBidi"/>
          <w:sz w:val="24"/>
          <w:szCs w:val="24"/>
        </w:rPr>
        <w:t xml:space="preserve">syariat Islam secara </w:t>
      </w:r>
      <w:r>
        <w:rPr>
          <w:rFonts w:asciiTheme="majorBidi" w:hAnsiTheme="majorBidi" w:cstheme="majorBidi"/>
          <w:sz w:val="24"/>
          <w:szCs w:val="24"/>
        </w:rPr>
        <w:t>ka</w:t>
      </w:r>
      <w:r w:rsidRPr="002B2A6B">
        <w:rPr>
          <w:rFonts w:asciiTheme="majorBidi" w:hAnsiTheme="majorBidi" w:cstheme="majorBidi"/>
          <w:sz w:val="24"/>
          <w:szCs w:val="24"/>
        </w:rPr>
        <w:t>ffah akan terus berlangsung di masa transisi</w:t>
      </w:r>
      <w:r>
        <w:rPr>
          <w:rFonts w:asciiTheme="majorBidi" w:hAnsiTheme="majorBidi" w:cstheme="majorBidi"/>
          <w:sz w:val="24"/>
          <w:szCs w:val="24"/>
        </w:rPr>
        <w:t xml:space="preserve"> </w:t>
      </w:r>
      <w:r w:rsidRPr="002B2A6B">
        <w:rPr>
          <w:rFonts w:asciiTheme="majorBidi" w:hAnsiTheme="majorBidi" w:cstheme="majorBidi"/>
          <w:sz w:val="24"/>
          <w:szCs w:val="24"/>
        </w:rPr>
        <w:t>berikutnya.</w:t>
      </w:r>
      <w:r>
        <w:rPr>
          <w:rFonts w:asciiTheme="majorBidi" w:hAnsiTheme="majorBidi" w:cstheme="majorBidi"/>
          <w:sz w:val="24"/>
          <w:szCs w:val="24"/>
        </w:rPr>
        <w:t xml:space="preserve"> </w:t>
      </w:r>
      <w:r w:rsidRPr="002B2A6B">
        <w:rPr>
          <w:rFonts w:asciiTheme="majorBidi" w:hAnsiTheme="majorBidi" w:cstheme="majorBidi"/>
          <w:sz w:val="24"/>
          <w:szCs w:val="24"/>
        </w:rPr>
        <w:t>Dalam posisi inilah, Jack A. Goldstone menjelaskan terjadi posisi</w:t>
      </w:r>
      <w:r>
        <w:rPr>
          <w:rFonts w:asciiTheme="majorBidi" w:hAnsiTheme="majorBidi" w:cstheme="majorBidi"/>
          <w:sz w:val="24"/>
          <w:szCs w:val="24"/>
        </w:rPr>
        <w:t xml:space="preserve"> </w:t>
      </w:r>
      <w:r w:rsidRPr="002B2A6B">
        <w:rPr>
          <w:rFonts w:asciiTheme="majorBidi" w:hAnsiTheme="majorBidi" w:cstheme="majorBidi"/>
          <w:sz w:val="24"/>
          <w:szCs w:val="24"/>
        </w:rPr>
        <w:t xml:space="preserve">saling mempengaruhi; seringkali gerakan sosial mencari pengaruh </w:t>
      </w:r>
      <w:r>
        <w:rPr>
          <w:rFonts w:asciiTheme="majorBidi" w:hAnsiTheme="majorBidi" w:cstheme="majorBidi"/>
          <w:sz w:val="24"/>
          <w:szCs w:val="24"/>
        </w:rPr>
        <w:t xml:space="preserve">Negara </w:t>
      </w:r>
      <w:r w:rsidRPr="002B2A6B">
        <w:rPr>
          <w:rFonts w:asciiTheme="majorBidi" w:hAnsiTheme="majorBidi" w:cstheme="majorBidi"/>
          <w:sz w:val="24"/>
          <w:szCs w:val="24"/>
        </w:rPr>
        <w:t>untuk meraih tujuannya dan sebaliknya negara seringkali bertindak</w:t>
      </w:r>
      <w:r>
        <w:rPr>
          <w:rFonts w:asciiTheme="majorBidi" w:hAnsiTheme="majorBidi" w:cstheme="majorBidi"/>
          <w:sz w:val="24"/>
          <w:szCs w:val="24"/>
        </w:rPr>
        <w:t xml:space="preserve"> </w:t>
      </w:r>
      <w:r w:rsidRPr="002B2A6B">
        <w:rPr>
          <w:rFonts w:asciiTheme="majorBidi" w:hAnsiTheme="majorBidi" w:cstheme="majorBidi"/>
          <w:sz w:val="24"/>
          <w:szCs w:val="24"/>
        </w:rPr>
        <w:t>mempengaruhi gerakan sosial. Karena itulah, negara merespon gerakan</w:t>
      </w:r>
      <w:r>
        <w:rPr>
          <w:rFonts w:asciiTheme="majorBidi" w:hAnsiTheme="majorBidi" w:cstheme="majorBidi"/>
          <w:sz w:val="24"/>
          <w:szCs w:val="24"/>
        </w:rPr>
        <w:t xml:space="preserve"> </w:t>
      </w:r>
      <w:r w:rsidRPr="002B2A6B">
        <w:rPr>
          <w:rFonts w:asciiTheme="majorBidi" w:hAnsiTheme="majorBidi" w:cstheme="majorBidi"/>
          <w:sz w:val="24"/>
          <w:szCs w:val="24"/>
        </w:rPr>
        <w:t>sosial dengan jalan represi atau sebaliknya negara dapat menerima</w:t>
      </w:r>
      <w:r>
        <w:rPr>
          <w:rFonts w:asciiTheme="majorBidi" w:hAnsiTheme="majorBidi" w:cstheme="majorBidi"/>
          <w:sz w:val="24"/>
          <w:szCs w:val="24"/>
        </w:rPr>
        <w:t xml:space="preserve"> </w:t>
      </w:r>
      <w:r w:rsidRPr="002B2A6B">
        <w:rPr>
          <w:rFonts w:asciiTheme="majorBidi" w:hAnsiTheme="majorBidi" w:cstheme="majorBidi"/>
          <w:sz w:val="24"/>
          <w:szCs w:val="24"/>
        </w:rPr>
        <w:t>gerakan sosial.</w:t>
      </w:r>
      <w:r>
        <w:rPr>
          <w:rStyle w:val="FootnoteReference"/>
          <w:rFonts w:asciiTheme="majorBidi" w:hAnsiTheme="majorBidi" w:cstheme="majorBidi"/>
          <w:sz w:val="24"/>
          <w:szCs w:val="24"/>
        </w:rPr>
        <w:footnoteReference w:id="336"/>
      </w:r>
    </w:p>
    <w:p w:rsidR="00343B61" w:rsidRPr="002B2A6B"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B2A6B">
        <w:rPr>
          <w:rFonts w:asciiTheme="majorBidi" w:hAnsiTheme="majorBidi" w:cstheme="majorBidi"/>
          <w:sz w:val="24"/>
          <w:szCs w:val="24"/>
        </w:rPr>
        <w:t>Dalam negara demokrasi seperti sekarang ini, cara</w:t>
      </w:r>
      <w:r>
        <w:rPr>
          <w:rFonts w:asciiTheme="majorBidi" w:hAnsiTheme="majorBidi" w:cstheme="majorBidi"/>
          <w:sz w:val="24"/>
          <w:szCs w:val="24"/>
        </w:rPr>
        <w:t xml:space="preserve"> </w:t>
      </w:r>
      <w:r w:rsidRPr="002B2A6B">
        <w:rPr>
          <w:rFonts w:asciiTheme="majorBidi" w:hAnsiTheme="majorBidi" w:cstheme="majorBidi"/>
          <w:sz w:val="24"/>
          <w:szCs w:val="24"/>
        </w:rPr>
        <w:t>represi sudah tidak lagi digunakan oleh negara dalam merespon gerakan</w:t>
      </w:r>
      <w:r>
        <w:rPr>
          <w:rFonts w:asciiTheme="majorBidi" w:hAnsiTheme="majorBidi" w:cstheme="majorBidi"/>
          <w:sz w:val="24"/>
          <w:szCs w:val="24"/>
        </w:rPr>
        <w:t xml:space="preserve"> </w:t>
      </w:r>
      <w:r w:rsidRPr="002B2A6B">
        <w:rPr>
          <w:rFonts w:asciiTheme="majorBidi" w:hAnsiTheme="majorBidi" w:cstheme="majorBidi"/>
          <w:sz w:val="24"/>
          <w:szCs w:val="24"/>
        </w:rPr>
        <w:t xml:space="preserve">masyarakat. Sebaliknya, </w:t>
      </w:r>
      <w:r w:rsidRPr="002B2A6B">
        <w:rPr>
          <w:rFonts w:asciiTheme="majorBidi" w:hAnsiTheme="majorBidi" w:cstheme="majorBidi"/>
          <w:sz w:val="24"/>
          <w:szCs w:val="24"/>
        </w:rPr>
        <w:lastRenderedPageBreak/>
        <w:t>menerima sepenuhnya pun tidak dapat</w:t>
      </w:r>
      <w:r>
        <w:rPr>
          <w:rFonts w:asciiTheme="majorBidi" w:hAnsiTheme="majorBidi" w:cstheme="majorBidi"/>
          <w:sz w:val="24"/>
          <w:szCs w:val="24"/>
        </w:rPr>
        <w:t xml:space="preserve"> </w:t>
      </w:r>
      <w:r w:rsidRPr="002B2A6B">
        <w:rPr>
          <w:rFonts w:asciiTheme="majorBidi" w:hAnsiTheme="majorBidi" w:cstheme="majorBidi"/>
          <w:sz w:val="24"/>
          <w:szCs w:val="24"/>
        </w:rPr>
        <w:t>dilakukan oleh negara jika terjadi perbedaan kepentingan dalam</w:t>
      </w:r>
      <w:r>
        <w:rPr>
          <w:rFonts w:asciiTheme="majorBidi" w:hAnsiTheme="majorBidi" w:cstheme="majorBidi"/>
          <w:sz w:val="24"/>
          <w:szCs w:val="24"/>
        </w:rPr>
        <w:t xml:space="preserve"> </w:t>
      </w:r>
      <w:r w:rsidRPr="002B2A6B">
        <w:rPr>
          <w:rFonts w:asciiTheme="majorBidi" w:hAnsiTheme="majorBidi" w:cstheme="majorBidi"/>
          <w:sz w:val="24"/>
          <w:szCs w:val="24"/>
        </w:rPr>
        <w:t>membentuk hukum negara. Karena itulah, negara biasanya menggunakan</w:t>
      </w:r>
      <w:r>
        <w:rPr>
          <w:rFonts w:asciiTheme="majorBidi" w:hAnsiTheme="majorBidi" w:cstheme="majorBidi"/>
          <w:sz w:val="24"/>
          <w:szCs w:val="24"/>
        </w:rPr>
        <w:t xml:space="preserve"> </w:t>
      </w:r>
      <w:r w:rsidRPr="002B2A6B">
        <w:rPr>
          <w:rFonts w:asciiTheme="majorBidi" w:hAnsiTheme="majorBidi" w:cstheme="majorBidi"/>
          <w:sz w:val="24"/>
          <w:szCs w:val="24"/>
        </w:rPr>
        <w:t>elit-elit untuk berpartisipasi dalam pemberlakuan syariat Islam sebagai</w:t>
      </w:r>
      <w:r>
        <w:rPr>
          <w:rFonts w:asciiTheme="majorBidi" w:hAnsiTheme="majorBidi" w:cstheme="majorBidi"/>
          <w:sz w:val="24"/>
          <w:szCs w:val="24"/>
        </w:rPr>
        <w:t xml:space="preserve"> </w:t>
      </w:r>
      <w:r w:rsidRPr="002B2A6B">
        <w:rPr>
          <w:rFonts w:asciiTheme="majorBidi" w:hAnsiTheme="majorBidi" w:cstheme="majorBidi"/>
          <w:sz w:val="24"/>
          <w:szCs w:val="24"/>
        </w:rPr>
        <w:t>bagian dari partisipasi masyarakat (public participation).</w:t>
      </w:r>
      <w:r>
        <w:rPr>
          <w:rStyle w:val="FootnoteReference"/>
          <w:rFonts w:asciiTheme="majorBidi" w:hAnsiTheme="majorBidi" w:cstheme="majorBidi"/>
          <w:sz w:val="24"/>
          <w:szCs w:val="24"/>
        </w:rPr>
        <w:footnoteReference w:id="337"/>
      </w:r>
    </w:p>
    <w:p w:rsidR="00343B61" w:rsidRPr="000B4815"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51104">
        <w:rPr>
          <w:rFonts w:asciiTheme="majorBidi" w:hAnsiTheme="majorBidi" w:cstheme="majorBidi"/>
          <w:sz w:val="24"/>
          <w:szCs w:val="24"/>
        </w:rPr>
        <w:t>Sebagai telah</w:t>
      </w:r>
      <w:r>
        <w:rPr>
          <w:rFonts w:asciiTheme="majorBidi" w:hAnsiTheme="majorBidi" w:cstheme="majorBidi"/>
          <w:sz w:val="24"/>
          <w:szCs w:val="24"/>
        </w:rPr>
        <w:t xml:space="preserve"> </w:t>
      </w:r>
      <w:r w:rsidRPr="00A51104">
        <w:rPr>
          <w:rFonts w:asciiTheme="majorBidi" w:hAnsiTheme="majorBidi" w:cstheme="majorBidi"/>
          <w:sz w:val="24"/>
          <w:szCs w:val="24"/>
        </w:rPr>
        <w:t>dimaklumi bahwa ajaran Islam tampil dalam dua wajah, ajaran normatif dogmatis</w:t>
      </w:r>
      <w:r>
        <w:rPr>
          <w:rFonts w:asciiTheme="majorBidi" w:hAnsiTheme="majorBidi" w:cstheme="majorBidi"/>
          <w:sz w:val="24"/>
          <w:szCs w:val="24"/>
        </w:rPr>
        <w:t xml:space="preserve"> </w:t>
      </w:r>
      <w:r w:rsidRPr="00A51104">
        <w:rPr>
          <w:rFonts w:asciiTheme="majorBidi" w:hAnsiTheme="majorBidi" w:cstheme="majorBidi"/>
          <w:sz w:val="24"/>
          <w:szCs w:val="24"/>
        </w:rPr>
        <w:t>dan aplikatif sosiologis. Menurut Teungku Safir Iskandar Wijaya, kedua wajah ajaran Islam ini di samping</w:t>
      </w:r>
      <w:r>
        <w:rPr>
          <w:rFonts w:asciiTheme="majorBidi" w:hAnsiTheme="majorBidi" w:cstheme="majorBidi"/>
          <w:sz w:val="24"/>
          <w:szCs w:val="24"/>
        </w:rPr>
        <w:t xml:space="preserve"> </w:t>
      </w:r>
      <w:r w:rsidRPr="00A51104">
        <w:rPr>
          <w:rFonts w:asciiTheme="majorBidi" w:hAnsiTheme="majorBidi" w:cstheme="majorBidi"/>
          <w:sz w:val="24"/>
          <w:szCs w:val="24"/>
        </w:rPr>
        <w:t>bertujuan untuk menata kehidupan dalam kesejahteraan dan keberadilan, juga</w:t>
      </w:r>
      <w:r>
        <w:rPr>
          <w:rFonts w:asciiTheme="majorBidi" w:hAnsiTheme="majorBidi" w:cstheme="majorBidi"/>
          <w:sz w:val="24"/>
          <w:szCs w:val="24"/>
        </w:rPr>
        <w:t xml:space="preserve"> </w:t>
      </w:r>
      <w:r w:rsidRPr="00A51104">
        <w:rPr>
          <w:rFonts w:asciiTheme="majorBidi" w:hAnsiTheme="majorBidi" w:cstheme="majorBidi"/>
          <w:sz w:val="24"/>
          <w:szCs w:val="24"/>
        </w:rPr>
        <w:t>mendokumentasikan norma moralitas, norma sosial, norma ekonomi, norma</w:t>
      </w:r>
      <w:r>
        <w:rPr>
          <w:rFonts w:asciiTheme="majorBidi" w:hAnsiTheme="majorBidi" w:cstheme="majorBidi"/>
          <w:sz w:val="24"/>
          <w:szCs w:val="24"/>
        </w:rPr>
        <w:t xml:space="preserve"> </w:t>
      </w:r>
      <w:r w:rsidRPr="00A51104">
        <w:rPr>
          <w:rFonts w:asciiTheme="majorBidi" w:hAnsiTheme="majorBidi" w:cstheme="majorBidi"/>
          <w:sz w:val="24"/>
          <w:szCs w:val="24"/>
        </w:rPr>
        <w:t>hukum, dan berbagai aspek kehidupan manusia lainnya. Meskipun demikian,</w:t>
      </w:r>
      <w:r>
        <w:rPr>
          <w:rFonts w:asciiTheme="majorBidi" w:hAnsiTheme="majorBidi" w:cstheme="majorBidi"/>
          <w:sz w:val="24"/>
          <w:szCs w:val="24"/>
        </w:rPr>
        <w:t xml:space="preserve"> </w:t>
      </w:r>
      <w:r w:rsidRPr="00A51104">
        <w:rPr>
          <w:rFonts w:asciiTheme="majorBidi" w:hAnsiTheme="majorBidi" w:cstheme="majorBidi"/>
          <w:sz w:val="24"/>
          <w:szCs w:val="24"/>
        </w:rPr>
        <w:t>tampilan dua wajah ajaran Islam tadi memiliki konsekuensi dialektis yang tidak</w:t>
      </w:r>
      <w:r>
        <w:rPr>
          <w:rFonts w:asciiTheme="majorBidi" w:hAnsiTheme="majorBidi" w:cstheme="majorBidi"/>
          <w:sz w:val="24"/>
          <w:szCs w:val="24"/>
        </w:rPr>
        <w:t xml:space="preserve"> </w:t>
      </w:r>
      <w:r w:rsidRPr="00A51104">
        <w:rPr>
          <w:rFonts w:asciiTheme="majorBidi" w:hAnsiTheme="majorBidi" w:cstheme="majorBidi"/>
          <w:sz w:val="24"/>
          <w:szCs w:val="24"/>
        </w:rPr>
        <w:t>bisa diingkari, yaitu berpeluang menimbulkan perbedaan atau bahkan konflik</w:t>
      </w:r>
      <w:r>
        <w:rPr>
          <w:rFonts w:asciiTheme="majorBidi" w:hAnsiTheme="majorBidi" w:cstheme="majorBidi"/>
          <w:sz w:val="24"/>
          <w:szCs w:val="24"/>
        </w:rPr>
        <w:t xml:space="preserve"> </w:t>
      </w:r>
      <w:r w:rsidRPr="00A51104">
        <w:rPr>
          <w:rFonts w:asciiTheme="majorBidi" w:hAnsiTheme="majorBidi" w:cstheme="majorBidi"/>
          <w:sz w:val="24"/>
          <w:szCs w:val="24"/>
        </w:rPr>
        <w:t>antara penganut pemahaman tekstual dengan penganut pemahaman yang</w:t>
      </w:r>
      <w:r>
        <w:rPr>
          <w:rFonts w:asciiTheme="majorBidi" w:hAnsiTheme="majorBidi" w:cstheme="majorBidi"/>
          <w:sz w:val="24"/>
          <w:szCs w:val="24"/>
        </w:rPr>
        <w:t xml:space="preserve"> </w:t>
      </w:r>
      <w:r w:rsidRPr="00A51104">
        <w:rPr>
          <w:rFonts w:asciiTheme="majorBidi" w:hAnsiTheme="majorBidi" w:cstheme="majorBidi"/>
          <w:sz w:val="24"/>
          <w:szCs w:val="24"/>
        </w:rPr>
        <w:t>kontekstual</w:t>
      </w:r>
      <w:r>
        <w:rPr>
          <w:rFonts w:asciiTheme="majorBidi" w:hAnsiTheme="majorBidi" w:cstheme="majorBidi"/>
          <w:sz w:val="24"/>
          <w:szCs w:val="24"/>
        </w:rPr>
        <w:t>.</w:t>
      </w:r>
      <w:r>
        <w:rPr>
          <w:rStyle w:val="FootnoteReference"/>
          <w:rFonts w:asciiTheme="majorBidi" w:hAnsiTheme="majorBidi" w:cstheme="majorBidi"/>
          <w:sz w:val="24"/>
          <w:szCs w:val="24"/>
        </w:rPr>
        <w:footnoteReference w:id="338"/>
      </w:r>
      <w:r>
        <w:rPr>
          <w:rFonts w:asciiTheme="majorBidi" w:hAnsiTheme="majorBidi" w:cstheme="majorBidi"/>
          <w:sz w:val="24"/>
          <w:szCs w:val="24"/>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A5659">
        <w:rPr>
          <w:rFonts w:asciiTheme="majorBidi" w:hAnsiTheme="majorBidi" w:cstheme="majorBidi"/>
          <w:sz w:val="24"/>
          <w:szCs w:val="24"/>
        </w:rPr>
        <w:t>Pemahaman yang dogmatis sering menimbulkan sifat kaku dan sempit</w:t>
      </w:r>
      <w:r>
        <w:rPr>
          <w:rFonts w:asciiTheme="majorBidi" w:hAnsiTheme="majorBidi" w:cstheme="majorBidi"/>
          <w:sz w:val="24"/>
          <w:szCs w:val="24"/>
        </w:rPr>
        <w:t xml:space="preserve"> </w:t>
      </w:r>
      <w:r w:rsidRPr="008A5659">
        <w:rPr>
          <w:rFonts w:asciiTheme="majorBidi" w:hAnsiTheme="majorBidi" w:cstheme="majorBidi"/>
          <w:sz w:val="24"/>
          <w:szCs w:val="24"/>
        </w:rPr>
        <w:t>sehingga syari’at Islam hanya dipahami sebagai pemberlakuan hukum Islam (fikih</w:t>
      </w:r>
      <w:r>
        <w:rPr>
          <w:rFonts w:asciiTheme="majorBidi" w:hAnsiTheme="majorBidi" w:cstheme="majorBidi"/>
          <w:sz w:val="24"/>
          <w:szCs w:val="24"/>
        </w:rPr>
        <w:t xml:space="preserve"> </w:t>
      </w:r>
      <w:r w:rsidRPr="008A5659">
        <w:rPr>
          <w:rFonts w:asciiTheme="majorBidi" w:hAnsiTheme="majorBidi" w:cstheme="majorBidi"/>
          <w:sz w:val="24"/>
          <w:szCs w:val="24"/>
        </w:rPr>
        <w:t>oriented) saja. Akibatnya, terdapat semacam opini public yang menyatakan bahwa</w:t>
      </w:r>
      <w:r>
        <w:rPr>
          <w:rFonts w:asciiTheme="majorBidi" w:hAnsiTheme="majorBidi" w:cstheme="majorBidi"/>
          <w:sz w:val="24"/>
          <w:szCs w:val="24"/>
        </w:rPr>
        <w:t xml:space="preserve"> Islam itu</w:t>
      </w:r>
      <w:r w:rsidRPr="008A5659">
        <w:rPr>
          <w:rFonts w:asciiTheme="majorBidi" w:hAnsiTheme="majorBidi" w:cstheme="majorBidi"/>
          <w:sz w:val="24"/>
          <w:szCs w:val="24"/>
        </w:rPr>
        <w:t>‚</w:t>
      </w:r>
      <w:r>
        <w:rPr>
          <w:rFonts w:asciiTheme="majorBidi" w:hAnsiTheme="majorBidi" w:cstheme="majorBidi"/>
          <w:sz w:val="24"/>
          <w:szCs w:val="24"/>
        </w:rPr>
        <w:t xml:space="preserve"> </w:t>
      </w:r>
      <w:r w:rsidRPr="008A5659">
        <w:rPr>
          <w:rFonts w:asciiTheme="majorBidi" w:hAnsiTheme="majorBidi" w:cstheme="majorBidi"/>
          <w:sz w:val="24"/>
          <w:szCs w:val="24"/>
        </w:rPr>
        <w:t>agama yang kejam,‛ pemberlakuan hukum qi</w:t>
      </w:r>
      <w:r w:rsidRPr="008A5659">
        <w:rPr>
          <w:rFonts w:asciiTheme="majorBidi" w:hAnsiTheme="majorBidi" w:cstheme="majorBidi"/>
          <w:i/>
          <w:iCs/>
          <w:sz w:val="24"/>
          <w:szCs w:val="24"/>
        </w:rPr>
        <w:t>ṣ</w:t>
      </w:r>
      <w:r w:rsidRPr="008A5659">
        <w:rPr>
          <w:rFonts w:asciiTheme="majorBidi" w:hAnsiTheme="majorBidi" w:cstheme="majorBidi"/>
          <w:sz w:val="24"/>
          <w:szCs w:val="24"/>
        </w:rPr>
        <w:t>a</w:t>
      </w:r>
      <w:r w:rsidRPr="008A5659">
        <w:rPr>
          <w:rFonts w:asciiTheme="majorBidi" w:hAnsiTheme="majorBidi" w:cstheme="majorBidi"/>
          <w:i/>
          <w:iCs/>
          <w:sz w:val="24"/>
          <w:szCs w:val="24"/>
        </w:rPr>
        <w:t>ṣ</w:t>
      </w:r>
      <w:r w:rsidRPr="008A5659">
        <w:rPr>
          <w:rFonts w:asciiTheme="majorBidi" w:hAnsiTheme="majorBidi" w:cstheme="majorBidi"/>
          <w:sz w:val="24"/>
          <w:szCs w:val="24"/>
        </w:rPr>
        <w:t>, rajam, jilid, cambuk,</w:t>
      </w:r>
      <w:r>
        <w:rPr>
          <w:rFonts w:asciiTheme="majorBidi" w:hAnsiTheme="majorBidi" w:cstheme="majorBidi"/>
          <w:sz w:val="24"/>
          <w:szCs w:val="24"/>
        </w:rPr>
        <w:t xml:space="preserve"> </w:t>
      </w:r>
      <w:r w:rsidRPr="008A5659">
        <w:rPr>
          <w:rFonts w:asciiTheme="majorBidi" w:hAnsiTheme="majorBidi" w:cstheme="majorBidi"/>
          <w:sz w:val="24"/>
          <w:szCs w:val="24"/>
        </w:rPr>
        <w:t>potong tangan, dan lain sebagainya. Padahal fikih merupakan salah satu aspek saja</w:t>
      </w:r>
      <w:r>
        <w:rPr>
          <w:rFonts w:asciiTheme="majorBidi" w:hAnsiTheme="majorBidi" w:cstheme="majorBidi"/>
          <w:sz w:val="24"/>
          <w:szCs w:val="24"/>
        </w:rPr>
        <w:t xml:space="preserve"> </w:t>
      </w:r>
      <w:r w:rsidRPr="008A5659">
        <w:rPr>
          <w:rFonts w:asciiTheme="majorBidi" w:hAnsiTheme="majorBidi" w:cstheme="majorBidi"/>
          <w:sz w:val="24"/>
          <w:szCs w:val="24"/>
        </w:rPr>
        <w:t>dalam bangunan sistem Islam. Bila dirujuk pada na</w:t>
      </w:r>
      <w:r w:rsidRPr="008A5659">
        <w:rPr>
          <w:rFonts w:asciiTheme="majorBidi" w:hAnsiTheme="majorBidi" w:cstheme="majorBidi"/>
          <w:i/>
          <w:iCs/>
          <w:sz w:val="24"/>
          <w:szCs w:val="24"/>
        </w:rPr>
        <w:t xml:space="preserve">ṣ </w:t>
      </w:r>
      <w:r w:rsidRPr="008A5659">
        <w:rPr>
          <w:rFonts w:asciiTheme="majorBidi" w:hAnsiTheme="majorBidi" w:cstheme="majorBidi"/>
          <w:sz w:val="24"/>
          <w:szCs w:val="24"/>
        </w:rPr>
        <w:t>syar’i, syari’at dipahami</w:t>
      </w:r>
      <w:r>
        <w:rPr>
          <w:rFonts w:asciiTheme="majorBidi" w:hAnsiTheme="majorBidi" w:cstheme="majorBidi"/>
          <w:sz w:val="24"/>
          <w:szCs w:val="24"/>
        </w:rPr>
        <w:t xml:space="preserve"> </w:t>
      </w:r>
      <w:r w:rsidRPr="008A5659">
        <w:rPr>
          <w:rFonts w:asciiTheme="majorBidi" w:hAnsiTheme="majorBidi" w:cstheme="majorBidi"/>
          <w:sz w:val="24"/>
          <w:szCs w:val="24"/>
        </w:rPr>
        <w:t>sebagai peraturan ilahiah yang harus ditaati manusia dalam seluruh aspeknya,</w:t>
      </w:r>
      <w:r>
        <w:rPr>
          <w:rFonts w:asciiTheme="majorBidi" w:hAnsiTheme="majorBidi" w:cstheme="majorBidi"/>
          <w:sz w:val="24"/>
          <w:szCs w:val="24"/>
        </w:rPr>
        <w:t xml:space="preserve"> </w:t>
      </w:r>
      <w:r w:rsidRPr="008A5659">
        <w:rPr>
          <w:rFonts w:asciiTheme="majorBidi" w:hAnsiTheme="majorBidi" w:cstheme="majorBidi"/>
          <w:sz w:val="24"/>
          <w:szCs w:val="24"/>
        </w:rPr>
        <w:t>sehingga mencapai kebahagiaan di dunia dan akhirat.</w:t>
      </w:r>
      <w:r>
        <w:rPr>
          <w:rStyle w:val="FootnoteReference"/>
          <w:rFonts w:asciiTheme="majorBidi" w:hAnsiTheme="majorBidi" w:cstheme="majorBidi"/>
          <w:sz w:val="24"/>
          <w:szCs w:val="24"/>
        </w:rPr>
        <w:footnoteReference w:id="339"/>
      </w:r>
    </w:p>
    <w:p w:rsidR="00343B61" w:rsidRPr="00427CEE" w:rsidRDefault="00343B61" w:rsidP="00343B61">
      <w:pPr>
        <w:pStyle w:val="ListParagraph"/>
        <w:spacing w:line="360" w:lineRule="auto"/>
        <w:ind w:left="0" w:firstLine="720"/>
        <w:jc w:val="both"/>
        <w:rPr>
          <w:rFonts w:asciiTheme="majorBidi" w:hAnsiTheme="majorBidi" w:cstheme="majorBidi"/>
          <w:i/>
          <w:iCs/>
          <w:sz w:val="24"/>
          <w:szCs w:val="24"/>
          <w:lang w:val="id-ID"/>
        </w:rPr>
      </w:pPr>
      <w:r w:rsidRPr="00427CEE">
        <w:rPr>
          <w:rFonts w:asciiTheme="majorBidi" w:hAnsiTheme="majorBidi" w:cstheme="majorBidi"/>
          <w:sz w:val="24"/>
          <w:szCs w:val="24"/>
        </w:rPr>
        <w:t xml:space="preserve">Menurut Tokoh NU KH Hasyim Muzadi, </w:t>
      </w:r>
      <w:r w:rsidRPr="00427CEE">
        <w:rPr>
          <w:rFonts w:asciiTheme="majorBidi" w:hAnsiTheme="majorBidi" w:cstheme="majorBidi"/>
          <w:i/>
          <w:iCs/>
          <w:sz w:val="24"/>
          <w:szCs w:val="24"/>
        </w:rPr>
        <w:t>ta</w:t>
      </w:r>
      <w:r w:rsidRPr="00AE4A5C">
        <w:rPr>
          <w:rFonts w:asciiTheme="majorBidi" w:hAnsiTheme="majorBidi" w:cstheme="majorBidi"/>
          <w:i/>
          <w:iCs/>
          <w:sz w:val="24"/>
          <w:szCs w:val="24"/>
        </w:rPr>
        <w:t>ṭ</w:t>
      </w:r>
      <w:r w:rsidRPr="00427CEE">
        <w:rPr>
          <w:rFonts w:asciiTheme="majorBidi" w:hAnsiTheme="majorBidi" w:cstheme="majorBidi"/>
          <w:i/>
          <w:iCs/>
          <w:sz w:val="24"/>
          <w:szCs w:val="24"/>
        </w:rPr>
        <w:t>biq al-syar</w:t>
      </w:r>
      <w:r w:rsidRPr="0094142F">
        <w:rPr>
          <w:rFonts w:asciiTheme="majorBidi" w:hAnsiTheme="majorBidi" w:cstheme="majorBidi"/>
          <w:i/>
          <w:iCs/>
        </w:rPr>
        <w:t>ī</w:t>
      </w:r>
      <w:r w:rsidRPr="00427CEE">
        <w:rPr>
          <w:rFonts w:asciiTheme="majorBidi" w:hAnsiTheme="majorBidi" w:cstheme="majorBidi"/>
          <w:i/>
          <w:iCs/>
          <w:sz w:val="24"/>
          <w:szCs w:val="24"/>
        </w:rPr>
        <w:t>a</w:t>
      </w:r>
      <w:r>
        <w:rPr>
          <w:rFonts w:asciiTheme="majorBidi" w:hAnsiTheme="majorBidi" w:cstheme="majorBidi"/>
          <w:i/>
          <w:iCs/>
          <w:sz w:val="24"/>
          <w:szCs w:val="24"/>
        </w:rPr>
        <w:t>h</w:t>
      </w:r>
      <w:r w:rsidRPr="00427CEE">
        <w:rPr>
          <w:rFonts w:asciiTheme="majorBidi" w:hAnsiTheme="majorBidi" w:cstheme="majorBidi"/>
          <w:sz w:val="24"/>
          <w:szCs w:val="24"/>
        </w:rPr>
        <w:t xml:space="preserve"> (aplikasi syariat) secara tekstual dilakukan dalam </w:t>
      </w:r>
      <w:r w:rsidRPr="00427CEE">
        <w:rPr>
          <w:rFonts w:asciiTheme="majorBidi" w:hAnsiTheme="majorBidi" w:cstheme="majorBidi"/>
          <w:i/>
          <w:iCs/>
          <w:sz w:val="24"/>
          <w:szCs w:val="24"/>
        </w:rPr>
        <w:t>civil society</w:t>
      </w:r>
      <w:r w:rsidRPr="00427CEE">
        <w:rPr>
          <w:rFonts w:asciiTheme="majorBidi" w:hAnsiTheme="majorBidi" w:cstheme="majorBidi"/>
          <w:sz w:val="24"/>
          <w:szCs w:val="24"/>
        </w:rPr>
        <w:t xml:space="preserve">, tidak dalam </w:t>
      </w:r>
      <w:r w:rsidRPr="00427CEE">
        <w:rPr>
          <w:rFonts w:asciiTheme="majorBidi" w:hAnsiTheme="majorBidi" w:cstheme="majorBidi"/>
          <w:i/>
          <w:iCs/>
          <w:sz w:val="24"/>
          <w:szCs w:val="24"/>
        </w:rPr>
        <w:t>nation-state</w:t>
      </w:r>
      <w:r w:rsidRPr="00427CEE">
        <w:rPr>
          <w:rFonts w:asciiTheme="majorBidi" w:hAnsiTheme="majorBidi" w:cstheme="majorBidi"/>
          <w:sz w:val="24"/>
          <w:szCs w:val="24"/>
        </w:rPr>
        <w:t xml:space="preserve">. </w:t>
      </w:r>
      <w:r w:rsidRPr="00427CEE">
        <w:rPr>
          <w:rFonts w:asciiTheme="majorBidi" w:hAnsiTheme="majorBidi" w:cstheme="majorBidi"/>
          <w:sz w:val="24"/>
          <w:szCs w:val="24"/>
        </w:rPr>
        <w:lastRenderedPageBreak/>
        <w:t>Aplikasi tekstual itu untuk jamaah Islam sendiri. Dia harus taat beribadah, taat berzakat, dan sebagainya. Sehingga firman Allah, “</w:t>
      </w:r>
      <w:r w:rsidRPr="00427CEE">
        <w:rPr>
          <w:rFonts w:asciiTheme="majorBidi" w:hAnsiTheme="majorBidi" w:cstheme="majorBidi"/>
          <w:i/>
          <w:iCs/>
          <w:sz w:val="24"/>
          <w:szCs w:val="24"/>
        </w:rPr>
        <w:t>wa man lam yahkum bimā</w:t>
      </w:r>
      <w:r w:rsidRPr="00427CEE">
        <w:rPr>
          <w:rFonts w:asciiTheme="majorBidi" w:hAnsiTheme="majorBidi" w:cstheme="majorBidi"/>
          <w:i/>
          <w:iCs/>
          <w:sz w:val="24"/>
          <w:szCs w:val="24"/>
          <w:lang w:val="id-ID"/>
        </w:rPr>
        <w:t xml:space="preserve"> anzalallahu fa ul</w:t>
      </w:r>
      <w:r w:rsidRPr="00427CEE">
        <w:rPr>
          <w:rFonts w:asciiTheme="majorBidi" w:hAnsiTheme="majorBidi" w:cstheme="majorBidi"/>
          <w:i/>
          <w:iCs/>
          <w:sz w:val="24"/>
          <w:szCs w:val="24"/>
        </w:rPr>
        <w:t>ā‘</w:t>
      </w:r>
      <w:r w:rsidRPr="00427CEE">
        <w:rPr>
          <w:rFonts w:asciiTheme="majorBidi" w:hAnsiTheme="majorBidi" w:cstheme="majorBidi"/>
          <w:i/>
          <w:iCs/>
          <w:sz w:val="24"/>
          <w:szCs w:val="24"/>
          <w:lang w:val="id-ID"/>
        </w:rPr>
        <w:t>ika humul k</w:t>
      </w:r>
      <w:r w:rsidRPr="00427CEE">
        <w:rPr>
          <w:rFonts w:asciiTheme="majorBidi" w:hAnsiTheme="majorBidi" w:cstheme="majorBidi"/>
          <w:i/>
          <w:iCs/>
          <w:sz w:val="24"/>
          <w:szCs w:val="24"/>
        </w:rPr>
        <w:t>ā</w:t>
      </w:r>
      <w:r w:rsidRPr="00427CEE">
        <w:rPr>
          <w:rFonts w:asciiTheme="majorBidi" w:hAnsiTheme="majorBidi" w:cstheme="majorBidi"/>
          <w:i/>
          <w:iCs/>
          <w:sz w:val="24"/>
          <w:szCs w:val="24"/>
          <w:lang w:val="id-ID"/>
        </w:rPr>
        <w:t>fi</w:t>
      </w:r>
      <w:r w:rsidRPr="00427CEE">
        <w:rPr>
          <w:rFonts w:asciiTheme="majorBidi" w:hAnsiTheme="majorBidi" w:cstheme="majorBidi"/>
          <w:i/>
          <w:iCs/>
          <w:sz w:val="24"/>
          <w:szCs w:val="24"/>
        </w:rPr>
        <w:t>ū</w:t>
      </w:r>
      <w:r w:rsidRPr="00427CEE">
        <w:rPr>
          <w:rFonts w:asciiTheme="majorBidi" w:hAnsiTheme="majorBidi" w:cstheme="majorBidi"/>
          <w:i/>
          <w:iCs/>
          <w:sz w:val="24"/>
          <w:szCs w:val="24"/>
          <w:lang w:val="id-ID"/>
        </w:rPr>
        <w:t>n</w:t>
      </w:r>
      <w:r w:rsidRPr="00427CEE">
        <w:rPr>
          <w:rFonts w:asciiTheme="majorBidi" w:hAnsiTheme="majorBidi" w:cstheme="majorBidi"/>
          <w:sz w:val="24"/>
          <w:szCs w:val="24"/>
          <w:lang w:val="id-ID"/>
        </w:rPr>
        <w:t>”, (barang sia</w:t>
      </w:r>
      <w:r>
        <w:rPr>
          <w:rFonts w:asciiTheme="majorBidi" w:hAnsiTheme="majorBidi" w:cstheme="majorBidi"/>
        </w:rPr>
        <w:t xml:space="preserve">pa tidak </w:t>
      </w:r>
      <w:r w:rsidRPr="00427CEE">
        <w:rPr>
          <w:rFonts w:asciiTheme="majorBidi" w:hAnsiTheme="majorBidi" w:cstheme="majorBidi"/>
          <w:lang w:val="id-ID"/>
        </w:rPr>
        <w:t>b</w:t>
      </w:r>
      <w:r>
        <w:rPr>
          <w:rFonts w:asciiTheme="majorBidi" w:hAnsiTheme="majorBidi" w:cstheme="majorBidi"/>
        </w:rPr>
        <w:t>e</w:t>
      </w:r>
      <w:r w:rsidRPr="00427CEE">
        <w:rPr>
          <w:rFonts w:asciiTheme="majorBidi" w:hAnsiTheme="majorBidi" w:cstheme="majorBidi"/>
          <w:lang w:val="id-ID"/>
        </w:rPr>
        <w:t>r</w:t>
      </w:r>
      <w:r w:rsidRPr="00427CEE">
        <w:rPr>
          <w:rFonts w:asciiTheme="majorBidi" w:hAnsiTheme="majorBidi" w:cstheme="majorBidi"/>
          <w:sz w:val="24"/>
          <w:szCs w:val="24"/>
          <w:lang w:val="id-ID"/>
        </w:rPr>
        <w:t xml:space="preserve">hukum dengan apa yang diturunkan Allah, maka mereka itu orang kafir), ungkapan </w:t>
      </w:r>
      <w:r w:rsidRPr="00427CEE">
        <w:rPr>
          <w:rFonts w:asciiTheme="majorBidi" w:hAnsiTheme="majorBidi" w:cstheme="majorBidi"/>
          <w:lang w:val="id-ID"/>
        </w:rPr>
        <w:t>“</w:t>
      </w:r>
      <w:r w:rsidRPr="00427CEE">
        <w:rPr>
          <w:rFonts w:asciiTheme="majorBidi" w:hAnsiTheme="majorBidi" w:cstheme="majorBidi"/>
          <w:i/>
          <w:iCs/>
          <w:sz w:val="24"/>
          <w:szCs w:val="24"/>
          <w:lang w:val="id-ID"/>
        </w:rPr>
        <w:t>man</w:t>
      </w:r>
      <w:r w:rsidRPr="00427CEE">
        <w:rPr>
          <w:rFonts w:asciiTheme="majorBidi" w:hAnsiTheme="majorBidi" w:cstheme="majorBidi"/>
          <w:i/>
          <w:iCs/>
          <w:lang w:val="id-ID"/>
        </w:rPr>
        <w:t>”</w:t>
      </w:r>
      <w:r w:rsidRPr="00427CEE">
        <w:rPr>
          <w:rFonts w:asciiTheme="majorBidi" w:hAnsiTheme="majorBidi" w:cstheme="majorBidi"/>
          <w:sz w:val="24"/>
          <w:szCs w:val="24"/>
          <w:lang w:val="id-ID"/>
        </w:rPr>
        <w:t xml:space="preserve"> (barang siapa) di sini maksudnya "orang", bukan "institusi".</w:t>
      </w:r>
    </w:p>
    <w:p w:rsidR="00343B61" w:rsidRPr="00660AD5" w:rsidRDefault="00343B61" w:rsidP="00343B61">
      <w:pPr>
        <w:pStyle w:val="ListParagraph"/>
        <w:spacing w:after="0" w:line="360" w:lineRule="auto"/>
        <w:ind w:left="0" w:firstLine="720"/>
        <w:jc w:val="both"/>
        <w:rPr>
          <w:rFonts w:asciiTheme="majorBidi" w:hAnsiTheme="majorBidi" w:cstheme="majorBidi"/>
          <w:i/>
          <w:iCs/>
        </w:rPr>
      </w:pPr>
      <w:r w:rsidRPr="00DE0F3D">
        <w:rPr>
          <w:rFonts w:ascii="Times New Roman" w:hAnsi="Times New Roman" w:cs="Times New Roman"/>
          <w:sz w:val="24"/>
          <w:szCs w:val="24"/>
        </w:rPr>
        <w:t xml:space="preserve">Untuk level </w:t>
      </w:r>
      <w:r w:rsidRPr="00764BB5">
        <w:rPr>
          <w:rFonts w:ascii="Times New Roman" w:hAnsi="Times New Roman" w:cs="Times New Roman"/>
          <w:i/>
          <w:iCs/>
          <w:sz w:val="24"/>
          <w:szCs w:val="24"/>
        </w:rPr>
        <w:t>nation-state</w:t>
      </w:r>
      <w:r w:rsidRPr="00DE0F3D">
        <w:rPr>
          <w:rFonts w:ascii="Times New Roman" w:hAnsi="Times New Roman" w:cs="Times New Roman"/>
          <w:sz w:val="24"/>
          <w:szCs w:val="24"/>
        </w:rPr>
        <w:t xml:space="preserve">, untuk pemerintahan bangsa dan negara, yang masuk dari agama itu nilai luhurnya saja. Hanya </w:t>
      </w:r>
      <w:r>
        <w:rPr>
          <w:rFonts w:asciiTheme="majorBidi" w:hAnsiTheme="majorBidi" w:cstheme="majorBidi"/>
          <w:i/>
          <w:iCs/>
          <w:sz w:val="24"/>
          <w:szCs w:val="24"/>
        </w:rPr>
        <w:t>maqāṣid al-tsy</w:t>
      </w:r>
      <w:r w:rsidRPr="00660AD5">
        <w:rPr>
          <w:rFonts w:asciiTheme="majorBidi" w:hAnsiTheme="majorBidi" w:cstheme="majorBidi"/>
          <w:i/>
          <w:iCs/>
          <w:sz w:val="24"/>
          <w:szCs w:val="24"/>
        </w:rPr>
        <w:t>arī</w:t>
      </w:r>
      <w:r w:rsidRPr="00660AD5">
        <w:rPr>
          <w:rFonts w:asciiTheme="majorBidi" w:hAnsiTheme="majorBidi" w:cstheme="majorBidi"/>
          <w:sz w:val="24"/>
          <w:szCs w:val="24"/>
        </w:rPr>
        <w:t>‘</w:t>
      </w:r>
      <w:r>
        <w:rPr>
          <w:rFonts w:asciiTheme="majorBidi" w:hAnsiTheme="majorBidi" w:cstheme="majorBidi"/>
          <w:sz w:val="24"/>
          <w:szCs w:val="24"/>
        </w:rPr>
        <w:t xml:space="preserve"> </w:t>
      </w:r>
      <w:r w:rsidRPr="00DE0F3D">
        <w:rPr>
          <w:rFonts w:ascii="Times New Roman" w:hAnsi="Times New Roman" w:cs="Times New Roman"/>
          <w:sz w:val="24"/>
          <w:szCs w:val="24"/>
        </w:rPr>
        <w:t xml:space="preserve">(maksud ditetapkannya syariat) dan </w:t>
      </w:r>
      <w:r w:rsidRPr="00D44F72">
        <w:rPr>
          <w:rFonts w:ascii="Times New Roman" w:hAnsi="Times New Roman" w:cs="Times New Roman"/>
          <w:i/>
          <w:iCs/>
          <w:sz w:val="24"/>
          <w:szCs w:val="24"/>
          <w:u w:val="single"/>
          <w:lang w:val="id-ID"/>
        </w:rPr>
        <w:t>h</w:t>
      </w:r>
      <w:r>
        <w:rPr>
          <w:rFonts w:ascii="Times New Roman" w:hAnsi="Times New Roman" w:cs="Times New Roman"/>
          <w:i/>
          <w:iCs/>
          <w:sz w:val="24"/>
          <w:szCs w:val="24"/>
        </w:rPr>
        <w:t>ikmah</w:t>
      </w:r>
      <w:r w:rsidRPr="00E77035">
        <w:rPr>
          <w:rFonts w:ascii="Times New Roman" w:hAnsi="Times New Roman" w:cs="Times New Roman"/>
          <w:i/>
          <w:iCs/>
          <w:sz w:val="24"/>
          <w:szCs w:val="24"/>
        </w:rPr>
        <w:t xml:space="preserve"> </w:t>
      </w:r>
      <w:r>
        <w:rPr>
          <w:rFonts w:asciiTheme="majorBidi" w:hAnsiTheme="majorBidi" w:cstheme="majorBidi"/>
          <w:i/>
          <w:iCs/>
          <w:sz w:val="24"/>
          <w:szCs w:val="24"/>
        </w:rPr>
        <w:t>al-tsy</w:t>
      </w:r>
      <w:r w:rsidRPr="00660AD5">
        <w:rPr>
          <w:rFonts w:asciiTheme="majorBidi" w:hAnsiTheme="majorBidi" w:cstheme="majorBidi"/>
          <w:i/>
          <w:iCs/>
          <w:sz w:val="24"/>
          <w:szCs w:val="24"/>
        </w:rPr>
        <w:t>arī</w:t>
      </w:r>
      <w:r w:rsidRPr="00660AD5">
        <w:rPr>
          <w:rFonts w:asciiTheme="majorBidi" w:hAnsiTheme="majorBidi" w:cstheme="majorBidi"/>
          <w:sz w:val="24"/>
          <w:szCs w:val="24"/>
        </w:rPr>
        <w:t>‘</w:t>
      </w:r>
      <w:r>
        <w:rPr>
          <w:rFonts w:asciiTheme="majorBidi" w:hAnsiTheme="majorBidi" w:cstheme="majorBidi"/>
          <w:sz w:val="24"/>
          <w:szCs w:val="24"/>
        </w:rPr>
        <w:t xml:space="preserve"> </w:t>
      </w:r>
      <w:r w:rsidRPr="00DE0F3D">
        <w:rPr>
          <w:rFonts w:ascii="Times New Roman" w:hAnsi="Times New Roman" w:cs="Times New Roman"/>
          <w:sz w:val="24"/>
          <w:szCs w:val="24"/>
        </w:rPr>
        <w:t>(hikmah ditetapkannya syariat) at</w:t>
      </w:r>
      <w:r>
        <w:rPr>
          <w:rFonts w:ascii="Times New Roman" w:hAnsi="Times New Roman" w:cs="Times New Roman"/>
          <w:sz w:val="24"/>
          <w:szCs w:val="24"/>
        </w:rPr>
        <w:t>a</w:t>
      </w:r>
      <w:r w:rsidRPr="00DE0F3D">
        <w:rPr>
          <w:rFonts w:ascii="Times New Roman" w:hAnsi="Times New Roman" w:cs="Times New Roman"/>
          <w:sz w:val="24"/>
          <w:szCs w:val="24"/>
        </w:rPr>
        <w:t>u esensi syariat saja yang masuk. Kemudian prosesnya, pengemasanya, dan formatnya, melalui proses demokrasi, proses keindonesiaan, dan proses kebhinekaantu</w:t>
      </w:r>
      <w:r>
        <w:rPr>
          <w:rFonts w:ascii="Times New Roman" w:hAnsi="Times New Roman" w:cs="Times New Roman"/>
          <w:sz w:val="24"/>
          <w:szCs w:val="24"/>
        </w:rPr>
        <w:t>nggalikaan. Sehinga tak ada</w:t>
      </w:r>
      <w:r w:rsidRPr="00DE0F3D">
        <w:rPr>
          <w:rFonts w:ascii="Times New Roman" w:hAnsi="Times New Roman" w:cs="Times New Roman"/>
          <w:sz w:val="24"/>
          <w:szCs w:val="24"/>
        </w:rPr>
        <w:t xml:space="preserve"> konflik antara agama dan negara karena masing-masing ada proporsinya.</w:t>
      </w:r>
      <w:r>
        <w:rPr>
          <w:rStyle w:val="FootnoteReference"/>
          <w:rFonts w:ascii="Times New Roman" w:hAnsi="Times New Roman" w:cs="Times New Roman"/>
          <w:sz w:val="24"/>
          <w:szCs w:val="24"/>
        </w:rPr>
        <w:footnoteReference w:id="340"/>
      </w:r>
    </w:p>
    <w:p w:rsidR="00343B61" w:rsidRPr="00787E91" w:rsidRDefault="00343B61" w:rsidP="00343B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Hasyim Muzadi mencontohkan implementasi syariat secar</w:t>
      </w:r>
      <w:r w:rsidRPr="00DE0F3D">
        <w:rPr>
          <w:rFonts w:ascii="Times New Roman" w:hAnsi="Times New Roman" w:cs="Times New Roman"/>
          <w:sz w:val="24"/>
          <w:szCs w:val="24"/>
        </w:rPr>
        <w:t xml:space="preserve">a substantif </w:t>
      </w:r>
      <w:r>
        <w:rPr>
          <w:rFonts w:ascii="Times New Roman" w:hAnsi="Times New Roman" w:cs="Times New Roman"/>
          <w:sz w:val="24"/>
          <w:szCs w:val="24"/>
        </w:rPr>
        <w:t xml:space="preserve">seperti </w:t>
      </w:r>
      <w:r w:rsidRPr="00DE0F3D">
        <w:rPr>
          <w:rFonts w:ascii="Times New Roman" w:hAnsi="Times New Roman" w:cs="Times New Roman"/>
          <w:sz w:val="24"/>
          <w:szCs w:val="24"/>
        </w:rPr>
        <w:t>membuat UU Anti-Korupsi. Tidak perlu disebut "UU Islam Anti-korupsi". Karena</w:t>
      </w:r>
      <w:r>
        <w:rPr>
          <w:rFonts w:ascii="Times New Roman" w:hAnsi="Times New Roman" w:cs="Times New Roman"/>
          <w:sz w:val="24"/>
          <w:szCs w:val="24"/>
        </w:rPr>
        <w:t xml:space="preserve"> menurut beliau </w:t>
      </w:r>
      <w:r w:rsidRPr="00DE0F3D">
        <w:rPr>
          <w:rFonts w:ascii="Times New Roman" w:hAnsi="Times New Roman" w:cs="Times New Roman"/>
          <w:sz w:val="24"/>
          <w:szCs w:val="24"/>
        </w:rPr>
        <w:t xml:space="preserve"> anti-korupsi itu sudah Islami. Sehingga yang masuk da</w:t>
      </w:r>
      <w:r>
        <w:rPr>
          <w:rFonts w:ascii="Times New Roman" w:hAnsi="Times New Roman" w:cs="Times New Roman"/>
          <w:sz w:val="24"/>
          <w:szCs w:val="24"/>
        </w:rPr>
        <w:t>lam UU ini bukan teksnya. sebab</w:t>
      </w:r>
      <w:r w:rsidRPr="00DE0F3D">
        <w:rPr>
          <w:rFonts w:ascii="Times New Roman" w:hAnsi="Times New Roman" w:cs="Times New Roman"/>
          <w:sz w:val="24"/>
          <w:szCs w:val="24"/>
        </w:rPr>
        <w:t xml:space="preserve"> kalau teks yang masuk, NKRI ini akan rontok, akan retak. </w:t>
      </w:r>
      <w:r>
        <w:rPr>
          <w:rFonts w:ascii="Times New Roman" w:hAnsi="Times New Roman" w:cs="Times New Roman"/>
          <w:sz w:val="24"/>
          <w:szCs w:val="24"/>
        </w:rPr>
        <w:t>Dan bahwa penerapan syariah secara harfiyah bisa menimbulkan disintegrasi, dan menyulitkan pengembangan dakwah Islam itu sendiri. Sebagai contoh d</w:t>
      </w:r>
      <w:r w:rsidRPr="00DE0F3D">
        <w:rPr>
          <w:rFonts w:ascii="Times New Roman" w:hAnsi="Times New Roman" w:cs="Times New Roman"/>
          <w:sz w:val="24"/>
          <w:szCs w:val="24"/>
        </w:rPr>
        <w:t>i Inggris ada masjid yang ditutup karena dipakai khutbah untuk mempersoalkan konstitusi Inggris. Begitu juga di Belanda dan Australia. Sehin</w:t>
      </w:r>
      <w:r>
        <w:rPr>
          <w:rFonts w:ascii="Times New Roman" w:hAnsi="Times New Roman" w:cs="Times New Roman"/>
          <w:sz w:val="24"/>
          <w:szCs w:val="24"/>
        </w:rPr>
        <w:t>g</w:t>
      </w:r>
      <w:r w:rsidRPr="00DE0F3D">
        <w:rPr>
          <w:rFonts w:ascii="Times New Roman" w:hAnsi="Times New Roman" w:cs="Times New Roman"/>
          <w:sz w:val="24"/>
          <w:szCs w:val="24"/>
        </w:rPr>
        <w:t>ga masalah ini bukan masalah syariah tapi soal strategi dakwah.</w:t>
      </w:r>
      <w:r>
        <w:rPr>
          <w:rFonts w:ascii="Times New Roman" w:hAnsi="Times New Roman" w:cs="Times New Roman"/>
          <w:sz w:val="24"/>
          <w:szCs w:val="24"/>
        </w:rPr>
        <w:t xml:space="preserve"> Maka menurut beliau </w:t>
      </w:r>
      <w:r w:rsidRPr="00DE0F3D">
        <w:rPr>
          <w:rFonts w:ascii="Times New Roman" w:hAnsi="Times New Roman" w:cs="Times New Roman"/>
          <w:sz w:val="24"/>
          <w:szCs w:val="24"/>
        </w:rPr>
        <w:t>umat Islam sebaiknya langsung menjadikan Islam sebagai agama yang produktif. Jangan lagi bertikai pada aspek simbolik, khilafah tidak khilafah, syar</w:t>
      </w:r>
      <w:r>
        <w:rPr>
          <w:rFonts w:ascii="Times New Roman" w:hAnsi="Times New Roman" w:cs="Times New Roman"/>
          <w:sz w:val="24"/>
          <w:szCs w:val="24"/>
        </w:rPr>
        <w:t>iat atau tidak syariat. Yang paling penting</w:t>
      </w:r>
      <w:r w:rsidRPr="00DE0F3D">
        <w:rPr>
          <w:rFonts w:ascii="Times New Roman" w:hAnsi="Times New Roman" w:cs="Times New Roman"/>
          <w:sz w:val="24"/>
          <w:szCs w:val="24"/>
        </w:rPr>
        <w:t>, agama Islam kita laksanakan secara aplikatif. Melahirkan persaud</w:t>
      </w:r>
      <w:r>
        <w:rPr>
          <w:rFonts w:ascii="Times New Roman" w:hAnsi="Times New Roman" w:cs="Times New Roman"/>
          <w:sz w:val="24"/>
          <w:szCs w:val="24"/>
        </w:rPr>
        <w:t>araan, keadilan, dan kemakmuran</w:t>
      </w:r>
      <w:r w:rsidRPr="00DE0F3D">
        <w:rPr>
          <w:rFonts w:ascii="Times New Roman" w:hAnsi="Times New Roman" w:cs="Times New Roman"/>
          <w:sz w:val="24"/>
          <w:szCs w:val="24"/>
        </w:rPr>
        <w:t>.</w:t>
      </w:r>
      <w:r>
        <w:rPr>
          <w:rStyle w:val="FootnoteReference"/>
          <w:rFonts w:ascii="Times New Roman" w:hAnsi="Times New Roman" w:cs="Times New Roman"/>
          <w:sz w:val="24"/>
          <w:szCs w:val="24"/>
        </w:rPr>
        <w:footnoteReference w:id="341"/>
      </w:r>
      <w:r w:rsidRPr="00DE0F3D">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Sementara menurut</w:t>
      </w:r>
      <w:r w:rsidRPr="009B5A5E">
        <w:rPr>
          <w:rFonts w:ascii="Times New Roman" w:hAnsi="Times New Roman" w:cs="Times New Roman"/>
          <w:sz w:val="24"/>
          <w:szCs w:val="24"/>
        </w:rPr>
        <w:t xml:space="preserve"> Abu Bakar Ba</w:t>
      </w:r>
      <w:r>
        <w:rPr>
          <w:rFonts w:ascii="Times New Roman" w:hAnsi="Times New Roman" w:cs="Times New Roman"/>
          <w:sz w:val="24"/>
          <w:szCs w:val="24"/>
        </w:rPr>
        <w:t>’</w:t>
      </w:r>
      <w:r w:rsidRPr="009B5A5E">
        <w:rPr>
          <w:rFonts w:ascii="Times New Roman" w:hAnsi="Times New Roman" w:cs="Times New Roman"/>
          <w:sz w:val="24"/>
          <w:szCs w:val="24"/>
        </w:rPr>
        <w:t>asyir</w:t>
      </w:r>
      <w:r>
        <w:rPr>
          <w:rFonts w:ascii="Times New Roman" w:hAnsi="Times New Roman" w:cs="Times New Roman"/>
          <w:sz w:val="24"/>
          <w:szCs w:val="24"/>
        </w:rPr>
        <w:t xml:space="preserve">, </w:t>
      </w:r>
      <w:r w:rsidRPr="009B5A5E">
        <w:rPr>
          <w:rFonts w:ascii="Times New Roman" w:hAnsi="Times New Roman" w:cs="Times New Roman"/>
          <w:sz w:val="24"/>
          <w:szCs w:val="24"/>
        </w:rPr>
        <w:t xml:space="preserve">dalam konteks Indonesia, penerapan syariat Islam akan terhalang oleh supremasi hukum yang tidak </w:t>
      </w:r>
      <w:r w:rsidRPr="009B5A5E">
        <w:rPr>
          <w:rFonts w:ascii="Times New Roman" w:hAnsi="Times New Roman" w:cs="Times New Roman"/>
          <w:sz w:val="24"/>
          <w:szCs w:val="24"/>
        </w:rPr>
        <w:lastRenderedPageBreak/>
        <w:t>menganut syariat Islam. Meski demikian, ada celah yang wajib dimanfaatkan oleh umat Islam sebagai manifestasi dari tauhidnya yakni UU Otonomi Daerah dan Perda Syariah</w:t>
      </w:r>
      <w:r>
        <w:rPr>
          <w:rFonts w:ascii="Times New Roman" w:hAnsi="Times New Roman" w:cs="Times New Roman"/>
          <w:sz w:val="24"/>
          <w:szCs w:val="24"/>
        </w:rPr>
        <w:t>.</w:t>
      </w:r>
      <w:r w:rsidRPr="009B5A5E">
        <w:rPr>
          <w:rFonts w:ascii="Times New Roman" w:hAnsi="Times New Roman" w:cs="Times New Roman"/>
          <w:sz w:val="24"/>
          <w:szCs w:val="24"/>
        </w:rPr>
        <w:t xml:space="preserve"> Dan dalam memanfaatkan celah UU otonomi daerah dan perda syariah harus dilalui sambil terus berupaya agar ke depannya Islam dapat menjadi supermasi hukum di negeri ini secara total. Karena dengan menjadikan Islam sebagai satu-satunya undang-undang adalah tuntutan tauhid yang bersifat harga mati bagi setiap muslim.</w:t>
      </w:r>
      <w:r>
        <w:rPr>
          <w:rStyle w:val="FootnoteReference"/>
          <w:rFonts w:ascii="Times New Roman" w:hAnsi="Times New Roman" w:cs="Times New Roman"/>
          <w:sz w:val="24"/>
          <w:szCs w:val="24"/>
        </w:rPr>
        <w:footnoteReference w:id="342"/>
      </w:r>
    </w:p>
    <w:p w:rsidR="00343B61" w:rsidRPr="00C9058B" w:rsidRDefault="00343B61" w:rsidP="00343B61">
      <w:pPr>
        <w:pStyle w:val="ListParagraph"/>
        <w:spacing w:line="360" w:lineRule="auto"/>
        <w:ind w:left="0" w:firstLine="720"/>
        <w:jc w:val="both"/>
        <w:rPr>
          <w:rFonts w:asciiTheme="majorBidi" w:hAnsiTheme="majorBidi" w:cstheme="majorBidi"/>
          <w:i/>
          <w:iCs/>
        </w:rPr>
      </w:pPr>
      <w:r w:rsidRPr="009B5A5E">
        <w:rPr>
          <w:rFonts w:ascii="Times New Roman" w:hAnsi="Times New Roman" w:cs="Times New Roman"/>
          <w:sz w:val="24"/>
          <w:szCs w:val="24"/>
        </w:rPr>
        <w:t xml:space="preserve">Menurut Habib Rizieq (Ketua Umum DPP FPI), peluang penerapan syariat Islam di Indonesia sebenarnya 75% sudah ada di tangan umat Islam. Karena menurutnya, hukum syariat kini sudah masuk ke dalam bahasa perundang-undangan di Indonesia. </w:t>
      </w:r>
      <w:r w:rsidRPr="009B5A5E">
        <w:rPr>
          <w:rFonts w:ascii="Times New Roman" w:hAnsi="Times New Roman" w:cs="Times New Roman"/>
          <w:i/>
          <w:iCs/>
          <w:sz w:val="24"/>
          <w:szCs w:val="24"/>
        </w:rPr>
        <w:t xml:space="preserve">Pertama, </w:t>
      </w:r>
      <w:r w:rsidRPr="009B5A5E">
        <w:rPr>
          <w:rFonts w:ascii="Times New Roman" w:hAnsi="Times New Roman" w:cs="Times New Roman"/>
          <w:sz w:val="24"/>
          <w:szCs w:val="24"/>
        </w:rPr>
        <w:t xml:space="preserve">terkait hukum syariat perorangan, adanya UU Zakat dan UU Haji yang kini sudah dimasukkan ke dalam bahasa perundang-undangan, sehingga hal ini tentunya akan memperkuat posisi syariat dalam perundang-undangan negara. </w:t>
      </w:r>
      <w:r w:rsidRPr="009B5A5E">
        <w:rPr>
          <w:rFonts w:ascii="Times New Roman" w:hAnsi="Times New Roman" w:cs="Times New Roman"/>
          <w:i/>
          <w:iCs/>
          <w:sz w:val="24"/>
          <w:szCs w:val="24"/>
        </w:rPr>
        <w:t xml:space="preserve">Kedua, </w:t>
      </w:r>
      <w:r>
        <w:rPr>
          <w:rFonts w:ascii="Times New Roman" w:hAnsi="Times New Roman" w:cs="Times New Roman"/>
          <w:sz w:val="24"/>
          <w:szCs w:val="24"/>
        </w:rPr>
        <w:t>hu</w:t>
      </w:r>
      <w:r w:rsidRPr="009B5A5E">
        <w:rPr>
          <w:rFonts w:ascii="Times New Roman" w:hAnsi="Times New Roman" w:cs="Times New Roman"/>
          <w:sz w:val="24"/>
          <w:szCs w:val="24"/>
        </w:rPr>
        <w:t xml:space="preserve">kum syariat rumah tangga, disediakannya secara formal pengadilan agama lengkap dengan perangkat hukum dan sarana prasarananya untuk mengatasi masalah dalam hukum perkawinan, perceraian, warisan, wasiat, waqaf dan hibah. </w:t>
      </w:r>
      <w:r w:rsidRPr="009B5A5E">
        <w:rPr>
          <w:rFonts w:ascii="Times New Roman" w:hAnsi="Times New Roman" w:cs="Times New Roman"/>
          <w:i/>
          <w:iCs/>
          <w:sz w:val="24"/>
          <w:szCs w:val="24"/>
        </w:rPr>
        <w:t>Ketiga,</w:t>
      </w:r>
      <w:r w:rsidRPr="009B5A5E">
        <w:rPr>
          <w:rFonts w:ascii="Times New Roman" w:hAnsi="Times New Roman" w:cs="Times New Roman"/>
          <w:sz w:val="24"/>
          <w:szCs w:val="24"/>
        </w:rPr>
        <w:t xml:space="preserve"> hukum syariat sosial ekonomi kemasyarakatan, dalam bidang pendidikan secara sah berdiri pesantren dan madrasah serta perguruan tinggi Islam dengan kurikulum khas Islam diakui negara. Sementara dalam bidang ekonomi, telah bermunculan secara legal formal perbankan syariah, asuransi syariah, pengadaian syariah, dan sebagainya. </w:t>
      </w:r>
      <w:r w:rsidRPr="009B5A5E">
        <w:rPr>
          <w:rFonts w:ascii="Times New Roman" w:hAnsi="Times New Roman" w:cs="Times New Roman"/>
          <w:i/>
          <w:iCs/>
          <w:sz w:val="24"/>
          <w:szCs w:val="24"/>
        </w:rPr>
        <w:t xml:space="preserve">Keempat, </w:t>
      </w:r>
      <w:r w:rsidRPr="009B5A5E">
        <w:rPr>
          <w:rFonts w:ascii="Times New Roman" w:hAnsi="Times New Roman" w:cs="Times New Roman"/>
          <w:sz w:val="24"/>
          <w:szCs w:val="24"/>
        </w:rPr>
        <w:t xml:space="preserve">hukum syariat tata negara, dalam sebuah negara Islam perlu adanya pemberlakuan </w:t>
      </w:r>
      <w:r w:rsidRPr="00C9058B">
        <w:rPr>
          <w:rFonts w:ascii="Times New Roman" w:hAnsi="Times New Roman" w:cs="Times New Roman"/>
          <w:i/>
          <w:iCs/>
          <w:sz w:val="24"/>
          <w:szCs w:val="24"/>
        </w:rPr>
        <w:t>qi</w:t>
      </w:r>
      <w:r w:rsidRPr="00C9058B">
        <w:rPr>
          <w:rFonts w:asciiTheme="majorBidi" w:hAnsiTheme="majorBidi" w:cstheme="majorBidi"/>
          <w:i/>
          <w:iCs/>
          <w:sz w:val="24"/>
          <w:szCs w:val="24"/>
        </w:rPr>
        <w:t>ṣāṣ</w:t>
      </w:r>
      <w:r w:rsidRPr="009B5A5E">
        <w:rPr>
          <w:rFonts w:ascii="Times New Roman" w:hAnsi="Times New Roman" w:cs="Times New Roman"/>
          <w:sz w:val="24"/>
          <w:szCs w:val="24"/>
        </w:rPr>
        <w:t xml:space="preserve"> da</w:t>
      </w:r>
      <w:r>
        <w:rPr>
          <w:rFonts w:ascii="Times New Roman" w:hAnsi="Times New Roman" w:cs="Times New Roman"/>
          <w:sz w:val="24"/>
          <w:szCs w:val="24"/>
        </w:rPr>
        <w:t xml:space="preserve">n </w:t>
      </w:r>
      <w:r w:rsidRPr="00C9058B">
        <w:rPr>
          <w:rFonts w:ascii="Times New Roman" w:hAnsi="Times New Roman" w:cs="Times New Roman"/>
          <w:i/>
          <w:iCs/>
          <w:sz w:val="24"/>
          <w:szCs w:val="24"/>
        </w:rPr>
        <w:t>hud</w:t>
      </w:r>
      <w:r w:rsidRPr="00C9058B">
        <w:rPr>
          <w:rFonts w:asciiTheme="majorBidi" w:hAnsiTheme="majorBidi" w:cstheme="majorBidi"/>
          <w:i/>
          <w:iCs/>
          <w:sz w:val="24"/>
          <w:szCs w:val="24"/>
        </w:rPr>
        <w:t>ū</w:t>
      </w:r>
      <w:r w:rsidRPr="00C9058B">
        <w:rPr>
          <w:rFonts w:ascii="Times New Roman" w:hAnsi="Times New Roman" w:cs="Times New Roman"/>
          <w:i/>
          <w:iCs/>
          <w:sz w:val="24"/>
          <w:szCs w:val="24"/>
        </w:rPr>
        <w:t>d</w:t>
      </w:r>
      <w:r>
        <w:rPr>
          <w:rFonts w:ascii="Times New Roman" w:hAnsi="Times New Roman" w:cs="Times New Roman"/>
          <w:sz w:val="24"/>
          <w:szCs w:val="24"/>
        </w:rPr>
        <w:t xml:space="preserve">. Namun di Indonesia </w:t>
      </w:r>
      <w:r w:rsidRPr="009B5A5E">
        <w:rPr>
          <w:rFonts w:ascii="Times New Roman" w:hAnsi="Times New Roman" w:cs="Times New Roman"/>
          <w:sz w:val="24"/>
          <w:szCs w:val="24"/>
        </w:rPr>
        <w:t>hukum syariat yang ke empat ini masih menjadi perdebatan yang serius dan hukum ini tidak akan terlaksana apabila tidak adanya kekuatan negara</w:t>
      </w:r>
      <w:r>
        <w:rPr>
          <w:rStyle w:val="FootnoteReference"/>
          <w:rFonts w:ascii="Times New Roman" w:hAnsi="Times New Roman" w:cs="Times New Roman"/>
          <w:sz w:val="24"/>
          <w:szCs w:val="24"/>
        </w:rPr>
        <w:footnoteReference w:id="343"/>
      </w:r>
      <w:r w:rsidRPr="009B5A5E">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B5A5E">
        <w:rPr>
          <w:rFonts w:ascii="Times New Roman" w:hAnsi="Times New Roman" w:cs="Times New Roman"/>
          <w:sz w:val="24"/>
          <w:szCs w:val="24"/>
        </w:rPr>
        <w:lastRenderedPageBreak/>
        <w:t xml:space="preserve">Di antara empat hukum syariat di atas, tiga di antaranya merupakan hal yang sudah ada dan terlaksana dengan leluasa di Indonesia. Sehingga pernyataan Habibi Rizieq di atas mengenai 75% peluang penerapan syariat Islam di Indonesia cukup terealisasikan. Adapun yang 25% masih dalam proses perjuangan. Dan menurutnya, jika yang 75% kita jaga dan amalkan dengan baik, niscaya keberkahannya akan membuka sisa peluang 25% lainnya dengan izin Allah SWT. </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B5A5E">
        <w:rPr>
          <w:rFonts w:ascii="Times New Roman" w:hAnsi="Times New Roman" w:cs="Times New Roman"/>
          <w:sz w:val="24"/>
          <w:szCs w:val="24"/>
        </w:rPr>
        <w:t>Dalam wacana penerapan syariat Islam sering kali menjadi perdebatan dan menuai kontroversi. Namun penting sekali untuk diketahui, bahwa adanya keinginan untuk menerapkan syariat Islam di Indonesia ini tidak pernah hilang begitu saja, sejak kekalahan kalangan politik Islam di dalam memperjuangkan Piagam Jakarta. Perjuangan penerapan syariat Islam pasca kekalahan itu tersirat dalam pernyataan Adian Husaini, Ketua Dewan Dakwah Islamiyah Indonesia (DDII). Menurutnya, "umat Islam sudah menerima takdir, tetapi yang paling penting umat Islam berusaha memperjuangkan aspirasinya dalam kehidupan yang lebih baik". Menjamurnya Perda bernuansa syariah, "adalah upaya umat Islam menuju perbaikan itu"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4"/>
      </w:r>
      <w:r w:rsidRPr="009B5A5E">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B5A5E">
        <w:rPr>
          <w:rFonts w:ascii="Times New Roman" w:hAnsi="Times New Roman" w:cs="Times New Roman"/>
          <w:sz w:val="24"/>
          <w:szCs w:val="24"/>
        </w:rPr>
        <w:t xml:space="preserve">Dengan </w:t>
      </w:r>
      <w:r>
        <w:rPr>
          <w:rFonts w:ascii="Times New Roman" w:hAnsi="Times New Roman" w:cs="Times New Roman"/>
          <w:sz w:val="24"/>
          <w:szCs w:val="24"/>
        </w:rPr>
        <w:t>lahirnya</w:t>
      </w:r>
      <w:r w:rsidRPr="009B5A5E">
        <w:rPr>
          <w:rFonts w:ascii="Times New Roman" w:hAnsi="Times New Roman" w:cs="Times New Roman"/>
          <w:sz w:val="24"/>
          <w:szCs w:val="24"/>
        </w:rPr>
        <w:t xml:space="preserve"> undang-undang</w:t>
      </w:r>
      <w:r>
        <w:rPr>
          <w:rFonts w:ascii="Times New Roman" w:hAnsi="Times New Roman" w:cs="Times New Roman"/>
          <w:sz w:val="24"/>
          <w:szCs w:val="24"/>
        </w:rPr>
        <w:t xml:space="preserve"> </w:t>
      </w:r>
      <w:r w:rsidRPr="009B5A5E">
        <w:rPr>
          <w:rFonts w:ascii="Times New Roman" w:hAnsi="Times New Roman" w:cs="Times New Roman"/>
          <w:sz w:val="24"/>
          <w:szCs w:val="24"/>
        </w:rPr>
        <w:t>No. 22 Tahun 1999 tentang Otonomi Daerah yang kemudian diganti menjdi UU No. 34 Tahun 2</w:t>
      </w:r>
      <w:r>
        <w:rPr>
          <w:rFonts w:ascii="Times New Roman" w:hAnsi="Times New Roman" w:cs="Times New Roman"/>
          <w:sz w:val="24"/>
          <w:szCs w:val="24"/>
        </w:rPr>
        <w:t xml:space="preserve">004 tentang Pemerintahan daerah </w:t>
      </w:r>
      <w:r w:rsidRPr="009B5A5E">
        <w:rPr>
          <w:rFonts w:ascii="Times New Roman" w:hAnsi="Times New Roman" w:cs="Times New Roman"/>
          <w:sz w:val="24"/>
          <w:szCs w:val="24"/>
        </w:rPr>
        <w:t>tersebut, beberapa bagian kecil syariat Islam mulai diterapkan di berbagai daerah yang diformalisasikan melalui peraturan daerah (perda) dan sejumlah daerah di Indonesia menuntut penerapan syariat Islam secara formal. Misalnya Aceh yang sudah diberikan hak otonomi, termasuk hak untuk menerapkan syariat Islam. Selain itu juga terdapat di provinsi-provinsi lain yang ingin menerapkan syariat Islam di daerahnya, seperti Sulawesi Selatan (Bulukumba), Tasikmalaya, Banten, Sukabumi, Cianjur, Minang dan Kalimantan Selatan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5"/>
      </w:r>
      <w:r w:rsidRPr="009B5A5E">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B5A5E">
        <w:rPr>
          <w:rFonts w:ascii="Times New Roman" w:hAnsi="Times New Roman" w:cs="Times New Roman"/>
          <w:sz w:val="24"/>
          <w:szCs w:val="24"/>
        </w:rPr>
        <w:lastRenderedPageBreak/>
        <w:t>Salah satu bukti dari terlaksananya perda syariah, sebut saja Kabupaten Bulukumba, Sulawesi Selatan. Selama dua periode (1995-2005) di bawah pimpinan Patabai, Bulukumba menjadi salah satu pionir penerapan syariat Islam di Sulawesi Selatan. Pada masa kepemimpinan Patabai lahir empat perda syariah, diantaranya yaitu: perda minuman keras; zakat, infaq dan sedekah; baca tulis al</w:t>
      </w:r>
      <w:r>
        <w:rPr>
          <w:rFonts w:ascii="Times New Roman" w:hAnsi="Times New Roman" w:cs="Times New Roman"/>
          <w:sz w:val="24"/>
          <w:szCs w:val="24"/>
        </w:rPr>
        <w:t>-</w:t>
      </w:r>
      <w:r w:rsidRPr="009B5A5E">
        <w:rPr>
          <w:rFonts w:ascii="Times New Roman" w:hAnsi="Times New Roman" w:cs="Times New Roman"/>
          <w:sz w:val="24"/>
          <w:szCs w:val="24"/>
        </w:rPr>
        <w:t>Quran bagi calon siswa dan calon pengantin; serta pakaian muslim/muslimah. Keempat perda syariah tersebut lahir pada tahun 2003.</w:t>
      </w:r>
      <w:r>
        <w:rPr>
          <w:rStyle w:val="FootnoteReference"/>
          <w:rFonts w:ascii="Times New Roman" w:hAnsi="Times New Roman" w:cs="Times New Roman"/>
          <w:sz w:val="24"/>
          <w:szCs w:val="24"/>
        </w:rPr>
        <w:footnoteReference w:id="346"/>
      </w:r>
      <w:r w:rsidRPr="009B5A5E">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B5A5E">
        <w:rPr>
          <w:rFonts w:ascii="Times New Roman" w:hAnsi="Times New Roman" w:cs="Times New Roman"/>
          <w:sz w:val="24"/>
          <w:szCs w:val="24"/>
        </w:rPr>
        <w:t xml:space="preserve">Keinginan mendirikan penerapan syariat Islam juga dirasakan begitu dalam oleh gerakan </w:t>
      </w:r>
      <w:r>
        <w:rPr>
          <w:rFonts w:ascii="Times New Roman" w:hAnsi="Times New Roman" w:cs="Times New Roman"/>
          <w:sz w:val="24"/>
          <w:szCs w:val="24"/>
        </w:rPr>
        <w:t xml:space="preserve">Ormas </w:t>
      </w:r>
      <w:r w:rsidRPr="009B5A5E">
        <w:rPr>
          <w:rFonts w:ascii="Times New Roman" w:hAnsi="Times New Roman" w:cs="Times New Roman"/>
          <w:sz w:val="24"/>
          <w:szCs w:val="24"/>
        </w:rPr>
        <w:t>Islam seperti Front Pembela Islam (FPI), Forum Umat Islam (FUI), Majelis Mujahidin Indonesia (MMI), Hizbut Tahrir Indonesia (HTI)  dan berbagai yayasan Islam dan ormas Islam lainnya yang ingin menerapkan syariat Islam dalam bingkai sebuah negara. Mereka turut andil besar dalam mengkampanyekan agenda penerapan syariat Islam. Misalnya dengan menyusun</w:t>
      </w:r>
      <w:r>
        <w:rPr>
          <w:rFonts w:ascii="Times New Roman" w:hAnsi="Times New Roman" w:cs="Times New Roman"/>
          <w:sz w:val="24"/>
          <w:szCs w:val="24"/>
        </w:rPr>
        <w:t xml:space="preserve"> </w:t>
      </w:r>
      <w:r w:rsidRPr="009B5A5E">
        <w:rPr>
          <w:rFonts w:ascii="Times New Roman" w:hAnsi="Times New Roman" w:cs="Times New Roman"/>
          <w:sz w:val="24"/>
          <w:szCs w:val="24"/>
        </w:rPr>
        <w:t>draft revisi Kitab Undang-Undang Hukum Pidana (KUHP) berdasarkan syariat, melawanan aksi pornografi dan pornoaksi yang kian merusak bangsa, menolak rencana pembubaran Ormas yang dianggap anarkis, mendukung Perda syariat. Selain itu, upaya kampanye dan tekanan juga dilakukan oleh kelompok ini baik melalui pertemuan rutin, mobilisasi massa, tablig akbar, atau melalui dialog dengan pemerintahan darerah</w:t>
      </w:r>
      <w:r>
        <w:rPr>
          <w:rStyle w:val="FootnoteReference"/>
          <w:rFonts w:ascii="Times New Roman" w:hAnsi="Times New Roman" w:cs="Times New Roman"/>
          <w:sz w:val="24"/>
          <w:szCs w:val="24"/>
        </w:rPr>
        <w:footnoteReference w:id="347"/>
      </w:r>
      <w:r w:rsidRPr="009B5A5E">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Berbeda dengan ormas-ormas Islam yang disebutkan di atas, NU dan </w:t>
      </w:r>
      <w:r w:rsidRPr="0045035F">
        <w:rPr>
          <w:rFonts w:ascii="Times New Roman" w:hAnsi="Times New Roman" w:cs="Times New Roman"/>
          <w:sz w:val="24"/>
          <w:szCs w:val="24"/>
        </w:rPr>
        <w:t xml:space="preserve">Muhammadiyah menolak konsep Negara Islam atau Gerakan Islam Syariat di Indonesia yang antara lain tercermin dari perjuangan mengembalikan Piagam Jakarta ke dalam UUD 1945. Pimpinan Pusat Muhammadiyah secara resmi mengeluarkan Maklumat/Surat Edaran No. 10/EDR/I.0/2002 bertanggal 16 Agustus 2002, yang intinya tidak mendukung atau menolak usaha menghidupkan kembali Piagam Jakarta, baik karena alasan substansi maupun strategi. Dikatakan bahwa Muhammadiyah lebih mendukung dakwah dan pembinaan umat di lingkup </w:t>
      </w:r>
      <w:r w:rsidRPr="0045035F">
        <w:rPr>
          <w:rFonts w:ascii="Times New Roman" w:hAnsi="Times New Roman" w:cs="Times New Roman"/>
          <w:sz w:val="24"/>
          <w:szCs w:val="24"/>
        </w:rPr>
        <w:lastRenderedPageBreak/>
        <w:t>masyarakat. Begitu pula dengan NU. Pada tanggal 11 Agustus 2000, NU menyatakan menolak Amandemen UUD 1945 Pasal 29 maupun Pembukaan UUD 1945 yang hendak memasukkan tujuh kata dalam Piagam Jakarta karena tidak diperlukan baik dari tujuan filosofis, historis, maupun substansi ajaran Islam.</w:t>
      </w:r>
      <w:r>
        <w:rPr>
          <w:rStyle w:val="FootnoteReference"/>
          <w:rFonts w:ascii="Times New Roman" w:hAnsi="Times New Roman" w:cs="Times New Roman"/>
          <w:sz w:val="24"/>
          <w:szCs w:val="24"/>
        </w:rPr>
        <w:footnoteReference w:id="348"/>
      </w:r>
      <w:r w:rsidRPr="0045035F">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Perlu digaris bawahi bawa penolakan NU-Muhammadiyah dalam konteks</w:t>
      </w:r>
      <w:r w:rsidRPr="0045035F">
        <w:rPr>
          <w:rFonts w:ascii="Times New Roman" w:hAnsi="Times New Roman" w:cs="Times New Roman"/>
          <w:sz w:val="24"/>
          <w:szCs w:val="24"/>
        </w:rPr>
        <w:t xml:space="preserve"> syariatisas</w:t>
      </w:r>
      <w:r>
        <w:rPr>
          <w:rFonts w:ascii="Times New Roman" w:hAnsi="Times New Roman" w:cs="Times New Roman"/>
          <w:sz w:val="24"/>
          <w:szCs w:val="24"/>
        </w:rPr>
        <w:t>i negara</w:t>
      </w:r>
      <w:r w:rsidRPr="0045035F">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45035F">
        <w:rPr>
          <w:rFonts w:ascii="Times New Roman" w:hAnsi="Times New Roman" w:cs="Times New Roman"/>
          <w:sz w:val="24"/>
          <w:szCs w:val="24"/>
        </w:rPr>
        <w:t xml:space="preserve"> </w:t>
      </w:r>
      <w:r>
        <w:rPr>
          <w:rFonts w:ascii="Times New Roman" w:hAnsi="Times New Roman" w:cs="Times New Roman"/>
          <w:sz w:val="24"/>
          <w:szCs w:val="24"/>
        </w:rPr>
        <w:t xml:space="preserve">yang berkaitan dengan </w:t>
      </w:r>
      <w:r w:rsidRPr="0045035F">
        <w:rPr>
          <w:rFonts w:ascii="Times New Roman" w:hAnsi="Times New Roman" w:cs="Times New Roman"/>
          <w:sz w:val="24"/>
          <w:szCs w:val="24"/>
        </w:rPr>
        <w:t xml:space="preserve">lapangan hukum publik pidana, tata negara, dan administrasi negara. Sedangkan untuk </w:t>
      </w:r>
      <w:r>
        <w:rPr>
          <w:rFonts w:ascii="Times New Roman" w:hAnsi="Times New Roman" w:cs="Times New Roman"/>
          <w:sz w:val="24"/>
          <w:szCs w:val="24"/>
        </w:rPr>
        <w:t xml:space="preserve">lapangan hukum privat </w:t>
      </w:r>
      <w:r w:rsidRPr="0045035F">
        <w:rPr>
          <w:rFonts w:ascii="Times New Roman" w:hAnsi="Times New Roman" w:cs="Times New Roman"/>
          <w:sz w:val="24"/>
          <w:szCs w:val="24"/>
        </w:rPr>
        <w:t xml:space="preserve">perkawinan, waris, perjanjian, </w:t>
      </w:r>
      <w:r>
        <w:rPr>
          <w:rFonts w:ascii="Times New Roman" w:hAnsi="Times New Roman" w:cs="Times New Roman"/>
          <w:sz w:val="24"/>
          <w:szCs w:val="24"/>
        </w:rPr>
        <w:t xml:space="preserve">perbankan syariah, dll </w:t>
      </w:r>
      <w:r w:rsidRPr="0045035F">
        <w:rPr>
          <w:rFonts w:ascii="Times New Roman" w:hAnsi="Times New Roman" w:cs="Times New Roman"/>
          <w:sz w:val="24"/>
          <w:szCs w:val="24"/>
        </w:rPr>
        <w:t>sama sekali tidak dipermasalahkan atau diterima baik oleh NU dan Muhammadiyah.</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9B5A5E">
        <w:rPr>
          <w:rFonts w:ascii="Times New Roman" w:hAnsi="Times New Roman" w:cs="Times New Roman"/>
          <w:sz w:val="24"/>
          <w:szCs w:val="24"/>
        </w:rPr>
        <w:t xml:space="preserve">Syuhada Bahri (Ketua Umum DDII), ada beberapa strategi dalam perjuangan penegakkan syariah Islam di Indonesia. </w:t>
      </w:r>
      <w:r w:rsidRPr="009B5A5E">
        <w:rPr>
          <w:rFonts w:ascii="Times New Roman" w:hAnsi="Times New Roman" w:cs="Times New Roman"/>
          <w:i/>
          <w:iCs/>
          <w:sz w:val="24"/>
          <w:szCs w:val="24"/>
        </w:rPr>
        <w:t>Pertama</w:t>
      </w:r>
      <w:r w:rsidRPr="009B5A5E">
        <w:rPr>
          <w:rFonts w:ascii="Times New Roman" w:hAnsi="Times New Roman" w:cs="Times New Roman"/>
          <w:sz w:val="24"/>
          <w:szCs w:val="24"/>
        </w:rPr>
        <w:t xml:space="preserve">, harus memiliki gerakan atau tindakan untuk memantapkan aqidah melalui dakwah di kalangan umat Islam. </w:t>
      </w:r>
      <w:r w:rsidRPr="009B5A5E">
        <w:rPr>
          <w:rFonts w:ascii="Times New Roman" w:hAnsi="Times New Roman" w:cs="Times New Roman"/>
          <w:i/>
          <w:iCs/>
          <w:sz w:val="24"/>
          <w:szCs w:val="24"/>
        </w:rPr>
        <w:t>Kedua</w:t>
      </w:r>
      <w:r w:rsidRPr="009B5A5E">
        <w:rPr>
          <w:rFonts w:ascii="Times New Roman" w:hAnsi="Times New Roman" w:cs="Times New Roman"/>
          <w:sz w:val="24"/>
          <w:szCs w:val="24"/>
        </w:rPr>
        <w:t xml:space="preserve">, Islam wajib disiarkan secara benar sebagaimana yang diajarkan Rasulullah SAW dan para sahabat. </w:t>
      </w:r>
      <w:r w:rsidRPr="009B5A5E">
        <w:rPr>
          <w:rFonts w:ascii="Times New Roman" w:hAnsi="Times New Roman" w:cs="Times New Roman"/>
          <w:i/>
          <w:iCs/>
          <w:sz w:val="24"/>
          <w:szCs w:val="24"/>
        </w:rPr>
        <w:t>Ketiga</w:t>
      </w:r>
      <w:r w:rsidRPr="009B5A5E">
        <w:rPr>
          <w:rFonts w:ascii="Times New Roman" w:hAnsi="Times New Roman" w:cs="Times New Roman"/>
          <w:sz w:val="24"/>
          <w:szCs w:val="24"/>
        </w:rPr>
        <w:t xml:space="preserve">, mendakwahkan Islam sebagaimana Rasulullah SAW dan para sahabat mendakwahknnya. </w:t>
      </w:r>
      <w:r w:rsidRPr="009B5A5E">
        <w:rPr>
          <w:rFonts w:ascii="Times New Roman" w:hAnsi="Times New Roman" w:cs="Times New Roman"/>
          <w:i/>
          <w:iCs/>
          <w:sz w:val="24"/>
          <w:szCs w:val="24"/>
        </w:rPr>
        <w:t>Keempat</w:t>
      </w:r>
      <w:r w:rsidRPr="009B5A5E">
        <w:rPr>
          <w:rFonts w:ascii="Times New Roman" w:hAnsi="Times New Roman" w:cs="Times New Roman"/>
          <w:sz w:val="24"/>
          <w:szCs w:val="24"/>
        </w:rPr>
        <w:t>, menanamkan aqidah yang benar kepada umat Islam.</w:t>
      </w:r>
      <w:r>
        <w:rPr>
          <w:rStyle w:val="FootnoteReference"/>
          <w:rFonts w:ascii="Times New Roman" w:hAnsi="Times New Roman" w:cs="Times New Roman"/>
          <w:sz w:val="24"/>
          <w:szCs w:val="24"/>
        </w:rPr>
        <w:footnoteReference w:id="349"/>
      </w:r>
      <w:r w:rsidRPr="009B5A5E">
        <w:rPr>
          <w:rFonts w:ascii="Times New Roman" w:hAnsi="Times New Roman" w:cs="Times New Roman"/>
          <w:sz w:val="24"/>
          <w:szCs w:val="24"/>
        </w:rPr>
        <w:t xml:space="preserve"> Dan menurutnya jika keempat strategi tersebut dapat terlaksana, maka pelaksanaan syariat Islam di Indonesia khususnya akan terwujud. </w:t>
      </w:r>
    </w:p>
    <w:p w:rsidR="00343B61" w:rsidRPr="00211E70"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p>
    <w:p w:rsidR="00343B61" w:rsidRPr="00910CE3" w:rsidRDefault="00343B61" w:rsidP="002C0A33">
      <w:pPr>
        <w:pStyle w:val="ListParagraph"/>
        <w:numPr>
          <w:ilvl w:val="0"/>
          <w:numId w:val="13"/>
        </w:numPr>
        <w:tabs>
          <w:tab w:val="left" w:pos="1843"/>
        </w:tabs>
        <w:spacing w:after="0" w:line="360" w:lineRule="auto"/>
        <w:ind w:left="720" w:hanging="180"/>
        <w:jc w:val="both"/>
        <w:rPr>
          <w:rFonts w:asciiTheme="majorBidi" w:hAnsiTheme="majorBidi" w:cstheme="majorBidi"/>
          <w:sz w:val="24"/>
          <w:szCs w:val="24"/>
        </w:rPr>
      </w:pPr>
      <w:r>
        <w:rPr>
          <w:rFonts w:asciiTheme="majorBidi" w:hAnsiTheme="majorBidi" w:cstheme="majorBidi"/>
          <w:sz w:val="24"/>
          <w:szCs w:val="24"/>
        </w:rPr>
        <w:t xml:space="preserve"> </w:t>
      </w:r>
      <w:r w:rsidRPr="00910CE3">
        <w:rPr>
          <w:rFonts w:asciiTheme="majorBidi" w:hAnsiTheme="majorBidi" w:cstheme="majorBidi"/>
          <w:sz w:val="24"/>
          <w:szCs w:val="24"/>
        </w:rPr>
        <w:t>Lahirnya Undang- Undang  No 1 Tahun 1974 Tentang Perkawinan</w:t>
      </w:r>
    </w:p>
    <w:p w:rsidR="00343B61" w:rsidRPr="00910CE3" w:rsidRDefault="00343B61" w:rsidP="00343B61">
      <w:pPr>
        <w:autoSpaceDE w:val="0"/>
        <w:autoSpaceDN w:val="0"/>
        <w:adjustRightInd w:val="0"/>
        <w:spacing w:after="0" w:line="360" w:lineRule="auto"/>
        <w:ind w:firstLine="540"/>
        <w:jc w:val="both"/>
        <w:rPr>
          <w:rFonts w:ascii="Times New Roman" w:hAnsi="Times New Roman" w:cs="Times New Roman"/>
          <w:sz w:val="24"/>
          <w:szCs w:val="24"/>
        </w:rPr>
      </w:pPr>
      <w:r w:rsidRPr="00910CE3">
        <w:rPr>
          <w:rFonts w:ascii="Times New Roman" w:hAnsi="Times New Roman" w:cs="Times New Roman"/>
          <w:sz w:val="24"/>
          <w:szCs w:val="24"/>
        </w:rPr>
        <w:t>Lahirnya Undang-Undang Perkawinan yang berlaku bagi semua warga Negara Republik Indonesia tanggal 2 Januari 1974</w:t>
      </w:r>
      <w:r w:rsidRPr="00910CE3">
        <w:rPr>
          <w:rFonts w:ascii="Times New Roman" w:hAnsi="Times New Roman" w:cs="Times New Roman"/>
          <w:sz w:val="16"/>
          <w:szCs w:val="16"/>
        </w:rPr>
        <w:t xml:space="preserve"> </w:t>
      </w:r>
      <w:r w:rsidRPr="00910CE3">
        <w:rPr>
          <w:rFonts w:ascii="Times New Roman" w:hAnsi="Times New Roman" w:cs="Times New Roman"/>
          <w:sz w:val="24"/>
          <w:szCs w:val="24"/>
        </w:rPr>
        <w:t xml:space="preserve">sebagian besar telah memenuhi tuntutan masyarakat Indonesia. Tuntutan ini sudah dikumandangkan sejak kongres perempuan Indonesia pertama tahun 1928 yang kemudian susul-menyusul di kedepankan dalam kesempatan lainnya berupa harapan perbaikan kedudukan wanita dalam  perkawinan. Perbaikan yang didambakan itu terutama </w:t>
      </w:r>
      <w:r w:rsidRPr="00910CE3">
        <w:rPr>
          <w:rFonts w:ascii="Times New Roman" w:hAnsi="Times New Roman" w:cs="Times New Roman"/>
          <w:sz w:val="24"/>
          <w:szCs w:val="24"/>
        </w:rPr>
        <w:lastRenderedPageBreak/>
        <w:t>diperuntukkan bagi golongan “Indonesia asli” yang beragama Islam yang hak dan kewajibannya dalam perkawinan tidak diatur dalam hukum yang tertulis.</w:t>
      </w:r>
      <w:r w:rsidRPr="00910CE3">
        <w:rPr>
          <w:rStyle w:val="FootnoteReference"/>
          <w:rFonts w:ascii="Times New Roman" w:hAnsi="Times New Roman" w:cs="Times New Roman"/>
          <w:sz w:val="24"/>
          <w:szCs w:val="24"/>
        </w:rPr>
        <w:footnoteReference w:id="350"/>
      </w:r>
    </w:p>
    <w:p w:rsidR="00343B61" w:rsidRPr="00910CE3" w:rsidRDefault="00343B61" w:rsidP="00343B61">
      <w:pPr>
        <w:autoSpaceDE w:val="0"/>
        <w:autoSpaceDN w:val="0"/>
        <w:adjustRightInd w:val="0"/>
        <w:spacing w:after="0" w:line="360" w:lineRule="auto"/>
        <w:ind w:firstLine="540"/>
        <w:jc w:val="both"/>
        <w:rPr>
          <w:rFonts w:ascii="Times New Roman" w:hAnsi="Times New Roman" w:cs="Times New Roman"/>
          <w:sz w:val="24"/>
          <w:szCs w:val="24"/>
        </w:rPr>
      </w:pPr>
      <w:r w:rsidRPr="00910CE3">
        <w:rPr>
          <w:rFonts w:ascii="Times New Roman" w:hAnsi="Times New Roman" w:cs="Times New Roman"/>
          <w:sz w:val="24"/>
          <w:szCs w:val="24"/>
        </w:rPr>
        <w:t>Hukum perkawinan orang Indonesia asli yang beragama Islam yang tercantum dalam kitab-kitab fiqh Islam, menurut sistem hukum di tanah air kita  tidak dapat digolongkan ke dalam kategori “hukum tertulis”, karena tidak tertulis dalam peraturan perundang-undangan.</w:t>
      </w:r>
      <w:r w:rsidRPr="00910CE3">
        <w:rPr>
          <w:rStyle w:val="FootnoteReference"/>
          <w:rFonts w:ascii="Times New Roman" w:hAnsi="Times New Roman" w:cs="Times New Roman"/>
          <w:sz w:val="24"/>
          <w:szCs w:val="24"/>
        </w:rPr>
        <w:footnoteReference w:id="351"/>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heme="majorBidi" w:eastAsia="Garamond" w:hAnsiTheme="majorBidi" w:cstheme="majorBidi"/>
          <w:spacing w:val="-1"/>
          <w:sz w:val="24"/>
          <w:szCs w:val="24"/>
        </w:rPr>
      </w:pPr>
      <w:r w:rsidRPr="00910CE3">
        <w:rPr>
          <w:rFonts w:ascii="Times New Roman" w:hAnsi="Times New Roman" w:cs="Times New Roman"/>
          <w:sz w:val="24"/>
          <w:szCs w:val="24"/>
        </w:rPr>
        <w:t xml:space="preserve">Sebenarnya usaha untuk perbaikan sistem perkawinan oleh pemerintah Indonesia sudah dimulai sejak bangsa Indonesia sedang menghadapi Belanda yang bermaksud menjajah kembali tanah air Indoneisa, dengan dikeluarkannya undang-undang No. 22 tahun 1946 tentang pencatatan nikah, talak dan Rujuk (NTR). </w:t>
      </w:r>
      <w:r w:rsidRPr="00910CE3">
        <w:rPr>
          <w:rFonts w:asciiTheme="majorBidi" w:eastAsia="Garamond" w:hAnsiTheme="majorBidi" w:cstheme="majorBidi"/>
          <w:spacing w:val="-1"/>
          <w:sz w:val="24"/>
          <w:szCs w:val="24"/>
        </w:rPr>
        <w:t>Aulawi mencatat, sedianya Undang-undang No. 22 Tahun 1946 ini hendak diberlaku di seluruh wilayah Republik Indonesia, tetapi karena keadaan belum memungkinkan maka diberlakukan untuk Jawa dan Madura. Barulah pada tahun 1954, dengan diundangkannya Undang- undang No.32 Tahun 1954,diberlakukan di seluruh Indonesia.</w:t>
      </w:r>
      <w:r w:rsidRPr="00910CE3">
        <w:rPr>
          <w:rStyle w:val="FootnoteReference"/>
          <w:rFonts w:asciiTheme="majorBidi" w:eastAsia="Garamond" w:hAnsiTheme="majorBidi" w:cstheme="majorBidi"/>
          <w:spacing w:val="-1"/>
          <w:sz w:val="24"/>
          <w:szCs w:val="24"/>
        </w:rPr>
        <w:footnoteReference w:id="352"/>
      </w:r>
      <w:r w:rsidRPr="00910CE3">
        <w:rPr>
          <w:rFonts w:asciiTheme="majorBidi" w:eastAsia="Garamond" w:hAnsiTheme="majorBidi" w:cstheme="majorBidi"/>
          <w:spacing w:val="-1"/>
          <w:sz w:val="24"/>
          <w:szCs w:val="24"/>
        </w:rPr>
        <w:t xml:space="preserve"> </w:t>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pacing w:val="-2"/>
          <w:sz w:val="24"/>
          <w:szCs w:val="24"/>
        </w:rPr>
        <w:t xml:space="preserve">Pemberlakuan UU No.22 Tahun 1946 melalui dua tahap, yakni: (1) tanggal 1 Februari 1947 untuk wilayah Jawa dan Madura; dan (2) tanggal 2 November 1954 untuk wilayah lainnya. Namun Wirjono menulis tiga tahapan. </w:t>
      </w:r>
      <w:r w:rsidRPr="00910CE3">
        <w:rPr>
          <w:rFonts w:asciiTheme="majorBidi" w:eastAsia="Garamond" w:hAnsiTheme="majorBidi" w:cstheme="majorBidi"/>
          <w:i/>
          <w:spacing w:val="-2"/>
          <w:sz w:val="24"/>
          <w:szCs w:val="24"/>
        </w:rPr>
        <w:t xml:space="preserve">Pertama, </w:t>
      </w:r>
      <w:r w:rsidRPr="00910CE3">
        <w:rPr>
          <w:rFonts w:asciiTheme="majorBidi" w:eastAsia="Garamond" w:hAnsiTheme="majorBidi" w:cstheme="majorBidi"/>
          <w:spacing w:val="-2"/>
          <w:sz w:val="24"/>
          <w:szCs w:val="24"/>
        </w:rPr>
        <w:t xml:space="preserve">pada. tanggal 1 Februari 1947 berlaku UU No. 22 Tahun 1946 bagi Jawa dan Madura, berdasar penetapan Menteri Agama tanggal 21 Januari 1947. </w:t>
      </w:r>
      <w:r w:rsidRPr="00910CE3">
        <w:rPr>
          <w:rFonts w:asciiTheme="majorBidi" w:eastAsia="Garamond" w:hAnsiTheme="majorBidi" w:cstheme="majorBidi"/>
          <w:i/>
          <w:spacing w:val="-2"/>
          <w:sz w:val="24"/>
          <w:szCs w:val="24"/>
        </w:rPr>
        <w:t xml:space="preserve">Kedua, </w:t>
      </w:r>
      <w:r w:rsidRPr="00910CE3">
        <w:rPr>
          <w:rFonts w:asciiTheme="majorBidi" w:eastAsia="Garamond" w:hAnsiTheme="majorBidi" w:cstheme="majorBidi"/>
          <w:spacing w:val="-2"/>
          <w:sz w:val="24"/>
          <w:szCs w:val="24"/>
        </w:rPr>
        <w:t xml:space="preserve">bagi Sumatera mulai berlaku tanggal 16 Juni 1949, berdasar ketetapan Pemerintah Darurat Republik Indonesia tanggal 14 Juni 1949, No. 1/PDRI/KA. </w:t>
      </w:r>
      <w:r w:rsidRPr="00910CE3">
        <w:rPr>
          <w:rFonts w:asciiTheme="majorBidi" w:eastAsia="Garamond" w:hAnsiTheme="majorBidi" w:cstheme="majorBidi"/>
          <w:i/>
          <w:spacing w:val="-2"/>
          <w:sz w:val="24"/>
          <w:szCs w:val="24"/>
        </w:rPr>
        <w:t xml:space="preserve">Ketiga, </w:t>
      </w:r>
      <w:r w:rsidRPr="00910CE3">
        <w:rPr>
          <w:rFonts w:asciiTheme="majorBidi" w:eastAsia="Garamond" w:hAnsiTheme="majorBidi" w:cstheme="majorBidi"/>
          <w:spacing w:val="-2"/>
          <w:sz w:val="24"/>
          <w:szCs w:val="24"/>
        </w:rPr>
        <w:t>bagi wilayah-</w:t>
      </w:r>
      <w:r w:rsidRPr="00910CE3">
        <w:rPr>
          <w:rFonts w:asciiTheme="majorBidi" w:eastAsia="Garamond" w:hAnsiTheme="majorBidi" w:cstheme="majorBidi"/>
          <w:spacing w:val="-2"/>
          <w:sz w:val="24"/>
          <w:szCs w:val="24"/>
        </w:rPr>
        <w:lastRenderedPageBreak/>
        <w:t xml:space="preserve">wilayah lainnya tanggal </w:t>
      </w:r>
      <w:r w:rsidRPr="00910CE3">
        <w:rPr>
          <w:rFonts w:asciiTheme="majorBidi" w:eastAsia="Garamond" w:hAnsiTheme="majorBidi" w:cstheme="majorBidi"/>
          <w:sz w:val="24"/>
          <w:szCs w:val="24"/>
        </w:rPr>
        <w:t>2 November 1954, berdasar Undang-Undang tanggal 26 Oktober 1954 No. 32 Tahun 1954.</w:t>
      </w:r>
      <w:r w:rsidRPr="00910CE3">
        <w:rPr>
          <w:rStyle w:val="FootnoteReference"/>
          <w:rFonts w:asciiTheme="majorBidi" w:eastAsia="Garamond" w:hAnsiTheme="majorBidi" w:cstheme="majorBidi"/>
          <w:sz w:val="24"/>
          <w:szCs w:val="24"/>
        </w:rPr>
        <w:footnoteReference w:id="353"/>
      </w:r>
      <w:r w:rsidRPr="00910CE3">
        <w:rPr>
          <w:rFonts w:asciiTheme="majorBidi" w:eastAsia="Garamond" w:hAnsiTheme="majorBidi" w:cstheme="majorBidi"/>
          <w:sz w:val="24"/>
          <w:szCs w:val="24"/>
        </w:rPr>
        <w:t xml:space="preserve"> </w:t>
      </w:r>
    </w:p>
    <w:p w:rsidR="00343B61" w:rsidRPr="00910CE3" w:rsidRDefault="00343B61" w:rsidP="00343B61">
      <w:pPr>
        <w:pStyle w:val="ListParagraph"/>
        <w:spacing w:line="360" w:lineRule="auto"/>
        <w:ind w:left="0" w:firstLine="720"/>
        <w:jc w:val="both"/>
        <w:rPr>
          <w:rFonts w:asciiTheme="majorBidi" w:eastAsia="Garamond" w:hAnsiTheme="majorBidi" w:cstheme="majorBidi"/>
          <w:spacing w:val="-1"/>
          <w:sz w:val="24"/>
          <w:szCs w:val="24"/>
        </w:rPr>
      </w:pPr>
      <w:r w:rsidRPr="00910CE3">
        <w:rPr>
          <w:rFonts w:asciiTheme="majorBidi" w:eastAsia="Garamond" w:hAnsiTheme="majorBidi" w:cstheme="majorBidi"/>
          <w:sz w:val="24"/>
          <w:szCs w:val="24"/>
        </w:rPr>
        <w:t xml:space="preserve">Adapun isi UU No. 22 Tahun 1946 terdiri dari 7 pasal, yang secara umum hanya memuat dua hal. </w:t>
      </w:r>
      <w:r w:rsidRPr="00910CE3">
        <w:rPr>
          <w:rFonts w:asciiTheme="majorBidi" w:eastAsia="Garamond" w:hAnsiTheme="majorBidi" w:cstheme="majorBidi"/>
          <w:i/>
          <w:sz w:val="24"/>
          <w:szCs w:val="24"/>
        </w:rPr>
        <w:t xml:space="preserve">Pertama, </w:t>
      </w:r>
      <w:r w:rsidRPr="00910CE3">
        <w:rPr>
          <w:rFonts w:asciiTheme="majorBidi" w:eastAsia="Garamond" w:hAnsiTheme="majorBidi" w:cstheme="majorBidi"/>
          <w:sz w:val="24"/>
          <w:szCs w:val="24"/>
        </w:rPr>
        <w:t xml:space="preserve">keharusan pencatatan perkawinan, perceraian dan rujuk. </w:t>
      </w:r>
      <w:r w:rsidRPr="00910CE3">
        <w:rPr>
          <w:rFonts w:asciiTheme="majorBidi" w:eastAsia="Garamond" w:hAnsiTheme="majorBidi" w:cstheme="majorBidi"/>
          <w:i/>
          <w:sz w:val="24"/>
          <w:szCs w:val="24"/>
        </w:rPr>
        <w:t xml:space="preserve">Kedua, </w:t>
      </w:r>
      <w:r w:rsidRPr="00910CE3">
        <w:rPr>
          <w:rFonts w:asciiTheme="majorBidi" w:eastAsia="Garamond" w:hAnsiTheme="majorBidi" w:cstheme="majorBidi"/>
          <w:sz w:val="24"/>
          <w:szCs w:val="24"/>
        </w:rPr>
        <w:t>penetap</w:t>
      </w:r>
      <w:r w:rsidRPr="00910CE3">
        <w:rPr>
          <w:rFonts w:asciiTheme="majorBidi" w:eastAsia="Garamond" w:hAnsiTheme="majorBidi" w:cstheme="majorBidi"/>
          <w:sz w:val="24"/>
          <w:szCs w:val="24"/>
        </w:rPr>
        <w:softHyphen/>
        <w:t xml:space="preserve">an pegawai yang ditugasi melakukan pencatatan perkawinan, perceraian dan rujuk. </w:t>
      </w:r>
      <w:r w:rsidRPr="00910CE3">
        <w:rPr>
          <w:rFonts w:asciiTheme="majorBidi" w:eastAsia="Garamond" w:hAnsiTheme="majorBidi" w:cstheme="majorBidi"/>
          <w:spacing w:val="-1"/>
          <w:sz w:val="24"/>
          <w:szCs w:val="24"/>
        </w:rPr>
        <w:t>Dari pasal-pasal yang ada, seperti dicatat Aulawi, secara eksplisit Undang-undang No. 22 Tahun 1946 hanya mengatur tentang pencatatan perkawinan, talak dan rujuk, yang berarti hanya menyangkut hukum acara, bukan materi hukum Perkawinan.</w:t>
      </w:r>
      <w:r w:rsidRPr="00910CE3">
        <w:rPr>
          <w:rStyle w:val="FootnoteReference"/>
          <w:rFonts w:asciiTheme="majorBidi" w:eastAsia="Garamond" w:hAnsiTheme="majorBidi" w:cstheme="majorBidi"/>
          <w:spacing w:val="-1"/>
          <w:sz w:val="24"/>
          <w:szCs w:val="24"/>
        </w:rPr>
        <w:footnoteReference w:id="354"/>
      </w:r>
      <w:r w:rsidRPr="00910CE3">
        <w:rPr>
          <w:rFonts w:asciiTheme="majorBidi" w:eastAsia="Garamond" w:hAnsiTheme="majorBidi" w:cstheme="majorBidi"/>
          <w:spacing w:val="-1"/>
          <w:sz w:val="24"/>
          <w:szCs w:val="24"/>
        </w:rPr>
        <w:t xml:space="preserve"> Tetapi dengan adanya fungsi mengawasi perkawinan, tugas pegawai PPN juga menilai apakah ada hal-hal yang meng</w:t>
      </w:r>
      <w:r w:rsidRPr="00910CE3">
        <w:rPr>
          <w:rFonts w:asciiTheme="majorBidi" w:eastAsia="Garamond" w:hAnsiTheme="majorBidi" w:cstheme="majorBidi"/>
          <w:spacing w:val="-1"/>
          <w:sz w:val="24"/>
          <w:szCs w:val="24"/>
        </w:rPr>
        <w:softHyphen/>
        <w:t>halangi atau larangan dilangsungkannya perkawinan, yang berarti juga termasuk materi hukum perkawinan, demikian Aulawi.</w:t>
      </w:r>
      <w:r w:rsidRPr="00910CE3">
        <w:rPr>
          <w:rStyle w:val="FootnoteReference"/>
          <w:rFonts w:asciiTheme="majorBidi" w:eastAsia="Garamond" w:hAnsiTheme="majorBidi" w:cstheme="majorBidi"/>
          <w:spacing w:val="-1"/>
          <w:sz w:val="24"/>
          <w:szCs w:val="24"/>
        </w:rPr>
        <w:footnoteReference w:id="355"/>
      </w:r>
      <w:r w:rsidRPr="00910CE3">
        <w:rPr>
          <w:rFonts w:asciiTheme="majorBidi" w:eastAsia="Garamond" w:hAnsiTheme="majorBidi" w:cstheme="majorBidi"/>
          <w:spacing w:val="-1"/>
          <w:sz w:val="24"/>
          <w:szCs w:val="24"/>
        </w:rPr>
        <w:t xml:space="preserve"> </w:t>
      </w:r>
    </w:p>
    <w:p w:rsidR="00343B61" w:rsidRPr="00910CE3" w:rsidRDefault="00343B61" w:rsidP="00343B61">
      <w:pPr>
        <w:pStyle w:val="ListParagraph"/>
        <w:spacing w:line="360" w:lineRule="auto"/>
        <w:ind w:left="0" w:firstLine="540"/>
        <w:jc w:val="both"/>
        <w:rPr>
          <w:rFonts w:asciiTheme="majorBidi" w:eastAsia="Garamond" w:hAnsiTheme="majorBidi" w:cstheme="majorBidi"/>
          <w:sz w:val="24"/>
          <w:szCs w:val="24"/>
        </w:rPr>
      </w:pPr>
      <w:r w:rsidRPr="00910CE3">
        <w:rPr>
          <w:rFonts w:asciiTheme="majorBidi" w:eastAsia="Garamond" w:hAnsiTheme="majorBidi" w:cstheme="majorBidi"/>
          <w:spacing w:val="-3"/>
          <w:sz w:val="24"/>
          <w:szCs w:val="24"/>
        </w:rPr>
        <w:t>Pada tanggal 26 Maret 1946 awal kemerdekaan, adanya Penetapan No. 5/S.D perihal perpindahan Mahkamah Islam Tinggi yang dahulu berada di Departemen Kehakiman dialihkan kepada Departemen Agama. Penetapan ini  diyakini sebagai peng</w:t>
      </w:r>
      <w:r w:rsidRPr="00910CE3">
        <w:rPr>
          <w:rFonts w:asciiTheme="majorBidi" w:eastAsia="Garamond" w:hAnsiTheme="majorBidi" w:cstheme="majorBidi"/>
          <w:spacing w:val="-3"/>
          <w:sz w:val="24"/>
          <w:szCs w:val="24"/>
        </w:rPr>
        <w:softHyphen/>
        <w:t xml:space="preserve">hargaan kepada Muslim. Demikia juga ada Maklumat Pemerintah No. II tanggal 23 April 1946 kewenangan </w:t>
      </w:r>
      <w:r w:rsidRPr="00910CE3">
        <w:rPr>
          <w:rFonts w:asciiTheme="majorBidi" w:eastAsia="Garamond" w:hAnsiTheme="majorBidi" w:cstheme="majorBidi"/>
          <w:sz w:val="24"/>
          <w:szCs w:val="24"/>
        </w:rPr>
        <w:t>mengangkat Penghulu Landraad, Penghulu Anggota Raad Agama dan Pejabat lain yang dahulu pada Residen dan Bupati diserahkan kepada Menteri Agama.</w:t>
      </w:r>
      <w:r w:rsidRPr="00910CE3">
        <w:rPr>
          <w:rStyle w:val="FootnoteReference"/>
          <w:rFonts w:asciiTheme="majorBidi" w:eastAsia="Garamond" w:hAnsiTheme="majorBidi" w:cstheme="majorBidi"/>
          <w:sz w:val="24"/>
          <w:szCs w:val="24"/>
        </w:rPr>
        <w:footnoteReference w:id="356"/>
      </w:r>
    </w:p>
    <w:p w:rsidR="00343B61" w:rsidRPr="00910CE3" w:rsidRDefault="00343B61" w:rsidP="00343B61">
      <w:pPr>
        <w:pStyle w:val="ListParagraph"/>
        <w:spacing w:line="360" w:lineRule="auto"/>
        <w:ind w:left="0" w:firstLine="54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Sebenarnya keinginan untuk memilik undang-undang yang mengatur perkawinan sudah lama ada didalam sanubari umat Islam terutama dalam sanubari kaum perempuan, jauh sebelum Indonesia merdeka. Pada tahun 1928 dalam kongres Perempuan Indonesia di Yogyakarta diusulkan supaya pada tiap-tiap perkawinan diadakan ta’liq talaq ( pereceraian yang digantungkan). Kemudian di </w:t>
      </w:r>
      <w:r w:rsidRPr="00910CE3">
        <w:rPr>
          <w:rFonts w:asciiTheme="majorBidi" w:eastAsia="Garamond" w:hAnsiTheme="majorBidi" w:cstheme="majorBidi"/>
          <w:sz w:val="24"/>
          <w:szCs w:val="24"/>
        </w:rPr>
        <w:lastRenderedPageBreak/>
        <w:t>dalam Kongres Perempuan II di Jakarta tahun 1935 dianjurkan kepada anggota-onggotanya untuk menye</w:t>
      </w:r>
      <w:r>
        <w:rPr>
          <w:rFonts w:asciiTheme="majorBidi" w:eastAsia="Garamond" w:hAnsiTheme="majorBidi" w:cstheme="majorBidi"/>
          <w:sz w:val="24"/>
          <w:szCs w:val="24"/>
        </w:rPr>
        <w:t>lidiki kedudukan wanita dalam hu</w:t>
      </w:r>
      <w:r w:rsidRPr="00910CE3">
        <w:rPr>
          <w:rFonts w:asciiTheme="majorBidi" w:eastAsia="Garamond" w:hAnsiTheme="majorBidi" w:cstheme="majorBidi"/>
          <w:sz w:val="24"/>
          <w:szCs w:val="24"/>
        </w:rPr>
        <w:t>kum Islam, menyokong Badan Penyelidikan Talak dan Nikah yang telah diadakan oleh Pasundan Istri (PASI) di Bandung, mewajibkan semua anggota kongres untuk memberikan bantuan yang semestinya kepada orang yang mengalami ketidak adilan dalam perkawinan sehubungan dengan penarapan hukum Islam yang salah, dan membentuk biro konsultasi yang juga harus mempelajari perkawinan Islam.</w:t>
      </w:r>
      <w:r w:rsidRPr="00910CE3">
        <w:rPr>
          <w:rStyle w:val="FootnoteReference"/>
          <w:rFonts w:asciiTheme="majorBidi" w:eastAsia="Garamond" w:hAnsiTheme="majorBidi" w:cstheme="majorBidi"/>
          <w:sz w:val="24"/>
          <w:szCs w:val="24"/>
        </w:rPr>
        <w:footnoteReference w:id="357"/>
      </w:r>
    </w:p>
    <w:p w:rsidR="00343B61" w:rsidRPr="00910CE3" w:rsidRDefault="00343B61" w:rsidP="00343B61">
      <w:pPr>
        <w:pStyle w:val="ListParagraph"/>
        <w:spacing w:line="360" w:lineRule="auto"/>
        <w:ind w:left="0" w:firstLine="54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Pada Kongres Perempuan Indonesia III di Bandung tahun 1938, Komite Perlindungan Kaum Perempuan dan Anak-anak Indoensia ( KPKPAI) yang dibentuk tahun 1937 dijadikan sebagai Badan Pelaksana Kongres Perempuan yang bertugas membantu dan melindungi kaum perempuan dalam masalah keluarga ( perkawinan). Badan ini diberi nama baru” Badan Perlindungan Perempuan Indonesia Dalam Perkawinan” ( BPPIP). Badan inilah yang merupakan cikal bakal BP4 ( Badan Penasehatan Perkawinan Persilisan dan Perceraian) sekarang dibawah naungan Departemen Agama.</w:t>
      </w:r>
      <w:r w:rsidRPr="00910CE3">
        <w:rPr>
          <w:rStyle w:val="FootnoteReference"/>
          <w:rFonts w:asciiTheme="majorBidi" w:eastAsia="Garamond" w:hAnsiTheme="majorBidi" w:cstheme="majorBidi"/>
          <w:sz w:val="24"/>
          <w:szCs w:val="24"/>
        </w:rPr>
        <w:footnoteReference w:id="358"/>
      </w:r>
    </w:p>
    <w:p w:rsidR="00343B61" w:rsidRPr="00910CE3" w:rsidRDefault="00343B61" w:rsidP="00343B61">
      <w:pPr>
        <w:pStyle w:val="ListParagraph"/>
        <w:tabs>
          <w:tab w:val="left" w:pos="1843"/>
        </w:tabs>
        <w:spacing w:line="360" w:lineRule="auto"/>
        <w:ind w:left="90" w:firstLine="630"/>
        <w:jc w:val="both"/>
        <w:rPr>
          <w:rFonts w:ascii="Times New Roman" w:hAnsi="Times New Roman" w:cs="Times New Roman"/>
          <w:sz w:val="24"/>
          <w:szCs w:val="24"/>
        </w:rPr>
      </w:pPr>
      <w:r w:rsidRPr="00910CE3">
        <w:rPr>
          <w:rFonts w:ascii="Times New Roman" w:hAnsi="Times New Roman" w:cs="Times New Roman"/>
          <w:sz w:val="24"/>
          <w:szCs w:val="24"/>
        </w:rPr>
        <w:t>Menurut Mohammad Daud Ali, masalah-masalah yang menjadi pusat perhatian pergerakan wanita pada waktu itu adalah soal-soal perkawinan paksa, poligami dan talak yang sewenang-wenang.</w:t>
      </w:r>
      <w:r w:rsidRPr="00910CE3">
        <w:rPr>
          <w:rStyle w:val="FootnoteReference"/>
          <w:rFonts w:ascii="Times New Roman" w:hAnsi="Times New Roman" w:cs="Times New Roman"/>
          <w:sz w:val="24"/>
          <w:szCs w:val="24"/>
        </w:rPr>
        <w:footnoteReference w:id="359"/>
      </w:r>
    </w:p>
    <w:p w:rsidR="00343B61" w:rsidRPr="00910CE3" w:rsidRDefault="00343B61" w:rsidP="00343B61">
      <w:pPr>
        <w:spacing w:line="360" w:lineRule="auto"/>
        <w:ind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Pada kasus poligami umpamanya, pada tanggal 13 Oktober 1929 </w:t>
      </w:r>
      <w:r w:rsidRPr="00910CE3">
        <w:rPr>
          <w:rFonts w:asciiTheme="majorBidi" w:eastAsia="Garamond" w:hAnsiTheme="majorBidi" w:cstheme="majorBidi"/>
          <w:iCs/>
          <w:sz w:val="24"/>
          <w:szCs w:val="24"/>
        </w:rPr>
        <w:t>Puteri Indonesia</w:t>
      </w:r>
      <w:r w:rsidRPr="00910CE3">
        <w:rPr>
          <w:rFonts w:asciiTheme="majorBidi" w:eastAsia="Garamond" w:hAnsiTheme="majorBidi" w:cstheme="majorBidi"/>
          <w:i/>
          <w:sz w:val="24"/>
          <w:szCs w:val="24"/>
        </w:rPr>
        <w:t xml:space="preserve"> </w:t>
      </w:r>
      <w:r w:rsidRPr="00910CE3">
        <w:rPr>
          <w:rFonts w:asciiTheme="majorBidi" w:eastAsia="Garamond" w:hAnsiTheme="majorBidi" w:cstheme="majorBidi"/>
          <w:sz w:val="24"/>
          <w:szCs w:val="24"/>
        </w:rPr>
        <w:t xml:space="preserve">bekerja sama dengan </w:t>
      </w:r>
      <w:r w:rsidRPr="00910CE3">
        <w:rPr>
          <w:rFonts w:asciiTheme="majorBidi" w:eastAsia="Garamond" w:hAnsiTheme="majorBidi" w:cstheme="majorBidi"/>
          <w:iCs/>
          <w:sz w:val="24"/>
          <w:szCs w:val="24"/>
        </w:rPr>
        <w:t>Persaudaraan Isteri, Persatuan Isteri dan Wanita Sejati,</w:t>
      </w:r>
      <w:r w:rsidRPr="00910CE3">
        <w:rPr>
          <w:rFonts w:asciiTheme="majorBidi" w:eastAsia="Garamond" w:hAnsiTheme="majorBidi" w:cstheme="majorBidi"/>
          <w:i/>
          <w:sz w:val="24"/>
          <w:szCs w:val="24"/>
        </w:rPr>
        <w:t xml:space="preserve"> </w:t>
      </w:r>
      <w:r w:rsidRPr="00910CE3">
        <w:rPr>
          <w:rFonts w:asciiTheme="majorBidi" w:eastAsia="Garamond" w:hAnsiTheme="majorBidi" w:cstheme="majorBidi"/>
          <w:sz w:val="24"/>
          <w:szCs w:val="24"/>
        </w:rPr>
        <w:t>dalam sebuah pertemuan di Bandung, membuat ketetapan tentang larangan poligami. Pertemuan di Bandung ini membicarakan dua hal pokok, yakni poligami dan pelacuran. Sejalan dengan</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z w:val="24"/>
          <w:szCs w:val="24"/>
        </w:rPr>
        <w:t>itu, pada bulan</w:t>
      </w:r>
      <w:r>
        <w:rPr>
          <w:rFonts w:asciiTheme="majorBidi" w:eastAsia="Garamond" w:hAnsiTheme="majorBidi" w:cstheme="majorBidi"/>
          <w:sz w:val="24"/>
          <w:szCs w:val="24"/>
        </w:rPr>
        <w:t xml:space="preserve"> Juni 1931 di Jakarta., Kongres</w:t>
      </w:r>
      <w:r w:rsidRPr="00910CE3">
        <w:rPr>
          <w:rFonts w:asciiTheme="majorBidi" w:eastAsia="Garamond" w:hAnsiTheme="majorBidi" w:cstheme="majorBidi"/>
          <w:sz w:val="24"/>
          <w:szCs w:val="24"/>
        </w:rPr>
        <w:t xml:space="preserve"> </w:t>
      </w:r>
      <w:r w:rsidRPr="00910CE3">
        <w:rPr>
          <w:rFonts w:asciiTheme="majorBidi" w:eastAsia="Garamond" w:hAnsiTheme="majorBidi" w:cstheme="majorBidi"/>
          <w:iCs/>
          <w:sz w:val="24"/>
          <w:szCs w:val="24"/>
        </w:rPr>
        <w:t xml:space="preserve">Isteri </w:t>
      </w:r>
      <w:r w:rsidRPr="00910CE3">
        <w:rPr>
          <w:rFonts w:asciiTheme="majorBidi" w:eastAsia="Garamond" w:hAnsiTheme="majorBidi" w:cstheme="majorBidi"/>
          <w:iCs/>
          <w:sz w:val="24"/>
          <w:szCs w:val="24"/>
        </w:rPr>
        <w:lastRenderedPageBreak/>
        <w:t>Sedar</w:t>
      </w:r>
      <w:r w:rsidRPr="00910CE3">
        <w:rPr>
          <w:rFonts w:asciiTheme="majorBidi" w:eastAsia="Garamond" w:hAnsiTheme="majorBidi" w:cstheme="majorBidi"/>
          <w:i/>
          <w:sz w:val="24"/>
          <w:szCs w:val="24"/>
        </w:rPr>
        <w:t xml:space="preserve"> </w:t>
      </w:r>
      <w:r w:rsidRPr="00910CE3">
        <w:rPr>
          <w:rFonts w:asciiTheme="majorBidi" w:eastAsia="Garamond" w:hAnsiTheme="majorBidi" w:cstheme="majorBidi"/>
          <w:sz w:val="24"/>
          <w:szCs w:val="24"/>
        </w:rPr>
        <w:t>mem</w:t>
      </w:r>
      <w:r w:rsidRPr="00910CE3">
        <w:rPr>
          <w:rFonts w:asciiTheme="majorBidi" w:eastAsia="Garamond" w:hAnsiTheme="majorBidi" w:cstheme="majorBidi"/>
          <w:sz w:val="24"/>
          <w:szCs w:val="24"/>
        </w:rPr>
        <w:softHyphen/>
        <w:t>perkuat resolusi larangan poligami yang ditetapkan beberapa organisasi wanita dan ditetapkan pada tanggal 13 Oktober 1929.</w:t>
      </w:r>
      <w:r w:rsidRPr="00910CE3">
        <w:rPr>
          <w:rStyle w:val="FootnoteReference"/>
          <w:rFonts w:asciiTheme="majorBidi" w:eastAsia="Garamond" w:hAnsiTheme="majorBidi" w:cstheme="majorBidi"/>
          <w:sz w:val="24"/>
          <w:szCs w:val="24"/>
        </w:rPr>
        <w:footnoteReference w:id="360"/>
      </w:r>
      <w:r w:rsidRPr="00910CE3">
        <w:rPr>
          <w:rFonts w:asciiTheme="majorBidi" w:eastAsia="Garamond" w:hAnsiTheme="majorBidi" w:cstheme="majorBidi"/>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imes New Roman" w:eastAsiaTheme="minorHAnsi" w:hAnsi="Times New Roman" w:cs="Times New Roman"/>
          <w:sz w:val="24"/>
          <w:szCs w:val="24"/>
        </w:rPr>
      </w:pPr>
      <w:r w:rsidRPr="00910CE3">
        <w:rPr>
          <w:rFonts w:ascii="Times New Roman" w:eastAsiaTheme="minorHAnsi" w:hAnsi="Times New Roman" w:cs="Times New Roman"/>
          <w:sz w:val="24"/>
          <w:szCs w:val="24"/>
        </w:rPr>
        <w:t>Di antara isu yang perlu ditampung oleh pemerintah dalam merumuskan draft undang-undang perkawinan adalah pembinaan hukum nasional dengan melakukan kodifikasi dan unifikasi hukum nasional, masalah kependudukan, hak asasi manusia, pengayoman terhadap martabat wanita dan pembinaan kesejahteraan keluarga, sebagaimana disebutkan dalam risalah sidang pleno DPR tanggal 30 Agustus 1973.</w:t>
      </w:r>
      <w:r w:rsidRPr="00910CE3">
        <w:rPr>
          <w:rStyle w:val="FootnoteReference"/>
          <w:rFonts w:ascii="Times New Roman" w:eastAsiaTheme="minorHAnsi" w:hAnsi="Times New Roman" w:cs="Times New Roman"/>
          <w:sz w:val="24"/>
          <w:szCs w:val="24"/>
        </w:rPr>
        <w:footnoteReference w:id="361"/>
      </w:r>
      <w:r w:rsidRPr="00910CE3">
        <w:rPr>
          <w:rFonts w:ascii="Times New Roman" w:eastAsiaTheme="minorHAnsi" w:hAnsi="Times New Roman" w:cs="Times New Roman"/>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imes New Roman" w:eastAsiaTheme="minorHAnsi" w:hAnsi="Times New Roman" w:cs="Times New Roman"/>
          <w:sz w:val="24"/>
          <w:szCs w:val="24"/>
        </w:rPr>
      </w:pPr>
      <w:r w:rsidRPr="00910CE3">
        <w:rPr>
          <w:rFonts w:ascii="Times New Roman" w:eastAsiaTheme="minorHAnsi" w:hAnsi="Times New Roman" w:cs="Times New Roman"/>
          <w:sz w:val="24"/>
          <w:szCs w:val="24"/>
        </w:rPr>
        <w:t>Isu yang paling menarik dalam pembinaan keluarga adalah menahan jumlah perceraian. TB. Hamzah dari Fraksi ABRI memaparkan data perkawinan pada 1970 yang berasal dari Departemen Agama (Kantor Urusan Agama dan Pengadilan Agama), dari 859.061 perkawinan, yang melakukan perceraian sebanyak 298.290 dan hanya 11.294 yang melakukan rujuk. Dari data itu dapat dipastikan, bahwa dari sekian banyak rakyat Indonesia yang melangsungkan perkawinan, lebih dari 30%, berakhir dengan perceraian dan hanya 3% yang rujuk. Hamzah memberikan contoh sebagaimana dikutip oleh Yayan Sopyan, di 4 (empat) wilayah saja:</w:t>
      </w:r>
      <w:r w:rsidRPr="00910CE3">
        <w:rPr>
          <w:rStyle w:val="FootnoteReference"/>
          <w:rFonts w:ascii="Times New Roman" w:eastAsiaTheme="minorHAnsi" w:hAnsi="Times New Roman" w:cs="Times New Roman"/>
          <w:sz w:val="24"/>
          <w:szCs w:val="24"/>
        </w:rPr>
        <w:footnoteReference w:id="362"/>
      </w:r>
      <w:r w:rsidRPr="00910CE3">
        <w:rPr>
          <w:rFonts w:ascii="Times New Roman" w:eastAsiaTheme="minorHAnsi" w:hAnsi="Times New Roman" w:cs="Times New Roman"/>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Contoh, kasus pernikahan, perceraian, dan rujuk pada 4 (empat) propinsi di Indonesia tahun 1970</w:t>
      </w:r>
      <w:r w:rsidRPr="00910CE3">
        <w:rPr>
          <w:rStyle w:val="FootnoteReference"/>
          <w:rFonts w:ascii="Times New Roman" w:hAnsi="Times New Roman" w:cs="Times New Roman"/>
          <w:sz w:val="24"/>
          <w:szCs w:val="24"/>
        </w:rPr>
        <w:footnoteReference w:id="363"/>
      </w:r>
    </w:p>
    <w:tbl>
      <w:tblPr>
        <w:tblStyle w:val="TableGrid"/>
        <w:tblW w:w="0" w:type="auto"/>
        <w:tblLook w:val="04A0"/>
      </w:tblPr>
      <w:tblGrid>
        <w:gridCol w:w="510"/>
        <w:gridCol w:w="2831"/>
        <w:gridCol w:w="1610"/>
        <w:gridCol w:w="1610"/>
        <w:gridCol w:w="1610"/>
      </w:tblGrid>
      <w:tr w:rsidR="00343B61" w:rsidRPr="00910CE3" w:rsidTr="00FD4007">
        <w:tc>
          <w:tcPr>
            <w:tcW w:w="378"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No</w:t>
            </w:r>
          </w:p>
        </w:tc>
        <w:tc>
          <w:tcPr>
            <w:tcW w:w="2882"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DAERAH</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NIKAH</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CERAI</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RUJUK</w:t>
            </w:r>
          </w:p>
        </w:tc>
      </w:tr>
      <w:tr w:rsidR="00343B61" w:rsidRPr="00910CE3" w:rsidTr="00FD4007">
        <w:tc>
          <w:tcPr>
            <w:tcW w:w="378"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1</w:t>
            </w:r>
          </w:p>
        </w:tc>
        <w:tc>
          <w:tcPr>
            <w:tcW w:w="2882"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Aceh</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6,190</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1,462</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114</w:t>
            </w:r>
          </w:p>
        </w:tc>
      </w:tr>
      <w:tr w:rsidR="00343B61" w:rsidRPr="00910CE3" w:rsidTr="00FD4007">
        <w:tc>
          <w:tcPr>
            <w:tcW w:w="378"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2</w:t>
            </w:r>
          </w:p>
        </w:tc>
        <w:tc>
          <w:tcPr>
            <w:tcW w:w="2882"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Kalimantan</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7,856</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2.224</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123</w:t>
            </w:r>
          </w:p>
        </w:tc>
      </w:tr>
      <w:tr w:rsidR="00343B61" w:rsidRPr="00910CE3" w:rsidTr="00FD4007">
        <w:tc>
          <w:tcPr>
            <w:tcW w:w="378"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lastRenderedPageBreak/>
              <w:t>3</w:t>
            </w:r>
          </w:p>
        </w:tc>
        <w:tc>
          <w:tcPr>
            <w:tcW w:w="2882"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Jawa Barat</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223.457</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81.428</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2.893</w:t>
            </w:r>
          </w:p>
        </w:tc>
      </w:tr>
      <w:tr w:rsidR="00343B61" w:rsidRPr="00910CE3" w:rsidTr="00FD4007">
        <w:tc>
          <w:tcPr>
            <w:tcW w:w="378"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4</w:t>
            </w:r>
          </w:p>
        </w:tc>
        <w:tc>
          <w:tcPr>
            <w:tcW w:w="2882"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Jawa Timur</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265.859</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107.533</w:t>
            </w:r>
          </w:p>
        </w:tc>
        <w:tc>
          <w:tcPr>
            <w:tcW w:w="1631" w:type="dxa"/>
          </w:tcPr>
          <w:p w:rsidR="00343B61" w:rsidRPr="00910CE3" w:rsidRDefault="00343B61" w:rsidP="00FD4007">
            <w:pPr>
              <w:autoSpaceDE w:val="0"/>
              <w:autoSpaceDN w:val="0"/>
              <w:adjustRightInd w:val="0"/>
              <w:spacing w:after="0" w:line="360" w:lineRule="auto"/>
              <w:jc w:val="center"/>
              <w:rPr>
                <w:rFonts w:ascii="Times New Roman" w:hAnsi="Times New Roman" w:cs="Times New Roman"/>
                <w:sz w:val="24"/>
                <w:szCs w:val="24"/>
              </w:rPr>
            </w:pPr>
            <w:r w:rsidRPr="00910CE3">
              <w:rPr>
                <w:rFonts w:ascii="Times New Roman" w:hAnsi="Times New Roman" w:cs="Times New Roman"/>
                <w:sz w:val="24"/>
                <w:szCs w:val="24"/>
              </w:rPr>
              <w:t>4.084</w:t>
            </w:r>
          </w:p>
        </w:tc>
      </w:tr>
    </w:tbl>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Bahkan lahirnya BP4 (Badan Penasihatan Pembinaan dan Pelestarian Perkawinan), pada tahun 1950-an pun didorong oleh akibat-akibat negatif dari perkawinan yang secara umum dapat dikategorikan menjadi tiga faktor, yakni praktek per</w:t>
      </w:r>
      <w:r w:rsidRPr="00910CE3">
        <w:rPr>
          <w:rFonts w:asciiTheme="majorBidi" w:eastAsia="Garamond" w:hAnsiTheme="majorBidi" w:cstheme="majorBidi"/>
          <w:sz w:val="24"/>
          <w:szCs w:val="24"/>
        </w:rPr>
        <w:softHyphen/>
        <w:t>kawinan di bawah umur (perkawinan anak-anak), terjadinya perceraian yang semena-mena (talak), dan poligami yang tidak bertanggung jawab. Akibatnya, angka perceraian menjadi cukup tinggi, yakni 50-60% dari angka perkawinan. Akibat selanjutnya dan angka perceraian yang .tinggi ini adalah banyak anak-anak dan istri (mantan istri) yang terlantar. Maka tugas BP4 adalah membantu menyelesaikan agar para mantan istri dan anak</w:t>
      </w:r>
      <w:r w:rsidRPr="00910CE3">
        <w:rPr>
          <w:rFonts w:asciiTheme="majorBidi" w:eastAsia="Garamond" w:hAnsiTheme="majorBidi" w:cstheme="majorBidi"/>
          <w:sz w:val="24"/>
          <w:szCs w:val="24"/>
        </w:rPr>
        <w:softHyphen/>
        <w:t>-anak yang ditinggal suami/ayah mempunyai status hukum yang jelas.</w:t>
      </w:r>
      <w:r w:rsidRPr="00910CE3">
        <w:rPr>
          <w:rStyle w:val="FootnoteReference"/>
          <w:rFonts w:asciiTheme="majorBidi" w:eastAsia="Garamond" w:hAnsiTheme="majorBidi" w:cstheme="majorBidi"/>
          <w:sz w:val="24"/>
          <w:szCs w:val="24"/>
        </w:rPr>
        <w:footnoteReference w:id="364"/>
      </w:r>
      <w:r w:rsidRPr="00910CE3">
        <w:rPr>
          <w:rFonts w:asciiTheme="majorBidi" w:eastAsia="Garamond" w:hAnsiTheme="majorBidi" w:cstheme="majorBidi"/>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910CE3">
        <w:rPr>
          <w:rFonts w:asciiTheme="majorBidi" w:eastAsia="Garamond" w:hAnsiTheme="majorBidi" w:cstheme="majorBidi"/>
          <w:spacing w:val="-3"/>
          <w:sz w:val="24"/>
          <w:szCs w:val="24"/>
        </w:rPr>
        <w:t xml:space="preserve">Sebagai respon positif  terhadap tuntutan-tuntutan tersebut, maka pada tahun 1950, secara resmi pemerintah Indonesia merintis terbentuknya Undang-undang tentang perkawinan, yaitu dengan </w:t>
      </w:r>
      <w:r w:rsidRPr="00910CE3">
        <w:rPr>
          <w:rFonts w:asciiTheme="majorBidi" w:eastAsiaTheme="minorHAnsi" w:hAnsiTheme="majorBidi" w:cstheme="majorBidi"/>
          <w:sz w:val="24"/>
          <w:szCs w:val="24"/>
        </w:rPr>
        <w:t>membentuk panitia penyelidikan peraturan hukum perkawinan, talak, dan rujuk yang ditugaskan meninjau kembali segala peraturan mengenai perkawinan dan menyusun rencana UU perkawinan yang dikehendaki zaman. Kepanitian itu dibentuk berdasarkan surat penetapan Menteri Agama No. B/4299 tanggal 1 Oktober 1950 yang di ketuai oleh Mr. Teuku Moh. Hasan, tetapi panitia ini tidak dapat bekerja sebagaimana mestinya, karena banyak hambatan dan tantangan di dalam melaksanakan tugas.</w:t>
      </w:r>
      <w:r w:rsidRPr="00910CE3">
        <w:rPr>
          <w:rStyle w:val="FootnoteReference"/>
          <w:rFonts w:asciiTheme="majorBidi" w:eastAsiaTheme="minorHAnsi" w:hAnsiTheme="majorBidi" w:cstheme="majorBidi"/>
          <w:sz w:val="24"/>
          <w:szCs w:val="24"/>
        </w:rPr>
        <w:footnoteReference w:id="365"/>
      </w:r>
    </w:p>
    <w:p w:rsidR="00343B61" w:rsidRPr="00910CE3" w:rsidRDefault="00343B61" w:rsidP="00343B61">
      <w:pPr>
        <w:autoSpaceDE w:val="0"/>
        <w:autoSpaceDN w:val="0"/>
        <w:adjustRightInd w:val="0"/>
        <w:spacing w:after="0" w:line="360" w:lineRule="auto"/>
        <w:ind w:firstLine="630"/>
        <w:jc w:val="both"/>
        <w:rPr>
          <w:rFonts w:ascii="Times New Roman" w:hAnsi="Times New Roman" w:cs="Times New Roman"/>
          <w:sz w:val="24"/>
          <w:szCs w:val="24"/>
        </w:rPr>
      </w:pPr>
      <w:r w:rsidRPr="00910CE3">
        <w:rPr>
          <w:rFonts w:ascii="Times New Roman" w:hAnsi="Times New Roman" w:cs="Times New Roman"/>
          <w:sz w:val="24"/>
          <w:szCs w:val="24"/>
        </w:rPr>
        <w:t xml:space="preserve">Kemudian Pada tanggal 1 Desember 1951 Panitia menyampaikan RUU Perkawinan, sebagai peraturan umum tentang perkawinan yang mengatur beberapa hal penting, antara lain, bahwa perkawinan didasarkan atas kemauan kedua belah pihak dan adanya pembatasan umur, yaitu bagi pria umur minimal, 18 </w:t>
      </w:r>
      <w:r w:rsidRPr="00910CE3">
        <w:rPr>
          <w:rFonts w:ascii="Times New Roman" w:hAnsi="Times New Roman" w:cs="Times New Roman"/>
          <w:sz w:val="24"/>
          <w:szCs w:val="24"/>
        </w:rPr>
        <w:lastRenderedPageBreak/>
        <w:t>tahun dan bagi perempuan umur minimal 15 tahun, sedangkan dalam berpoligami dibolehkan menurut ajaran agama dengan syarat harus dapat berlaku adil, yang dinyatakan dihadapan pegawai pencatatan nikah dan harus mampu membiayai kebutuhan hidup lebih dari satu rumah tangga dan istri, atau istri-istri tidak berkeberatan, di samping pengaturan harta benda dan syarat-syarat perceraian</w:t>
      </w:r>
      <w:r w:rsidRPr="00910CE3">
        <w:rPr>
          <w:rFonts w:ascii="Times New Roman" w:hAnsi="Times New Roman" w:cs="Times New Roman"/>
          <w:sz w:val="16"/>
          <w:szCs w:val="16"/>
        </w:rPr>
        <w:t xml:space="preserve">. </w:t>
      </w:r>
      <w:r w:rsidRPr="00910CE3">
        <w:rPr>
          <w:rStyle w:val="FootnoteReference"/>
          <w:rFonts w:ascii="Times New Roman" w:hAnsi="Times New Roman" w:cs="Times New Roman"/>
          <w:sz w:val="16"/>
          <w:szCs w:val="16"/>
        </w:rPr>
        <w:footnoteReference w:id="366"/>
      </w:r>
    </w:p>
    <w:p w:rsidR="00343B61" w:rsidRPr="00910CE3" w:rsidRDefault="00343B61" w:rsidP="00343B61">
      <w:pPr>
        <w:autoSpaceDE w:val="0"/>
        <w:autoSpaceDN w:val="0"/>
        <w:adjustRightInd w:val="0"/>
        <w:spacing w:after="0" w:line="360" w:lineRule="auto"/>
        <w:ind w:firstLine="630"/>
        <w:jc w:val="both"/>
        <w:rPr>
          <w:rFonts w:ascii="Times New Roman" w:hAnsi="Times New Roman" w:cs="Times New Roman"/>
          <w:sz w:val="24"/>
          <w:szCs w:val="24"/>
        </w:rPr>
      </w:pPr>
      <w:r w:rsidRPr="00910CE3">
        <w:rPr>
          <w:rFonts w:ascii="Times New Roman" w:hAnsi="Times New Roman" w:cs="Times New Roman"/>
          <w:sz w:val="24"/>
          <w:szCs w:val="24"/>
        </w:rPr>
        <w:t>Selanjutnya pada tahun 1953 dalam sebuah rapat panitia diputuskan sebagai berikut :</w:t>
      </w:r>
    </w:p>
    <w:p w:rsidR="00343B61" w:rsidRPr="00910CE3" w:rsidRDefault="00343B61" w:rsidP="00343B61">
      <w:pPr>
        <w:autoSpaceDE w:val="0"/>
        <w:autoSpaceDN w:val="0"/>
        <w:adjustRightInd w:val="0"/>
        <w:spacing w:after="0" w:line="360" w:lineRule="auto"/>
        <w:ind w:left="270" w:hanging="270"/>
        <w:jc w:val="both"/>
        <w:rPr>
          <w:rFonts w:ascii="Times New Roman" w:hAnsi="Times New Roman" w:cs="Times New Roman"/>
          <w:sz w:val="24"/>
          <w:szCs w:val="24"/>
        </w:rPr>
      </w:pPr>
      <w:r w:rsidRPr="00910CE3">
        <w:rPr>
          <w:rFonts w:ascii="Times New Roman" w:hAnsi="Times New Roman" w:cs="Times New Roman"/>
          <w:sz w:val="24"/>
          <w:szCs w:val="24"/>
        </w:rPr>
        <w:t>1) Menyusun RUU pokok yang pendek saja dan berlaku untuk umum dengan tidak menyinggung agama.</w:t>
      </w:r>
    </w:p>
    <w:p w:rsidR="00343B61" w:rsidRPr="00910CE3" w:rsidRDefault="00343B61" w:rsidP="00343B61">
      <w:pPr>
        <w:autoSpaceDE w:val="0"/>
        <w:autoSpaceDN w:val="0"/>
        <w:adjustRightInd w:val="0"/>
        <w:spacing w:after="0" w:line="360" w:lineRule="auto"/>
        <w:ind w:left="270" w:hanging="270"/>
        <w:jc w:val="both"/>
        <w:rPr>
          <w:rFonts w:ascii="Times New Roman" w:hAnsi="Times New Roman" w:cs="Times New Roman"/>
          <w:sz w:val="24"/>
          <w:szCs w:val="24"/>
        </w:rPr>
      </w:pPr>
      <w:r w:rsidRPr="00910CE3">
        <w:rPr>
          <w:rFonts w:ascii="Times New Roman" w:hAnsi="Times New Roman" w:cs="Times New Roman"/>
          <w:sz w:val="24"/>
          <w:szCs w:val="24"/>
        </w:rPr>
        <w:t>2) Menyusun RUU organik yang mengatur perkawinan-perkawinan menurut agama masing masing, yaitu bagi golongan Islam, Katolik dan Protestan.</w:t>
      </w:r>
    </w:p>
    <w:p w:rsidR="00343B61" w:rsidRPr="00910CE3" w:rsidRDefault="00343B61" w:rsidP="00343B61">
      <w:pPr>
        <w:autoSpaceDE w:val="0"/>
        <w:autoSpaceDN w:val="0"/>
        <w:adjustRightInd w:val="0"/>
        <w:spacing w:after="0" w:line="360" w:lineRule="auto"/>
        <w:ind w:left="270" w:hanging="270"/>
        <w:jc w:val="both"/>
        <w:rPr>
          <w:rFonts w:ascii="Times New Roman" w:hAnsi="Times New Roman" w:cs="Times New Roman"/>
          <w:sz w:val="24"/>
          <w:szCs w:val="24"/>
        </w:rPr>
      </w:pPr>
      <w:r w:rsidRPr="00910CE3">
        <w:rPr>
          <w:rFonts w:ascii="Times New Roman" w:hAnsi="Times New Roman" w:cs="Times New Roman"/>
          <w:sz w:val="24"/>
          <w:szCs w:val="24"/>
        </w:rPr>
        <w:t>3) Menyusun RUU untuk golongan yang tidak termasuk salah satu golongan agama tersebut.</w:t>
      </w:r>
      <w:r w:rsidRPr="00910CE3">
        <w:rPr>
          <w:rStyle w:val="FootnoteReference"/>
          <w:rFonts w:ascii="Times New Roman" w:hAnsi="Times New Roman" w:cs="Times New Roman"/>
          <w:sz w:val="24"/>
          <w:szCs w:val="24"/>
        </w:rPr>
        <w:footnoteReference w:id="367"/>
      </w:r>
    </w:p>
    <w:p w:rsidR="00343B61" w:rsidRPr="00910CE3" w:rsidRDefault="00343B61" w:rsidP="00343B61">
      <w:pPr>
        <w:pStyle w:val="ListParagraph"/>
        <w:spacing w:line="360" w:lineRule="auto"/>
        <w:ind w:left="0" w:firstLine="720"/>
        <w:jc w:val="both"/>
        <w:rPr>
          <w:rFonts w:asciiTheme="majorBidi" w:eastAsia="Garamond" w:hAnsiTheme="majorBidi" w:cstheme="majorBidi"/>
          <w:spacing w:val="-3"/>
          <w:sz w:val="24"/>
          <w:szCs w:val="24"/>
        </w:rPr>
      </w:pPr>
      <w:r w:rsidRPr="00910CE3">
        <w:rPr>
          <w:rFonts w:asciiTheme="majorBidi" w:eastAsia="Garamond" w:hAnsiTheme="majorBidi" w:cstheme="majorBidi"/>
          <w:spacing w:val="-4"/>
          <w:sz w:val="24"/>
          <w:szCs w:val="24"/>
        </w:rPr>
        <w:t>Menurut catatan Zaini Ahmad Noeh, sampai tahun 1954 panitia yang diketuai oleh Mr. Teuku Mohammad Hasan ini telah berhasil menyusun tiga rancangan undang-undang, yakni: RUU Perkawinan yang bersifat umum sebagai UU Pokok, RUU Pernikahan untuk umat Islam, dan RUU Perkawinan untuk umat Kristen. Dengan penyempurnaan isi RUU Pernikahan Umat Islam tersebut pada tahun 1958, Menteri Agama (K.H. Moh. Ilyas) memperoleh persetujuan kabinet untuk mengajukan RUU tersebut ke parlemen. Pertimbangannya adalah mendahu</w:t>
      </w:r>
      <w:r w:rsidRPr="00910CE3">
        <w:rPr>
          <w:rFonts w:asciiTheme="majorBidi" w:eastAsia="Garamond" w:hAnsiTheme="majorBidi" w:cstheme="majorBidi"/>
          <w:spacing w:val="-4"/>
          <w:sz w:val="24"/>
          <w:szCs w:val="24"/>
        </w:rPr>
        <w:softHyphen/>
        <w:t>lukan pemenuhan kebutuhan bagi umat Islam yang merupakan mayoritas rakyat Indonesia. Namun pada masa sidang DPR, oleh Ny. Sumarni cs dari fraksi PNI, mengajukan pula sebuah RUU Perkawinan, yang isinya mirip dengan RUU bersifat umum dan panitia di atas. Munculnya RUU ini menunjukkan adanya keretakan diantara dua partai pendukung utama kabinet, yaitu PNI dan NU. Ini juga menunjukkan keretakan di tubuh</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pacing w:val="-3"/>
          <w:sz w:val="24"/>
          <w:szCs w:val="24"/>
        </w:rPr>
        <w:t xml:space="preserve">pemerintah, antara Departemen Agama sebagai unsur NU dan Departemen Kehakiman sebagai unsur PNI. Meskipun dibentuk panitia </w:t>
      </w:r>
      <w:r w:rsidRPr="00910CE3">
        <w:rPr>
          <w:rFonts w:asciiTheme="majorBidi" w:eastAsia="Garamond" w:hAnsiTheme="majorBidi" w:cstheme="majorBidi"/>
          <w:i/>
          <w:iCs/>
          <w:spacing w:val="-3"/>
          <w:sz w:val="24"/>
          <w:szCs w:val="24"/>
        </w:rPr>
        <w:t>adhoc</w:t>
      </w:r>
      <w:r w:rsidRPr="00910CE3">
        <w:rPr>
          <w:rFonts w:asciiTheme="majorBidi" w:eastAsia="Garamond" w:hAnsiTheme="majorBidi" w:cstheme="majorBidi"/>
          <w:spacing w:val="-3"/>
          <w:sz w:val="24"/>
          <w:szCs w:val="24"/>
        </w:rPr>
        <w:t xml:space="preserve"> yang anggotanya </w:t>
      </w:r>
      <w:r w:rsidRPr="00910CE3">
        <w:rPr>
          <w:rFonts w:asciiTheme="majorBidi" w:eastAsia="Garamond" w:hAnsiTheme="majorBidi" w:cstheme="majorBidi"/>
          <w:spacing w:val="-3"/>
          <w:sz w:val="24"/>
          <w:szCs w:val="24"/>
        </w:rPr>
        <w:lastRenderedPageBreak/>
        <w:t>terdiri dari pemerintah dan dua unsur yang berbeda, tetapi panitia ini tidak pernah menemu</w:t>
      </w:r>
      <w:r w:rsidRPr="00910CE3">
        <w:rPr>
          <w:rFonts w:asciiTheme="majorBidi" w:eastAsia="Garamond" w:hAnsiTheme="majorBidi" w:cstheme="majorBidi"/>
          <w:spacing w:val="-3"/>
          <w:sz w:val="24"/>
          <w:szCs w:val="24"/>
        </w:rPr>
        <w:softHyphen/>
        <w:t>kan jalan keluar.</w:t>
      </w:r>
      <w:r w:rsidRPr="00910CE3">
        <w:rPr>
          <w:rStyle w:val="FootnoteReference"/>
          <w:rFonts w:asciiTheme="majorBidi" w:eastAsia="Garamond" w:hAnsiTheme="majorBidi" w:cstheme="majorBidi"/>
          <w:spacing w:val="-3"/>
          <w:sz w:val="24"/>
          <w:szCs w:val="24"/>
        </w:rPr>
        <w:footnoteReference w:id="368"/>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Menurut Maria Ulfa Subadio, setelah ada usulan inisiatif dari Ny. Sumarni cs dari fraksi PNI, barulah pemerintah mengajukan RUU Perkawinan Islam kepada DPR. Dalam RUU itu, poligami diperbolehkan dengan syarat-syarat tertentu yaitu persetujuan lebih dahulu dari istri, atau istri-istri, harus berlaku adil dan dapat menghidupi lebih dari satu keluarga.</w:t>
      </w:r>
      <w:r w:rsidRPr="00910CE3">
        <w:rPr>
          <w:rStyle w:val="FootnoteReference"/>
          <w:rFonts w:ascii="Times New Roman" w:hAnsi="Times New Roman" w:cs="Times New Roman"/>
          <w:sz w:val="24"/>
          <w:szCs w:val="24"/>
        </w:rPr>
        <w:footnoteReference w:id="369"/>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360" w:lineRule="auto"/>
        <w:jc w:val="both"/>
        <w:rPr>
          <w:rFonts w:ascii="Times New Roman" w:hAnsi="Times New Roman" w:cs="Times New Roman"/>
          <w:sz w:val="24"/>
          <w:szCs w:val="24"/>
        </w:rPr>
      </w:pPr>
      <w:r w:rsidRPr="00910CE3">
        <w:rPr>
          <w:rFonts w:ascii="Times New Roman" w:hAnsi="Times New Roman" w:cs="Times New Roman"/>
          <w:sz w:val="16"/>
          <w:szCs w:val="16"/>
        </w:rPr>
        <w:t xml:space="preserve"> </w:t>
      </w:r>
      <w:r w:rsidRPr="00910CE3">
        <w:rPr>
          <w:rFonts w:ascii="Times New Roman" w:hAnsi="Times New Roman" w:cs="Times New Roman"/>
          <w:sz w:val="16"/>
          <w:szCs w:val="16"/>
        </w:rPr>
        <w:tab/>
      </w:r>
      <w:r w:rsidRPr="00910CE3">
        <w:rPr>
          <w:rFonts w:ascii="Times New Roman" w:hAnsi="Times New Roman" w:cs="Times New Roman"/>
          <w:sz w:val="24"/>
          <w:szCs w:val="24"/>
        </w:rPr>
        <w:t>RUU ini juga mendapat perhatian yang cukup besar di kalangan anggota DPR dan masyarakat. Namun disesalkan, bahwa banyak juga anggota DPR yang sungguh-sungguh membela poligami tanpa syarat, karena poligami bukan saja dilaksanakan oleh orang awam, tetapi juga para pemimpin bangsa melakukannya, dimana pada tahun 1955 Soekarno melakukan poligami dengan Ny. Hartini, yang menuai protes yang keras khususnya dari kalangan perempuan. Tidak kurang dari 11 organisasi wanita yang memprotes dan memberikan pernyataan keras atas perkawinan Soekarno dengan Ny. Hartini ini.</w:t>
      </w:r>
      <w:r w:rsidRPr="00910CE3">
        <w:rPr>
          <w:rStyle w:val="FootnoteReference"/>
          <w:rFonts w:ascii="Times New Roman" w:hAnsi="Times New Roman" w:cs="Times New Roman"/>
          <w:sz w:val="24"/>
          <w:szCs w:val="24"/>
        </w:rPr>
        <w:footnoteReference w:id="370"/>
      </w:r>
      <w:r w:rsidRPr="00910CE3">
        <w:rPr>
          <w:rFonts w:ascii="Times New Roman" w:hAnsi="Times New Roman" w:cs="Times New Roman"/>
          <w:sz w:val="24"/>
          <w:szCs w:val="24"/>
        </w:rPr>
        <w:t xml:space="preserve"> </w:t>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lastRenderedPageBreak/>
        <w:t>Penting dicatat, bahwa antara tahun 1960 dan 1963 tercatat tiga kali pertemuan yang juga membicarakan masalah hukum Perkawinan dan perundang-undangannya,. yaitu: (1) Musyawarah Nasional Kesejahteraan Keluarga, yang diadakan oleh Departemen Sosial tahun 1960; (2) Konferensi Badan Penasehat Perkawinan dan Penyelesaian Perceraian (B.P.4)</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z w:val="24"/>
          <w:szCs w:val="24"/>
        </w:rPr>
        <w:t>pusat yang diselenggarakan oleh Departemen Agama tahun 1962; (3) Seminar Hukum Nasional yang diselenggarakan oleh Lembaga Pembinaan Hukum Nasional (L.P.H.N.) bersama Persatuan Sarjana Hukum Indonesia (Persahi) pada tahun 1963.</w:t>
      </w:r>
      <w:r w:rsidRPr="00910CE3">
        <w:rPr>
          <w:rStyle w:val="FootnoteReference"/>
          <w:rFonts w:asciiTheme="majorBidi" w:eastAsia="Garamond" w:hAnsiTheme="majorBidi" w:cstheme="majorBidi"/>
          <w:sz w:val="24"/>
          <w:szCs w:val="24"/>
        </w:rPr>
        <w:footnoteReference w:id="371"/>
      </w:r>
      <w:r w:rsidRPr="00910CE3">
        <w:rPr>
          <w:rFonts w:asciiTheme="majorBidi" w:eastAsia="Garamond" w:hAnsiTheme="majorBidi" w:cstheme="majorBidi"/>
          <w:sz w:val="24"/>
          <w:szCs w:val="24"/>
        </w:rPr>
        <w:t xml:space="preserve"> </w:t>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Pada tahun 1966 Majelis Permusyawaratan Rakyat Sementara (MPRS) dengan Ketetapan No. XXVIII/MPRS/ 1966 menyatakan dalam pasal 1 ayat (3), bahwa perlu segera diadakan Undang-undang tentang Perkawinan. </w:t>
      </w:r>
      <w:r w:rsidRPr="00910CE3">
        <w:rPr>
          <w:rFonts w:asciiTheme="majorBidi" w:eastAsia="Garamond" w:hAnsiTheme="majorBidi" w:cstheme="majorBidi"/>
          <w:spacing w:val="-3"/>
          <w:sz w:val="24"/>
          <w:szCs w:val="24"/>
        </w:rPr>
        <w:t>Sebagai respon terhadap TAP MPRS tersebut, pada tahun 1967 dan 1968 pemerintah menyampaikan dua buah rancangan Undang-undang kepada D.P.R.G.R. (DPR Gotong Royong), yaitu; (1) R.U.U. tentang Pernikahan Ummat Islam; (2) R.U.U. tentang ketentuan Pokok Perkawinan. Kedua R.U.U. ini di</w:t>
      </w:r>
      <w:r w:rsidRPr="00910CE3">
        <w:rPr>
          <w:rFonts w:asciiTheme="majorBidi" w:eastAsia="Garamond" w:hAnsiTheme="majorBidi" w:cstheme="majorBidi"/>
          <w:spacing w:val="-3"/>
          <w:sz w:val="24"/>
          <w:szCs w:val="24"/>
        </w:rPr>
        <w:softHyphen/>
        <w:t xml:space="preserve">bicarakan oleh D.P.R.G.R. dalam tahun 1968, yang akhirnya tidak mendapat persetujuan D.P.R.G.R., berdasarkan keputusan </w:t>
      </w:r>
      <w:r w:rsidRPr="00910CE3">
        <w:rPr>
          <w:rFonts w:asciiTheme="majorBidi" w:eastAsia="Garamond" w:hAnsiTheme="majorBidi" w:cstheme="majorBidi"/>
          <w:spacing w:val="-3"/>
          <w:sz w:val="24"/>
          <w:szCs w:val="24"/>
        </w:rPr>
        <w:lastRenderedPageBreak/>
        <w:t>tanggal 5 Januari 1968. Karena itu, pemerintah menarik kembali kedua R.U.U. itu.</w:t>
      </w:r>
      <w:r w:rsidRPr="00910CE3">
        <w:rPr>
          <w:rStyle w:val="FootnoteReference"/>
          <w:rFonts w:asciiTheme="majorBidi" w:eastAsia="Garamond" w:hAnsiTheme="majorBidi" w:cstheme="majorBidi"/>
          <w:spacing w:val="-3"/>
          <w:sz w:val="24"/>
          <w:szCs w:val="24"/>
        </w:rPr>
        <w:footnoteReference w:id="372"/>
      </w:r>
      <w:r w:rsidRPr="00910CE3">
        <w:rPr>
          <w:rFonts w:asciiTheme="majorBidi" w:eastAsia="Garamond" w:hAnsiTheme="majorBidi" w:cstheme="majorBidi"/>
          <w:spacing w:val="-3"/>
          <w:sz w:val="24"/>
          <w:szCs w:val="24"/>
        </w:rPr>
        <w:t xml:space="preserve"> Adapun alasan tidak dapat disah</w:t>
      </w:r>
      <w:r w:rsidRPr="00910CE3">
        <w:rPr>
          <w:rFonts w:asciiTheme="majorBidi" w:eastAsia="Garamond" w:hAnsiTheme="majorBidi" w:cstheme="majorBidi"/>
          <w:spacing w:val="-3"/>
          <w:sz w:val="24"/>
          <w:szCs w:val="24"/>
        </w:rPr>
        <w:softHyphen/>
        <w:t>kannya, karena ada salah satu fraksi yang menolak, dan dua fraksi yang abstain, meskipun sejumlah 13 (tiga belas) fraksi dapat menerimanya.</w:t>
      </w:r>
      <w:r w:rsidRPr="00910CE3">
        <w:rPr>
          <w:rStyle w:val="FootnoteReference"/>
          <w:rFonts w:asciiTheme="majorBidi" w:eastAsia="Garamond" w:hAnsiTheme="majorBidi" w:cstheme="majorBidi"/>
          <w:spacing w:val="-3"/>
          <w:sz w:val="24"/>
          <w:szCs w:val="24"/>
        </w:rPr>
        <w:footnoteReference w:id="373"/>
      </w:r>
    </w:p>
    <w:p w:rsidR="00343B61" w:rsidRPr="00910CE3" w:rsidRDefault="00343B61" w:rsidP="00343B61">
      <w:pPr>
        <w:pStyle w:val="ListParagraph"/>
        <w:spacing w:line="360" w:lineRule="auto"/>
        <w:ind w:left="0" w:firstLine="720"/>
        <w:jc w:val="both"/>
        <w:rPr>
          <w:rFonts w:asciiTheme="majorBidi" w:eastAsia="Garamond" w:hAnsiTheme="majorBidi" w:cstheme="majorBidi"/>
          <w:spacing w:val="-4"/>
          <w:sz w:val="24"/>
          <w:szCs w:val="24"/>
        </w:rPr>
      </w:pPr>
      <w:r w:rsidRPr="00910CE3">
        <w:rPr>
          <w:rFonts w:asciiTheme="majorBidi" w:eastAsia="Garamond" w:hAnsiTheme="majorBidi" w:cstheme="majorBidi"/>
          <w:spacing w:val="-1"/>
          <w:sz w:val="24"/>
          <w:szCs w:val="24"/>
        </w:rPr>
        <w:t>Dalam bahasa Ahmad Zaini Noeh, pada awal tahun 1967, pemerintah dalam hal ini Menteri Agama KH. Moh. Dahlan, menyampai</w:t>
      </w:r>
      <w:r w:rsidRPr="00910CE3">
        <w:rPr>
          <w:rFonts w:asciiTheme="majorBidi" w:eastAsia="Garamond" w:hAnsiTheme="majorBidi" w:cstheme="majorBidi"/>
          <w:spacing w:val="-1"/>
          <w:sz w:val="24"/>
          <w:szCs w:val="24"/>
        </w:rPr>
        <w:softHyphen/>
        <w:t>kan kembali RUU Perkawinan Umat Islam untuk dibahas oleh</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pacing w:val="-5"/>
          <w:sz w:val="24"/>
          <w:szCs w:val="24"/>
        </w:rPr>
        <w:t>dewan. Dalam waktu yang hampir sama Departemen Kehakiman menyusun RUU tentang Perkawinan yang bersifat nasional dan</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pacing w:val="-4"/>
          <w:sz w:val="24"/>
          <w:szCs w:val="24"/>
        </w:rPr>
        <w:t>berjiwa Pancasila dan disampaikan ke DPR (September 1967), dengan maksud RUU dari Departemen Kehakiman sebagai RUU Pokok dan dari Departemen Agama sebagai RUU Pelaksana. Rancangan ini kembali gagal disahkan, sebab anggota DPR tidak bergairah membahas. Alasannya, karena penyusunannya di</w:t>
      </w:r>
      <w:r w:rsidRPr="00910CE3">
        <w:rPr>
          <w:rFonts w:asciiTheme="majorBidi" w:eastAsia="Garamond" w:hAnsiTheme="majorBidi" w:cstheme="majorBidi"/>
          <w:spacing w:val="-4"/>
          <w:sz w:val="24"/>
          <w:szCs w:val="24"/>
        </w:rPr>
        <w:softHyphen/>
        <w:t>dasarkan pada perbedaan pandangan.</w:t>
      </w:r>
      <w:r w:rsidRPr="00910CE3">
        <w:rPr>
          <w:rStyle w:val="FootnoteReference"/>
          <w:rFonts w:asciiTheme="majorBidi" w:eastAsia="Garamond" w:hAnsiTheme="majorBidi" w:cstheme="majorBidi"/>
          <w:spacing w:val="-4"/>
          <w:sz w:val="24"/>
          <w:szCs w:val="24"/>
        </w:rPr>
        <w:footnoteReference w:id="374"/>
      </w:r>
    </w:p>
    <w:p w:rsidR="00343B61" w:rsidRPr="00910CE3" w:rsidRDefault="00343B61" w:rsidP="00343B61">
      <w:pPr>
        <w:pStyle w:val="ListParagraph"/>
        <w:spacing w:line="360" w:lineRule="auto"/>
        <w:ind w:left="0" w:firstLine="720"/>
        <w:jc w:val="both"/>
        <w:rPr>
          <w:rFonts w:ascii="Times New Roman" w:hAnsi="Times New Roman" w:cs="Times New Roman"/>
          <w:sz w:val="24"/>
          <w:szCs w:val="24"/>
        </w:rPr>
      </w:pPr>
      <w:r w:rsidRPr="00910CE3">
        <w:rPr>
          <w:rFonts w:asciiTheme="majorBidi" w:eastAsia="Garamond" w:hAnsiTheme="majorBidi" w:cstheme="majorBidi"/>
          <w:spacing w:val="-1"/>
          <w:sz w:val="24"/>
          <w:szCs w:val="24"/>
        </w:rPr>
        <w:t xml:space="preserve">Sementara itu beberapa organisasi dalam masyarakat tetap menginginkan, bahkan mendesak pemerintah untuk kembali mengajukan R.U.U. tentang Perkawinan tersebut, diantaranya </w:t>
      </w:r>
      <w:r w:rsidRPr="00910CE3">
        <w:rPr>
          <w:rFonts w:ascii="Times New Roman" w:hAnsi="Times New Roman" w:cs="Times New Roman"/>
          <w:sz w:val="24"/>
          <w:szCs w:val="24"/>
        </w:rPr>
        <w:t xml:space="preserve">Ikatan Sarjana Wanita Indonesia (ISWI), setelah pemilihan umum tahun 1971, mereka kembali memperjuangkan UU Perkawinan untuk diberlakukan kepada seluruh warga Negara Indonesia. Kemudian Badan Musyawarah Organisasi-Organisasi Wanita Islam Indonesia pada tanggal 22 Februari 1972, juga mendesak pemerintah agar mengajukan kembali RUU tentang Perkawinan yang dulu dikembalikan DPR kepada pemerintah, agar dibahas kembali oleh DPR RI. Demikian pula Himpunan Mahasiswa Indonesia (HMI) membicarakan kembali tentang perkawinan umat Islam Indonesia dalam acara Sarasehan yang dilaksanakan pada tanggal 11 Februari 1973 di Jakarta dan mengharapkan agar pemerintah segera mengajukan kembali RUU tentang </w:t>
      </w:r>
      <w:r w:rsidRPr="00910CE3">
        <w:rPr>
          <w:rFonts w:ascii="Times New Roman" w:hAnsi="Times New Roman" w:cs="Times New Roman"/>
          <w:sz w:val="24"/>
          <w:szCs w:val="24"/>
        </w:rPr>
        <w:lastRenderedPageBreak/>
        <w:t>perkawinan kepada DPR RI untuk dibahas kembali dan dilaksanakan sebagai UU yang diberlakukan untuk seluruh warga negara Indonesia.</w:t>
      </w:r>
      <w:r w:rsidRPr="00910CE3">
        <w:rPr>
          <w:rStyle w:val="FootnoteReference"/>
          <w:rFonts w:ascii="Times New Roman" w:hAnsi="Times New Roman" w:cs="Times New Roman"/>
          <w:sz w:val="24"/>
          <w:szCs w:val="24"/>
        </w:rPr>
        <w:footnoteReference w:id="375"/>
      </w:r>
      <w:r w:rsidRPr="00910CE3">
        <w:rPr>
          <w:rFonts w:ascii="Times New Roman" w:hAnsi="Times New Roman" w:cs="Times New Roman"/>
          <w:sz w:val="24"/>
          <w:szCs w:val="24"/>
        </w:rPr>
        <w:t xml:space="preserve"> </w:t>
      </w:r>
    </w:p>
    <w:p w:rsidR="00343B61" w:rsidRPr="00910CE3" w:rsidRDefault="00343B61" w:rsidP="00343B61">
      <w:pPr>
        <w:pStyle w:val="ListParagraph"/>
        <w:spacing w:line="360" w:lineRule="auto"/>
        <w:ind w:left="0" w:firstLine="720"/>
        <w:jc w:val="both"/>
        <w:rPr>
          <w:rFonts w:asciiTheme="majorBidi" w:eastAsia="Garamond" w:hAnsiTheme="majorBidi" w:cstheme="majorBidi"/>
          <w:spacing w:val="-1"/>
          <w:sz w:val="24"/>
          <w:szCs w:val="24"/>
        </w:rPr>
      </w:pPr>
      <w:r w:rsidRPr="00910CE3">
        <w:rPr>
          <w:rFonts w:asciiTheme="majorBidi" w:eastAsia="Garamond" w:hAnsiTheme="majorBidi" w:cstheme="majorBidi"/>
          <w:spacing w:val="-1"/>
          <w:sz w:val="24"/>
          <w:szCs w:val="24"/>
        </w:rPr>
        <w:t>Adapun penilaian ISWI tentang materi hukum perkawinan antara lain sebagai berikut: (1) makin dirasa</w:t>
      </w:r>
      <w:r w:rsidRPr="00910CE3">
        <w:rPr>
          <w:rFonts w:asciiTheme="majorBidi" w:eastAsia="Garamond" w:hAnsiTheme="majorBidi" w:cstheme="majorBidi"/>
          <w:spacing w:val="-1"/>
          <w:sz w:val="24"/>
          <w:szCs w:val="24"/>
        </w:rPr>
        <w:softHyphen/>
        <w:t>kan mendesaknya keperluan akan sesuatu UU Perkawinan untuk Indonesia; (2) Simposium mencatat adanya perkembang</w:t>
      </w:r>
      <w:r w:rsidRPr="00910CE3">
        <w:rPr>
          <w:rFonts w:asciiTheme="majorBidi" w:eastAsia="Garamond" w:hAnsiTheme="majorBidi" w:cstheme="majorBidi"/>
          <w:spacing w:val="-1"/>
          <w:sz w:val="24"/>
          <w:szCs w:val="24"/>
        </w:rPr>
        <w:softHyphen/>
        <w:t>an pendekatan yang besar dalam azas-azas perkawinan diantara berbagai ummat beragama, sehingga diharapkan dalam pembentukan Undang-undang Perkawinan nanti soal materi tidak lagi merupakan problem pokok; (3) Yang masih menjadi halangan besar adalah belum adanya kesesuaian mengenai sistem antara differensiasi atau unifikasi.</w:t>
      </w:r>
      <w:r w:rsidRPr="00910CE3">
        <w:rPr>
          <w:rStyle w:val="FootnoteReference"/>
          <w:rFonts w:asciiTheme="majorBidi" w:eastAsia="Garamond" w:hAnsiTheme="majorBidi" w:cstheme="majorBidi"/>
          <w:spacing w:val="-1"/>
          <w:sz w:val="24"/>
          <w:szCs w:val="24"/>
        </w:rPr>
        <w:footnoteReference w:id="376"/>
      </w:r>
    </w:p>
    <w:p w:rsidR="00343B61" w:rsidRPr="00910CE3" w:rsidRDefault="00343B61" w:rsidP="00343B61">
      <w:pPr>
        <w:pStyle w:val="ListParagraph"/>
        <w:spacing w:line="360" w:lineRule="auto"/>
        <w:ind w:left="0" w:firstLine="720"/>
        <w:jc w:val="both"/>
        <w:rPr>
          <w:rFonts w:ascii="Times New Roman" w:hAnsi="Times New Roman" w:cs="Times New Roman"/>
          <w:sz w:val="24"/>
          <w:szCs w:val="24"/>
        </w:rPr>
      </w:pPr>
      <w:r w:rsidRPr="00910CE3">
        <w:rPr>
          <w:rFonts w:asciiTheme="majorBidi" w:eastAsia="Garamond" w:hAnsiTheme="majorBidi" w:cstheme="majorBidi"/>
          <w:spacing w:val="-4"/>
          <w:sz w:val="24"/>
          <w:szCs w:val="24"/>
        </w:rPr>
        <w:t>Akhirnya setelah bekerja keras, pemerintah dapat menyiapkan sebuah R.U.U. baru, dan tanggal 31 Juli 1973 dengan No. R. 02/PU/VII/1973 pemerintah menyarnpaikan RUU tentang Perkawinan yang baru kepada D.P.R.,</w:t>
      </w:r>
      <w:r w:rsidRPr="00910CE3">
        <w:rPr>
          <w:rFonts w:ascii="Times New Roman" w:hAnsi="Times New Roman" w:cs="Times New Roman"/>
          <w:sz w:val="24"/>
          <w:szCs w:val="24"/>
        </w:rPr>
        <w:t>dan setelah mendapat banyak sekali tanggapan pro dan kontra mengenai beberapa bagian penting materi RUUP tersebut, baik di dalam DPR, maupun di dalam masyarakat, akhirnya dicapailah suatu Konsensus yang membawa pengaruh pada sidang-sidang selanjutnya, sehingga tercapai juga kata mufakat di antara para anggota Dewan Perwakilan Rakyat (DPR.</w:t>
      </w:r>
      <w:r w:rsidRPr="00910CE3">
        <w:rPr>
          <w:rStyle w:val="FootnoteReference"/>
          <w:rFonts w:ascii="Times New Roman" w:hAnsi="Times New Roman" w:cs="Times New Roman"/>
          <w:sz w:val="24"/>
          <w:szCs w:val="24"/>
        </w:rPr>
        <w:footnoteReference w:id="377"/>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Keterangan Pemerintah tentang Rancangan Undang-</w:t>
      </w:r>
      <w:r w:rsidRPr="00910CE3">
        <w:rPr>
          <w:rFonts w:asciiTheme="majorBidi" w:eastAsia="Garamond" w:hAnsiTheme="majorBidi" w:cstheme="majorBidi"/>
          <w:sz w:val="24"/>
          <w:szCs w:val="24"/>
        </w:rPr>
        <w:softHyphen/>
        <w:t>undang tersebut disampaikan oleh Menteri Kehakiman (Umar Senoaji, SH.) pada tanggal 30 Agustus 1973. Pemandangan umum serta keterangan Pemerintah diberikan oleh wakil-wakil Fraksi pada tanggal 17 dan 18 September 1973, yakni dari Fraksi ABRI, Karya Pembangunan, PDI dan Persatuan</w:t>
      </w:r>
      <w:r w:rsidRPr="00910CE3">
        <w:rPr>
          <w:rFonts w:asciiTheme="majorBidi" w:eastAsia="Garamond" w:hAnsiTheme="majorBidi" w:cstheme="majorBidi"/>
          <w:sz w:val="24"/>
          <w:szCs w:val="24"/>
          <w:vertAlign w:val="superscript"/>
        </w:rPr>
        <w:t xml:space="preserve"> </w:t>
      </w:r>
      <w:r w:rsidRPr="00910CE3">
        <w:rPr>
          <w:rFonts w:asciiTheme="majorBidi" w:eastAsia="Garamond" w:hAnsiTheme="majorBidi" w:cstheme="majorBidi"/>
          <w:sz w:val="24"/>
          <w:szCs w:val="24"/>
        </w:rPr>
        <w:t xml:space="preserve">Pembangunan. Di samping itu, banyak masyarakat yang menyampaikan saran dan usul kepada D.P.R. Jawaban dari Pemerintah diberikan Menteri Agama (H.A. Mukti Ali) pada tanggal 27 September 1973. Pemerintah mengajak D.P.R. untuk secara bersama bisa </w:t>
      </w:r>
      <w:r w:rsidRPr="00910CE3">
        <w:rPr>
          <w:rFonts w:asciiTheme="majorBidi" w:eastAsia="Garamond" w:hAnsiTheme="majorBidi" w:cstheme="majorBidi"/>
          <w:sz w:val="24"/>
          <w:szCs w:val="24"/>
        </w:rPr>
        <w:lastRenderedPageBreak/>
        <w:t>memecahkan masalah. Antara lain jawaban yang sekaligus anjuran tersebut adalah:</w:t>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vertAlign w:val="superscript"/>
        </w:rPr>
      </w:pPr>
      <w:r w:rsidRPr="00910CE3">
        <w:rPr>
          <w:rFonts w:asciiTheme="majorBidi" w:eastAsia="Garamond" w:hAnsiTheme="majorBidi" w:cstheme="majorBidi"/>
          <w:spacing w:val="-4"/>
          <w:sz w:val="24"/>
          <w:szCs w:val="24"/>
        </w:rPr>
        <w:t>Pemerintah meminta Dewan untuk memusyawarahkan hal-hal yang belum kita temukan kesepakatan melalui musyawarah untuk mufakat. Apalagi hal-hal tersebut dianggap sangat erat hubungannya dengan keimanan dan ibadah, dimusyawarahkan untuk dapat dijadikan rumusan yang dimufakati. Melihat keinginan dan kesediaan para anggota dewan untuk memusyawarahkan RUU-P ini dengan baik, kita samua yakin, Dewan bersama-sama Pemerintah akan mampu mengatasi segala perbedaan yang ada, dan akan menghasilkan Undang-undang Perkawinan Nasional yang dicita-citakan semua pihak.</w:t>
      </w:r>
      <w:r w:rsidRPr="00910CE3">
        <w:rPr>
          <w:rStyle w:val="FootnoteReference"/>
          <w:rFonts w:asciiTheme="majorBidi" w:eastAsia="Garamond" w:hAnsiTheme="majorBidi" w:cstheme="majorBidi"/>
          <w:spacing w:val="-4"/>
          <w:sz w:val="24"/>
          <w:szCs w:val="24"/>
        </w:rPr>
        <w:footnoteReference w:id="378"/>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Pro dan kontra yang muncul di kalangan masyarakat Indonesia terhadap RUU perkawinan Yang  diajukan pemerintah pada tanggal 16 Agustus 1973 bisa dikelompokkan kepada tiga : </w:t>
      </w:r>
    </w:p>
    <w:p w:rsidR="00343B61" w:rsidRPr="00910CE3" w:rsidRDefault="00343B61" w:rsidP="00343B61">
      <w:pPr>
        <w:pStyle w:val="ListParagraph"/>
        <w:tabs>
          <w:tab w:val="left" w:pos="1843"/>
        </w:tabs>
        <w:spacing w:line="360" w:lineRule="auto"/>
        <w:ind w:left="0" w:firstLine="720"/>
        <w:jc w:val="both"/>
        <w:rPr>
          <w:rFonts w:ascii="Times New Roman" w:hAnsi="Times New Roman" w:cs="Times New Roman"/>
          <w:sz w:val="24"/>
          <w:szCs w:val="24"/>
        </w:rPr>
      </w:pPr>
      <w:r w:rsidRPr="003F1A63">
        <w:rPr>
          <w:rFonts w:ascii="Times New Roman" w:hAnsi="Times New Roman" w:cs="Times New Roman"/>
          <w:i/>
          <w:iCs/>
          <w:sz w:val="24"/>
          <w:szCs w:val="24"/>
        </w:rPr>
        <w:t>Pertama</w:t>
      </w:r>
      <w:r w:rsidRPr="00910CE3">
        <w:rPr>
          <w:rFonts w:ascii="Times New Roman" w:hAnsi="Times New Roman" w:cs="Times New Roman"/>
          <w:sz w:val="24"/>
          <w:szCs w:val="24"/>
        </w:rPr>
        <w:t>, Kelompok Umat Islam :Kelompok ini didominasi para ulama. Mereka beranggapan bahwa RUU perkawinan yang diajukan pemerintah itu sangat bertentangan dengan ajaran-ajaran Islam, bahkan ada anggapan yang lebih keras lagi, bahwa Undang-Undang tersebut mengkristenkan Indonesia. Di lembaga legislatif, FPP adalah fraksi yang paling keras menentang RUU tersebut karena bertentangan dengan fiqh Islam.</w:t>
      </w:r>
      <w:r w:rsidRPr="00910CE3">
        <w:rPr>
          <w:rStyle w:val="FootnoteReference"/>
          <w:rFonts w:ascii="Times New Roman" w:hAnsi="Times New Roman" w:cs="Times New Roman"/>
          <w:sz w:val="24"/>
          <w:szCs w:val="24"/>
        </w:rPr>
        <w:footnoteReference w:id="379"/>
      </w:r>
      <w:r w:rsidRPr="00910CE3">
        <w:rPr>
          <w:rFonts w:ascii="Times New Roman" w:hAnsi="Times New Roman" w:cs="Times New Roman"/>
          <w:sz w:val="24"/>
          <w:szCs w:val="24"/>
        </w:rPr>
        <w:t xml:space="preserve"> Tangtangan keras itu disebabkan materi RUU perkawinan itu dipandang mengandung ideology yang dianut Negara-negara Barat yang materialistis dan individualistis, yang dikhawatirkan akan mengikis budaya bangsa dan dapat menghancurkan tatanan budaya yang sudah mapan.</w:t>
      </w:r>
      <w:r w:rsidRPr="00910CE3">
        <w:rPr>
          <w:rStyle w:val="FootnoteReference"/>
          <w:rFonts w:ascii="Times New Roman" w:hAnsi="Times New Roman" w:cs="Times New Roman"/>
          <w:sz w:val="24"/>
          <w:szCs w:val="24"/>
        </w:rPr>
        <w:footnoteReference w:id="380"/>
      </w:r>
      <w:r w:rsidRPr="00910CE3">
        <w:rPr>
          <w:rFonts w:ascii="Times New Roman" w:hAnsi="Times New Roman" w:cs="Times New Roman"/>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Kamal Hasan mengatakan, bahwa semua ulama, baik dari kalangan tradisional, maupun modernis, dari Aceh sampai Jawa Timur menolak RUU </w:t>
      </w:r>
      <w:r w:rsidRPr="00910CE3">
        <w:rPr>
          <w:rFonts w:ascii="Times New Roman" w:hAnsi="Times New Roman" w:cs="Times New Roman"/>
          <w:sz w:val="24"/>
          <w:szCs w:val="24"/>
        </w:rPr>
        <w:lastRenderedPageBreak/>
        <w:t>tersebut.</w:t>
      </w:r>
      <w:r w:rsidRPr="00910CE3">
        <w:rPr>
          <w:rStyle w:val="FootnoteReference"/>
          <w:rFonts w:ascii="Times New Roman" w:hAnsi="Times New Roman" w:cs="Times New Roman"/>
          <w:sz w:val="24"/>
          <w:szCs w:val="24"/>
        </w:rPr>
        <w:footnoteReference w:id="381"/>
      </w:r>
      <w:r w:rsidRPr="00910CE3">
        <w:rPr>
          <w:rFonts w:ascii="Times New Roman" w:hAnsi="Times New Roman" w:cs="Times New Roman"/>
          <w:sz w:val="24"/>
          <w:szCs w:val="24"/>
        </w:rPr>
        <w:t xml:space="preserve"> Setidaknya ada 11 pasal yang dipandang bertentangan dengan ajaran Islam (</w:t>
      </w:r>
      <w:r w:rsidRPr="00910CE3">
        <w:rPr>
          <w:rFonts w:ascii="Times New Roman" w:hAnsi="Times New Roman" w:cs="Times New Roman"/>
          <w:i/>
          <w:iCs/>
          <w:sz w:val="24"/>
          <w:szCs w:val="24"/>
        </w:rPr>
        <w:t>fiqh munakahat</w:t>
      </w:r>
      <w:r w:rsidRPr="00910CE3">
        <w:rPr>
          <w:rFonts w:ascii="Times New Roman" w:hAnsi="Times New Roman" w:cs="Times New Roman"/>
          <w:sz w:val="24"/>
          <w:szCs w:val="24"/>
        </w:rPr>
        <w:t>), yaitu pasal 1, ayat 1, pasal 3 ayat 2, pasal 7 ayat 1, pasal 8 ayat c, pasal 10 ayat 2, pasal 11 ayat 2, pasal 12, pasal 13 ayat 1 dan 2, pasal 37, pasal 46 ayat c dan d, pasal 62 ayat 2 dan ayat 9.</w:t>
      </w:r>
      <w:r w:rsidRPr="00910CE3">
        <w:rPr>
          <w:rStyle w:val="FootnoteReference"/>
          <w:rFonts w:ascii="Times New Roman" w:hAnsi="Times New Roman" w:cs="Times New Roman"/>
          <w:sz w:val="24"/>
          <w:szCs w:val="24"/>
        </w:rPr>
        <w:footnoteReference w:id="382"/>
      </w:r>
    </w:p>
    <w:p w:rsidR="00343B61" w:rsidRPr="00910CE3" w:rsidRDefault="00343B61" w:rsidP="00343B61">
      <w:pPr>
        <w:spacing w:line="360" w:lineRule="auto"/>
        <w:ind w:firstLine="72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Sumber lain menyebut pasal-pasal RUU tentang Perka</w:t>
      </w:r>
      <w:r w:rsidRPr="00910CE3">
        <w:rPr>
          <w:rFonts w:asciiTheme="majorBidi" w:eastAsia="Garamond" w:hAnsiTheme="majorBidi" w:cstheme="majorBidi"/>
          <w:sz w:val="24"/>
          <w:szCs w:val="24"/>
        </w:rPr>
        <w:softHyphen/>
        <w:t>winan yang mendapatkan tanggapan pro dan kontra karena dianggap bertentangan dengan ajaran Islam, ada 13 pasal sebagai berikut:</w:t>
      </w:r>
      <w:r w:rsidRPr="00910CE3">
        <w:rPr>
          <w:rStyle w:val="FootnoteReference"/>
          <w:rFonts w:asciiTheme="majorBidi" w:eastAsia="Garamond" w:hAnsiTheme="majorBidi" w:cstheme="majorBidi"/>
          <w:sz w:val="24"/>
          <w:szCs w:val="24"/>
        </w:rPr>
        <w:footnoteReference w:id="383"/>
      </w:r>
    </w:p>
    <w:p w:rsidR="00343B61" w:rsidRPr="00910CE3" w:rsidRDefault="00343B61" w:rsidP="002C0A33">
      <w:pPr>
        <w:numPr>
          <w:ilvl w:val="0"/>
          <w:numId w:val="26"/>
        </w:numPr>
        <w:tabs>
          <w:tab w:val="left" w:pos="709"/>
        </w:tabs>
        <w:spacing w:after="0" w:line="360" w:lineRule="auto"/>
        <w:ind w:left="360"/>
        <w:jc w:val="both"/>
        <w:textAlignment w:val="baseline"/>
        <w:rPr>
          <w:rFonts w:asciiTheme="majorBidi" w:eastAsia="Garamond" w:hAnsiTheme="majorBidi" w:cstheme="majorBidi"/>
          <w:spacing w:val="-2"/>
          <w:sz w:val="24"/>
          <w:szCs w:val="24"/>
        </w:rPr>
      </w:pPr>
      <w:r w:rsidRPr="00910CE3">
        <w:rPr>
          <w:rFonts w:asciiTheme="majorBidi" w:eastAsia="Garamond" w:hAnsiTheme="majorBidi" w:cstheme="majorBidi"/>
          <w:spacing w:val="-2"/>
          <w:sz w:val="24"/>
          <w:szCs w:val="24"/>
        </w:rPr>
        <w:t>Pasal 2 ayat (1): "Perkawinan adalah sah apabila dilaku</w:t>
      </w:r>
      <w:r w:rsidRPr="00910CE3">
        <w:rPr>
          <w:rFonts w:asciiTheme="majorBidi" w:eastAsia="Garamond" w:hAnsiTheme="majorBidi" w:cstheme="majorBidi"/>
          <w:spacing w:val="-2"/>
          <w:sz w:val="24"/>
          <w:szCs w:val="24"/>
        </w:rPr>
        <w:softHyphen/>
        <w:t>kan dihadapan pegawai pencatat perkawinan, dicatatkan dalam daftar pencatat perkawinan oleh pegawai tersebut, dan dilangsungkan menurut ketentuan undang-undang ini dan/atau ketentuan hukum perkawinan. pihak-pihak yang melakukan perkawinan, sepanjang tidak bertentangan dengan undang-undang ini".</w:t>
      </w:r>
    </w:p>
    <w:p w:rsidR="00343B61" w:rsidRPr="00910CE3" w:rsidRDefault="00343B61" w:rsidP="00343B61">
      <w:pPr>
        <w:tabs>
          <w:tab w:val="left" w:pos="709"/>
        </w:tabs>
        <w:spacing w:line="360" w:lineRule="auto"/>
        <w:ind w:left="360"/>
        <w:jc w:val="both"/>
        <w:textAlignment w:val="baseline"/>
        <w:rPr>
          <w:rFonts w:asciiTheme="majorBidi" w:eastAsia="Garamond" w:hAnsiTheme="majorBidi" w:cstheme="majorBidi"/>
          <w:spacing w:val="-2"/>
          <w:sz w:val="24"/>
          <w:szCs w:val="24"/>
        </w:rPr>
      </w:pPr>
      <w:r w:rsidRPr="00910CE3">
        <w:rPr>
          <w:rFonts w:asciiTheme="majorBidi" w:eastAsia="Garamond" w:hAnsiTheme="majorBidi" w:cstheme="majorBidi"/>
          <w:spacing w:val="-4"/>
          <w:sz w:val="24"/>
          <w:szCs w:val="24"/>
        </w:rPr>
        <w:t>Pasal ini dianggab tidak sejalan dengan Islam, sebab menurut Islam (</w:t>
      </w:r>
      <w:r w:rsidRPr="00910CE3">
        <w:rPr>
          <w:rFonts w:asciiTheme="majorBidi" w:eastAsia="Garamond" w:hAnsiTheme="majorBidi" w:cstheme="majorBidi"/>
          <w:i/>
          <w:iCs/>
          <w:spacing w:val="-4"/>
          <w:sz w:val="24"/>
          <w:szCs w:val="24"/>
        </w:rPr>
        <w:t>fiqh</w:t>
      </w:r>
      <w:r w:rsidRPr="00910CE3">
        <w:rPr>
          <w:rFonts w:asciiTheme="majorBidi" w:eastAsia="Garamond" w:hAnsiTheme="majorBidi" w:cstheme="majorBidi"/>
          <w:spacing w:val="-4"/>
          <w:sz w:val="24"/>
          <w:szCs w:val="24"/>
        </w:rPr>
        <w:t>) sahnya perkawinan terletak pada akad nikah yang berupa ijab Kabul antara wali mempelai perempuan dengan mempelai laki-laki serta disaksikan oleh 2 (dua) orang saksi. Islam tidak menolak adanya pencatatan pernikahan yang fungsinya tidak lebih dari sekedar menurut kebutuhan administrasi pemerintahan dan tidak menentukan sah atau tidaknya suatu perkawinan.</w:t>
      </w:r>
    </w:p>
    <w:p w:rsidR="00343B61" w:rsidRPr="00910CE3" w:rsidRDefault="00343B61" w:rsidP="002C0A33">
      <w:pPr>
        <w:numPr>
          <w:ilvl w:val="0"/>
          <w:numId w:val="26"/>
        </w:numPr>
        <w:tabs>
          <w:tab w:val="decimal" w:pos="-288"/>
          <w:tab w:val="left" w:pos="709"/>
        </w:tabs>
        <w:spacing w:after="0" w:line="360" w:lineRule="auto"/>
        <w:ind w:left="360"/>
        <w:jc w:val="both"/>
        <w:textAlignment w:val="baseline"/>
        <w:rPr>
          <w:rFonts w:asciiTheme="majorBidi" w:eastAsia="Garamond" w:hAnsiTheme="majorBidi" w:cstheme="majorBidi"/>
          <w:sz w:val="24"/>
          <w:szCs w:val="24"/>
        </w:rPr>
      </w:pPr>
      <w:r w:rsidRPr="00580246">
        <w:rPr>
          <w:rFonts w:asciiTheme="majorBidi" w:eastAsia="PMingLiU" w:hAnsiTheme="majorBidi" w:cstheme="majorBidi"/>
          <w:sz w:val="24"/>
          <w:szCs w:val="24"/>
        </w:rPr>
        <w:pict>
          <v:line id="_x0000_s1027" style="position:absolute;left:0;text-align:left;z-index:251661312;mso-position-horizontal-relative:page;mso-position-vertical-relative:page" from="780.5pt,97.2pt" to="780.5pt,307.25pt" strokecolor="#9a9295" strokeweight=".7pt">
            <w10:wrap anchorx="page" anchory="page"/>
          </v:line>
        </w:pict>
      </w:r>
      <w:r w:rsidRPr="00910CE3">
        <w:rPr>
          <w:rFonts w:asciiTheme="majorBidi" w:eastAsia="Garamond" w:hAnsiTheme="majorBidi" w:cstheme="majorBidi"/>
          <w:sz w:val="24"/>
          <w:szCs w:val="24"/>
        </w:rPr>
        <w:t>Pasal 3 ayat (2): "Pengadilan dalam lingkungan Peradilan Umum, selanjutnya dalam undang-undang ini disebut Pengadilan, dapat memberi izin kepada seorang suami untuk beristeri lebih dari seorang apabila dikehendaki oleh pihak-pihak yang bersangkutan". Dalam RUU tidak dibatasi maksimal jumlah lebih dari satu itu, padahal dalam hukum Islam poligami hanya terbatas sampai 4 (empat) orang isteri saja.</w:t>
      </w:r>
    </w:p>
    <w:p w:rsidR="00343B61" w:rsidRPr="00910CE3" w:rsidRDefault="00343B61" w:rsidP="002C0A33">
      <w:pPr>
        <w:numPr>
          <w:ilvl w:val="0"/>
          <w:numId w:val="26"/>
        </w:numPr>
        <w:tabs>
          <w:tab w:val="left" w:pos="709"/>
        </w:tabs>
        <w:spacing w:after="0" w:line="360" w:lineRule="auto"/>
        <w:ind w:left="360"/>
        <w:jc w:val="both"/>
        <w:textAlignment w:val="baseline"/>
        <w:rPr>
          <w:rFonts w:asciiTheme="majorBidi" w:eastAsia="Garamond" w:hAnsiTheme="majorBidi" w:cstheme="majorBidi"/>
          <w:sz w:val="24"/>
          <w:szCs w:val="24"/>
        </w:rPr>
      </w:pPr>
      <w:r w:rsidRPr="00580246">
        <w:rPr>
          <w:rFonts w:asciiTheme="majorBidi" w:eastAsia="PMingLiU" w:hAnsiTheme="majorBidi" w:cstheme="majorBidi"/>
          <w:sz w:val="24"/>
          <w:szCs w:val="24"/>
        </w:rPr>
        <w:lastRenderedPageBreak/>
        <w:pict>
          <v:line id="_x0000_s1028" style="position:absolute;left:0;text-align:left;z-index:251662336;mso-position-horizontal-relative:page;mso-position-vertical-relative:page" from="778.3pt,187.45pt" to="778.3pt,254.2pt" strokecolor="#b6b0b7" strokeweight=".25pt">
            <w10:wrap anchorx="page" anchory="page"/>
          </v:line>
        </w:pict>
      </w:r>
      <w:r w:rsidRPr="00910CE3">
        <w:rPr>
          <w:rFonts w:asciiTheme="majorBidi" w:eastAsia="Garamond" w:hAnsiTheme="majorBidi" w:cstheme="majorBidi"/>
          <w:sz w:val="24"/>
          <w:szCs w:val="24"/>
        </w:rPr>
        <w:t xml:space="preserve">Pasal 7 ayat (1): "Perkawinan hanya diizinkan pihak pria sudah mencapai umur 21 (dua puluh satu) tahun dan pihak wanita sudah mencapai umur 18 (delapan belas) tahun". Ayat (2) dalam hal yang menyimpang dari ayat (1) pasal ini dapat diminta dispensasi kepada pengadilan oleh kedua orang tua yang berkepentingan. Islam tidak menentukan secara pasti batas umur. Ukuran menurut Islam adalah </w:t>
      </w:r>
      <w:r w:rsidRPr="00910CE3">
        <w:rPr>
          <w:rFonts w:asciiTheme="majorBidi" w:eastAsia="Garamond" w:hAnsiTheme="majorBidi" w:cstheme="majorBidi"/>
          <w:i/>
          <w:sz w:val="24"/>
          <w:szCs w:val="24"/>
        </w:rPr>
        <w:t xml:space="preserve">aqil baligh </w:t>
      </w:r>
      <w:r w:rsidRPr="00910CE3">
        <w:rPr>
          <w:rFonts w:asciiTheme="majorBidi" w:eastAsia="Garamond" w:hAnsiTheme="majorBidi" w:cstheme="majorBidi"/>
          <w:sz w:val="24"/>
          <w:szCs w:val="24"/>
        </w:rPr>
        <w:t>seseorang. Apabila tidak ada hal-hal yang luar biasa yang dibenarkan oleh agama, bagi seorang wanita yang masih perawan, persetujuan orang tuanya (wali) tetap diutamakan.</w:t>
      </w:r>
    </w:p>
    <w:p w:rsidR="00343B61" w:rsidRPr="00910CE3" w:rsidRDefault="00343B61" w:rsidP="002C0A33">
      <w:pPr>
        <w:numPr>
          <w:ilvl w:val="0"/>
          <w:numId w:val="26"/>
        </w:numPr>
        <w:tabs>
          <w:tab w:val="left" w:pos="709"/>
        </w:tabs>
        <w:spacing w:after="0" w:line="360" w:lineRule="auto"/>
        <w:ind w:left="36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8, tentang larangan perkawinan dalam poin c: "... berhubungan sebagai anak angkat dan orang tua angkat atau anak-anak dari orang tua angkat". Islam tidak mengenal lembaga adopsi, oleh karena itu tidak ada larangan perkawinan karena adopsi.</w:t>
      </w:r>
    </w:p>
    <w:p w:rsidR="00343B61" w:rsidRPr="00910CE3" w:rsidRDefault="00343B61" w:rsidP="002C0A33">
      <w:pPr>
        <w:numPr>
          <w:ilvl w:val="0"/>
          <w:numId w:val="26"/>
        </w:numPr>
        <w:tabs>
          <w:tab w:val="left" w:pos="709"/>
        </w:tabs>
        <w:spacing w:after="0" w:line="360" w:lineRule="auto"/>
        <w:ind w:left="36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10 ayat (2): "Apabila suami dan isteri yang telah cerai kawin lagi dengan yang lain dan bercerai lagi untuk kedua kalinya, maka di antara mereka tidak boleh dilangsungkan perkawinan lagi".</w:t>
      </w:r>
      <w:r w:rsidRPr="00580246">
        <w:rPr>
          <w:rFonts w:asciiTheme="majorBidi" w:eastAsia="PMingLiU" w:hAnsiTheme="majorBidi" w:cstheme="majorBidi"/>
          <w:sz w:val="24"/>
          <w:szCs w:val="24"/>
        </w:rPr>
        <w:pict>
          <v:line id="_x0000_s1029" style="position:absolute;left:0;text-align:left;z-index:251663360;mso-position-horizontal-relative:page;mso-position-vertical-relative:page" from="768.7pt,508.55pt" to="768.7pt,610.6pt" strokecolor="#5e5864" strokeweight=".5pt">
            <w10:wrap anchorx="page" anchory="page"/>
          </v:line>
        </w:pict>
      </w:r>
      <w:r w:rsidRPr="00910CE3">
        <w:rPr>
          <w:rFonts w:asciiTheme="majorBidi" w:eastAsia="Garamond" w:hAnsiTheme="majorBidi" w:cstheme="majorBidi"/>
          <w:sz w:val="24"/>
          <w:szCs w:val="24"/>
        </w:rPr>
        <w:t xml:space="preserve"> Dalam Islam terdapat 2 (dua) macam talak, yaitu talak </w:t>
      </w:r>
      <w:r w:rsidRPr="00910CE3">
        <w:rPr>
          <w:rFonts w:asciiTheme="majorBidi" w:eastAsia="Garamond" w:hAnsiTheme="majorBidi" w:cstheme="majorBidi"/>
          <w:i/>
          <w:sz w:val="24"/>
          <w:szCs w:val="24"/>
        </w:rPr>
        <w:t xml:space="preserve">raje’i </w:t>
      </w:r>
      <w:r w:rsidRPr="00910CE3">
        <w:rPr>
          <w:rFonts w:asciiTheme="majorBidi" w:eastAsia="Garamond" w:hAnsiTheme="majorBidi" w:cstheme="majorBidi"/>
          <w:sz w:val="24"/>
          <w:szCs w:val="24"/>
        </w:rPr>
        <w:t xml:space="preserve">yang bisa di ruju' kembali, dan talak </w:t>
      </w:r>
      <w:r w:rsidRPr="00910CE3">
        <w:rPr>
          <w:rFonts w:asciiTheme="majorBidi" w:eastAsia="Garamond" w:hAnsiTheme="majorBidi" w:cstheme="majorBidi"/>
          <w:i/>
          <w:sz w:val="24"/>
          <w:szCs w:val="24"/>
        </w:rPr>
        <w:t xml:space="preserve">bain </w:t>
      </w:r>
      <w:r w:rsidRPr="00910CE3">
        <w:rPr>
          <w:rFonts w:asciiTheme="majorBidi" w:eastAsia="Garamond" w:hAnsiTheme="majorBidi" w:cstheme="majorBidi"/>
          <w:sz w:val="24"/>
          <w:szCs w:val="24"/>
        </w:rPr>
        <w:t>yang tidak dapat diruju` kecuali si wanita sudah menikah lagi dengan laki-Iaki lain dan sudah menyelesaikan iddahnya.</w:t>
      </w:r>
    </w:p>
    <w:p w:rsidR="00343B61" w:rsidRPr="00910CE3" w:rsidRDefault="00343B61" w:rsidP="002C0A33">
      <w:pPr>
        <w:numPr>
          <w:ilvl w:val="0"/>
          <w:numId w:val="26"/>
        </w:numPr>
        <w:tabs>
          <w:tab w:val="left" w:pos="709"/>
        </w:tabs>
        <w:spacing w:after="0" w:line="360" w:lineRule="auto"/>
        <w:ind w:left="36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11 ayat (2): "Perbedaan karena kebangsaan, suku bangsa, negeri asal, tempat asal, agama/kepercayaan, dan keturunan, tidak merupakan penghalang perkawinan". Dalam Islam perbedaan agama jelas-jelas merupakan penghalang untuk dilangsungkannya perkawinan. Begitu pula perbedaan kepercayaan, yaitu antara seorang muslim dengan seorang musyrik tidak dibenarkan dilakukan perkawinan.</w:t>
      </w:r>
    </w:p>
    <w:p w:rsidR="00343B61" w:rsidRPr="00910CE3" w:rsidRDefault="00343B61" w:rsidP="002C0A33">
      <w:pPr>
        <w:numPr>
          <w:ilvl w:val="0"/>
          <w:numId w:val="26"/>
        </w:numPr>
        <w:tabs>
          <w:tab w:val="left" w:pos="360"/>
          <w:tab w:val="left" w:pos="709"/>
        </w:tabs>
        <w:spacing w:after="0" w:line="360" w:lineRule="auto"/>
        <w:ind w:left="851" w:hanging="851"/>
        <w:jc w:val="both"/>
        <w:textAlignment w:val="baseline"/>
        <w:rPr>
          <w:rFonts w:asciiTheme="majorBidi" w:eastAsia="Garamond" w:hAnsiTheme="majorBidi" w:cstheme="majorBidi"/>
          <w:spacing w:val="20"/>
          <w:sz w:val="24"/>
          <w:szCs w:val="24"/>
        </w:rPr>
      </w:pPr>
      <w:r w:rsidRPr="00910CE3">
        <w:rPr>
          <w:rFonts w:asciiTheme="majorBidi" w:eastAsia="Garamond" w:hAnsiTheme="majorBidi" w:cstheme="majorBidi"/>
          <w:spacing w:val="20"/>
          <w:sz w:val="24"/>
          <w:szCs w:val="24"/>
        </w:rPr>
        <w:t>Pasal 12:</w:t>
      </w:r>
    </w:p>
    <w:p w:rsidR="00343B61" w:rsidRPr="00910CE3" w:rsidRDefault="00343B61" w:rsidP="002C0A33">
      <w:pPr>
        <w:numPr>
          <w:ilvl w:val="0"/>
          <w:numId w:val="27"/>
        </w:numPr>
        <w:tabs>
          <w:tab w:val="clear" w:pos="432"/>
          <w:tab w:val="left" w:pos="810"/>
          <w:tab w:val="left" w:pos="851"/>
        </w:tabs>
        <w:spacing w:before="6" w:after="0" w:line="360" w:lineRule="auto"/>
        <w:ind w:left="900" w:right="72" w:hanging="54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"Bagi janda ditetapkan jangka waktu tunggu 306 (tiga ratus enam) hari, kecuali kalau tenyata dia sedang mengandung, dalam hal waktu tunggu ditetapkan sampai 40 (empat puluh) hari sesudah melahirkan anak".</w:t>
      </w:r>
    </w:p>
    <w:p w:rsidR="00343B61" w:rsidRPr="00910CE3" w:rsidRDefault="00343B61" w:rsidP="002C0A33">
      <w:pPr>
        <w:numPr>
          <w:ilvl w:val="0"/>
          <w:numId w:val="27"/>
        </w:numPr>
        <w:tabs>
          <w:tab w:val="clear" w:pos="432"/>
          <w:tab w:val="left" w:pos="810"/>
          <w:tab w:val="left" w:pos="851"/>
        </w:tabs>
        <w:spacing w:before="6" w:after="0" w:line="360" w:lineRule="auto"/>
        <w:ind w:left="810" w:right="72"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Jangka waktu yang disebutkan dalam ayat (1) pasal ini tidak dipersyaratkan dalam hal:</w:t>
      </w:r>
    </w:p>
    <w:p w:rsidR="00343B61" w:rsidRPr="00910CE3" w:rsidRDefault="00343B61" w:rsidP="002C0A33">
      <w:pPr>
        <w:numPr>
          <w:ilvl w:val="0"/>
          <w:numId w:val="28"/>
        </w:numPr>
        <w:tabs>
          <w:tab w:val="clear" w:pos="360"/>
          <w:tab w:val="left" w:pos="810"/>
        </w:tabs>
        <w:spacing w:before="6" w:after="0" w:line="360" w:lineRule="auto"/>
        <w:ind w:left="1276" w:hanging="46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Umur janda sudah 52 (lima puluh dua) Tahun;</w:t>
      </w:r>
    </w:p>
    <w:p w:rsidR="00343B61" w:rsidRPr="00910CE3" w:rsidRDefault="00343B61" w:rsidP="002C0A33">
      <w:pPr>
        <w:numPr>
          <w:ilvl w:val="0"/>
          <w:numId w:val="28"/>
        </w:numPr>
        <w:tabs>
          <w:tab w:val="clear" w:pos="360"/>
          <w:tab w:val="left" w:pos="810"/>
          <w:tab w:val="left" w:pos="1418"/>
          <w:tab w:val="left" w:pos="1560"/>
        </w:tabs>
        <w:spacing w:before="2" w:after="0" w:line="360" w:lineRule="auto"/>
        <w:ind w:left="1276" w:hanging="466"/>
        <w:jc w:val="both"/>
        <w:textAlignment w:val="baseline"/>
        <w:rPr>
          <w:rFonts w:asciiTheme="majorBidi" w:eastAsia="Garamond" w:hAnsiTheme="majorBidi" w:cstheme="majorBidi"/>
          <w:spacing w:val="1"/>
          <w:sz w:val="24"/>
          <w:szCs w:val="24"/>
        </w:rPr>
      </w:pPr>
      <w:r w:rsidRPr="00910CE3">
        <w:rPr>
          <w:rFonts w:asciiTheme="majorBidi" w:eastAsia="Garamond" w:hAnsiTheme="majorBidi" w:cstheme="majorBidi"/>
          <w:spacing w:val="1"/>
          <w:sz w:val="24"/>
          <w:szCs w:val="24"/>
        </w:rPr>
        <w:lastRenderedPageBreak/>
        <w:t>Janda setelah meninggalnya suami, melahirkan anak;</w:t>
      </w:r>
    </w:p>
    <w:p w:rsidR="00343B61" w:rsidRPr="00910CE3" w:rsidRDefault="00343B61" w:rsidP="002C0A33">
      <w:pPr>
        <w:numPr>
          <w:ilvl w:val="0"/>
          <w:numId w:val="28"/>
        </w:numPr>
        <w:tabs>
          <w:tab w:val="clear" w:pos="360"/>
          <w:tab w:val="left" w:pos="810"/>
        </w:tabs>
        <w:spacing w:before="6" w:after="0" w:line="360" w:lineRule="auto"/>
        <w:ind w:left="1276" w:right="72" w:hanging="46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Janda mempunyai keterangan dokter bahwa ia setelah 100 (seratus) hari meninggalnya suami atau terjadinya perceraian tidak hamil. </w:t>
      </w:r>
      <w:r w:rsidRPr="00910CE3">
        <w:rPr>
          <w:rFonts w:asciiTheme="majorBidi" w:eastAsia="Garamond" w:hAnsiTheme="majorBidi" w:cstheme="majorBidi"/>
          <w:spacing w:val="-1"/>
          <w:sz w:val="24"/>
          <w:szCs w:val="24"/>
        </w:rPr>
        <w:t>Dalam Islam, masalah iddah sudah dijelaskan secara rinci.</w:t>
      </w:r>
    </w:p>
    <w:p w:rsidR="00343B61" w:rsidRPr="00910CE3" w:rsidRDefault="00343B61" w:rsidP="002C0A33">
      <w:pPr>
        <w:numPr>
          <w:ilvl w:val="0"/>
          <w:numId w:val="26"/>
        </w:numPr>
        <w:tabs>
          <w:tab w:val="left" w:pos="450"/>
          <w:tab w:val="left" w:pos="709"/>
        </w:tabs>
        <w:spacing w:after="0" w:line="360" w:lineRule="auto"/>
        <w:ind w:left="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13 ayat (2): "Apabila pertunangan itu mengakibat</w:t>
      </w:r>
      <w:r w:rsidRPr="00910CE3">
        <w:rPr>
          <w:rFonts w:asciiTheme="majorBidi" w:eastAsia="Garamond" w:hAnsiTheme="majorBidi" w:cstheme="majorBidi"/>
          <w:sz w:val="24"/>
          <w:szCs w:val="24"/>
        </w:rPr>
        <w:softHyphen/>
        <w:t>kan kehamilan, maka pihak pria diharuskan kawin dengan wanita itu, jika disetujui oleh pihak wanita". Pasal ini seolah-olah melegitimasi terhadap perzinahan selama masa pertunangan, padahal dalam Islam, per</w:t>
      </w:r>
      <w:r w:rsidRPr="00910CE3">
        <w:rPr>
          <w:rFonts w:asciiTheme="majorBidi" w:eastAsia="Garamond" w:hAnsiTheme="majorBidi" w:cstheme="majorBidi"/>
          <w:sz w:val="24"/>
          <w:szCs w:val="24"/>
        </w:rPr>
        <w:softHyphen/>
        <w:t>tunangan bukanlah akad perkawinan dimana tidak diperbolehkan melakukan hubungan seksual, dan hubungan seksual di luar perkawinan merupakan perbuatan zina yang dilarang dan mendapat sangsi yang berat bagi pelakunya.</w:t>
      </w:r>
    </w:p>
    <w:p w:rsidR="00343B61" w:rsidRPr="00910CE3" w:rsidRDefault="00343B61" w:rsidP="002C0A33">
      <w:pPr>
        <w:numPr>
          <w:ilvl w:val="0"/>
          <w:numId w:val="26"/>
        </w:numPr>
        <w:tabs>
          <w:tab w:val="left" w:pos="450"/>
          <w:tab w:val="left" w:pos="709"/>
        </w:tabs>
        <w:spacing w:after="0" w:line="360" w:lineRule="auto"/>
        <w:ind w:left="450"/>
        <w:jc w:val="both"/>
        <w:textAlignment w:val="baseline"/>
        <w:rPr>
          <w:rFonts w:asciiTheme="majorBidi" w:eastAsia="Garamond" w:hAnsiTheme="majorBidi" w:cstheme="majorBidi"/>
          <w:spacing w:val="2"/>
          <w:sz w:val="24"/>
          <w:szCs w:val="24"/>
        </w:rPr>
      </w:pPr>
      <w:r w:rsidRPr="00910CE3">
        <w:rPr>
          <w:rFonts w:asciiTheme="majorBidi" w:eastAsia="Garamond" w:hAnsiTheme="majorBidi" w:cstheme="majorBidi"/>
          <w:spacing w:val="13"/>
          <w:sz w:val="24"/>
          <w:szCs w:val="24"/>
        </w:rPr>
        <w:t xml:space="preserve">Pasal 37 ayat (1) "harta benda yang diperoleh selama </w:t>
      </w:r>
      <w:r w:rsidRPr="00910CE3">
        <w:rPr>
          <w:rFonts w:asciiTheme="majorBidi" w:eastAsia="Garamond" w:hAnsiTheme="majorBidi" w:cstheme="majorBidi"/>
          <w:spacing w:val="2"/>
          <w:sz w:val="24"/>
          <w:szCs w:val="24"/>
        </w:rPr>
        <w:t xml:space="preserve">perkawinan menjadi hak milik bersama". </w:t>
      </w:r>
      <w:r w:rsidRPr="00910CE3">
        <w:rPr>
          <w:rFonts w:asciiTheme="majorBidi" w:eastAsia="Garamond" w:hAnsiTheme="majorBidi" w:cstheme="majorBidi"/>
          <w:sz w:val="24"/>
          <w:szCs w:val="24"/>
        </w:rPr>
        <w:t>Dalam Islam ditentukan bahwa hasil usaha masing-masing suami atau isteri secara sendiri-sendiri adalah menjadi milik masirig-masing yang mengusahakannya.</w:t>
      </w:r>
    </w:p>
    <w:p w:rsidR="00343B61" w:rsidRPr="00910CE3" w:rsidRDefault="00343B61" w:rsidP="002C0A33">
      <w:pPr>
        <w:numPr>
          <w:ilvl w:val="0"/>
          <w:numId w:val="26"/>
        </w:numPr>
        <w:tabs>
          <w:tab w:val="left" w:pos="450"/>
          <w:tab w:val="left" w:pos="993"/>
        </w:tabs>
        <w:spacing w:after="0" w:line="360" w:lineRule="auto"/>
        <w:ind w:left="45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39 "Bila perkawinan putus karena perceraian, harta benda milik bersama dibagi sama antara bekas suami isteri". Bilamana terjadi perceraian, maka pihak suami diharus</w:t>
      </w:r>
      <w:r w:rsidRPr="00910CE3">
        <w:rPr>
          <w:rFonts w:asciiTheme="majorBidi" w:eastAsia="Garamond" w:hAnsiTheme="majorBidi" w:cstheme="majorBidi"/>
          <w:sz w:val="24"/>
          <w:szCs w:val="24"/>
        </w:rPr>
        <w:softHyphen/>
        <w:t xml:space="preserve">kan memberi hadiah perceraian dengan jumlah yang wajar sesuai dengan kekayaan/kemampuan </w:t>
      </w:r>
      <w:r w:rsidRPr="00910CE3">
        <w:rPr>
          <w:rFonts w:asciiTheme="majorBidi" w:eastAsia="Garamond" w:hAnsiTheme="majorBidi" w:cstheme="majorBidi"/>
          <w:iCs/>
          <w:sz w:val="24"/>
          <w:szCs w:val="24"/>
        </w:rPr>
        <w:t>suami</w:t>
      </w:r>
      <w:r w:rsidRPr="00910CE3">
        <w:rPr>
          <w:rFonts w:asciiTheme="majorBidi" w:eastAsia="Garamond" w:hAnsiTheme="majorBidi" w:cstheme="majorBidi"/>
          <w:i/>
          <w:sz w:val="24"/>
          <w:szCs w:val="24"/>
        </w:rPr>
        <w:t xml:space="preserve"> mata’an bil ma'ruf</w:t>
      </w:r>
    </w:p>
    <w:p w:rsidR="00343B61" w:rsidRPr="00910CE3" w:rsidRDefault="00343B61" w:rsidP="002C0A33">
      <w:pPr>
        <w:numPr>
          <w:ilvl w:val="0"/>
          <w:numId w:val="26"/>
        </w:numPr>
        <w:tabs>
          <w:tab w:val="left" w:pos="450"/>
          <w:tab w:val="left" w:pos="993"/>
        </w:tabs>
        <w:spacing w:after="0" w:line="360" w:lineRule="auto"/>
        <w:ind w:left="45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46 (poin c), "Pengadilan dapat mewajibkan bekas suami menurut kemampuannya memberi biaya peng</w:t>
      </w:r>
      <w:r w:rsidRPr="00910CE3">
        <w:rPr>
          <w:rFonts w:asciiTheme="majorBidi" w:eastAsia="Garamond" w:hAnsiTheme="majorBidi" w:cstheme="majorBidi"/>
          <w:sz w:val="24"/>
          <w:szCs w:val="24"/>
        </w:rPr>
        <w:softHyphen/>
        <w:t>hidupan kepada bekas isterinya selama ia masih hidup dan belum bersuami lagi", (poin d), "pengadilan dapat menentukan kewajiban apa dan jumlah biaya yang diberikan kepada bekas suami dan bekas isteri". Islam hanya mewajibkan suami memberi nafkah kepada isteri yang diceraikannya selama bekas isteri masih berada dalam masa iddah yang dapat ruju`. Sedangkan terhadap bekas isteri yang mengandung adalah sampai melahirkan anaknya yang ada di dalam kandungannnya.</w:t>
      </w:r>
    </w:p>
    <w:p w:rsidR="00343B61" w:rsidRPr="00910CE3" w:rsidRDefault="00343B61" w:rsidP="002C0A33">
      <w:pPr>
        <w:numPr>
          <w:ilvl w:val="0"/>
          <w:numId w:val="26"/>
        </w:numPr>
        <w:tabs>
          <w:tab w:val="left" w:pos="450"/>
          <w:tab w:val="left" w:pos="993"/>
        </w:tabs>
        <w:spacing w:after="0" w:line="360" w:lineRule="auto"/>
        <w:ind w:left="851" w:hanging="761"/>
        <w:jc w:val="both"/>
        <w:textAlignment w:val="baseline"/>
        <w:rPr>
          <w:rFonts w:asciiTheme="majorBidi" w:eastAsia="Garamond" w:hAnsiTheme="majorBidi" w:cstheme="majorBidi"/>
          <w:spacing w:val="9"/>
          <w:sz w:val="24"/>
          <w:szCs w:val="24"/>
        </w:rPr>
      </w:pPr>
      <w:r w:rsidRPr="00910CE3">
        <w:rPr>
          <w:rFonts w:asciiTheme="majorBidi" w:eastAsia="Garamond" w:hAnsiTheme="majorBidi" w:cstheme="majorBidi"/>
          <w:spacing w:val="9"/>
          <w:sz w:val="24"/>
          <w:szCs w:val="24"/>
        </w:rPr>
        <w:t>Pasal 49:</w:t>
      </w:r>
    </w:p>
    <w:p w:rsidR="00343B61" w:rsidRPr="00910CE3" w:rsidRDefault="00343B61" w:rsidP="002C0A33">
      <w:pPr>
        <w:numPr>
          <w:ilvl w:val="0"/>
          <w:numId w:val="29"/>
        </w:numPr>
        <w:tabs>
          <w:tab w:val="clear" w:pos="576"/>
          <w:tab w:val="decimal" w:pos="993"/>
        </w:tabs>
        <w:spacing w:after="0" w:line="360" w:lineRule="auto"/>
        <w:ind w:left="99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Anak yang dilahirkan di luar perkawinan hanya mempunyai hubungan keperdataan dengan ibunya dan keluarga ibunya</w:t>
      </w:r>
    </w:p>
    <w:p w:rsidR="00343B61" w:rsidRPr="00910CE3" w:rsidRDefault="00343B61" w:rsidP="002C0A33">
      <w:pPr>
        <w:numPr>
          <w:ilvl w:val="0"/>
          <w:numId w:val="29"/>
        </w:numPr>
        <w:tabs>
          <w:tab w:val="clear" w:pos="576"/>
          <w:tab w:val="decimal" w:pos="993"/>
        </w:tabs>
        <w:spacing w:after="0" w:line="360" w:lineRule="auto"/>
        <w:ind w:left="99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lastRenderedPageBreak/>
        <w:t>Anak yang dimaksud dalam ayat (1) pasal ini dapat diakui oleh ayahnya</w:t>
      </w:r>
    </w:p>
    <w:p w:rsidR="00343B61" w:rsidRPr="00910CE3" w:rsidRDefault="00343B61" w:rsidP="002C0A33">
      <w:pPr>
        <w:numPr>
          <w:ilvl w:val="0"/>
          <w:numId w:val="29"/>
        </w:numPr>
        <w:tabs>
          <w:tab w:val="clear" w:pos="576"/>
          <w:tab w:val="decimal" w:pos="993"/>
        </w:tabs>
        <w:spacing w:after="0" w:line="360" w:lineRule="auto"/>
        <w:ind w:left="99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Anak yang dimaksud dalam ayat (2) pasal ini dapat disahkan dengan perkawinan. </w:t>
      </w:r>
    </w:p>
    <w:p w:rsidR="00343B61" w:rsidRPr="00910CE3" w:rsidRDefault="00343B61" w:rsidP="00343B61">
      <w:pPr>
        <w:tabs>
          <w:tab w:val="decimal" w:pos="993"/>
        </w:tabs>
        <w:spacing w:after="0" w:line="360" w:lineRule="auto"/>
        <w:ind w:left="99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Menurut Islam, anak zina hanya mempunyai hubungan keperdataan dengan ibunya dan keluarga ibunya. Walaupun diakui oleh ayahnya, tetap saja nasab itu melekat pada ibunya. Demikian pula jika si ayah biologis meni</w:t>
      </w:r>
      <w:r w:rsidRPr="00910CE3">
        <w:rPr>
          <w:rFonts w:asciiTheme="majorBidi" w:eastAsia="Garamond" w:hAnsiTheme="majorBidi" w:cstheme="majorBidi"/>
          <w:sz w:val="24"/>
          <w:szCs w:val="24"/>
        </w:rPr>
        <w:softHyphen/>
        <w:t>kahi ibunya, tidak otomatis anak zina yang lahir sebelurn pernikahan menjadi anak sah melalui pengakuan.</w:t>
      </w:r>
    </w:p>
    <w:p w:rsidR="00343B61" w:rsidRPr="00910CE3" w:rsidRDefault="00343B61" w:rsidP="002C0A33">
      <w:pPr>
        <w:numPr>
          <w:ilvl w:val="0"/>
          <w:numId w:val="26"/>
        </w:numPr>
        <w:tabs>
          <w:tab w:val="left" w:pos="540"/>
          <w:tab w:val="left" w:pos="993"/>
        </w:tabs>
        <w:spacing w:after="0" w:line="360" w:lineRule="auto"/>
        <w:ind w:left="540" w:hanging="45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Pasal 62 tentang Pengangkatan anak, terutama poin 1, 8, dan 9.</w:t>
      </w:r>
    </w:p>
    <w:p w:rsidR="00343B61" w:rsidRPr="00910CE3" w:rsidRDefault="00343B61" w:rsidP="002C0A33">
      <w:pPr>
        <w:numPr>
          <w:ilvl w:val="0"/>
          <w:numId w:val="30"/>
        </w:numPr>
        <w:tabs>
          <w:tab w:val="left" w:pos="1134"/>
        </w:tabs>
        <w:spacing w:after="0" w:line="360" w:lineRule="auto"/>
        <w:ind w:left="90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Suami isteri bersama-sama dapat mengangkat seorang anak atau lebih.</w:t>
      </w:r>
    </w:p>
    <w:p w:rsidR="00343B61" w:rsidRPr="00910CE3" w:rsidRDefault="00343B61" w:rsidP="002C0A33">
      <w:pPr>
        <w:numPr>
          <w:ilvl w:val="0"/>
          <w:numId w:val="30"/>
        </w:numPr>
        <w:tabs>
          <w:tab w:val="left" w:pos="1134"/>
        </w:tabs>
        <w:spacing w:after="0" w:line="360" w:lineRule="auto"/>
        <w:ind w:left="90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Anak yang diangkat mempunyai kedudukan hukum yang sama seperti anak yang sah dari suami isteri yang mengangkatnya.</w:t>
      </w:r>
    </w:p>
    <w:p w:rsidR="00343B61" w:rsidRPr="00910CE3" w:rsidRDefault="00343B61" w:rsidP="002C0A33">
      <w:pPr>
        <w:numPr>
          <w:ilvl w:val="0"/>
          <w:numId w:val="30"/>
        </w:numPr>
        <w:spacing w:after="0" w:line="360" w:lineRule="auto"/>
        <w:ind w:left="90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Pengangkatan anak mengakibatkan putusnya hubungan keluarga antara anak yang diangkat dengan keluarga sedarah dan semenda garis ke atas dan ke samping.</w:t>
      </w:r>
    </w:p>
    <w:p w:rsidR="00343B61" w:rsidRPr="00910CE3" w:rsidRDefault="00343B61" w:rsidP="002C0A33">
      <w:pPr>
        <w:numPr>
          <w:ilvl w:val="0"/>
          <w:numId w:val="30"/>
        </w:numPr>
        <w:spacing w:after="0" w:line="360" w:lineRule="auto"/>
        <w:ind w:left="90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Pengangkatan anak dapat dicabut kembali oleh pengadilan atas permohonan anak yang diangkat demi kepentingannya. Permohonan pencabutan diajukan secepat-cepatnya 2 (dua) tahun dan selambat-</w:t>
      </w:r>
      <w:r w:rsidRPr="00910CE3">
        <w:rPr>
          <w:rFonts w:asciiTheme="majorBidi" w:eastAsia="Garamond" w:hAnsiTheme="majorBidi" w:cstheme="majorBidi"/>
          <w:sz w:val="24"/>
          <w:szCs w:val="24"/>
        </w:rPr>
        <w:softHyphen/>
        <w:t>lambatnya 3 (tiga) tahun setelah anak itu berumur 18 (delapan belas) tahun.</w:t>
      </w:r>
    </w:p>
    <w:p w:rsidR="00343B61" w:rsidRPr="00910CE3" w:rsidRDefault="00343B61" w:rsidP="002C0A33">
      <w:pPr>
        <w:numPr>
          <w:ilvl w:val="0"/>
          <w:numId w:val="30"/>
        </w:numPr>
        <w:spacing w:after="0" w:line="360" w:lineRule="auto"/>
        <w:ind w:left="900"/>
        <w:jc w:val="both"/>
        <w:textAlignment w:val="baseline"/>
        <w:rPr>
          <w:rFonts w:asciiTheme="majorBidi" w:eastAsia="Garamond" w:hAnsiTheme="majorBidi" w:cstheme="majorBidi"/>
          <w:spacing w:val="-4"/>
          <w:sz w:val="24"/>
          <w:szCs w:val="24"/>
        </w:rPr>
      </w:pPr>
      <w:r w:rsidRPr="00910CE3">
        <w:rPr>
          <w:rFonts w:asciiTheme="majorBidi" w:eastAsia="Garamond" w:hAnsiTheme="majorBidi" w:cstheme="majorBidi"/>
          <w:spacing w:val="-4"/>
          <w:sz w:val="24"/>
          <w:szCs w:val="24"/>
        </w:rPr>
        <w:t>Pencabutan ini mengakibatkan bahwa anak tersebut tidak lagi mempunyai kedudukan hukum sebagai anak sah dari suami dan isteri yang mengangkatnya.</w:t>
      </w:r>
    </w:p>
    <w:p w:rsidR="00343B61" w:rsidRPr="00910CE3" w:rsidRDefault="00343B61" w:rsidP="002C0A33">
      <w:pPr>
        <w:numPr>
          <w:ilvl w:val="0"/>
          <w:numId w:val="30"/>
        </w:numPr>
        <w:spacing w:after="0" w:line="360" w:lineRule="auto"/>
        <w:ind w:left="900"/>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pacing w:val="-3"/>
          <w:sz w:val="24"/>
          <w:szCs w:val="24"/>
        </w:rPr>
        <w:t xml:space="preserve">Hubungan keluarga yang putus karena pengangkatan yang dimaksud ayat (9) pasal ini hidup kembali karena pencabutan itu. Dalam ajaran Islam pengangkatan seorang anak adalah perbuatan baik, tetapi sama sekali tidak mempunyai akibat hukum, baik dalam hal waris mewarisi, mahrom, hak wali dan tidak juga menjadi penghalang perkawinan bagi orang </w:t>
      </w:r>
      <w:r w:rsidRPr="00910CE3">
        <w:rPr>
          <w:rFonts w:asciiTheme="majorBidi" w:eastAsia="Garamond" w:hAnsiTheme="majorBidi" w:cstheme="majorBidi"/>
          <w:spacing w:val="-2"/>
          <w:sz w:val="24"/>
          <w:szCs w:val="24"/>
        </w:rPr>
        <w:t>tua dan saudara angkatnya. Ia tetap mempunyai hubungan darah dengan saudara-</w:t>
      </w:r>
      <w:r w:rsidRPr="00910CE3">
        <w:rPr>
          <w:rFonts w:asciiTheme="majorBidi" w:eastAsia="Garamond" w:hAnsiTheme="majorBidi" w:cstheme="majorBidi"/>
          <w:spacing w:val="-2"/>
          <w:sz w:val="24"/>
          <w:szCs w:val="24"/>
        </w:rPr>
        <w:lastRenderedPageBreak/>
        <w:t>saudaranya. Memutuskan hubungan darah antara anak dengan ibu/bapak kandungnya adalah perbuatan durhaka dan dosa besar.</w:t>
      </w:r>
      <w:r w:rsidRPr="00910CE3">
        <w:rPr>
          <w:rStyle w:val="FootnoteReference"/>
          <w:rFonts w:asciiTheme="majorBidi" w:eastAsia="Garamond" w:hAnsiTheme="majorBidi" w:cstheme="majorBidi"/>
          <w:spacing w:val="-2"/>
          <w:sz w:val="24"/>
          <w:szCs w:val="24"/>
        </w:rPr>
        <w:footnoteReference w:id="384"/>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Penolakan terhadap rancangan Undang-undang perkawinan yang dianggap tidak sesuai dengan hukum Islam ini juga muncul di lembaga legislatif, dimana anggota DPR dari kubu Islam hanya berjumlah 94 orang, yaitu dari Fraksi Persatuan, namun mereka sangat keras menyuarakan penentangan terhadap RUU tersebut karena dinilai bertentangan dengan fiqh Islam.</w:t>
      </w:r>
      <w:r w:rsidRPr="00910CE3">
        <w:rPr>
          <w:rStyle w:val="FootnoteReference"/>
          <w:rFonts w:ascii="Times New Roman" w:hAnsi="Times New Roman" w:cs="Times New Roman"/>
          <w:sz w:val="24"/>
          <w:szCs w:val="24"/>
        </w:rPr>
        <w:footnoteReference w:id="385"/>
      </w:r>
      <w:r w:rsidRPr="00910CE3">
        <w:rPr>
          <w:rFonts w:ascii="Times New Roman" w:hAnsi="Times New Roman" w:cs="Times New Roman"/>
          <w:sz w:val="16"/>
          <w:szCs w:val="16"/>
        </w:rPr>
        <w:t xml:space="preserve"> </w:t>
      </w:r>
      <w:r w:rsidRPr="00910CE3">
        <w:rPr>
          <w:rFonts w:ascii="Times New Roman" w:hAnsi="Times New Roman" w:cs="Times New Roman"/>
          <w:sz w:val="24"/>
          <w:szCs w:val="24"/>
        </w:rPr>
        <w:t>Sedangkan anggota DPR dari Fraksi Golkar berjumlah 261 orang, ABRI 75 orang dan Partai Demokrasi Indonesia (PDI) 30 orang,</w:t>
      </w:r>
      <w:r w:rsidRPr="00910CE3">
        <w:rPr>
          <w:rStyle w:val="FootnoteReference"/>
          <w:rFonts w:ascii="Times New Roman" w:hAnsi="Times New Roman" w:cs="Times New Roman"/>
          <w:sz w:val="24"/>
          <w:szCs w:val="24"/>
        </w:rPr>
        <w:footnoteReference w:id="386"/>
      </w:r>
      <w:r w:rsidRPr="00910CE3">
        <w:rPr>
          <w:rFonts w:ascii="Times New Roman" w:hAnsi="Times New Roman" w:cs="Times New Roman"/>
          <w:sz w:val="24"/>
          <w:szCs w:val="24"/>
        </w:rPr>
        <w:t xml:space="preserve"> sebagai kubu yang mendukung ide pemerintah untuk menciptakan univikasi dan kodifikasi hukum sebagai pedoman dan rujukan bagi seluruh warga Indonesia.</w:t>
      </w:r>
    </w:p>
    <w:p w:rsidR="00343B61" w:rsidRPr="00910CE3" w:rsidRDefault="00343B61" w:rsidP="00343B61">
      <w:pPr>
        <w:pStyle w:val="ListParagraph"/>
        <w:tabs>
          <w:tab w:val="left" w:pos="1843"/>
        </w:tabs>
        <w:spacing w:line="360" w:lineRule="auto"/>
        <w:ind w:left="0" w:firstLine="810"/>
        <w:jc w:val="both"/>
        <w:rPr>
          <w:rFonts w:ascii="Times New Roman" w:hAnsi="Times New Roman" w:cs="Times New Roman"/>
          <w:sz w:val="24"/>
          <w:szCs w:val="24"/>
        </w:rPr>
      </w:pPr>
      <w:r w:rsidRPr="00910CE3">
        <w:rPr>
          <w:rFonts w:ascii="Times New Roman" w:hAnsi="Times New Roman" w:cs="Times New Roman"/>
          <w:sz w:val="24"/>
          <w:szCs w:val="24"/>
        </w:rPr>
        <w:t>Walaupun anggota DPR yang melakukan penolakan terhadap RUU perkawinan tersebut hanya berjumlah 94 orang, yakni hanya dari Fraksi Persatuan, tetapi mereka didukung oleh mayoritas lapisan masyarakat Islam terutama dari kalangan ulama, mahasiswa dan pelajar.</w:t>
      </w:r>
      <w:r w:rsidRPr="00910CE3">
        <w:rPr>
          <w:rStyle w:val="FootnoteReference"/>
          <w:rFonts w:ascii="Times New Roman" w:hAnsi="Times New Roman" w:cs="Times New Roman"/>
          <w:sz w:val="24"/>
          <w:szCs w:val="24"/>
        </w:rPr>
        <w:footnoteReference w:id="387"/>
      </w:r>
      <w:r w:rsidRPr="00910CE3">
        <w:rPr>
          <w:rFonts w:ascii="Times New Roman" w:hAnsi="Times New Roman" w:cs="Times New Roman"/>
          <w:sz w:val="24"/>
          <w:szCs w:val="24"/>
        </w:rPr>
        <w:t xml:space="preserve">Adapun ulama yang menentang keras antara lain adalah Hamka, Yusuf Hasyim dan Bisri Sjamsuri, Protes itu melalui </w:t>
      </w:r>
      <w:r w:rsidRPr="00910CE3">
        <w:rPr>
          <w:rFonts w:ascii="Times New Roman" w:hAnsi="Times New Roman" w:cs="Times New Roman"/>
          <w:sz w:val="24"/>
          <w:szCs w:val="24"/>
        </w:rPr>
        <w:lastRenderedPageBreak/>
        <w:t xml:space="preserve">media massa, mimbar-mimbar dan aksi turun ke jalan, hingga mencapai antiklimaksnya, yakni dengan terjadinya peristiwa Sya’ban 1973 yang cukup memanaskan atmosfir perpolitikan Indonesia pada waktu itu dengan didudukinya gedung DPR/MPR oleh masa umat Islam beberapa jam. Pada hal waktu itu sedang di gelar sidang DPR. Massa merangsek ke dalam gedung, bukan saja duduk di balkon yang disediakan untuk pengunjung, tetapi membludak hingga ke ruang sidang, bahkan massa menduduki tempat duduk para anggota legislatif. Masa sudah tidak dapat dikendalikan dan mengacaukan persidangan. Akhirnya para anggota legislatif meninggalkan sidang. Di dalam gedung DPR massa melakukan orasi-orasi, bahkan salah seorang tokoh mahasiswa yang memobilisasi massa dan melakukan demo serta orasi adalah Zulkarnaen Djabbar. Zulkarnaen menurut hasil wawancara pribadi Yayan Sopyan dengan Kafrawi Ridwan, bukan saja berdemo tapi naik ke atas meja sidang dan mengibar-ngibarkan bendera. </w:t>
      </w:r>
      <w:r w:rsidRPr="00910CE3">
        <w:rPr>
          <w:rStyle w:val="FootnoteReference"/>
          <w:rFonts w:ascii="Times New Roman" w:hAnsi="Times New Roman" w:cs="Times New Roman"/>
          <w:sz w:val="24"/>
          <w:szCs w:val="24"/>
        </w:rPr>
        <w:footnoteReference w:id="388"/>
      </w:r>
    </w:p>
    <w:p w:rsidR="00343B61" w:rsidRPr="00910CE3" w:rsidRDefault="00343B61" w:rsidP="00343B61">
      <w:pPr>
        <w:autoSpaceDE w:val="0"/>
        <w:autoSpaceDN w:val="0"/>
        <w:adjustRightInd w:val="0"/>
        <w:spacing w:after="0" w:line="360" w:lineRule="auto"/>
        <w:rPr>
          <w:rFonts w:ascii="Times New Roman" w:hAnsi="Times New Roman" w:cs="Times New Roman"/>
          <w:sz w:val="24"/>
          <w:szCs w:val="24"/>
        </w:rPr>
      </w:pPr>
      <w:r w:rsidRPr="00910CE3">
        <w:rPr>
          <w:rFonts w:ascii="Times New Roman" w:hAnsi="Times New Roman" w:cs="Times New Roman"/>
          <w:i/>
          <w:iCs/>
          <w:sz w:val="24"/>
          <w:szCs w:val="24"/>
        </w:rPr>
        <w:t>Kedua</w:t>
      </w:r>
      <w:r w:rsidRPr="00910CE3">
        <w:rPr>
          <w:rFonts w:ascii="Times New Roman" w:hAnsi="Times New Roman" w:cs="Times New Roman"/>
          <w:sz w:val="24"/>
          <w:szCs w:val="24"/>
        </w:rPr>
        <w:t>, Kelompok Perempuan :</w:t>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Sejak tahun 1928 karena perempuan telah mulai berusaha dan mengupayakan agar ada Undang-Undang Perkawinan yang berpihak pada kepentingan-kepentingan perempuan seperti masalah kesetaraan gender, hak-hak reproduksi perempuan, keadilan terhadap perempuan dalam perkawinan, kawin liar dan pencegahan terhadap kawin paksa. Mereka beranggapan bahwa fiqh yang diaplikasikan selama ini di masyarakat Islam bersifat diskriminasi dan merugikan kaum perempuan. Tokoh-tokoh perempuan dari kelompok perempuan ini antara lain Maria Ulfa Subadio, SH, Nani Suwondo dan dr. Tetty Noor dan Nelly Adam Malik.</w:t>
      </w:r>
      <w:r w:rsidRPr="00910CE3">
        <w:rPr>
          <w:rStyle w:val="FootnoteReference"/>
          <w:rFonts w:ascii="Times New Roman" w:hAnsi="Times New Roman" w:cs="Times New Roman"/>
          <w:sz w:val="24"/>
          <w:szCs w:val="24"/>
        </w:rPr>
        <w:footnoteReference w:id="389"/>
      </w:r>
    </w:p>
    <w:p w:rsidR="00343B61" w:rsidRPr="00910CE3" w:rsidRDefault="00343B61" w:rsidP="00343B61">
      <w:pPr>
        <w:pStyle w:val="ListParagraph"/>
        <w:spacing w:line="360" w:lineRule="auto"/>
        <w:ind w:left="0" w:firstLine="720"/>
        <w:jc w:val="both"/>
        <w:rPr>
          <w:rFonts w:asciiTheme="majorBidi" w:eastAsia="Garamond" w:hAnsiTheme="majorBidi" w:cstheme="majorBidi"/>
          <w:sz w:val="24"/>
          <w:szCs w:val="24"/>
        </w:rPr>
      </w:pPr>
      <w:r w:rsidRPr="00910CE3">
        <w:rPr>
          <w:rFonts w:asciiTheme="majorBidi" w:eastAsia="Garamond" w:hAnsiTheme="majorBidi" w:cstheme="majorBidi"/>
          <w:sz w:val="24"/>
          <w:szCs w:val="24"/>
        </w:rPr>
        <w:t>Di</w:t>
      </w:r>
      <w:r>
        <w:rPr>
          <w:rFonts w:asciiTheme="majorBidi" w:eastAsia="Garamond" w:hAnsiTheme="majorBidi" w:cstheme="majorBidi"/>
          <w:sz w:val="24"/>
          <w:szCs w:val="24"/>
        </w:rPr>
        <w:t xml:space="preserve"> </w:t>
      </w:r>
      <w:r w:rsidRPr="00910CE3">
        <w:rPr>
          <w:rFonts w:asciiTheme="majorBidi" w:eastAsia="Garamond" w:hAnsiTheme="majorBidi" w:cstheme="majorBidi"/>
          <w:sz w:val="24"/>
          <w:szCs w:val="24"/>
        </w:rPr>
        <w:t xml:space="preserve">antara kritik tersebut misalnya dapat dicatat pandangan Asmah Sjahroni, seorang tokoh perempuan yang duduk di parlemen, tepatnya wakil fraksi persatuan pembangunan (FPP), yang menyebut RUU tersebut menjadi indikasi </w:t>
      </w:r>
      <w:r w:rsidRPr="00910CE3">
        <w:rPr>
          <w:rFonts w:asciiTheme="majorBidi" w:eastAsia="Garamond" w:hAnsiTheme="majorBidi" w:cstheme="majorBidi"/>
          <w:sz w:val="24"/>
          <w:szCs w:val="24"/>
        </w:rPr>
        <w:lastRenderedPageBreak/>
        <w:t>pencabutan Hukum Perkawinan Adat dan Hukum Perkawinan Islam, yang dianut oleh kebanyakan masyarakat Indonesia. Dalam ungkapannya sendiri:</w:t>
      </w:r>
    </w:p>
    <w:p w:rsidR="00343B61" w:rsidRPr="00910CE3" w:rsidRDefault="00343B61" w:rsidP="00343B61">
      <w:pPr>
        <w:pStyle w:val="ListParagraph"/>
        <w:spacing w:line="240" w:lineRule="auto"/>
        <w:jc w:val="both"/>
        <w:rPr>
          <w:rFonts w:asciiTheme="majorBidi" w:eastAsia="Garamond" w:hAnsiTheme="majorBidi" w:cstheme="majorBidi"/>
          <w:spacing w:val="-7"/>
          <w:sz w:val="24"/>
          <w:szCs w:val="24"/>
        </w:rPr>
      </w:pPr>
      <w:r w:rsidRPr="00910CE3">
        <w:rPr>
          <w:rFonts w:asciiTheme="majorBidi" w:eastAsia="Garamond" w:hAnsiTheme="majorBidi" w:cstheme="majorBidi"/>
          <w:spacing w:val="-6"/>
          <w:sz w:val="24"/>
          <w:szCs w:val="24"/>
        </w:rPr>
        <w:t>“</w:t>
      </w:r>
      <w:r w:rsidRPr="00910CE3">
        <w:rPr>
          <w:rFonts w:asciiTheme="majorBidi" w:eastAsia="Garamond" w:hAnsiTheme="majorBidi" w:cstheme="majorBidi"/>
          <w:i/>
          <w:iCs/>
          <w:spacing w:val="-6"/>
          <w:sz w:val="24"/>
          <w:szCs w:val="24"/>
        </w:rPr>
        <w:t xml:space="preserve">Demikianlah kami berkesimpulan RUU perkawinan ini telah mengambil alih atau meresipiir BW dart HOCI, yang hanya berlaku untuk golongan </w:t>
      </w:r>
      <w:r>
        <w:rPr>
          <w:rFonts w:asciiTheme="majorBidi" w:eastAsia="Garamond" w:hAnsiTheme="majorBidi" w:cstheme="majorBidi"/>
          <w:i/>
          <w:iCs/>
          <w:spacing w:val="-2"/>
          <w:sz w:val="24"/>
          <w:szCs w:val="24"/>
        </w:rPr>
        <w:t>Eropa dan Tim</w:t>
      </w:r>
      <w:r w:rsidRPr="00910CE3">
        <w:rPr>
          <w:rFonts w:asciiTheme="majorBidi" w:eastAsia="Garamond" w:hAnsiTheme="majorBidi" w:cstheme="majorBidi"/>
          <w:i/>
          <w:iCs/>
          <w:spacing w:val="-2"/>
          <w:sz w:val="24"/>
          <w:szCs w:val="24"/>
        </w:rPr>
        <w:t>ur As</w:t>
      </w:r>
      <w:r>
        <w:rPr>
          <w:rFonts w:asciiTheme="majorBidi" w:eastAsia="Garamond" w:hAnsiTheme="majorBidi" w:cstheme="majorBidi"/>
          <w:i/>
          <w:iCs/>
          <w:spacing w:val="-2"/>
          <w:sz w:val="24"/>
          <w:szCs w:val="24"/>
        </w:rPr>
        <w:t>ing dan orang Kristen Indonesia</w:t>
      </w:r>
      <w:r w:rsidRPr="00910CE3">
        <w:rPr>
          <w:rFonts w:asciiTheme="majorBidi" w:eastAsia="Garamond" w:hAnsiTheme="majorBidi" w:cstheme="majorBidi"/>
          <w:i/>
          <w:iCs/>
          <w:spacing w:val="-2"/>
          <w:sz w:val="24"/>
          <w:szCs w:val="24"/>
        </w:rPr>
        <w:t xml:space="preserve"> saja. Sebaliknya </w:t>
      </w:r>
      <w:r w:rsidRPr="00910CE3">
        <w:rPr>
          <w:rFonts w:asciiTheme="majorBidi" w:eastAsia="Garamond" w:hAnsiTheme="majorBidi" w:cstheme="majorBidi"/>
          <w:i/>
          <w:iCs/>
          <w:sz w:val="24"/>
          <w:szCs w:val="24"/>
        </w:rPr>
        <w:t>Hukum Perkawinan Adat dan Hukum Perkawinan Islam yang dianut dan dilakukan oleh sebagian terbesar rakyat Indonesia dikeluarkan begitu saja</w:t>
      </w:r>
      <w:r w:rsidRPr="00910CE3">
        <w:rPr>
          <w:rFonts w:asciiTheme="majorBidi" w:eastAsia="Garamond" w:hAnsiTheme="majorBidi" w:cstheme="majorBidi"/>
          <w:sz w:val="24"/>
          <w:szCs w:val="24"/>
        </w:rPr>
        <w:t>”.</w:t>
      </w:r>
      <w:r w:rsidRPr="00910CE3">
        <w:rPr>
          <w:rStyle w:val="FootnoteReference"/>
          <w:rFonts w:asciiTheme="majorBidi" w:eastAsia="Garamond" w:hAnsiTheme="majorBidi" w:cstheme="majorBidi"/>
          <w:sz w:val="24"/>
          <w:szCs w:val="24"/>
        </w:rPr>
        <w:footnoteReference w:id="390"/>
      </w:r>
    </w:p>
    <w:p w:rsidR="00343B61" w:rsidRPr="00910CE3" w:rsidRDefault="00343B61" w:rsidP="00343B61">
      <w:pPr>
        <w:autoSpaceDE w:val="0"/>
        <w:autoSpaceDN w:val="0"/>
        <w:adjustRightInd w:val="0"/>
        <w:spacing w:after="0" w:line="360" w:lineRule="auto"/>
        <w:rPr>
          <w:rFonts w:ascii="Times New Roman" w:hAnsi="Times New Roman" w:cs="Times New Roman"/>
          <w:sz w:val="24"/>
          <w:szCs w:val="24"/>
        </w:rPr>
      </w:pPr>
      <w:r w:rsidRPr="00910CE3">
        <w:rPr>
          <w:rFonts w:ascii="Times New Roman" w:hAnsi="Times New Roman" w:cs="Times New Roman"/>
          <w:i/>
          <w:iCs/>
          <w:sz w:val="24"/>
          <w:szCs w:val="24"/>
        </w:rPr>
        <w:t>Ketiga</w:t>
      </w:r>
      <w:r w:rsidRPr="00910CE3">
        <w:rPr>
          <w:rFonts w:ascii="Times New Roman" w:hAnsi="Times New Roman" w:cs="Times New Roman"/>
          <w:sz w:val="24"/>
          <w:szCs w:val="24"/>
        </w:rPr>
        <w:t>, Kelompok Pemerintah :</w:t>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Kelompok ini didukung oleh mayoritas anggota DPR, yang terdiri dari Golkar yang tokohnya antara lain adalah Prof. Sunandar, Sukowati dan dari Partai Demokrasi Indonesia (PDI) yang tokohnya adalah Drs. Gregorins Soegiarto serta Fraksi dari ABRI. Kelompok ini memperjuangkan agar tercipta univikasi dan kodifikasi hukum, yang diharapkan dengannya akan lahir Undang-Undang yang bisa dijadikan pedoman dan rujukan bagi seluruh warga Indonesia.</w:t>
      </w:r>
      <w:r w:rsidRPr="00910CE3">
        <w:rPr>
          <w:rStyle w:val="FootnoteReference"/>
          <w:rFonts w:ascii="Times New Roman" w:hAnsi="Times New Roman" w:cs="Times New Roman"/>
          <w:sz w:val="24"/>
          <w:szCs w:val="24"/>
        </w:rPr>
        <w:footnoteReference w:id="391"/>
      </w:r>
      <w:r w:rsidRPr="00910CE3">
        <w:rPr>
          <w:rFonts w:ascii="Times New Roman" w:hAnsi="Times New Roman" w:cs="Times New Roman"/>
          <w:sz w:val="24"/>
          <w:szCs w:val="24"/>
        </w:rPr>
        <w:t xml:space="preserve"> Idiologi yang dibawa oleh kelompok pemerintah ini adalah ideology sekuler, karena pembuat draft RUU Perkawinan tersebut adalah Departemen Kehakiman yang mayoritas dari mereka itu adalah sarjana hukum yang berpendidikan Belanda.</w:t>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Melihat adanya pro kontra terhadap RUU perkawinan tersebut, terutama dari masyarakat yang mayoritas beragama Islam dan pemerintah tidak ingin ada kekacauan di kalangan masyarakat, akhirnya konsep RUU Perkawinan yang digodok di DPR itu, atas perintah Presiden, disesuaikan dengan tuntunan umat Islam. Melalui lobying-lobying antara tokoh-tokoh Islam dengan pemerintah, akhirnya RUU tersebut diterima oleh kalangan Islam dengan mencoret pasal-pasal yang bertentangan dengan ajaran Islam.</w:t>
      </w:r>
      <w:r w:rsidRPr="00910CE3">
        <w:rPr>
          <w:rStyle w:val="FootnoteReference"/>
          <w:rFonts w:ascii="Times New Roman" w:hAnsi="Times New Roman" w:cs="Times New Roman"/>
          <w:sz w:val="24"/>
          <w:szCs w:val="24"/>
        </w:rPr>
        <w:footnoteReference w:id="392"/>
      </w:r>
      <w:r w:rsidRPr="00910CE3">
        <w:rPr>
          <w:rFonts w:ascii="Times New Roman" w:hAnsi="Times New Roman" w:cs="Times New Roman"/>
          <w:sz w:val="16"/>
          <w:szCs w:val="16"/>
        </w:rPr>
        <w:t xml:space="preserve"> </w:t>
      </w:r>
    </w:p>
    <w:p w:rsidR="00343B61" w:rsidRPr="00910CE3" w:rsidRDefault="00343B61" w:rsidP="00343B61">
      <w:pPr>
        <w:autoSpaceDE w:val="0"/>
        <w:autoSpaceDN w:val="0"/>
        <w:adjustRightInd w:val="0"/>
        <w:spacing w:after="0" w:line="360" w:lineRule="auto"/>
        <w:jc w:val="both"/>
        <w:rPr>
          <w:rFonts w:ascii="Times New Roman" w:hAnsi="Times New Roman" w:cs="Times New Roman"/>
          <w:sz w:val="24"/>
          <w:szCs w:val="24"/>
        </w:rPr>
      </w:pPr>
      <w:r w:rsidRPr="00910CE3">
        <w:rPr>
          <w:rFonts w:ascii="Times New Roman" w:hAnsi="Times New Roman" w:cs="Times New Roman"/>
          <w:sz w:val="16"/>
          <w:szCs w:val="16"/>
        </w:rPr>
        <w:lastRenderedPageBreak/>
        <w:t xml:space="preserve"> </w:t>
      </w:r>
      <w:r w:rsidRPr="00910CE3">
        <w:rPr>
          <w:rFonts w:ascii="Times New Roman" w:hAnsi="Times New Roman" w:cs="Times New Roman"/>
          <w:sz w:val="16"/>
          <w:szCs w:val="16"/>
        </w:rPr>
        <w:tab/>
      </w:r>
      <w:r w:rsidRPr="00910CE3">
        <w:rPr>
          <w:rFonts w:ascii="Times New Roman" w:hAnsi="Times New Roman" w:cs="Times New Roman"/>
          <w:sz w:val="24"/>
          <w:szCs w:val="24"/>
        </w:rPr>
        <w:t xml:space="preserve">Di sini nampak jelas bagaimana upaya PPP untuk mempertahankan eksistensi hukum Islam, dengan melakukan lobying-lobying terhadap Fraksi di DPR, yang ahirnya tercapai kesepakatan antara Fraksi PPP dengan Fraksi ABRI yang isinya </w:t>
      </w:r>
      <w:r w:rsidRPr="00910CE3">
        <w:rPr>
          <w:rStyle w:val="FootnoteReference"/>
          <w:rFonts w:ascii="Times New Roman" w:hAnsi="Times New Roman" w:cs="Times New Roman"/>
          <w:sz w:val="24"/>
          <w:szCs w:val="24"/>
        </w:rPr>
        <w:footnoteReference w:id="393"/>
      </w:r>
      <w:r w:rsidRPr="00910CE3">
        <w:rPr>
          <w:rFonts w:ascii="Times New Roman" w:hAnsi="Times New Roman" w:cs="Times New Roman"/>
          <w:sz w:val="16"/>
          <w:szCs w:val="16"/>
        </w:rPr>
        <w:t xml:space="preserve">  : </w:t>
      </w:r>
    </w:p>
    <w:p w:rsidR="00343B61" w:rsidRPr="00910CE3" w:rsidRDefault="00343B61" w:rsidP="00343B61">
      <w:pPr>
        <w:autoSpaceDE w:val="0"/>
        <w:autoSpaceDN w:val="0"/>
        <w:adjustRightInd w:val="0"/>
        <w:spacing w:after="0" w:line="360" w:lineRule="auto"/>
        <w:ind w:left="630" w:hanging="270"/>
        <w:jc w:val="both"/>
        <w:rPr>
          <w:rFonts w:ascii="Times New Roman" w:hAnsi="Times New Roman" w:cs="Times New Roman"/>
          <w:sz w:val="24"/>
          <w:szCs w:val="24"/>
        </w:rPr>
      </w:pPr>
      <w:r w:rsidRPr="00910CE3">
        <w:rPr>
          <w:rFonts w:ascii="Times New Roman" w:hAnsi="Times New Roman" w:cs="Times New Roman"/>
          <w:sz w:val="24"/>
          <w:szCs w:val="24"/>
        </w:rPr>
        <w:t>1) Hukum Agama Islam dalam perkawinan tidak akan dikurangi, atau diubah.</w:t>
      </w:r>
    </w:p>
    <w:p w:rsidR="00343B61" w:rsidRPr="00910CE3" w:rsidRDefault="00343B61" w:rsidP="00343B61">
      <w:pPr>
        <w:autoSpaceDE w:val="0"/>
        <w:autoSpaceDN w:val="0"/>
        <w:adjustRightInd w:val="0"/>
        <w:spacing w:after="0" w:line="360" w:lineRule="auto"/>
        <w:ind w:left="630" w:hanging="270"/>
        <w:jc w:val="both"/>
        <w:rPr>
          <w:rFonts w:ascii="Times New Roman" w:hAnsi="Times New Roman" w:cs="Times New Roman"/>
          <w:sz w:val="24"/>
          <w:szCs w:val="24"/>
        </w:rPr>
      </w:pPr>
      <w:r w:rsidRPr="00910CE3">
        <w:rPr>
          <w:rFonts w:ascii="Times New Roman" w:hAnsi="Times New Roman" w:cs="Times New Roman"/>
          <w:sz w:val="24"/>
          <w:szCs w:val="24"/>
        </w:rPr>
        <w:t>2) Sebagai konsekuensi dari pada poin 1, maka alat-alat pelaksanaannya tidak akan dikurangi atau diubah. Tegasnya UU No. 22 Tahun 1946 dan UU No. 14 Tahun 1970 dijamin kelangsungannya.</w:t>
      </w:r>
    </w:p>
    <w:p w:rsidR="00343B61" w:rsidRPr="00910CE3" w:rsidRDefault="00343B61" w:rsidP="00343B61">
      <w:pPr>
        <w:autoSpaceDE w:val="0"/>
        <w:autoSpaceDN w:val="0"/>
        <w:adjustRightInd w:val="0"/>
        <w:spacing w:after="0" w:line="360" w:lineRule="auto"/>
        <w:ind w:left="630" w:hanging="270"/>
        <w:jc w:val="both"/>
        <w:rPr>
          <w:rFonts w:ascii="Times New Roman" w:hAnsi="Times New Roman" w:cs="Times New Roman"/>
          <w:sz w:val="24"/>
          <w:szCs w:val="24"/>
        </w:rPr>
      </w:pPr>
      <w:r w:rsidRPr="00910CE3">
        <w:rPr>
          <w:rFonts w:ascii="Times New Roman" w:hAnsi="Times New Roman" w:cs="Times New Roman"/>
          <w:sz w:val="24"/>
          <w:szCs w:val="24"/>
        </w:rPr>
        <w:t>3) Hal-hal yang bertentangan dengan agama Islam dan tidak mungkin disesuaikan dengan undang-undang ini, dihilangkan (didrop).</w:t>
      </w:r>
    </w:p>
    <w:p w:rsidR="00343B61" w:rsidRPr="00910CE3" w:rsidRDefault="00343B61" w:rsidP="00343B61">
      <w:pPr>
        <w:autoSpaceDE w:val="0"/>
        <w:autoSpaceDN w:val="0"/>
        <w:adjustRightInd w:val="0"/>
        <w:spacing w:after="0" w:line="360" w:lineRule="auto"/>
        <w:ind w:left="630" w:hanging="270"/>
        <w:jc w:val="both"/>
        <w:rPr>
          <w:rFonts w:ascii="Times New Roman" w:hAnsi="Times New Roman" w:cs="Times New Roman"/>
          <w:sz w:val="24"/>
          <w:szCs w:val="24"/>
        </w:rPr>
      </w:pPr>
      <w:r w:rsidRPr="00910CE3">
        <w:rPr>
          <w:rFonts w:ascii="Times New Roman" w:hAnsi="Times New Roman" w:cs="Times New Roman"/>
          <w:sz w:val="24"/>
          <w:szCs w:val="24"/>
        </w:rPr>
        <w:t>4) Pasal 2 ayat (1) dari rancangan Undang-Undang ini disetujui untuk dirumuskan sebagai berikut :</w:t>
      </w:r>
    </w:p>
    <w:p w:rsidR="00343B61" w:rsidRPr="00910CE3" w:rsidRDefault="00343B61" w:rsidP="00343B61">
      <w:pPr>
        <w:autoSpaceDE w:val="0"/>
        <w:autoSpaceDN w:val="0"/>
        <w:adjustRightInd w:val="0"/>
        <w:spacing w:after="0" w:line="360" w:lineRule="auto"/>
        <w:ind w:left="1080" w:hanging="360"/>
        <w:jc w:val="both"/>
        <w:rPr>
          <w:rFonts w:ascii="Times New Roman" w:hAnsi="Times New Roman" w:cs="Times New Roman"/>
          <w:sz w:val="24"/>
          <w:szCs w:val="24"/>
        </w:rPr>
      </w:pPr>
      <w:r w:rsidRPr="00910CE3">
        <w:rPr>
          <w:rFonts w:ascii="Times New Roman" w:hAnsi="Times New Roman" w:cs="Times New Roman"/>
          <w:sz w:val="24"/>
          <w:szCs w:val="24"/>
        </w:rPr>
        <w:t>a) Ayat (1) : Perkawinan adalah sah apabila dilakukan menurut hukum masing-masing agamanya dan kepercayaannya itu.</w:t>
      </w:r>
    </w:p>
    <w:p w:rsidR="00343B61" w:rsidRPr="00910CE3" w:rsidRDefault="00343B61" w:rsidP="00343B61">
      <w:pPr>
        <w:pStyle w:val="ListParagraph"/>
        <w:tabs>
          <w:tab w:val="left" w:pos="1843"/>
        </w:tabs>
        <w:spacing w:line="360" w:lineRule="auto"/>
        <w:ind w:left="1080" w:hanging="360"/>
        <w:jc w:val="both"/>
        <w:rPr>
          <w:rFonts w:ascii="Times New Roman" w:hAnsi="Times New Roman" w:cs="Times New Roman"/>
          <w:sz w:val="24"/>
          <w:szCs w:val="24"/>
        </w:rPr>
      </w:pPr>
      <w:r w:rsidRPr="00910CE3">
        <w:rPr>
          <w:rFonts w:ascii="Times New Roman" w:hAnsi="Times New Roman" w:cs="Times New Roman"/>
          <w:sz w:val="24"/>
          <w:szCs w:val="24"/>
        </w:rPr>
        <w:t>b) Ayat (2) : Tiap-tiap perkawinan wajib dicatat menurut peraturan perundang-undangan yang berlaku.</w:t>
      </w:r>
    </w:p>
    <w:p w:rsidR="00343B61" w:rsidRPr="00910CE3" w:rsidRDefault="00343B61" w:rsidP="00343B61">
      <w:pPr>
        <w:pStyle w:val="ListParagraph"/>
        <w:tabs>
          <w:tab w:val="left" w:pos="1843"/>
        </w:tabs>
        <w:spacing w:line="360" w:lineRule="auto"/>
        <w:ind w:hanging="270"/>
        <w:jc w:val="both"/>
        <w:rPr>
          <w:rFonts w:ascii="Times New Roman" w:hAnsi="Times New Roman" w:cs="Times New Roman"/>
          <w:sz w:val="24"/>
          <w:szCs w:val="24"/>
        </w:rPr>
      </w:pPr>
      <w:r w:rsidRPr="00910CE3">
        <w:rPr>
          <w:rFonts w:ascii="Times New Roman" w:hAnsi="Times New Roman" w:cs="Times New Roman"/>
          <w:sz w:val="24"/>
          <w:szCs w:val="24"/>
        </w:rPr>
        <w:t>5) Mengenai perceraian dan poligami diusahakan perlu ketentuan-ketentuan guna mencegah terjadinya kesewenang-wenangan.</w:t>
      </w:r>
      <w:r w:rsidRPr="00910CE3">
        <w:rPr>
          <w:rStyle w:val="FootnoteReference"/>
          <w:rFonts w:ascii="Times New Roman" w:hAnsi="Times New Roman" w:cs="Times New Roman"/>
          <w:sz w:val="24"/>
          <w:szCs w:val="24"/>
        </w:rPr>
        <w:footnoteReference w:id="394"/>
      </w:r>
      <w:r w:rsidRPr="00910CE3">
        <w:rPr>
          <w:rFonts w:ascii="Times New Roman" w:hAnsi="Times New Roman" w:cs="Times New Roman"/>
          <w:sz w:val="24"/>
          <w:szCs w:val="24"/>
        </w:rPr>
        <w:t xml:space="preserve"> </w:t>
      </w:r>
    </w:p>
    <w:p w:rsidR="00343B61" w:rsidRPr="00910CE3" w:rsidRDefault="00343B61" w:rsidP="00343B61">
      <w:pPr>
        <w:pStyle w:val="ListParagraph"/>
        <w:tabs>
          <w:tab w:val="left" w:pos="1843"/>
        </w:tabs>
        <w:spacing w:line="360" w:lineRule="auto"/>
        <w:ind w:left="0" w:firstLine="810"/>
        <w:jc w:val="both"/>
        <w:rPr>
          <w:rFonts w:ascii="Times New Roman" w:hAnsi="Times New Roman" w:cs="Times New Roman"/>
          <w:sz w:val="24"/>
          <w:szCs w:val="24"/>
        </w:rPr>
      </w:pPr>
      <w:r w:rsidRPr="00910CE3">
        <w:rPr>
          <w:rFonts w:ascii="Times New Roman" w:hAnsi="Times New Roman" w:cs="Times New Roman"/>
          <w:sz w:val="24"/>
          <w:szCs w:val="24"/>
        </w:rPr>
        <w:t xml:space="preserve">Dalam kesepakatan tersebut nampak jelas, betapa kuatnya posisi FPP sebagai wakil Umat Islam dalam memperjuangkan agar UU Perkawinan tidak bertentangan dengan syariat Islam. Adapun pasal-pasal yang dicoret tersebut adalah Pasal 11 mengenai sistem parental dan perkawinan antar agama. Pasal 13 </w:t>
      </w:r>
      <w:r w:rsidRPr="00910CE3">
        <w:rPr>
          <w:rFonts w:ascii="Times New Roman" w:hAnsi="Times New Roman" w:cs="Times New Roman"/>
          <w:sz w:val="24"/>
          <w:szCs w:val="24"/>
        </w:rPr>
        <w:lastRenderedPageBreak/>
        <w:t>mengenai pertunangan. Pasal 14 mengenai tata cara gugatan perkawinan dan Pasal 62 mengenai pengangkatan anak.</w:t>
      </w:r>
      <w:r w:rsidRPr="00910CE3">
        <w:rPr>
          <w:rStyle w:val="FootnoteReference"/>
          <w:rFonts w:ascii="Times New Roman" w:hAnsi="Times New Roman" w:cs="Times New Roman"/>
          <w:sz w:val="24"/>
          <w:szCs w:val="24"/>
        </w:rPr>
        <w:footnoteReference w:id="395"/>
      </w:r>
    </w:p>
    <w:p w:rsidR="00343B61" w:rsidRPr="00910CE3" w:rsidRDefault="00343B61" w:rsidP="00343B61">
      <w:pPr>
        <w:pStyle w:val="ListParagraph"/>
        <w:tabs>
          <w:tab w:val="left" w:pos="1843"/>
        </w:tabs>
        <w:spacing w:after="0" w:line="360" w:lineRule="auto"/>
        <w:ind w:left="90" w:firstLine="720"/>
        <w:jc w:val="both"/>
        <w:rPr>
          <w:rFonts w:ascii="Times New Roman" w:hAnsi="Times New Roman" w:cs="Times New Roman"/>
          <w:sz w:val="24"/>
          <w:szCs w:val="24"/>
        </w:rPr>
      </w:pPr>
      <w:r w:rsidRPr="00910CE3">
        <w:rPr>
          <w:rFonts w:ascii="Times New Roman" w:hAnsi="Times New Roman" w:cs="Times New Roman"/>
          <w:sz w:val="24"/>
          <w:szCs w:val="24"/>
        </w:rPr>
        <w:t>Setelah melalui protes dan lobying-lobying dan kerja keras dari PPP dan dukungan dari masyarakat Islam, akhirnya pasal-pasal yang dianggap bertentangan dengan ajaran Islam itu dihapuskan. Kemudian setelah melakukan rapat yang berulang-ulang, akhirnya pada tanggal 22 Desember 1973 melalui fraksi-fraksi DPR, RUU Perkawinan tersebut disetujui untuk disahkan. Pada tanggal 2 Januari 1974 RUU tentang perkawinan disahkan DPR menjadi UU No. 1 tahun 1974 tentang undang-undang perkawinan yang selanjutnya berlaku efektif sejak tanggal 1 Oktober 1975.</w:t>
      </w:r>
      <w:r w:rsidRPr="00910CE3">
        <w:rPr>
          <w:rStyle w:val="FootnoteReference"/>
          <w:rFonts w:ascii="Times New Roman" w:hAnsi="Times New Roman" w:cs="Times New Roman"/>
          <w:sz w:val="24"/>
          <w:szCs w:val="24"/>
        </w:rPr>
        <w:footnoteReference w:id="396"/>
      </w:r>
    </w:p>
    <w:p w:rsidR="00343B61" w:rsidRPr="00910CE3" w:rsidRDefault="00343B61" w:rsidP="00343B61">
      <w:pPr>
        <w:spacing w:after="0" w:line="360" w:lineRule="auto"/>
        <w:ind w:left="90" w:firstLine="761"/>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Adapun isi Undang-Undang No. 1 Tahun 1974 tentang Perkawinan, yang berlaku secara efektif sejak tanggal 1 Oktober 1975 terdiri dad 14 bab dan 67 pasal, yang secara ringkas adalah:</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I</w:t>
      </w:r>
      <w:r w:rsidRPr="00910CE3">
        <w:rPr>
          <w:rFonts w:asciiTheme="majorBidi" w:eastAsia="Garamond" w:hAnsiTheme="majorBidi" w:cstheme="majorBidi"/>
          <w:sz w:val="24"/>
          <w:szCs w:val="24"/>
        </w:rPr>
        <w:tab/>
        <w:t xml:space="preserve">    : Dasar Perkawinan (pasal 1 s/d 5);</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pacing w:val="1"/>
          <w:sz w:val="24"/>
          <w:szCs w:val="24"/>
        </w:rPr>
        <w:t>Bab II</w:t>
      </w:r>
      <w:r w:rsidRPr="00910CE3">
        <w:rPr>
          <w:rFonts w:asciiTheme="majorBidi" w:eastAsia="Garamond" w:hAnsiTheme="majorBidi" w:cstheme="majorBidi"/>
          <w:spacing w:val="1"/>
          <w:sz w:val="24"/>
          <w:szCs w:val="24"/>
        </w:rPr>
        <w:tab/>
        <w:t xml:space="preserve">    : Syarat-syarat Perkawinan (pasal 6 s/d 12);</w:t>
      </w:r>
    </w:p>
    <w:p w:rsidR="00343B61" w:rsidRPr="00910CE3" w:rsidRDefault="00343B61" w:rsidP="00343B61">
      <w:pPr>
        <w:spacing w:after="0" w:line="360" w:lineRule="auto"/>
        <w:ind w:left="1800" w:hanging="1080"/>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III  : Pencegahan Perkawinan (pasal 13 s/d 21); Bab IV : Batalnya Perkawinan (pasal 22 s/d 28);</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V</w:t>
      </w:r>
      <w:r w:rsidRPr="00910CE3">
        <w:rPr>
          <w:rFonts w:asciiTheme="majorBidi" w:eastAsia="Garamond" w:hAnsiTheme="majorBidi" w:cstheme="majorBidi"/>
          <w:sz w:val="24"/>
          <w:szCs w:val="24"/>
        </w:rPr>
        <w:tab/>
        <w:t xml:space="preserve">    : Perjanjian Perkawinan (pasal 29);</w:t>
      </w:r>
    </w:p>
    <w:p w:rsidR="00343B61" w:rsidRPr="00910CE3" w:rsidRDefault="00343B61" w:rsidP="00343B61">
      <w:pPr>
        <w:spacing w:after="0" w:line="360" w:lineRule="auto"/>
        <w:ind w:left="1890" w:hanging="1170"/>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VI   : Hak dan Kewajiban Suami Isteri (pasal 30 s/d 34); Bab VII : Harta Benda dalam Perkawinan (pasal 35 s/d 37)</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VIII   : Putusnya Perkawinan serta Akibatnya (pasal 38 s/ d 41);</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pacing w:val="6"/>
          <w:sz w:val="24"/>
          <w:szCs w:val="24"/>
        </w:rPr>
        <w:t>Bab IX    : Kedudukan Anak (pasal 42 s/d 44);</w:t>
      </w:r>
    </w:p>
    <w:p w:rsidR="00343B61" w:rsidRPr="00910CE3" w:rsidRDefault="00343B61" w:rsidP="00343B61">
      <w:pPr>
        <w:spacing w:after="0" w:line="360" w:lineRule="auto"/>
        <w:ind w:left="1890" w:hanging="1170"/>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X      : Hak dan Kewajiban antara Orang Tua dan Anak (pasal 45 s/d 49);</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pacing w:val="7"/>
          <w:sz w:val="24"/>
          <w:szCs w:val="24"/>
        </w:rPr>
        <w:t>Bab XI    : Perwalian (pasal 50 s/d 54);</w:t>
      </w:r>
    </w:p>
    <w:p w:rsidR="00343B61" w:rsidRPr="00910CE3" w:rsidRDefault="00343B61" w:rsidP="00343B61">
      <w:pPr>
        <w:spacing w:after="0" w:line="360" w:lineRule="auto"/>
        <w:ind w:left="851" w:hanging="131"/>
        <w:jc w:val="both"/>
        <w:textAlignment w:val="baseline"/>
        <w:rPr>
          <w:rFonts w:asciiTheme="majorBidi" w:eastAsia="Garamond" w:hAnsiTheme="majorBidi" w:cstheme="majorBidi"/>
          <w:spacing w:val="-3"/>
          <w:sz w:val="24"/>
          <w:szCs w:val="24"/>
        </w:rPr>
      </w:pPr>
      <w:r w:rsidRPr="00910CE3">
        <w:rPr>
          <w:rFonts w:asciiTheme="majorBidi" w:eastAsia="Garamond" w:hAnsiTheme="majorBidi" w:cstheme="majorBidi"/>
          <w:sz w:val="24"/>
          <w:szCs w:val="24"/>
        </w:rPr>
        <w:t>Bab XII     : Ketentuan-ketentuan Umum, yang terdiri dari empat bagian.</w:t>
      </w:r>
    </w:p>
    <w:p w:rsidR="00343B61" w:rsidRPr="00910CE3" w:rsidRDefault="00343B61" w:rsidP="002C0A33">
      <w:pPr>
        <w:numPr>
          <w:ilvl w:val="0"/>
          <w:numId w:val="31"/>
        </w:numPr>
        <w:tabs>
          <w:tab w:val="decimal" w:pos="1224"/>
        </w:tabs>
        <w:spacing w:before="20" w:after="0" w:line="360" w:lineRule="auto"/>
        <w:ind w:left="1224" w:hanging="21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bagian pertama: Pembuktian Asal Usul Anak (pasal 55),</w:t>
      </w:r>
    </w:p>
    <w:p w:rsidR="00343B61" w:rsidRPr="00910CE3" w:rsidRDefault="00343B61" w:rsidP="002C0A33">
      <w:pPr>
        <w:numPr>
          <w:ilvl w:val="0"/>
          <w:numId w:val="31"/>
        </w:numPr>
        <w:tabs>
          <w:tab w:val="decimal" w:pos="1224"/>
        </w:tabs>
        <w:spacing w:before="33" w:after="0" w:line="360" w:lineRule="auto"/>
        <w:ind w:left="1224" w:hanging="21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lastRenderedPageBreak/>
        <w:t>bagian kedua: Perkawinan di Luar Indonesia (pasal 56),</w:t>
      </w:r>
    </w:p>
    <w:p w:rsidR="00343B61" w:rsidRPr="00910CE3" w:rsidRDefault="00343B61" w:rsidP="002C0A33">
      <w:pPr>
        <w:numPr>
          <w:ilvl w:val="0"/>
          <w:numId w:val="31"/>
        </w:numPr>
        <w:tabs>
          <w:tab w:val="decimal" w:pos="1224"/>
        </w:tabs>
        <w:spacing w:before="36" w:after="0" w:line="360" w:lineRule="auto"/>
        <w:ind w:left="1224" w:hanging="21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bagian ketiga: Perkawinan Campuran (pasal 57 s/ d 62),</w:t>
      </w:r>
    </w:p>
    <w:p w:rsidR="00343B61" w:rsidRPr="00910CE3" w:rsidRDefault="00343B61" w:rsidP="002C0A33">
      <w:pPr>
        <w:numPr>
          <w:ilvl w:val="0"/>
          <w:numId w:val="31"/>
        </w:numPr>
        <w:tabs>
          <w:tab w:val="decimal" w:pos="1224"/>
        </w:tabs>
        <w:spacing w:before="41" w:after="0" w:line="360" w:lineRule="auto"/>
        <w:ind w:left="72" w:right="648" w:firstLine="936"/>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bagian keempat: Pengadilan (pasal 63); </w:t>
      </w:r>
    </w:p>
    <w:p w:rsidR="00343B61" w:rsidRPr="00910CE3" w:rsidRDefault="00343B61" w:rsidP="00343B61">
      <w:pPr>
        <w:spacing w:after="0" w:line="360" w:lineRule="auto"/>
        <w:ind w:left="851"/>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Bab XIII    : Ketentuan Peralihan (pasal 64 s/d 65); dan </w:t>
      </w:r>
    </w:p>
    <w:p w:rsidR="00343B61" w:rsidRPr="00910CE3" w:rsidRDefault="00343B61" w:rsidP="00343B61">
      <w:pPr>
        <w:spacing w:after="0" w:line="360" w:lineRule="auto"/>
        <w:ind w:left="851"/>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Bab XIV    : Ketentuan Penutup (pasal 66 s/d 67).</w:t>
      </w:r>
      <w:r w:rsidRPr="00910CE3">
        <w:rPr>
          <w:rStyle w:val="FootnoteReference"/>
          <w:rFonts w:asciiTheme="majorBidi" w:eastAsia="Garamond" w:hAnsiTheme="majorBidi" w:cstheme="majorBidi"/>
          <w:sz w:val="24"/>
          <w:szCs w:val="24"/>
        </w:rPr>
        <w:footnoteReference w:id="397"/>
      </w:r>
    </w:p>
    <w:p w:rsidR="00343B61" w:rsidRPr="00910CE3" w:rsidRDefault="00343B61" w:rsidP="00343B61">
      <w:pPr>
        <w:spacing w:after="0" w:line="360" w:lineRule="auto"/>
        <w:ind w:firstLine="720"/>
        <w:jc w:val="both"/>
        <w:textAlignment w:val="baseline"/>
        <w:rPr>
          <w:rFonts w:asciiTheme="majorBidi" w:eastAsia="Garamond" w:hAnsiTheme="majorBidi" w:cstheme="majorBidi"/>
          <w:sz w:val="24"/>
          <w:szCs w:val="24"/>
        </w:rPr>
      </w:pPr>
      <w:r w:rsidRPr="00910CE3">
        <w:rPr>
          <w:rFonts w:asciiTheme="majorBidi" w:eastAsia="Garamond" w:hAnsiTheme="majorBidi" w:cstheme="majorBidi"/>
          <w:sz w:val="24"/>
          <w:szCs w:val="24"/>
        </w:rPr>
        <w:t xml:space="preserve">Kehadiran UU No.1 Tahun 1974 ini disusul dengan lahirnya beberapa peraturan pelaksana. </w:t>
      </w:r>
      <w:r w:rsidRPr="00910CE3">
        <w:rPr>
          <w:rFonts w:asciiTheme="majorBidi" w:eastAsia="Garamond" w:hAnsiTheme="majorBidi" w:cstheme="majorBidi"/>
          <w:i/>
          <w:sz w:val="24"/>
          <w:szCs w:val="24"/>
        </w:rPr>
        <w:t xml:space="preserve">Pertama, </w:t>
      </w:r>
      <w:r w:rsidRPr="00910CE3">
        <w:rPr>
          <w:rFonts w:asciiTheme="majorBidi" w:eastAsia="Garamond" w:hAnsiTheme="majorBidi" w:cstheme="majorBidi"/>
          <w:sz w:val="24"/>
          <w:szCs w:val="24"/>
        </w:rPr>
        <w:t xml:space="preserve">Peraturan Pemerintah (PP) No. 9 Tahun 1975 yang diundangkan tanggal 1 April 1975 tentang Pelaksanaan Undang-Undang No. 1 Tahun 1974. </w:t>
      </w:r>
      <w:r w:rsidRPr="00910CE3">
        <w:rPr>
          <w:rFonts w:asciiTheme="majorBidi" w:eastAsia="Garamond" w:hAnsiTheme="majorBidi" w:cstheme="majorBidi"/>
          <w:i/>
          <w:sz w:val="24"/>
          <w:szCs w:val="24"/>
        </w:rPr>
        <w:t xml:space="preserve">Kedua, </w:t>
      </w:r>
      <w:r w:rsidRPr="00910CE3">
        <w:rPr>
          <w:rFonts w:asciiTheme="majorBidi" w:eastAsia="Garamond" w:hAnsiTheme="majorBidi" w:cstheme="majorBidi"/>
          <w:sz w:val="24"/>
          <w:szCs w:val="24"/>
        </w:rPr>
        <w:t xml:space="preserve">Peraturan Menteri Agama (Menag) dan Menteri Dalam Negeri (Mendagri). </w:t>
      </w:r>
      <w:r w:rsidRPr="00910CE3">
        <w:rPr>
          <w:rFonts w:asciiTheme="majorBidi" w:eastAsia="Garamond" w:hAnsiTheme="majorBidi" w:cstheme="majorBidi"/>
          <w:i/>
          <w:sz w:val="24"/>
          <w:szCs w:val="24"/>
        </w:rPr>
        <w:t xml:space="preserve">Ketiga, </w:t>
      </w:r>
      <w:r w:rsidRPr="00910CE3">
        <w:rPr>
          <w:rFonts w:asciiTheme="majorBidi" w:eastAsia="Garamond" w:hAnsiTheme="majorBidi" w:cstheme="majorBidi"/>
          <w:sz w:val="24"/>
          <w:szCs w:val="24"/>
        </w:rPr>
        <w:t xml:space="preserve">Petunjuk Mahkamah Agung R.I. </w:t>
      </w:r>
      <w:r w:rsidRPr="00910CE3">
        <w:rPr>
          <w:rFonts w:asciiTheme="majorBidi" w:eastAsia="Garamond" w:hAnsiTheme="majorBidi" w:cstheme="majorBidi"/>
          <w:spacing w:val="-6"/>
          <w:sz w:val="24"/>
          <w:szCs w:val="24"/>
        </w:rPr>
        <w:t>Dalam pasal 67 PP No. 9 Tahun 1975 disebutkan: (1) Peraturan Pemerintah ini mulai berlaku pada tanggal 1 Oktober 1975, (2) Mulai berlakunya Peraturan Pemerintah ini, merupakan pelaksanaan secara efektif dari Undang-undang No.1 Tahun 1974 tentang Perkawinan. Bagi ummat Islam diatur dalam Peraturan (Menag) No. 3 Tahun 1975 dan No 4 Tahun 1975, kemudian diganti dengan Peraturan Menag  No. 2 Tahun 1990. Bagi yang beragam selain Islam diatur dalam keputusan (mendagri) No 221a Tahun 1975, tanggal 1 Oktober 1975 tentang Pencatatan Perkawinan dan Perceraian pada Kantor catatan Sipil.</w:t>
      </w:r>
      <w:r w:rsidRPr="00910CE3">
        <w:rPr>
          <w:rStyle w:val="FootnoteReference"/>
          <w:rFonts w:asciiTheme="majorBidi" w:eastAsia="Garamond" w:hAnsiTheme="majorBidi" w:cstheme="majorBidi"/>
          <w:spacing w:val="-6"/>
          <w:sz w:val="24"/>
          <w:szCs w:val="24"/>
        </w:rPr>
        <w:footnoteReference w:id="398"/>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t xml:space="preserve">Walaupun Undang-Undang Perkawinan ini adalah hasil kompromi antara Fraksi-fraksi di DPR, akan tetapi tentu tidak sepenuhnya memuaskan semua golongan, pasti ada kekurangan-kekurangannya. Namun dengan adanya Undang-Undang Perkawinan tersebut, tuntutan pokok yang telah lama diperjuangkan, terutama oleh Pergerakan Wanita Indonesia, sebagian besar telah terpenuhi, karena Undang-Undang Perkawinan tersebut mempunyai ciri khas, yaitu </w:t>
      </w:r>
      <w:r w:rsidRPr="00910CE3">
        <w:rPr>
          <w:rFonts w:ascii="Times New Roman" w:hAnsi="Times New Roman" w:cs="Times New Roman"/>
          <w:sz w:val="24"/>
          <w:szCs w:val="24"/>
        </w:rPr>
        <w:lastRenderedPageBreak/>
        <w:t>berkenaan dengan asasnya, tujuannya dan sifatnya yang mengangkat harkat dan derajat serta kedudukan kaum wanita Indonesia.</w:t>
      </w:r>
      <w:r w:rsidRPr="00910CE3">
        <w:rPr>
          <w:rStyle w:val="FootnoteReference"/>
          <w:rFonts w:ascii="Times New Roman" w:hAnsi="Times New Roman" w:cs="Times New Roman"/>
          <w:sz w:val="24"/>
          <w:szCs w:val="24"/>
        </w:rPr>
        <w:footnoteReference w:id="399"/>
      </w:r>
    </w:p>
    <w:p w:rsidR="00343B61" w:rsidRPr="00910CE3" w:rsidRDefault="00343B61" w:rsidP="00343B61">
      <w:pPr>
        <w:autoSpaceDE w:val="0"/>
        <w:autoSpaceDN w:val="0"/>
        <w:adjustRightInd w:val="0"/>
        <w:spacing w:after="0" w:line="360" w:lineRule="auto"/>
        <w:ind w:firstLine="540"/>
        <w:jc w:val="both"/>
        <w:rPr>
          <w:rFonts w:ascii="Times New Roman" w:hAnsi="Times New Roman" w:cs="Times New Roman"/>
          <w:sz w:val="24"/>
          <w:szCs w:val="24"/>
        </w:rPr>
      </w:pPr>
      <w:r w:rsidRPr="00910CE3">
        <w:rPr>
          <w:rFonts w:ascii="Times New Roman" w:hAnsi="Times New Roman" w:cs="Times New Roman"/>
          <w:sz w:val="24"/>
          <w:szCs w:val="24"/>
        </w:rPr>
        <w:t>Undang-Undang No. 1 tahun 1974 tentang Perkawinan itu telah mensejajarkan wanita dengan pria dalam perkawinan sebagaimana dalam ketentuan Hukum Islam, bahwa wanita adalah mitra pria dan pria adalah mitra wanita, wanita dalam perkawinan adalah mitra sejajar dengan pria. Wanita dan pria mempunyai derajat yang sama sebagai manusia ciptaan Allah, yang membedakan keduanya hanyalah kualitas ketakwaannya kepada Allah.</w:t>
      </w:r>
      <w:r w:rsidRPr="00910CE3">
        <w:rPr>
          <w:rStyle w:val="FootnoteReference"/>
          <w:rFonts w:ascii="Times New Roman" w:hAnsi="Times New Roman" w:cs="Times New Roman"/>
          <w:sz w:val="24"/>
          <w:szCs w:val="24"/>
        </w:rPr>
        <w:footnoteReference w:id="400"/>
      </w:r>
      <w:r w:rsidRPr="00910CE3">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firstLine="540"/>
        <w:jc w:val="both"/>
        <w:rPr>
          <w:rFonts w:ascii="Times New Roman" w:hAnsi="Times New Roman" w:cs="Times New Roman"/>
          <w:sz w:val="24"/>
          <w:szCs w:val="24"/>
        </w:rPr>
      </w:pPr>
      <w:r w:rsidRPr="00910CE3">
        <w:rPr>
          <w:rFonts w:ascii="Times New Roman" w:hAnsi="Times New Roman" w:cs="Times New Roman"/>
          <w:sz w:val="24"/>
          <w:szCs w:val="24"/>
        </w:rPr>
        <w:t>Dalam hal ini, Annie Besant berkata bahwa dalam hal penghargaan yang diberikan kepada wanita, Hukum Islam jauh melebihi Hukum-Hukum Barat. Ketentuan Al-Qur’ān tentang wanita jauh lebih adil dan liberal dari Hukum Barat.</w:t>
      </w:r>
      <w:r w:rsidRPr="00910CE3">
        <w:rPr>
          <w:rStyle w:val="FootnoteReference"/>
          <w:rFonts w:ascii="Times New Roman" w:hAnsi="Times New Roman" w:cs="Times New Roman"/>
          <w:sz w:val="24"/>
          <w:szCs w:val="24"/>
        </w:rPr>
        <w:footnoteReference w:id="401"/>
      </w:r>
      <w:r w:rsidRPr="00910CE3">
        <w:rPr>
          <w:rFonts w:ascii="Times New Roman" w:hAnsi="Times New Roman" w:cs="Times New Roman"/>
          <w:sz w:val="24"/>
          <w:szCs w:val="24"/>
        </w:rPr>
        <w:t xml:space="preserve"> </w:t>
      </w:r>
    </w:p>
    <w:p w:rsidR="00343B61" w:rsidRPr="000B1D95" w:rsidRDefault="00343B61" w:rsidP="002C0A33">
      <w:pPr>
        <w:pStyle w:val="ListParagraph"/>
        <w:numPr>
          <w:ilvl w:val="0"/>
          <w:numId w:val="32"/>
        </w:numPr>
        <w:tabs>
          <w:tab w:val="left" w:pos="270"/>
        </w:tabs>
        <w:spacing w:line="360" w:lineRule="auto"/>
        <w:ind w:hanging="1800"/>
        <w:jc w:val="both"/>
        <w:rPr>
          <w:rFonts w:asciiTheme="majorBidi" w:hAnsiTheme="majorBidi" w:cstheme="majorBidi"/>
          <w:sz w:val="24"/>
          <w:szCs w:val="24"/>
        </w:rPr>
      </w:pPr>
      <w:r w:rsidRPr="001541A0">
        <w:rPr>
          <w:rFonts w:asciiTheme="majorBidi" w:hAnsiTheme="majorBidi" w:cstheme="majorBidi"/>
          <w:sz w:val="24"/>
          <w:szCs w:val="24"/>
        </w:rPr>
        <w:t xml:space="preserve">Pembaruan Hukum Keluarga Islam di Indonesia </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Sekitar dua abad terakhir ini, di kalangan umat Islam muncul gerakan pembaruan pada berbagai bidang kehidupan. Gerakan-gerakan tersebut ditandai dengan munculnya tokoh-tokoh maupun kelompok cendekiawan Islam yang menggagas pembaruan pemikiran-pemikiran Islam untuk disesuikan dengan perkembangan abad modern. Khusus dalam lapangan hukum, upaya pembaruan dilakukan akibat munculnya kesenjangan antara materi hukum, khususnya fiqh, dengan kenyataan sosial dewasa ini. Di samping untuk merespon perkembangan dan tuntutan zaman, pembaruan hukum Islam, khususnya hukum keluarga, juga bertujuan untuk mengangkat status perempuan.</w:t>
      </w:r>
      <w:r w:rsidRPr="00910CE3">
        <w:rPr>
          <w:rStyle w:val="FootnoteReference"/>
          <w:rFonts w:asciiTheme="majorBidi" w:hAnsiTheme="majorBidi" w:cstheme="majorBidi"/>
          <w:sz w:val="24"/>
          <w:szCs w:val="24"/>
        </w:rPr>
        <w:footnoteReference w:id="402"/>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lastRenderedPageBreak/>
        <w:t>Istilah “pembaruan” memiliki arti proses, cara, perbuatan membarui.</w:t>
      </w:r>
      <w:r w:rsidRPr="00910CE3">
        <w:rPr>
          <w:rStyle w:val="FootnoteReference"/>
          <w:rFonts w:asciiTheme="majorBidi" w:hAnsiTheme="majorBidi" w:cstheme="majorBidi"/>
          <w:sz w:val="24"/>
          <w:szCs w:val="24"/>
        </w:rPr>
        <w:footnoteReference w:id="403"/>
      </w:r>
      <w:r w:rsidRPr="00910CE3">
        <w:rPr>
          <w:rFonts w:asciiTheme="majorBidi" w:hAnsiTheme="majorBidi" w:cstheme="majorBidi"/>
          <w:sz w:val="24"/>
          <w:szCs w:val="24"/>
        </w:rPr>
        <w:t xml:space="preserve">  Jika istilah ini dibawa ke dalam konteks hukum Islam, maka yang dimaksud adalah upaya untuk melakukan penyesuaian-penyesuaian ajaran Islam di bidang hukum dengan kemajuan modern, sehingga hukum Islam dapat menjawab segala tantangan yang ditimbulkan oleh perubahan-perubahan sosial sebagai akibat perkembangan ilmu pengetahuan dan teknologi modern.</w:t>
      </w:r>
      <w:r w:rsidRPr="00910CE3">
        <w:rPr>
          <w:rStyle w:val="FootnoteReference"/>
          <w:rFonts w:asciiTheme="majorBidi" w:hAnsiTheme="majorBidi" w:cstheme="majorBidi"/>
          <w:sz w:val="24"/>
          <w:szCs w:val="24"/>
        </w:rPr>
        <w:footnoteReference w:id="404"/>
      </w:r>
    </w:p>
    <w:p w:rsidR="00343B61" w:rsidRPr="00910CE3" w:rsidRDefault="00343B61" w:rsidP="00343B61">
      <w:pPr>
        <w:pStyle w:val="ListParagraph"/>
        <w:spacing w:line="360" w:lineRule="auto"/>
        <w:ind w:left="0" w:firstLine="720"/>
        <w:jc w:val="both"/>
        <w:rPr>
          <w:rFonts w:asciiTheme="majorBidi" w:hAnsiTheme="majorBidi" w:cstheme="majorBidi"/>
          <w:i/>
          <w:iCs/>
          <w:sz w:val="20"/>
          <w:szCs w:val="20"/>
        </w:rPr>
      </w:pPr>
      <w:r w:rsidRPr="00910CE3">
        <w:rPr>
          <w:rFonts w:asciiTheme="majorBidi" w:hAnsiTheme="majorBidi" w:cstheme="majorBidi"/>
          <w:sz w:val="24"/>
          <w:szCs w:val="24"/>
        </w:rPr>
        <w:t xml:space="preserve">Dalam literatur Arab, kata yang mengandung arti pembaruan adalah </w:t>
      </w:r>
      <w:r w:rsidRPr="00910CE3">
        <w:rPr>
          <w:rFonts w:asciiTheme="majorBidi" w:hAnsiTheme="majorBidi" w:cstheme="majorBidi"/>
          <w:i/>
          <w:iCs/>
          <w:sz w:val="24"/>
          <w:szCs w:val="24"/>
        </w:rPr>
        <w:t>al-Tajdīd</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405"/>
      </w:r>
      <w:r w:rsidRPr="00910CE3">
        <w:rPr>
          <w:rFonts w:asciiTheme="majorBidi" w:hAnsiTheme="majorBidi" w:cstheme="majorBidi"/>
          <w:sz w:val="24"/>
          <w:szCs w:val="24"/>
        </w:rPr>
        <w:t xml:space="preserve"> </w:t>
      </w:r>
      <w:r w:rsidRPr="00B56DEB">
        <w:rPr>
          <w:rFonts w:asciiTheme="majorBidi" w:hAnsiTheme="majorBidi" w:cs="Traditional Arabic" w:hint="cs"/>
          <w:sz w:val="24"/>
          <w:szCs w:val="24"/>
          <w:rtl/>
        </w:rPr>
        <w:t>التجديد</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al</w:t>
      </w:r>
      <w:r w:rsidRPr="00910CE3">
        <w:rPr>
          <w:rFonts w:asciiTheme="majorBidi" w:hAnsiTheme="majorBidi" w:cstheme="majorBidi"/>
          <w:sz w:val="24"/>
          <w:szCs w:val="24"/>
        </w:rPr>
        <w:t>-</w:t>
      </w:r>
      <w:r w:rsidRPr="00910CE3">
        <w:rPr>
          <w:rFonts w:asciiTheme="majorBidi" w:hAnsiTheme="majorBidi" w:cstheme="majorBidi"/>
          <w:i/>
          <w:iCs/>
          <w:sz w:val="24"/>
          <w:szCs w:val="24"/>
        </w:rPr>
        <w:t>Tajd</w:t>
      </w:r>
      <w:r w:rsidRPr="00910CE3">
        <w:rPr>
          <w:rFonts w:asciiTheme="majorBidi" w:hAnsiTheme="majorBidi" w:cstheme="majorBidi"/>
          <w:i/>
          <w:iCs/>
        </w:rPr>
        <w:t>ī</w:t>
      </w:r>
      <w:r w:rsidRPr="00910CE3">
        <w:rPr>
          <w:rFonts w:asciiTheme="majorBidi" w:hAnsiTheme="majorBidi" w:cstheme="majorBidi"/>
          <w:i/>
          <w:iCs/>
          <w:sz w:val="24"/>
          <w:szCs w:val="24"/>
        </w:rPr>
        <w:t>d</w:t>
      </w:r>
      <w:r w:rsidRPr="00910CE3">
        <w:rPr>
          <w:rFonts w:asciiTheme="majorBidi" w:hAnsiTheme="majorBidi" w:cstheme="majorBidi"/>
          <w:sz w:val="24"/>
          <w:szCs w:val="24"/>
        </w:rPr>
        <w:t xml:space="preserve">) merupakan bentuk masdar dari kata  </w:t>
      </w:r>
      <w:r w:rsidRPr="00B56DEB">
        <w:rPr>
          <w:rFonts w:asciiTheme="majorBidi" w:hAnsiTheme="majorBidi" w:cs="Traditional Arabic" w:hint="cs"/>
          <w:sz w:val="24"/>
          <w:szCs w:val="24"/>
          <w:rtl/>
        </w:rPr>
        <w:t>جدد-</w:t>
      </w:r>
      <w:r w:rsidRPr="00B56DEB">
        <w:rPr>
          <w:rFonts w:asciiTheme="majorBidi" w:hAnsiTheme="majorBidi" w:cs="Traditional Arabic"/>
          <w:sz w:val="24"/>
          <w:szCs w:val="24"/>
        </w:rPr>
        <w:t xml:space="preserve"> </w:t>
      </w:r>
      <w:r w:rsidRPr="00B56DEB">
        <w:rPr>
          <w:rFonts w:asciiTheme="majorBidi" w:hAnsiTheme="majorBidi" w:cs="Traditional Arabic" w:hint="cs"/>
          <w:sz w:val="24"/>
          <w:szCs w:val="24"/>
          <w:rtl/>
        </w:rPr>
        <w:t xml:space="preserve">يجدد- </w:t>
      </w:r>
      <w:r w:rsidRPr="00B56DEB">
        <w:rPr>
          <w:rFonts w:asciiTheme="majorBidi" w:hAnsiTheme="majorBidi" w:cs="Traditional Arabic"/>
          <w:sz w:val="24"/>
          <w:szCs w:val="24"/>
        </w:rPr>
        <w:t xml:space="preserve"> - </w:t>
      </w:r>
      <w:r w:rsidRPr="00B56DEB">
        <w:rPr>
          <w:rFonts w:asciiTheme="majorBidi" w:hAnsiTheme="majorBidi" w:cs="Traditional Arabic" w:hint="cs"/>
          <w:sz w:val="24"/>
          <w:szCs w:val="24"/>
          <w:rtl/>
        </w:rPr>
        <w:t>تجديدا</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Jaddada</w:t>
      </w:r>
      <w:r w:rsidRPr="00910CE3">
        <w:rPr>
          <w:rFonts w:asciiTheme="majorBidi" w:hAnsiTheme="majorBidi" w:cstheme="majorBidi"/>
          <w:sz w:val="24"/>
          <w:szCs w:val="24"/>
        </w:rPr>
        <w:t>-</w:t>
      </w:r>
      <w:r w:rsidRPr="00910CE3">
        <w:rPr>
          <w:rFonts w:asciiTheme="majorBidi" w:hAnsiTheme="majorBidi" w:cstheme="majorBidi"/>
          <w:i/>
          <w:iCs/>
          <w:sz w:val="24"/>
          <w:szCs w:val="24"/>
        </w:rPr>
        <w:t>Yujaddidu</w:t>
      </w:r>
      <w:r w:rsidRPr="00910CE3">
        <w:rPr>
          <w:rFonts w:asciiTheme="majorBidi" w:hAnsiTheme="majorBidi" w:cstheme="majorBidi"/>
          <w:sz w:val="24"/>
          <w:szCs w:val="24"/>
        </w:rPr>
        <w:t>-</w:t>
      </w:r>
      <w:r w:rsidRPr="00910CE3">
        <w:rPr>
          <w:rFonts w:asciiTheme="majorBidi" w:hAnsiTheme="majorBidi" w:cstheme="majorBidi"/>
          <w:i/>
          <w:iCs/>
          <w:sz w:val="24"/>
          <w:szCs w:val="24"/>
        </w:rPr>
        <w:t xml:space="preserve"> Tajd</w:t>
      </w:r>
      <w:r w:rsidRPr="00910CE3">
        <w:rPr>
          <w:rFonts w:asciiTheme="majorBidi" w:hAnsiTheme="majorBidi" w:cstheme="majorBidi"/>
          <w:i/>
          <w:iCs/>
        </w:rPr>
        <w:t>ī</w:t>
      </w:r>
      <w:r w:rsidRPr="00910CE3">
        <w:rPr>
          <w:rFonts w:asciiTheme="majorBidi" w:hAnsiTheme="majorBidi" w:cstheme="majorBidi"/>
          <w:i/>
          <w:iCs/>
          <w:sz w:val="24"/>
          <w:szCs w:val="24"/>
        </w:rPr>
        <w:t>dan)</w:t>
      </w:r>
      <w:r w:rsidRPr="00910CE3">
        <w:rPr>
          <w:rFonts w:asciiTheme="majorBidi" w:hAnsiTheme="majorBidi" w:cstheme="majorBidi"/>
          <w:sz w:val="24"/>
          <w:szCs w:val="24"/>
        </w:rPr>
        <w:t xml:space="preserve"> yang berarti </w:t>
      </w:r>
      <w:r w:rsidRPr="00B56DEB">
        <w:rPr>
          <w:rFonts w:asciiTheme="majorBidi" w:hAnsiTheme="majorBidi" w:cs="Traditional Arabic" w:hint="cs"/>
          <w:sz w:val="24"/>
          <w:szCs w:val="24"/>
          <w:rtl/>
        </w:rPr>
        <w:t>عكس القديم</w:t>
      </w:r>
      <w:r w:rsidRPr="00910CE3">
        <w:rPr>
          <w:rFonts w:asciiTheme="majorBidi" w:hAnsiTheme="majorBidi" w:cstheme="majorBidi"/>
          <w:sz w:val="24"/>
          <w:szCs w:val="24"/>
        </w:rPr>
        <w:t>(</w:t>
      </w:r>
      <w:r w:rsidRPr="00910CE3">
        <w:rPr>
          <w:rFonts w:asciiTheme="majorBidi" w:hAnsiTheme="majorBidi" w:cstheme="majorBidi"/>
          <w:i/>
          <w:iCs/>
          <w:sz w:val="24"/>
          <w:szCs w:val="24"/>
        </w:rPr>
        <w:t>‘aks al- qadīm</w:t>
      </w:r>
      <w:r w:rsidRPr="00910CE3">
        <w:rPr>
          <w:rFonts w:asciiTheme="majorBidi" w:hAnsiTheme="majorBidi" w:cstheme="majorBidi"/>
          <w:sz w:val="24"/>
          <w:szCs w:val="24"/>
        </w:rPr>
        <w:t xml:space="preserve">) (lawan dari yang lama). Lebih jauh dalam kamus bahasa Arab disebutkan, </w:t>
      </w:r>
      <w:r w:rsidRPr="00B56DEB">
        <w:rPr>
          <w:rFonts w:asciiTheme="majorBidi" w:hAnsiTheme="majorBidi" w:cs="Traditional Arabic" w:hint="cs"/>
          <w:sz w:val="24"/>
          <w:szCs w:val="24"/>
          <w:rtl/>
        </w:rPr>
        <w:t>جدده أي صيره جديدا</w:t>
      </w:r>
      <w:r w:rsidRPr="00910CE3">
        <w:rPr>
          <w:rFonts w:asciiTheme="majorBidi" w:hAnsiTheme="majorBidi" w:cstheme="majorBidi" w:hint="cs"/>
          <w:sz w:val="24"/>
          <w:szCs w:val="24"/>
          <w:rtl/>
        </w:rPr>
        <w:t xml:space="preserve"> </w:t>
      </w:r>
      <w:r w:rsidRPr="00910CE3">
        <w:rPr>
          <w:rFonts w:asciiTheme="majorBidi" w:hAnsiTheme="majorBidi" w:cstheme="majorBidi"/>
          <w:sz w:val="24"/>
          <w:szCs w:val="24"/>
        </w:rPr>
        <w:t>(</w:t>
      </w:r>
      <w:r w:rsidRPr="00910CE3">
        <w:rPr>
          <w:rFonts w:asciiTheme="majorBidi" w:hAnsiTheme="majorBidi" w:cstheme="majorBidi"/>
          <w:i/>
          <w:iCs/>
          <w:sz w:val="24"/>
          <w:szCs w:val="24"/>
        </w:rPr>
        <w:t>Jaddadahu aiy Shayyarahu Jad</w:t>
      </w:r>
      <w:r w:rsidRPr="00910CE3">
        <w:rPr>
          <w:rFonts w:asciiTheme="majorBidi" w:hAnsiTheme="majorBidi" w:cstheme="majorBidi"/>
          <w:i/>
          <w:iCs/>
          <w:sz w:val="20"/>
          <w:szCs w:val="20"/>
        </w:rPr>
        <w:t>ī</w:t>
      </w:r>
      <w:r w:rsidRPr="00910CE3">
        <w:rPr>
          <w:rFonts w:asciiTheme="majorBidi" w:hAnsiTheme="majorBidi" w:cstheme="majorBidi"/>
          <w:i/>
          <w:iCs/>
          <w:sz w:val="24"/>
          <w:szCs w:val="24"/>
        </w:rPr>
        <w:t>dan</w:t>
      </w:r>
      <w:r w:rsidRPr="00910CE3">
        <w:rPr>
          <w:rFonts w:asciiTheme="majorBidi" w:hAnsiTheme="majorBidi" w:cstheme="majorBidi"/>
          <w:sz w:val="24"/>
          <w:szCs w:val="24"/>
        </w:rPr>
        <w:t xml:space="preserve">), yakni menjadikan sesuatu menjadi baru, dan kata </w:t>
      </w:r>
      <w:r w:rsidRPr="00B56DEB">
        <w:rPr>
          <w:rFonts w:asciiTheme="majorBidi" w:hAnsiTheme="majorBidi" w:cs="Traditional Arabic" w:hint="cs"/>
          <w:sz w:val="24"/>
          <w:szCs w:val="24"/>
          <w:rtl/>
        </w:rPr>
        <w:t>جدد</w:t>
      </w:r>
      <w:r w:rsidRPr="00910CE3">
        <w:rPr>
          <w:rFonts w:asciiTheme="majorBidi" w:hAnsiTheme="majorBidi" w:cstheme="majorBidi"/>
          <w:i/>
          <w:iCs/>
          <w:sz w:val="24"/>
          <w:szCs w:val="24"/>
        </w:rPr>
        <w:t xml:space="preserve"> jaddada</w:t>
      </w:r>
      <w:r w:rsidRPr="00910CE3">
        <w:rPr>
          <w:rFonts w:asciiTheme="majorBidi" w:hAnsiTheme="majorBidi" w:cstheme="majorBidi"/>
          <w:sz w:val="24"/>
          <w:szCs w:val="24"/>
        </w:rPr>
        <w:t xml:space="preserve"> sama artinya dengan</w:t>
      </w:r>
      <w:r w:rsidRPr="00B56DEB">
        <w:rPr>
          <w:rFonts w:asciiTheme="majorBidi" w:hAnsiTheme="majorBidi" w:cs="Traditional Arabic" w:hint="cs"/>
          <w:sz w:val="24"/>
          <w:szCs w:val="24"/>
          <w:rtl/>
        </w:rPr>
        <w:t xml:space="preserve">استجد </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istajadda</w:t>
      </w:r>
      <w:r w:rsidRPr="00910CE3">
        <w:rPr>
          <w:rFonts w:asciiTheme="majorBidi" w:hAnsiTheme="majorBidi" w:cstheme="majorBidi"/>
          <w:sz w:val="24"/>
          <w:szCs w:val="24"/>
        </w:rPr>
        <w:t>), yaitu menjadikan sesuatu menjadi baru.</w:t>
      </w:r>
      <w:r w:rsidRPr="00910CE3">
        <w:rPr>
          <w:rStyle w:val="FootnoteReference"/>
          <w:rFonts w:asciiTheme="majorBidi" w:hAnsiTheme="majorBidi" w:cstheme="majorBidi"/>
          <w:sz w:val="24"/>
          <w:szCs w:val="24"/>
        </w:rPr>
        <w:footnoteReference w:id="406"/>
      </w:r>
      <w:r w:rsidRPr="00910CE3">
        <w:rPr>
          <w:rFonts w:asciiTheme="majorBidi" w:hAnsiTheme="majorBidi" w:cstheme="majorBidi"/>
          <w:sz w:val="24"/>
          <w:szCs w:val="24"/>
        </w:rPr>
        <w:t xml:space="preserve"> Penggunaan kata </w:t>
      </w:r>
      <w:r w:rsidRPr="00910CE3">
        <w:rPr>
          <w:rFonts w:asciiTheme="majorBidi" w:hAnsiTheme="majorBidi" w:cstheme="majorBidi"/>
          <w:i/>
          <w:iCs/>
          <w:sz w:val="24"/>
          <w:szCs w:val="24"/>
        </w:rPr>
        <w:t>ja</w:t>
      </w:r>
      <w:r>
        <w:rPr>
          <w:rFonts w:asciiTheme="majorBidi" w:hAnsiTheme="majorBidi" w:cstheme="majorBidi"/>
          <w:i/>
          <w:iCs/>
          <w:sz w:val="24"/>
          <w:szCs w:val="24"/>
        </w:rPr>
        <w:t>d</w:t>
      </w:r>
      <w:r w:rsidRPr="00910CE3">
        <w:rPr>
          <w:rFonts w:asciiTheme="majorBidi" w:hAnsiTheme="majorBidi" w:cstheme="majorBidi"/>
          <w:i/>
          <w:iCs/>
          <w:sz w:val="20"/>
          <w:szCs w:val="20"/>
        </w:rPr>
        <w:t xml:space="preserve"> ī</w:t>
      </w:r>
      <w:r w:rsidRPr="00910CE3">
        <w:rPr>
          <w:rFonts w:asciiTheme="majorBidi" w:hAnsiTheme="majorBidi" w:cstheme="majorBidi"/>
          <w:i/>
          <w:iCs/>
          <w:sz w:val="24"/>
          <w:szCs w:val="24"/>
        </w:rPr>
        <w:t>d</w:t>
      </w:r>
      <w:r w:rsidRPr="00910CE3">
        <w:rPr>
          <w:rFonts w:asciiTheme="majorBidi" w:hAnsiTheme="majorBidi" w:cstheme="majorBidi"/>
          <w:sz w:val="24"/>
          <w:szCs w:val="24"/>
        </w:rPr>
        <w:t xml:space="preserve"> ters</w:t>
      </w:r>
      <w:r>
        <w:rPr>
          <w:rFonts w:asciiTheme="majorBidi" w:hAnsiTheme="majorBidi" w:cstheme="majorBidi"/>
          <w:sz w:val="24"/>
          <w:szCs w:val="24"/>
        </w:rPr>
        <w:t>e</w:t>
      </w:r>
      <w:r w:rsidRPr="00910CE3">
        <w:rPr>
          <w:rFonts w:asciiTheme="majorBidi" w:hAnsiTheme="majorBidi" w:cstheme="majorBidi"/>
          <w:sz w:val="24"/>
          <w:szCs w:val="24"/>
        </w:rPr>
        <w:t>but terdapat pada hadis Nabi Saw yang diriwayatkan oleh Abu Daud dari Abu Hurairah ra:</w:t>
      </w:r>
    </w:p>
    <w:p w:rsidR="00343B61" w:rsidRPr="00CE2A16" w:rsidRDefault="00343B61" w:rsidP="00343B61">
      <w:pPr>
        <w:autoSpaceDE w:val="0"/>
        <w:autoSpaceDN w:val="0"/>
        <w:bidi/>
        <w:adjustRightInd w:val="0"/>
        <w:spacing w:after="0" w:line="240" w:lineRule="auto"/>
        <w:jc w:val="both"/>
        <w:rPr>
          <w:rFonts w:ascii="Adobe نسخ Medium" w:hAnsi="Adobe نسخ Medium" w:cs="Adobe نسخ Medium"/>
          <w:sz w:val="32"/>
          <w:szCs w:val="32"/>
          <w:rtl/>
        </w:rPr>
      </w:pPr>
      <w:r w:rsidRPr="00B56DEB">
        <w:rPr>
          <w:rFonts w:ascii="Adobe نسخ Medium" w:hAnsi="Adobe نسخ Medium" w:cs="Traditional Arabic"/>
          <w:sz w:val="32"/>
          <w:szCs w:val="32"/>
          <w:rtl/>
        </w:rPr>
        <w:t xml:space="preserve">عَنْ أَبِي هُرَيْرَةَ ، فِيمَا أَعْلَمُ ، عَنْ رَسُولِ اللهِ صلى الله عليه وسلم قَالَ : إِنَّ اللَّهَ يَبْعَثُ لِهَذِهِ الأُمَّةِ عَلَى رَأْسِ كُلِّ مِائَةِ سَنَةٍ مَنْ يُجَدِّدُ لَهَا دِينَهَا.( رَوَاهُ أَبُو دَاوُدَ </w:t>
      </w:r>
      <w:r w:rsidRPr="00CE2A16">
        <w:rPr>
          <w:rFonts w:ascii="Adobe نسخ Medium" w:hAnsi="Adobe نسخ Medium" w:cs="Adobe نسخ Medium"/>
          <w:sz w:val="32"/>
          <w:szCs w:val="32"/>
          <w:rtl/>
        </w:rPr>
        <w:t>)</w:t>
      </w:r>
      <w:r w:rsidRPr="00CE2A16">
        <w:rPr>
          <w:rStyle w:val="FootnoteReference"/>
          <w:rFonts w:ascii="Adobe نسخ Medium" w:hAnsi="Adobe نسخ Medium" w:cs="Adobe نسخ Medium"/>
          <w:sz w:val="32"/>
          <w:szCs w:val="32"/>
          <w:rtl/>
        </w:rPr>
        <w:footnoteReference w:id="407"/>
      </w:r>
    </w:p>
    <w:p w:rsidR="00343B61" w:rsidRPr="00910CE3" w:rsidRDefault="00343B61" w:rsidP="00343B61">
      <w:pPr>
        <w:autoSpaceDE w:val="0"/>
        <w:autoSpaceDN w:val="0"/>
        <w:adjustRightInd w:val="0"/>
        <w:spacing w:after="0" w:line="240" w:lineRule="auto"/>
        <w:ind w:left="720"/>
        <w:jc w:val="both"/>
        <w:rPr>
          <w:rFonts w:asciiTheme="majorBidi" w:hAnsiTheme="majorBidi" w:cstheme="majorBidi"/>
          <w:i/>
          <w:iCs/>
          <w:sz w:val="24"/>
          <w:szCs w:val="24"/>
        </w:rPr>
      </w:pPr>
      <w:r w:rsidRPr="00910CE3">
        <w:rPr>
          <w:rFonts w:asciiTheme="majorBidi" w:hAnsiTheme="majorBidi" w:cstheme="majorBidi"/>
          <w:sz w:val="24"/>
          <w:szCs w:val="24"/>
        </w:rPr>
        <w:t>Artinya:</w:t>
      </w:r>
      <w:r w:rsidRPr="00910CE3">
        <w:rPr>
          <w:rFonts w:asciiTheme="majorBidi" w:hAnsiTheme="majorBidi" w:cstheme="majorBidi"/>
          <w:i/>
          <w:iCs/>
          <w:sz w:val="24"/>
          <w:szCs w:val="24"/>
        </w:rPr>
        <w:t xml:space="preserve"> “ Dari Abu Hurairah, sebagaimana yang aku ketahui dari Rasul Saw bersabda; Sesungguhnya Allah akan mengutus untuk umat ini setiap seratus tahun ada orang yang memperbarui agamanya” </w:t>
      </w:r>
      <w:r w:rsidRPr="00910CE3">
        <w:rPr>
          <w:rFonts w:asciiTheme="majorBidi" w:hAnsiTheme="majorBidi" w:cstheme="majorBidi"/>
          <w:sz w:val="24"/>
          <w:szCs w:val="24"/>
        </w:rPr>
        <w:t>( HR. Abu Daud)</w:t>
      </w:r>
    </w:p>
    <w:p w:rsidR="00343B61" w:rsidRPr="00910CE3" w:rsidRDefault="00343B61" w:rsidP="00343B61">
      <w:pPr>
        <w:autoSpaceDE w:val="0"/>
        <w:autoSpaceDN w:val="0"/>
        <w:adjustRightInd w:val="0"/>
        <w:spacing w:after="0" w:line="360" w:lineRule="auto"/>
        <w:ind w:left="720"/>
        <w:jc w:val="both"/>
        <w:rPr>
          <w:rFonts w:asciiTheme="majorBidi" w:hAnsiTheme="majorBidi" w:cstheme="majorBidi"/>
          <w:i/>
          <w:iCs/>
          <w:sz w:val="24"/>
          <w:szCs w:val="24"/>
        </w:rPr>
      </w:pP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Terkait hadis diatas, ulama sepakat atas kesahihannya, seperti Al-Baihaqi  al-Manawi dan Zaid al-din al-‘Iraqi dari kelompok ulama salaf.</w:t>
      </w:r>
      <w:r w:rsidRPr="00910CE3">
        <w:rPr>
          <w:rStyle w:val="FootnoteReference"/>
          <w:rFonts w:asciiTheme="majorBidi" w:hAnsiTheme="majorBidi" w:cstheme="majorBidi"/>
          <w:sz w:val="24"/>
          <w:szCs w:val="24"/>
        </w:rPr>
        <w:footnoteReference w:id="408"/>
      </w:r>
      <w:r w:rsidRPr="00910CE3">
        <w:rPr>
          <w:rFonts w:asciiTheme="majorBidi" w:hAnsiTheme="majorBidi" w:cstheme="majorBidi"/>
          <w:sz w:val="24"/>
          <w:szCs w:val="24"/>
        </w:rPr>
        <w:t xml:space="preserve"> Al-Hadiz Ibn </w:t>
      </w:r>
      <w:r w:rsidRPr="00910CE3">
        <w:rPr>
          <w:rFonts w:asciiTheme="majorBidi" w:hAnsiTheme="majorBidi" w:cstheme="majorBidi"/>
          <w:sz w:val="24"/>
          <w:szCs w:val="24"/>
        </w:rPr>
        <w:lastRenderedPageBreak/>
        <w:t xml:space="preserve">Hajar Al-Asqallani dari kalangan ulama </w:t>
      </w:r>
      <w:r w:rsidRPr="00910CE3">
        <w:rPr>
          <w:rFonts w:asciiTheme="majorBidi" w:hAnsiTheme="majorBidi" w:cstheme="majorBidi"/>
          <w:i/>
          <w:iCs/>
          <w:sz w:val="24"/>
          <w:szCs w:val="24"/>
        </w:rPr>
        <w:t>Khalaf</w:t>
      </w:r>
      <w:r w:rsidRPr="00910CE3">
        <w:rPr>
          <w:rFonts w:asciiTheme="majorBidi" w:hAnsiTheme="majorBidi" w:cstheme="majorBidi"/>
          <w:sz w:val="24"/>
          <w:szCs w:val="24"/>
        </w:rPr>
        <w:t>, begitu juga Nasir al-Din al-Bani dari kalangan ul</w:t>
      </w:r>
      <w:r>
        <w:rPr>
          <w:rFonts w:asciiTheme="majorBidi" w:hAnsiTheme="majorBidi" w:cstheme="majorBidi"/>
          <w:sz w:val="24"/>
          <w:szCs w:val="24"/>
        </w:rPr>
        <w:t>a</w:t>
      </w:r>
      <w:r w:rsidRPr="00910CE3">
        <w:rPr>
          <w:rFonts w:asciiTheme="majorBidi" w:hAnsiTheme="majorBidi" w:cstheme="majorBidi"/>
          <w:sz w:val="24"/>
          <w:szCs w:val="24"/>
        </w:rPr>
        <w:t>ma kontemporer.</w:t>
      </w:r>
      <w:r w:rsidRPr="00910CE3">
        <w:rPr>
          <w:rStyle w:val="FootnoteReference"/>
          <w:rFonts w:asciiTheme="majorBidi" w:hAnsiTheme="majorBidi" w:cstheme="majorBidi"/>
          <w:sz w:val="24"/>
          <w:szCs w:val="24"/>
        </w:rPr>
        <w:footnoteReference w:id="409"/>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Sedangkan istilah Hukum Keluarga (</w:t>
      </w:r>
      <w:r w:rsidRPr="00910CE3">
        <w:rPr>
          <w:rFonts w:asciiTheme="majorBidi" w:hAnsiTheme="majorBidi" w:cstheme="majorBidi"/>
          <w:i/>
          <w:iCs/>
          <w:sz w:val="24"/>
          <w:szCs w:val="24"/>
        </w:rPr>
        <w:t>al-ahwal al-Syakhsiyah</w:t>
      </w:r>
      <w:r w:rsidRPr="00910CE3">
        <w:rPr>
          <w:rFonts w:asciiTheme="majorBidi" w:hAnsiTheme="majorBidi" w:cstheme="majorBidi"/>
          <w:sz w:val="24"/>
          <w:szCs w:val="24"/>
        </w:rPr>
        <w:t>) didefinisikan oleh Wahbah al-Zuhaili sebagai hukum tentang hubungan manusia dengan keluarganya, yang dimulai dari perkawinan sampai be</w:t>
      </w:r>
      <w:r>
        <w:rPr>
          <w:rFonts w:asciiTheme="majorBidi" w:hAnsiTheme="majorBidi" w:cstheme="majorBidi"/>
          <w:sz w:val="24"/>
          <w:szCs w:val="24"/>
        </w:rPr>
        <w:t>rakhir pada pembagian warisan ka</w:t>
      </w:r>
      <w:r w:rsidRPr="00910CE3">
        <w:rPr>
          <w:rFonts w:asciiTheme="majorBidi" w:hAnsiTheme="majorBidi" w:cstheme="majorBidi"/>
          <w:sz w:val="24"/>
          <w:szCs w:val="24"/>
        </w:rPr>
        <w:t>rena ada anggota keluarga yang meninggal dunia.</w:t>
      </w:r>
      <w:r w:rsidRPr="00910CE3">
        <w:rPr>
          <w:rStyle w:val="FootnoteReference"/>
          <w:rFonts w:asciiTheme="majorBidi" w:hAnsiTheme="majorBidi" w:cstheme="majorBidi"/>
          <w:sz w:val="24"/>
          <w:szCs w:val="24"/>
        </w:rPr>
        <w:footnoteReference w:id="410"/>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Sementara Hukum Keluarga menurut Abd Wahhab Khallaf adalah hukum yang mengatur kehidupan, yang dimulai dari awal pembentukan keluarga, tujuannya adalah untuk mengatur hubungan suami, istri, dan anggota keluarga.</w:t>
      </w:r>
      <w:r w:rsidRPr="00910CE3">
        <w:rPr>
          <w:rStyle w:val="FootnoteReference"/>
          <w:rFonts w:asciiTheme="majorBidi" w:hAnsiTheme="majorBidi" w:cstheme="majorBidi"/>
          <w:sz w:val="24"/>
          <w:szCs w:val="24"/>
        </w:rPr>
        <w:footnoteReference w:id="411"/>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Menurut Khairuddin Nasution Hukum Keluarga adalah hukum yang mengatur antara keluarga. Maksud keluarga dari pengertian di</w:t>
      </w:r>
      <w:r>
        <w:rPr>
          <w:rFonts w:asciiTheme="majorBidi" w:hAnsiTheme="majorBidi" w:cstheme="majorBidi"/>
          <w:sz w:val="24"/>
          <w:szCs w:val="24"/>
        </w:rPr>
        <w:t xml:space="preserve"> </w:t>
      </w:r>
      <w:r w:rsidRPr="00910CE3">
        <w:rPr>
          <w:rFonts w:asciiTheme="majorBidi" w:hAnsiTheme="majorBidi" w:cstheme="majorBidi"/>
          <w:sz w:val="24"/>
          <w:szCs w:val="24"/>
        </w:rPr>
        <w:t>atas dibatasi pada keluarga pokok (</w:t>
      </w:r>
      <w:r w:rsidRPr="00910CE3">
        <w:rPr>
          <w:rFonts w:asciiTheme="majorBidi" w:hAnsiTheme="majorBidi" w:cstheme="majorBidi"/>
          <w:i/>
          <w:iCs/>
          <w:sz w:val="24"/>
          <w:szCs w:val="24"/>
        </w:rPr>
        <w:t>nuclear family</w:t>
      </w:r>
      <w:r w:rsidRPr="00910CE3">
        <w:rPr>
          <w:rFonts w:asciiTheme="majorBidi" w:hAnsiTheme="majorBidi" w:cstheme="majorBidi"/>
          <w:sz w:val="24"/>
          <w:szCs w:val="24"/>
        </w:rPr>
        <w:t>), yakni bapak, ibu dan anak-anak, baik ketika masih sama-sama hidup dalam satu rumahtangga maupun setelah terjadi perpisahan, baik perpisahan karena meninggal dunia maupun kerena percerain.</w:t>
      </w:r>
      <w:r w:rsidRPr="00910CE3">
        <w:rPr>
          <w:rStyle w:val="FootnoteReference"/>
          <w:rFonts w:asciiTheme="majorBidi" w:hAnsiTheme="majorBidi" w:cstheme="majorBidi"/>
          <w:sz w:val="24"/>
          <w:szCs w:val="24"/>
        </w:rPr>
        <w:footnoteReference w:id="412"/>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Pembaruan hukum Islam, menurut Abdul Manan, adalah upaya dan perbuatan melalui proses tertentu dengan penuh kesungguhan oleh pihak-pihak yang memiliki kompetensi dan otoritas dalam pengembangan hukum Islam (</w:t>
      </w:r>
      <w:r w:rsidRPr="00910CE3">
        <w:rPr>
          <w:rFonts w:asciiTheme="majorBidi" w:hAnsiTheme="majorBidi" w:cstheme="majorBidi"/>
          <w:i/>
          <w:iCs/>
          <w:sz w:val="24"/>
          <w:szCs w:val="24"/>
        </w:rPr>
        <w:t>mujtahid</w:t>
      </w:r>
      <w:r w:rsidRPr="00910CE3">
        <w:rPr>
          <w:rFonts w:asciiTheme="majorBidi" w:hAnsiTheme="majorBidi" w:cstheme="majorBidi"/>
          <w:sz w:val="24"/>
          <w:szCs w:val="24"/>
        </w:rPr>
        <w:t xml:space="preserve">), melalui cara-cara yang telah ditentukan berdasarkan kaidah-kaidah </w:t>
      </w:r>
      <w:r w:rsidRPr="00910CE3">
        <w:rPr>
          <w:rFonts w:asciiTheme="majorBidi" w:hAnsiTheme="majorBidi" w:cstheme="majorBidi"/>
          <w:i/>
          <w:iCs/>
          <w:sz w:val="24"/>
          <w:szCs w:val="24"/>
        </w:rPr>
        <w:lastRenderedPageBreak/>
        <w:t>istinbat</w:t>
      </w:r>
      <w:r w:rsidRPr="00910CE3">
        <w:rPr>
          <w:rFonts w:asciiTheme="majorBidi" w:hAnsiTheme="majorBidi" w:cstheme="majorBidi"/>
          <w:sz w:val="24"/>
          <w:szCs w:val="24"/>
        </w:rPr>
        <w:t xml:space="preserve"> hukum, agar hukum Islam dapat disesuaikan dengan perkembangan zaman.</w:t>
      </w:r>
      <w:r w:rsidRPr="00910CE3">
        <w:rPr>
          <w:rStyle w:val="FootnoteReference"/>
          <w:rFonts w:asciiTheme="majorBidi" w:hAnsiTheme="majorBidi" w:cstheme="majorBidi"/>
          <w:sz w:val="24"/>
          <w:szCs w:val="24"/>
        </w:rPr>
        <w:footnoteReference w:id="413"/>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Menurut Amir Syarifuddin, perlunya pembaruan pemikiran hukum Islam (fiqh) dalam rangka tercapainya kemaslahatan masyarakat sesuai dengan tujuan hukum diturunkan Allah swt. Sementara kemaslahatan umat banyak ditentukan oleh faktor waktu, tempat dan keadaan. Kemaslahatan dapat berubah bila waktu sudah berubah dan kondisi masyarakat juga sudah mengalami perubahan. Apa yang dianggap maslahat dalam waktu tertentu, dalam waktu berikutnya mungkin tidak dianggap maslahat lagi dan begitu pula sebaliknya.</w:t>
      </w:r>
      <w:r w:rsidRPr="00910CE3">
        <w:rPr>
          <w:rStyle w:val="FootnoteReference"/>
          <w:rFonts w:asciiTheme="majorBidi" w:hAnsiTheme="majorBidi" w:cstheme="majorBidi"/>
          <w:sz w:val="24"/>
          <w:szCs w:val="24"/>
        </w:rPr>
        <w:footnoteReference w:id="414"/>
      </w:r>
      <w:r w:rsidRPr="00910CE3">
        <w:rPr>
          <w:rFonts w:asciiTheme="majorBidi" w:hAnsiTheme="majorBidi" w:cstheme="majorBidi"/>
          <w:sz w:val="24"/>
          <w:szCs w:val="24"/>
        </w:rPr>
        <w:t xml:space="preserve"> Demikian halnya perbedaan situasi sebuah wilayah atau tempat juga menjadi salah satu pertimbangan pentingnya pembaruan hukum Islam. Apalagi disadari adanya perbedaan budaya Indonesia dengan budaya masyarakat Timur Tengah (Arab) tempat fiqh global dirumuskan.</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Pertimbangan pembentukan hukum Islam Indonesia tersebut menunjukkan bahwa pembaruan hukum Islam memiliki landasan logis, ontologis, epistemologis dan historis yang merupakan filosofi dan indikator–indikator utama dari keinginan kuat umat Islam untuk tetap mempertahankan hukum Islam sebagai sistem hukum yang selama ini telah menjadi pedoman hidup sekian banyak penduduk dunia di berbagai Negara.</w:t>
      </w:r>
      <w:r w:rsidRPr="00910CE3">
        <w:rPr>
          <w:rStyle w:val="FootnoteReference"/>
          <w:rFonts w:asciiTheme="majorBidi" w:hAnsiTheme="majorBidi" w:cstheme="majorBidi"/>
          <w:sz w:val="24"/>
          <w:szCs w:val="24"/>
        </w:rPr>
        <w:footnoteReference w:id="415"/>
      </w:r>
      <w:r w:rsidRPr="00910CE3">
        <w:rPr>
          <w:rFonts w:asciiTheme="majorBidi" w:hAnsiTheme="majorBidi" w:cstheme="majorBidi"/>
          <w:sz w:val="24"/>
          <w:szCs w:val="24"/>
        </w:rPr>
        <w:t xml:space="preserve"> Rene Davis dan John Brierly mengistilahkan dengan “ </w:t>
      </w:r>
      <w:r w:rsidRPr="00910CE3">
        <w:rPr>
          <w:rFonts w:asciiTheme="majorBidi" w:hAnsiTheme="majorBidi" w:cstheme="majorBidi"/>
          <w:i/>
          <w:iCs/>
          <w:sz w:val="24"/>
          <w:szCs w:val="24"/>
        </w:rPr>
        <w:t>Muslim La</w:t>
      </w:r>
      <w:r>
        <w:rPr>
          <w:rFonts w:asciiTheme="majorBidi" w:hAnsiTheme="majorBidi" w:cstheme="majorBidi"/>
          <w:i/>
          <w:iCs/>
          <w:sz w:val="24"/>
          <w:szCs w:val="24"/>
        </w:rPr>
        <w:t>w remains one of the great legal</w:t>
      </w:r>
      <w:r w:rsidRPr="00910CE3">
        <w:rPr>
          <w:rFonts w:asciiTheme="majorBidi" w:hAnsiTheme="majorBidi" w:cstheme="majorBidi"/>
          <w:i/>
          <w:iCs/>
          <w:sz w:val="24"/>
          <w:szCs w:val="24"/>
        </w:rPr>
        <w:t xml:space="preserve"> system of the modern wor</w:t>
      </w:r>
      <w:r>
        <w:rPr>
          <w:rFonts w:asciiTheme="majorBidi" w:hAnsiTheme="majorBidi" w:cstheme="majorBidi"/>
          <w:i/>
          <w:iCs/>
          <w:sz w:val="24"/>
          <w:szCs w:val="24"/>
        </w:rPr>
        <w:t>l</w:t>
      </w:r>
      <w:r w:rsidRPr="00910CE3">
        <w:rPr>
          <w:rFonts w:asciiTheme="majorBidi" w:hAnsiTheme="majorBidi" w:cstheme="majorBidi"/>
          <w:i/>
          <w:iCs/>
          <w:sz w:val="24"/>
          <w:szCs w:val="24"/>
        </w:rPr>
        <w:t>d, dealing with human affairs of a total Muslim population in  various countries of over 500 million people</w:t>
      </w:r>
      <w:r w:rsidRPr="00910CE3">
        <w:rPr>
          <w:rFonts w:asciiTheme="majorBidi" w:hAnsiTheme="majorBidi" w:cstheme="majorBidi"/>
          <w:sz w:val="24"/>
          <w:szCs w:val="24"/>
        </w:rPr>
        <w:t xml:space="preserve">. </w:t>
      </w:r>
      <w:r w:rsidRPr="00910CE3">
        <w:rPr>
          <w:rStyle w:val="FootnoteReference"/>
          <w:rFonts w:asciiTheme="majorBidi" w:hAnsiTheme="majorBidi" w:cstheme="majorBidi"/>
          <w:sz w:val="24"/>
          <w:szCs w:val="24"/>
        </w:rPr>
        <w:footnoteReference w:id="416"/>
      </w:r>
      <w:r w:rsidRPr="00910CE3">
        <w:rPr>
          <w:rFonts w:asciiTheme="majorBidi" w:hAnsiTheme="majorBidi" w:cstheme="majorBidi"/>
          <w:sz w:val="24"/>
          <w:szCs w:val="24"/>
        </w:rPr>
        <w:t xml:space="preserve"> maksudnya adalah bahwa hukum Islam akan tetap menjadi suatu sistem hukum besar di dunia modern, yang menyangkut masalah manusia dari jumlah populasinya di berbagai Negara yang lebih dari 500 juta warga. </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lastRenderedPageBreak/>
        <w:t>Noel J. Coulson, seperti dikutip oleh Amir Mu'alim dan Yusdani dalam buku Konfigurasi Pemikiran Hukum Islam, menyatakan bahwa pembaruan hukum Islam menampakkan diri dalam empat bentuk, yakni:</w:t>
      </w:r>
    </w:p>
    <w:p w:rsidR="00343B61" w:rsidRPr="00910CE3" w:rsidRDefault="00343B61" w:rsidP="00343B61">
      <w:pPr>
        <w:autoSpaceDE w:val="0"/>
        <w:autoSpaceDN w:val="0"/>
        <w:adjustRightInd w:val="0"/>
        <w:spacing w:after="0" w:line="360" w:lineRule="auto"/>
        <w:ind w:left="900" w:hanging="180"/>
        <w:jc w:val="both"/>
        <w:rPr>
          <w:rFonts w:asciiTheme="majorBidi" w:hAnsiTheme="majorBidi" w:cstheme="majorBidi"/>
          <w:sz w:val="24"/>
          <w:szCs w:val="24"/>
        </w:rPr>
      </w:pPr>
      <w:r w:rsidRPr="00910CE3">
        <w:rPr>
          <w:rFonts w:asciiTheme="majorBidi" w:hAnsiTheme="majorBidi" w:cstheme="majorBidi"/>
          <w:sz w:val="24"/>
          <w:szCs w:val="24"/>
        </w:rPr>
        <w:t xml:space="preserve">1. Kodifikasi (yaitu pengelompokan hukum yang sejenis ke dalam kitab undang-undang) hukum Islam menjadi hukum perundang-undangan negara, yang disebut sebagai doktrin siyāsah ; </w:t>
      </w:r>
    </w:p>
    <w:p w:rsidR="00343B61" w:rsidRPr="00910CE3" w:rsidRDefault="00343B61" w:rsidP="00343B61">
      <w:pPr>
        <w:autoSpaceDE w:val="0"/>
        <w:autoSpaceDN w:val="0"/>
        <w:adjustRightInd w:val="0"/>
        <w:spacing w:after="0" w:line="360" w:lineRule="auto"/>
        <w:ind w:left="990" w:hanging="270"/>
        <w:jc w:val="both"/>
        <w:rPr>
          <w:rFonts w:ascii="Times New Roman" w:hAnsi="Times New Roman" w:cs="Times New Roman"/>
          <w:sz w:val="24"/>
          <w:szCs w:val="24"/>
        </w:rPr>
      </w:pPr>
      <w:r w:rsidRPr="00910CE3">
        <w:rPr>
          <w:rFonts w:ascii="Times New Roman" w:hAnsi="Times New Roman" w:cs="Times New Roman"/>
          <w:sz w:val="24"/>
          <w:szCs w:val="24"/>
        </w:rPr>
        <w:t xml:space="preserve">2. Tidak terikatnya umat Islam pada hanya satu mazhab hukum tertentu, yang disebut sebagai doktrin </w:t>
      </w:r>
      <w:r w:rsidRPr="00910CE3">
        <w:rPr>
          <w:rFonts w:ascii="Times New Roman" w:hAnsi="Times New Roman" w:cs="Times New Roman"/>
          <w:i/>
          <w:iCs/>
          <w:sz w:val="24"/>
          <w:szCs w:val="24"/>
        </w:rPr>
        <w:t xml:space="preserve">takhayyur </w:t>
      </w:r>
      <w:r>
        <w:rPr>
          <w:rFonts w:ascii="Times New Roman" w:hAnsi="Times New Roman" w:cs="Times New Roman"/>
          <w:sz w:val="24"/>
          <w:szCs w:val="24"/>
        </w:rPr>
        <w:t>(seleksi) yaitu pendapat man</w:t>
      </w:r>
      <w:r w:rsidRPr="00910CE3">
        <w:rPr>
          <w:rFonts w:ascii="Times New Roman" w:hAnsi="Times New Roman" w:cs="Times New Roman"/>
          <w:sz w:val="24"/>
          <w:szCs w:val="24"/>
        </w:rPr>
        <w:t>a yang paling dominan dalam masyarakat:</w:t>
      </w:r>
    </w:p>
    <w:p w:rsidR="00343B61" w:rsidRPr="00B56DEB" w:rsidRDefault="00343B61" w:rsidP="00343B61">
      <w:pPr>
        <w:autoSpaceDE w:val="0"/>
        <w:autoSpaceDN w:val="0"/>
        <w:adjustRightInd w:val="0"/>
        <w:spacing w:after="0" w:line="360" w:lineRule="auto"/>
        <w:ind w:left="990" w:hanging="270"/>
        <w:jc w:val="both"/>
        <w:rPr>
          <w:rFonts w:ascii="Times New Roman" w:hAnsi="Times New Roman" w:cs="Times New Roman"/>
          <w:sz w:val="24"/>
          <w:szCs w:val="24"/>
        </w:rPr>
      </w:pPr>
      <w:r w:rsidRPr="00910CE3">
        <w:rPr>
          <w:rFonts w:ascii="Times New Roman" w:hAnsi="Times New Roman" w:cs="Times New Roman"/>
          <w:sz w:val="24"/>
          <w:szCs w:val="24"/>
        </w:rPr>
        <w:t xml:space="preserve">3. Perkembangan hukum dalam mengantisipasi perkembangan peristiwa hukum yang baru timbul, yang disebut sebagai doktrin </w:t>
      </w:r>
      <w:r w:rsidRPr="00910CE3">
        <w:rPr>
          <w:rFonts w:ascii="Times New Roman" w:hAnsi="Times New Roman" w:cs="Times New Roman"/>
          <w:i/>
          <w:iCs/>
          <w:sz w:val="24"/>
          <w:szCs w:val="24"/>
        </w:rPr>
        <w:t xml:space="preserve">tatbiq </w:t>
      </w:r>
      <w:r w:rsidRPr="00910CE3">
        <w:rPr>
          <w:rFonts w:ascii="Times New Roman" w:hAnsi="Times New Roman" w:cs="Times New Roman"/>
          <w:sz w:val="24"/>
          <w:szCs w:val="24"/>
        </w:rPr>
        <w:t>(penerapan hukum terhadap peristiwa baru);</w:t>
      </w:r>
    </w:p>
    <w:p w:rsidR="00343B61" w:rsidRPr="00910CE3" w:rsidRDefault="00343B61" w:rsidP="00343B61">
      <w:pPr>
        <w:autoSpaceDE w:val="0"/>
        <w:autoSpaceDN w:val="0"/>
        <w:adjustRightInd w:val="0"/>
        <w:spacing w:after="0" w:line="360" w:lineRule="auto"/>
        <w:ind w:left="990" w:hanging="270"/>
        <w:jc w:val="both"/>
        <w:rPr>
          <w:rFonts w:ascii="Times New Roman" w:hAnsi="Times New Roman" w:cs="Times New Roman"/>
          <w:sz w:val="24"/>
          <w:szCs w:val="24"/>
        </w:rPr>
      </w:pPr>
      <w:r w:rsidRPr="00910CE3">
        <w:rPr>
          <w:rFonts w:ascii="Times New Roman" w:hAnsi="Times New Roman" w:cs="Times New Roman"/>
          <w:sz w:val="24"/>
          <w:szCs w:val="24"/>
        </w:rPr>
        <w:t xml:space="preserve">4. Perubahan hukum dari yang lama kepada yang baru disebut doktrin </w:t>
      </w:r>
      <w:r w:rsidRPr="00910CE3">
        <w:rPr>
          <w:rFonts w:ascii="Times New Roman" w:hAnsi="Times New Roman" w:cs="Times New Roman"/>
          <w:i/>
          <w:iCs/>
          <w:sz w:val="24"/>
          <w:szCs w:val="24"/>
        </w:rPr>
        <w:t>tajdid</w:t>
      </w:r>
      <w:r w:rsidRPr="00910CE3">
        <w:rPr>
          <w:rFonts w:ascii="Times New Roman" w:hAnsi="Times New Roman" w:cs="Times New Roman"/>
          <w:sz w:val="24"/>
          <w:szCs w:val="24"/>
        </w:rPr>
        <w:t xml:space="preserve"> (reinterpretasi).</w:t>
      </w:r>
      <w:r w:rsidRPr="00910CE3">
        <w:rPr>
          <w:rStyle w:val="FootnoteReference"/>
          <w:rFonts w:ascii="Times New Roman" w:hAnsi="Times New Roman" w:cs="Times New Roman"/>
          <w:sz w:val="24"/>
          <w:szCs w:val="24"/>
        </w:rPr>
        <w:footnoteReference w:id="417"/>
      </w:r>
    </w:p>
    <w:p w:rsidR="00343B61" w:rsidRPr="00910CE3" w:rsidRDefault="00343B61" w:rsidP="00343B61">
      <w:pPr>
        <w:autoSpaceDE w:val="0"/>
        <w:autoSpaceDN w:val="0"/>
        <w:adjustRightInd w:val="0"/>
        <w:spacing w:after="0" w:line="360" w:lineRule="auto"/>
        <w:ind w:firstLine="540"/>
        <w:jc w:val="both"/>
        <w:rPr>
          <w:rFonts w:ascii="Times New Roman" w:hAnsi="Times New Roman" w:cs="Times New Roman"/>
          <w:sz w:val="24"/>
          <w:szCs w:val="24"/>
        </w:rPr>
      </w:pPr>
      <w:r w:rsidRPr="00910CE3">
        <w:rPr>
          <w:rFonts w:ascii="Times New Roman" w:hAnsi="Times New Roman" w:cs="Times New Roman"/>
          <w:sz w:val="24"/>
          <w:szCs w:val="24"/>
        </w:rPr>
        <w:t xml:space="preserve">Tampaknya, Coulson mengartikan perubahan sama dengan pembaharuan. Friedman, seperti dikemukakan Soerjono Soekanto memandang bahwa kedua istilah tersebut merupakan dua konsep yang berbeda. Perubahan hukum tidak mengubah ketentuan formal, sedangkan pembaharuan hukum mengubah ketentuan formal. </w:t>
      </w:r>
      <w:r w:rsidRPr="00910CE3">
        <w:rPr>
          <w:rStyle w:val="FootnoteReference"/>
          <w:rFonts w:ascii="Times New Roman" w:hAnsi="Times New Roman" w:cs="Times New Roman"/>
          <w:sz w:val="24"/>
          <w:szCs w:val="24"/>
        </w:rPr>
        <w:footnoteReference w:id="418"/>
      </w:r>
    </w:p>
    <w:p w:rsidR="00343B61" w:rsidRPr="00910CE3" w:rsidRDefault="00343B61" w:rsidP="00343B61">
      <w:pPr>
        <w:autoSpaceDE w:val="0"/>
        <w:autoSpaceDN w:val="0"/>
        <w:adjustRightInd w:val="0"/>
        <w:spacing w:after="0" w:line="360" w:lineRule="auto"/>
        <w:ind w:firstLine="540"/>
        <w:jc w:val="both"/>
        <w:rPr>
          <w:rFonts w:asciiTheme="majorBidi" w:hAnsiTheme="majorBidi" w:cstheme="majorBidi"/>
          <w:sz w:val="24"/>
          <w:szCs w:val="24"/>
        </w:rPr>
      </w:pPr>
      <w:r w:rsidRPr="00910CE3">
        <w:rPr>
          <w:rFonts w:asciiTheme="majorBidi" w:hAnsiTheme="majorBidi" w:cstheme="majorBidi"/>
          <w:sz w:val="24"/>
          <w:szCs w:val="24"/>
        </w:rPr>
        <w:t xml:space="preserve">Tahir Mahmood yang melakukan studi terhadap sejumlah perundang-undangan hukum keluarga Islam kontemporer, menulis empat (4) metode yang digunakan sejumlah negara dalam melakukan pembaruan hukum keluarga Islam kontemporer, yakni: (1) </w:t>
      </w:r>
      <w:r w:rsidRPr="00910CE3">
        <w:rPr>
          <w:rFonts w:asciiTheme="majorBidi" w:hAnsiTheme="majorBidi" w:cstheme="majorBidi"/>
          <w:i/>
          <w:iCs/>
          <w:sz w:val="24"/>
          <w:szCs w:val="24"/>
        </w:rPr>
        <w:t>takhayyur</w:t>
      </w:r>
      <w:r w:rsidRPr="00910CE3">
        <w:rPr>
          <w:rFonts w:asciiTheme="majorBidi" w:hAnsiTheme="majorBidi" w:cstheme="majorBidi"/>
          <w:sz w:val="24"/>
          <w:szCs w:val="24"/>
        </w:rPr>
        <w:t xml:space="preserve">, (2) </w:t>
      </w:r>
      <w:r w:rsidRPr="00910CE3">
        <w:rPr>
          <w:rFonts w:asciiTheme="majorBidi" w:hAnsiTheme="majorBidi" w:cstheme="majorBidi"/>
          <w:i/>
          <w:iCs/>
          <w:sz w:val="24"/>
          <w:szCs w:val="24"/>
        </w:rPr>
        <w:t xml:space="preserve">talfiq, </w:t>
      </w:r>
      <w:r w:rsidRPr="00910CE3">
        <w:rPr>
          <w:rFonts w:asciiTheme="majorBidi" w:hAnsiTheme="majorBidi" w:cstheme="majorBidi"/>
          <w:sz w:val="24"/>
          <w:szCs w:val="24"/>
        </w:rPr>
        <w:t xml:space="preserve">(3) </w:t>
      </w:r>
      <w:r w:rsidRPr="00910CE3">
        <w:rPr>
          <w:rFonts w:asciiTheme="majorBidi" w:hAnsiTheme="majorBidi" w:cstheme="majorBidi"/>
          <w:i/>
          <w:iCs/>
          <w:sz w:val="24"/>
          <w:szCs w:val="24"/>
        </w:rPr>
        <w:t>siyâsah syar‘îyah</w:t>
      </w:r>
      <w:r w:rsidRPr="00910CE3">
        <w:rPr>
          <w:rFonts w:asciiTheme="majorBidi" w:hAnsiTheme="majorBidi" w:cstheme="majorBidi"/>
          <w:sz w:val="24"/>
          <w:szCs w:val="24"/>
        </w:rPr>
        <w:t>, dan (4</w:t>
      </w:r>
      <w:r w:rsidRPr="00910CE3">
        <w:rPr>
          <w:rFonts w:asciiTheme="majorBidi" w:hAnsiTheme="majorBidi" w:cstheme="majorBidi"/>
          <w:i/>
          <w:iCs/>
          <w:sz w:val="24"/>
          <w:szCs w:val="24"/>
        </w:rPr>
        <w:t>) ijtihad</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 xml:space="preserve">Takhayyur </w:t>
      </w:r>
      <w:r w:rsidRPr="00910CE3">
        <w:rPr>
          <w:rFonts w:asciiTheme="majorBidi" w:hAnsiTheme="majorBidi" w:cstheme="majorBidi"/>
          <w:sz w:val="24"/>
          <w:szCs w:val="24"/>
        </w:rPr>
        <w:t xml:space="preserve">menurut Tahir Mahmood, muncul dalam tiga (3) bentuk. </w:t>
      </w:r>
      <w:r w:rsidRPr="00910CE3">
        <w:rPr>
          <w:rFonts w:asciiTheme="majorBidi" w:hAnsiTheme="majorBidi" w:cstheme="majorBidi"/>
          <w:i/>
          <w:iCs/>
          <w:sz w:val="24"/>
          <w:szCs w:val="24"/>
        </w:rPr>
        <w:t>Pertama</w:t>
      </w:r>
      <w:r w:rsidRPr="00910CE3">
        <w:rPr>
          <w:rFonts w:asciiTheme="majorBidi" w:hAnsiTheme="majorBidi" w:cstheme="majorBidi"/>
          <w:sz w:val="24"/>
          <w:szCs w:val="24"/>
        </w:rPr>
        <w:t xml:space="preserve">, memilih salah satu dari pendapat imam mazhab. </w:t>
      </w:r>
      <w:r w:rsidRPr="00910CE3">
        <w:rPr>
          <w:rFonts w:asciiTheme="majorBidi" w:hAnsiTheme="majorBidi" w:cstheme="majorBidi"/>
          <w:i/>
          <w:iCs/>
          <w:sz w:val="24"/>
          <w:szCs w:val="24"/>
        </w:rPr>
        <w:t>Kedua</w:t>
      </w:r>
      <w:r w:rsidRPr="00910CE3">
        <w:rPr>
          <w:rFonts w:asciiTheme="majorBidi" w:hAnsiTheme="majorBidi" w:cstheme="majorBidi"/>
          <w:sz w:val="24"/>
          <w:szCs w:val="24"/>
        </w:rPr>
        <w:t xml:space="preserve">, menetapkan </w:t>
      </w:r>
      <w:r w:rsidRPr="00910CE3">
        <w:rPr>
          <w:rFonts w:asciiTheme="majorBidi" w:hAnsiTheme="majorBidi" w:cstheme="majorBidi"/>
          <w:sz w:val="24"/>
          <w:szCs w:val="24"/>
        </w:rPr>
        <w:lastRenderedPageBreak/>
        <w:t xml:space="preserve">satu dari putusan pengadilan (hakim/qadhi). </w:t>
      </w:r>
      <w:r w:rsidRPr="00910CE3">
        <w:rPr>
          <w:rFonts w:asciiTheme="majorBidi" w:hAnsiTheme="majorBidi" w:cstheme="majorBidi"/>
          <w:i/>
          <w:iCs/>
          <w:sz w:val="24"/>
          <w:szCs w:val="24"/>
        </w:rPr>
        <w:t>Ketiga</w:t>
      </w:r>
      <w:r w:rsidRPr="00910CE3">
        <w:rPr>
          <w:rFonts w:asciiTheme="majorBidi" w:hAnsiTheme="majorBidi" w:cstheme="majorBidi"/>
          <w:sz w:val="24"/>
          <w:szCs w:val="24"/>
        </w:rPr>
        <w:t>, memilih salah satu dari pendapat ilmuwan diluar imam mazhab.</w:t>
      </w:r>
      <w:r w:rsidRPr="00910CE3">
        <w:rPr>
          <w:rStyle w:val="FootnoteReference"/>
          <w:rFonts w:asciiTheme="majorBidi" w:hAnsiTheme="majorBidi" w:cstheme="majorBidi"/>
          <w:sz w:val="24"/>
          <w:szCs w:val="24"/>
        </w:rPr>
        <w:footnoteReference w:id="419"/>
      </w:r>
      <w:r w:rsidRPr="00910CE3">
        <w:rPr>
          <w:rFonts w:asciiTheme="majorBidi" w:hAnsiTheme="majorBidi" w:cstheme="majorBidi"/>
          <w:sz w:val="24"/>
          <w:szCs w:val="24"/>
        </w:rPr>
        <w:t xml:space="preserve">  </w:t>
      </w:r>
    </w:p>
    <w:p w:rsidR="00343B61" w:rsidRPr="00910CE3" w:rsidRDefault="00343B61" w:rsidP="00343B61">
      <w:pPr>
        <w:autoSpaceDE w:val="0"/>
        <w:autoSpaceDN w:val="0"/>
        <w:adjustRightInd w:val="0"/>
        <w:spacing w:after="0" w:line="360" w:lineRule="auto"/>
        <w:ind w:firstLine="540"/>
        <w:jc w:val="both"/>
        <w:rPr>
          <w:rFonts w:asciiTheme="majorBidi" w:hAnsiTheme="majorBidi" w:cstheme="majorBidi"/>
          <w:sz w:val="24"/>
          <w:szCs w:val="24"/>
        </w:rPr>
      </w:pPr>
      <w:r w:rsidRPr="00910CE3">
        <w:rPr>
          <w:rFonts w:asciiTheme="majorBidi" w:hAnsiTheme="majorBidi" w:cstheme="majorBidi"/>
          <w:sz w:val="24"/>
          <w:szCs w:val="24"/>
        </w:rPr>
        <w:t>Sementara Khairuddin Nasution melakukan pengelompokan yang secara substansial sama dengan pengelompokan lama dan baru tersebut di atas yaitu:</w:t>
      </w:r>
    </w:p>
    <w:p w:rsidR="00343B61" w:rsidRPr="00910CE3" w:rsidRDefault="00343B61" w:rsidP="00343B61">
      <w:pPr>
        <w:autoSpaceDE w:val="0"/>
        <w:autoSpaceDN w:val="0"/>
        <w:adjustRightInd w:val="0"/>
        <w:spacing w:after="0" w:line="360" w:lineRule="auto"/>
        <w:ind w:firstLine="540"/>
        <w:jc w:val="both"/>
        <w:rPr>
          <w:rFonts w:asciiTheme="majorBidi" w:hAnsiTheme="majorBidi" w:cstheme="majorBidi"/>
          <w:sz w:val="24"/>
          <w:szCs w:val="24"/>
        </w:rPr>
      </w:pPr>
      <w:r w:rsidRPr="00910CE3">
        <w:rPr>
          <w:rFonts w:asciiTheme="majorBidi" w:hAnsiTheme="majorBidi" w:cstheme="majorBidi"/>
          <w:sz w:val="24"/>
          <w:szCs w:val="24"/>
        </w:rPr>
        <w:t xml:space="preserve">1. </w:t>
      </w:r>
      <w:r w:rsidRPr="008C3850">
        <w:rPr>
          <w:rFonts w:asciiTheme="majorBidi" w:hAnsiTheme="majorBidi" w:cstheme="majorBidi"/>
          <w:i/>
          <w:iCs/>
          <w:sz w:val="24"/>
          <w:szCs w:val="24"/>
        </w:rPr>
        <w:t>intra-doctrinal reform</w:t>
      </w:r>
      <w:r w:rsidRPr="00910CE3">
        <w:rPr>
          <w:rFonts w:asciiTheme="majorBidi" w:hAnsiTheme="majorBidi" w:cstheme="majorBidi"/>
          <w:sz w:val="24"/>
          <w:szCs w:val="24"/>
        </w:rPr>
        <w:t xml:space="preserve"> dan</w:t>
      </w:r>
    </w:p>
    <w:p w:rsidR="00343B61" w:rsidRPr="00910CE3" w:rsidRDefault="00343B61" w:rsidP="00343B61">
      <w:pPr>
        <w:autoSpaceDE w:val="0"/>
        <w:autoSpaceDN w:val="0"/>
        <w:adjustRightInd w:val="0"/>
        <w:spacing w:after="0" w:line="360" w:lineRule="auto"/>
        <w:ind w:firstLine="540"/>
        <w:jc w:val="both"/>
        <w:rPr>
          <w:rFonts w:asciiTheme="majorBidi" w:hAnsiTheme="majorBidi" w:cstheme="majorBidi"/>
          <w:sz w:val="24"/>
          <w:szCs w:val="24"/>
        </w:rPr>
      </w:pPr>
      <w:r w:rsidRPr="00910CE3">
        <w:rPr>
          <w:rFonts w:asciiTheme="majorBidi" w:hAnsiTheme="majorBidi" w:cstheme="majorBidi"/>
          <w:sz w:val="24"/>
          <w:szCs w:val="24"/>
        </w:rPr>
        <w:t xml:space="preserve">2. </w:t>
      </w:r>
      <w:r w:rsidRPr="008C3850">
        <w:rPr>
          <w:rFonts w:asciiTheme="majorBidi" w:hAnsiTheme="majorBidi" w:cstheme="majorBidi"/>
          <w:i/>
          <w:iCs/>
          <w:sz w:val="24"/>
          <w:szCs w:val="24"/>
        </w:rPr>
        <w:t>extra-doctrinal reform</w:t>
      </w:r>
      <w:r w:rsidRPr="00910CE3">
        <w:rPr>
          <w:rFonts w:asciiTheme="majorBidi" w:hAnsiTheme="majorBidi" w:cstheme="majorBidi"/>
          <w:sz w:val="24"/>
          <w:szCs w:val="24"/>
        </w:rPr>
        <w:t>.</w:t>
      </w:r>
    </w:p>
    <w:p w:rsidR="00343B61" w:rsidRPr="00910CE3" w:rsidRDefault="00343B61" w:rsidP="00343B61">
      <w:pPr>
        <w:autoSpaceDE w:val="0"/>
        <w:autoSpaceDN w:val="0"/>
        <w:adjustRightInd w:val="0"/>
        <w:spacing w:after="0" w:line="360" w:lineRule="auto"/>
        <w:ind w:firstLine="540"/>
        <w:jc w:val="both"/>
        <w:rPr>
          <w:rFonts w:asciiTheme="majorBidi" w:hAnsiTheme="majorBidi" w:cstheme="majorBidi"/>
          <w:sz w:val="24"/>
          <w:szCs w:val="24"/>
        </w:rPr>
      </w:pPr>
      <w:r w:rsidRPr="00910CE3">
        <w:rPr>
          <w:rFonts w:asciiTheme="majorBidi" w:hAnsiTheme="majorBidi" w:cstheme="majorBidi"/>
          <w:sz w:val="24"/>
          <w:szCs w:val="24"/>
        </w:rPr>
        <w:t xml:space="preserve">Adapun </w:t>
      </w:r>
      <w:r w:rsidRPr="00910CE3">
        <w:rPr>
          <w:rFonts w:asciiTheme="majorBidi" w:hAnsiTheme="majorBidi" w:cstheme="majorBidi"/>
          <w:i/>
          <w:iCs/>
          <w:sz w:val="24"/>
          <w:szCs w:val="24"/>
        </w:rPr>
        <w:t>intra-doctrinal reform</w:t>
      </w:r>
      <w:r w:rsidRPr="00910CE3">
        <w:rPr>
          <w:rFonts w:asciiTheme="majorBidi" w:hAnsiTheme="majorBidi" w:cstheme="majorBidi"/>
          <w:sz w:val="24"/>
          <w:szCs w:val="24"/>
        </w:rPr>
        <w:t xml:space="preserve"> adalah pembaruan dengan cara tetap merujuk pada konsep fiqh konvensional, dengan cara (1) takhayyur dan (2) talfiq. Sementara </w:t>
      </w:r>
      <w:r w:rsidRPr="00910CE3">
        <w:rPr>
          <w:rFonts w:asciiTheme="majorBidi" w:hAnsiTheme="majorBidi" w:cstheme="majorBidi"/>
          <w:i/>
          <w:iCs/>
          <w:sz w:val="24"/>
          <w:szCs w:val="24"/>
        </w:rPr>
        <w:t>extradoctrinal reform</w:t>
      </w:r>
      <w:r w:rsidRPr="00910CE3">
        <w:rPr>
          <w:rFonts w:asciiTheme="majorBidi" w:hAnsiTheme="majorBidi" w:cstheme="majorBidi"/>
          <w:sz w:val="24"/>
          <w:szCs w:val="24"/>
        </w:rPr>
        <w:t xml:space="preserve"> pada prinsipnya tidak lagi merujuk pada konsep fiqh konvensional, tetapi merujuk pada </w:t>
      </w:r>
      <w:r w:rsidRPr="00910CE3">
        <w:rPr>
          <w:rFonts w:asciiTheme="majorBidi" w:hAnsiTheme="majorBidi" w:cstheme="majorBidi"/>
          <w:i/>
          <w:iCs/>
          <w:sz w:val="24"/>
          <w:szCs w:val="24"/>
        </w:rPr>
        <w:t>nash</w:t>
      </w:r>
      <w:r w:rsidRPr="00910CE3">
        <w:rPr>
          <w:rFonts w:asciiTheme="majorBidi" w:hAnsiTheme="majorBidi" w:cstheme="majorBidi"/>
          <w:sz w:val="24"/>
          <w:szCs w:val="24"/>
        </w:rPr>
        <w:t xml:space="preserve"> al-Qur’ān dan sunnah nabi Muhammad SAW, dengan melakukan penafsiran ulang terhadap </w:t>
      </w:r>
      <w:r w:rsidRPr="00910CE3">
        <w:rPr>
          <w:rFonts w:asciiTheme="majorBidi" w:hAnsiTheme="majorBidi" w:cstheme="majorBidi"/>
          <w:i/>
          <w:iCs/>
          <w:sz w:val="24"/>
          <w:szCs w:val="24"/>
        </w:rPr>
        <w:t>nash</w:t>
      </w:r>
      <w:r w:rsidRPr="00910CE3">
        <w:rPr>
          <w:rFonts w:asciiTheme="majorBidi" w:hAnsiTheme="majorBidi" w:cstheme="majorBidi"/>
          <w:sz w:val="24"/>
          <w:szCs w:val="24"/>
        </w:rPr>
        <w:t xml:space="preserve"> (reinterpretasi).</w:t>
      </w:r>
      <w:r w:rsidRPr="00910CE3">
        <w:rPr>
          <w:rStyle w:val="FootnoteReference"/>
          <w:rFonts w:asciiTheme="majorBidi" w:hAnsiTheme="majorBidi" w:cstheme="majorBidi"/>
          <w:sz w:val="24"/>
          <w:szCs w:val="24"/>
        </w:rPr>
        <w:footnoteReference w:id="420"/>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Amir Syarifuddin memberikan metode pembaruan hukum Islam dengan empat hal, yaitu; (1) kebijakan administratif, (2) aturan tambahan (3) </w:t>
      </w:r>
      <w:r w:rsidRPr="00910CE3">
        <w:rPr>
          <w:rFonts w:asciiTheme="majorBidi" w:hAnsiTheme="majorBidi" w:cstheme="majorBidi"/>
          <w:i/>
          <w:iCs/>
          <w:sz w:val="24"/>
          <w:szCs w:val="24"/>
        </w:rPr>
        <w:t>talfiq</w:t>
      </w:r>
      <w:r w:rsidRPr="00910CE3">
        <w:rPr>
          <w:rFonts w:asciiTheme="majorBidi" w:hAnsiTheme="majorBidi" w:cstheme="majorBidi"/>
          <w:sz w:val="24"/>
          <w:szCs w:val="24"/>
        </w:rPr>
        <w:t xml:space="preserve"> atas beberapa aturan dan produk</w:t>
      </w:r>
      <w:r w:rsidRPr="00910CE3">
        <w:rPr>
          <w:rFonts w:asciiTheme="majorBidi" w:hAnsiTheme="majorBidi" w:cstheme="majorBidi"/>
          <w:i/>
          <w:iCs/>
          <w:sz w:val="24"/>
          <w:szCs w:val="24"/>
        </w:rPr>
        <w:t xml:space="preserve"> ijtihad</w:t>
      </w:r>
      <w:r w:rsidRPr="00910CE3">
        <w:rPr>
          <w:rFonts w:asciiTheme="majorBidi" w:hAnsiTheme="majorBidi" w:cstheme="majorBidi"/>
          <w:sz w:val="24"/>
          <w:szCs w:val="24"/>
        </w:rPr>
        <w:t xml:space="preserve"> para ulama, ( 4) renterpretasi dan reformulasi atas produk hukum yang tidak lagi aktual.</w:t>
      </w:r>
      <w:r w:rsidRPr="00910CE3">
        <w:rPr>
          <w:rStyle w:val="FootnoteReference"/>
          <w:rFonts w:asciiTheme="majorBidi" w:hAnsiTheme="majorBidi" w:cstheme="majorBidi"/>
          <w:sz w:val="24"/>
          <w:szCs w:val="24"/>
        </w:rPr>
        <w:footnoteReference w:id="421"/>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Anderson, seorang sarjana yang juga mendalami bidang kajian Hukum Keluarga di dunia Islam, khususnya negara di jazirah Timur Tengah  mencatat lima metode yang digunakan ilmuwan dalam melakukan pembaruan hukum keluarga Islam, yakni:  </w:t>
      </w:r>
      <w:r w:rsidRPr="00910CE3">
        <w:rPr>
          <w:rFonts w:asciiTheme="majorBidi" w:hAnsiTheme="majorBidi" w:cstheme="majorBidi"/>
          <w:i/>
          <w:iCs/>
          <w:sz w:val="24"/>
          <w:szCs w:val="24"/>
        </w:rPr>
        <w:t>Pertama</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 xml:space="preserve">takhshîsh al-qadlâ </w:t>
      </w:r>
      <w:r w:rsidRPr="00910CE3">
        <w:rPr>
          <w:rFonts w:asciiTheme="majorBidi" w:hAnsiTheme="majorBidi" w:cstheme="majorBidi"/>
          <w:sz w:val="24"/>
          <w:szCs w:val="24"/>
        </w:rPr>
        <w:t>(</w:t>
      </w:r>
      <w:r w:rsidRPr="00910CE3">
        <w:rPr>
          <w:rFonts w:asciiTheme="majorBidi" w:hAnsiTheme="majorBidi" w:cstheme="majorBidi"/>
          <w:i/>
          <w:iCs/>
          <w:sz w:val="24"/>
          <w:szCs w:val="24"/>
        </w:rPr>
        <w:t>the procedural expedient</w:t>
      </w:r>
      <w:r w:rsidRPr="00910CE3">
        <w:rPr>
          <w:rFonts w:asciiTheme="majorBidi" w:hAnsiTheme="majorBidi" w:cstheme="majorBidi"/>
          <w:sz w:val="24"/>
          <w:szCs w:val="24"/>
        </w:rPr>
        <w:t>), yakni membatasi yurisdiksi</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hakim di pengadilan. </w:t>
      </w:r>
      <w:r w:rsidRPr="00910CE3">
        <w:rPr>
          <w:rFonts w:asciiTheme="majorBidi" w:hAnsiTheme="majorBidi" w:cstheme="majorBidi"/>
          <w:i/>
          <w:iCs/>
          <w:sz w:val="24"/>
          <w:szCs w:val="24"/>
        </w:rPr>
        <w:t>Kedua</w:t>
      </w:r>
      <w:r w:rsidRPr="00910CE3">
        <w:rPr>
          <w:rFonts w:asciiTheme="majorBidi" w:hAnsiTheme="majorBidi" w:cstheme="majorBidi"/>
          <w:sz w:val="24"/>
          <w:szCs w:val="24"/>
        </w:rPr>
        <w:t>, memilih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pendapat ulama, baik dengan </w:t>
      </w:r>
      <w:r w:rsidRPr="00910CE3">
        <w:rPr>
          <w:rFonts w:asciiTheme="majorBidi" w:hAnsiTheme="majorBidi" w:cstheme="majorBidi"/>
          <w:i/>
          <w:iCs/>
          <w:sz w:val="24"/>
          <w:szCs w:val="24"/>
        </w:rPr>
        <w:t>takhayyur</w:t>
      </w:r>
      <w:r w:rsidRPr="00910CE3">
        <w:rPr>
          <w:rFonts w:asciiTheme="majorBidi" w:hAnsiTheme="majorBidi" w:cstheme="majorBidi"/>
          <w:sz w:val="24"/>
          <w:szCs w:val="24"/>
        </w:rPr>
        <w:t>,</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memilih salah satu pendapat, maupun</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dengan </w:t>
      </w:r>
      <w:r w:rsidRPr="00910CE3">
        <w:rPr>
          <w:rFonts w:asciiTheme="majorBidi" w:hAnsiTheme="majorBidi" w:cstheme="majorBidi"/>
          <w:i/>
          <w:iCs/>
          <w:sz w:val="24"/>
          <w:szCs w:val="24"/>
        </w:rPr>
        <w:t>talfiq</w:t>
      </w:r>
      <w:r w:rsidRPr="00910CE3">
        <w:rPr>
          <w:rFonts w:asciiTheme="majorBidi" w:hAnsiTheme="majorBidi" w:cstheme="majorBidi"/>
          <w:sz w:val="24"/>
          <w:szCs w:val="24"/>
        </w:rPr>
        <w:t>, mengkombinasikan beberapa</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pendapat untuk dibangun menjadi satu</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konsep (</w:t>
      </w:r>
      <w:r w:rsidRPr="00910CE3">
        <w:rPr>
          <w:rFonts w:asciiTheme="majorBidi" w:hAnsiTheme="majorBidi" w:cstheme="majorBidi"/>
          <w:i/>
          <w:iCs/>
          <w:sz w:val="24"/>
          <w:szCs w:val="24"/>
        </w:rPr>
        <w:t>the eclectic expedient</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Ketiga</w:t>
      </w:r>
      <w:r w:rsidRPr="00910CE3">
        <w:rPr>
          <w:rFonts w:asciiTheme="majorBidi" w:hAnsiTheme="majorBidi" w:cstheme="majorBidi"/>
          <w:sz w:val="24"/>
          <w:szCs w:val="24"/>
        </w:rPr>
        <w:t>,</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melakukan reinterpretasi (</w:t>
      </w:r>
      <w:r w:rsidRPr="00910CE3">
        <w:rPr>
          <w:rFonts w:asciiTheme="majorBidi" w:hAnsiTheme="majorBidi" w:cstheme="majorBidi"/>
          <w:i/>
          <w:iCs/>
          <w:sz w:val="24"/>
          <w:szCs w:val="24"/>
        </w:rPr>
        <w:t>the expedient of re-interpretation</w:t>
      </w:r>
      <w:r w:rsidRPr="00910CE3">
        <w:rPr>
          <w:rFonts w:asciiTheme="majorBidi" w:hAnsiTheme="majorBidi" w:cstheme="majorBidi"/>
          <w:sz w:val="24"/>
          <w:szCs w:val="24"/>
        </w:rPr>
        <w:t>), yakni menafsirkan ulang</w:t>
      </w:r>
      <w:r w:rsidRPr="00910CE3">
        <w:rPr>
          <w:rFonts w:asciiTheme="majorBidi" w:hAnsiTheme="majorBidi" w:cstheme="majorBidi"/>
          <w:i/>
          <w:iCs/>
          <w:sz w:val="24"/>
          <w:szCs w:val="24"/>
        </w:rPr>
        <w:t xml:space="preserve"> nash</w:t>
      </w:r>
      <w:r w:rsidRPr="00910CE3">
        <w:rPr>
          <w:rFonts w:asciiTheme="majorBidi" w:hAnsiTheme="majorBidi" w:cstheme="majorBidi"/>
          <w:sz w:val="24"/>
          <w:szCs w:val="24"/>
        </w:rPr>
        <w:t xml:space="preserve"> (al-Qur’ān dan sunnah nabi</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 xml:space="preserve">Muhammad SAW.). </w:t>
      </w:r>
      <w:r w:rsidRPr="00910CE3">
        <w:rPr>
          <w:rFonts w:asciiTheme="majorBidi" w:hAnsiTheme="majorBidi" w:cstheme="majorBidi"/>
          <w:i/>
          <w:iCs/>
          <w:sz w:val="24"/>
          <w:szCs w:val="24"/>
        </w:rPr>
        <w:t>Keempat</w:t>
      </w:r>
      <w:r w:rsidRPr="00910CE3">
        <w:rPr>
          <w:rFonts w:asciiTheme="majorBidi" w:hAnsiTheme="majorBidi" w:cstheme="majorBidi"/>
          <w:sz w:val="24"/>
          <w:szCs w:val="24"/>
        </w:rPr>
        <w:t>, siyâsah</w:t>
      </w:r>
      <w:r w:rsidRPr="00910CE3">
        <w:rPr>
          <w:rFonts w:asciiTheme="majorBidi" w:hAnsiTheme="majorBidi" w:cstheme="majorBidi"/>
          <w:i/>
          <w:iCs/>
          <w:sz w:val="24"/>
          <w:szCs w:val="24"/>
        </w:rPr>
        <w:t xml:space="preserve"> </w:t>
      </w:r>
      <w:r w:rsidRPr="00910CE3">
        <w:rPr>
          <w:rFonts w:asciiTheme="majorBidi" w:hAnsiTheme="majorBidi" w:cstheme="majorBidi"/>
          <w:sz w:val="24"/>
          <w:szCs w:val="24"/>
        </w:rPr>
        <w:t>syari‘îyah (</w:t>
      </w:r>
      <w:r w:rsidRPr="00910CE3">
        <w:rPr>
          <w:rFonts w:asciiTheme="majorBidi" w:hAnsiTheme="majorBidi" w:cstheme="majorBidi"/>
          <w:i/>
          <w:iCs/>
          <w:sz w:val="24"/>
          <w:szCs w:val="24"/>
        </w:rPr>
        <w:t>the expedient of administrative</w:t>
      </w:r>
    </w:p>
    <w:p w:rsidR="00343B61" w:rsidRPr="00910CE3" w:rsidRDefault="00343B61" w:rsidP="00343B61">
      <w:pPr>
        <w:autoSpaceDE w:val="0"/>
        <w:autoSpaceDN w:val="0"/>
        <w:adjustRightInd w:val="0"/>
        <w:spacing w:after="0" w:line="360" w:lineRule="auto"/>
        <w:jc w:val="both"/>
        <w:rPr>
          <w:rFonts w:asciiTheme="majorBidi" w:hAnsiTheme="majorBidi" w:cstheme="majorBidi"/>
          <w:sz w:val="24"/>
          <w:szCs w:val="24"/>
        </w:rPr>
      </w:pPr>
      <w:r w:rsidRPr="00910CE3">
        <w:rPr>
          <w:rFonts w:asciiTheme="majorBidi" w:hAnsiTheme="majorBidi" w:cstheme="majorBidi"/>
          <w:i/>
          <w:iCs/>
          <w:sz w:val="24"/>
          <w:szCs w:val="24"/>
        </w:rPr>
        <w:lastRenderedPageBreak/>
        <w:t>orders</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Kelima</w:t>
      </w:r>
      <w:r w:rsidRPr="00910CE3">
        <w:rPr>
          <w:rFonts w:asciiTheme="majorBidi" w:hAnsiTheme="majorBidi" w:cstheme="majorBidi"/>
          <w:sz w:val="24"/>
          <w:szCs w:val="24"/>
        </w:rPr>
        <w:t>, putusan hakim (</w:t>
      </w:r>
      <w:r w:rsidRPr="00910CE3">
        <w:rPr>
          <w:rFonts w:asciiTheme="majorBidi" w:hAnsiTheme="majorBidi" w:cstheme="majorBidi"/>
          <w:i/>
          <w:iCs/>
          <w:sz w:val="24"/>
          <w:szCs w:val="24"/>
        </w:rPr>
        <w:t>the expedient of reform by judicial decisions</w:t>
      </w:r>
      <w:r w:rsidRPr="00910CE3">
        <w:rPr>
          <w:rFonts w:asciiTheme="majorBidi" w:hAnsiTheme="majorBidi" w:cstheme="majorBidi"/>
          <w:sz w:val="24"/>
          <w:szCs w:val="24"/>
        </w:rPr>
        <w:t>).</w:t>
      </w:r>
      <w:r w:rsidRPr="00910CE3">
        <w:rPr>
          <w:rStyle w:val="FootnoteReference"/>
          <w:rFonts w:asciiTheme="majorBidi" w:hAnsiTheme="majorBidi" w:cstheme="majorBidi"/>
          <w:sz w:val="24"/>
          <w:szCs w:val="24"/>
        </w:rPr>
        <w:footnoteReference w:id="422"/>
      </w:r>
      <w:r w:rsidRPr="00910CE3">
        <w:rPr>
          <w:rFonts w:asciiTheme="majorBidi" w:hAnsiTheme="majorBidi" w:cstheme="majorBidi"/>
          <w:sz w:val="24"/>
          <w:szCs w:val="24"/>
        </w:rPr>
        <w:t xml:space="preserve"> Uraian secara ringkas tentang metode tersebut adalah sebagai berikut:</w:t>
      </w:r>
    </w:p>
    <w:p w:rsidR="00343B61" w:rsidRPr="008C3850" w:rsidRDefault="00343B61" w:rsidP="00343B61">
      <w:pPr>
        <w:pStyle w:val="ListParagraph"/>
        <w:spacing w:line="360" w:lineRule="auto"/>
        <w:ind w:left="0" w:firstLine="720"/>
        <w:jc w:val="both"/>
        <w:rPr>
          <w:rFonts w:asciiTheme="majorBidi" w:hAnsiTheme="majorBidi" w:cstheme="majorBidi"/>
          <w:i/>
          <w:iCs/>
        </w:rPr>
      </w:pPr>
      <w:r w:rsidRPr="00910CE3">
        <w:rPr>
          <w:rFonts w:asciiTheme="majorBidi" w:hAnsiTheme="majorBidi" w:cstheme="majorBidi"/>
          <w:i/>
          <w:iCs/>
          <w:sz w:val="24"/>
          <w:szCs w:val="24"/>
        </w:rPr>
        <w:t>Pertama</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takhsh</w:t>
      </w:r>
      <w:r w:rsidRPr="0094142F">
        <w:rPr>
          <w:rFonts w:asciiTheme="majorBidi" w:hAnsiTheme="majorBidi" w:cstheme="majorBidi"/>
          <w:i/>
          <w:iCs/>
        </w:rPr>
        <w:t>ī</w:t>
      </w:r>
      <w:r w:rsidRPr="00910CE3">
        <w:rPr>
          <w:rFonts w:asciiTheme="majorBidi" w:hAnsiTheme="majorBidi" w:cstheme="majorBidi"/>
          <w:i/>
          <w:iCs/>
          <w:sz w:val="24"/>
          <w:szCs w:val="24"/>
        </w:rPr>
        <w:t>sh al-qadl</w:t>
      </w:r>
      <w:r w:rsidRPr="00D07712">
        <w:rPr>
          <w:rFonts w:asciiTheme="majorBidi" w:hAnsiTheme="majorBidi" w:cstheme="majorBidi"/>
          <w:i/>
          <w:iCs/>
        </w:rPr>
        <w:t>ā</w:t>
      </w:r>
      <w:r>
        <w:rPr>
          <w:rFonts w:asciiTheme="majorBidi" w:hAnsiTheme="majorBidi" w:cstheme="majorBidi"/>
          <w:i/>
          <w:iCs/>
        </w:rPr>
        <w:t xml:space="preserve"> </w:t>
      </w:r>
      <w:r w:rsidRPr="00910CE3">
        <w:rPr>
          <w:rFonts w:asciiTheme="majorBidi" w:hAnsiTheme="majorBidi" w:cstheme="majorBidi"/>
          <w:sz w:val="24"/>
          <w:szCs w:val="24"/>
        </w:rPr>
        <w:t>(</w:t>
      </w:r>
      <w:r w:rsidRPr="00910CE3">
        <w:rPr>
          <w:rFonts w:asciiTheme="majorBidi" w:hAnsiTheme="majorBidi" w:cstheme="majorBidi"/>
          <w:i/>
          <w:iCs/>
          <w:sz w:val="24"/>
          <w:szCs w:val="24"/>
        </w:rPr>
        <w:t>the procedural</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expedient</w:t>
      </w:r>
      <w:r w:rsidRPr="00910CE3">
        <w:rPr>
          <w:rFonts w:asciiTheme="majorBidi" w:hAnsiTheme="majorBidi" w:cstheme="majorBidi"/>
          <w:sz w:val="24"/>
          <w:szCs w:val="24"/>
        </w:rPr>
        <w:t>), yakni membatasi yurisdiksi hakim di pengadilan. Salah satu contoh yang dicatat Anderson adalah UU Peradilan Mesir (</w:t>
      </w:r>
      <w:r w:rsidRPr="00910CE3">
        <w:rPr>
          <w:rFonts w:asciiTheme="majorBidi" w:hAnsiTheme="majorBidi" w:cstheme="majorBidi"/>
          <w:i/>
          <w:iCs/>
          <w:sz w:val="24"/>
          <w:szCs w:val="24"/>
        </w:rPr>
        <w:t>the</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Egyptian Code of Organization and Procedural</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for Syarī’ah Courts</w:t>
      </w:r>
      <w:r w:rsidRPr="00910CE3">
        <w:rPr>
          <w:rFonts w:asciiTheme="majorBidi" w:hAnsiTheme="majorBidi" w:cstheme="majorBidi"/>
          <w:sz w:val="24"/>
          <w:szCs w:val="24"/>
        </w:rPr>
        <w:t>, 1897), pasal 31, bahwa hak-hak yang berkaitan dengan akibat perkawinan dan perceraian hanya diproses kalau perkawinan dan perceraian dilengkapi dengan bukti. Ini berarti pemerintah membatasi perkara yang boleh diproses pengadilan, yakni hanya perkawinan dan perceraian yang sudah dilengkapi dengan bukti.</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i/>
          <w:iCs/>
          <w:sz w:val="24"/>
          <w:szCs w:val="24"/>
        </w:rPr>
        <w:t>Kedua</w:t>
      </w:r>
      <w:r w:rsidRPr="00910CE3">
        <w:rPr>
          <w:rFonts w:asciiTheme="majorBidi" w:hAnsiTheme="majorBidi" w:cstheme="majorBidi"/>
          <w:sz w:val="24"/>
          <w:szCs w:val="24"/>
        </w:rPr>
        <w:t xml:space="preserve">, memilih pendapat ulama, baik dengan </w:t>
      </w:r>
      <w:r w:rsidRPr="00910CE3">
        <w:rPr>
          <w:rFonts w:asciiTheme="majorBidi" w:hAnsiTheme="majorBidi" w:cstheme="majorBidi"/>
          <w:i/>
          <w:iCs/>
          <w:sz w:val="24"/>
          <w:szCs w:val="24"/>
        </w:rPr>
        <w:t>takhayyur</w:t>
      </w:r>
      <w:r w:rsidRPr="00910CE3">
        <w:rPr>
          <w:rFonts w:asciiTheme="majorBidi" w:hAnsiTheme="majorBidi" w:cstheme="majorBidi"/>
          <w:sz w:val="24"/>
          <w:szCs w:val="24"/>
        </w:rPr>
        <w:t xml:space="preserve">, memilih salah satu pendapat, maupun dengan </w:t>
      </w:r>
      <w:r w:rsidRPr="00910CE3">
        <w:rPr>
          <w:rFonts w:asciiTheme="majorBidi" w:hAnsiTheme="majorBidi" w:cstheme="majorBidi"/>
          <w:i/>
          <w:iCs/>
          <w:sz w:val="24"/>
          <w:szCs w:val="24"/>
        </w:rPr>
        <w:t>talfiq</w:t>
      </w:r>
      <w:r w:rsidRPr="00910CE3">
        <w:rPr>
          <w:rFonts w:asciiTheme="majorBidi" w:hAnsiTheme="majorBidi" w:cstheme="majorBidi"/>
          <w:sz w:val="24"/>
          <w:szCs w:val="24"/>
        </w:rPr>
        <w:t>, mengkombinasikan beberapa pendapat untuk dibangun menjadi satu konsep (</w:t>
      </w:r>
      <w:r w:rsidRPr="00910CE3">
        <w:rPr>
          <w:rFonts w:asciiTheme="majorBidi" w:hAnsiTheme="majorBidi" w:cstheme="majorBidi"/>
          <w:i/>
          <w:iCs/>
          <w:sz w:val="24"/>
          <w:szCs w:val="24"/>
        </w:rPr>
        <w:t>the eclectic expedient</w:t>
      </w:r>
      <w:r w:rsidRPr="00910CE3">
        <w:rPr>
          <w:rFonts w:asciiTheme="majorBidi" w:hAnsiTheme="majorBidi" w:cstheme="majorBidi"/>
          <w:sz w:val="24"/>
          <w:szCs w:val="24"/>
        </w:rPr>
        <w:t xml:space="preserve">).  Salah satu contoh </w:t>
      </w:r>
      <w:r w:rsidRPr="00910CE3">
        <w:rPr>
          <w:rFonts w:asciiTheme="majorBidi" w:hAnsiTheme="majorBidi" w:cstheme="majorBidi"/>
          <w:i/>
          <w:iCs/>
          <w:sz w:val="24"/>
          <w:szCs w:val="24"/>
        </w:rPr>
        <w:t>takhayyur</w:t>
      </w:r>
      <w:r w:rsidRPr="00910CE3">
        <w:rPr>
          <w:rFonts w:asciiTheme="majorBidi" w:hAnsiTheme="majorBidi" w:cstheme="majorBidi"/>
          <w:sz w:val="24"/>
          <w:szCs w:val="24"/>
        </w:rPr>
        <w:t>, yakni memilih salah satu pendapat ulama adalah dalam Kodifikasi Qadrî Pasya di Mesir (</w:t>
      </w:r>
      <w:r w:rsidRPr="00910CE3">
        <w:rPr>
          <w:rFonts w:asciiTheme="majorBidi" w:hAnsiTheme="majorBidi" w:cstheme="majorBidi"/>
          <w:i/>
          <w:iCs/>
          <w:sz w:val="24"/>
          <w:szCs w:val="24"/>
        </w:rPr>
        <w:t>the Code of Qadrî Pasya</w:t>
      </w:r>
      <w:r w:rsidRPr="00910CE3">
        <w:rPr>
          <w:rFonts w:asciiTheme="majorBidi" w:hAnsiTheme="majorBidi" w:cstheme="majorBidi"/>
          <w:sz w:val="24"/>
          <w:szCs w:val="24"/>
        </w:rPr>
        <w:t>) yang menggunakan konsep Hanafîyah dalam rumusannya, padahal Mesir adalah pengikut mazhab al-Syâfi‘î. Pandangan yang dipilih juga menyebar, bukan hanya pandangan imam mazhab, tetapi juga pandangan ilmuwan yang bukan imam mazhab. Misalnya pandangan Ibnu Taymiyah dan Ibnu Qayyim al-Jauziyah.</w:t>
      </w:r>
      <w:r w:rsidRPr="00910CE3">
        <w:rPr>
          <w:rStyle w:val="FootnoteReference"/>
          <w:rFonts w:asciiTheme="majorBidi" w:hAnsiTheme="majorBidi" w:cstheme="majorBidi"/>
          <w:sz w:val="24"/>
          <w:szCs w:val="24"/>
        </w:rPr>
        <w:footnoteReference w:id="423"/>
      </w:r>
      <w:r w:rsidRPr="00910CE3">
        <w:rPr>
          <w:rFonts w:asciiTheme="majorBidi" w:hAnsiTheme="majorBidi" w:cstheme="majorBidi"/>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Sementara contoh penerapan metode </w:t>
      </w:r>
      <w:r w:rsidRPr="00910CE3">
        <w:rPr>
          <w:rFonts w:asciiTheme="majorBidi" w:hAnsiTheme="majorBidi" w:cstheme="majorBidi"/>
          <w:i/>
          <w:iCs/>
          <w:sz w:val="24"/>
          <w:szCs w:val="24"/>
        </w:rPr>
        <w:t>talfiq</w:t>
      </w:r>
      <w:r w:rsidRPr="00910CE3">
        <w:rPr>
          <w:rFonts w:asciiTheme="majorBidi" w:hAnsiTheme="majorBidi" w:cstheme="majorBidi"/>
          <w:sz w:val="24"/>
          <w:szCs w:val="24"/>
        </w:rPr>
        <w:t xml:space="preserve"> adalah dalam </w:t>
      </w:r>
      <w:r w:rsidRPr="00910CE3">
        <w:rPr>
          <w:rFonts w:asciiTheme="majorBidi" w:hAnsiTheme="majorBidi" w:cstheme="majorBidi"/>
          <w:i/>
          <w:iCs/>
          <w:sz w:val="24"/>
          <w:szCs w:val="24"/>
        </w:rPr>
        <w:t>the Egyptional Law of Testamentary Disposition 1946</w:t>
      </w:r>
      <w:r w:rsidRPr="00910CE3">
        <w:rPr>
          <w:rFonts w:asciiTheme="majorBidi" w:hAnsiTheme="majorBidi" w:cstheme="majorBidi"/>
          <w:sz w:val="24"/>
          <w:szCs w:val="24"/>
        </w:rPr>
        <w:t xml:space="preserve">, pasal 6, bahwa tidak ada hak waris antara muslim dan non-muslim, tetapi antara non-muslim mungkin mewarisi antara mereka. Perbedaan domisili tidak menjadi penghalang untuk mewarisi antara sesama muslim; demikian juga tidak ada halangan untuk mewarisi antara sesama non-muslim, kecuali hukum negara lain melarang mewarisi antar warga negara. Isi pasal ini merupakan kombinasi dari pandangan sunni bahwa ada larangan mewarisi antara muslim dan non-muslim dan pendapat sebagai ahli hukum yang </w:t>
      </w:r>
      <w:r w:rsidRPr="00910CE3">
        <w:rPr>
          <w:rFonts w:asciiTheme="majorBidi" w:hAnsiTheme="majorBidi" w:cstheme="majorBidi"/>
          <w:sz w:val="24"/>
          <w:szCs w:val="24"/>
        </w:rPr>
        <w:lastRenderedPageBreak/>
        <w:t>tidak sependapat bahwa perbedaan agama menjadi penghalang mewarisi; dan pandangan sunni bahwa antara sesama muslim ada hak mewarisi apapun domisilinya.</w:t>
      </w:r>
      <w:r w:rsidRPr="00910CE3">
        <w:rPr>
          <w:rStyle w:val="FootnoteReference"/>
          <w:rFonts w:asciiTheme="majorBidi" w:hAnsiTheme="majorBidi" w:cstheme="majorBidi"/>
          <w:sz w:val="24"/>
          <w:szCs w:val="24"/>
        </w:rPr>
        <w:footnoteReference w:id="424"/>
      </w:r>
      <w:r w:rsidRPr="00910CE3">
        <w:rPr>
          <w:rFonts w:asciiTheme="majorBidi" w:hAnsiTheme="majorBidi" w:cstheme="majorBidi"/>
          <w:sz w:val="24"/>
          <w:szCs w:val="24"/>
        </w:rPr>
        <w:t xml:space="preserve"> </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i/>
          <w:iCs/>
          <w:sz w:val="24"/>
          <w:szCs w:val="24"/>
        </w:rPr>
        <w:t>Ketiga</w:t>
      </w:r>
      <w:r w:rsidRPr="00910CE3">
        <w:rPr>
          <w:rFonts w:asciiTheme="majorBidi" w:hAnsiTheme="majorBidi" w:cstheme="majorBidi"/>
          <w:sz w:val="24"/>
          <w:szCs w:val="24"/>
        </w:rPr>
        <w:t>, melakukan reinterpretasi (</w:t>
      </w:r>
      <w:r w:rsidRPr="00910CE3">
        <w:rPr>
          <w:rFonts w:asciiTheme="majorBidi" w:hAnsiTheme="majorBidi" w:cstheme="majorBidi"/>
          <w:i/>
          <w:iCs/>
          <w:sz w:val="24"/>
          <w:szCs w:val="24"/>
        </w:rPr>
        <w:t>the expedient of</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re-interpretation</w:t>
      </w:r>
      <w:r w:rsidRPr="00910CE3">
        <w:rPr>
          <w:rFonts w:asciiTheme="majorBidi" w:hAnsiTheme="majorBidi" w:cstheme="majorBidi"/>
          <w:sz w:val="24"/>
          <w:szCs w:val="24"/>
        </w:rPr>
        <w:t xml:space="preserve">), yakni menafsirkan ulang </w:t>
      </w:r>
      <w:r w:rsidRPr="00910CE3">
        <w:rPr>
          <w:rFonts w:asciiTheme="majorBidi" w:hAnsiTheme="majorBidi" w:cstheme="majorBidi"/>
          <w:i/>
          <w:iCs/>
          <w:sz w:val="24"/>
          <w:szCs w:val="24"/>
        </w:rPr>
        <w:t>nash</w:t>
      </w:r>
      <w:r w:rsidRPr="00910CE3">
        <w:rPr>
          <w:rFonts w:asciiTheme="majorBidi" w:hAnsiTheme="majorBidi" w:cstheme="majorBidi"/>
          <w:sz w:val="24"/>
          <w:szCs w:val="24"/>
        </w:rPr>
        <w:t xml:space="preserve"> (al-Qur’ān dan sunnah nabi Muhammad SAW.).  Contoh penerapan reinterpretasi di antaranya adalah larangan atau aturan mempersempit kemungkinan poligami oleh sejumlah negara, seperti Tunisia, Mesir, Indonesia dan negara-negara lainnya. Contoh lain adalah sejumlah aturan dalam perundang-undangan Yaman dan Somalia yang tujuannya untuk mengangkat status wanita. Di antara aturan-aturan tersebut tidak ditemukan dalam konsep konvensional. Aturan yang dibuat adalah kesetaraan antara laki-laki (suami) dan perempuan (isteri) dalam menanggulangi biaya perkawinan; biaya walimahan, biaya hidup. Demikian juga hadhanah anak untuk dan berdasarkan kepentingan anak. Demikian juga hak waris yang sama antara laki-laki dan perempuan dalam perundang-undangan Somalia.</w:t>
      </w:r>
      <w:r w:rsidRPr="00910CE3">
        <w:rPr>
          <w:rStyle w:val="FootnoteReference"/>
          <w:rFonts w:asciiTheme="majorBidi" w:hAnsiTheme="majorBidi" w:cstheme="majorBidi"/>
          <w:sz w:val="24"/>
          <w:szCs w:val="24"/>
        </w:rPr>
        <w:footnoteReference w:id="425"/>
      </w:r>
      <w:r w:rsidRPr="00910CE3">
        <w:rPr>
          <w:rFonts w:asciiTheme="majorBidi" w:hAnsiTheme="majorBidi" w:cstheme="majorBidi"/>
          <w:sz w:val="24"/>
          <w:szCs w:val="24"/>
        </w:rPr>
        <w:t xml:space="preserve"> </w:t>
      </w:r>
    </w:p>
    <w:p w:rsidR="00343B61" w:rsidRPr="008C3850" w:rsidRDefault="00343B61" w:rsidP="00343B61">
      <w:pPr>
        <w:spacing w:line="360" w:lineRule="auto"/>
        <w:ind w:firstLine="630"/>
        <w:jc w:val="both"/>
        <w:rPr>
          <w:rFonts w:asciiTheme="majorBidi" w:hAnsiTheme="majorBidi" w:cstheme="majorBidi"/>
          <w:i/>
          <w:iCs/>
          <w:sz w:val="24"/>
          <w:szCs w:val="24"/>
          <w:lang w:val="sv-SE"/>
        </w:rPr>
      </w:pPr>
      <w:r w:rsidRPr="00910CE3">
        <w:rPr>
          <w:rFonts w:asciiTheme="majorBidi" w:hAnsiTheme="majorBidi" w:cstheme="majorBidi"/>
          <w:i/>
          <w:iCs/>
          <w:sz w:val="24"/>
          <w:szCs w:val="24"/>
        </w:rPr>
        <w:t>Keempat</w:t>
      </w:r>
      <w:r w:rsidRPr="00910CE3">
        <w:rPr>
          <w:rFonts w:asciiTheme="majorBidi" w:hAnsiTheme="majorBidi" w:cstheme="majorBidi"/>
          <w:sz w:val="24"/>
          <w:szCs w:val="24"/>
        </w:rPr>
        <w:t xml:space="preserve">, </w:t>
      </w:r>
      <w:r w:rsidRPr="00E44262">
        <w:rPr>
          <w:rFonts w:asciiTheme="majorBidi" w:hAnsiTheme="majorBidi" w:cstheme="majorBidi"/>
          <w:i/>
          <w:iCs/>
          <w:sz w:val="24"/>
          <w:szCs w:val="24"/>
          <w:lang w:val="sv-SE"/>
        </w:rPr>
        <w:t>siyāsah syar</w:t>
      </w:r>
      <w:r w:rsidRPr="00E44262">
        <w:rPr>
          <w:sz w:val="24"/>
          <w:szCs w:val="24"/>
          <w:lang w:val="sv-SE"/>
        </w:rPr>
        <w:t>‘</w:t>
      </w:r>
      <w:r w:rsidRPr="00E44262">
        <w:rPr>
          <w:rFonts w:asciiTheme="majorBidi" w:hAnsiTheme="majorBidi" w:cstheme="majorBidi"/>
          <w:i/>
          <w:iCs/>
          <w:sz w:val="24"/>
          <w:szCs w:val="24"/>
          <w:lang w:val="sv-SE"/>
        </w:rPr>
        <w:t>iy</w:t>
      </w:r>
      <w:r>
        <w:rPr>
          <w:rFonts w:asciiTheme="majorBidi" w:hAnsiTheme="majorBidi" w:cstheme="majorBidi"/>
          <w:i/>
          <w:iCs/>
          <w:sz w:val="24"/>
          <w:szCs w:val="24"/>
          <w:lang w:val="sv-SE"/>
        </w:rPr>
        <w:t>y</w:t>
      </w:r>
      <w:r w:rsidRPr="00E44262">
        <w:rPr>
          <w:rFonts w:asciiTheme="majorBidi" w:hAnsiTheme="majorBidi" w:cstheme="majorBidi"/>
          <w:i/>
          <w:iCs/>
          <w:sz w:val="24"/>
          <w:szCs w:val="24"/>
          <w:lang w:val="sv-SE"/>
        </w:rPr>
        <w:t>ah</w:t>
      </w:r>
      <w:r>
        <w:rPr>
          <w:rFonts w:asciiTheme="majorBidi" w:hAnsiTheme="majorBidi" w:cstheme="majorBidi"/>
          <w:i/>
          <w:iCs/>
          <w:sz w:val="24"/>
          <w:szCs w:val="24"/>
          <w:lang w:val="sv-SE"/>
        </w:rPr>
        <w:t xml:space="preserve"> </w:t>
      </w:r>
      <w:r w:rsidRPr="00910CE3">
        <w:rPr>
          <w:rFonts w:asciiTheme="majorBidi" w:hAnsiTheme="majorBidi" w:cstheme="majorBidi"/>
          <w:sz w:val="24"/>
          <w:szCs w:val="24"/>
        </w:rPr>
        <w:t>(</w:t>
      </w:r>
      <w:r w:rsidRPr="00910CE3">
        <w:rPr>
          <w:rFonts w:asciiTheme="majorBidi" w:hAnsiTheme="majorBidi" w:cstheme="majorBidi"/>
          <w:i/>
          <w:iCs/>
          <w:sz w:val="24"/>
          <w:szCs w:val="24"/>
        </w:rPr>
        <w:t>the expedient of administrative</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orders</w:t>
      </w:r>
      <w:r w:rsidRPr="00910CE3">
        <w:rPr>
          <w:rFonts w:asciiTheme="majorBidi" w:hAnsiTheme="majorBidi" w:cstheme="majorBidi"/>
          <w:sz w:val="24"/>
          <w:szCs w:val="24"/>
        </w:rPr>
        <w:t xml:space="preserve">).  Penerapan </w:t>
      </w:r>
      <w:r w:rsidRPr="00E44262">
        <w:rPr>
          <w:rFonts w:asciiTheme="majorBidi" w:hAnsiTheme="majorBidi" w:cstheme="majorBidi"/>
          <w:i/>
          <w:iCs/>
          <w:sz w:val="24"/>
          <w:szCs w:val="24"/>
          <w:lang w:val="sv-SE"/>
        </w:rPr>
        <w:t>siyāsah syar</w:t>
      </w:r>
      <w:r w:rsidRPr="00E44262">
        <w:rPr>
          <w:sz w:val="24"/>
          <w:szCs w:val="24"/>
          <w:lang w:val="sv-SE"/>
        </w:rPr>
        <w:t>‘</w:t>
      </w:r>
      <w:r w:rsidRPr="00E44262">
        <w:rPr>
          <w:rFonts w:asciiTheme="majorBidi" w:hAnsiTheme="majorBidi" w:cstheme="majorBidi"/>
          <w:i/>
          <w:iCs/>
          <w:sz w:val="24"/>
          <w:szCs w:val="24"/>
          <w:lang w:val="sv-SE"/>
        </w:rPr>
        <w:t>iy</w:t>
      </w:r>
      <w:r>
        <w:rPr>
          <w:rFonts w:asciiTheme="majorBidi" w:hAnsiTheme="majorBidi" w:cstheme="majorBidi"/>
          <w:i/>
          <w:iCs/>
          <w:sz w:val="24"/>
          <w:szCs w:val="24"/>
          <w:lang w:val="sv-SE"/>
        </w:rPr>
        <w:t>y</w:t>
      </w:r>
      <w:r w:rsidRPr="00E44262">
        <w:rPr>
          <w:rFonts w:asciiTheme="majorBidi" w:hAnsiTheme="majorBidi" w:cstheme="majorBidi"/>
          <w:i/>
          <w:iCs/>
          <w:sz w:val="24"/>
          <w:szCs w:val="24"/>
          <w:lang w:val="sv-SE"/>
        </w:rPr>
        <w:t>ah</w:t>
      </w:r>
      <w:r>
        <w:rPr>
          <w:rFonts w:asciiTheme="majorBidi" w:hAnsiTheme="majorBidi" w:cstheme="majorBidi"/>
          <w:i/>
          <w:iCs/>
          <w:sz w:val="24"/>
          <w:szCs w:val="24"/>
          <w:lang w:val="sv-SE"/>
        </w:rPr>
        <w:t xml:space="preserve"> </w:t>
      </w:r>
      <w:r w:rsidRPr="00910CE3">
        <w:rPr>
          <w:rFonts w:asciiTheme="majorBidi" w:hAnsiTheme="majorBidi" w:cstheme="majorBidi"/>
          <w:sz w:val="24"/>
          <w:szCs w:val="24"/>
        </w:rPr>
        <w:t xml:space="preserve">dapat dilihat contoh dalam kasus pemberlakuan wasiat wajibah bagi seorang cucu yang bapaknya meninggal lebih dahulu dari kakek. Bahwa cucu tersebut mendapat bagian sesuai dengan bagian ayah andaikan masih hidup (anak dari pewaris). Aturan ini telah ditetapkan dalam perundang-undanga sejumlah negara. Di antaranya adalah di Mesir, Syria, Maroko dan Tunisia. </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i/>
          <w:iCs/>
          <w:sz w:val="24"/>
          <w:szCs w:val="24"/>
        </w:rPr>
        <w:t>Kelima</w:t>
      </w:r>
      <w:r w:rsidRPr="00910CE3">
        <w:rPr>
          <w:rFonts w:asciiTheme="majorBidi" w:hAnsiTheme="majorBidi" w:cstheme="majorBidi"/>
          <w:sz w:val="24"/>
          <w:szCs w:val="24"/>
        </w:rPr>
        <w:t>, putusan hakim (</w:t>
      </w:r>
      <w:r w:rsidRPr="00910CE3">
        <w:rPr>
          <w:rFonts w:asciiTheme="majorBidi" w:hAnsiTheme="majorBidi" w:cstheme="majorBidi"/>
          <w:i/>
          <w:iCs/>
          <w:sz w:val="24"/>
          <w:szCs w:val="24"/>
        </w:rPr>
        <w:t>the expedient</w:t>
      </w:r>
      <w:r w:rsidRPr="00910CE3">
        <w:rPr>
          <w:rFonts w:asciiTheme="majorBidi" w:hAnsiTheme="majorBidi" w:cstheme="majorBidi"/>
          <w:sz w:val="24"/>
          <w:szCs w:val="24"/>
        </w:rPr>
        <w:t xml:space="preserve"> </w:t>
      </w:r>
      <w:r w:rsidRPr="00910CE3">
        <w:rPr>
          <w:rFonts w:asciiTheme="majorBidi" w:hAnsiTheme="majorBidi" w:cstheme="majorBidi"/>
          <w:i/>
          <w:iCs/>
          <w:sz w:val="24"/>
          <w:szCs w:val="24"/>
        </w:rPr>
        <w:t>of reform by judicial decisions</w:t>
      </w:r>
      <w:r w:rsidRPr="00910CE3">
        <w:rPr>
          <w:rFonts w:asciiTheme="majorBidi" w:hAnsiTheme="majorBidi" w:cstheme="majorBidi"/>
          <w:sz w:val="24"/>
          <w:szCs w:val="24"/>
        </w:rPr>
        <w:t xml:space="preserve">). Adapun contoh pembaruan melalui keputusan hakim di pengadilan, adalah kasus-kasus yang terjadi di India dan Pakistan. Kemudian diakhiri dengan komentar, harus diakui ada kondisi-kondisi tertentu dimana media putusan pengadilan demikian efektif dalam melakukan pembaruan, yakni jika para hakim bekerja </w:t>
      </w:r>
      <w:r w:rsidRPr="00910CE3">
        <w:rPr>
          <w:rFonts w:asciiTheme="majorBidi" w:hAnsiTheme="majorBidi" w:cstheme="majorBidi"/>
          <w:sz w:val="24"/>
          <w:szCs w:val="24"/>
        </w:rPr>
        <w:lastRenderedPageBreak/>
        <w:t>sama dengan lembaga legislatif. Putusan pengadilan biasanya diterima tanpa protes banyak dari orang banyak (</w:t>
      </w:r>
      <w:r w:rsidRPr="00910CE3">
        <w:rPr>
          <w:rFonts w:asciiTheme="majorBidi" w:hAnsiTheme="majorBidi" w:cstheme="majorBidi"/>
          <w:i/>
          <w:iCs/>
          <w:sz w:val="24"/>
          <w:szCs w:val="24"/>
        </w:rPr>
        <w:t>public</w:t>
      </w:r>
      <w:r w:rsidRPr="00910CE3">
        <w:rPr>
          <w:rFonts w:asciiTheme="majorBidi" w:hAnsiTheme="majorBidi" w:cstheme="majorBidi"/>
          <w:sz w:val="24"/>
          <w:szCs w:val="24"/>
        </w:rPr>
        <w:t>), bahkan putusan lembaga yudikatif (pengadilan oleh hakim) dapat lewat begitu saja tanpa diprotes sama sekali dari orang banyak. Demikian juga putusan ini dapat berlaku dan diterima masyarakat begitu saja, kecuali ada putusan dari lembaga peradilan diatasnya yang menetapkan sebaliknya.</w:t>
      </w:r>
      <w:r w:rsidRPr="00910CE3">
        <w:rPr>
          <w:rStyle w:val="FootnoteReference"/>
          <w:rFonts w:asciiTheme="majorBidi" w:hAnsiTheme="majorBidi" w:cstheme="majorBidi"/>
          <w:sz w:val="24"/>
          <w:szCs w:val="24"/>
        </w:rPr>
        <w:footnoteReference w:id="426"/>
      </w:r>
      <w:r w:rsidRPr="00910CE3">
        <w:rPr>
          <w:rFonts w:asciiTheme="majorBidi" w:hAnsiTheme="majorBidi" w:cstheme="majorBidi"/>
          <w:sz w:val="24"/>
          <w:szCs w:val="24"/>
        </w:rPr>
        <w:t xml:space="preserve"> Dengan demikian, putusan hakim di pengadilan menurut Anderson, sangat efektif dalam melakukan pembaruan hukum keluarga Islam.</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Khairuddin Nasution mengutip David Pearl &amp; Werner Neski, yang melakukan studi terhadap perundang-undangan India, Pakistan, Bangladesh, yang dihubungkan dengan fenomena keluarga Muslim dari negara-negara tersebut di Eropa (Inggris) menyimpulkan, negara-negara Muslim menggunakan 4 metode dalam melakukan pembaruan Hukum Keluarga, yaitu: (1) </w:t>
      </w:r>
      <w:r w:rsidRPr="00910CE3">
        <w:rPr>
          <w:rFonts w:asciiTheme="majorBidi" w:hAnsiTheme="majorBidi" w:cstheme="majorBidi"/>
          <w:i/>
          <w:iCs/>
          <w:sz w:val="24"/>
          <w:szCs w:val="24"/>
        </w:rPr>
        <w:t>takhayyur</w:t>
      </w:r>
      <w:r w:rsidRPr="00910CE3">
        <w:rPr>
          <w:rFonts w:asciiTheme="majorBidi" w:hAnsiTheme="majorBidi" w:cstheme="majorBidi"/>
          <w:sz w:val="24"/>
          <w:szCs w:val="24"/>
        </w:rPr>
        <w:t xml:space="preserve">, (2) </w:t>
      </w:r>
      <w:r w:rsidRPr="00910CE3">
        <w:rPr>
          <w:rFonts w:asciiTheme="majorBidi" w:hAnsiTheme="majorBidi" w:cstheme="majorBidi"/>
          <w:i/>
          <w:iCs/>
          <w:sz w:val="24"/>
          <w:szCs w:val="24"/>
        </w:rPr>
        <w:t>talfiq</w:t>
      </w:r>
      <w:r w:rsidRPr="00910CE3">
        <w:rPr>
          <w:rFonts w:asciiTheme="majorBidi" w:hAnsiTheme="majorBidi" w:cstheme="majorBidi"/>
          <w:sz w:val="24"/>
          <w:szCs w:val="24"/>
        </w:rPr>
        <w:t xml:space="preserve">, (3) </w:t>
      </w:r>
      <w:r w:rsidRPr="00E44262">
        <w:rPr>
          <w:rFonts w:asciiTheme="majorBidi" w:hAnsiTheme="majorBidi" w:cstheme="majorBidi"/>
          <w:i/>
          <w:iCs/>
          <w:sz w:val="24"/>
          <w:szCs w:val="24"/>
          <w:lang w:val="sv-SE"/>
        </w:rPr>
        <w:t>siyāsah syar</w:t>
      </w:r>
      <w:r w:rsidRPr="00E44262">
        <w:rPr>
          <w:sz w:val="24"/>
          <w:szCs w:val="24"/>
          <w:lang w:val="sv-SE"/>
        </w:rPr>
        <w:t>‘</w:t>
      </w:r>
      <w:r w:rsidRPr="00E44262">
        <w:rPr>
          <w:rFonts w:asciiTheme="majorBidi" w:hAnsiTheme="majorBidi" w:cstheme="majorBidi"/>
          <w:i/>
          <w:iCs/>
          <w:sz w:val="24"/>
          <w:szCs w:val="24"/>
          <w:lang w:val="sv-SE"/>
        </w:rPr>
        <w:t>iy</w:t>
      </w:r>
      <w:r>
        <w:rPr>
          <w:rFonts w:asciiTheme="majorBidi" w:hAnsiTheme="majorBidi" w:cstheme="majorBidi"/>
          <w:i/>
          <w:iCs/>
          <w:sz w:val="24"/>
          <w:szCs w:val="24"/>
          <w:lang w:val="sv-SE"/>
        </w:rPr>
        <w:t>y</w:t>
      </w:r>
      <w:r w:rsidRPr="00E44262">
        <w:rPr>
          <w:rFonts w:asciiTheme="majorBidi" w:hAnsiTheme="majorBidi" w:cstheme="majorBidi"/>
          <w:i/>
          <w:iCs/>
          <w:sz w:val="24"/>
          <w:szCs w:val="24"/>
          <w:lang w:val="sv-SE"/>
        </w:rPr>
        <w:t>ah</w:t>
      </w:r>
      <w:r w:rsidRPr="00910CE3">
        <w:rPr>
          <w:rFonts w:asciiTheme="majorBidi" w:hAnsiTheme="majorBidi" w:cstheme="majorBidi"/>
          <w:sz w:val="24"/>
          <w:szCs w:val="24"/>
        </w:rPr>
        <w:t>; dan (4) murni memenuhi kebutuhan sosial dan ekonomi tanpa mendasarkan sama sekali terhadap alasan mazhab. Contoh dengan metode terakhir adalah pengharaman poligami, yang didasarkan pada penafsiran baru al-Nisa (4):3, bahwa keadilan yang dibutuhkan untuk bolehnya poligami bukan hanya dalam hal nafkah, tetapi juga termasuk rasa cinta. Karena itu, menurut Pearl, ada keberanjakan dari esensi hukum Islam.</w:t>
      </w:r>
      <w:r w:rsidRPr="00910CE3">
        <w:rPr>
          <w:rStyle w:val="FootnoteReference"/>
          <w:rFonts w:asciiTheme="majorBidi" w:hAnsiTheme="majorBidi" w:cstheme="majorBidi"/>
          <w:sz w:val="24"/>
          <w:szCs w:val="24"/>
        </w:rPr>
        <w:footnoteReference w:id="427"/>
      </w:r>
      <w:r w:rsidRPr="00910CE3">
        <w:rPr>
          <w:rFonts w:asciiTheme="majorBidi" w:hAnsiTheme="majorBidi" w:cstheme="majorBidi"/>
          <w:sz w:val="24"/>
          <w:szCs w:val="24"/>
        </w:rPr>
        <w:t xml:space="preserve"> Dari contoh yang dicatat Pearl, maksud metode murni memenuhi kebutuhan sosial dan ekonomi tanpa mendasarkan pada alasan Imam mazhab konvensional, pada prinsipnya sama dengan reinterpretasi nash secara kontekstual.</w:t>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Dawoud El Alami &amp; Doreen Hinchcliffe, yang melakukan penelitian terhadap perundang-undangan negara-negara Arab, hanya menyebutkan secara singkat sejarah pembaruan hukum keluarga Turki. Menurut penemuannya, Turki dalam melakukan pembaruan hukum keluarga adalah mendasarkan pada pendapat mazhab Hanafi. Jalan yang sama juga diikuti ketika melakukan usaha yang sama </w:t>
      </w:r>
      <w:r w:rsidRPr="00910CE3">
        <w:rPr>
          <w:rFonts w:asciiTheme="majorBidi" w:hAnsiTheme="majorBidi" w:cstheme="majorBidi"/>
          <w:sz w:val="24"/>
          <w:szCs w:val="24"/>
        </w:rPr>
        <w:lastRenderedPageBreak/>
        <w:t>di Mesir, yakni mengikuti pendapat mazhab Hanafi, meskipun mayoritas pe</w:t>
      </w:r>
      <w:r>
        <w:rPr>
          <w:rFonts w:asciiTheme="majorBidi" w:hAnsiTheme="majorBidi" w:cstheme="majorBidi"/>
          <w:sz w:val="24"/>
          <w:szCs w:val="24"/>
        </w:rPr>
        <w:t>nduduknya pengikut mazhab al-Syafi‘i</w:t>
      </w:r>
      <w:r w:rsidRPr="00910CE3">
        <w:rPr>
          <w:rFonts w:asciiTheme="majorBidi" w:hAnsiTheme="majorBidi" w:cstheme="majorBidi"/>
          <w:sz w:val="24"/>
          <w:szCs w:val="24"/>
        </w:rPr>
        <w:t xml:space="preserve">. </w:t>
      </w:r>
      <w:r w:rsidRPr="00910CE3">
        <w:rPr>
          <w:rStyle w:val="FootnoteReference"/>
          <w:rFonts w:asciiTheme="majorBidi" w:hAnsiTheme="majorBidi" w:cstheme="majorBidi"/>
          <w:sz w:val="24"/>
          <w:szCs w:val="24"/>
        </w:rPr>
        <w:footnoteReference w:id="428"/>
      </w:r>
      <w:r w:rsidRPr="00910CE3">
        <w:rPr>
          <w:rFonts w:asciiTheme="majorBidi" w:hAnsiTheme="majorBidi" w:cstheme="majorBidi"/>
          <w:sz w:val="24"/>
          <w:szCs w:val="24"/>
        </w:rPr>
        <w:t xml:space="preserve"> </w:t>
      </w:r>
    </w:p>
    <w:p w:rsidR="00343B61" w:rsidRPr="004A5C2E" w:rsidRDefault="00343B61" w:rsidP="00343B61">
      <w:pPr>
        <w:pStyle w:val="ListParagraph"/>
        <w:spacing w:line="360" w:lineRule="auto"/>
        <w:ind w:left="0" w:firstLine="720"/>
        <w:jc w:val="both"/>
        <w:rPr>
          <w:rFonts w:asciiTheme="majorBidi" w:hAnsiTheme="majorBidi" w:cstheme="majorBidi"/>
          <w:i/>
          <w:iCs/>
        </w:rPr>
      </w:pPr>
      <w:r w:rsidRPr="00910CE3">
        <w:rPr>
          <w:rFonts w:asciiTheme="majorBidi" w:hAnsiTheme="majorBidi" w:cstheme="majorBidi"/>
          <w:sz w:val="24"/>
          <w:szCs w:val="24"/>
        </w:rPr>
        <w:t xml:space="preserve">Taufiq yang melakukan studi terhadap perundang-undangan keluarga Islam Indonesia menyebutkan, bahwa dalam peraturan Indonesia misalnya, dalam menetapkan wajibnya pencatatan perkawinan, pencatatan talaq dan pencatatan ruju‘, adalah </w:t>
      </w:r>
      <w:r w:rsidRPr="00910CE3">
        <w:rPr>
          <w:rFonts w:asciiTheme="majorBidi" w:hAnsiTheme="majorBidi" w:cstheme="majorBidi"/>
          <w:i/>
          <w:iCs/>
          <w:sz w:val="24"/>
          <w:szCs w:val="24"/>
        </w:rPr>
        <w:t>takhsh</w:t>
      </w:r>
      <w:r w:rsidRPr="0094142F">
        <w:rPr>
          <w:rFonts w:asciiTheme="majorBidi" w:hAnsiTheme="majorBidi" w:cstheme="majorBidi"/>
          <w:i/>
          <w:iCs/>
        </w:rPr>
        <w:t>ī</w:t>
      </w:r>
      <w:r w:rsidRPr="00910CE3">
        <w:rPr>
          <w:rFonts w:asciiTheme="majorBidi" w:hAnsiTheme="majorBidi" w:cstheme="majorBidi"/>
          <w:i/>
          <w:iCs/>
          <w:sz w:val="24"/>
          <w:szCs w:val="24"/>
        </w:rPr>
        <w:t>sh al-qadlā</w:t>
      </w:r>
      <w:r w:rsidRPr="00910CE3">
        <w:rPr>
          <w:rFonts w:asciiTheme="majorBidi" w:hAnsiTheme="majorBidi" w:cstheme="majorBidi"/>
          <w:sz w:val="24"/>
          <w:szCs w:val="24"/>
        </w:rPr>
        <w:t xml:space="preserve">, </w:t>
      </w:r>
      <w:r w:rsidRPr="00E44262">
        <w:rPr>
          <w:rFonts w:asciiTheme="majorBidi" w:hAnsiTheme="majorBidi" w:cstheme="majorBidi"/>
          <w:i/>
          <w:iCs/>
          <w:sz w:val="24"/>
          <w:szCs w:val="24"/>
          <w:lang w:val="sv-SE"/>
        </w:rPr>
        <w:t>siyāsah syar</w:t>
      </w:r>
      <w:r w:rsidRPr="00E44262">
        <w:rPr>
          <w:sz w:val="24"/>
          <w:szCs w:val="24"/>
          <w:lang w:val="sv-SE"/>
        </w:rPr>
        <w:t>‘</w:t>
      </w:r>
      <w:r w:rsidRPr="00E44262">
        <w:rPr>
          <w:rFonts w:asciiTheme="majorBidi" w:hAnsiTheme="majorBidi" w:cstheme="majorBidi"/>
          <w:i/>
          <w:iCs/>
          <w:sz w:val="24"/>
          <w:szCs w:val="24"/>
          <w:lang w:val="sv-SE"/>
        </w:rPr>
        <w:t>iy</w:t>
      </w:r>
      <w:r>
        <w:rPr>
          <w:rFonts w:asciiTheme="majorBidi" w:hAnsiTheme="majorBidi" w:cstheme="majorBidi"/>
          <w:i/>
          <w:iCs/>
          <w:sz w:val="24"/>
          <w:szCs w:val="24"/>
          <w:lang w:val="sv-SE"/>
        </w:rPr>
        <w:t>y</w:t>
      </w:r>
      <w:r w:rsidRPr="00E44262">
        <w:rPr>
          <w:rFonts w:asciiTheme="majorBidi" w:hAnsiTheme="majorBidi" w:cstheme="majorBidi"/>
          <w:i/>
          <w:iCs/>
          <w:sz w:val="24"/>
          <w:szCs w:val="24"/>
          <w:lang w:val="sv-SE"/>
        </w:rPr>
        <w:t>ah</w:t>
      </w:r>
      <w:r>
        <w:rPr>
          <w:rFonts w:asciiTheme="majorBidi" w:hAnsiTheme="majorBidi" w:cstheme="majorBidi"/>
          <w:i/>
          <w:iCs/>
          <w:sz w:val="24"/>
          <w:szCs w:val="24"/>
          <w:lang w:val="sv-SE"/>
        </w:rPr>
        <w:t xml:space="preserve"> </w:t>
      </w:r>
      <w:r w:rsidRPr="00910CE3">
        <w:rPr>
          <w:rFonts w:asciiTheme="majorBidi" w:hAnsiTheme="majorBidi" w:cstheme="majorBidi"/>
          <w:sz w:val="24"/>
          <w:szCs w:val="24"/>
        </w:rPr>
        <w:t xml:space="preserve">dan </w:t>
      </w:r>
      <w:r w:rsidRPr="00910CE3">
        <w:rPr>
          <w:rFonts w:asciiTheme="majorBidi" w:hAnsiTheme="majorBidi" w:cstheme="majorBidi"/>
          <w:i/>
          <w:iCs/>
          <w:sz w:val="24"/>
          <w:szCs w:val="24"/>
        </w:rPr>
        <w:t>Qiyās</w:t>
      </w:r>
      <w:r w:rsidRPr="00910CE3">
        <w:rPr>
          <w:rFonts w:asciiTheme="majorBidi" w:hAnsiTheme="majorBidi" w:cstheme="majorBidi"/>
          <w:sz w:val="24"/>
          <w:szCs w:val="24"/>
        </w:rPr>
        <w:t xml:space="preserve"> (analogi) terhadap al-Baqarah (2):282 (Qur’an). dan al-Talak (65):2 (Qur’an). Sementara untuk menetapkan pembatasan kebolehan poligami didasarkan pada al-Nisa’ (4):3 (Qur’an), dan dihubungkan dengan al- Nisa’ (4):129,2 dan </w:t>
      </w:r>
      <w:r w:rsidRPr="00E44262">
        <w:rPr>
          <w:rFonts w:asciiTheme="majorBidi" w:hAnsiTheme="majorBidi" w:cstheme="majorBidi"/>
          <w:i/>
          <w:iCs/>
          <w:sz w:val="24"/>
          <w:szCs w:val="24"/>
          <w:lang w:val="sv-SE"/>
        </w:rPr>
        <w:t>siyāsah syar</w:t>
      </w:r>
      <w:r w:rsidRPr="00E44262">
        <w:rPr>
          <w:sz w:val="24"/>
          <w:szCs w:val="24"/>
          <w:lang w:val="sv-SE"/>
        </w:rPr>
        <w:t>‘</w:t>
      </w:r>
      <w:r w:rsidRPr="00E44262">
        <w:rPr>
          <w:rFonts w:asciiTheme="majorBidi" w:hAnsiTheme="majorBidi" w:cstheme="majorBidi"/>
          <w:i/>
          <w:iCs/>
          <w:sz w:val="24"/>
          <w:szCs w:val="24"/>
          <w:lang w:val="sv-SE"/>
        </w:rPr>
        <w:t>iy</w:t>
      </w:r>
      <w:r>
        <w:rPr>
          <w:rFonts w:asciiTheme="majorBidi" w:hAnsiTheme="majorBidi" w:cstheme="majorBidi"/>
          <w:i/>
          <w:iCs/>
          <w:sz w:val="24"/>
          <w:szCs w:val="24"/>
          <w:lang w:val="sv-SE"/>
        </w:rPr>
        <w:t>y</w:t>
      </w:r>
      <w:r w:rsidRPr="00E44262">
        <w:rPr>
          <w:rFonts w:asciiTheme="majorBidi" w:hAnsiTheme="majorBidi" w:cstheme="majorBidi"/>
          <w:i/>
          <w:iCs/>
          <w:sz w:val="24"/>
          <w:szCs w:val="24"/>
          <w:lang w:val="sv-SE"/>
        </w:rPr>
        <w:t>ah</w:t>
      </w:r>
      <w:r w:rsidRPr="00910CE3">
        <w:rPr>
          <w:rFonts w:asciiTheme="majorBidi" w:hAnsiTheme="majorBidi" w:cstheme="majorBidi"/>
          <w:sz w:val="24"/>
          <w:szCs w:val="24"/>
        </w:rPr>
        <w:t xml:space="preserve">. Penetapan batasan umur minimal boleh kawin didasarkan pada inspirasi pandangan al-Syaukani, yang mengatakan bahwa kasus perkawinan ‘Aisyah adalah sebagai pengecualian. Penghapusan hak </w:t>
      </w:r>
      <w:r w:rsidRPr="00910CE3">
        <w:rPr>
          <w:rFonts w:asciiTheme="majorBidi" w:hAnsiTheme="majorBidi" w:cstheme="majorBidi"/>
          <w:i/>
          <w:iCs/>
          <w:sz w:val="24"/>
          <w:szCs w:val="24"/>
        </w:rPr>
        <w:t>ijb</w:t>
      </w:r>
      <w:r w:rsidRPr="00E44262">
        <w:rPr>
          <w:rFonts w:asciiTheme="majorBidi" w:hAnsiTheme="majorBidi" w:cstheme="majorBidi"/>
          <w:i/>
          <w:iCs/>
          <w:sz w:val="24"/>
          <w:szCs w:val="24"/>
          <w:lang w:val="sv-SE"/>
        </w:rPr>
        <w:t>ā</w:t>
      </w:r>
      <w:r w:rsidRPr="00910CE3">
        <w:rPr>
          <w:rFonts w:asciiTheme="majorBidi" w:hAnsiTheme="majorBidi" w:cstheme="majorBidi"/>
          <w:i/>
          <w:iCs/>
          <w:sz w:val="24"/>
          <w:szCs w:val="24"/>
        </w:rPr>
        <w:t>r</w:t>
      </w:r>
      <w:r w:rsidRPr="00910CE3">
        <w:rPr>
          <w:rFonts w:asciiTheme="majorBidi" w:hAnsiTheme="majorBidi" w:cstheme="majorBidi"/>
          <w:sz w:val="24"/>
          <w:szCs w:val="24"/>
        </w:rPr>
        <w:t xml:space="preserve"> dalam perkawinan didasarkan pada pandangan Ibn Shubrumah. Terakhir, keharusan perceraian di Pengadilan Agama</w:t>
      </w:r>
      <w:r>
        <w:rPr>
          <w:rFonts w:asciiTheme="majorBidi" w:hAnsiTheme="majorBidi" w:cstheme="majorBidi"/>
          <w:sz w:val="24"/>
          <w:szCs w:val="24"/>
        </w:rPr>
        <w:t xml:space="preserve"> didasarkan pada pandangan al-Zahiri dan Syi‘ah Imami</w:t>
      </w:r>
      <w:r w:rsidRPr="00910CE3">
        <w:rPr>
          <w:rFonts w:asciiTheme="majorBidi" w:hAnsiTheme="majorBidi" w:cstheme="majorBidi"/>
          <w:sz w:val="24"/>
          <w:szCs w:val="24"/>
        </w:rPr>
        <w:t>yah, yang menetapkan bahwa perceraian, sama dengan perkawinan, hanya terjadi dengan disaksikan oleh minimal dua orang saksi.</w:t>
      </w:r>
      <w:r w:rsidRPr="00910CE3">
        <w:rPr>
          <w:rStyle w:val="FootnoteReference"/>
          <w:rFonts w:asciiTheme="majorBidi" w:hAnsiTheme="majorBidi" w:cstheme="majorBidi"/>
          <w:sz w:val="24"/>
          <w:szCs w:val="24"/>
        </w:rPr>
        <w:footnoteReference w:id="429"/>
      </w:r>
    </w:p>
    <w:p w:rsidR="00343B61" w:rsidRPr="00910CE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Adapun produk –produk hukum yang telah dikodifikasi yang merupakan hasil kerja keras Negara berdasarkan semangat pembaruan hukum Islam antara lain adalah Undang-undang perkawinan No 1 Tahun 1974 tentang perkawinan dan inpres No 1 tahun 1991tentang KHI. Pengelolaan zakat diatur berdasarkan UU no 38 tahun 1999, pengelolaan wakaf diatur dalam UU No 41 tahun 2004, pengelolaaan haji diatur berdasarkan UU no 13 tahun 2008 yang kemudian dirubah menjadi UU no 34 tahun 2009. Selanjutnya diberlakukannya UU no 21 tahun 2008 tentang perbankan Syariah.</w:t>
      </w:r>
      <w:r w:rsidRPr="00910CE3">
        <w:rPr>
          <w:rStyle w:val="FootnoteReference"/>
          <w:rFonts w:asciiTheme="majorBidi" w:hAnsiTheme="majorBidi" w:cstheme="majorBidi"/>
          <w:sz w:val="24"/>
          <w:szCs w:val="24"/>
        </w:rPr>
        <w:footnoteReference w:id="430"/>
      </w:r>
    </w:p>
    <w:p w:rsidR="00343B61" w:rsidRPr="00910CE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910CE3">
        <w:rPr>
          <w:rFonts w:ascii="Times New Roman" w:hAnsi="Times New Roman" w:cs="Times New Roman"/>
          <w:sz w:val="24"/>
          <w:szCs w:val="24"/>
        </w:rPr>
        <w:lastRenderedPageBreak/>
        <w:t xml:space="preserve">Setelah Indonesia merdeka, upaya pembaharuan hukum banyak diarahkan kepada perubahan hukum tertulis peninggalan kolonial untuk dijadikan hukum nasional. Hukum Islam dijadikan sebagai salah satu unsur hukum nasional yang berfungsi sebagai rujukan dalam pembentukan hukum nasional tersebut. Upaya ini telah menghasilkan terbentuknya UU No. 1 tahun 1974 tentang Hukum Perkawinan. Dengan diundangkannya UU No. 1 tahun 1974 tentang Perkawinan yang berlaku bagi semua warga negara Republik Indonesia, maka hukum perkawinan Islam sudah menjadi bagian dari hukum nasional, karena pada tanggal 2 Januari 1974 sudah masuk dalam lembaran Negara. Setelah UU No. 1 tahun 1974 tentang Perkawinan disahkan, maka hukum Fiqh Islam telah memasuki fase baru yang disebut fase </w:t>
      </w:r>
      <w:r w:rsidRPr="00910CE3">
        <w:rPr>
          <w:rFonts w:ascii="Times New Roman" w:hAnsi="Times New Roman" w:cs="Times New Roman"/>
          <w:i/>
          <w:iCs/>
          <w:sz w:val="24"/>
          <w:szCs w:val="24"/>
        </w:rPr>
        <w:t>Taqn</w:t>
      </w:r>
      <w:r w:rsidRPr="00910CE3">
        <w:rPr>
          <w:rFonts w:asciiTheme="majorBidi" w:hAnsiTheme="majorBidi" w:cstheme="majorBidi"/>
          <w:i/>
          <w:iCs/>
          <w:sz w:val="24"/>
          <w:szCs w:val="24"/>
        </w:rPr>
        <w:t>ī</w:t>
      </w:r>
      <w:r w:rsidRPr="00910CE3">
        <w:rPr>
          <w:rFonts w:ascii="Times New Roman" w:hAnsi="Times New Roman" w:cs="Times New Roman"/>
          <w:i/>
          <w:iCs/>
          <w:sz w:val="24"/>
          <w:szCs w:val="24"/>
        </w:rPr>
        <w:t>n</w:t>
      </w:r>
      <w:r w:rsidRPr="00910CE3">
        <w:rPr>
          <w:rFonts w:ascii="Times New Roman" w:hAnsi="Times New Roman" w:cs="Times New Roman"/>
          <w:sz w:val="24"/>
          <w:szCs w:val="24"/>
        </w:rPr>
        <w:t xml:space="preserve"> (fase pengundangan).</w:t>
      </w:r>
      <w:r w:rsidRPr="00910CE3">
        <w:rPr>
          <w:rStyle w:val="FootnoteReference"/>
          <w:rFonts w:ascii="Times New Roman" w:hAnsi="Times New Roman" w:cs="Times New Roman"/>
          <w:sz w:val="24"/>
          <w:szCs w:val="24"/>
        </w:rPr>
        <w:t xml:space="preserve"> </w:t>
      </w:r>
      <w:r w:rsidRPr="00910CE3">
        <w:rPr>
          <w:rStyle w:val="FootnoteReference"/>
          <w:rFonts w:ascii="Times New Roman" w:hAnsi="Times New Roman" w:cs="Times New Roman"/>
          <w:sz w:val="24"/>
          <w:szCs w:val="24"/>
        </w:rPr>
        <w:footnoteReference w:id="431"/>
      </w:r>
    </w:p>
    <w:p w:rsidR="00343B61" w:rsidRPr="000B1D95" w:rsidRDefault="00343B61" w:rsidP="00343B61">
      <w:pPr>
        <w:pStyle w:val="ListParagraph"/>
        <w:spacing w:line="360" w:lineRule="auto"/>
        <w:ind w:left="0" w:firstLine="720"/>
        <w:jc w:val="both"/>
        <w:rPr>
          <w:rFonts w:asciiTheme="majorBidi" w:hAnsiTheme="majorBidi" w:cstheme="majorBidi"/>
        </w:rPr>
      </w:pPr>
      <w:r w:rsidRPr="00910CE3">
        <w:rPr>
          <w:rFonts w:ascii="Times New Roman" w:hAnsi="Times New Roman" w:cs="Times New Roman"/>
          <w:sz w:val="24"/>
          <w:szCs w:val="24"/>
        </w:rPr>
        <w:t xml:space="preserve">Hukum Islam dalam dimensi </w:t>
      </w:r>
      <w:r w:rsidRPr="00910CE3">
        <w:rPr>
          <w:rFonts w:ascii="Times New Roman" w:hAnsi="Times New Roman" w:cs="Times New Roman"/>
          <w:i/>
          <w:iCs/>
          <w:sz w:val="24"/>
          <w:szCs w:val="24"/>
        </w:rPr>
        <w:t>qan</w:t>
      </w:r>
      <w:r w:rsidRPr="00910CE3">
        <w:rPr>
          <w:rFonts w:asciiTheme="majorBidi" w:hAnsiTheme="majorBidi" w:cstheme="majorBidi"/>
          <w:i/>
          <w:iCs/>
        </w:rPr>
        <w:t>ū</w:t>
      </w:r>
      <w:r w:rsidRPr="00910CE3">
        <w:rPr>
          <w:rFonts w:ascii="Times New Roman" w:hAnsi="Times New Roman" w:cs="Times New Roman"/>
          <w:i/>
          <w:iCs/>
          <w:sz w:val="24"/>
          <w:szCs w:val="24"/>
        </w:rPr>
        <w:t xml:space="preserve">n </w:t>
      </w:r>
      <w:r w:rsidRPr="00910CE3">
        <w:rPr>
          <w:rFonts w:ascii="Times New Roman" w:hAnsi="Times New Roman" w:cs="Times New Roman"/>
          <w:sz w:val="24"/>
          <w:szCs w:val="24"/>
        </w:rPr>
        <w:t>tersebar dalam berbagai peraturan p</w:t>
      </w:r>
      <w:r>
        <w:rPr>
          <w:rFonts w:ascii="Times New Roman" w:hAnsi="Times New Roman" w:cs="Times New Roman"/>
          <w:sz w:val="24"/>
          <w:szCs w:val="24"/>
        </w:rPr>
        <w:t>erundang-undangan, baik dalam hukum keluarga maupun dalam hu</w:t>
      </w:r>
      <w:r w:rsidRPr="00910CE3">
        <w:rPr>
          <w:rFonts w:ascii="Times New Roman" w:hAnsi="Times New Roman" w:cs="Times New Roman"/>
          <w:sz w:val="24"/>
          <w:szCs w:val="24"/>
        </w:rPr>
        <w:t>kum perdata lainnya. Ia dapat dilihat dalam Undang-Undang No 1 Tahun 1974 tentang Perkawinan, Undang-Undang No 4 Tahun 1979 tentang kesejahteraan Anak, Undang-Undang No 7 Tahun 1989 tentang Peradilan Agama, Undang-Undang Nomor 10 Tahun 1992 tentang Perkembangan Kependudukan dan Pembangunan Keluarga Sejahtera, Undang-Undang Nomor 38 Tahun 1999 tentang Pengelolaan Zakat, Undang-Undang Nomor 19 Tahun 1999 tentang penyelenggaraan Haji, Undang-Undang Nomor 41 Tahun 2004 Tentang Wakaf dan Undang-Undang Nomor 10 Tahun 1998 tentang Perbangkan Syari’ah.</w:t>
      </w:r>
      <w:r w:rsidRPr="00910CE3">
        <w:rPr>
          <w:rStyle w:val="FootnoteReference"/>
          <w:rFonts w:ascii="Times New Roman" w:hAnsi="Times New Roman" w:cs="Times New Roman"/>
          <w:sz w:val="24"/>
          <w:szCs w:val="24"/>
        </w:rPr>
        <w:footnoteReference w:id="432"/>
      </w:r>
    </w:p>
    <w:p w:rsidR="00343B61" w:rsidRPr="0075742D" w:rsidRDefault="00343B61" w:rsidP="00343B61">
      <w:pPr>
        <w:spacing w:after="0" w:line="360" w:lineRule="auto"/>
        <w:jc w:val="both"/>
        <w:rPr>
          <w:rFonts w:asciiTheme="majorBidi" w:hAnsiTheme="majorBidi" w:cstheme="majorBidi"/>
          <w:sz w:val="24"/>
          <w:szCs w:val="24"/>
        </w:rPr>
      </w:pPr>
      <w:r>
        <w:rPr>
          <w:rFonts w:asciiTheme="majorBidi" w:hAnsiTheme="majorBidi" w:cstheme="majorBidi"/>
          <w:sz w:val="24"/>
          <w:szCs w:val="24"/>
        </w:rPr>
        <w:t>E</w:t>
      </w:r>
      <w:r w:rsidRPr="0075742D">
        <w:rPr>
          <w:rFonts w:asciiTheme="majorBidi" w:hAnsiTheme="majorBidi" w:cstheme="majorBidi"/>
          <w:sz w:val="24"/>
          <w:szCs w:val="24"/>
        </w:rPr>
        <w:t>. Bentuk</w:t>
      </w:r>
      <w:r>
        <w:rPr>
          <w:rFonts w:asciiTheme="majorBidi" w:hAnsiTheme="majorBidi" w:cstheme="majorBidi"/>
          <w:sz w:val="24"/>
          <w:szCs w:val="24"/>
        </w:rPr>
        <w:t>-Bentuk</w:t>
      </w:r>
      <w:r w:rsidRPr="0075742D">
        <w:rPr>
          <w:rFonts w:asciiTheme="majorBidi" w:hAnsiTheme="majorBidi" w:cstheme="majorBidi"/>
          <w:sz w:val="24"/>
          <w:szCs w:val="24"/>
        </w:rPr>
        <w:t xml:space="preserve"> </w:t>
      </w:r>
      <w:r>
        <w:rPr>
          <w:rFonts w:asciiTheme="majorBidi" w:hAnsiTheme="majorBidi" w:cstheme="majorBidi"/>
          <w:i/>
          <w:iCs/>
          <w:sz w:val="24"/>
          <w:szCs w:val="24"/>
        </w:rPr>
        <w:t>siyāsah syar‘iyyah</w:t>
      </w:r>
      <w:r w:rsidRPr="0075742D">
        <w:rPr>
          <w:rFonts w:asciiTheme="majorBidi" w:hAnsiTheme="majorBidi" w:cstheme="majorBidi"/>
          <w:sz w:val="24"/>
          <w:szCs w:val="24"/>
        </w:rPr>
        <w:t xml:space="preserve"> yang pernah dipr</w:t>
      </w:r>
      <w:r>
        <w:rPr>
          <w:rFonts w:asciiTheme="majorBidi" w:hAnsiTheme="majorBidi" w:cstheme="majorBidi"/>
          <w:sz w:val="24"/>
          <w:szCs w:val="24"/>
        </w:rPr>
        <w:t>a</w:t>
      </w:r>
      <w:r w:rsidRPr="0075742D">
        <w:rPr>
          <w:rFonts w:asciiTheme="majorBidi" w:hAnsiTheme="majorBidi" w:cstheme="majorBidi"/>
          <w:sz w:val="24"/>
          <w:szCs w:val="24"/>
        </w:rPr>
        <w:t xml:space="preserve">katekkan Nabi dan Sahabat </w:t>
      </w:r>
    </w:p>
    <w:p w:rsidR="00343B61" w:rsidRPr="00910CE3" w:rsidRDefault="00343B61" w:rsidP="00343B61">
      <w:pPr>
        <w:spacing w:after="0" w:line="360" w:lineRule="auto"/>
        <w:ind w:firstLine="720"/>
        <w:jc w:val="both"/>
        <w:rPr>
          <w:rFonts w:asciiTheme="majorBidi" w:hAnsiTheme="majorBidi" w:cstheme="majorBidi"/>
          <w:sz w:val="24"/>
          <w:szCs w:val="24"/>
        </w:rPr>
      </w:pPr>
      <w:r>
        <w:rPr>
          <w:rFonts w:asciiTheme="majorBidi" w:hAnsiTheme="majorBidi" w:cstheme="majorBidi"/>
          <w:i/>
          <w:iCs/>
          <w:sz w:val="24"/>
          <w:szCs w:val="24"/>
        </w:rPr>
        <w:t>Siyāsah syar‘iyyah</w:t>
      </w:r>
      <w:r w:rsidRPr="00910CE3">
        <w:rPr>
          <w:rFonts w:asciiTheme="majorBidi" w:hAnsiTheme="majorBidi" w:cstheme="majorBidi"/>
          <w:sz w:val="24"/>
          <w:szCs w:val="24"/>
        </w:rPr>
        <w:t xml:space="preserve"> telah dilaksanakan oleh Rasulullah SAW dalam mengatur dan mengarahkan umatnya menuju tatanan sosial-budaya yang diridhai Allah SWT semenjak beliau masih tinggal di Mekkah. Pada masa itu, Rasulullah SAW lebih memusatkan perhatian atas “perencanaan” daripada “pelaksanaan” </w:t>
      </w:r>
      <w:r w:rsidRPr="00910CE3">
        <w:rPr>
          <w:rFonts w:asciiTheme="majorBidi" w:hAnsiTheme="majorBidi" w:cstheme="majorBidi"/>
          <w:sz w:val="24"/>
          <w:szCs w:val="24"/>
        </w:rPr>
        <w:lastRenderedPageBreak/>
        <w:t xml:space="preserve">hal-hal yang berhubungan dengan </w:t>
      </w:r>
      <w:r w:rsidRPr="00910CE3">
        <w:rPr>
          <w:rFonts w:asciiTheme="majorBidi" w:hAnsiTheme="majorBidi" w:cstheme="majorBidi"/>
          <w:i/>
          <w:sz w:val="24"/>
          <w:szCs w:val="24"/>
        </w:rPr>
        <w:t xml:space="preserve">siyāsah </w:t>
      </w:r>
      <w:r>
        <w:rPr>
          <w:rFonts w:asciiTheme="majorBidi" w:hAnsiTheme="majorBidi" w:cstheme="majorBidi"/>
          <w:i/>
          <w:iCs/>
          <w:sz w:val="24"/>
          <w:szCs w:val="24"/>
        </w:rPr>
        <w:t>syar‘iyyah</w:t>
      </w:r>
      <w:r w:rsidRPr="00910CE3">
        <w:rPr>
          <w:rFonts w:asciiTheme="majorBidi" w:hAnsiTheme="majorBidi" w:cstheme="majorBidi"/>
          <w:i/>
          <w:sz w:val="24"/>
          <w:szCs w:val="24"/>
        </w:rPr>
        <w:t xml:space="preserve">. </w:t>
      </w:r>
      <w:r w:rsidRPr="00910CE3">
        <w:rPr>
          <w:rFonts w:asciiTheme="majorBidi" w:hAnsiTheme="majorBidi" w:cstheme="majorBidi"/>
          <w:sz w:val="24"/>
          <w:szCs w:val="24"/>
        </w:rPr>
        <w:t xml:space="preserve">Muhammad Yusuf Musa dan Abd Karim Zaydan menjelaskan bahwa peristiwa </w:t>
      </w:r>
      <w:r w:rsidRPr="00910CE3">
        <w:rPr>
          <w:rFonts w:asciiTheme="majorBidi" w:hAnsiTheme="majorBidi" w:cstheme="majorBidi"/>
          <w:i/>
          <w:iCs/>
          <w:sz w:val="24"/>
          <w:szCs w:val="24"/>
        </w:rPr>
        <w:t>bay’at al-‘aqabah</w:t>
      </w:r>
      <w:r w:rsidRPr="00910CE3">
        <w:rPr>
          <w:rFonts w:asciiTheme="majorBidi" w:hAnsiTheme="majorBidi" w:cstheme="majorBidi"/>
          <w:sz w:val="24"/>
          <w:szCs w:val="24"/>
        </w:rPr>
        <w:t>, yaitu perjanjian antara Rasulullah SAW dengan penduduk Yastrib yang terdiri dari suku A</w:t>
      </w:r>
      <w:r>
        <w:rPr>
          <w:rFonts w:asciiTheme="majorBidi" w:hAnsiTheme="majorBidi" w:cstheme="majorBidi"/>
          <w:sz w:val="24"/>
          <w:szCs w:val="24"/>
        </w:rPr>
        <w:t>us dan Khaz</w:t>
      </w:r>
      <w:r w:rsidRPr="00910CE3">
        <w:rPr>
          <w:rFonts w:asciiTheme="majorBidi" w:hAnsiTheme="majorBidi" w:cstheme="majorBidi"/>
          <w:sz w:val="24"/>
          <w:szCs w:val="24"/>
        </w:rPr>
        <w:t xml:space="preserve">raj, baik perjanjian kedua, merupakan bukti tahap awal pelaksanaan </w:t>
      </w:r>
      <w:r w:rsidRPr="00910CE3">
        <w:rPr>
          <w:rFonts w:asciiTheme="majorBidi" w:hAnsiTheme="majorBidi" w:cstheme="majorBidi"/>
          <w:i/>
          <w:sz w:val="24"/>
          <w:szCs w:val="24"/>
        </w:rPr>
        <w:t>siyāsah syar’iyyah</w:t>
      </w:r>
      <w:r w:rsidRPr="00910CE3">
        <w:rPr>
          <w:rStyle w:val="FootnoteReference"/>
          <w:rFonts w:asciiTheme="majorBidi" w:hAnsiTheme="majorBidi" w:cstheme="majorBidi"/>
          <w:i/>
          <w:sz w:val="24"/>
          <w:szCs w:val="24"/>
        </w:rPr>
        <w:footnoteReference w:id="433"/>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Peristiwa-peristiwa sejarah yang terjadi setelah Rasulullah menetap di Madinah, dengan demikian, merupakan artikulasi nilai dasar </w:t>
      </w:r>
      <w:r w:rsidRPr="00910CE3">
        <w:rPr>
          <w:rFonts w:asciiTheme="majorBidi" w:hAnsiTheme="majorBidi" w:cstheme="majorBidi"/>
          <w:i/>
          <w:sz w:val="24"/>
          <w:szCs w:val="24"/>
        </w:rPr>
        <w:t>siyāsah syar’iyyah.</w:t>
      </w:r>
      <w:r w:rsidRPr="00910CE3">
        <w:rPr>
          <w:rFonts w:asciiTheme="majorBidi" w:hAnsiTheme="majorBidi" w:cstheme="majorBidi"/>
          <w:sz w:val="24"/>
          <w:szCs w:val="24"/>
        </w:rPr>
        <w:t xml:space="preserve"> Di Madinah, terbentuk suatu komunitas muslimin, yang terdiri dari golongan Muhajirin dan golongan Anshor. Sebagai satu komunitas dalam masyarakat yang majemuk, kaum muslimin diharuskan berinteraksi dengan komunitas-komunitas lain, yang terdiri dari: orang-orang nasrani, orang-orang Yahudi, dan orang-orang musyrik Madinah. Dalam kedudukannya sebagai kepala Negara, kebijaksanaan Rasulullah SAW, merupakan pelaksanaan </w:t>
      </w:r>
      <w:r w:rsidRPr="00910CE3">
        <w:rPr>
          <w:rFonts w:asciiTheme="majorBidi" w:hAnsiTheme="majorBidi" w:cstheme="majorBidi"/>
          <w:i/>
          <w:sz w:val="24"/>
          <w:szCs w:val="24"/>
        </w:rPr>
        <w:t>siyāsah syar’iyyah</w:t>
      </w:r>
      <w:r w:rsidRPr="00910CE3">
        <w:rPr>
          <w:rStyle w:val="FootnoteReference"/>
          <w:rFonts w:asciiTheme="majorBidi" w:hAnsiTheme="majorBidi" w:cstheme="majorBidi"/>
          <w:iCs/>
          <w:sz w:val="24"/>
          <w:szCs w:val="24"/>
        </w:rPr>
        <w:footnoteReference w:id="434"/>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Salah satu contoh pelaksanaan </w:t>
      </w:r>
      <w:r w:rsidRPr="00910CE3">
        <w:rPr>
          <w:rFonts w:asciiTheme="majorBidi" w:hAnsiTheme="majorBidi" w:cstheme="majorBidi"/>
          <w:i/>
          <w:sz w:val="24"/>
          <w:szCs w:val="24"/>
        </w:rPr>
        <w:t xml:space="preserve">siyāsah syar’iyyah </w:t>
      </w:r>
      <w:r w:rsidRPr="00910CE3">
        <w:rPr>
          <w:rFonts w:asciiTheme="majorBidi" w:hAnsiTheme="majorBidi" w:cstheme="majorBidi"/>
          <w:sz w:val="24"/>
          <w:szCs w:val="24"/>
        </w:rPr>
        <w:t>adalah kebijakan yang dibuat Rasulullah setelah hijrah ke Madinah berkenaan dengan persaudaraan intern kaum muslimin yaitu antara kelompok Muhajirin dengan kelompok Anshor.</w:t>
      </w:r>
      <w:r w:rsidRPr="00910CE3">
        <w:rPr>
          <w:rStyle w:val="FootnoteReference"/>
          <w:rFonts w:asciiTheme="majorBidi" w:hAnsiTheme="majorBidi" w:cstheme="majorBidi"/>
          <w:sz w:val="24"/>
          <w:szCs w:val="24"/>
        </w:rPr>
        <w:footnoteReference w:id="435"/>
      </w:r>
      <w:r w:rsidRPr="00910CE3">
        <w:rPr>
          <w:rFonts w:asciiTheme="majorBidi" w:hAnsiTheme="majorBidi" w:cstheme="majorBidi"/>
          <w:sz w:val="24"/>
          <w:szCs w:val="24"/>
        </w:rPr>
        <w:t xml:space="preserve"> Kebijakan ini merupakan perwujudan dalil </w:t>
      </w:r>
      <w:r w:rsidRPr="00836EAC">
        <w:rPr>
          <w:rFonts w:asciiTheme="majorBidi" w:hAnsiTheme="majorBidi" w:cstheme="majorBidi"/>
          <w:i/>
          <w:iCs/>
          <w:sz w:val="24"/>
          <w:szCs w:val="24"/>
        </w:rPr>
        <w:t>kulliy</w:t>
      </w:r>
      <w:r w:rsidRPr="00910CE3">
        <w:rPr>
          <w:rFonts w:asciiTheme="majorBidi" w:hAnsiTheme="majorBidi" w:cstheme="majorBidi"/>
          <w:sz w:val="24"/>
          <w:szCs w:val="24"/>
        </w:rPr>
        <w:t xml:space="preserve">, yaitu </w:t>
      </w:r>
      <w:r w:rsidRPr="00910CE3">
        <w:rPr>
          <w:rFonts w:asciiTheme="majorBidi" w:hAnsiTheme="majorBidi" w:cstheme="majorBidi"/>
          <w:i/>
          <w:iCs/>
          <w:sz w:val="24"/>
          <w:szCs w:val="24"/>
        </w:rPr>
        <w:t>al-ukhuwah al-Islamiyyah</w:t>
      </w:r>
      <w:r w:rsidRPr="00910CE3">
        <w:rPr>
          <w:rFonts w:asciiTheme="majorBidi" w:hAnsiTheme="majorBidi" w:cstheme="majorBidi"/>
          <w:sz w:val="24"/>
          <w:szCs w:val="24"/>
        </w:rPr>
        <w:t xml:space="preserve">. Contoh lainnya adalah perjanjian eksternal antara komunitas muslim dan komunitas non-muslim. Sekalipun  kendali kekuasaan dipegang oleh komunitas muslim dalam hal ini Rasulullah SAW, namun perjanjian yang dibuat tidak mengganggu keyakinan komunitas non muslim. Hal ini tercipta karena Rasulullah SAW mendasarkan kebijakannya atas prinsip </w:t>
      </w:r>
      <w:r w:rsidRPr="00910CE3">
        <w:rPr>
          <w:rFonts w:asciiTheme="majorBidi" w:hAnsiTheme="majorBidi" w:cstheme="majorBidi"/>
          <w:i/>
          <w:sz w:val="24"/>
          <w:szCs w:val="24"/>
        </w:rPr>
        <w:t>al-ukhuwah al-insaniyyah</w:t>
      </w:r>
      <w:r w:rsidRPr="00910CE3">
        <w:rPr>
          <w:rFonts w:asciiTheme="majorBidi" w:hAnsiTheme="majorBidi" w:cstheme="majorBidi"/>
          <w:sz w:val="24"/>
          <w:szCs w:val="24"/>
        </w:rPr>
        <w:t xml:space="preserve"> yang diwujudkan dalam piagam Madinah. Kedua prinsip diatas, yaitu </w:t>
      </w:r>
      <w:r w:rsidRPr="00910CE3">
        <w:rPr>
          <w:rFonts w:asciiTheme="majorBidi" w:hAnsiTheme="majorBidi" w:cstheme="majorBidi"/>
          <w:i/>
          <w:sz w:val="24"/>
          <w:szCs w:val="24"/>
        </w:rPr>
        <w:t xml:space="preserve">al-ukhuwah al-Islamiyyah </w:t>
      </w:r>
      <w:r w:rsidRPr="00910CE3">
        <w:rPr>
          <w:rFonts w:asciiTheme="majorBidi" w:hAnsiTheme="majorBidi" w:cstheme="majorBidi"/>
          <w:sz w:val="24"/>
          <w:szCs w:val="24"/>
        </w:rPr>
        <w:t xml:space="preserve">dan </w:t>
      </w:r>
      <w:r w:rsidRPr="00910CE3">
        <w:rPr>
          <w:rFonts w:asciiTheme="majorBidi" w:hAnsiTheme="majorBidi" w:cstheme="majorBidi"/>
          <w:i/>
          <w:sz w:val="24"/>
          <w:szCs w:val="24"/>
        </w:rPr>
        <w:t xml:space="preserve">al-ukhuwah al-insaniyyah </w:t>
      </w:r>
      <w:r w:rsidRPr="00910CE3">
        <w:rPr>
          <w:rFonts w:asciiTheme="majorBidi" w:hAnsiTheme="majorBidi" w:cstheme="majorBidi"/>
          <w:sz w:val="24"/>
          <w:szCs w:val="24"/>
        </w:rPr>
        <w:t xml:space="preserve">merupakan pola </w:t>
      </w:r>
      <w:r w:rsidRPr="00910CE3">
        <w:rPr>
          <w:rFonts w:asciiTheme="majorBidi" w:hAnsiTheme="majorBidi" w:cstheme="majorBidi"/>
          <w:sz w:val="24"/>
          <w:szCs w:val="24"/>
        </w:rPr>
        <w:lastRenderedPageBreak/>
        <w:t>interaksi antar penduduk negara dan kota Madinah, baik hubungan antar muslim dengan muslim atau muslim dengan non muslim</w:t>
      </w:r>
      <w:r w:rsidRPr="00910CE3">
        <w:rPr>
          <w:rStyle w:val="FootnoteReference"/>
          <w:rFonts w:asciiTheme="majorBidi" w:hAnsiTheme="majorBidi" w:cstheme="majorBidi"/>
          <w:sz w:val="24"/>
          <w:szCs w:val="24"/>
        </w:rPr>
        <w:footnoteReference w:id="436"/>
      </w:r>
      <w:r w:rsidRPr="00910CE3">
        <w:rPr>
          <w:rFonts w:asciiTheme="majorBidi" w:hAnsiTheme="majorBidi" w:cstheme="majorBidi"/>
          <w:sz w:val="24"/>
          <w:szCs w:val="24"/>
        </w:rPr>
        <w:t>.</w:t>
      </w:r>
    </w:p>
    <w:p w:rsidR="00343B61" w:rsidRPr="00910CE3" w:rsidRDefault="00343B61" w:rsidP="00343B61">
      <w:pPr>
        <w:spacing w:line="360" w:lineRule="auto"/>
        <w:ind w:left="360"/>
        <w:jc w:val="both"/>
        <w:rPr>
          <w:rFonts w:asciiTheme="majorBidi" w:hAnsiTheme="majorBidi" w:cstheme="majorBidi"/>
          <w:sz w:val="24"/>
          <w:szCs w:val="24"/>
        </w:rPr>
      </w:pPr>
      <w:r w:rsidRPr="00910CE3">
        <w:rPr>
          <w:rFonts w:asciiTheme="majorBidi" w:hAnsiTheme="majorBidi" w:cstheme="majorBidi"/>
          <w:sz w:val="24"/>
          <w:szCs w:val="24"/>
        </w:rPr>
        <w:t>Perjanjian antara Rasulullah dengan Yahudi, berisikan :</w:t>
      </w:r>
    </w:p>
    <w:p w:rsidR="00343B61" w:rsidRPr="00910CE3" w:rsidRDefault="00343B61" w:rsidP="00343B61">
      <w:pPr>
        <w:pStyle w:val="ListParagraph"/>
        <w:spacing w:line="240" w:lineRule="auto"/>
        <w:jc w:val="both"/>
        <w:rPr>
          <w:rFonts w:asciiTheme="majorBidi" w:hAnsiTheme="majorBidi" w:cstheme="majorBidi"/>
          <w:i/>
          <w:iCs/>
          <w:sz w:val="24"/>
          <w:szCs w:val="24"/>
        </w:rPr>
      </w:pPr>
      <w:r w:rsidRPr="00910CE3">
        <w:rPr>
          <w:rFonts w:asciiTheme="majorBidi" w:hAnsiTheme="majorBidi" w:cstheme="majorBidi"/>
          <w:i/>
          <w:iCs/>
          <w:sz w:val="24"/>
          <w:szCs w:val="24"/>
        </w:rPr>
        <w:t>“Bahwa kaum yahudi hidup damai bersama sama dengan kaum muslimin, kedua belah pihak bebas untuk memeluk dan menjalankan agamanya masing masing. Kaum yahudi dan kaum muslimin wajib tolong menolong, untuk siapa saja yang memerangi mereka , orang yahudi memikul tanggung jawab belanja sendiri dan orang islam memikul tanggung jawab belanja sendiri juga. Bahwa kota Madinah adalah kota suci yang wajib dihormati oleh mereka yang terikat dengan perjanjian itu. Kalau terjadi perselisihan antara kaum yahudi dan kaum muslimin sekiranya dikhawatirkan akan mengakibatkan hal hal yang tidak diinginkan maka urusan itu hendaklah diserahkan kepada Muhamad. Bahwa siapa saja yang tinggal di dalam dan diluar kota Madinah wajib dilindungi keamanan dirinya, kecuali orang yang zalim dan bersalah</w:t>
      </w:r>
      <w:r w:rsidRPr="00910CE3">
        <w:rPr>
          <w:rStyle w:val="FootnoteReference"/>
          <w:rFonts w:asciiTheme="majorBidi" w:hAnsiTheme="majorBidi" w:cstheme="majorBidi"/>
          <w:i/>
          <w:iCs/>
          <w:sz w:val="24"/>
          <w:szCs w:val="24"/>
        </w:rPr>
        <w:footnoteReference w:id="437"/>
      </w:r>
      <w:r w:rsidRPr="00910CE3">
        <w:rPr>
          <w:rFonts w:asciiTheme="majorBidi" w:hAnsiTheme="majorBidi" w:cstheme="majorBidi"/>
          <w:i/>
          <w:iCs/>
          <w:sz w:val="24"/>
          <w:szCs w:val="24"/>
        </w:rPr>
        <w:t>”</w:t>
      </w:r>
    </w:p>
    <w:p w:rsidR="00343B61" w:rsidRPr="00910CE3" w:rsidRDefault="00343B61" w:rsidP="00343B61">
      <w:pPr>
        <w:spacing w:line="360" w:lineRule="auto"/>
        <w:ind w:firstLine="720"/>
        <w:jc w:val="both"/>
        <w:rPr>
          <w:rFonts w:ascii="Times New Roman" w:hAnsi="Times New Roman" w:cs="Times New Roman"/>
          <w:sz w:val="20"/>
          <w:szCs w:val="20"/>
          <w:lang w:val="es-CO"/>
        </w:rPr>
      </w:pPr>
      <w:r w:rsidRPr="00910CE3">
        <w:rPr>
          <w:rFonts w:asciiTheme="majorBidi" w:hAnsiTheme="majorBidi" w:cstheme="majorBidi"/>
          <w:sz w:val="24"/>
          <w:szCs w:val="24"/>
        </w:rPr>
        <w:t xml:space="preserve">Perjanjian Hudaibiayah adalah contoh lain dari aspek </w:t>
      </w:r>
      <w:r w:rsidRPr="00910CE3">
        <w:rPr>
          <w:rFonts w:asciiTheme="majorBidi" w:hAnsiTheme="majorBidi" w:cstheme="majorBidi"/>
          <w:i/>
          <w:iCs/>
          <w:sz w:val="24"/>
          <w:szCs w:val="24"/>
        </w:rPr>
        <w:t xml:space="preserve">siyāsah </w:t>
      </w:r>
      <w:r w:rsidRPr="00910CE3">
        <w:rPr>
          <w:rFonts w:asciiTheme="majorBidi" w:hAnsiTheme="majorBidi" w:cstheme="majorBidi"/>
          <w:sz w:val="24"/>
          <w:szCs w:val="24"/>
        </w:rPr>
        <w:t xml:space="preserve"> dalam Islam. perjanjian ini terjadi pada tahun 628 M antara Rasulullah dengan utusan Quraisy Suhail Ibn ‘</w:t>
      </w:r>
      <w:r w:rsidRPr="00910CE3">
        <w:rPr>
          <w:rFonts w:ascii="Times New Roman" w:hAnsi="Times New Roman" w:cs="Times New Roman"/>
          <w:sz w:val="24"/>
          <w:szCs w:val="24"/>
          <w:lang w:val="es-CO"/>
        </w:rPr>
        <w:t>Ā</w:t>
      </w:r>
      <w:r w:rsidRPr="00910CE3">
        <w:rPr>
          <w:rFonts w:asciiTheme="majorBidi" w:hAnsiTheme="majorBidi" w:cstheme="majorBidi"/>
          <w:sz w:val="24"/>
          <w:szCs w:val="24"/>
        </w:rPr>
        <w:t>mr. Dalam perjanjian itu Nabi SAW bersikap mengalah untuk menang. Muhammad Al-Ghozali dalam menyikapi putusan Nabi menerima perjanjian yang seolah-olah merugikan kaum muslimin itu, menyatakan “ persoalan yang dihadapi beliau tidak bisa dinilai dengan pandangan mata kasat, melainkan harus dinilai berdasarkan ilham ilahi yang memberi pandangan yang tepat”</w:t>
      </w:r>
      <w:r w:rsidRPr="00910CE3">
        <w:rPr>
          <w:rStyle w:val="FootnoteReference"/>
          <w:rFonts w:asciiTheme="majorBidi" w:hAnsiTheme="majorBidi" w:cstheme="majorBidi"/>
          <w:sz w:val="24"/>
          <w:szCs w:val="24"/>
        </w:rPr>
        <w:footnoteReference w:id="438"/>
      </w:r>
      <w:r w:rsidRPr="00910CE3">
        <w:rPr>
          <w:rFonts w:asciiTheme="majorBidi" w:hAnsiTheme="majorBidi" w:cstheme="majorBidi"/>
          <w:sz w:val="24"/>
          <w:szCs w:val="24"/>
        </w:rPr>
        <w:t>. Isi perjanjian itu berbunyi:</w:t>
      </w:r>
    </w:p>
    <w:p w:rsidR="00343B61" w:rsidRPr="00910CE3" w:rsidRDefault="00343B61" w:rsidP="00343B61">
      <w:pPr>
        <w:spacing w:line="240" w:lineRule="auto"/>
        <w:ind w:left="720"/>
        <w:jc w:val="both"/>
        <w:rPr>
          <w:rFonts w:asciiTheme="majorBidi" w:hAnsiTheme="majorBidi" w:cstheme="majorBidi"/>
          <w:i/>
          <w:sz w:val="24"/>
          <w:szCs w:val="24"/>
        </w:rPr>
      </w:pPr>
      <w:r w:rsidRPr="00910CE3">
        <w:rPr>
          <w:rFonts w:asciiTheme="majorBidi" w:hAnsiTheme="majorBidi" w:cstheme="majorBidi"/>
          <w:sz w:val="24"/>
          <w:szCs w:val="24"/>
        </w:rPr>
        <w:t xml:space="preserve">“Rasul Allah saw. Memerintahkan kepada 'Ali bin Abi Thalib ra. </w:t>
      </w:r>
      <w:r w:rsidRPr="00910CE3">
        <w:rPr>
          <w:rFonts w:asciiTheme="majorBidi" w:hAnsiTheme="majorBidi" w:cstheme="majorBidi"/>
          <w:i/>
          <w:sz w:val="24"/>
          <w:szCs w:val="24"/>
        </w:rPr>
        <w:t xml:space="preserve">"Tulislah: Bismillah ar-Rahman ar-Rahim. </w:t>
      </w:r>
      <w:r w:rsidRPr="00910CE3">
        <w:rPr>
          <w:rFonts w:asciiTheme="majorBidi" w:hAnsiTheme="majorBidi" w:cstheme="majorBidi"/>
          <w:sz w:val="24"/>
          <w:szCs w:val="24"/>
        </w:rPr>
        <w:t xml:space="preserve">Suhail berkata: </w:t>
      </w:r>
      <w:r w:rsidRPr="00910CE3">
        <w:rPr>
          <w:rFonts w:asciiTheme="majorBidi" w:hAnsiTheme="majorBidi" w:cstheme="majorBidi"/>
          <w:i/>
          <w:sz w:val="24"/>
          <w:szCs w:val="24"/>
        </w:rPr>
        <w:t>"Aku tidak mengerti apa artinya itu! Tulis sajalah: Bismikallahumma (dengan nama</w:t>
      </w:r>
      <w:r w:rsidRPr="00910CE3">
        <w:rPr>
          <w:rFonts w:asciiTheme="majorBidi" w:hAnsiTheme="majorBidi" w:cstheme="majorBidi"/>
          <w:i/>
          <w:sz w:val="24"/>
          <w:szCs w:val="24"/>
        </w:rPr>
        <w:softHyphen/>
        <w:t xml:space="preserve">Mu, ya Allah) !" </w:t>
      </w:r>
      <w:r w:rsidRPr="00910CE3">
        <w:rPr>
          <w:rFonts w:asciiTheme="majorBidi" w:hAnsiTheme="majorBidi" w:cstheme="majorBidi"/>
          <w:sz w:val="24"/>
          <w:szCs w:val="24"/>
        </w:rPr>
        <w:t xml:space="preserve">Rasul Allah berkata kepada 'Ali: </w:t>
      </w:r>
      <w:r w:rsidRPr="00910CE3">
        <w:rPr>
          <w:rFonts w:asciiTheme="majorBidi" w:hAnsiTheme="majorBidi" w:cstheme="majorBidi"/>
          <w:i/>
          <w:sz w:val="24"/>
          <w:szCs w:val="24"/>
        </w:rPr>
        <w:t xml:space="preserve">"Tulislah: Bismikallahumma!" </w:t>
      </w:r>
      <w:r w:rsidRPr="00910CE3">
        <w:rPr>
          <w:rFonts w:asciiTheme="majorBidi" w:hAnsiTheme="majorBidi" w:cstheme="majorBidi"/>
          <w:sz w:val="24"/>
          <w:szCs w:val="24"/>
        </w:rPr>
        <w:t xml:space="preserve">'Ali lalu menuliskan kalimat itu.  Rasul SAW berkata lagi kepada ‘Ali: </w:t>
      </w:r>
      <w:r w:rsidRPr="00910CE3">
        <w:rPr>
          <w:rFonts w:asciiTheme="majorBidi" w:hAnsiTheme="majorBidi" w:cstheme="majorBidi"/>
          <w:i/>
          <w:sz w:val="24"/>
          <w:szCs w:val="24"/>
        </w:rPr>
        <w:t xml:space="preserve">“Tulislah: Inilah Perjanjian perdamaian yang dibuat </w:t>
      </w:r>
      <w:r w:rsidRPr="00910CE3">
        <w:rPr>
          <w:rFonts w:asciiTheme="majorBidi" w:hAnsiTheme="majorBidi" w:cstheme="majorBidi"/>
          <w:i/>
          <w:sz w:val="24"/>
          <w:szCs w:val="24"/>
        </w:rPr>
        <w:lastRenderedPageBreak/>
        <w:t>oleh Muhammad Rasul Allah dengan Suhail bin ‘Amr.” Suhail menolak dan berkata: “kalau aku mengakui anda Rasul Allah, tentu anda tidak kami perangi. Tulis sajalah nama anda dan nama ayah anda!” Rasul memerintahkan ‘Ali supaya menuliskan: “Inilah Perjanjian Perdamaian yang dibuat oleh Muhammad bin ‘Abdullah dengan Suhail bin ‘Amr. Kedua belah pihak telah menyetujui adanya gencatan senjata selama sepuluh tahun. Selama masa itu, kedua belah pihak tidak akan saling menyerang dan semua orang akan terjamin keamanannya. Apabila ada orang dari pihak Quraisy menyeberang ke pihak Muhammad tanpa seizin walinya, ia harus dikembalikan kepada Quraisy. Sebaliknya, bila ada pengikut Muhammad yang menyeberang ke pihak Quraisy, ia tidak akan dikembalikan kepada Muhammad”</w:t>
      </w:r>
      <w:r w:rsidRPr="00910CE3">
        <w:rPr>
          <w:rStyle w:val="FootnoteReference"/>
          <w:rFonts w:asciiTheme="majorBidi" w:hAnsiTheme="majorBidi" w:cstheme="majorBidi"/>
          <w:i/>
          <w:sz w:val="24"/>
          <w:szCs w:val="24"/>
        </w:rPr>
        <w:footnoteReference w:id="439"/>
      </w:r>
    </w:p>
    <w:p w:rsidR="00343B61" w:rsidRPr="00910CE3" w:rsidRDefault="00343B61" w:rsidP="00343B61">
      <w:pPr>
        <w:spacing w:line="360" w:lineRule="auto"/>
        <w:ind w:firstLine="720"/>
        <w:jc w:val="both"/>
        <w:rPr>
          <w:rFonts w:asciiTheme="majorBidi" w:hAnsiTheme="majorBidi" w:cstheme="majorBidi"/>
          <w:sz w:val="24"/>
          <w:szCs w:val="24"/>
        </w:rPr>
      </w:pPr>
      <w:r w:rsidRPr="00910CE3">
        <w:rPr>
          <w:rFonts w:asciiTheme="majorBidi" w:hAnsiTheme="majorBidi" w:cstheme="majorBidi"/>
          <w:sz w:val="24"/>
          <w:szCs w:val="24"/>
        </w:rPr>
        <w:t xml:space="preserve">Selanjutnya perjanjian perdamaian itu menegaskan: bahwa kedua belah pihak tidak akan menyembunyikan niat jahat. Selama perjanjian itu berlaku tidak boleh terjadi pencurian dan pengkhianatan yang satu terhadap yang lain. Jika ada pihak luar yang ingin bersekutu dengan pihak Muhammad, atau ingin bersekutu dengan pihak Qureisy, diperbolehkan. Lebih jauh perjanjian tersebut menetapkan: Dalam tahun ini (yang sedang berjalan) Muhammad dan para sahabatnya harus </w:t>
      </w:r>
      <w:r w:rsidRPr="00910CE3">
        <w:rPr>
          <w:rFonts w:asciiTheme="majorBidi" w:hAnsiTheme="majorBidi" w:cstheme="majorBidi"/>
          <w:spacing w:val="6"/>
          <w:sz w:val="24"/>
          <w:szCs w:val="24"/>
        </w:rPr>
        <w:t xml:space="preserve">pulang meninggalkan Makkah dengan ketentuan, pada tahun berikutnya mereka diperbolehkan memasuki kota Makkah dan tinggal selama tiga hari, dengan syarat: mereka tidak boleh membawa senjata lain kecuali pedang di dalam sarungnya (yakni </w:t>
      </w:r>
      <w:r w:rsidRPr="00910CE3">
        <w:rPr>
          <w:rFonts w:asciiTheme="majorBidi" w:hAnsiTheme="majorBidi" w:cstheme="majorBidi"/>
          <w:spacing w:val="-1"/>
          <w:sz w:val="24"/>
          <w:szCs w:val="24"/>
        </w:rPr>
        <w:t>tidak boleh dihunus)</w:t>
      </w:r>
      <w:r w:rsidRPr="00910CE3">
        <w:rPr>
          <w:rStyle w:val="FootnoteReference"/>
          <w:rFonts w:asciiTheme="majorBidi" w:hAnsiTheme="majorBidi" w:cstheme="majorBidi"/>
          <w:spacing w:val="-1"/>
          <w:sz w:val="24"/>
          <w:szCs w:val="24"/>
        </w:rPr>
        <w:footnoteReference w:id="440"/>
      </w:r>
      <w:r w:rsidRPr="00910CE3">
        <w:rPr>
          <w:rFonts w:asciiTheme="majorBidi" w:hAnsiTheme="majorBidi" w:cstheme="majorBidi"/>
          <w:spacing w:val="-1"/>
          <w:sz w:val="24"/>
          <w:szCs w:val="24"/>
        </w:rPr>
        <w:t>.</w:t>
      </w:r>
    </w:p>
    <w:p w:rsidR="00343B61" w:rsidRPr="00910CE3" w:rsidRDefault="00343B61" w:rsidP="00343B61">
      <w:pPr>
        <w:spacing w:line="360" w:lineRule="auto"/>
        <w:ind w:firstLine="720"/>
        <w:jc w:val="both"/>
        <w:rPr>
          <w:rFonts w:asciiTheme="majorBidi" w:hAnsiTheme="majorBidi" w:cstheme="majorBidi"/>
          <w:spacing w:val="-1"/>
          <w:sz w:val="24"/>
          <w:szCs w:val="24"/>
        </w:rPr>
      </w:pPr>
      <w:r w:rsidRPr="00910CE3">
        <w:rPr>
          <w:rFonts w:asciiTheme="majorBidi" w:hAnsiTheme="majorBidi" w:cstheme="majorBidi"/>
          <w:spacing w:val="-1"/>
          <w:sz w:val="24"/>
          <w:szCs w:val="24"/>
        </w:rPr>
        <w:t xml:space="preserve">Dilihat dari segi </w:t>
      </w:r>
      <w:r w:rsidRPr="00910CE3">
        <w:rPr>
          <w:rFonts w:asciiTheme="majorBidi" w:hAnsiTheme="majorBidi" w:cstheme="majorBidi"/>
          <w:i/>
          <w:spacing w:val="-1"/>
          <w:sz w:val="24"/>
          <w:szCs w:val="24"/>
        </w:rPr>
        <w:t xml:space="preserve">siyāsah </w:t>
      </w:r>
      <w:r w:rsidRPr="00910CE3">
        <w:rPr>
          <w:rFonts w:asciiTheme="majorBidi" w:hAnsiTheme="majorBidi" w:cstheme="majorBidi"/>
          <w:spacing w:val="-1"/>
          <w:sz w:val="24"/>
          <w:szCs w:val="24"/>
        </w:rPr>
        <w:t>perjanjian ini mengisyaratkan beberapa keharusan, antara lain (1) keharusan menempuh jalan secara damai, meskipun dengan cara pencapaian tujuan secara logika agak terlambat. Keharusan mempunyai kemampuan membaca situasi dan kondisi, kapan harus memberi dan kapan harus menerima, dan keharusan memiliki kemampuan menentukan waktu yang tepat agar tujuan bisa tercapai, hal ini sesuai dengan kaidah:</w:t>
      </w:r>
    </w:p>
    <w:p w:rsidR="00343B61" w:rsidRPr="00910CE3" w:rsidRDefault="00343B61" w:rsidP="00343B61">
      <w:pPr>
        <w:bidi/>
        <w:spacing w:after="0" w:line="240" w:lineRule="auto"/>
        <w:outlineLvl w:val="2"/>
        <w:rPr>
          <w:rFonts w:asciiTheme="majorBidi" w:hAnsiTheme="majorBidi" w:cstheme="majorBidi"/>
          <w:b/>
          <w:bCs/>
          <w:sz w:val="28"/>
          <w:szCs w:val="28"/>
        </w:rPr>
      </w:pPr>
      <w:r w:rsidRPr="00542B2D">
        <w:rPr>
          <w:rFonts w:ascii="Adobe نسخ Medium" w:hAnsi="Adobe نسخ Medium" w:cs="Traditional Arabic"/>
          <w:sz w:val="32"/>
          <w:szCs w:val="32"/>
          <w:rtl/>
        </w:rPr>
        <w:lastRenderedPageBreak/>
        <w:t>مَنِ اسْتَعْجَلَ شَيْئًا قَبْلَ أَوَانِهِ عُوْقِبَ بِحِرْمَانِهِ</w:t>
      </w:r>
      <w:r w:rsidRPr="00910CE3">
        <w:rPr>
          <w:rStyle w:val="FootnoteReference"/>
          <w:rFonts w:asciiTheme="majorBidi" w:hAnsiTheme="majorBidi" w:cstheme="majorBidi"/>
          <w:b/>
          <w:bCs/>
          <w:sz w:val="28"/>
          <w:szCs w:val="28"/>
          <w:rtl/>
        </w:rPr>
        <w:footnoteReference w:id="441"/>
      </w:r>
    </w:p>
    <w:p w:rsidR="00343B61" w:rsidRDefault="00343B61" w:rsidP="00343B61">
      <w:pPr>
        <w:spacing w:after="0" w:line="240" w:lineRule="auto"/>
        <w:ind w:left="720"/>
        <w:jc w:val="both"/>
        <w:outlineLvl w:val="2"/>
        <w:rPr>
          <w:rFonts w:asciiTheme="majorBidi" w:hAnsiTheme="majorBidi" w:cstheme="majorBidi"/>
          <w:bCs/>
          <w:i/>
          <w:sz w:val="24"/>
          <w:szCs w:val="24"/>
        </w:rPr>
      </w:pPr>
      <w:r w:rsidRPr="00910CE3">
        <w:rPr>
          <w:rFonts w:asciiTheme="majorBidi" w:hAnsiTheme="majorBidi" w:cstheme="majorBidi"/>
          <w:bCs/>
          <w:sz w:val="24"/>
          <w:szCs w:val="24"/>
        </w:rPr>
        <w:t>Artinya: ”</w:t>
      </w:r>
      <w:r w:rsidRPr="00910CE3">
        <w:rPr>
          <w:rFonts w:asciiTheme="majorBidi" w:hAnsiTheme="majorBidi" w:cstheme="majorBidi"/>
          <w:bCs/>
          <w:i/>
          <w:sz w:val="24"/>
          <w:szCs w:val="24"/>
        </w:rPr>
        <w:t>Barangsiapa mempercepat sesuatu sebelum waktunya, akan mendapat berupa kegagalan”</w:t>
      </w:r>
    </w:p>
    <w:p w:rsidR="00343B61" w:rsidRPr="00A124F9" w:rsidRDefault="00343B61" w:rsidP="00343B61">
      <w:pPr>
        <w:spacing w:after="0" w:line="240" w:lineRule="auto"/>
        <w:ind w:left="720"/>
        <w:jc w:val="both"/>
        <w:outlineLvl w:val="2"/>
        <w:rPr>
          <w:rStyle w:val="Bodytext2Calibri"/>
          <w:rFonts w:asciiTheme="majorBidi" w:hAnsiTheme="majorBidi" w:cstheme="majorBidi"/>
          <w:bCs/>
          <w:i/>
          <w:sz w:val="24"/>
          <w:szCs w:val="24"/>
        </w:rPr>
      </w:pPr>
    </w:p>
    <w:p w:rsidR="00343B61" w:rsidRPr="0075742D" w:rsidRDefault="00343B61" w:rsidP="00343B61">
      <w:pPr>
        <w:pStyle w:val="Bodytext21"/>
        <w:shd w:val="clear" w:color="auto" w:fill="auto"/>
        <w:spacing w:before="0" w:after="362" w:line="360" w:lineRule="auto"/>
        <w:ind w:firstLine="720"/>
        <w:rPr>
          <w:rStyle w:val="Bodytext2Calibri"/>
          <w:rFonts w:asciiTheme="majorBidi" w:hAnsiTheme="majorBidi" w:cstheme="majorBidi"/>
          <w:sz w:val="24"/>
          <w:szCs w:val="24"/>
        </w:rPr>
      </w:pPr>
      <w:r w:rsidRPr="0075742D">
        <w:rPr>
          <w:rStyle w:val="Bodytext2Calibri"/>
          <w:rFonts w:asciiTheme="majorBidi" w:hAnsiTheme="majorBidi" w:cstheme="majorBidi"/>
          <w:sz w:val="24"/>
          <w:szCs w:val="24"/>
        </w:rPr>
        <w:t xml:space="preserve">Setelah Nabi Saw wafat, pemerintahan selanjutnya dilanjutkan oleh </w:t>
      </w:r>
      <w:r w:rsidRPr="0075742D">
        <w:rPr>
          <w:rStyle w:val="Bodytext2Calibri"/>
          <w:rFonts w:asciiTheme="majorBidi" w:hAnsiTheme="majorBidi" w:cstheme="majorBidi"/>
          <w:i/>
          <w:iCs/>
          <w:sz w:val="24"/>
          <w:szCs w:val="24"/>
        </w:rPr>
        <w:t>khalifah al-Rasyidun</w:t>
      </w:r>
      <w:r w:rsidRPr="0075742D">
        <w:rPr>
          <w:rStyle w:val="Bodytext2Calibri"/>
          <w:rFonts w:asciiTheme="majorBidi" w:hAnsiTheme="majorBidi" w:cstheme="majorBidi"/>
          <w:sz w:val="24"/>
          <w:szCs w:val="24"/>
        </w:rPr>
        <w:t>. Pada periode ini, kekuasaan Islam telah meluas keluar semenanjung Arabia. Akibatnya, kasus-kasus baru yang tidak pernah terjadi pada masa Nabi banyak bermunculan. Untuk menyelesaikan kasus-kasus ini, para sahabat mencari penyelesaian dengan nash-nash syara’. Apabila tidak ditemukan dalam nash-nash ini, mereka berijtihad.</w:t>
      </w:r>
      <w:r w:rsidRPr="0075742D">
        <w:rPr>
          <w:rStyle w:val="FootnoteReference"/>
          <w:rFonts w:asciiTheme="majorBidi" w:hAnsiTheme="majorBidi" w:cstheme="majorBidi"/>
          <w:sz w:val="24"/>
          <w:szCs w:val="24"/>
          <w:shd w:val="clear" w:color="auto" w:fill="FFFFFF"/>
        </w:rPr>
        <w:footnoteReference w:id="442"/>
      </w:r>
      <w:r w:rsidRPr="0075742D">
        <w:rPr>
          <w:rStyle w:val="Bodytext2Calibri"/>
          <w:rFonts w:asciiTheme="majorBidi" w:hAnsiTheme="majorBidi" w:cstheme="majorBidi"/>
          <w:sz w:val="24"/>
          <w:szCs w:val="24"/>
        </w:rPr>
        <w:t xml:space="preserve"> Faktor inilah yang menyebabkan muncul berbagai </w:t>
      </w:r>
      <w:r>
        <w:rPr>
          <w:rStyle w:val="Bodytext2Calibri"/>
          <w:rFonts w:asciiTheme="majorBidi" w:hAnsiTheme="majorBidi" w:cstheme="majorBidi"/>
          <w:i/>
          <w:iCs/>
          <w:sz w:val="24"/>
          <w:szCs w:val="24"/>
        </w:rPr>
        <w:t>siyāsah</w:t>
      </w:r>
      <w:r w:rsidRPr="0075742D">
        <w:rPr>
          <w:rStyle w:val="Bodytext2Calibri"/>
          <w:rFonts w:asciiTheme="majorBidi" w:hAnsiTheme="majorBidi" w:cstheme="majorBidi"/>
          <w:i/>
          <w:iCs/>
          <w:sz w:val="24"/>
          <w:szCs w:val="24"/>
        </w:rPr>
        <w:t xml:space="preserve"> </w:t>
      </w:r>
      <w:r>
        <w:rPr>
          <w:rStyle w:val="Bodytext2Calibri"/>
          <w:rFonts w:asciiTheme="majorBidi" w:hAnsiTheme="majorBidi" w:cstheme="majorBidi"/>
          <w:i/>
          <w:iCs/>
          <w:sz w:val="24"/>
          <w:szCs w:val="24"/>
        </w:rPr>
        <w:t>syar‘iyyah</w:t>
      </w:r>
      <w:r w:rsidRPr="0075742D">
        <w:rPr>
          <w:rStyle w:val="Bodytext2Calibri"/>
          <w:rFonts w:asciiTheme="majorBidi" w:hAnsiTheme="majorBidi" w:cstheme="majorBidi"/>
          <w:sz w:val="24"/>
          <w:szCs w:val="24"/>
        </w:rPr>
        <w:t xml:space="preserve"> yang tidak berdasarkan pada dalil-dalil syara’ yang </w:t>
      </w:r>
      <w:r w:rsidRPr="0075742D">
        <w:rPr>
          <w:rStyle w:val="Bodytext2Calibri"/>
          <w:rFonts w:asciiTheme="majorBidi" w:hAnsiTheme="majorBidi" w:cstheme="majorBidi"/>
          <w:i/>
          <w:iCs/>
          <w:sz w:val="24"/>
          <w:szCs w:val="24"/>
        </w:rPr>
        <w:t>juz’i</w:t>
      </w:r>
      <w:r w:rsidRPr="0075742D">
        <w:rPr>
          <w:rStyle w:val="Bodytext2Calibri"/>
          <w:rFonts w:asciiTheme="majorBidi" w:hAnsiTheme="majorBidi" w:cstheme="majorBidi"/>
          <w:sz w:val="24"/>
          <w:szCs w:val="24"/>
        </w:rPr>
        <w:t xml:space="preserve"> dalam rangka memenuhi kebutuhan dan kemaslahatan manusia. Dan sejak itupula </w:t>
      </w:r>
      <w:r>
        <w:rPr>
          <w:rStyle w:val="Bodytext2Calibri"/>
          <w:rFonts w:asciiTheme="majorBidi" w:hAnsiTheme="majorBidi" w:cstheme="majorBidi"/>
          <w:i/>
          <w:iCs/>
          <w:sz w:val="24"/>
          <w:szCs w:val="24"/>
        </w:rPr>
        <w:t>siyāsah</w:t>
      </w:r>
      <w:r w:rsidRPr="0075742D">
        <w:rPr>
          <w:rStyle w:val="Bodytext2Calibri"/>
          <w:rFonts w:asciiTheme="majorBidi" w:hAnsiTheme="majorBidi" w:cstheme="majorBidi"/>
          <w:i/>
          <w:iCs/>
          <w:sz w:val="24"/>
          <w:szCs w:val="24"/>
        </w:rPr>
        <w:t xml:space="preserve"> </w:t>
      </w:r>
      <w:r>
        <w:rPr>
          <w:rStyle w:val="Bodytext2Calibri"/>
          <w:rFonts w:asciiTheme="majorBidi" w:hAnsiTheme="majorBidi" w:cstheme="majorBidi"/>
          <w:i/>
          <w:iCs/>
          <w:sz w:val="24"/>
          <w:szCs w:val="24"/>
        </w:rPr>
        <w:t>syar‘iyyah</w:t>
      </w:r>
      <w:r w:rsidRPr="0075742D">
        <w:rPr>
          <w:rStyle w:val="Bodytext2Calibri"/>
          <w:rFonts w:asciiTheme="majorBidi" w:hAnsiTheme="majorBidi" w:cstheme="majorBidi"/>
          <w:i/>
          <w:iCs/>
          <w:sz w:val="24"/>
          <w:szCs w:val="24"/>
        </w:rPr>
        <w:t xml:space="preserve"> </w:t>
      </w:r>
      <w:r w:rsidRPr="0075742D">
        <w:rPr>
          <w:rStyle w:val="Bodytext2Calibri"/>
          <w:rFonts w:asciiTheme="majorBidi" w:hAnsiTheme="majorBidi" w:cstheme="majorBidi"/>
          <w:sz w:val="24"/>
          <w:szCs w:val="24"/>
        </w:rPr>
        <w:t>ini mendapat perhatian yang cukup besar dari para sahabat. Hal ini dapat dilihat dari beberapa kebijakan para khalifah saat itu diantarany</w:t>
      </w:r>
      <w:r>
        <w:rPr>
          <w:rStyle w:val="Bodytext2Calibri"/>
          <w:rFonts w:asciiTheme="majorBidi" w:hAnsiTheme="majorBidi" w:cstheme="majorBidi"/>
          <w:sz w:val="24"/>
          <w:szCs w:val="24"/>
        </w:rPr>
        <w:t>a</w:t>
      </w:r>
      <w:r w:rsidRPr="0075742D">
        <w:rPr>
          <w:rStyle w:val="Bodytext2Calibri"/>
          <w:rFonts w:asciiTheme="majorBidi" w:hAnsiTheme="majorBidi" w:cstheme="majorBidi"/>
          <w:sz w:val="24"/>
          <w:szCs w:val="24"/>
        </w:rPr>
        <w:t>:</w:t>
      </w:r>
    </w:p>
    <w:p w:rsidR="00343B61" w:rsidRPr="0075742D" w:rsidRDefault="00343B61" w:rsidP="002C0A33">
      <w:pPr>
        <w:pStyle w:val="ListParagraph"/>
        <w:numPr>
          <w:ilvl w:val="0"/>
          <w:numId w:val="23"/>
        </w:numPr>
        <w:spacing w:before="100" w:beforeAutospacing="1" w:after="100" w:afterAutospacing="1" w:line="360" w:lineRule="auto"/>
        <w:ind w:left="540" w:hanging="270"/>
        <w:jc w:val="both"/>
        <w:rPr>
          <w:rFonts w:asciiTheme="majorBidi" w:hAnsiTheme="majorBidi" w:cstheme="majorBidi"/>
          <w:sz w:val="24"/>
          <w:szCs w:val="24"/>
          <w:lang w:val="es-ES_tradnl"/>
        </w:rPr>
      </w:pPr>
      <w:r w:rsidRPr="0075742D">
        <w:rPr>
          <w:rFonts w:asciiTheme="majorBidi" w:hAnsiTheme="majorBidi" w:cstheme="majorBidi"/>
          <w:sz w:val="24"/>
          <w:szCs w:val="24"/>
          <w:lang w:val="es-ES_tradnl"/>
        </w:rPr>
        <w:t xml:space="preserve">Pada masa Abu Bakar menjadi khalifah terjadi kekhawatiran bercampurnya </w:t>
      </w:r>
      <w:r w:rsidRPr="0075742D">
        <w:rPr>
          <w:rFonts w:asciiTheme="majorBidi" w:hAnsiTheme="majorBidi" w:cstheme="majorBidi"/>
          <w:sz w:val="24"/>
          <w:szCs w:val="24"/>
        </w:rPr>
        <w:t>Al-Qur’ān</w:t>
      </w:r>
      <w:r w:rsidRPr="0075742D">
        <w:rPr>
          <w:rFonts w:asciiTheme="majorBidi" w:hAnsiTheme="majorBidi" w:cstheme="majorBidi"/>
          <w:sz w:val="24"/>
          <w:szCs w:val="24"/>
          <w:lang w:val="es-ES_tradnl"/>
        </w:rPr>
        <w:t xml:space="preserve"> dengan Hadis, maka suatu saat Umar Ibn al-Khattab mempunyai  pemikiran cemerlang yang kemudian diusulkan kepada Abu Bakar untuk menghimpun tulisan-tulisan Al-Qur’ān yang pada saat itu tersebar  dibeberapa tempat, untuk dijadikan satu mushaf. Ide cemerlang Umar ini sesungguhnya diilhami oleh kenyataan banyaknya korban yang menimpa pada huffadz Al-Qur’ān dalam peperangan  Yamamah</w:t>
      </w:r>
      <w:r w:rsidRPr="0075742D">
        <w:rPr>
          <w:rStyle w:val="FootnoteReference"/>
          <w:rFonts w:asciiTheme="majorBidi" w:hAnsiTheme="majorBidi" w:cstheme="majorBidi"/>
          <w:sz w:val="24"/>
          <w:szCs w:val="24"/>
          <w:lang w:val="es-ES_tradnl"/>
        </w:rPr>
        <w:footnoteReference w:id="443"/>
      </w:r>
      <w:r w:rsidRPr="0075742D">
        <w:rPr>
          <w:rFonts w:asciiTheme="majorBidi" w:hAnsiTheme="majorBidi" w:cstheme="majorBidi"/>
          <w:sz w:val="24"/>
          <w:szCs w:val="24"/>
          <w:lang w:val="es-ES_tradnl"/>
        </w:rPr>
        <w:t xml:space="preserve">.   Setelah melalui perdebatan yang cukup sengit, akhirnya usul Umar inipun  diterima.  Dan </w:t>
      </w:r>
      <w:r w:rsidRPr="0075742D">
        <w:rPr>
          <w:rFonts w:asciiTheme="majorBidi" w:hAnsiTheme="majorBidi" w:cstheme="majorBidi"/>
          <w:sz w:val="24"/>
          <w:szCs w:val="24"/>
          <w:lang w:val="es-ES_tradnl"/>
        </w:rPr>
        <w:lastRenderedPageBreak/>
        <w:t>dalam waktu satu tahun kerja  mengumpulkan  tulisan Al-Qur’ān menjadi satu mushaf ini dapat diselesaikan.</w:t>
      </w:r>
      <w:r w:rsidRPr="0075742D">
        <w:rPr>
          <w:rStyle w:val="FootnoteReference"/>
          <w:rFonts w:asciiTheme="majorBidi" w:hAnsiTheme="majorBidi" w:cstheme="majorBidi"/>
          <w:sz w:val="24"/>
          <w:szCs w:val="24"/>
          <w:lang w:val="es-ES_tradnl"/>
        </w:rPr>
        <w:footnoteReference w:id="444"/>
      </w:r>
    </w:p>
    <w:p w:rsidR="00343B61" w:rsidRPr="0075742D" w:rsidRDefault="00343B61" w:rsidP="002C0A33">
      <w:pPr>
        <w:pStyle w:val="ListParagraph"/>
        <w:numPr>
          <w:ilvl w:val="0"/>
          <w:numId w:val="23"/>
        </w:numPr>
        <w:spacing w:before="100" w:beforeAutospacing="1" w:after="100" w:afterAutospacing="1" w:line="360" w:lineRule="auto"/>
        <w:ind w:left="540" w:hanging="270"/>
        <w:jc w:val="both"/>
        <w:rPr>
          <w:rFonts w:asciiTheme="majorBidi" w:hAnsiTheme="majorBidi" w:cstheme="majorBidi"/>
          <w:sz w:val="24"/>
          <w:szCs w:val="24"/>
          <w:lang w:val="es-ES_tradnl"/>
        </w:rPr>
      </w:pPr>
      <w:r w:rsidRPr="0075742D">
        <w:rPr>
          <w:rFonts w:asciiTheme="majorBidi" w:hAnsiTheme="majorBidi" w:cstheme="majorBidi"/>
          <w:i/>
          <w:iCs/>
          <w:sz w:val="24"/>
          <w:szCs w:val="24"/>
          <w:lang w:val="es-ES_tradnl"/>
        </w:rPr>
        <w:t>Siyasat</w:t>
      </w:r>
      <w:r w:rsidRPr="0075742D">
        <w:rPr>
          <w:rFonts w:asciiTheme="majorBidi" w:hAnsiTheme="majorBidi" w:cstheme="majorBidi"/>
          <w:sz w:val="24"/>
          <w:szCs w:val="24"/>
          <w:lang w:val="es-ES_tradnl"/>
        </w:rPr>
        <w:t xml:space="preserve"> Umar bin Khotthob yang menarik untuk dikaji adalah ketika beliau tidak memberlakukan hukum potong tangan terhadap pencuri-pencuri unta pada situasi kelaparan, bahkan Umar menghukum pemilik unta untuk membayar dua kali lipat dari harta unta yang dicuri. Hal ini karena adanya </w:t>
      </w:r>
      <w:r w:rsidRPr="0075742D">
        <w:rPr>
          <w:rFonts w:asciiTheme="majorBidi" w:hAnsiTheme="majorBidi" w:cstheme="majorBidi"/>
          <w:i/>
          <w:iCs/>
          <w:sz w:val="24"/>
          <w:szCs w:val="24"/>
          <w:lang w:val="es-ES_tradnl"/>
        </w:rPr>
        <w:t>dharuarat</w:t>
      </w:r>
      <w:r w:rsidRPr="0075742D">
        <w:rPr>
          <w:rFonts w:asciiTheme="majorBidi" w:hAnsiTheme="majorBidi" w:cstheme="majorBidi"/>
          <w:sz w:val="24"/>
          <w:szCs w:val="24"/>
          <w:lang w:val="es-ES_tradnl"/>
        </w:rPr>
        <w:t xml:space="preserve"> dan </w:t>
      </w:r>
      <w:r w:rsidRPr="0075742D">
        <w:rPr>
          <w:rFonts w:asciiTheme="majorBidi" w:hAnsiTheme="majorBidi" w:cstheme="majorBidi"/>
          <w:i/>
          <w:iCs/>
          <w:sz w:val="24"/>
          <w:szCs w:val="24"/>
          <w:lang w:val="es-ES_tradnl"/>
        </w:rPr>
        <w:t>Syubhat</w:t>
      </w:r>
      <w:r w:rsidRPr="0075742D">
        <w:rPr>
          <w:rFonts w:asciiTheme="majorBidi" w:hAnsiTheme="majorBidi" w:cstheme="majorBidi"/>
          <w:sz w:val="24"/>
          <w:szCs w:val="24"/>
          <w:lang w:val="es-ES_tradnl"/>
        </w:rPr>
        <w:t>.</w:t>
      </w:r>
      <w:r w:rsidRPr="0075742D">
        <w:rPr>
          <w:rStyle w:val="FootnoteReference"/>
          <w:rFonts w:asciiTheme="majorBidi" w:hAnsiTheme="majorBidi" w:cstheme="majorBidi"/>
          <w:sz w:val="24"/>
          <w:szCs w:val="24"/>
          <w:lang w:val="es-ES_tradnl"/>
        </w:rPr>
        <w:footnoteReference w:id="445"/>
      </w:r>
      <w:r w:rsidRPr="0075742D">
        <w:rPr>
          <w:rFonts w:asciiTheme="majorBidi" w:hAnsiTheme="majorBidi" w:cstheme="majorBidi"/>
          <w:sz w:val="24"/>
          <w:szCs w:val="24"/>
          <w:lang w:val="es-ES_tradnl"/>
        </w:rPr>
        <w:t xml:space="preserve"> Betapa bijakasannya Umar dalam memimpin rakyat pada saat itu, sehingga ia selalu memutuskan perkara secara rasional. </w:t>
      </w:r>
    </w:p>
    <w:p w:rsidR="00343B61" w:rsidRPr="0075742D" w:rsidRDefault="00343B61" w:rsidP="002C0A33">
      <w:pPr>
        <w:pStyle w:val="ListParagraph"/>
        <w:numPr>
          <w:ilvl w:val="0"/>
          <w:numId w:val="23"/>
        </w:numPr>
        <w:spacing w:line="360" w:lineRule="auto"/>
        <w:ind w:left="540" w:hanging="270"/>
        <w:jc w:val="both"/>
        <w:rPr>
          <w:rFonts w:asciiTheme="majorBidi" w:hAnsiTheme="majorBidi" w:cstheme="majorBidi"/>
          <w:sz w:val="24"/>
          <w:szCs w:val="24"/>
        </w:rPr>
      </w:pPr>
      <w:r w:rsidRPr="0075742D">
        <w:rPr>
          <w:rFonts w:asciiTheme="majorBidi" w:hAnsiTheme="majorBidi" w:cstheme="majorBidi"/>
          <w:sz w:val="24"/>
          <w:szCs w:val="24"/>
          <w:lang w:val="es-ES_tradnl"/>
        </w:rPr>
        <w:t xml:space="preserve">Di antara </w:t>
      </w:r>
      <w:r w:rsidRPr="0075742D">
        <w:rPr>
          <w:rFonts w:asciiTheme="majorBidi" w:hAnsiTheme="majorBidi" w:cstheme="majorBidi"/>
          <w:i/>
          <w:iCs/>
          <w:sz w:val="24"/>
          <w:szCs w:val="24"/>
          <w:lang w:val="es-ES_tradnl"/>
        </w:rPr>
        <w:t>siyasat</w:t>
      </w:r>
      <w:r w:rsidRPr="0075742D">
        <w:rPr>
          <w:rFonts w:asciiTheme="majorBidi" w:hAnsiTheme="majorBidi" w:cstheme="majorBidi"/>
          <w:sz w:val="24"/>
          <w:szCs w:val="24"/>
          <w:lang w:val="es-ES_tradnl"/>
        </w:rPr>
        <w:t xml:space="preserve"> khalifah Usman Ibnu Affan yang luar biasa adalah keberhasilan beliau mempersatukan umat dalam satu mushhaf.  pada saat itu persoalan  mengenai </w:t>
      </w:r>
      <w:r w:rsidRPr="0075742D">
        <w:rPr>
          <w:rFonts w:asciiTheme="majorBidi" w:hAnsiTheme="majorBidi" w:cstheme="majorBidi"/>
          <w:i/>
          <w:iCs/>
          <w:sz w:val="24"/>
          <w:szCs w:val="24"/>
          <w:lang w:val="es-ES_tradnl"/>
        </w:rPr>
        <w:t>qira’at</w:t>
      </w:r>
      <w:r w:rsidRPr="0075742D">
        <w:rPr>
          <w:rFonts w:asciiTheme="majorBidi" w:hAnsiTheme="majorBidi" w:cstheme="majorBidi"/>
          <w:sz w:val="24"/>
          <w:szCs w:val="24"/>
          <w:lang w:val="es-ES_tradnl"/>
        </w:rPr>
        <w:t xml:space="preserve"> muncul, terutama setelah Islam  menyebar keberbagai daerah, seperti Syria, Armenia dan Azarbaijan.</w:t>
      </w:r>
      <w:r w:rsidRPr="0075742D">
        <w:rPr>
          <w:rStyle w:val="FootnoteReference"/>
          <w:rFonts w:asciiTheme="majorBidi" w:hAnsiTheme="majorBidi" w:cstheme="majorBidi"/>
          <w:sz w:val="24"/>
          <w:szCs w:val="24"/>
          <w:lang w:val="es-ES_tradnl"/>
        </w:rPr>
        <w:footnoteReference w:id="446"/>
      </w:r>
      <w:r w:rsidRPr="0075742D">
        <w:rPr>
          <w:rFonts w:asciiTheme="majorBidi" w:hAnsiTheme="majorBidi" w:cstheme="majorBidi"/>
          <w:sz w:val="24"/>
          <w:szCs w:val="24"/>
          <w:lang w:val="es-ES_tradnl"/>
        </w:rPr>
        <w:t xml:space="preserve"> Bahkan kondisi seperti ini  lebih membahayakan setelah perbedaan ini merembet ke masalah fanatisme golongan, yang masing-masing saling mengklaim kebenaran dan bahkan saling mengkafirkan. Namun al-hamdu lillah hal semacam ini  tidak berlarut-larut.  Ini semua karena adanya  upaya khalifah Usman untuk menyeragamkan mushaf al-Qur’ān dan membakar seluruh tulisan  Al-Qur’ān yang tidak sesuai dengan Mushaf tersebut.  Upaya tersebut dilakukan berkat usulan yang diberikan oleh sahabat Huzaifah Ibnu al-Yaman. Semenjak saat itu umat Islam  telah mempunyai pedoman dalam hal mushaf Al-Qur’ān yang sama dan seragam untuk seluruh  umat, yakni </w:t>
      </w:r>
      <w:r w:rsidRPr="0075742D">
        <w:rPr>
          <w:rFonts w:asciiTheme="majorBidi" w:hAnsiTheme="majorBidi" w:cstheme="majorBidi"/>
          <w:i/>
          <w:iCs/>
          <w:sz w:val="24"/>
          <w:szCs w:val="24"/>
          <w:lang w:val="es-ES_tradnl"/>
        </w:rPr>
        <w:t>Mushaf Usmani</w:t>
      </w:r>
      <w:r w:rsidRPr="0075742D">
        <w:rPr>
          <w:rFonts w:asciiTheme="majorBidi" w:hAnsiTheme="majorBidi" w:cstheme="majorBidi"/>
          <w:sz w:val="24"/>
          <w:szCs w:val="24"/>
          <w:lang w:val="es-ES_tradnl"/>
        </w:rPr>
        <w:t>.   Dan Al-Qur’ān pada saat itu diajarkan dengan dua cara, yaitu dengan  lisan dan tulis sampai pada zaman tabi’in</w:t>
      </w:r>
      <w:r w:rsidRPr="0075742D">
        <w:rPr>
          <w:rStyle w:val="FootnoteReference"/>
          <w:rFonts w:asciiTheme="majorBidi" w:hAnsiTheme="majorBidi" w:cstheme="majorBidi"/>
          <w:sz w:val="24"/>
          <w:szCs w:val="24"/>
          <w:lang w:val="es-ES_tradnl"/>
        </w:rPr>
        <w:footnoteReference w:id="447"/>
      </w:r>
      <w:r w:rsidRPr="0075742D">
        <w:rPr>
          <w:rFonts w:asciiTheme="majorBidi" w:hAnsiTheme="majorBidi" w:cstheme="majorBidi"/>
          <w:sz w:val="24"/>
          <w:szCs w:val="24"/>
          <w:lang w:val="es-ES_tradnl"/>
        </w:rPr>
        <w:t xml:space="preserve"> bahkan sampai sekarang.</w:t>
      </w:r>
    </w:p>
    <w:p w:rsidR="00343B61" w:rsidRPr="0075742D" w:rsidRDefault="00343B61" w:rsidP="002C0A33">
      <w:pPr>
        <w:pStyle w:val="ListParagraph"/>
        <w:numPr>
          <w:ilvl w:val="0"/>
          <w:numId w:val="23"/>
        </w:numPr>
        <w:spacing w:line="360" w:lineRule="auto"/>
        <w:ind w:left="540" w:hanging="270"/>
        <w:jc w:val="both"/>
        <w:rPr>
          <w:rStyle w:val="Bodytext2Calibri"/>
          <w:rFonts w:asciiTheme="majorBidi" w:hAnsiTheme="majorBidi" w:cstheme="majorBidi"/>
          <w:sz w:val="24"/>
          <w:szCs w:val="24"/>
        </w:rPr>
      </w:pPr>
      <w:r w:rsidRPr="0075742D">
        <w:rPr>
          <w:rFonts w:asciiTheme="majorBidi" w:hAnsiTheme="majorBidi" w:cstheme="majorBidi"/>
          <w:sz w:val="24"/>
          <w:szCs w:val="24"/>
          <w:lang w:val="es-ES_tradnl"/>
        </w:rPr>
        <w:lastRenderedPageBreak/>
        <w:t>Di</w:t>
      </w:r>
      <w:r>
        <w:rPr>
          <w:rFonts w:asciiTheme="majorBidi" w:hAnsiTheme="majorBidi" w:cstheme="majorBidi"/>
          <w:sz w:val="24"/>
          <w:szCs w:val="24"/>
          <w:lang w:val="es-ES_tradnl"/>
        </w:rPr>
        <w:t xml:space="preserve"> </w:t>
      </w:r>
      <w:r w:rsidRPr="0075742D">
        <w:rPr>
          <w:rFonts w:asciiTheme="majorBidi" w:hAnsiTheme="majorBidi" w:cstheme="majorBidi"/>
          <w:sz w:val="24"/>
          <w:szCs w:val="24"/>
          <w:lang w:val="es-ES_tradnl"/>
        </w:rPr>
        <w:t xml:space="preserve">antara </w:t>
      </w:r>
      <w:r w:rsidRPr="0075742D">
        <w:rPr>
          <w:rFonts w:asciiTheme="majorBidi" w:hAnsiTheme="majorBidi" w:cstheme="majorBidi"/>
          <w:i/>
          <w:iCs/>
          <w:sz w:val="24"/>
          <w:szCs w:val="24"/>
          <w:lang w:val="es-ES_tradnl"/>
        </w:rPr>
        <w:t>siyasat</w:t>
      </w:r>
      <w:r w:rsidRPr="0075742D">
        <w:rPr>
          <w:rFonts w:asciiTheme="majorBidi" w:hAnsiTheme="majorBidi" w:cstheme="majorBidi"/>
          <w:sz w:val="24"/>
          <w:szCs w:val="24"/>
          <w:lang w:val="es-ES_tradnl"/>
        </w:rPr>
        <w:t xml:space="preserve"> Ali bin Abi Thalib adalah ketika beliau ditanya tentang ‘iddah wanita hamil yang ditinggal mati oleh suaminya. Ali memutuskan bahwa wanita hamil itu harus mengambil iddah yang terpanjang dianatara ‘iddah hamil dan mati, demi memelihara kesucian rahim si wanita tersebut.</w:t>
      </w:r>
      <w:r w:rsidRPr="0075742D">
        <w:rPr>
          <w:rStyle w:val="FootnoteReference"/>
          <w:rFonts w:asciiTheme="majorBidi" w:hAnsiTheme="majorBidi" w:cstheme="majorBidi"/>
          <w:sz w:val="24"/>
          <w:szCs w:val="24"/>
          <w:lang w:val="es-ES_tradnl"/>
        </w:rPr>
        <w:footnoteReference w:id="448"/>
      </w:r>
    </w:p>
    <w:p w:rsidR="00343B61" w:rsidRDefault="00343B61" w:rsidP="00343B61">
      <w:pPr>
        <w:pStyle w:val="Bodytext21"/>
        <w:shd w:val="clear" w:color="auto" w:fill="auto"/>
        <w:spacing w:before="0" w:line="360" w:lineRule="auto"/>
        <w:ind w:firstLine="720"/>
        <w:rPr>
          <w:rStyle w:val="Bodytext2"/>
          <w:rFonts w:asciiTheme="majorBidi" w:hAnsiTheme="majorBidi" w:cstheme="majorBidi"/>
          <w:sz w:val="24"/>
          <w:szCs w:val="24"/>
        </w:rPr>
      </w:pPr>
      <w:r w:rsidRPr="0075742D">
        <w:rPr>
          <w:rStyle w:val="Bodytext2"/>
          <w:rFonts w:asciiTheme="majorBidi" w:hAnsiTheme="majorBidi" w:cstheme="majorBidi"/>
          <w:sz w:val="24"/>
          <w:szCs w:val="24"/>
        </w:rPr>
        <w:t xml:space="preserve">Dari sini dapat ditarik benang merah bahwa </w:t>
      </w:r>
      <w:r>
        <w:rPr>
          <w:rStyle w:val="Bodytext2Italic"/>
          <w:rFonts w:asciiTheme="majorBidi" w:hAnsiTheme="majorBidi" w:cstheme="majorBidi"/>
          <w:sz w:val="24"/>
          <w:szCs w:val="24"/>
        </w:rPr>
        <w:t>siyāsah syar‘iyyah</w:t>
      </w:r>
      <w:r w:rsidRPr="0075742D">
        <w:rPr>
          <w:rStyle w:val="Bodytext2Italic"/>
          <w:rFonts w:asciiTheme="majorBidi" w:hAnsiTheme="majorBidi" w:cstheme="majorBidi"/>
          <w:sz w:val="24"/>
          <w:szCs w:val="24"/>
        </w:rPr>
        <w:t xml:space="preserve"> </w:t>
      </w:r>
      <w:r w:rsidRPr="0075742D">
        <w:rPr>
          <w:rStyle w:val="Bodytext2"/>
          <w:rFonts w:asciiTheme="majorBidi" w:hAnsiTheme="majorBidi" w:cstheme="majorBidi"/>
          <w:sz w:val="24"/>
          <w:szCs w:val="24"/>
        </w:rPr>
        <w:t xml:space="preserve">memegang peranan </w:t>
      </w:r>
      <w:r>
        <w:rPr>
          <w:rStyle w:val="Bodytext2"/>
          <w:rFonts w:asciiTheme="majorBidi" w:hAnsiTheme="majorBidi" w:cstheme="majorBidi"/>
          <w:sz w:val="24"/>
          <w:szCs w:val="24"/>
        </w:rPr>
        <w:t xml:space="preserve">penting dalam penerapan dan </w:t>
      </w:r>
      <w:r w:rsidRPr="0075742D">
        <w:rPr>
          <w:rStyle w:val="Bodytext2"/>
          <w:rFonts w:asciiTheme="majorBidi" w:hAnsiTheme="majorBidi" w:cstheme="majorBidi"/>
          <w:sz w:val="24"/>
          <w:szCs w:val="24"/>
        </w:rPr>
        <w:t xml:space="preserve">aktualisasi hukum Islam secara keseluruhan. Dalam </w:t>
      </w:r>
      <w:r>
        <w:rPr>
          <w:rStyle w:val="Bodytext2Italic"/>
          <w:rFonts w:asciiTheme="majorBidi" w:hAnsiTheme="majorBidi" w:cstheme="majorBidi"/>
          <w:sz w:val="24"/>
          <w:szCs w:val="24"/>
        </w:rPr>
        <w:t xml:space="preserve">siyāsah syar‘iyyah </w:t>
      </w:r>
      <w:r w:rsidRPr="0075742D">
        <w:rPr>
          <w:rStyle w:val="Bodytext2"/>
          <w:rFonts w:asciiTheme="majorBidi" w:hAnsiTheme="majorBidi" w:cstheme="majorBidi"/>
          <w:sz w:val="24"/>
          <w:szCs w:val="24"/>
        </w:rPr>
        <w:t xml:space="preserve">diatur bagaimana sebuah ketentuan hukum Islam bisa berlaku secara efektif dalam masyarakat Islam. Tanpa keberadaan negara dan pemerintahan, ketentuan-ketentuan hukum Islam akan sulit sekali terjamin keberlakuannya. Dalam </w:t>
      </w:r>
      <w:r>
        <w:rPr>
          <w:rStyle w:val="Bodytext2Italic"/>
          <w:rFonts w:asciiTheme="majorBidi" w:hAnsiTheme="majorBidi" w:cstheme="majorBidi"/>
          <w:sz w:val="24"/>
          <w:szCs w:val="24"/>
        </w:rPr>
        <w:t>siyāsah syar‘iyyah</w:t>
      </w:r>
      <w:r w:rsidRPr="0075742D">
        <w:rPr>
          <w:rStyle w:val="Bodytext2"/>
          <w:rFonts w:asciiTheme="majorBidi" w:hAnsiTheme="majorBidi" w:cstheme="majorBidi"/>
          <w:sz w:val="24"/>
          <w:szCs w:val="24"/>
        </w:rPr>
        <w:t xml:space="preserve"> pulalah pemerintah bisa menetapkan suatu hukuman yang secara tegas tidak diatur oleh </w:t>
      </w:r>
      <w:r w:rsidRPr="0075742D">
        <w:rPr>
          <w:rStyle w:val="Bodytext2"/>
          <w:rFonts w:asciiTheme="majorBidi" w:hAnsiTheme="majorBidi" w:cstheme="majorBidi"/>
          <w:i/>
          <w:iCs/>
          <w:sz w:val="24"/>
          <w:szCs w:val="24"/>
        </w:rPr>
        <w:t>nash</w:t>
      </w:r>
      <w:r w:rsidRPr="0075742D">
        <w:rPr>
          <w:rStyle w:val="Bodytext2"/>
          <w:rFonts w:asciiTheme="majorBidi" w:hAnsiTheme="majorBidi" w:cstheme="majorBidi"/>
          <w:sz w:val="24"/>
          <w:szCs w:val="24"/>
        </w:rPr>
        <w:t xml:space="preserve">, tetapi berdasarkan kemaslahatan yang dibutuhkan oleh manusia. Untuk konteks Indonesia, misalnya, keluarnya </w:t>
      </w:r>
      <w:r w:rsidRPr="0075742D">
        <w:rPr>
          <w:rStyle w:val="Bodytext216pt"/>
          <w:rFonts w:asciiTheme="majorBidi" w:hAnsiTheme="majorBidi" w:cstheme="majorBidi"/>
          <w:b w:val="0"/>
          <w:bCs w:val="0"/>
          <w:sz w:val="24"/>
          <w:szCs w:val="24"/>
        </w:rPr>
        <w:t>Undang-Undang</w:t>
      </w:r>
      <w:r w:rsidRPr="0075742D">
        <w:rPr>
          <w:rStyle w:val="Bodytext216pt"/>
          <w:rFonts w:asciiTheme="majorBidi" w:hAnsiTheme="majorBidi" w:cstheme="majorBidi"/>
          <w:sz w:val="24"/>
          <w:szCs w:val="24"/>
        </w:rPr>
        <w:t xml:space="preserve"> </w:t>
      </w:r>
      <w:r w:rsidRPr="0075742D">
        <w:rPr>
          <w:rStyle w:val="Bodytext2"/>
          <w:rFonts w:asciiTheme="majorBidi" w:hAnsiTheme="majorBidi" w:cstheme="majorBidi"/>
          <w:sz w:val="24"/>
          <w:szCs w:val="24"/>
        </w:rPr>
        <w:t xml:space="preserve">No. 1 Tahun 1974 tentang Perkawinan, </w:t>
      </w:r>
      <w:r w:rsidRPr="0075742D">
        <w:rPr>
          <w:rStyle w:val="Bodytext216pt"/>
          <w:rFonts w:asciiTheme="majorBidi" w:hAnsiTheme="majorBidi" w:cstheme="majorBidi"/>
          <w:b w:val="0"/>
          <w:bCs w:val="0"/>
          <w:sz w:val="24"/>
          <w:szCs w:val="24"/>
        </w:rPr>
        <w:t>Undang-Undang</w:t>
      </w:r>
      <w:r w:rsidRPr="0075742D">
        <w:rPr>
          <w:rStyle w:val="Bodytext216pt"/>
          <w:rFonts w:asciiTheme="majorBidi" w:hAnsiTheme="majorBidi" w:cstheme="majorBidi"/>
          <w:sz w:val="24"/>
          <w:szCs w:val="24"/>
        </w:rPr>
        <w:t xml:space="preserve"> </w:t>
      </w:r>
      <w:r w:rsidRPr="0075742D">
        <w:rPr>
          <w:rStyle w:val="Bodytext2"/>
          <w:rFonts w:asciiTheme="majorBidi" w:hAnsiTheme="majorBidi" w:cstheme="majorBidi"/>
          <w:sz w:val="24"/>
          <w:szCs w:val="24"/>
        </w:rPr>
        <w:t xml:space="preserve">No. 7 Tahun 1989 tentang Peradilan </w:t>
      </w:r>
      <w:r w:rsidRPr="0075742D">
        <w:rPr>
          <w:rStyle w:val="Bodytext20"/>
          <w:rFonts w:asciiTheme="majorBidi" w:hAnsiTheme="majorBidi" w:cstheme="majorBidi"/>
          <w:sz w:val="24"/>
          <w:szCs w:val="24"/>
        </w:rPr>
        <w:t>Agama</w:t>
      </w:r>
      <w:r w:rsidRPr="0075742D">
        <w:rPr>
          <w:rStyle w:val="Bodytext2"/>
          <w:rFonts w:asciiTheme="majorBidi" w:hAnsiTheme="majorBidi" w:cstheme="majorBidi"/>
          <w:sz w:val="24"/>
          <w:szCs w:val="24"/>
        </w:rPr>
        <w:t xml:space="preserve"> yang kemudian disempurnakan oleh </w:t>
      </w:r>
      <w:r w:rsidRPr="0075742D">
        <w:rPr>
          <w:rStyle w:val="Bodytext216pt"/>
          <w:rFonts w:asciiTheme="majorBidi" w:hAnsiTheme="majorBidi" w:cstheme="majorBidi"/>
          <w:b w:val="0"/>
          <w:bCs w:val="0"/>
          <w:sz w:val="24"/>
          <w:szCs w:val="24"/>
        </w:rPr>
        <w:t>Undang-Undang</w:t>
      </w:r>
      <w:r w:rsidRPr="0075742D">
        <w:rPr>
          <w:rStyle w:val="Bodytext216pt"/>
          <w:rFonts w:asciiTheme="majorBidi" w:hAnsiTheme="majorBidi" w:cstheme="majorBidi"/>
          <w:sz w:val="24"/>
          <w:szCs w:val="24"/>
        </w:rPr>
        <w:t xml:space="preserve"> </w:t>
      </w:r>
      <w:r w:rsidRPr="0075742D">
        <w:rPr>
          <w:rStyle w:val="Bodytext2"/>
          <w:rFonts w:asciiTheme="majorBidi" w:hAnsiTheme="majorBidi" w:cstheme="majorBidi"/>
          <w:sz w:val="24"/>
          <w:szCs w:val="24"/>
        </w:rPr>
        <w:t xml:space="preserve">No: 3 Tahun 2006 dan </w:t>
      </w:r>
      <w:r w:rsidRPr="0075742D">
        <w:rPr>
          <w:rStyle w:val="Bodytext216pt"/>
          <w:rFonts w:asciiTheme="majorBidi" w:hAnsiTheme="majorBidi" w:cstheme="majorBidi"/>
          <w:b w:val="0"/>
          <w:bCs w:val="0"/>
          <w:sz w:val="24"/>
          <w:szCs w:val="24"/>
        </w:rPr>
        <w:t>UU</w:t>
      </w:r>
      <w:r w:rsidRPr="0075742D">
        <w:rPr>
          <w:rStyle w:val="Bodytext216pt"/>
          <w:rFonts w:asciiTheme="majorBidi" w:hAnsiTheme="majorBidi" w:cstheme="majorBidi"/>
          <w:sz w:val="24"/>
          <w:szCs w:val="24"/>
        </w:rPr>
        <w:t xml:space="preserve"> </w:t>
      </w:r>
      <w:r w:rsidRPr="0075742D">
        <w:rPr>
          <w:rStyle w:val="Bodytext20"/>
          <w:rFonts w:asciiTheme="majorBidi" w:hAnsiTheme="majorBidi" w:cstheme="majorBidi"/>
          <w:sz w:val="24"/>
          <w:szCs w:val="24"/>
        </w:rPr>
        <w:t>No</w:t>
      </w:r>
      <w:r w:rsidRPr="0075742D">
        <w:rPr>
          <w:rStyle w:val="Bodytext2"/>
          <w:rFonts w:asciiTheme="majorBidi" w:hAnsiTheme="majorBidi" w:cstheme="majorBidi"/>
          <w:sz w:val="24"/>
          <w:szCs w:val="24"/>
        </w:rPr>
        <w:t xml:space="preserve"> 50 Tahun 2009, dapat dikatakan bagian dari </w:t>
      </w:r>
      <w:r>
        <w:rPr>
          <w:rStyle w:val="Bodytext2"/>
          <w:rFonts w:asciiTheme="majorBidi" w:hAnsiTheme="majorBidi" w:cstheme="majorBidi"/>
          <w:i/>
          <w:iCs/>
          <w:sz w:val="24"/>
          <w:szCs w:val="24"/>
        </w:rPr>
        <w:t>siyāsah syar‘iyyah</w:t>
      </w:r>
      <w:r w:rsidRPr="0075742D">
        <w:rPr>
          <w:rStyle w:val="Bodytext2"/>
          <w:rFonts w:asciiTheme="majorBidi" w:hAnsiTheme="majorBidi" w:cstheme="majorBidi"/>
          <w:sz w:val="24"/>
          <w:szCs w:val="24"/>
        </w:rPr>
        <w:t xml:space="preserve"> pemerintah</w:t>
      </w:r>
      <w:r w:rsidRPr="0075742D">
        <w:rPr>
          <w:rFonts w:asciiTheme="majorBidi" w:hAnsiTheme="majorBidi" w:cstheme="majorBidi"/>
          <w:sz w:val="24"/>
          <w:szCs w:val="24"/>
        </w:rPr>
        <w:t xml:space="preserve"> </w:t>
      </w:r>
      <w:r w:rsidRPr="0075742D">
        <w:rPr>
          <w:rStyle w:val="Bodytext2"/>
          <w:rFonts w:asciiTheme="majorBidi" w:hAnsiTheme="majorBidi" w:cstheme="majorBidi"/>
          <w:sz w:val="24"/>
          <w:szCs w:val="24"/>
        </w:rPr>
        <w:t>Indonesia.</w:t>
      </w:r>
      <w:r w:rsidRPr="0075742D">
        <w:rPr>
          <w:rStyle w:val="FootnoteReference"/>
          <w:rFonts w:asciiTheme="majorBidi" w:hAnsiTheme="majorBidi" w:cstheme="majorBidi"/>
          <w:sz w:val="24"/>
          <w:szCs w:val="24"/>
          <w:shd w:val="clear" w:color="auto" w:fill="FFFFFF"/>
        </w:rPr>
        <w:footnoteReference w:id="449"/>
      </w:r>
      <w:r w:rsidRPr="0075742D">
        <w:rPr>
          <w:rStyle w:val="Bodytext2"/>
          <w:rFonts w:asciiTheme="majorBidi" w:hAnsiTheme="majorBidi" w:cstheme="majorBidi"/>
          <w:sz w:val="24"/>
          <w:szCs w:val="24"/>
        </w:rPr>
        <w:t xml:space="preserve"> Dengan undang-undang tersebut umat Islam diberi fasilitas dan kesempatan untuk mengembangkan institusi keagamaan mereka dalam rangka pelaksanaan dan penerapan hukum Islam itu sendiri. Di samping itu, kebijakan pemerintah di bidang ekonomi dengan berdirinya Bank Muamalah Indonesia tahun 1991 dan </w:t>
      </w:r>
      <w:r w:rsidRPr="0075742D">
        <w:rPr>
          <w:rStyle w:val="Bodytext216pt"/>
          <w:rFonts w:asciiTheme="majorBidi" w:hAnsiTheme="majorBidi" w:cstheme="majorBidi"/>
          <w:b w:val="0"/>
          <w:bCs w:val="0"/>
          <w:sz w:val="24"/>
          <w:szCs w:val="24"/>
        </w:rPr>
        <w:t>Undang-Undang</w:t>
      </w:r>
      <w:r w:rsidRPr="0075742D">
        <w:rPr>
          <w:rStyle w:val="Bodytext216pt"/>
          <w:rFonts w:asciiTheme="majorBidi" w:hAnsiTheme="majorBidi" w:cstheme="majorBidi"/>
          <w:sz w:val="24"/>
          <w:szCs w:val="24"/>
        </w:rPr>
        <w:t xml:space="preserve"> </w:t>
      </w:r>
      <w:r w:rsidRPr="0075742D">
        <w:rPr>
          <w:rStyle w:val="Bodytext2"/>
          <w:rFonts w:asciiTheme="majorBidi" w:hAnsiTheme="majorBidi" w:cstheme="majorBidi"/>
          <w:sz w:val="24"/>
          <w:szCs w:val="24"/>
        </w:rPr>
        <w:t xml:space="preserve">Perbankan yang mengakomodasi perbankan syariah serta </w:t>
      </w:r>
      <w:r w:rsidRPr="0075742D">
        <w:rPr>
          <w:rStyle w:val="Bodytext216pt"/>
          <w:rFonts w:asciiTheme="majorBidi" w:hAnsiTheme="majorBidi" w:cstheme="majorBidi"/>
          <w:b w:val="0"/>
          <w:bCs w:val="0"/>
          <w:sz w:val="24"/>
          <w:szCs w:val="24"/>
        </w:rPr>
        <w:t>Undang-Undang</w:t>
      </w:r>
      <w:r w:rsidRPr="0075742D">
        <w:rPr>
          <w:rStyle w:val="Bodytext2"/>
          <w:rFonts w:asciiTheme="majorBidi" w:hAnsiTheme="majorBidi" w:cstheme="majorBidi"/>
          <w:sz w:val="24"/>
          <w:szCs w:val="24"/>
        </w:rPr>
        <w:t xml:space="preserve"> wakaf jug</w:t>
      </w:r>
      <w:r>
        <w:rPr>
          <w:rStyle w:val="Bodytext2"/>
          <w:rFonts w:asciiTheme="majorBidi" w:hAnsiTheme="majorBidi" w:cstheme="majorBidi"/>
          <w:sz w:val="24"/>
          <w:szCs w:val="24"/>
        </w:rPr>
        <w:t xml:space="preserve">a merupakan bagian dari </w:t>
      </w:r>
      <w:r w:rsidRPr="00DA3820">
        <w:rPr>
          <w:rStyle w:val="Bodytext2"/>
          <w:rFonts w:asciiTheme="majorBidi" w:hAnsiTheme="majorBidi" w:cstheme="majorBidi"/>
          <w:i/>
          <w:iCs/>
          <w:sz w:val="24"/>
          <w:szCs w:val="24"/>
        </w:rPr>
        <w:t>siyāsah syar‘iyyah</w:t>
      </w:r>
      <w:r w:rsidRPr="0075742D">
        <w:rPr>
          <w:rStyle w:val="Bodytext2"/>
          <w:rFonts w:asciiTheme="majorBidi" w:hAnsiTheme="majorBidi" w:cstheme="majorBidi"/>
          <w:sz w:val="24"/>
          <w:szCs w:val="24"/>
        </w:rPr>
        <w:t xml:space="preserve"> pemerintah Indonesia dan merupakan bagian dari praktik </w:t>
      </w:r>
      <w:r w:rsidRPr="0075742D">
        <w:rPr>
          <w:rStyle w:val="Bodytext2Italic"/>
          <w:rFonts w:asciiTheme="majorBidi" w:hAnsiTheme="majorBidi" w:cstheme="majorBidi"/>
          <w:sz w:val="24"/>
          <w:szCs w:val="24"/>
        </w:rPr>
        <w:t>siyāsah māliyah</w:t>
      </w:r>
      <w:r w:rsidRPr="0075742D">
        <w:rPr>
          <w:rStyle w:val="Bodytext2"/>
          <w:rFonts w:asciiTheme="majorBidi" w:hAnsiTheme="majorBidi" w:cstheme="majorBidi"/>
          <w:sz w:val="24"/>
          <w:szCs w:val="24"/>
        </w:rPr>
        <w:t xml:space="preserve"> yang bertujuan mengangkat taraf kehidupan umat Islam menjadi lebih </w:t>
      </w:r>
      <w:r w:rsidRPr="0075742D">
        <w:rPr>
          <w:rStyle w:val="Bodytext2"/>
          <w:rFonts w:asciiTheme="majorBidi" w:hAnsiTheme="majorBidi" w:cstheme="majorBidi"/>
          <w:sz w:val="24"/>
          <w:szCs w:val="24"/>
        </w:rPr>
        <w:lastRenderedPageBreak/>
        <w:t>baik</w:t>
      </w:r>
      <w:r w:rsidRPr="0075742D">
        <w:rPr>
          <w:rStyle w:val="FootnoteReference"/>
          <w:rFonts w:asciiTheme="majorBidi" w:hAnsiTheme="majorBidi" w:cstheme="majorBidi"/>
          <w:sz w:val="24"/>
          <w:szCs w:val="24"/>
          <w:shd w:val="clear" w:color="auto" w:fill="FFFFFF"/>
        </w:rPr>
        <w:footnoteReference w:id="450"/>
      </w:r>
      <w:r w:rsidRPr="0075742D">
        <w:rPr>
          <w:rStyle w:val="Bodytext2"/>
          <w:rFonts w:asciiTheme="majorBidi" w:hAnsiTheme="majorBidi" w:cstheme="majorBidi"/>
          <w:sz w:val="24"/>
          <w:szCs w:val="24"/>
        </w:rPr>
        <w:t>.</w:t>
      </w:r>
      <w:r>
        <w:rPr>
          <w:rStyle w:val="Bodytext2"/>
          <w:rFonts w:asciiTheme="majorBidi" w:hAnsiTheme="majorBidi" w:cstheme="majorBidi"/>
          <w:sz w:val="24"/>
          <w:szCs w:val="24"/>
        </w:rPr>
        <w:t xml:space="preserve"> </w:t>
      </w:r>
    </w:p>
    <w:p w:rsidR="00343B61" w:rsidRDefault="00343B61" w:rsidP="00343B61">
      <w:pPr>
        <w:pStyle w:val="Bodytext21"/>
        <w:shd w:val="clear" w:color="auto" w:fill="auto"/>
        <w:spacing w:before="0" w:line="360" w:lineRule="auto"/>
        <w:ind w:firstLine="720"/>
        <w:rPr>
          <w:rFonts w:asciiTheme="majorBidi" w:hAnsiTheme="majorBidi" w:cstheme="majorBidi"/>
          <w:sz w:val="24"/>
          <w:szCs w:val="24"/>
          <w:shd w:val="clear" w:color="auto" w:fill="FFFFFF"/>
        </w:rPr>
      </w:pPr>
      <w:r w:rsidRPr="00E80CBD">
        <w:rPr>
          <w:rStyle w:val="Bodytext2"/>
          <w:rFonts w:asciiTheme="majorBidi" w:hAnsiTheme="majorBidi" w:cstheme="majorBidi"/>
          <w:sz w:val="24"/>
          <w:szCs w:val="24"/>
        </w:rPr>
        <w:t xml:space="preserve">Dalam perkembangan masyarakat yang semakin bergerak cepat, permasalahan yang timbul pun semakin kompleks dan menuntut pemecahan. Apalagi hukum Islam (pemikiran fiqh para ulama klasik) tidak sampai detail mengatur berbagai persoalan kehidupan umat Islam. </w:t>
      </w:r>
      <w:r w:rsidRPr="001953DD">
        <w:rPr>
          <w:rStyle w:val="Bodytext13"/>
          <w:rFonts w:asciiTheme="majorBidi" w:hAnsiTheme="majorBidi" w:cstheme="majorBidi"/>
          <w:sz w:val="24"/>
          <w:szCs w:val="24"/>
        </w:rPr>
        <w:t>Banyak kasus, penemuan baru dan peristiwa hukum yang belum diatur secara spesifik atau bahkan belum diatur sama sekali oleh fiqh dan hukum Islam yang berlaku di sebuah negara.</w:t>
      </w:r>
      <w:r w:rsidRPr="001953DD">
        <w:rPr>
          <w:rFonts w:asciiTheme="majorBidi" w:hAnsiTheme="majorBidi" w:cstheme="majorBidi"/>
          <w:b/>
          <w:bCs/>
          <w:sz w:val="24"/>
          <w:szCs w:val="24"/>
          <w:shd w:val="clear" w:color="auto" w:fill="FFFFFF"/>
        </w:rPr>
        <w:t xml:space="preserve"> </w:t>
      </w:r>
      <w:r w:rsidRPr="00E80CBD">
        <w:rPr>
          <w:rStyle w:val="Bodytext2"/>
          <w:rFonts w:asciiTheme="majorBidi" w:hAnsiTheme="majorBidi" w:cstheme="majorBidi"/>
          <w:sz w:val="24"/>
          <w:szCs w:val="24"/>
        </w:rPr>
        <w:t>Karena itu, negara memegang peran penting dalam mengatasi hal ini. Permasalahan yang berkembang dapat diantisipasi dan dijawab dengan menghimpun berbagai komponen keilmuan dalam masyarakat, sehingga menghasilkan rumusan yang betul-betul dibutuhkan oleh masyarakat. Dalam hal ini, negara membutuhkan kerja sama dengan para ulama dalam berbagai disiplin keilmuan untuk menentukan kebijakan-kebijakan yang dapat diterima dan memberi maslahat untuk masyarakat.</w:t>
      </w:r>
      <w:r w:rsidRPr="00E80CBD">
        <w:rPr>
          <w:rStyle w:val="FootnoteReference"/>
          <w:rFonts w:asciiTheme="majorBidi" w:hAnsiTheme="majorBidi" w:cstheme="majorBidi"/>
          <w:sz w:val="24"/>
          <w:szCs w:val="24"/>
          <w:shd w:val="clear" w:color="auto" w:fill="FFFFFF"/>
        </w:rPr>
        <w:footnoteReference w:id="451"/>
      </w:r>
      <w:r>
        <w:rPr>
          <w:rStyle w:val="Bodytext2"/>
          <w:rFonts w:asciiTheme="majorBidi" w:hAnsiTheme="majorBidi" w:cstheme="majorBidi"/>
          <w:sz w:val="24"/>
          <w:szCs w:val="24"/>
        </w:rPr>
        <w:t xml:space="preserve"> Di </w:t>
      </w:r>
      <w:r w:rsidRPr="00E80CBD">
        <w:rPr>
          <w:rStyle w:val="Bodytext2"/>
          <w:rFonts w:asciiTheme="majorBidi" w:hAnsiTheme="majorBidi" w:cstheme="majorBidi"/>
          <w:sz w:val="24"/>
          <w:szCs w:val="24"/>
        </w:rPr>
        <w:t xml:space="preserve">sinilah peran penting </w:t>
      </w:r>
      <w:r w:rsidRPr="00E80CBD">
        <w:rPr>
          <w:rStyle w:val="Bodytext2"/>
          <w:rFonts w:asciiTheme="majorBidi" w:hAnsiTheme="majorBidi" w:cstheme="majorBidi"/>
          <w:i/>
          <w:iCs/>
          <w:sz w:val="24"/>
          <w:szCs w:val="24"/>
        </w:rPr>
        <w:t>siyāsah  syar’iyyah</w:t>
      </w:r>
      <w:r w:rsidRPr="00E80CBD">
        <w:rPr>
          <w:rStyle w:val="Bodytext2"/>
          <w:rFonts w:asciiTheme="majorBidi" w:hAnsiTheme="majorBidi" w:cstheme="majorBidi"/>
          <w:sz w:val="24"/>
          <w:szCs w:val="24"/>
        </w:rPr>
        <w:t xml:space="preserve">. </w:t>
      </w:r>
    </w:p>
    <w:p w:rsidR="00343B61" w:rsidRPr="0075742D" w:rsidRDefault="00343B61" w:rsidP="00343B61">
      <w:pPr>
        <w:pStyle w:val="Bodytext21"/>
        <w:shd w:val="clear" w:color="auto" w:fill="auto"/>
        <w:spacing w:before="0" w:after="362" w:line="360" w:lineRule="auto"/>
        <w:ind w:firstLine="720"/>
        <w:rPr>
          <w:rFonts w:asciiTheme="majorBidi" w:hAnsiTheme="majorBidi" w:cstheme="majorBidi"/>
          <w:sz w:val="24"/>
          <w:szCs w:val="24"/>
          <w:shd w:val="clear" w:color="auto" w:fill="FFFFFF"/>
        </w:rPr>
      </w:pPr>
      <w:r w:rsidRPr="0075742D">
        <w:rPr>
          <w:rStyle w:val="Bodytext2"/>
          <w:rFonts w:asciiTheme="majorBidi" w:hAnsiTheme="majorBidi" w:cstheme="majorBidi"/>
          <w:sz w:val="24"/>
          <w:szCs w:val="24"/>
        </w:rPr>
        <w:t xml:space="preserve">Dengan demikian, bisa disimpulkan bahwa </w:t>
      </w:r>
      <w:r>
        <w:rPr>
          <w:rStyle w:val="Bodytext2"/>
          <w:rFonts w:asciiTheme="majorBidi" w:hAnsiTheme="majorBidi" w:cstheme="majorBidi"/>
          <w:i/>
          <w:iCs/>
          <w:sz w:val="24"/>
          <w:szCs w:val="24"/>
        </w:rPr>
        <w:t>siyāsah syar‘iyyah</w:t>
      </w:r>
      <w:r w:rsidRPr="0075742D">
        <w:rPr>
          <w:rStyle w:val="Bodytext2"/>
          <w:rFonts w:asciiTheme="majorBidi" w:hAnsiTheme="majorBidi" w:cstheme="majorBidi"/>
          <w:sz w:val="24"/>
          <w:szCs w:val="24"/>
        </w:rPr>
        <w:t xml:space="preserve"> mempunyai kedudukan penting dan posisi yang strategis dalam sistem hukum Islam. Untuk memikirkan, merumuskan, dan menetapkan kebijakan politik praktis yang berguna bagi kemaslahatan masyarakat Muslim khususnya, dan warga negara pada umumnya, pemerintah membutuhkan </w:t>
      </w:r>
      <w:r>
        <w:rPr>
          <w:rStyle w:val="Bodytext2"/>
          <w:rFonts w:asciiTheme="majorBidi" w:hAnsiTheme="majorBidi" w:cstheme="majorBidi"/>
          <w:i/>
          <w:iCs/>
          <w:sz w:val="24"/>
          <w:szCs w:val="24"/>
        </w:rPr>
        <w:t>siyāsah syar‘iyyah</w:t>
      </w:r>
      <w:r w:rsidRPr="0075742D">
        <w:rPr>
          <w:rStyle w:val="Bodytext2"/>
          <w:rFonts w:asciiTheme="majorBidi" w:hAnsiTheme="majorBidi" w:cstheme="majorBidi"/>
          <w:sz w:val="24"/>
          <w:szCs w:val="24"/>
        </w:rPr>
        <w:t xml:space="preserve">. Tanpa kebijakan politik, pemerintah sangat boleh jadi umat Islam akan sulit mengembangkan potensi yang mereka miliki. </w:t>
      </w:r>
      <w:r>
        <w:rPr>
          <w:rStyle w:val="Bodytext2Italic"/>
          <w:rFonts w:asciiTheme="majorBidi" w:hAnsiTheme="majorBidi" w:cstheme="majorBidi"/>
          <w:sz w:val="24"/>
          <w:szCs w:val="24"/>
        </w:rPr>
        <w:t>Siyāsah syar‘iyyah</w:t>
      </w:r>
      <w:r w:rsidRPr="0075742D">
        <w:rPr>
          <w:rStyle w:val="Bodytext2"/>
          <w:rFonts w:asciiTheme="majorBidi" w:hAnsiTheme="majorBidi" w:cstheme="majorBidi"/>
          <w:sz w:val="24"/>
          <w:szCs w:val="24"/>
        </w:rPr>
        <w:t xml:space="preserve"> juga dapat menjamin umat Islam dari hal-hal yang bisa merugikan dirinya. </w:t>
      </w:r>
      <w:r w:rsidRPr="0075742D">
        <w:rPr>
          <w:rStyle w:val="Bodytext2Italic"/>
          <w:rFonts w:asciiTheme="majorBidi" w:hAnsiTheme="majorBidi" w:cstheme="majorBidi"/>
          <w:sz w:val="24"/>
          <w:szCs w:val="24"/>
        </w:rPr>
        <w:t xml:space="preserve">Siyāsah </w:t>
      </w:r>
      <w:r>
        <w:rPr>
          <w:rStyle w:val="Bodytext2Italic"/>
          <w:rFonts w:asciiTheme="majorBidi" w:hAnsiTheme="majorBidi" w:cstheme="majorBidi"/>
          <w:sz w:val="24"/>
          <w:szCs w:val="24"/>
        </w:rPr>
        <w:t>syar‘iyyah</w:t>
      </w:r>
      <w:r w:rsidRPr="0075742D">
        <w:rPr>
          <w:rStyle w:val="Bodytext2"/>
          <w:rFonts w:asciiTheme="majorBidi" w:hAnsiTheme="majorBidi" w:cstheme="majorBidi"/>
          <w:sz w:val="24"/>
          <w:szCs w:val="24"/>
        </w:rPr>
        <w:t xml:space="preserve">  dapat diibaratkan sebagai akar sebuah pohon yang menopang batang, ranting, dahan. dan daun, sehingga menghasilkan buah yang dapat dinikmati oleh umat Islam dan manusia umumunya. </w:t>
      </w:r>
    </w:p>
    <w:p w:rsidR="00343B61" w:rsidRPr="0075742D" w:rsidRDefault="00343B61" w:rsidP="00343B61">
      <w:pPr>
        <w:rPr>
          <w:rFonts w:asciiTheme="majorBidi" w:hAnsiTheme="majorBidi" w:cstheme="majorBidi"/>
          <w:sz w:val="24"/>
          <w:szCs w:val="24"/>
        </w:rPr>
      </w:pP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Pr="00580B62" w:rsidRDefault="00343B61" w:rsidP="00343B61">
      <w:pPr>
        <w:jc w:val="center"/>
        <w:rPr>
          <w:rFonts w:asciiTheme="majorBidi" w:hAnsiTheme="majorBidi" w:cstheme="majorBidi"/>
          <w:sz w:val="24"/>
          <w:szCs w:val="24"/>
        </w:rPr>
      </w:pPr>
      <w:r w:rsidRPr="00580B62">
        <w:rPr>
          <w:rFonts w:asciiTheme="majorBidi" w:hAnsiTheme="majorBidi" w:cstheme="majorBidi"/>
          <w:sz w:val="24"/>
          <w:szCs w:val="24"/>
        </w:rPr>
        <w:t xml:space="preserve">BAB III </w:t>
      </w:r>
      <w:r w:rsidRPr="00580B62">
        <w:rPr>
          <w:rFonts w:asciiTheme="majorBidi" w:hAnsiTheme="majorBidi" w:cstheme="majorBidi"/>
          <w:sz w:val="24"/>
          <w:szCs w:val="24"/>
        </w:rPr>
        <w:tab/>
      </w:r>
    </w:p>
    <w:p w:rsidR="00343B61" w:rsidRPr="00580B62" w:rsidRDefault="00343B61" w:rsidP="00343B61">
      <w:pPr>
        <w:spacing w:line="360" w:lineRule="auto"/>
        <w:jc w:val="center"/>
        <w:rPr>
          <w:rFonts w:asciiTheme="majorBidi" w:hAnsiTheme="majorBidi" w:cstheme="majorBidi"/>
          <w:sz w:val="24"/>
          <w:szCs w:val="24"/>
        </w:rPr>
      </w:pPr>
      <w:r w:rsidRPr="00580B62">
        <w:rPr>
          <w:rFonts w:asciiTheme="majorBidi" w:hAnsiTheme="majorBidi" w:cstheme="majorBidi"/>
          <w:sz w:val="24"/>
          <w:szCs w:val="24"/>
        </w:rPr>
        <w:t xml:space="preserve">KELEMBAGAAN DAN METODOLOGI PENETAPAN FATWA  </w:t>
      </w:r>
    </w:p>
    <w:p w:rsidR="00343B61" w:rsidRPr="00580B62" w:rsidRDefault="00343B61" w:rsidP="00343B61">
      <w:pPr>
        <w:spacing w:line="360" w:lineRule="auto"/>
        <w:jc w:val="center"/>
        <w:rPr>
          <w:rFonts w:asciiTheme="majorBidi" w:hAnsiTheme="majorBidi" w:cstheme="majorBidi"/>
          <w:sz w:val="24"/>
          <w:szCs w:val="24"/>
        </w:rPr>
      </w:pPr>
      <w:r w:rsidRPr="00580B62">
        <w:rPr>
          <w:rFonts w:asciiTheme="majorBidi" w:hAnsiTheme="majorBidi" w:cstheme="majorBidi"/>
          <w:sz w:val="24"/>
          <w:szCs w:val="24"/>
        </w:rPr>
        <w:t>MAJELIS ULAMA INDONESIA</w:t>
      </w:r>
    </w:p>
    <w:p w:rsidR="00343B61" w:rsidRPr="00580B62" w:rsidRDefault="00343B61" w:rsidP="00343B61">
      <w:pPr>
        <w:pStyle w:val="ListParagraph"/>
        <w:tabs>
          <w:tab w:val="left" w:pos="1620"/>
        </w:tabs>
        <w:spacing w:line="360" w:lineRule="auto"/>
        <w:ind w:left="0" w:firstLine="810"/>
        <w:jc w:val="both"/>
        <w:rPr>
          <w:rFonts w:asciiTheme="majorBidi" w:hAnsiTheme="majorBidi" w:cstheme="majorBidi"/>
          <w:sz w:val="24"/>
          <w:szCs w:val="24"/>
        </w:rPr>
      </w:pPr>
      <w:r w:rsidRPr="00580B62">
        <w:rPr>
          <w:rFonts w:asciiTheme="majorBidi" w:hAnsiTheme="majorBidi" w:cstheme="majorBidi"/>
          <w:sz w:val="24"/>
          <w:szCs w:val="24"/>
        </w:rPr>
        <w:t xml:space="preserve">Dalam bab ini akan </w:t>
      </w:r>
      <w:r>
        <w:rPr>
          <w:rFonts w:asciiTheme="majorBidi" w:hAnsiTheme="majorBidi" w:cstheme="majorBidi"/>
          <w:sz w:val="24"/>
          <w:szCs w:val="24"/>
        </w:rPr>
        <w:t>di</w:t>
      </w:r>
      <w:r w:rsidRPr="00580B62">
        <w:rPr>
          <w:rFonts w:asciiTheme="majorBidi" w:hAnsiTheme="majorBidi" w:cstheme="majorBidi"/>
          <w:sz w:val="24"/>
          <w:szCs w:val="24"/>
        </w:rPr>
        <w:t xml:space="preserve">jelaskan seputar </w:t>
      </w:r>
      <w:r w:rsidRPr="00580B62">
        <w:rPr>
          <w:rFonts w:asciiTheme="majorBidi" w:hAnsiTheme="majorBidi" w:cstheme="majorBidi"/>
          <w:sz w:val="24"/>
          <w:szCs w:val="24"/>
          <w:lang w:val="sv-SE"/>
        </w:rPr>
        <w:t xml:space="preserve">Kelembagaan </w:t>
      </w:r>
      <w:r w:rsidRPr="00580B62">
        <w:rPr>
          <w:rFonts w:asciiTheme="majorBidi" w:hAnsiTheme="majorBidi" w:cstheme="majorBidi"/>
          <w:sz w:val="24"/>
          <w:szCs w:val="24"/>
        </w:rPr>
        <w:t xml:space="preserve">Majelis Ulama Indonesia yang meliputi; selayang pandang berdirinya MUI, visi, misi serta fungsi dan peran pokok MUI, perangkat organisasi, komisi, lembaga dan badan MUI. Kemudian baru membahas metode Istinbaṭ hukum pada </w:t>
      </w:r>
      <w:r w:rsidRPr="00580B62">
        <w:rPr>
          <w:rFonts w:asciiTheme="majorBidi" w:hAnsiTheme="majorBidi" w:cstheme="majorBidi"/>
          <w:sz w:val="24"/>
          <w:szCs w:val="24"/>
          <w:lang w:val="sv-SE"/>
        </w:rPr>
        <w:t xml:space="preserve">fatwa </w:t>
      </w:r>
      <w:r w:rsidRPr="00580B62">
        <w:rPr>
          <w:rFonts w:asciiTheme="majorBidi" w:hAnsiTheme="majorBidi" w:cstheme="majorBidi"/>
          <w:sz w:val="24"/>
          <w:szCs w:val="24"/>
        </w:rPr>
        <w:t xml:space="preserve">Majelis Ulama Indonesia, yang meliputi pengertian fatwa dan historisnya, peran dan tugas lembaga fatwa MUI,  dasar penetapan fatwa MUI, </w:t>
      </w:r>
      <w:r w:rsidRPr="00580B62">
        <w:rPr>
          <w:rFonts w:ascii="Z@RE85.tmp" w:hAnsi="Z@RE85.tmp" w:cs="Z@RE85.tmp"/>
          <w:sz w:val="24"/>
          <w:szCs w:val="24"/>
        </w:rPr>
        <w:t xml:space="preserve">metode penetapan fatwa MUI,  </w:t>
      </w:r>
      <w:r w:rsidRPr="00580B62">
        <w:rPr>
          <w:rFonts w:asciiTheme="majorBidi" w:hAnsiTheme="majorBidi" w:cstheme="majorBidi"/>
          <w:sz w:val="24"/>
          <w:szCs w:val="24"/>
        </w:rPr>
        <w:t xml:space="preserve">prosedur, format , kewenangan dan wilayah fatwa MUI, kemudian bab ini ditutup dengan kedudukan </w:t>
      </w:r>
      <w:r w:rsidRPr="00630287">
        <w:rPr>
          <w:rFonts w:asciiTheme="majorBidi" w:hAnsiTheme="majorBidi" w:cstheme="majorBidi"/>
          <w:i/>
          <w:iCs/>
          <w:sz w:val="24"/>
          <w:szCs w:val="24"/>
        </w:rPr>
        <w:t>Siyāsah Syar’iyyah</w:t>
      </w:r>
      <w:r w:rsidRPr="00580B62">
        <w:rPr>
          <w:rFonts w:asciiTheme="majorBidi" w:hAnsiTheme="majorBidi" w:cstheme="majorBidi"/>
          <w:sz w:val="24"/>
          <w:szCs w:val="24"/>
        </w:rPr>
        <w:t xml:space="preserve"> dalam fa</w:t>
      </w:r>
      <w:r>
        <w:rPr>
          <w:rFonts w:asciiTheme="majorBidi" w:hAnsiTheme="majorBidi" w:cstheme="majorBidi"/>
          <w:sz w:val="24"/>
          <w:szCs w:val="24"/>
        </w:rPr>
        <w:t>twa MUI. Semua itu akan dijelaskan pada pembaha</w:t>
      </w:r>
      <w:r w:rsidRPr="00580B62">
        <w:rPr>
          <w:rFonts w:asciiTheme="majorBidi" w:hAnsiTheme="majorBidi" w:cstheme="majorBidi"/>
          <w:sz w:val="24"/>
          <w:szCs w:val="24"/>
        </w:rPr>
        <w:t xml:space="preserve">san di bawah ini. </w:t>
      </w:r>
    </w:p>
    <w:p w:rsidR="00343B61" w:rsidRPr="00580B62" w:rsidRDefault="00343B61" w:rsidP="00343B61">
      <w:pPr>
        <w:spacing w:line="360" w:lineRule="auto"/>
        <w:jc w:val="both"/>
        <w:rPr>
          <w:rFonts w:asciiTheme="majorBidi" w:hAnsiTheme="majorBidi" w:cstheme="majorBidi"/>
          <w:sz w:val="24"/>
          <w:szCs w:val="24"/>
        </w:rPr>
      </w:pPr>
      <w:r w:rsidRPr="00580B62">
        <w:rPr>
          <w:rFonts w:asciiTheme="majorBidi" w:hAnsiTheme="majorBidi" w:cstheme="majorBidi"/>
          <w:sz w:val="24"/>
          <w:szCs w:val="24"/>
          <w:lang w:val="sv-SE"/>
        </w:rPr>
        <w:t xml:space="preserve">A. Kelembagaan </w:t>
      </w:r>
      <w:r w:rsidRPr="00580B62">
        <w:rPr>
          <w:rFonts w:asciiTheme="majorBidi" w:hAnsiTheme="majorBidi" w:cstheme="majorBidi"/>
          <w:sz w:val="24"/>
          <w:szCs w:val="24"/>
        </w:rPr>
        <w:t>Majelis Ulama Indonesia (MUI)</w:t>
      </w:r>
    </w:p>
    <w:p w:rsidR="00343B61" w:rsidRPr="00580B62" w:rsidRDefault="00343B61" w:rsidP="002C0A33">
      <w:pPr>
        <w:pStyle w:val="ListParagraph"/>
        <w:numPr>
          <w:ilvl w:val="0"/>
          <w:numId w:val="35"/>
        </w:numPr>
        <w:spacing w:line="360" w:lineRule="auto"/>
        <w:ind w:left="720"/>
        <w:rPr>
          <w:rFonts w:asciiTheme="majorBidi" w:hAnsiTheme="majorBidi" w:cstheme="majorBidi"/>
          <w:sz w:val="24"/>
          <w:szCs w:val="24"/>
        </w:rPr>
      </w:pPr>
      <w:r w:rsidRPr="00580B62">
        <w:rPr>
          <w:rFonts w:asciiTheme="majorBidi" w:hAnsiTheme="majorBidi" w:cstheme="majorBidi"/>
          <w:sz w:val="24"/>
          <w:szCs w:val="24"/>
        </w:rPr>
        <w:t>Selayang Pandang  Berdirinya Majelis Ulama Indonesia (MUI)</w:t>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lastRenderedPageBreak/>
        <w:t>Majelis Ulama Indonesia (MUI) berdiri pada tanggal 17 Rajab 1395 Hijriyah bertepatan dengan tanggal 26 Juli 1975 Miladiyah di Jakarta. Berdirinya MUI merupakan buah hasil Musyawah Nasional I  Majelis Ulama Indonesia yang berlangsung pada tanggal 12 s/d 18 Rajab 1396 Hijriyah bertepatan tanggal 21 s/ 27 Juli 1975 Miladiyah di Balai Sidang Jakarta.</w:t>
      </w:r>
      <w:r w:rsidRPr="00580B62">
        <w:rPr>
          <w:rStyle w:val="FootnoteReference"/>
          <w:rFonts w:asciiTheme="majorBidi" w:hAnsiTheme="majorBidi" w:cstheme="majorBidi"/>
          <w:sz w:val="24"/>
          <w:szCs w:val="24"/>
        </w:rPr>
        <w:footnoteReference w:id="452"/>
      </w:r>
      <w:r w:rsidRPr="00580B62">
        <w:rPr>
          <w:rFonts w:asciiTheme="majorBidi" w:hAnsiTheme="majorBidi" w:cstheme="majorBidi"/>
          <w:sz w:val="24"/>
          <w:szCs w:val="24"/>
        </w:rPr>
        <w:t xml:space="preserve"> Sebelum berdirinya MUI Pusat, telah berdiri Majelis Ulama Daerah-Daerah, dan yang paling awal berdiri adalah Majelis Ulama Jawa Barat, yaitu berdiri pada tanggal 12 Juli 1958. Kemudian menyusul terbentuknya Majelis Musyawarah Ulama Aceh di Banda Aceh pada tanggal 18 Desember 1965. Setelah itu Majelis Ulama Sumatera Barat berdiri pada 1967 sebagai hasil musyawarah besar Alim Ulama se-Sumatra Barat di Bukittinggi.</w:t>
      </w:r>
      <w:r w:rsidRPr="00580B62">
        <w:rPr>
          <w:rStyle w:val="FootnoteReference"/>
          <w:rFonts w:asciiTheme="majorBidi" w:hAnsiTheme="majorBidi" w:cstheme="majorBidi"/>
          <w:sz w:val="24"/>
          <w:szCs w:val="24"/>
        </w:rPr>
        <w:footnoteReference w:id="453"/>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t xml:space="preserve">Setidaknya ada lima alasan yang melatar belakangi berdirinya Majelis Ulama saat itu, yaitu, (i) Di berbagai Negara, terutama di Asia Tenggara ketika itu telah terbentuk Dewan Ulama atau Majelis Ulama atau Mufti selaku penasehat tertinggi di bidang keagamaan yang memiliki peran. (ii) Sebagai lembaga atau “alamat” yang mewakili umat Islam Indonesia kalau ada pertemuan-pertemuan ulama Internasional, atau bila ada tamu dari luar negeri yang ingin bertukar fikiran dengan ulama Indonesia. (iii) Untuk membantu pemerintah dalam memberikan pertimbangan-pertimbangan keagamaan dalam menyukseskan program pembangunan, serta sebagai jembatan penghubung (penerjamah) komunitas antara </w:t>
      </w:r>
      <w:r w:rsidRPr="00580B62">
        <w:rPr>
          <w:rFonts w:asciiTheme="majorBidi" w:hAnsiTheme="majorBidi" w:cstheme="majorBidi"/>
          <w:i/>
          <w:iCs/>
          <w:sz w:val="24"/>
          <w:szCs w:val="24"/>
        </w:rPr>
        <w:t>umarā</w:t>
      </w:r>
      <w:r w:rsidRPr="00580B62">
        <w:rPr>
          <w:rFonts w:asciiTheme="majorBidi" w:hAnsiTheme="majorBidi" w:cstheme="majorBidi"/>
          <w:sz w:val="24"/>
          <w:szCs w:val="24"/>
        </w:rPr>
        <w:t xml:space="preserve"> dan umat Islam. (iv) Sebagai wadah pertemuan dan silaturrahmi para ulama seluruh Indonesia untuk mewujudkan </w:t>
      </w:r>
      <w:r w:rsidRPr="00580B62">
        <w:rPr>
          <w:rFonts w:asciiTheme="majorBidi" w:hAnsiTheme="majorBidi" w:cstheme="majorBidi"/>
          <w:i/>
          <w:iCs/>
          <w:sz w:val="24"/>
          <w:szCs w:val="24"/>
        </w:rPr>
        <w:t>ukhuwah Islamiyyah</w:t>
      </w:r>
      <w:r w:rsidRPr="00580B62">
        <w:rPr>
          <w:rFonts w:asciiTheme="majorBidi" w:hAnsiTheme="majorBidi" w:cstheme="majorBidi"/>
          <w:sz w:val="24"/>
          <w:szCs w:val="24"/>
        </w:rPr>
        <w:t xml:space="preserve">. (v) Sebagai wadah musyawarah bagi para ulama, </w:t>
      </w:r>
      <w:r w:rsidRPr="00580B62">
        <w:rPr>
          <w:rFonts w:asciiTheme="majorBidi" w:hAnsiTheme="majorBidi" w:cstheme="majorBidi"/>
          <w:i/>
          <w:iCs/>
          <w:sz w:val="24"/>
          <w:szCs w:val="24"/>
        </w:rPr>
        <w:t>zu’ama</w:t>
      </w:r>
      <w:r w:rsidRPr="00580B62">
        <w:rPr>
          <w:rFonts w:asciiTheme="majorBidi" w:hAnsiTheme="majorBidi" w:cstheme="majorBidi"/>
          <w:sz w:val="24"/>
          <w:szCs w:val="24"/>
        </w:rPr>
        <w:t xml:space="preserve"> dan cendikiawan muslim Indonesia untuk membicarakan permasalahan umat.</w:t>
      </w:r>
      <w:r w:rsidRPr="00580B62">
        <w:rPr>
          <w:rStyle w:val="FootnoteReference"/>
          <w:rFonts w:asciiTheme="majorBidi" w:hAnsiTheme="majorBidi" w:cstheme="majorBidi"/>
          <w:sz w:val="24"/>
          <w:szCs w:val="24"/>
        </w:rPr>
        <w:footnoteReference w:id="454"/>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lastRenderedPageBreak/>
        <w:t>Majelis Ulama Indonesia hadir ke pentas sejarah ketika bangsa Indonesia tengah berada pada fase kebangkitan kembali, setelah selama tiga puluh tahun sejak kemerdekaan energi bangsa terserap dalam perjuangan politik, baik di dalam negeri maupun di dalam forum Internasional, sehingga kurang mempunyai kesempatan untuk membangun menjadi bangsa yang maju, dan berakhlak mulia.</w:t>
      </w:r>
      <w:r w:rsidRPr="00580B62">
        <w:rPr>
          <w:rStyle w:val="FootnoteReference"/>
          <w:rFonts w:asciiTheme="majorBidi" w:hAnsiTheme="majorBidi" w:cstheme="majorBidi"/>
          <w:sz w:val="24"/>
          <w:szCs w:val="24"/>
        </w:rPr>
        <w:footnoteReference w:id="455"/>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t>Pembentukan MUI bermula dari lokakarya nasional bagi para juru dakwah Muslim pada tahun 1974. Dalam sambutan pembukaan Lokakarya Nasional itu, Presiden Soeharto menyerukan agar segera diadakan Badan Nasional bagi para ulama untuk mewakili kaum Muslimin dalam sebuah wadah antar agama.</w:t>
      </w:r>
      <w:r w:rsidRPr="00580B62">
        <w:rPr>
          <w:rStyle w:val="FootnoteReference"/>
          <w:rFonts w:asciiTheme="majorBidi" w:hAnsiTheme="majorBidi" w:cstheme="majorBidi"/>
          <w:sz w:val="24"/>
          <w:szCs w:val="24"/>
        </w:rPr>
        <w:footnoteReference w:id="456"/>
      </w:r>
      <w:r w:rsidRPr="00580B62">
        <w:rPr>
          <w:rFonts w:asciiTheme="majorBidi" w:hAnsiTheme="majorBidi" w:cstheme="majorBidi"/>
          <w:sz w:val="24"/>
          <w:szCs w:val="24"/>
        </w:rPr>
        <w:t xml:space="preserve"> Ada dua alasan penting yang diajukan oleh Pr</w:t>
      </w:r>
      <w:r>
        <w:rPr>
          <w:rFonts w:asciiTheme="majorBidi" w:hAnsiTheme="majorBidi" w:cstheme="majorBidi"/>
          <w:sz w:val="24"/>
          <w:szCs w:val="24"/>
        </w:rPr>
        <w:t>esiden Soeharto perlunya segera</w:t>
      </w:r>
      <w:r w:rsidRPr="00580B62">
        <w:rPr>
          <w:rFonts w:asciiTheme="majorBidi" w:hAnsiTheme="majorBidi" w:cstheme="majorBidi"/>
          <w:sz w:val="24"/>
          <w:szCs w:val="24"/>
        </w:rPr>
        <w:t xml:space="preserve"> membentuk lembaga Ulama sekala nasional ini, </w:t>
      </w:r>
      <w:r w:rsidRPr="00580B62">
        <w:rPr>
          <w:rFonts w:asciiTheme="majorBidi" w:hAnsiTheme="majorBidi" w:cstheme="majorBidi"/>
          <w:i/>
          <w:iCs/>
          <w:sz w:val="24"/>
          <w:szCs w:val="24"/>
        </w:rPr>
        <w:t>pertama</w:t>
      </w:r>
      <w:r w:rsidRPr="00580B62">
        <w:rPr>
          <w:rFonts w:asciiTheme="majorBidi" w:hAnsiTheme="majorBidi" w:cstheme="majorBidi"/>
          <w:sz w:val="24"/>
          <w:szCs w:val="24"/>
        </w:rPr>
        <w:t xml:space="preserve">, keinginan pemerintah agar kaum muslimin bersatu, dan </w:t>
      </w:r>
      <w:r w:rsidRPr="00580B62">
        <w:rPr>
          <w:rFonts w:asciiTheme="majorBidi" w:hAnsiTheme="majorBidi" w:cstheme="majorBidi"/>
          <w:i/>
          <w:iCs/>
          <w:sz w:val="24"/>
          <w:szCs w:val="24"/>
        </w:rPr>
        <w:t>kedua</w:t>
      </w:r>
      <w:r w:rsidRPr="00580B62">
        <w:rPr>
          <w:rFonts w:asciiTheme="majorBidi" w:hAnsiTheme="majorBidi" w:cstheme="majorBidi"/>
          <w:sz w:val="24"/>
          <w:szCs w:val="24"/>
        </w:rPr>
        <w:t>, kesadaran bahwa masalah yang dihadapi bangsa tidak akan terselesaikan tanpa adanya keikutsertaan ulama.</w:t>
      </w:r>
      <w:r w:rsidRPr="00580B62">
        <w:rPr>
          <w:rStyle w:val="FootnoteReference"/>
          <w:rFonts w:asciiTheme="majorBidi" w:hAnsiTheme="majorBidi" w:cstheme="majorBidi"/>
          <w:sz w:val="24"/>
          <w:szCs w:val="24"/>
        </w:rPr>
        <w:footnoteReference w:id="457"/>
      </w:r>
      <w:r w:rsidRPr="00580B62">
        <w:rPr>
          <w:rFonts w:asciiTheme="majorBidi" w:hAnsiTheme="majorBidi" w:cstheme="majorBidi"/>
          <w:sz w:val="24"/>
          <w:szCs w:val="24"/>
        </w:rPr>
        <w:t xml:space="preserve"> </w:t>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t>Setelah itu Menteri Dalam Negeri, Amir Machmud mengintruksikan semua gubernur untuk mulai membentuk Majelis Ulama tingkat daerah. Instruksi ini mendapat sambutan yang baik, sehingga pada bulan yang sama Mei 1975, Majelis Ulama tingkat provinsi sudah terbentuk di 26 provinsi di Indonesia untuk mendukung berdirinya Majelis Ulama di tingkat nasional.</w:t>
      </w:r>
      <w:r w:rsidRPr="00580B62">
        <w:rPr>
          <w:rStyle w:val="FootnoteReference"/>
          <w:rFonts w:asciiTheme="majorBidi" w:hAnsiTheme="majorBidi" w:cstheme="majorBidi"/>
          <w:sz w:val="24"/>
          <w:szCs w:val="24"/>
        </w:rPr>
        <w:footnoteReference w:id="458"/>
      </w:r>
      <w:r w:rsidRPr="00580B62">
        <w:rPr>
          <w:rFonts w:asciiTheme="majorBidi" w:hAnsiTheme="majorBidi" w:cstheme="majorBidi"/>
          <w:sz w:val="24"/>
          <w:szCs w:val="24"/>
        </w:rPr>
        <w:t xml:space="preserve"> Sebagai contoh, Majelis Ulama Jawa Timur berdiri pada tanggal 7 Januari 1975, Jawa Tengah berdiri pada tanggal 13 februari 1975, Daerah Istimewa Yogyakarta pada April </w:t>
      </w:r>
      <w:r w:rsidRPr="00580B62">
        <w:rPr>
          <w:rFonts w:asciiTheme="majorBidi" w:hAnsiTheme="majorBidi" w:cstheme="majorBidi"/>
          <w:sz w:val="24"/>
          <w:szCs w:val="24"/>
        </w:rPr>
        <w:lastRenderedPageBreak/>
        <w:t>1975, Kota Madya Jambi pada 10 Mei 1975, Kabupaten Tanjung Jabong pada 26 Mei 1975, dan lain-lain.</w:t>
      </w:r>
      <w:r w:rsidRPr="00580B62">
        <w:rPr>
          <w:rStyle w:val="FootnoteReference"/>
          <w:rFonts w:asciiTheme="majorBidi" w:hAnsiTheme="majorBidi" w:cstheme="majorBidi"/>
          <w:sz w:val="24"/>
          <w:szCs w:val="24"/>
        </w:rPr>
        <w:footnoteReference w:id="459"/>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t>Inisiatif pendirian MUI baik ditingkat pusat maupun ditingkat daerah, pada umumnya berasal dari pemerintah, bukan dari masyarakat Islam atau ulama itu sendiri. Pemerintah menyadari pentingnya peran ulama dalam menyukseskan program-program pembangunan yang dicanangkannya. Sebab pembangunan bukanlah semata-mata menyangkut aspek material saja, tetapi juga menyangkut aspek spiritual yang disitu diharapkan peran ulama. Suatu program pembangunan yang dicanangkan pemerintah terutama yang berkaiatan dengan aspek mental spiritual hanya akan sukses bila didukung oleh ulama atau tidak dihalang-halangi oleh ulama</w:t>
      </w:r>
      <w:r w:rsidRPr="00580B62">
        <w:rPr>
          <w:rStyle w:val="FootnoteReference"/>
          <w:rFonts w:asciiTheme="majorBidi" w:hAnsiTheme="majorBidi" w:cstheme="majorBidi"/>
          <w:sz w:val="24"/>
          <w:szCs w:val="24"/>
        </w:rPr>
        <w:footnoteReference w:id="460"/>
      </w:r>
      <w:r w:rsidRPr="00580B62">
        <w:rPr>
          <w:rFonts w:asciiTheme="majorBidi" w:hAnsiTheme="majorBidi" w:cstheme="majorBidi"/>
          <w:sz w:val="24"/>
          <w:szCs w:val="24"/>
        </w:rPr>
        <w:t>. Ulama pun menyadari pentingnya peran pemerintah dalam menyukseskan tugas-tugas yang diembannya. Hal ini tercermin dalam sambutan Presiden Soeharto pada Munas I Majelis Ulama Indonesia</w:t>
      </w:r>
      <w:r w:rsidRPr="00580B62">
        <w:rPr>
          <w:rStyle w:val="FootnoteReference"/>
          <w:rFonts w:asciiTheme="majorBidi" w:hAnsiTheme="majorBidi" w:cstheme="majorBidi"/>
          <w:sz w:val="24"/>
          <w:szCs w:val="24"/>
        </w:rPr>
        <w:footnoteReference w:id="461"/>
      </w:r>
      <w:r w:rsidRPr="00580B62">
        <w:rPr>
          <w:rFonts w:asciiTheme="majorBidi" w:hAnsiTheme="majorBidi" w:cstheme="majorBidi"/>
          <w:sz w:val="24"/>
          <w:szCs w:val="24"/>
        </w:rPr>
        <w:t>.</w:t>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r w:rsidRPr="00580B62">
        <w:rPr>
          <w:rFonts w:asciiTheme="majorBidi" w:hAnsiTheme="majorBidi" w:cstheme="majorBidi"/>
          <w:sz w:val="24"/>
          <w:szCs w:val="24"/>
        </w:rPr>
        <w:t>Kedua belah pihak menyadari perlunya dukungan masing-masing pihak dalam mensukseskan tugasnya. Oleh karena itu, dibutuhkan kerjasama dan saling pengertian antara keduanya dalam menunaikan tugasnya masing-masing. Dari situ diharapkan tercipta hubungan yang harmonis yang dapat menghilangkan secara berangsur-angsur perasaan saling curiga-mencurigai antara ulama dengan pemerintah. Maka, kedua belah pihak dapat mengambil manfaat yang saling menguntungkan sebagaimana dinyatakan oleh Mukti Ali,</w:t>
      </w:r>
      <w:r w:rsidRPr="00580B62">
        <w:rPr>
          <w:rStyle w:val="FootnoteReference"/>
          <w:rFonts w:asciiTheme="majorBidi" w:hAnsiTheme="majorBidi" w:cstheme="majorBidi"/>
          <w:sz w:val="24"/>
          <w:szCs w:val="24"/>
        </w:rPr>
        <w:footnoteReference w:id="462"/>
      </w:r>
      <w:r w:rsidRPr="00580B62">
        <w:rPr>
          <w:rFonts w:asciiTheme="majorBidi" w:hAnsiTheme="majorBidi" w:cstheme="majorBidi"/>
          <w:sz w:val="24"/>
          <w:szCs w:val="24"/>
        </w:rPr>
        <w:t xml:space="preserve"> Menteri Agama ketika itu.</w:t>
      </w:r>
    </w:p>
    <w:p w:rsidR="00343B61" w:rsidRPr="00580B62" w:rsidRDefault="00343B61" w:rsidP="00343B61">
      <w:pPr>
        <w:pStyle w:val="ListParagraph"/>
        <w:spacing w:line="360" w:lineRule="auto"/>
        <w:ind w:left="90" w:firstLine="720"/>
        <w:jc w:val="both"/>
        <w:rPr>
          <w:rFonts w:asciiTheme="majorBidi" w:hAnsiTheme="majorBidi" w:cstheme="majorBidi"/>
          <w:sz w:val="24"/>
          <w:szCs w:val="24"/>
        </w:rPr>
      </w:pPr>
      <w:bookmarkStart w:id="19" w:name="_GoBack"/>
      <w:bookmarkEnd w:id="19"/>
      <w:r w:rsidRPr="00580B62">
        <w:rPr>
          <w:rFonts w:asciiTheme="majorBidi" w:hAnsiTheme="majorBidi" w:cstheme="majorBidi"/>
          <w:color w:val="000000" w:themeColor="text1"/>
          <w:sz w:val="24"/>
          <w:szCs w:val="24"/>
        </w:rPr>
        <w:t xml:space="preserve">Lima tahun sebelum MUI berdiri, tepatnya </w:t>
      </w:r>
      <w:r w:rsidRPr="00580B62">
        <w:rPr>
          <w:rFonts w:asciiTheme="majorBidi" w:hAnsiTheme="majorBidi" w:cstheme="majorBidi"/>
          <w:sz w:val="24"/>
          <w:szCs w:val="24"/>
        </w:rPr>
        <w:t xml:space="preserve">Pada bulan Juni 1969, Fakultas Ushuludin Institut Agama Islam Negeri Syarif Hidayatullah Jakarta mengadakan seminar dakwah. Salah satu hasilnya ialah bahwa untuk meningkatkan dan mengkoordinasikan kegiatan dakwah maka diperlukan adanya </w:t>
      </w:r>
      <w:r w:rsidRPr="00580B62">
        <w:rPr>
          <w:rFonts w:asciiTheme="majorBidi" w:hAnsiTheme="majorBidi" w:cstheme="majorBidi"/>
          <w:sz w:val="24"/>
          <w:szCs w:val="24"/>
        </w:rPr>
        <w:lastRenderedPageBreak/>
        <w:t>suatu organisasi untuk itu. Keputusan inilah yang menjadi embrio lahirnya Pusat Dakwah Islam Indonesia ( PDII) pada tanggal 8 September 1969.</w:t>
      </w:r>
      <w:r w:rsidRPr="00580B62">
        <w:rPr>
          <w:rStyle w:val="FootnoteReference"/>
          <w:rFonts w:asciiTheme="majorBidi" w:hAnsiTheme="majorBidi" w:cstheme="majorBidi"/>
          <w:sz w:val="24"/>
          <w:szCs w:val="24"/>
        </w:rPr>
        <w:footnoteReference w:id="463"/>
      </w:r>
      <w:r w:rsidRPr="00580B62">
        <w:rPr>
          <w:rFonts w:asciiTheme="majorBidi" w:hAnsiTheme="majorBidi" w:cstheme="majorBidi"/>
          <w:sz w:val="24"/>
          <w:szCs w:val="24"/>
        </w:rPr>
        <w:t xml:space="preserve"> Yaitu suatu badan setengah resmi pemerintah yang di dalamnya duduk tokoh-tokoh pemerintah, organisasi-organisasi Islam dan kalangan ilmuan. Wadah ini diharapkan sebagai konsultan dan perantara berbagai organisasi yang ada. KH. Muhammad Dahlan, sebagai Menteri Agama pada waktu itu mengaharapkan agar pengurus badan ini dapat menggambarkan menisfestasi persatuan umat Islam Indonesia.</w:t>
      </w:r>
      <w:r w:rsidRPr="00580B62">
        <w:rPr>
          <w:rStyle w:val="FootnoteReference"/>
          <w:rFonts w:asciiTheme="majorBidi" w:hAnsiTheme="majorBidi" w:cstheme="majorBidi"/>
          <w:sz w:val="24"/>
          <w:szCs w:val="24"/>
        </w:rPr>
        <w:footnoteReference w:id="464"/>
      </w:r>
    </w:p>
    <w:p w:rsidR="00343B61" w:rsidRPr="00580B62" w:rsidRDefault="00343B61" w:rsidP="00343B61">
      <w:pPr>
        <w:pStyle w:val="ListParagraph"/>
        <w:spacing w:line="360" w:lineRule="auto"/>
        <w:ind w:left="90" w:firstLine="720"/>
        <w:jc w:val="both"/>
        <w:rPr>
          <w:sz w:val="24"/>
          <w:szCs w:val="24"/>
        </w:rPr>
      </w:pPr>
      <w:r w:rsidRPr="00580B62">
        <w:rPr>
          <w:rFonts w:asciiTheme="majorBidi" w:hAnsiTheme="majorBidi" w:cstheme="majorBidi"/>
          <w:sz w:val="24"/>
          <w:szCs w:val="24"/>
        </w:rPr>
        <w:t xml:space="preserve">Pada tanggal 30 September hingga 4 Okober 1970 Pusat Dakwah Islam Indonesia (PDII) menyelenggarakan sebuah konferensi yang digagas untuk membentuk sebuah Majelis Ulama yang berfungsi memberikan fatwa. </w:t>
      </w:r>
      <w:r w:rsidRPr="00580B62">
        <w:rPr>
          <w:rFonts w:asciiTheme="majorBidi" w:hAnsiTheme="majorBidi" w:cstheme="majorBidi"/>
          <w:color w:val="000000" w:themeColor="text1"/>
          <w:sz w:val="24"/>
          <w:szCs w:val="24"/>
        </w:rPr>
        <w:t xml:space="preserve">Salah satu pemakalah  saat itu adalah Ibrahim Hosen, dalam  presentasinya memunculkan ide pembentukan Majelis Ulama dengan mengutip keputusan </w:t>
      </w:r>
      <w:r w:rsidRPr="00580B62">
        <w:rPr>
          <w:rFonts w:asciiTheme="majorBidi" w:hAnsiTheme="majorBidi" w:cstheme="majorBidi"/>
          <w:i/>
          <w:iCs/>
          <w:color w:val="000000" w:themeColor="text1"/>
          <w:sz w:val="24"/>
          <w:szCs w:val="24"/>
        </w:rPr>
        <w:t>Majma’ al-Buh</w:t>
      </w:r>
      <w:r w:rsidRPr="00580B62">
        <w:rPr>
          <w:rFonts w:asciiTheme="majorBidi" w:hAnsiTheme="majorBidi" w:cstheme="majorBidi"/>
          <w:i/>
          <w:iCs/>
          <w:sz w:val="24"/>
          <w:szCs w:val="24"/>
        </w:rPr>
        <w:t>ū</w:t>
      </w:r>
      <w:r w:rsidRPr="00580B62">
        <w:rPr>
          <w:rFonts w:asciiTheme="majorBidi" w:hAnsiTheme="majorBidi" w:cstheme="majorBidi"/>
          <w:b/>
          <w:bCs/>
          <w:i/>
          <w:iCs/>
          <w:sz w:val="24"/>
          <w:szCs w:val="24"/>
        </w:rPr>
        <w:t>Ṡ</w:t>
      </w:r>
      <w:r w:rsidRPr="00580B62">
        <w:rPr>
          <w:rFonts w:asciiTheme="majorBidi" w:hAnsiTheme="majorBidi" w:cstheme="majorBidi"/>
          <w:i/>
          <w:iCs/>
          <w:color w:val="000000" w:themeColor="text1"/>
          <w:sz w:val="24"/>
          <w:szCs w:val="24"/>
        </w:rPr>
        <w:t xml:space="preserve"> al-Isl</w:t>
      </w:r>
      <w:r w:rsidRPr="00580B62">
        <w:rPr>
          <w:rFonts w:asciiTheme="majorBidi" w:hAnsiTheme="majorBidi" w:cstheme="majorBidi"/>
          <w:i/>
          <w:iCs/>
          <w:sz w:val="24"/>
          <w:szCs w:val="24"/>
        </w:rPr>
        <w:t>ā</w:t>
      </w:r>
      <w:r w:rsidRPr="00580B62">
        <w:rPr>
          <w:rFonts w:asciiTheme="majorBidi" w:hAnsiTheme="majorBidi" w:cstheme="majorBidi"/>
          <w:i/>
          <w:iCs/>
          <w:color w:val="000000" w:themeColor="text1"/>
          <w:sz w:val="24"/>
          <w:szCs w:val="24"/>
        </w:rPr>
        <w:t>miyyah</w:t>
      </w:r>
      <w:r w:rsidRPr="00580B62">
        <w:rPr>
          <w:rFonts w:asciiTheme="majorBidi" w:hAnsiTheme="majorBidi" w:cstheme="majorBidi"/>
          <w:color w:val="000000" w:themeColor="text1"/>
          <w:sz w:val="24"/>
          <w:szCs w:val="24"/>
        </w:rPr>
        <w:t xml:space="preserve"> (Cairo,1964) tentang pentingnya melakukan ijtihad kolektif. Buya Hamka, yang juga menjadi penyaji makalah saat itu, dengan keras menolak gagasan tersebut, terutama mengenai pelibatan sarjana sekuler dalam ijtihad kolektif.</w:t>
      </w:r>
      <w:r w:rsidRPr="00580B62">
        <w:rPr>
          <w:rStyle w:val="FootnoteReference"/>
          <w:rFonts w:asciiTheme="majorBidi" w:hAnsiTheme="majorBidi" w:cstheme="majorBidi"/>
          <w:color w:val="000000" w:themeColor="text1"/>
          <w:sz w:val="24"/>
          <w:szCs w:val="24"/>
        </w:rPr>
        <w:footnoteReference w:id="465"/>
      </w:r>
    </w:p>
    <w:p w:rsidR="00343B61" w:rsidRPr="00580B62" w:rsidRDefault="00343B61" w:rsidP="00343B61">
      <w:pPr>
        <w:pStyle w:val="ListParagraph"/>
        <w:spacing w:line="360" w:lineRule="auto"/>
        <w:ind w:left="90" w:firstLine="720"/>
        <w:jc w:val="both"/>
        <w:rPr>
          <w:rFonts w:asciiTheme="majorBidi" w:hAnsiTheme="majorBidi" w:cstheme="majorBidi"/>
          <w:color w:val="000000" w:themeColor="text1"/>
          <w:sz w:val="24"/>
          <w:szCs w:val="24"/>
        </w:rPr>
      </w:pPr>
      <w:r w:rsidRPr="00580B62">
        <w:rPr>
          <w:rFonts w:asciiTheme="majorBidi" w:hAnsiTheme="majorBidi" w:cstheme="majorBidi"/>
          <w:color w:val="000000" w:themeColor="text1"/>
          <w:sz w:val="24"/>
          <w:szCs w:val="24"/>
        </w:rPr>
        <w:t>Akhirnya, sebagai ganti gagasan itu, Buya Hamka merekomendasikan kepada Presiden Soeharto agar memilih seorang mufti yang akan memberikan nasihat kepada pemerintah dan umat Islam Indonesia. Karena muncul kontroversi, maka tak ada keputusan membentuk sebuah majelis. Singkatnya, konferensi tersebut hanya merekomendasikan bahwa Pusat Dakwah Islam akan melihat kembali kemungkinan tersebut dengan berbagai pertimbangan. Selama empat tahun berikutnya, rekomendasi ini tidak diperhatikan lagi.</w:t>
      </w:r>
      <w:r w:rsidRPr="00580B62">
        <w:rPr>
          <w:rStyle w:val="FootnoteReference"/>
          <w:rFonts w:asciiTheme="majorBidi" w:hAnsiTheme="majorBidi" w:cstheme="majorBidi"/>
          <w:color w:val="000000" w:themeColor="text1"/>
          <w:sz w:val="24"/>
          <w:szCs w:val="24"/>
        </w:rPr>
        <w:footnoteReference w:id="466"/>
      </w:r>
    </w:p>
    <w:p w:rsidR="00343B61" w:rsidRPr="00580B62" w:rsidRDefault="00343B61" w:rsidP="00343B61">
      <w:pPr>
        <w:pStyle w:val="ListParagraph"/>
        <w:spacing w:line="360" w:lineRule="auto"/>
        <w:ind w:left="90" w:firstLine="720"/>
        <w:jc w:val="both"/>
        <w:rPr>
          <w:rFonts w:asciiTheme="majorBidi" w:hAnsiTheme="majorBidi" w:cstheme="majorBidi"/>
          <w:color w:val="000000" w:themeColor="text1"/>
          <w:sz w:val="24"/>
          <w:szCs w:val="24"/>
        </w:rPr>
      </w:pPr>
      <w:r w:rsidRPr="00580B62">
        <w:rPr>
          <w:rFonts w:asciiTheme="majorBidi" w:hAnsiTheme="majorBidi" w:cstheme="majorBidi"/>
          <w:color w:val="000000" w:themeColor="text1"/>
          <w:sz w:val="24"/>
          <w:szCs w:val="24"/>
        </w:rPr>
        <w:lastRenderedPageBreak/>
        <w:t xml:space="preserve">Pada tanggal 26 sampai 29 september 1974 Pusat Dakwah Islam Indoensia (PDII) kembali menyelenggarakan lokakarya muballigh se Indonesia yang melahirkan sebuah konsensus, yaitu untuk memelihara dan membina kontinuitas partisipasi umat Islam terhadap pembangunan, diperlukan adanya Majelis Ulama atau semacamnya, sebagai wahana yang dapat menjalankan mekanisme yang efektif dan efesien. </w:t>
      </w:r>
      <w:r w:rsidRPr="00580B62">
        <w:rPr>
          <w:rStyle w:val="FootnoteReference"/>
          <w:rFonts w:asciiTheme="majorBidi" w:hAnsiTheme="majorBidi" w:cstheme="majorBidi"/>
          <w:color w:val="000000" w:themeColor="text1"/>
          <w:sz w:val="24"/>
          <w:szCs w:val="24"/>
        </w:rPr>
        <w:footnoteReference w:id="467"/>
      </w:r>
      <w:r w:rsidRPr="00580B62">
        <w:rPr>
          <w:rFonts w:asciiTheme="majorBidi" w:hAnsiTheme="majorBidi" w:cstheme="majorBidi"/>
          <w:color w:val="000000" w:themeColor="text1"/>
          <w:sz w:val="24"/>
          <w:szCs w:val="24"/>
        </w:rPr>
        <w:t xml:space="preserve"> </w:t>
      </w:r>
    </w:p>
    <w:p w:rsidR="00343B61" w:rsidRPr="00580B62" w:rsidRDefault="00343B61" w:rsidP="00343B61">
      <w:pPr>
        <w:pStyle w:val="ListParagraph"/>
        <w:spacing w:after="0" w:line="360" w:lineRule="auto"/>
        <w:ind w:left="90" w:firstLine="720"/>
        <w:jc w:val="both"/>
        <w:rPr>
          <w:rFonts w:asciiTheme="majorBidi" w:hAnsiTheme="majorBidi" w:cstheme="majorBidi"/>
          <w:color w:val="000000" w:themeColor="text1"/>
          <w:sz w:val="24"/>
          <w:szCs w:val="24"/>
        </w:rPr>
      </w:pPr>
      <w:r w:rsidRPr="00580B62">
        <w:rPr>
          <w:rFonts w:asciiTheme="majorBidi" w:hAnsiTheme="majorBidi" w:cstheme="majorBidi"/>
          <w:sz w:val="24"/>
          <w:szCs w:val="24"/>
        </w:rPr>
        <w:t>Pada tanggal 24 Mei 1975, lagi-lagi Presiden Soeharto menekankan pentingnya sebuah majelis ulama setelah menerima kunjungan dari utusan Dewan Masjid Indonesia. Akhirnya, tanggal 21-27 Juli 1975 digelarlah sebuah Konferensi Ulama Nasional. Pesertanya terdiri dari wakil Majelis Ulama daerah yang baru berdiri, pengurus pusat organisasi Islam, sejumlah ulama independent dan empat wakil dari ABRI. Di sini ada sebuah deklarasi. Lima puluh tiga peserta menandatanganinya pada akhir acara, kemudian diumumkanlah pendirian kumpulan para ulama itu dengan sebutan MUI.</w:t>
      </w:r>
      <w:r w:rsidRPr="00580B62">
        <w:rPr>
          <w:rStyle w:val="FootnoteReference"/>
          <w:rFonts w:asciiTheme="majorBidi" w:hAnsiTheme="majorBidi" w:cstheme="majorBidi"/>
          <w:sz w:val="24"/>
          <w:szCs w:val="24"/>
        </w:rPr>
        <w:footnoteReference w:id="468"/>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Tanda berdirinya Majelis Ulama Indonesia tersebut diabadikan dalam bentuk “Piagam” berdirinya Majelis Ulama Indonesia yang ditandatangani oleh 53 orang ulama yang terdiri dari 26 Ketua-Ketua MUI Daerah Tingkat I, 10 orang ulama unsur organisasi Islam tingkat pusat yaitu NU, Muhammadiyah, Syarikat Islam, PERTI, Al-Washliyah, Mathla’ul Anwar, GUPPI, PTDI, Dewan Masjid Indonesia, dan Al-Ittihadiyah; 4 orang ulama dari dinas rohaniah Islam angkatan darat, udara, laut dan POLRI, serta 13 ulama undangan perorangan.</w:t>
      </w:r>
      <w:r w:rsidRPr="00580B62">
        <w:rPr>
          <w:rStyle w:val="FootnoteReference"/>
          <w:rFonts w:asciiTheme="majorBidi" w:hAnsiTheme="majorBidi" w:cstheme="majorBidi"/>
          <w:sz w:val="24"/>
          <w:szCs w:val="24"/>
        </w:rPr>
        <w:footnoteReference w:id="469"/>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Pertemuan alim ulama yang melahirkan MUI tersebut ditetapkan sebagai Munas (Musyawarah Nasional) MUI Pertama. Dengan demikian, sebelum adanya MUI Pusat, terlebih dahulu di daerah-daerah telah terbentuk Majelis Ulama</w:t>
      </w:r>
      <w:r w:rsidRPr="00580B62">
        <w:rPr>
          <w:rFonts w:asciiTheme="majorBidi" w:hAnsiTheme="majorBidi" w:cstheme="majorBidi"/>
          <w:color w:val="000000" w:themeColor="text1"/>
          <w:sz w:val="24"/>
          <w:szCs w:val="24"/>
        </w:rPr>
        <w:t>.</w:t>
      </w:r>
      <w:r w:rsidRPr="00580B62">
        <w:rPr>
          <w:rFonts w:asciiTheme="majorBidi" w:hAnsiTheme="majorBidi" w:cstheme="majorBidi"/>
          <w:color w:val="FF0000"/>
          <w:sz w:val="24"/>
          <w:szCs w:val="24"/>
        </w:rPr>
        <w:t xml:space="preserve"> </w:t>
      </w:r>
      <w:r w:rsidRPr="00580B62">
        <w:rPr>
          <w:rFonts w:asciiTheme="majorBidi" w:hAnsiTheme="majorBidi" w:cstheme="majorBidi"/>
          <w:sz w:val="24"/>
          <w:szCs w:val="24"/>
        </w:rPr>
        <w:t>Prof</w:t>
      </w:r>
      <w:r w:rsidRPr="00580B62">
        <w:rPr>
          <w:rFonts w:asciiTheme="majorBidi" w:hAnsiTheme="majorBidi" w:cstheme="majorBidi"/>
          <w:color w:val="FF0000"/>
          <w:sz w:val="24"/>
          <w:szCs w:val="24"/>
        </w:rPr>
        <w:t xml:space="preserve">. </w:t>
      </w:r>
      <w:r w:rsidRPr="00580B62">
        <w:rPr>
          <w:rFonts w:asciiTheme="majorBidi" w:hAnsiTheme="majorBidi" w:cstheme="majorBidi"/>
          <w:sz w:val="24"/>
          <w:szCs w:val="24"/>
        </w:rPr>
        <w:t xml:space="preserve">Dr. Hamka, tokoh yang awalnya menolak pendirian sebuah majelis ulama, menjadi ketua umum MUI pertama kali (1975-1981) dan sekretaris umum </w:t>
      </w:r>
      <w:r w:rsidRPr="00580B62">
        <w:rPr>
          <w:rFonts w:asciiTheme="majorBidi" w:hAnsiTheme="majorBidi" w:cstheme="majorBidi"/>
          <w:sz w:val="24"/>
          <w:szCs w:val="24"/>
        </w:rPr>
        <w:lastRenderedPageBreak/>
        <w:t>pertama adalah Drs. H. Kafrawi, MA.</w:t>
      </w:r>
      <w:r w:rsidRPr="00580B62">
        <w:rPr>
          <w:rStyle w:val="FootnoteReference"/>
          <w:rFonts w:asciiTheme="majorBidi" w:hAnsiTheme="majorBidi" w:cstheme="majorBidi"/>
          <w:sz w:val="24"/>
          <w:szCs w:val="24"/>
        </w:rPr>
        <w:footnoteReference w:id="470"/>
      </w:r>
      <w:r w:rsidRPr="00580B62">
        <w:rPr>
          <w:rFonts w:asciiTheme="majorBidi" w:hAnsiTheme="majorBidi" w:cstheme="majorBidi"/>
          <w:sz w:val="24"/>
          <w:szCs w:val="24"/>
        </w:rPr>
        <w:t xml:space="preserve"> Hamka memberikan dua alasan atas penerimaan jabatan ketua umum MUI. </w:t>
      </w:r>
      <w:r w:rsidRPr="00580B62">
        <w:rPr>
          <w:rFonts w:asciiTheme="majorBidi" w:hAnsiTheme="majorBidi" w:cstheme="majorBidi"/>
          <w:i/>
          <w:iCs/>
          <w:sz w:val="24"/>
          <w:szCs w:val="24"/>
        </w:rPr>
        <w:t>Pertama</w:t>
      </w:r>
      <w:r w:rsidRPr="00580B62">
        <w:rPr>
          <w:rFonts w:asciiTheme="majorBidi" w:hAnsiTheme="majorBidi" w:cstheme="majorBidi"/>
          <w:sz w:val="24"/>
          <w:szCs w:val="24"/>
        </w:rPr>
        <w:t>, bahwa untuk menghadapai idiologi komunis di Indoe</w:t>
      </w:r>
      <w:r>
        <w:rPr>
          <w:rFonts w:asciiTheme="majorBidi" w:hAnsiTheme="majorBidi" w:cstheme="majorBidi"/>
          <w:sz w:val="24"/>
          <w:szCs w:val="24"/>
        </w:rPr>
        <w:t>nsia, harus menggunakan ideologi</w:t>
      </w:r>
      <w:r w:rsidRPr="00580B62">
        <w:rPr>
          <w:rFonts w:asciiTheme="majorBidi" w:hAnsiTheme="majorBidi" w:cstheme="majorBidi"/>
          <w:sz w:val="24"/>
          <w:szCs w:val="24"/>
        </w:rPr>
        <w:t xml:space="preserve"> yang lebih kuat, yaitu Islam. Untuk mencapai hal itu, kaum muslimin seharusnya dapat berkerjasama dengan pemerintah Soeharto yang juga bersikap anti komunis. </w:t>
      </w:r>
      <w:r w:rsidRPr="00580B62">
        <w:rPr>
          <w:rFonts w:asciiTheme="majorBidi" w:hAnsiTheme="majorBidi" w:cstheme="majorBidi"/>
          <w:i/>
          <w:iCs/>
          <w:sz w:val="24"/>
          <w:szCs w:val="24"/>
        </w:rPr>
        <w:t>Kedua</w:t>
      </w:r>
      <w:r w:rsidRPr="00580B62">
        <w:rPr>
          <w:rFonts w:asciiTheme="majorBidi" w:hAnsiTheme="majorBidi" w:cstheme="majorBidi"/>
          <w:sz w:val="24"/>
          <w:szCs w:val="24"/>
        </w:rPr>
        <w:t>, Pemerintah telah senantiasa bersikap tidak percaya terhadap kaum Muslimin, betapapun luhur maksud kaum Muslimin. Pada waktu yang bersamaan setiap usaha pihak pemerintah demi perbaikan nasib rakyat, yang sebagian besar beragama Islam, telah dianggap oleh kaum Muslimin sebagai sekular dan palsu. Hamka berpendapat bahwa dengan pembentukan MUI keadaan demikian akan dapat diperbaiki</w:t>
      </w:r>
      <w:r w:rsidRPr="00580B62">
        <w:rPr>
          <w:rStyle w:val="FootnoteReference"/>
          <w:rFonts w:asciiTheme="majorBidi" w:hAnsiTheme="majorBidi" w:cstheme="majorBidi"/>
          <w:sz w:val="24"/>
          <w:szCs w:val="24"/>
        </w:rPr>
        <w:footnoteReference w:id="471"/>
      </w:r>
      <w:r w:rsidRPr="00580B62">
        <w:rPr>
          <w:rFonts w:asciiTheme="majorBidi" w:hAnsiTheme="majorBidi" w:cstheme="majorBidi"/>
          <w:sz w:val="24"/>
          <w:szCs w:val="24"/>
        </w:rPr>
        <w:t xml:space="preserve"> </w:t>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Hamka yang memiliki nama lengkap Haji Abdul Karim Amrullah lahir di Maninjau, Sumatera Barat, pada tanggal 17 februari 1908 yang merupakan putra pertama dari pasangan Dr. Abdul Karim Amrullah dengan Ummi Shaffiah. Secara formal Hamka hanya mengeny</w:t>
      </w:r>
      <w:r>
        <w:rPr>
          <w:rFonts w:asciiTheme="majorBidi" w:hAnsiTheme="majorBidi" w:cstheme="majorBidi"/>
          <w:sz w:val="24"/>
          <w:szCs w:val="24"/>
        </w:rPr>
        <w:t>am Sekolah Desa, namun tidak ta</w:t>
      </w:r>
      <w:r w:rsidRPr="00580B62">
        <w:rPr>
          <w:rFonts w:asciiTheme="majorBidi" w:hAnsiTheme="majorBidi" w:cstheme="majorBidi"/>
          <w:sz w:val="24"/>
          <w:szCs w:val="24"/>
        </w:rPr>
        <w:t xml:space="preserve">mat. Pada tahun 1918 Hamka belajar Agama Islam di Sumatera Thawalib Padang Panjang. Pada tahun 1922 hamka kembali belajar Agama Islam di Parabe, Bukittinggi. Hamka banyak belajar otodidak dengan banyak membaca, dan belajar langsung pada tokoh ulama baik yang berada di Sumatera Barat, jawa bahkan sampai ke Mekkah Arab Saudi. </w:t>
      </w:r>
      <w:r w:rsidRPr="00580B62">
        <w:rPr>
          <w:rStyle w:val="FootnoteReference"/>
          <w:rFonts w:asciiTheme="majorBidi" w:hAnsiTheme="majorBidi" w:cstheme="majorBidi"/>
          <w:sz w:val="24"/>
          <w:szCs w:val="24"/>
        </w:rPr>
        <w:footnoteReference w:id="472"/>
      </w:r>
      <w:r w:rsidRPr="00580B62">
        <w:rPr>
          <w:rFonts w:asciiTheme="majorBidi" w:hAnsiTheme="majorBidi" w:cstheme="majorBidi"/>
          <w:sz w:val="24"/>
          <w:szCs w:val="24"/>
        </w:rPr>
        <w:t xml:space="preserve"> </w:t>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 xml:space="preserve">Pada tahun 1924 Hamka merantau ke Jawa tepatnya di Yogyakarta. Di sana Hamka belajar langsung kepada H.O.S Tjokroaminoto, pemimipin Partai Serikat Islam (PSI). Hamka memperoleh pengetahuan Sosiologi dari Soerjopranoto, filsafat dan sejarah Islam dari KH. Mas Mansur, dan tafsir dari Ki Agus Hudikusumo. Di Jawa, Hamka juga sempat mengembara Ke Bandung, </w:t>
      </w:r>
      <w:r w:rsidRPr="00580B62">
        <w:rPr>
          <w:rFonts w:asciiTheme="majorBidi" w:hAnsiTheme="majorBidi" w:cstheme="majorBidi"/>
          <w:sz w:val="24"/>
          <w:szCs w:val="24"/>
        </w:rPr>
        <w:lastRenderedPageBreak/>
        <w:t xml:space="preserve">bertemu tokoh Masyumi, Ahmad Hassan dan Muhammad Natsir, yang memberi Hamka kesempetan belajar menulis dalam majallah Pembela Islam. </w:t>
      </w:r>
      <w:r w:rsidRPr="00580B62">
        <w:rPr>
          <w:rStyle w:val="FootnoteReference"/>
          <w:rFonts w:asciiTheme="majorBidi" w:hAnsiTheme="majorBidi" w:cstheme="majorBidi"/>
          <w:sz w:val="24"/>
          <w:szCs w:val="24"/>
        </w:rPr>
        <w:footnoteReference w:id="473"/>
      </w:r>
    </w:p>
    <w:p w:rsidR="00343B61" w:rsidRPr="00580B62" w:rsidRDefault="00343B61" w:rsidP="00343B61">
      <w:pPr>
        <w:autoSpaceDE w:val="0"/>
        <w:autoSpaceDN w:val="0"/>
        <w:adjustRightInd w:val="0"/>
        <w:spacing w:after="0" w:line="360" w:lineRule="auto"/>
        <w:ind w:firstLine="720"/>
        <w:jc w:val="both"/>
        <w:rPr>
          <w:rFonts w:ascii="TimesNewRomanPSMT" w:hAnsi="TimesNewRomanPSMT" w:cs="TimesNewRomanPSMT"/>
          <w:sz w:val="24"/>
          <w:szCs w:val="24"/>
        </w:rPr>
      </w:pPr>
      <w:r w:rsidRPr="00580B62">
        <w:rPr>
          <w:rFonts w:ascii="TimesNewRomanPSMT" w:hAnsi="TimesNewRomanPSMT" w:cs="TimesNewRomanPSMT"/>
          <w:sz w:val="24"/>
          <w:szCs w:val="24"/>
        </w:rPr>
        <w:t>Hamka mengajar di berbagai institusi pendidikan seperti di Universitas Muhammadiyah dan Universitas Dr. Mustopo, Universitas Islam Jakarta, Universitas Muslim Indonesia (UMI) Makasar dan Universitas Islam Sumatera Utara (UISU). Menjadi guru besar di Pusat Pendidikan Rohani (Pusroh)) Islam Angkatan Darat. Di samping itu, dia juga membaktikan diri untuk berdakwah di tengah-tengah masyarakat baik secara langsung maupun yang disiarkan lewat Radio dan Televisi.</w:t>
      </w:r>
      <w:r w:rsidRPr="00580B62">
        <w:rPr>
          <w:rStyle w:val="FootnoteReference"/>
          <w:rFonts w:ascii="TimesNewRomanPSMT" w:hAnsi="TimesNewRomanPSMT" w:cs="TimesNewRomanPSMT"/>
          <w:sz w:val="24"/>
          <w:szCs w:val="24"/>
        </w:rPr>
        <w:footnoteReference w:id="474"/>
      </w:r>
    </w:p>
    <w:p w:rsidR="00343B61" w:rsidRPr="00580B62" w:rsidRDefault="00343B61" w:rsidP="00343B61">
      <w:pPr>
        <w:autoSpaceDE w:val="0"/>
        <w:autoSpaceDN w:val="0"/>
        <w:adjustRightInd w:val="0"/>
        <w:spacing w:line="360" w:lineRule="auto"/>
        <w:ind w:firstLine="720"/>
        <w:jc w:val="both"/>
        <w:rPr>
          <w:rFonts w:ascii="TimesNewRomanPSMT" w:hAnsi="TimesNewRomanPSMT" w:cs="TimesNewRomanPSMT"/>
          <w:sz w:val="24"/>
          <w:szCs w:val="24"/>
        </w:rPr>
      </w:pPr>
      <w:r w:rsidRPr="00580B62">
        <w:rPr>
          <w:rFonts w:ascii="TimesNewRomanPSMT" w:hAnsi="TimesNewRomanPSMT" w:cs="TimesNewRomanPSMT"/>
          <w:sz w:val="24"/>
          <w:szCs w:val="24"/>
        </w:rPr>
        <w:t>Sebagai bukti pengakuan dunia Akademik kepada keluasan ilmu pengetahuan Hamka, khususnya dalam studi Islam, Pada 21 Januari 1958 Universitas Al-Azhar, Kairo menganugerahkan gelar doktor kehormatan kepada beliau.  Berberapa tahun kemudian yaitu tujuah tahun setelah itu, tepatnya pada tahun 1966, Universitas Dr. Mustopo, Jakarta, memberikannya gelar professor. Dan pada tahun 1974 Hamka kembali mendapatkan gelar doctor penghormatan dari Universitas Malaya Malasiya.</w:t>
      </w:r>
      <w:r w:rsidRPr="00580B62">
        <w:rPr>
          <w:rStyle w:val="FootnoteReference"/>
          <w:rFonts w:ascii="TimesNewRomanPSMT" w:hAnsi="TimesNewRomanPSMT" w:cs="TimesNewRomanPSMT"/>
          <w:sz w:val="24"/>
          <w:szCs w:val="24"/>
        </w:rPr>
        <w:footnoteReference w:id="475"/>
      </w:r>
    </w:p>
    <w:p w:rsidR="00343B61" w:rsidRPr="00580B62" w:rsidRDefault="00343B61" w:rsidP="00343B61">
      <w:pPr>
        <w:autoSpaceDE w:val="0"/>
        <w:autoSpaceDN w:val="0"/>
        <w:adjustRightInd w:val="0"/>
        <w:spacing w:after="0" w:line="360" w:lineRule="auto"/>
        <w:ind w:firstLine="720"/>
        <w:jc w:val="both"/>
        <w:rPr>
          <w:rFonts w:ascii="TimesNewRomanPSMT" w:eastAsiaTheme="minorHAnsi" w:hAnsi="TimesNewRomanPSMT" w:cs="TimesNewRomanPSMT"/>
          <w:color w:val="FF0000"/>
          <w:sz w:val="24"/>
          <w:szCs w:val="24"/>
        </w:rPr>
      </w:pPr>
      <w:r w:rsidRPr="00580B62">
        <w:rPr>
          <w:rFonts w:ascii="TimesNewRomanPSMT" w:eastAsiaTheme="minorHAnsi" w:hAnsi="TimesNewRomanPSMT" w:cs="TimesNewRomanPSMT"/>
          <w:sz w:val="24"/>
          <w:szCs w:val="24"/>
        </w:rPr>
        <w:t>Hamka adalah seorang penulis produktif, dimana ia telah menulis 118 judul tulisan.</w:t>
      </w:r>
      <w:r w:rsidRPr="00580B62">
        <w:rPr>
          <w:rStyle w:val="FootnoteReference"/>
          <w:rFonts w:ascii="TimesNewRomanPSMT" w:eastAsiaTheme="minorHAnsi" w:hAnsi="TimesNewRomanPSMT" w:cs="TimesNewRomanPSMT"/>
          <w:sz w:val="24"/>
          <w:szCs w:val="24"/>
        </w:rPr>
        <w:footnoteReference w:id="476"/>
      </w:r>
      <w:r w:rsidRPr="00580B62">
        <w:rPr>
          <w:rFonts w:ascii="TimesNewRomanPSMT" w:eastAsiaTheme="minorHAnsi" w:hAnsi="TimesNewRomanPSMT" w:cs="TimesNewRomanPSMT"/>
          <w:sz w:val="24"/>
          <w:szCs w:val="24"/>
        </w:rPr>
        <w:t xml:space="preserve"> </w:t>
      </w:r>
      <w:r w:rsidRPr="00580B62">
        <w:rPr>
          <w:rFonts w:ascii="TimesNewRomanPSMT" w:eastAsiaTheme="minorHAnsi" w:hAnsi="TimesNewRomanPSMT" w:cs="TimesNewRomanPSMT"/>
          <w:color w:val="FF0000"/>
          <w:sz w:val="24"/>
          <w:szCs w:val="24"/>
        </w:rPr>
        <w:t xml:space="preserve"> </w:t>
      </w:r>
      <w:r w:rsidRPr="00580B62">
        <w:rPr>
          <w:rFonts w:ascii="TimesNewRomanPSMT" w:hAnsi="TimesNewRomanPSMT" w:cs="TimesNewRomanPSMT"/>
          <w:sz w:val="24"/>
          <w:szCs w:val="24"/>
        </w:rPr>
        <w:t xml:space="preserve">Dari tahun 1927-1928, Hamka beraktivitas sebagai koresponden surat kabar </w:t>
      </w:r>
      <w:r w:rsidRPr="00580B62">
        <w:rPr>
          <w:rFonts w:ascii="TimesNewRomanPS-ItalicMT" w:hAnsi="TimesNewRomanPS-ItalicMT" w:cs="TimesNewRomanPS-ItalicMT"/>
          <w:i/>
          <w:iCs/>
          <w:sz w:val="24"/>
          <w:szCs w:val="24"/>
        </w:rPr>
        <w:t xml:space="preserve">Pelita Andalas </w:t>
      </w:r>
      <w:r w:rsidRPr="00580B62">
        <w:rPr>
          <w:rFonts w:ascii="TimesNewRomanPSMT" w:hAnsi="TimesNewRomanPSMT" w:cs="TimesNewRomanPSMT"/>
          <w:sz w:val="24"/>
          <w:szCs w:val="24"/>
        </w:rPr>
        <w:t xml:space="preserve">dan jurnal-jurnal lain seperti </w:t>
      </w:r>
      <w:r w:rsidRPr="00580B62">
        <w:rPr>
          <w:rFonts w:ascii="TimesNewRomanPS-ItalicMT" w:hAnsi="TimesNewRomanPS-ItalicMT" w:cs="TimesNewRomanPS-ItalicMT"/>
          <w:i/>
          <w:iCs/>
          <w:sz w:val="24"/>
          <w:szCs w:val="24"/>
        </w:rPr>
        <w:t xml:space="preserve">Seruan Islam, Bintang </w:t>
      </w:r>
      <w:r w:rsidRPr="00580B62">
        <w:rPr>
          <w:rFonts w:ascii="TimesNewRomanPS-ItalicMT" w:hAnsi="TimesNewRomanPS-ItalicMT" w:cs="TimesNewRomanPS-ItalicMT"/>
          <w:i/>
          <w:iCs/>
          <w:sz w:val="24"/>
          <w:szCs w:val="24"/>
        </w:rPr>
        <w:lastRenderedPageBreak/>
        <w:t xml:space="preserve">Islam, Suara Muhammadiyah, </w:t>
      </w:r>
      <w:r w:rsidRPr="00580B62">
        <w:rPr>
          <w:rFonts w:ascii="TimesNewRomanPSMT" w:hAnsi="TimesNewRomanPSMT" w:cs="TimesNewRomanPSMT"/>
          <w:sz w:val="24"/>
          <w:szCs w:val="24"/>
        </w:rPr>
        <w:t xml:space="preserve">dan sebagai pimpinan editor </w:t>
      </w:r>
      <w:r w:rsidRPr="00580B62">
        <w:rPr>
          <w:rFonts w:ascii="TimesNewRomanPS-ItalicMT" w:hAnsi="TimesNewRomanPS-ItalicMT" w:cs="TimesNewRomanPS-ItalicMT"/>
          <w:i/>
          <w:iCs/>
          <w:sz w:val="24"/>
          <w:szCs w:val="24"/>
        </w:rPr>
        <w:t>Kemauan Zaman</w:t>
      </w:r>
      <w:r w:rsidRPr="00580B62">
        <w:rPr>
          <w:rFonts w:ascii="TimesNewRomanPSMT" w:hAnsi="TimesNewRomanPSMT" w:cs="TimesNewRomanPSMT"/>
          <w:sz w:val="24"/>
          <w:szCs w:val="24"/>
        </w:rPr>
        <w:t>. Pada tahun 1930, Hamka menjadi seorang</w:t>
      </w:r>
      <w:r w:rsidRPr="00580B62">
        <w:rPr>
          <w:rFonts w:ascii="TimesNewRomanPS-ItalicMT" w:hAnsi="TimesNewRomanPS-ItalicMT" w:cs="TimesNewRomanPS-ItalicMT"/>
          <w:i/>
          <w:iCs/>
          <w:sz w:val="24"/>
          <w:szCs w:val="24"/>
        </w:rPr>
        <w:t xml:space="preserve"> </w:t>
      </w:r>
      <w:r w:rsidRPr="00580B62">
        <w:rPr>
          <w:rFonts w:ascii="TimesNewRomanPSMT" w:hAnsi="TimesNewRomanPSMT" w:cs="TimesNewRomanPSMT"/>
          <w:sz w:val="24"/>
          <w:szCs w:val="24"/>
        </w:rPr>
        <w:t xml:space="preserve">koresponden sebuah surat kabar </w:t>
      </w:r>
      <w:r w:rsidRPr="00580B62">
        <w:rPr>
          <w:rFonts w:ascii="TimesNewRomanPS-ItalicMT" w:hAnsi="TimesNewRomanPS-ItalicMT" w:cs="TimesNewRomanPS-ItalicMT"/>
          <w:i/>
          <w:iCs/>
          <w:sz w:val="24"/>
          <w:szCs w:val="24"/>
        </w:rPr>
        <w:t>Pembela Islam</w:t>
      </w:r>
      <w:r w:rsidRPr="00580B62">
        <w:rPr>
          <w:rFonts w:ascii="TimesNewRomanPSMT" w:hAnsi="TimesNewRomanPSMT" w:cs="TimesNewRomanPSMT"/>
          <w:sz w:val="24"/>
          <w:szCs w:val="24"/>
        </w:rPr>
        <w:t>, Bandung. Tahun 1932, dia berkerja sebagai</w:t>
      </w:r>
      <w:r w:rsidRPr="00580B62">
        <w:rPr>
          <w:rFonts w:ascii="TimesNewRomanPS-ItalicMT" w:hAnsi="TimesNewRomanPS-ItalicMT" w:cs="TimesNewRomanPS-ItalicMT"/>
          <w:i/>
          <w:iCs/>
          <w:sz w:val="24"/>
          <w:szCs w:val="24"/>
        </w:rPr>
        <w:t xml:space="preserve"> </w:t>
      </w:r>
      <w:r w:rsidRPr="00580B62">
        <w:rPr>
          <w:rFonts w:ascii="TimesNewRomanPSMT" w:hAnsi="TimesNewRomanPSMT" w:cs="TimesNewRomanPSMT"/>
          <w:sz w:val="24"/>
          <w:szCs w:val="24"/>
        </w:rPr>
        <w:t xml:space="preserve">penerbit dan juga editor dari sebuah majalah Makassar, bernama </w:t>
      </w:r>
      <w:r w:rsidRPr="00580B62">
        <w:rPr>
          <w:rFonts w:ascii="TimesNewRomanPS-ItalicMT" w:hAnsi="TimesNewRomanPS-ItalicMT" w:cs="TimesNewRomanPS-ItalicMT"/>
          <w:i/>
          <w:iCs/>
          <w:sz w:val="24"/>
          <w:szCs w:val="24"/>
        </w:rPr>
        <w:t xml:space="preserve">Al-Mahdi. </w:t>
      </w:r>
      <w:r w:rsidRPr="00580B62">
        <w:rPr>
          <w:rFonts w:ascii="TimesNewRomanPSMT" w:hAnsi="TimesNewRomanPSMT" w:cs="TimesNewRomanPSMT"/>
          <w:sz w:val="24"/>
          <w:szCs w:val="24"/>
        </w:rPr>
        <w:t>Dari tahun 1936</w:t>
      </w:r>
      <w:r w:rsidRPr="00580B62">
        <w:rPr>
          <w:rFonts w:ascii="TimesNewRomanPS-ItalicMT" w:hAnsi="TimesNewRomanPS-ItalicMT" w:cs="TimesNewRomanPS-ItalicMT"/>
          <w:i/>
          <w:iCs/>
          <w:sz w:val="24"/>
          <w:szCs w:val="24"/>
        </w:rPr>
        <w:t xml:space="preserve"> </w:t>
      </w:r>
      <w:r w:rsidRPr="00580B62">
        <w:rPr>
          <w:rFonts w:ascii="TimesNewRomanPSMT" w:hAnsi="TimesNewRomanPSMT" w:cs="TimesNewRomanPSMT"/>
          <w:sz w:val="24"/>
          <w:szCs w:val="24"/>
        </w:rPr>
        <w:t xml:space="preserve">– 1943, Hamka menjadi pimpinan editor dari </w:t>
      </w:r>
      <w:r w:rsidRPr="00580B62">
        <w:rPr>
          <w:rFonts w:ascii="TimesNewRomanPS-ItalicMT" w:hAnsi="TimesNewRomanPS-ItalicMT" w:cs="TimesNewRomanPS-ItalicMT"/>
          <w:i/>
          <w:iCs/>
          <w:sz w:val="24"/>
          <w:szCs w:val="24"/>
        </w:rPr>
        <w:t xml:space="preserve">Pedoman Masyarakat </w:t>
      </w:r>
      <w:r w:rsidRPr="00580B62">
        <w:rPr>
          <w:rFonts w:ascii="TimesNewRomanPSMT" w:hAnsi="TimesNewRomanPSMT" w:cs="TimesNewRomanPSMT"/>
          <w:sz w:val="24"/>
          <w:szCs w:val="24"/>
        </w:rPr>
        <w:t>yang berbasis di Medan.</w:t>
      </w:r>
      <w:r w:rsidRPr="00580B62">
        <w:rPr>
          <w:rFonts w:ascii="TimesNewRomanPS-ItalicMT" w:hAnsi="TimesNewRomanPS-ItalicMT" w:cs="TimesNewRomanPS-ItalicMT"/>
          <w:i/>
          <w:iCs/>
          <w:sz w:val="24"/>
          <w:szCs w:val="24"/>
        </w:rPr>
        <w:t xml:space="preserve"> </w:t>
      </w:r>
      <w:r w:rsidRPr="00580B62">
        <w:rPr>
          <w:rFonts w:ascii="TimesNewRomanPSMT" w:hAnsi="TimesNewRomanPSMT" w:cs="TimesNewRomanPSMT"/>
          <w:sz w:val="24"/>
          <w:szCs w:val="24"/>
        </w:rPr>
        <w:t xml:space="preserve">Dari tahun 1959 sampai wafat, beliau menjadi pemimpin Majalah </w:t>
      </w:r>
      <w:r w:rsidRPr="00580B62">
        <w:rPr>
          <w:rFonts w:ascii="TimesNewRomanPS-ItalicMT" w:hAnsi="TimesNewRomanPS-ItalicMT" w:cs="TimesNewRomanPS-ItalicMT"/>
          <w:i/>
          <w:iCs/>
          <w:sz w:val="24"/>
          <w:szCs w:val="24"/>
        </w:rPr>
        <w:t xml:space="preserve">Panji Masyarakat </w:t>
      </w:r>
      <w:r w:rsidRPr="00580B62">
        <w:rPr>
          <w:rFonts w:ascii="TimesNewRomanPSMT" w:hAnsi="TimesNewRomanPSMT" w:cs="TimesNewRomanPSMT"/>
          <w:sz w:val="24"/>
          <w:szCs w:val="24"/>
        </w:rPr>
        <w:t>yang</w:t>
      </w:r>
      <w:r w:rsidRPr="00580B62">
        <w:rPr>
          <w:rFonts w:ascii="TimesNewRomanPS-ItalicMT" w:hAnsi="TimesNewRomanPS-ItalicMT" w:cs="TimesNewRomanPS-ItalicMT"/>
          <w:i/>
          <w:iCs/>
          <w:sz w:val="24"/>
          <w:szCs w:val="24"/>
        </w:rPr>
        <w:t xml:space="preserve"> </w:t>
      </w:r>
      <w:r w:rsidRPr="00580B62">
        <w:rPr>
          <w:rFonts w:ascii="TimesNewRomanPSMT" w:hAnsi="TimesNewRomanPSMT" w:cs="TimesNewRomanPSMT"/>
          <w:sz w:val="24"/>
          <w:szCs w:val="24"/>
        </w:rPr>
        <w:t>berbasis di Jakarta.</w:t>
      </w:r>
      <w:r w:rsidRPr="00580B62">
        <w:rPr>
          <w:rStyle w:val="FootnoteReference"/>
          <w:rFonts w:ascii="TimesNewRomanPSMT" w:hAnsi="TimesNewRomanPSMT" w:cs="TimesNewRomanPSMT"/>
          <w:sz w:val="24"/>
          <w:szCs w:val="24"/>
        </w:rPr>
        <w:footnoteReference w:id="477"/>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 xml:space="preserve">Pada tahun 1943 Hamka menjabat sebagai Konsul Muhammadiyah Sumatera Timur. Tahun 1947 sebagai ketua Front Pertahanan Nasional (FPN). Tahun 1948 sebagai ketua Sekretariat Bersama Badan Pengawal Negeri dan Kota ( BPNK), lalu pada tahun 1950 Hamka diangkat menjadi pegawai Negeri pada Departemen Agama RI di Jakarta. Tahun 1955 sampai 1957 ia terpilih menjadi Anggota Konsutituante Republik Indonesia. Mulai tahun 1960 Hamka dipercaya sebagai pengurus pusat Muhammadiyah. Pada tahun 1968 ia ditunjuk sebagai Dekan Fakultas Ushuludin Universitas Prof. Moestopo Beragama. Tahun 1975 sampai 1979 ia dipercaya oleh para ulama sebagai Ketua Majelis Ulama Indonesia ( MUI), di tahun yang sama Hamka juga menjabat sebagai ketua Umum Yayasan pesantren Islam Al-Azhar selama dua periode. Pada Tahun 1986 yaitu lima tahun setelah Hamka wafat, beliau mendapat gelar Bintang Mahaputera Madya dari Pemerintah RI, dan tahun 2011, Hamka mendapat penghormatan dari Pemerintah Republik Indonesia sebagai Pahlawan Nasional. </w:t>
      </w:r>
      <w:r w:rsidRPr="00580B62">
        <w:rPr>
          <w:rStyle w:val="FootnoteReference"/>
          <w:rFonts w:asciiTheme="majorBidi" w:hAnsiTheme="majorBidi" w:cstheme="majorBidi"/>
          <w:sz w:val="24"/>
          <w:szCs w:val="24"/>
        </w:rPr>
        <w:footnoteReference w:id="478"/>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 xml:space="preserve">Pandangan Hamka terhadap hukum Islam bersifat dinamis. Ia mengetakan bahwa orang dapat menunda atau menyesuaikan pelaksanaan hukum Islam tertentu apabila keadaan sosial-budaya dan politik mengharuskan demikian. Ia menunjuk pada khalifah Umar ibn Khatthab sebagai contoh yang baik sebagai seorang muslim yang dapat memahami semangat hukum Islam ( </w:t>
      </w:r>
      <w:r w:rsidRPr="00580B62">
        <w:rPr>
          <w:rFonts w:asciiTheme="majorBidi" w:hAnsiTheme="majorBidi" w:cstheme="majorBidi"/>
          <w:i/>
          <w:iCs/>
          <w:sz w:val="24"/>
          <w:szCs w:val="24"/>
        </w:rPr>
        <w:t>ruh as-syari’ah</w:t>
      </w:r>
      <w:r w:rsidRPr="00580B62">
        <w:rPr>
          <w:rFonts w:asciiTheme="majorBidi" w:hAnsiTheme="majorBidi" w:cstheme="majorBidi"/>
          <w:sz w:val="24"/>
          <w:szCs w:val="24"/>
        </w:rPr>
        <w:t xml:space="preserve">) dengan menolak memberikan sebagian dari zakat kepada orang-orang bukan Islam </w:t>
      </w:r>
      <w:r w:rsidRPr="00580B62">
        <w:rPr>
          <w:rFonts w:asciiTheme="majorBidi" w:hAnsiTheme="majorBidi" w:cstheme="majorBidi"/>
          <w:sz w:val="24"/>
          <w:szCs w:val="24"/>
        </w:rPr>
        <w:lastRenderedPageBreak/>
        <w:t xml:space="preserve">yang diharapkan akan masuk Islam atau yang baru masuk Islam ( </w:t>
      </w:r>
      <w:r w:rsidRPr="00580B62">
        <w:rPr>
          <w:rFonts w:asciiTheme="majorBidi" w:hAnsiTheme="majorBidi" w:cstheme="majorBidi"/>
          <w:i/>
          <w:iCs/>
          <w:sz w:val="24"/>
          <w:szCs w:val="24"/>
        </w:rPr>
        <w:t>muallafati qulubuhum</w:t>
      </w:r>
      <w:r w:rsidRPr="00580B62">
        <w:rPr>
          <w:rFonts w:asciiTheme="majorBidi" w:hAnsiTheme="majorBidi" w:cstheme="majorBidi"/>
          <w:sz w:val="24"/>
          <w:szCs w:val="24"/>
        </w:rPr>
        <w:t>) dan menghapuskan pelaksanaan hukuman potong tangan atas pencuri pada musim paceklik.</w:t>
      </w:r>
      <w:r w:rsidRPr="00580B62">
        <w:rPr>
          <w:rStyle w:val="FootnoteReference"/>
          <w:rFonts w:asciiTheme="majorBidi" w:hAnsiTheme="majorBidi" w:cstheme="majorBidi"/>
          <w:sz w:val="24"/>
          <w:szCs w:val="24"/>
        </w:rPr>
        <w:footnoteReference w:id="479"/>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 xml:space="preserve">Pada tahun 1981, Buya Hamka mengundurkan diri dari jabatan ketua umum MUI, dan digantikan oleh KH. M. Syukri Ghazali ( 1980-1985) dengan Sekretaris Umum H.A Burhani Tjokrohondoko. M. Syukri Ghazali adalah Kyai NU yang lahir pada tahun 1906 ini terkenal dengan keramahan dan keluasan ilmu syari’ahnya. Beliau lahir pada tahun 1906 di Jawa tengah dan dalam usia 15 tahun pergi naik haji ke Mekkah. Pada tahun 1927 ia menjadi guru di sebuah Madrarash Ibtidaiyah di Solo Jawa Tengah. Dari tahun 1932 hingga 1945 ia adalah guru sekolah Menengah Atas di Malang, Jawa Timur. Pada tahun 1944 ia terpilih selaku salah seorang wakil ketua Pengurus Besar Nahdhatul Ulama. Pada tahun 1949 ia diangkat sebagai Kepala Kantor Urusan Agama Islam Provinsi di Makasar, Sulawesi Selatan. 1953 ia dipindahkan ke Jakarta untuk mengepalai Kantor Pusat Urusan Agama Islam. Pada tahun 1955 hingga tahun 1959 ia terpilih sebagai anggota Konstituante mewakili Nahdatul Ulama. Beliau pernah menjadi Dekan Fakultas Syari’ah IAIN Syarif Hidayatullah. Dan pada tahun 1978 ia dipilih menjadi Rektor Perguruan Tinggi Ilmu Al-Quran ( PTIQ) di Jakarta. </w:t>
      </w:r>
      <w:r w:rsidRPr="00580B62">
        <w:rPr>
          <w:rStyle w:val="FootnoteReference"/>
          <w:rFonts w:asciiTheme="majorBidi" w:hAnsiTheme="majorBidi" w:cstheme="majorBidi"/>
          <w:sz w:val="24"/>
          <w:szCs w:val="24"/>
        </w:rPr>
        <w:footnoteReference w:id="480"/>
      </w:r>
      <w:r w:rsidRPr="00580B62">
        <w:rPr>
          <w:rFonts w:asciiTheme="majorBidi" w:hAnsiTheme="majorBidi" w:cstheme="majorBidi"/>
          <w:sz w:val="24"/>
          <w:szCs w:val="24"/>
        </w:rPr>
        <w:t xml:space="preserve"> Beliau memimpin MUI selama tiga tahun, dan meninggal pada 1984 ketika masih menjabat sebagai Ketua Umum. Pada periode ini dilakukan penyempurnaan Pedoman Dasar dan Pedoman Rumah Tangga MUI</w:t>
      </w:r>
      <w:r w:rsidRPr="00580B62">
        <w:rPr>
          <w:rStyle w:val="FootnoteReference"/>
          <w:rFonts w:asciiTheme="majorBidi" w:hAnsiTheme="majorBidi" w:cstheme="majorBidi"/>
          <w:sz w:val="24"/>
          <w:szCs w:val="24"/>
        </w:rPr>
        <w:footnoteReference w:id="481"/>
      </w:r>
      <w:r w:rsidRPr="00580B62">
        <w:rPr>
          <w:rFonts w:asciiTheme="majorBidi" w:hAnsiTheme="majorBidi" w:cstheme="majorBidi"/>
          <w:sz w:val="24"/>
          <w:szCs w:val="24"/>
        </w:rPr>
        <w:t xml:space="preserve">. </w:t>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Ketua Umum ketiga adalah K.H. Hasan Basri ( 1985-1990) dengan sekretaris umum H.S Prodjokusumo. K.H. Hasan Basri seorang Dai dan Imam Masjid al-Azhar Jakarta. Beliau tidak pernah mengenyam pendidikan Universitas dan memulai karirnya dari Muhammadiyah dan Masyumi. Beliau menegaskan bahwa MUI berfungsi sebagai pengawas (</w:t>
      </w:r>
      <w:r w:rsidRPr="00580B62">
        <w:rPr>
          <w:rFonts w:asciiTheme="majorBidi" w:hAnsiTheme="majorBidi" w:cstheme="majorBidi"/>
          <w:i/>
          <w:iCs/>
          <w:sz w:val="24"/>
          <w:szCs w:val="24"/>
        </w:rPr>
        <w:t>wacth dog</w:t>
      </w:r>
      <w:r w:rsidRPr="00580B62">
        <w:rPr>
          <w:rFonts w:asciiTheme="majorBidi" w:hAnsiTheme="majorBidi" w:cstheme="majorBidi"/>
          <w:sz w:val="24"/>
          <w:szCs w:val="24"/>
        </w:rPr>
        <w:t xml:space="preserve">) supaya tidak ada hukum </w:t>
      </w:r>
      <w:r w:rsidRPr="00580B62">
        <w:rPr>
          <w:rFonts w:asciiTheme="majorBidi" w:hAnsiTheme="majorBidi" w:cstheme="majorBidi"/>
          <w:sz w:val="24"/>
          <w:szCs w:val="24"/>
        </w:rPr>
        <w:lastRenderedPageBreak/>
        <w:t xml:space="preserve">dalam Negara ini yang bertentangan dengan ajaran Islam. Fungsi utama MUI pada periode ini lebih diutamakan pada usaha tuntunan dan bimbingan umat dalam kehidupan beragama, bermasyarakat, dan berbangsa serta memperkokoh </w:t>
      </w:r>
      <w:r w:rsidRPr="00580B62">
        <w:rPr>
          <w:rFonts w:asciiTheme="majorBidi" w:hAnsiTheme="majorBidi" w:cstheme="majorBidi"/>
          <w:i/>
          <w:iCs/>
          <w:sz w:val="24"/>
          <w:szCs w:val="24"/>
        </w:rPr>
        <w:t>Ukhuwah Islamiyyah</w:t>
      </w:r>
      <w:r w:rsidRPr="00580B62">
        <w:rPr>
          <w:rFonts w:asciiTheme="majorBidi" w:hAnsiTheme="majorBidi" w:cstheme="majorBidi"/>
          <w:sz w:val="24"/>
          <w:szCs w:val="24"/>
        </w:rPr>
        <w:t>.</w:t>
      </w:r>
      <w:r w:rsidRPr="00580B62">
        <w:rPr>
          <w:rStyle w:val="FootnoteReference"/>
          <w:rFonts w:asciiTheme="majorBidi" w:hAnsiTheme="majorBidi" w:cstheme="majorBidi"/>
          <w:sz w:val="24"/>
          <w:szCs w:val="24"/>
        </w:rPr>
        <w:footnoteReference w:id="482"/>
      </w:r>
    </w:p>
    <w:p w:rsidR="00343B61" w:rsidRPr="00580B6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580B62">
        <w:rPr>
          <w:rFonts w:asciiTheme="majorBidi" w:hAnsiTheme="majorBidi" w:cstheme="majorBidi"/>
          <w:sz w:val="24"/>
          <w:szCs w:val="24"/>
        </w:rPr>
        <w:t>KH. Hasan Basri memperoleh amanah untuk memimpin MUI hingga tahun 2000, namun pada 1998 beliau meninggal dunia. Sebagai penggantinya, disepakati untuk meminta kesediaan Prof. K.H. Ali Yafie memegang amanah sebagai Ketua Umum MUI yang keempat (1998-2000). Beliau adalah seorang profesor dari Institut Ilmu Al-Qur’ān Jakarta yang dikenal luas sebagai sosok Ulama yang cendekia.</w:t>
      </w:r>
      <w:r w:rsidRPr="00580B62">
        <w:rPr>
          <w:rStyle w:val="FootnoteReference"/>
          <w:rFonts w:asciiTheme="majorBidi" w:hAnsiTheme="majorBidi" w:cstheme="majorBidi"/>
          <w:sz w:val="24"/>
          <w:szCs w:val="24"/>
        </w:rPr>
        <w:footnoteReference w:id="483"/>
      </w:r>
      <w:r w:rsidRPr="00580B62">
        <w:rPr>
          <w:rFonts w:asciiTheme="majorBidi" w:hAnsiTheme="majorBidi" w:cstheme="majorBidi"/>
          <w:sz w:val="24"/>
          <w:szCs w:val="24"/>
        </w:rPr>
        <w:t xml:space="preserve"> </w:t>
      </w:r>
    </w:p>
    <w:p w:rsidR="00343B61" w:rsidRPr="00CE311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E3114">
        <w:rPr>
          <w:rFonts w:asciiTheme="majorBidi" w:hAnsiTheme="majorBidi" w:cstheme="majorBidi"/>
          <w:sz w:val="24"/>
          <w:szCs w:val="24"/>
        </w:rPr>
        <w:t>KH. Ali Yafie (lahir di Donggala, Sulawesi Tengah, 1 September 1926. Beliau adalah seorang ulama fiqh. Ia adalah tokoh Nahdlatul Ulama, dan pernah menjabat sebagai pejabat sementara Rais Aam (1991-1992). Ia aktif sebagai pengasuh Pondok Pesantren Darul Dakwah Al Irsyad, Pare-Pare, Sulawesi Selatan yang didirikannya tahun 1947, serta sebagai anggota dewan penasehat untuk Ikatan Cendekiawan Muslim Indonesia (ICMI). Ali Yafie memperoleh pendidikan pertamanya pada sekolah dasar umum, yang dilanjutkan dengan pendidikan di Madrasah As’adiyah yang terkenal di Sengkang, Sulawesi Selatan. Spesialisasinya adalah pada ilmu fiqh dan dikenal luas sebagai seorang ahli dalam bidang ini. Ia mengabdikan diri sebagai hakim di Pengadilan Agama Ujung Pandang sejak 1959 sampai 1962, kemudian inspektorat Pengadilan Agama Indonesia Timur (1962-1965). Sejak 1965 hingga 1971, ia menjadi dekan di fakultas Ushuluddin IAIN Ujung Pandang, dan pernah duduk menjadi anggota DPR sampai 1987.</w:t>
      </w:r>
      <w:r w:rsidRPr="00CE3114">
        <w:rPr>
          <w:rStyle w:val="FootnoteReference"/>
          <w:rFonts w:asciiTheme="majorBidi" w:hAnsiTheme="majorBidi" w:cstheme="majorBidi"/>
          <w:sz w:val="24"/>
          <w:szCs w:val="24"/>
        </w:rPr>
        <w:footnoteReference w:id="484"/>
      </w:r>
    </w:p>
    <w:p w:rsidR="00343B61" w:rsidRPr="00CE311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E3114">
        <w:rPr>
          <w:rFonts w:asciiTheme="majorBidi" w:hAnsiTheme="majorBidi" w:cstheme="majorBidi"/>
          <w:sz w:val="24"/>
          <w:szCs w:val="24"/>
        </w:rPr>
        <w:t>Setelah itu Ketua Umum MUI dijabat oleh K.H. MA. Sahal Mahfudh, seorang ahli fiqh yang mendapat gelar Doktor Honoris Causa dari Universitas Islam Negeri Syarif Hidayatullah Jakarta.</w:t>
      </w:r>
      <w:r w:rsidRPr="00CE3114">
        <w:rPr>
          <w:rStyle w:val="FootnoteReference"/>
          <w:rFonts w:asciiTheme="majorBidi" w:hAnsiTheme="majorBidi" w:cstheme="majorBidi"/>
          <w:sz w:val="24"/>
          <w:szCs w:val="24"/>
        </w:rPr>
        <w:footnoteReference w:id="485"/>
      </w:r>
      <w:r w:rsidRPr="00CE3114">
        <w:rPr>
          <w:rFonts w:asciiTheme="majorBidi" w:hAnsiTheme="majorBidi" w:cstheme="majorBidi"/>
          <w:sz w:val="24"/>
          <w:szCs w:val="24"/>
        </w:rPr>
        <w:t xml:space="preserve"> Ia  lahir di Kajen, Kabupaten Pati, </w:t>
      </w:r>
      <w:r w:rsidRPr="00CE3114">
        <w:rPr>
          <w:rFonts w:asciiTheme="majorBidi" w:hAnsiTheme="majorBidi" w:cstheme="majorBidi"/>
          <w:sz w:val="24"/>
          <w:szCs w:val="24"/>
        </w:rPr>
        <w:lastRenderedPageBreak/>
        <w:t>Jawa Tengah, 17 Desember 1937, menjadi Ketua Umum Dewan Pimpinan MUI pada Juni 2000 sampai tahun 2005. Kiai Sahal adalah pemimpin Pesantren Maslakul Huda (PMH) sejak tahun 1963. Pesantren di Kajen Margoyoso (Pati, Jawa Tengah) ini didirikan ayahnya, KH Mahfudh Salam, pada 1910. Selain itu Kiai Sahal adalah rektor Institut Islam Nahdlatul Ulama (INISNU), Jepara, Jawa Tengah sejak tahun 1989.</w:t>
      </w:r>
      <w:r w:rsidRPr="00CE3114">
        <w:rPr>
          <w:rStyle w:val="FootnoteReference"/>
          <w:rFonts w:asciiTheme="majorBidi" w:hAnsiTheme="majorBidi" w:cstheme="majorBidi"/>
          <w:sz w:val="24"/>
          <w:szCs w:val="24"/>
        </w:rPr>
        <w:footnoteReference w:id="486"/>
      </w:r>
    </w:p>
    <w:p w:rsidR="00343B61" w:rsidRPr="00CE311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E3114">
        <w:rPr>
          <w:rFonts w:asciiTheme="majorBidi" w:hAnsiTheme="majorBidi" w:cstheme="majorBidi"/>
          <w:sz w:val="24"/>
          <w:szCs w:val="24"/>
        </w:rPr>
        <w:t>Pada Jumat 24 Januari 2014 KH. Sahal Mahfudz  meninggal dunia, dan Pro</w:t>
      </w:r>
      <w:r w:rsidRPr="00CE3114">
        <w:rPr>
          <w:rFonts w:asciiTheme="majorBidi" w:hAnsiTheme="majorBidi" w:cstheme="majorBidi"/>
          <w:noProof/>
          <w:sz w:val="24"/>
          <w:szCs w:val="24"/>
        </w:rPr>
        <w:t>f</w:t>
      </w:r>
      <w:r w:rsidRPr="00CE3114">
        <w:rPr>
          <w:rFonts w:asciiTheme="majorBidi" w:hAnsiTheme="majorBidi" w:cstheme="majorBidi"/>
          <w:sz w:val="24"/>
          <w:szCs w:val="24"/>
        </w:rPr>
        <w:t xml:space="preserve">. Dr. KH. Muhammad Sirajuddin Syamsuddin, atau dikenal dengan Din Syamsuddin diamanati untuk menjadi Ketua Umum Majelis Ulama Indonesia Pusat, menggantikan Dr (HC). KH. Sahal Mahfudz. Ia lahir di Sumbawa, Nusa Tenggara Barat, 31 Agustus 1958, menempuh pendidikan mulai dari: Pondok Modern Darussalam Gontor Jawa Timur (1975), IAIN Syarif Hidayatullah, Jakarta, Sarjana Muda, Fakultas Ushuluddin (BA, 1980), IAIN Syarif Hidayatullah, Jakarta, Fakultas Ushuluddin Jurusan Perbandingan Agama (Drs, 1980). University of California, Los Angeles (UCLA) di Amerika Serikat, </w:t>
      </w:r>
      <w:r w:rsidRPr="005D2982">
        <w:rPr>
          <w:rFonts w:asciiTheme="majorBidi" w:hAnsiTheme="majorBidi" w:cstheme="majorBidi"/>
          <w:i/>
          <w:iCs/>
          <w:sz w:val="24"/>
          <w:szCs w:val="24"/>
        </w:rPr>
        <w:t>Interdepartmental Programme in Islamic Studies</w:t>
      </w:r>
      <w:r w:rsidRPr="00CE3114">
        <w:rPr>
          <w:rFonts w:asciiTheme="majorBidi" w:hAnsiTheme="majorBidi" w:cstheme="majorBidi"/>
          <w:sz w:val="24"/>
          <w:szCs w:val="24"/>
        </w:rPr>
        <w:t xml:space="preserve"> (MA, 1988). University of California, Los Angeles (UCLA) di Amerika Serikat, </w:t>
      </w:r>
      <w:r w:rsidRPr="005D2982">
        <w:rPr>
          <w:rFonts w:asciiTheme="majorBidi" w:hAnsiTheme="majorBidi" w:cstheme="majorBidi"/>
          <w:i/>
          <w:iCs/>
          <w:sz w:val="24"/>
          <w:szCs w:val="24"/>
        </w:rPr>
        <w:t>Interdepartmental Programme in Islamic Studies</w:t>
      </w:r>
      <w:r w:rsidRPr="00CE3114">
        <w:rPr>
          <w:rFonts w:asciiTheme="majorBidi" w:hAnsiTheme="majorBidi" w:cstheme="majorBidi"/>
          <w:sz w:val="24"/>
          <w:szCs w:val="24"/>
        </w:rPr>
        <w:t xml:space="preserve"> (Ph.D, 1991).</w:t>
      </w:r>
    </w:p>
    <w:p w:rsidR="00343B61" w:rsidRPr="00CE311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E3114">
        <w:rPr>
          <w:rFonts w:asciiTheme="majorBidi" w:hAnsiTheme="majorBidi" w:cstheme="majorBidi"/>
          <w:sz w:val="24"/>
          <w:szCs w:val="24"/>
        </w:rPr>
        <w:t>Selain itu, dia menjabat sebagai Ketua Umum Pimpinan Pusat Muhammadiyah sejak periode 2005-2010 dan berikutnya. Sebagai ketua PP Muhammadiyah, ia seringkali diundang untuk menghadiri berbagai macam konferensi tingkat internasional berkenaan dengan masalah hubungan antara umat beragama dan perdamaian. Ia dipandang sebagai sosok pemimpin umat Islam bukan hanya karena dia Ketua Umum Muhammadiyah, tetapi lebih dari itu karena kemampuannya untuk melakukan dialog dengan seluruh elemen umat beragama baik antar sesama umat Islam, maupun dengan umat beragama lainnya.</w:t>
      </w:r>
      <w:r w:rsidRPr="00CE3114">
        <w:rPr>
          <w:rStyle w:val="FootnoteReference"/>
          <w:rFonts w:asciiTheme="majorBidi" w:hAnsiTheme="majorBidi" w:cstheme="majorBidi"/>
          <w:sz w:val="24"/>
          <w:szCs w:val="24"/>
        </w:rPr>
        <w:footnoteReference w:id="487"/>
      </w:r>
      <w:r w:rsidRPr="00CE3114">
        <w:rPr>
          <w:rFonts w:asciiTheme="majorBidi" w:hAnsiTheme="majorBidi" w:cstheme="majorBidi"/>
          <w:sz w:val="24"/>
          <w:szCs w:val="24"/>
        </w:rPr>
        <w:t xml:space="preserve"> </w:t>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color w:val="000000" w:themeColor="text1"/>
          <w:sz w:val="24"/>
          <w:szCs w:val="24"/>
        </w:rPr>
        <w:t xml:space="preserve">Kemudian setelah Din Syamsudin, Pimpinan MUI berikutnya di amanati kepada  </w:t>
      </w:r>
      <w:hyperlink r:id="rId9" w:history="1">
        <w:r w:rsidRPr="008C0CCF">
          <w:rPr>
            <w:rFonts w:asciiTheme="majorBidi" w:hAnsiTheme="majorBidi" w:cstheme="majorBidi"/>
            <w:color w:val="000000" w:themeColor="text1"/>
            <w:kern w:val="36"/>
            <w:sz w:val="24"/>
            <w:szCs w:val="24"/>
          </w:rPr>
          <w:t>KH. Ma’ruf Amin (Masa Khidmat 2015-2020</w:t>
        </w:r>
      </w:hyperlink>
      <w:r w:rsidRPr="008C0CCF">
        <w:rPr>
          <w:rFonts w:asciiTheme="majorBidi" w:hAnsiTheme="majorBidi" w:cstheme="majorBidi"/>
          <w:color w:val="000000" w:themeColor="text1"/>
          <w:sz w:val="24"/>
          <w:szCs w:val="24"/>
        </w:rPr>
        <w:t xml:space="preserve">).  </w:t>
      </w:r>
      <w:r w:rsidRPr="008C0CCF">
        <w:rPr>
          <w:rFonts w:asciiTheme="majorBidi" w:hAnsiTheme="majorBidi" w:cstheme="majorBidi"/>
          <w:sz w:val="24"/>
          <w:szCs w:val="24"/>
        </w:rPr>
        <w:t xml:space="preserve">KH. Ma’ruf Amin termasuk ulama ahli fiqh yang amat disegani di negeri ini. Boleh dikatakan, ia </w:t>
      </w:r>
      <w:r w:rsidRPr="008C0CCF">
        <w:rPr>
          <w:rFonts w:asciiTheme="majorBidi" w:hAnsiTheme="majorBidi" w:cstheme="majorBidi"/>
          <w:sz w:val="24"/>
          <w:szCs w:val="24"/>
        </w:rPr>
        <w:lastRenderedPageBreak/>
        <w:t>ulama multitalenta yang menguasai banyak persoalan, di samping fiqh. Ia dikenal responsif menghadapi berbagai persoalan umat. Pria yang sering menyampaikan fatwa–fatwa Majelis Ulama Indonesia ini memang cukup lama menjadi pengurus Komisi Fatwa MUI Pusat, dari tahun 2000 sampai 2007.</w:t>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Ma’ruf Amin merupakan seorang politikus sekaligus ulama besar di Indonesia. Ia</w:t>
      </w:r>
      <w:r w:rsidRPr="008C0CCF">
        <w:rPr>
          <w:rFonts w:asciiTheme="majorBidi" w:hAnsiTheme="majorBidi" w:cstheme="majorBidi"/>
          <w:color w:val="000000" w:themeColor="text1"/>
          <w:sz w:val="24"/>
          <w:szCs w:val="24"/>
        </w:rPr>
        <w:t xml:space="preserve"> </w:t>
      </w:r>
      <w:r w:rsidRPr="008C0CCF">
        <w:rPr>
          <w:rFonts w:asciiTheme="majorBidi" w:hAnsiTheme="majorBidi" w:cstheme="majorBidi"/>
          <w:sz w:val="24"/>
          <w:szCs w:val="24"/>
        </w:rPr>
        <w:t>mengemban jabatan anggota Dewan Pertimbangan Presiden dalam dua periode berturut-turut. Di periode pertama, ia dilantik pada 10 April 2007. Sedangkan pada periode kedua, pelantikannya dilaksanakan pada 25 Januari 2010.</w:t>
      </w:r>
      <w:r w:rsidRPr="008C0CCF">
        <w:rPr>
          <w:rFonts w:asciiTheme="majorBidi" w:hAnsiTheme="majorBidi" w:cstheme="majorBidi"/>
          <w:color w:val="000000" w:themeColor="text1"/>
          <w:sz w:val="24"/>
          <w:szCs w:val="24"/>
        </w:rPr>
        <w:t xml:space="preserve"> </w:t>
      </w:r>
      <w:r w:rsidRPr="008C0CCF">
        <w:rPr>
          <w:rFonts w:asciiTheme="majorBidi" w:hAnsiTheme="majorBidi" w:cstheme="majorBidi"/>
          <w:sz w:val="24"/>
          <w:szCs w:val="24"/>
        </w:rPr>
        <w:t>Dalam perjalanan karirnya, kyai yang lahir di Tangerang, Banten, pada 11 Maret 1943 ini, pernah menjabat posisi penting seperti Ketua Fraksi Golongan Islam DPRD DKI Jakarta, anggota MPR-RI, ketua komisi VI DPR-RI dan masih banyak lagi.</w:t>
      </w:r>
      <w:r w:rsidRPr="008C0CCF">
        <w:rPr>
          <w:rStyle w:val="FootnoteReference"/>
          <w:rFonts w:asciiTheme="majorBidi" w:hAnsiTheme="majorBidi" w:cstheme="majorBidi"/>
          <w:sz w:val="24"/>
          <w:szCs w:val="24"/>
        </w:rPr>
        <w:footnoteReference w:id="488"/>
      </w:r>
    </w:p>
    <w:p w:rsidR="00343B61" w:rsidRDefault="00343B61" w:rsidP="00343B61">
      <w:pPr>
        <w:autoSpaceDE w:val="0"/>
        <w:autoSpaceDN w:val="0"/>
        <w:adjustRightInd w:val="0"/>
        <w:spacing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 xml:space="preserve">Dari tujuh ketua umum MUI tersebut, paling tidak ada tiga kesamaan; </w:t>
      </w:r>
      <w:r w:rsidRPr="008C0CCF">
        <w:rPr>
          <w:rFonts w:asciiTheme="majorBidi" w:hAnsiTheme="majorBidi" w:cstheme="majorBidi"/>
          <w:i/>
          <w:iCs/>
          <w:sz w:val="24"/>
          <w:szCs w:val="24"/>
        </w:rPr>
        <w:t>pertama</w:t>
      </w:r>
      <w:r w:rsidRPr="008C0CCF">
        <w:rPr>
          <w:rFonts w:asciiTheme="majorBidi" w:hAnsiTheme="majorBidi" w:cstheme="majorBidi"/>
          <w:sz w:val="24"/>
          <w:szCs w:val="24"/>
        </w:rPr>
        <w:t xml:space="preserve">, hanya satu (Din Syamsudin) dari mereka pernah mengenyam bangku universitas; </w:t>
      </w:r>
      <w:r w:rsidRPr="008C0CCF">
        <w:rPr>
          <w:rFonts w:asciiTheme="majorBidi" w:hAnsiTheme="majorBidi" w:cstheme="majorBidi"/>
          <w:i/>
          <w:iCs/>
          <w:sz w:val="24"/>
          <w:szCs w:val="24"/>
        </w:rPr>
        <w:t>kedua</w:t>
      </w:r>
      <w:r w:rsidRPr="008C0CCF">
        <w:rPr>
          <w:rFonts w:asciiTheme="majorBidi" w:hAnsiTheme="majorBidi" w:cstheme="majorBidi"/>
          <w:sz w:val="24"/>
          <w:szCs w:val="24"/>
        </w:rPr>
        <w:t xml:space="preserve">, sama-sama mendapatkan gelar doktor atau sederajat profesor dari sejumlah universitas; dan </w:t>
      </w:r>
      <w:r w:rsidRPr="008C0CCF">
        <w:rPr>
          <w:rFonts w:asciiTheme="majorBidi" w:hAnsiTheme="majorBidi" w:cstheme="majorBidi"/>
          <w:i/>
          <w:iCs/>
          <w:sz w:val="24"/>
          <w:szCs w:val="24"/>
        </w:rPr>
        <w:t>ketiga</w:t>
      </w:r>
      <w:r w:rsidRPr="008C0CCF">
        <w:rPr>
          <w:rFonts w:asciiTheme="majorBidi" w:hAnsiTheme="majorBidi" w:cstheme="majorBidi"/>
          <w:sz w:val="24"/>
          <w:szCs w:val="24"/>
        </w:rPr>
        <w:t>, kesemuanya berasosiasi dengan organisasi kemasyarakatan Islam mayoritas, baik Muhammadiyah maupun NU.</w:t>
      </w:r>
      <w:r w:rsidRPr="008C0CCF">
        <w:rPr>
          <w:rStyle w:val="FootnoteReference"/>
          <w:rFonts w:asciiTheme="majorBidi" w:hAnsiTheme="majorBidi" w:cstheme="majorBidi"/>
          <w:sz w:val="24"/>
          <w:szCs w:val="24"/>
        </w:rPr>
        <w:footnoteReference w:id="489"/>
      </w:r>
    </w:p>
    <w:p w:rsidR="00343B61" w:rsidRPr="008C0CCF" w:rsidRDefault="00343B61" w:rsidP="00343B61">
      <w:pPr>
        <w:autoSpaceDE w:val="0"/>
        <w:autoSpaceDN w:val="0"/>
        <w:adjustRightInd w:val="0"/>
        <w:spacing w:line="360" w:lineRule="auto"/>
        <w:ind w:firstLine="720"/>
        <w:jc w:val="both"/>
        <w:rPr>
          <w:rFonts w:asciiTheme="majorBidi" w:hAnsiTheme="majorBidi" w:cstheme="majorBidi"/>
          <w:sz w:val="24"/>
          <w:szCs w:val="24"/>
        </w:rPr>
      </w:pPr>
    </w:p>
    <w:p w:rsidR="00343B61" w:rsidRPr="008C0CCF" w:rsidRDefault="00343B61" w:rsidP="00343B61">
      <w:pPr>
        <w:autoSpaceDE w:val="0"/>
        <w:autoSpaceDN w:val="0"/>
        <w:adjustRightInd w:val="0"/>
        <w:spacing w:line="360" w:lineRule="auto"/>
        <w:ind w:firstLine="720"/>
        <w:jc w:val="center"/>
        <w:rPr>
          <w:rFonts w:asciiTheme="majorBidi" w:hAnsiTheme="majorBidi" w:cstheme="majorBidi"/>
          <w:sz w:val="24"/>
          <w:szCs w:val="24"/>
        </w:rPr>
      </w:pPr>
      <w:r w:rsidRPr="008C0CCF">
        <w:rPr>
          <w:rFonts w:asciiTheme="majorBidi" w:hAnsiTheme="majorBidi" w:cstheme="majorBidi"/>
          <w:sz w:val="24"/>
          <w:szCs w:val="24"/>
        </w:rPr>
        <w:t>Berikut struktur dan personalia organisasi MUI masa khidmat 2015-2020:</w:t>
      </w:r>
    </w:p>
    <w:p w:rsidR="00343B61" w:rsidRPr="008C0CCF" w:rsidRDefault="00343B61" w:rsidP="00343B61">
      <w:pPr>
        <w:spacing w:before="100" w:beforeAutospacing="1" w:after="100" w:afterAutospacing="1" w:line="240" w:lineRule="auto"/>
        <w:jc w:val="center"/>
        <w:rPr>
          <w:rFonts w:asciiTheme="majorBidi" w:hAnsiTheme="majorBidi" w:cstheme="majorBidi"/>
          <w:sz w:val="24"/>
          <w:szCs w:val="24"/>
        </w:rPr>
      </w:pPr>
      <w:r w:rsidRPr="008C0CCF">
        <w:rPr>
          <w:rFonts w:asciiTheme="majorBidi" w:hAnsiTheme="majorBidi" w:cstheme="majorBidi"/>
          <w:b/>
          <w:bCs/>
          <w:sz w:val="24"/>
          <w:szCs w:val="24"/>
        </w:rPr>
        <w:t>DEWAN PERTIMBANGAN</w:t>
      </w:r>
    </w:p>
    <w:p w:rsidR="00343B61" w:rsidRPr="008C0CCF" w:rsidRDefault="00343B61" w:rsidP="00343B61">
      <w:pPr>
        <w:spacing w:before="100" w:beforeAutospacing="1" w:after="100" w:afterAutospacing="1" w:line="240" w:lineRule="auto"/>
        <w:jc w:val="center"/>
        <w:rPr>
          <w:rFonts w:asciiTheme="majorBidi" w:hAnsiTheme="majorBidi" w:cstheme="majorBidi"/>
          <w:sz w:val="24"/>
          <w:szCs w:val="24"/>
        </w:rPr>
      </w:pPr>
      <w:r w:rsidRPr="008C0CCF">
        <w:rPr>
          <w:rFonts w:asciiTheme="majorBidi" w:hAnsiTheme="majorBidi" w:cstheme="majorBidi"/>
          <w:b/>
          <w:bCs/>
          <w:sz w:val="24"/>
          <w:szCs w:val="24"/>
        </w:rPr>
        <w:t>Ketua:</w:t>
      </w:r>
      <w:r w:rsidRPr="008C0CCF">
        <w:rPr>
          <w:rFonts w:asciiTheme="majorBidi" w:hAnsiTheme="majorBidi" w:cstheme="majorBidi"/>
          <w:sz w:val="24"/>
          <w:szCs w:val="24"/>
        </w:rPr>
        <w:br/>
        <w:t>Prof. Dr. HM. Din Syamsudin, MA</w:t>
      </w:r>
      <w:r w:rsidRPr="008C0CCF">
        <w:rPr>
          <w:rFonts w:asciiTheme="majorBidi" w:hAnsiTheme="majorBidi" w:cstheme="majorBidi"/>
          <w:sz w:val="24"/>
          <w:szCs w:val="24"/>
        </w:rPr>
        <w:br/>
        <w:t>Prof. Dr. Nasaruddin Umar, MA</w:t>
      </w:r>
      <w:r w:rsidRPr="008C0CCF">
        <w:rPr>
          <w:rFonts w:asciiTheme="majorBidi" w:hAnsiTheme="majorBidi" w:cstheme="majorBidi"/>
          <w:sz w:val="24"/>
          <w:szCs w:val="24"/>
        </w:rPr>
        <w:br/>
        <w:t>Prof. Dr. Azyumardi Azra, MA</w:t>
      </w:r>
    </w:p>
    <w:p w:rsidR="00343B61" w:rsidRPr="008C0CCF" w:rsidRDefault="00343B61" w:rsidP="00343B61">
      <w:pPr>
        <w:spacing w:before="100" w:beforeAutospacing="1" w:after="100" w:afterAutospacing="1"/>
        <w:jc w:val="center"/>
        <w:rPr>
          <w:rFonts w:asciiTheme="majorBidi" w:hAnsiTheme="majorBidi" w:cstheme="majorBidi"/>
          <w:sz w:val="24"/>
          <w:szCs w:val="24"/>
        </w:rPr>
      </w:pPr>
      <w:r w:rsidRPr="008C0CCF">
        <w:rPr>
          <w:rFonts w:asciiTheme="majorBidi" w:hAnsiTheme="majorBidi" w:cstheme="majorBidi"/>
          <w:b/>
          <w:bCs/>
          <w:sz w:val="24"/>
          <w:szCs w:val="24"/>
        </w:rPr>
        <w:lastRenderedPageBreak/>
        <w:t>Sekretaris:</w:t>
      </w:r>
      <w:r w:rsidRPr="008C0CCF">
        <w:rPr>
          <w:rFonts w:asciiTheme="majorBidi" w:hAnsiTheme="majorBidi" w:cstheme="majorBidi"/>
          <w:sz w:val="24"/>
          <w:szCs w:val="24"/>
        </w:rPr>
        <w:br/>
        <w:t>Dr. H. Noor Ahmad, MA</w:t>
      </w:r>
    </w:p>
    <w:p w:rsidR="00343B61" w:rsidRPr="008C0CCF" w:rsidRDefault="00343B61" w:rsidP="00343B61">
      <w:pPr>
        <w:spacing w:before="100" w:beforeAutospacing="1" w:after="100" w:afterAutospacing="1"/>
        <w:jc w:val="center"/>
        <w:rPr>
          <w:rFonts w:asciiTheme="majorBidi" w:hAnsiTheme="majorBidi" w:cstheme="majorBidi"/>
          <w:sz w:val="24"/>
          <w:szCs w:val="24"/>
        </w:rPr>
      </w:pPr>
      <w:r w:rsidRPr="008C0CCF">
        <w:rPr>
          <w:rFonts w:asciiTheme="majorBidi" w:hAnsiTheme="majorBidi" w:cstheme="majorBidi"/>
          <w:b/>
          <w:bCs/>
          <w:sz w:val="24"/>
          <w:szCs w:val="24"/>
        </w:rPr>
        <w:t>Wakil Sekretaris:</w:t>
      </w:r>
      <w:r w:rsidRPr="008C0CCF">
        <w:rPr>
          <w:rFonts w:asciiTheme="majorBidi" w:hAnsiTheme="majorBidi" w:cstheme="majorBidi"/>
          <w:sz w:val="24"/>
          <w:szCs w:val="24"/>
        </w:rPr>
        <w:br/>
        <w:t>Drs. Natsir Zubaidi</w:t>
      </w:r>
      <w:r w:rsidRPr="008C0CCF">
        <w:rPr>
          <w:rFonts w:asciiTheme="majorBidi" w:hAnsiTheme="majorBidi" w:cstheme="majorBidi"/>
          <w:sz w:val="24"/>
          <w:szCs w:val="24"/>
        </w:rPr>
        <w:br/>
        <w:t>Dr. Bachtiar Nasir</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Anggota:</w:t>
      </w:r>
      <w:r w:rsidRPr="008C0CCF">
        <w:rPr>
          <w:rFonts w:asciiTheme="majorBidi" w:hAnsiTheme="majorBidi" w:cstheme="majorBidi"/>
          <w:sz w:val="24"/>
          <w:szCs w:val="24"/>
        </w:rPr>
        <w:br/>
        <w:t xml:space="preserve">Ketua-ketua Umum Ormas Islam (yang diundang </w:t>
      </w:r>
      <w:r>
        <w:rPr>
          <w:rFonts w:asciiTheme="majorBidi" w:hAnsiTheme="majorBidi" w:cstheme="majorBidi"/>
          <w:sz w:val="24"/>
          <w:szCs w:val="24"/>
        </w:rPr>
        <w:t xml:space="preserve">sebagai peserta Munas MUI 2015) </w:t>
      </w:r>
      <w:r w:rsidRPr="008C0CCF">
        <w:rPr>
          <w:rFonts w:asciiTheme="majorBidi" w:hAnsiTheme="majorBidi" w:cstheme="majorBidi"/>
          <w:sz w:val="24"/>
          <w:szCs w:val="24"/>
        </w:rPr>
        <w:t>Tokoh-tokoh (individu)</w:t>
      </w:r>
    </w:p>
    <w:p w:rsidR="00343B61" w:rsidRPr="008C0CCF" w:rsidRDefault="00343B61" w:rsidP="00343B61">
      <w:pPr>
        <w:spacing w:before="100" w:beforeAutospacing="1" w:after="100" w:afterAutospacing="1" w:line="240" w:lineRule="auto"/>
        <w:jc w:val="center"/>
        <w:rPr>
          <w:rFonts w:asciiTheme="majorBidi" w:hAnsiTheme="majorBidi" w:cstheme="majorBidi"/>
          <w:sz w:val="24"/>
          <w:szCs w:val="24"/>
        </w:rPr>
      </w:pPr>
      <w:r w:rsidRPr="008C0CCF">
        <w:rPr>
          <w:rFonts w:asciiTheme="majorBidi" w:hAnsiTheme="majorBidi" w:cstheme="majorBidi"/>
          <w:b/>
          <w:bCs/>
          <w:sz w:val="24"/>
          <w:szCs w:val="24"/>
        </w:rPr>
        <w:t>DEWAN PIMPINAN MUI 2015-2020</w:t>
      </w:r>
    </w:p>
    <w:p w:rsidR="00343B61" w:rsidRPr="008C0CCF" w:rsidRDefault="00343B61" w:rsidP="00343B61">
      <w:pPr>
        <w:spacing w:before="100" w:beforeAutospacing="1" w:after="100" w:afterAutospacing="1" w:line="240" w:lineRule="auto"/>
        <w:jc w:val="center"/>
        <w:rPr>
          <w:rFonts w:asciiTheme="majorBidi" w:hAnsiTheme="majorBidi" w:cstheme="majorBidi"/>
          <w:sz w:val="24"/>
          <w:szCs w:val="24"/>
        </w:rPr>
      </w:pPr>
      <w:r w:rsidRPr="008C0CCF">
        <w:rPr>
          <w:rFonts w:asciiTheme="majorBidi" w:hAnsiTheme="majorBidi" w:cstheme="majorBidi"/>
          <w:b/>
          <w:bCs/>
          <w:sz w:val="24"/>
          <w:szCs w:val="24"/>
        </w:rPr>
        <w:t>Ketua Umum:</w:t>
      </w:r>
      <w:r w:rsidRPr="008C0CCF">
        <w:rPr>
          <w:rFonts w:asciiTheme="majorBidi" w:hAnsiTheme="majorBidi" w:cstheme="majorBidi"/>
          <w:sz w:val="24"/>
          <w:szCs w:val="24"/>
        </w:rPr>
        <w:br/>
        <w:t>Dr. (HC) KH. Ma’ruf Amin</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Wakil Ketua Umum:</w:t>
      </w:r>
      <w:r w:rsidRPr="008C0CCF">
        <w:rPr>
          <w:rFonts w:asciiTheme="majorBidi" w:hAnsiTheme="majorBidi" w:cstheme="majorBidi"/>
          <w:sz w:val="24"/>
          <w:szCs w:val="24"/>
        </w:rPr>
        <w:br/>
        <w:t>Prof. Dr. Yunahar Ilyas, Lc, MA</w:t>
      </w:r>
      <w:r w:rsidRPr="008C0CCF">
        <w:rPr>
          <w:rFonts w:asciiTheme="majorBidi" w:hAnsiTheme="majorBidi" w:cstheme="majorBidi"/>
          <w:sz w:val="24"/>
          <w:szCs w:val="24"/>
        </w:rPr>
        <w:br/>
        <w:t>Drs. KH. Slamet Effendy Yusuf, M.Si</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Ketua-ketua:</w:t>
      </w:r>
      <w:r w:rsidRPr="008C0CCF">
        <w:rPr>
          <w:rFonts w:asciiTheme="majorBidi" w:hAnsiTheme="majorBidi" w:cstheme="majorBidi"/>
          <w:sz w:val="24"/>
          <w:szCs w:val="24"/>
        </w:rPr>
        <w:br/>
        <w:t>Drs. H. Basri Bermanda, MBA</w:t>
      </w:r>
      <w:r w:rsidRPr="008C0CCF">
        <w:rPr>
          <w:rFonts w:asciiTheme="majorBidi" w:hAnsiTheme="majorBidi" w:cstheme="majorBidi"/>
          <w:sz w:val="24"/>
          <w:szCs w:val="24"/>
        </w:rPr>
        <w:br/>
        <w:t>Dr. H. Yusnar Yusuf, M.S.</w:t>
      </w:r>
      <w:r w:rsidRPr="008C0CCF">
        <w:rPr>
          <w:rFonts w:asciiTheme="majorBidi" w:hAnsiTheme="majorBidi" w:cstheme="majorBidi"/>
          <w:sz w:val="24"/>
          <w:szCs w:val="24"/>
        </w:rPr>
        <w:br/>
        <w:t>Prof. Dr. H. Maman Abdurrahman</w:t>
      </w:r>
      <w:r w:rsidRPr="008C0CCF">
        <w:rPr>
          <w:rFonts w:asciiTheme="majorBidi" w:hAnsiTheme="majorBidi" w:cstheme="majorBidi"/>
          <w:sz w:val="24"/>
          <w:szCs w:val="24"/>
        </w:rPr>
        <w:br/>
        <w:t>Prof. Dr. Hj. Huzaemah T. Yango</w:t>
      </w:r>
      <w:r w:rsidRPr="008C0CCF">
        <w:rPr>
          <w:rFonts w:asciiTheme="majorBidi" w:hAnsiTheme="majorBidi" w:cstheme="majorBidi"/>
          <w:sz w:val="24"/>
          <w:szCs w:val="24"/>
        </w:rPr>
        <w:br/>
        <w:t>Prof. Dr. (HC) Tuty Alawiyah, AS</w:t>
      </w:r>
      <w:r w:rsidRPr="008C0CCF">
        <w:rPr>
          <w:rFonts w:asciiTheme="majorBidi" w:hAnsiTheme="majorBidi" w:cstheme="majorBidi"/>
          <w:sz w:val="24"/>
          <w:szCs w:val="24"/>
        </w:rPr>
        <w:br/>
        <w:t>KH. Muhyidin Junaidi, MA</w:t>
      </w:r>
      <w:r w:rsidRPr="008C0CCF">
        <w:rPr>
          <w:rFonts w:asciiTheme="majorBidi" w:hAnsiTheme="majorBidi" w:cstheme="majorBidi"/>
          <w:sz w:val="24"/>
          <w:szCs w:val="24"/>
        </w:rPr>
        <w:br/>
        <w:t>KH. Abdullah Jaidi</w:t>
      </w:r>
      <w:r w:rsidRPr="008C0CCF">
        <w:rPr>
          <w:rFonts w:asciiTheme="majorBidi" w:hAnsiTheme="majorBidi" w:cstheme="majorBidi"/>
          <w:sz w:val="24"/>
          <w:szCs w:val="24"/>
        </w:rPr>
        <w:br/>
        <w:t>Drs. HM. Ichwan Sam</w:t>
      </w:r>
      <w:r w:rsidRPr="008C0CCF">
        <w:rPr>
          <w:rFonts w:asciiTheme="majorBidi" w:hAnsiTheme="majorBidi" w:cstheme="majorBidi"/>
          <w:sz w:val="24"/>
          <w:szCs w:val="24"/>
        </w:rPr>
        <w:br/>
        <w:t>Drs. H. Zainut Tauhid Sa’adi, M.Si</w:t>
      </w:r>
      <w:r w:rsidRPr="008C0CCF">
        <w:rPr>
          <w:rFonts w:asciiTheme="majorBidi" w:hAnsiTheme="majorBidi" w:cstheme="majorBidi"/>
          <w:sz w:val="24"/>
          <w:szCs w:val="24"/>
        </w:rPr>
        <w:br/>
        <w:t>Dr. Ir. H. Lukmanul Hakim, M.Si</w:t>
      </w:r>
      <w:r w:rsidRPr="008C0CCF">
        <w:rPr>
          <w:rFonts w:asciiTheme="majorBidi" w:hAnsiTheme="majorBidi" w:cstheme="majorBidi"/>
          <w:sz w:val="24"/>
          <w:szCs w:val="24"/>
        </w:rPr>
        <w:br/>
        <w:t>Dr. KH. Sodikun, MSi</w:t>
      </w:r>
      <w:r w:rsidRPr="008C0CCF">
        <w:rPr>
          <w:rFonts w:asciiTheme="majorBidi" w:hAnsiTheme="majorBidi" w:cstheme="majorBidi"/>
          <w:sz w:val="24"/>
          <w:szCs w:val="24"/>
        </w:rPr>
        <w:br/>
        <w:t>KH. Abdusomad Buchari</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lastRenderedPageBreak/>
        <w:t>Sekretaris Jenderal:</w:t>
      </w:r>
      <w:r w:rsidRPr="008C0CCF">
        <w:rPr>
          <w:rFonts w:asciiTheme="majorBidi" w:hAnsiTheme="majorBidi" w:cstheme="majorBidi"/>
          <w:sz w:val="24"/>
          <w:szCs w:val="24"/>
        </w:rPr>
        <w:br/>
        <w:t>Dr. H. Anwar Abbas, MM, M.Ag</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Wakil Sekretaris Jenderal:</w:t>
      </w:r>
      <w:r w:rsidRPr="008C0CCF">
        <w:rPr>
          <w:rFonts w:asciiTheme="majorBidi" w:hAnsiTheme="majorBidi" w:cstheme="majorBidi"/>
          <w:sz w:val="24"/>
          <w:szCs w:val="24"/>
        </w:rPr>
        <w:br/>
        <w:t>Dr. KH. Tengku Zulkarnain, MA</w:t>
      </w:r>
      <w:r w:rsidRPr="008C0CCF">
        <w:rPr>
          <w:rFonts w:asciiTheme="majorBidi" w:hAnsiTheme="majorBidi" w:cstheme="majorBidi"/>
          <w:sz w:val="24"/>
          <w:szCs w:val="24"/>
        </w:rPr>
        <w:br/>
        <w:t>Dr. Amirsyah Tambunan</w:t>
      </w:r>
      <w:r w:rsidRPr="008C0CCF">
        <w:rPr>
          <w:rFonts w:asciiTheme="majorBidi" w:hAnsiTheme="majorBidi" w:cstheme="majorBidi"/>
          <w:sz w:val="24"/>
          <w:szCs w:val="24"/>
        </w:rPr>
        <w:br/>
        <w:t>Dr. H. Zaitun Rasmin</w:t>
      </w:r>
      <w:r w:rsidRPr="008C0CCF">
        <w:rPr>
          <w:rFonts w:asciiTheme="majorBidi" w:hAnsiTheme="majorBidi" w:cstheme="majorBidi"/>
          <w:sz w:val="24"/>
          <w:szCs w:val="24"/>
        </w:rPr>
        <w:br/>
        <w:t>Dr. Najamudin Ramsil</w:t>
      </w:r>
      <w:r w:rsidRPr="008C0CCF">
        <w:rPr>
          <w:rFonts w:asciiTheme="majorBidi" w:hAnsiTheme="majorBidi" w:cstheme="majorBidi"/>
          <w:sz w:val="24"/>
          <w:szCs w:val="24"/>
        </w:rPr>
        <w:br/>
        <w:t>Drs. H. Solahuddin Al Ayubi, Msi</w:t>
      </w:r>
      <w:r w:rsidRPr="008C0CCF">
        <w:rPr>
          <w:rFonts w:asciiTheme="majorBidi" w:hAnsiTheme="majorBidi" w:cstheme="majorBidi"/>
          <w:sz w:val="24"/>
          <w:szCs w:val="24"/>
        </w:rPr>
        <w:br/>
        <w:t>Rofiqul Umam, SH, MH</w:t>
      </w:r>
      <w:r w:rsidRPr="008C0CCF">
        <w:rPr>
          <w:rFonts w:asciiTheme="majorBidi" w:hAnsiTheme="majorBidi" w:cstheme="majorBidi"/>
          <w:sz w:val="24"/>
          <w:szCs w:val="24"/>
        </w:rPr>
        <w:br/>
        <w:t>Dr. Hj. Valina Subekti</w:t>
      </w:r>
      <w:r w:rsidRPr="008C0CCF">
        <w:rPr>
          <w:rFonts w:asciiTheme="majorBidi" w:hAnsiTheme="majorBidi" w:cstheme="majorBidi"/>
          <w:sz w:val="24"/>
          <w:szCs w:val="24"/>
        </w:rPr>
        <w:br/>
        <w:t>H. Misbahul Ulum M.Si</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Bendahara Umum:</w:t>
      </w:r>
      <w:r w:rsidRPr="008C0CCF">
        <w:rPr>
          <w:rFonts w:asciiTheme="majorBidi" w:hAnsiTheme="majorBidi" w:cstheme="majorBidi"/>
          <w:sz w:val="24"/>
          <w:szCs w:val="24"/>
        </w:rPr>
        <w:br/>
        <w:t>Prof. Dr. Hj. Amani Lubis</w:t>
      </w:r>
    </w:p>
    <w:p w:rsidR="00343B61" w:rsidRPr="008C0CCF" w:rsidRDefault="00343B61" w:rsidP="00343B61">
      <w:pPr>
        <w:spacing w:before="100" w:beforeAutospacing="1" w:after="100" w:afterAutospacing="1" w:line="360" w:lineRule="auto"/>
        <w:jc w:val="center"/>
        <w:rPr>
          <w:rFonts w:asciiTheme="majorBidi" w:hAnsiTheme="majorBidi" w:cstheme="majorBidi"/>
          <w:sz w:val="24"/>
          <w:szCs w:val="24"/>
        </w:rPr>
      </w:pPr>
      <w:r w:rsidRPr="008C0CCF">
        <w:rPr>
          <w:rFonts w:asciiTheme="majorBidi" w:hAnsiTheme="majorBidi" w:cstheme="majorBidi"/>
          <w:b/>
          <w:bCs/>
          <w:sz w:val="24"/>
          <w:szCs w:val="24"/>
        </w:rPr>
        <w:t>Bendahara:</w:t>
      </w:r>
      <w:r w:rsidRPr="008C0CCF">
        <w:rPr>
          <w:rFonts w:asciiTheme="majorBidi" w:hAnsiTheme="majorBidi" w:cstheme="majorBidi"/>
          <w:sz w:val="24"/>
          <w:szCs w:val="24"/>
        </w:rPr>
        <w:br/>
        <w:t>dr. Fahmi Darmawansyah, MM</w:t>
      </w:r>
      <w:r w:rsidRPr="008C0CCF">
        <w:rPr>
          <w:rFonts w:asciiTheme="majorBidi" w:hAnsiTheme="majorBidi" w:cstheme="majorBidi"/>
          <w:sz w:val="24"/>
          <w:szCs w:val="24"/>
        </w:rPr>
        <w:br/>
        <w:t>Yusuf Muhammad</w:t>
      </w:r>
      <w:r w:rsidRPr="008C0CCF">
        <w:rPr>
          <w:rFonts w:asciiTheme="majorBidi" w:hAnsiTheme="majorBidi" w:cstheme="majorBidi"/>
          <w:sz w:val="24"/>
          <w:szCs w:val="24"/>
        </w:rPr>
        <w:br/>
        <w:t>Dr. H.M. Nadratuzzaman Hosen</w:t>
      </w:r>
      <w:r w:rsidRPr="008C0CCF">
        <w:rPr>
          <w:rFonts w:asciiTheme="majorBidi" w:hAnsiTheme="majorBidi" w:cstheme="majorBidi"/>
          <w:sz w:val="24"/>
          <w:szCs w:val="24"/>
        </w:rPr>
        <w:br/>
        <w:t>Dr.s Iing Solohin</w:t>
      </w:r>
      <w:r w:rsidRPr="008C0CCF">
        <w:rPr>
          <w:rFonts w:asciiTheme="majorBidi" w:hAnsiTheme="majorBidi" w:cstheme="majorBidi"/>
          <w:sz w:val="24"/>
          <w:szCs w:val="24"/>
        </w:rPr>
        <w:br/>
        <w:t>Burhan Muhsin</w:t>
      </w:r>
    </w:p>
    <w:p w:rsidR="00343B61" w:rsidRPr="008C0CCF" w:rsidRDefault="00343B61" w:rsidP="00343B61">
      <w:pPr>
        <w:autoSpaceDE w:val="0"/>
        <w:autoSpaceDN w:val="0"/>
        <w:adjustRightInd w:val="0"/>
        <w:spacing w:line="360" w:lineRule="auto"/>
        <w:ind w:firstLine="360"/>
        <w:jc w:val="both"/>
        <w:rPr>
          <w:rFonts w:asciiTheme="majorBidi" w:hAnsiTheme="majorBidi" w:cstheme="majorBidi"/>
          <w:sz w:val="24"/>
          <w:szCs w:val="24"/>
        </w:rPr>
      </w:pPr>
      <w:r w:rsidRPr="008C0CCF">
        <w:rPr>
          <w:rFonts w:asciiTheme="majorBidi" w:hAnsiTheme="majorBidi" w:cstheme="majorBidi"/>
          <w:sz w:val="24"/>
          <w:szCs w:val="24"/>
        </w:rPr>
        <w:t>2. Visi, Misi serta fungsi dan Peran Pokok MUI</w:t>
      </w:r>
    </w:p>
    <w:p w:rsidR="00343B61" w:rsidRPr="008C0CCF" w:rsidRDefault="00343B61" w:rsidP="00343B61">
      <w:pPr>
        <w:pStyle w:val="ListParagraph"/>
        <w:spacing w:line="360" w:lineRule="auto"/>
        <w:ind w:left="0" w:firstLine="720"/>
        <w:jc w:val="both"/>
        <w:rPr>
          <w:rFonts w:asciiTheme="majorBidi" w:hAnsiTheme="majorBidi" w:cstheme="majorBidi"/>
          <w:sz w:val="24"/>
          <w:szCs w:val="24"/>
        </w:rPr>
      </w:pPr>
      <w:r w:rsidRPr="008C0CCF">
        <w:rPr>
          <w:rFonts w:asciiTheme="majorBidi" w:hAnsiTheme="majorBidi" w:cstheme="majorBidi"/>
          <w:sz w:val="24"/>
          <w:szCs w:val="24"/>
        </w:rPr>
        <w:t>Sebagaimana tercantum dalam dokumen Wawasan Majelis Ulama Indonesia (MUI), dalam khidmahnya, visi organisasi Majelis Ulama Indonesia adalah "terciptanya kondisi kehidupan kemasyarakatan, kebangsaan dan kenegaraan yang baik, memperoleh ridlo dan ampunan Allah swt (</w:t>
      </w:r>
      <w:r w:rsidRPr="008C0CCF">
        <w:rPr>
          <w:rFonts w:asciiTheme="majorBidi" w:hAnsiTheme="majorBidi" w:cstheme="majorBidi"/>
          <w:i/>
          <w:iCs/>
          <w:sz w:val="24"/>
          <w:szCs w:val="24"/>
        </w:rPr>
        <w:t xml:space="preserve">baldah </w:t>
      </w:r>
      <w:r w:rsidRPr="008C0CCF">
        <w:rPr>
          <w:rFonts w:asciiTheme="majorBidi" w:hAnsiTheme="majorBidi" w:cstheme="majorBidi"/>
          <w:sz w:val="24"/>
          <w:szCs w:val="24"/>
        </w:rPr>
        <w:t xml:space="preserve"> </w:t>
      </w:r>
      <w:r w:rsidRPr="008C0CCF">
        <w:rPr>
          <w:rFonts w:asciiTheme="majorBidi" w:hAnsiTheme="majorBidi" w:cstheme="majorBidi"/>
          <w:i/>
          <w:iCs/>
          <w:sz w:val="24"/>
          <w:szCs w:val="24"/>
        </w:rPr>
        <w:t>ṭayyibah wa rabbun ghafūr</w:t>
      </w:r>
      <w:r w:rsidRPr="008C0CCF">
        <w:rPr>
          <w:rFonts w:asciiTheme="majorBidi" w:hAnsiTheme="majorBidi" w:cstheme="majorBidi"/>
          <w:sz w:val="24"/>
          <w:szCs w:val="24"/>
        </w:rPr>
        <w:t>) menuju masyarakat berkualitas (</w:t>
      </w:r>
      <w:r w:rsidRPr="008C0CCF">
        <w:rPr>
          <w:rFonts w:asciiTheme="majorBidi" w:hAnsiTheme="majorBidi" w:cstheme="majorBidi"/>
          <w:i/>
          <w:iCs/>
          <w:sz w:val="24"/>
          <w:szCs w:val="24"/>
        </w:rPr>
        <w:t>khair ummah)</w:t>
      </w:r>
      <w:r w:rsidRPr="008C0CCF">
        <w:rPr>
          <w:rFonts w:asciiTheme="majorBidi" w:hAnsiTheme="majorBidi" w:cstheme="majorBidi"/>
          <w:sz w:val="24"/>
          <w:szCs w:val="24"/>
        </w:rPr>
        <w:t xml:space="preserve"> demi terwujudnya kejayaan Islam dan kaum muslimin (</w:t>
      </w:r>
      <w:r w:rsidRPr="008C0CCF">
        <w:rPr>
          <w:rFonts w:asciiTheme="majorBidi" w:hAnsiTheme="majorBidi" w:cstheme="majorBidi"/>
          <w:i/>
          <w:iCs/>
          <w:sz w:val="24"/>
          <w:szCs w:val="24"/>
        </w:rPr>
        <w:t>'izz al-Islām wa al-muslimīn</w:t>
      </w:r>
      <w:r w:rsidRPr="008C0CCF">
        <w:rPr>
          <w:rFonts w:asciiTheme="majorBidi" w:hAnsiTheme="majorBidi" w:cstheme="majorBidi"/>
          <w:sz w:val="24"/>
          <w:szCs w:val="24"/>
        </w:rPr>
        <w:t xml:space="preserve">) </w:t>
      </w:r>
      <w:r w:rsidRPr="008C0CCF">
        <w:rPr>
          <w:rFonts w:asciiTheme="majorBidi" w:hAnsiTheme="majorBidi" w:cstheme="majorBidi"/>
          <w:sz w:val="24"/>
          <w:szCs w:val="24"/>
        </w:rPr>
        <w:lastRenderedPageBreak/>
        <w:t>dalam wadah Negara Kesatuan Republik Indonesia sebagai manifestasi dari rahmat bagi seluruh alam (</w:t>
      </w:r>
      <w:r w:rsidRPr="008C0CCF">
        <w:rPr>
          <w:rFonts w:asciiTheme="majorBidi" w:hAnsiTheme="majorBidi" w:cstheme="majorBidi"/>
          <w:i/>
          <w:iCs/>
          <w:sz w:val="24"/>
          <w:szCs w:val="24"/>
        </w:rPr>
        <w:t>rahmah lil‘ālamīn</w:t>
      </w:r>
      <w:r w:rsidRPr="008C0CCF">
        <w:rPr>
          <w:rFonts w:asciiTheme="majorBidi" w:hAnsiTheme="majorBidi" w:cstheme="majorBidi"/>
          <w:sz w:val="24"/>
          <w:szCs w:val="24"/>
        </w:rPr>
        <w:t>)"</w:t>
      </w:r>
      <w:r w:rsidRPr="008C0CCF">
        <w:rPr>
          <w:rStyle w:val="FootnoteReference"/>
          <w:rFonts w:asciiTheme="majorBidi" w:hAnsiTheme="majorBidi" w:cstheme="majorBidi"/>
          <w:sz w:val="24"/>
          <w:szCs w:val="24"/>
        </w:rPr>
        <w:footnoteReference w:id="490"/>
      </w:r>
    </w:p>
    <w:p w:rsidR="00343B61" w:rsidRPr="008C0CCF" w:rsidRDefault="00343B61" w:rsidP="00343B61">
      <w:pPr>
        <w:pStyle w:val="ListParagraph"/>
        <w:spacing w:after="0" w:line="360" w:lineRule="auto"/>
        <w:ind w:left="0" w:firstLine="720"/>
        <w:jc w:val="both"/>
        <w:rPr>
          <w:rFonts w:asciiTheme="majorBidi" w:hAnsiTheme="majorBidi" w:cstheme="majorBidi"/>
          <w:sz w:val="24"/>
          <w:szCs w:val="24"/>
        </w:rPr>
      </w:pPr>
      <w:r w:rsidRPr="008C0CCF">
        <w:rPr>
          <w:rFonts w:asciiTheme="majorBidi" w:hAnsiTheme="majorBidi" w:cstheme="majorBidi"/>
          <w:sz w:val="24"/>
          <w:szCs w:val="24"/>
        </w:rPr>
        <w:t>Sementara Misi yang diemban oleh MUI ada tiga; yaitu (i) menggerakkan kepemimpinan dan kelembagaan umat secara efektif dengan menjadikan ulama sebagai panutan (</w:t>
      </w:r>
      <w:r w:rsidRPr="008C0CCF">
        <w:rPr>
          <w:rFonts w:asciiTheme="majorBidi" w:hAnsiTheme="majorBidi" w:cstheme="majorBidi"/>
          <w:i/>
          <w:iCs/>
          <w:sz w:val="24"/>
          <w:szCs w:val="24"/>
        </w:rPr>
        <w:t xml:space="preserve">qudwah </w:t>
      </w:r>
      <w:r w:rsidRPr="008C0CCF">
        <w:rPr>
          <w:rFonts w:asciiTheme="majorBidi" w:hAnsiTheme="majorBidi" w:cstheme="majorBidi"/>
          <w:i/>
          <w:iCs/>
          <w:sz w:val="24"/>
          <w:szCs w:val="24"/>
          <w:u w:val="single"/>
          <w:lang w:val="id-ID"/>
        </w:rPr>
        <w:t>h</w:t>
      </w:r>
      <w:r w:rsidRPr="008C0CCF">
        <w:rPr>
          <w:rFonts w:asciiTheme="majorBidi" w:hAnsiTheme="majorBidi" w:cstheme="majorBidi"/>
          <w:i/>
          <w:iCs/>
          <w:sz w:val="24"/>
          <w:szCs w:val="24"/>
        </w:rPr>
        <w:t>asanah</w:t>
      </w:r>
      <w:r w:rsidRPr="008C0CCF">
        <w:rPr>
          <w:rFonts w:asciiTheme="majorBidi" w:hAnsiTheme="majorBidi" w:cstheme="majorBidi"/>
          <w:sz w:val="24"/>
          <w:szCs w:val="24"/>
        </w:rPr>
        <w:t xml:space="preserve">), sehingga mampu mengarahkan dan membina umat Islam dalam menanamkan dan memupuk aqidah Islamiyah, serta menjalankan </w:t>
      </w:r>
      <w:r w:rsidRPr="008C0CCF">
        <w:rPr>
          <w:rFonts w:asciiTheme="majorBidi" w:hAnsiTheme="majorBidi" w:cstheme="majorBidi"/>
          <w:i/>
          <w:iCs/>
          <w:sz w:val="24"/>
          <w:szCs w:val="24"/>
        </w:rPr>
        <w:t>syari’ah Islāmiyah</w:t>
      </w:r>
      <w:r w:rsidRPr="008C0CCF">
        <w:rPr>
          <w:rFonts w:asciiTheme="majorBidi" w:hAnsiTheme="majorBidi" w:cstheme="majorBidi"/>
          <w:sz w:val="24"/>
          <w:szCs w:val="24"/>
        </w:rPr>
        <w:t>; (ii) melaksanakan dakwah Islam, amar ma’ruf nahi mungkar dalam mengembangkan akhlak karimah agar terwujud masyarakat berkualitas (</w:t>
      </w:r>
      <w:r w:rsidRPr="008C0CCF">
        <w:rPr>
          <w:rFonts w:asciiTheme="majorBidi" w:hAnsiTheme="majorBidi" w:cstheme="majorBidi"/>
          <w:i/>
          <w:iCs/>
          <w:sz w:val="24"/>
          <w:szCs w:val="24"/>
        </w:rPr>
        <w:t>khair</w:t>
      </w:r>
      <w:r w:rsidRPr="008C0CCF">
        <w:rPr>
          <w:rFonts w:asciiTheme="majorBidi" w:hAnsiTheme="majorBidi" w:cstheme="majorBidi"/>
          <w:sz w:val="24"/>
          <w:szCs w:val="24"/>
        </w:rPr>
        <w:t xml:space="preserve"> </w:t>
      </w:r>
      <w:r w:rsidRPr="008C0CCF">
        <w:rPr>
          <w:rFonts w:asciiTheme="majorBidi" w:hAnsiTheme="majorBidi" w:cstheme="majorBidi"/>
          <w:i/>
          <w:iCs/>
          <w:sz w:val="24"/>
          <w:szCs w:val="24"/>
        </w:rPr>
        <w:t>ummah</w:t>
      </w:r>
      <w:r w:rsidRPr="008C0CCF">
        <w:rPr>
          <w:rFonts w:asciiTheme="majorBidi" w:hAnsiTheme="majorBidi" w:cstheme="majorBidi"/>
          <w:sz w:val="24"/>
          <w:szCs w:val="24"/>
        </w:rPr>
        <w:t xml:space="preserve">) dalam berbagai aspek kehidupan; dan (iii) mengembangkan </w:t>
      </w:r>
      <w:r w:rsidRPr="008C0CCF">
        <w:rPr>
          <w:rFonts w:asciiTheme="majorBidi" w:hAnsiTheme="majorBidi" w:cstheme="majorBidi"/>
          <w:i/>
          <w:iCs/>
          <w:sz w:val="24"/>
          <w:szCs w:val="24"/>
        </w:rPr>
        <w:t>ukhuwah Islāmiyah</w:t>
      </w:r>
      <w:r w:rsidRPr="008C0CCF">
        <w:rPr>
          <w:rFonts w:asciiTheme="majorBidi" w:hAnsiTheme="majorBidi" w:cstheme="majorBidi"/>
          <w:sz w:val="24"/>
          <w:szCs w:val="24"/>
        </w:rPr>
        <w:t xml:space="preserve"> dan kebersamaan dalam mewujudkan persatuan dan kesatuan umat Islam dalam wadah Negara Kesatuan Republik Indonesia.</w:t>
      </w:r>
      <w:r w:rsidRPr="008C0CCF">
        <w:rPr>
          <w:rStyle w:val="FootnoteReference"/>
          <w:rFonts w:asciiTheme="majorBidi" w:hAnsiTheme="majorBidi" w:cstheme="majorBidi"/>
          <w:sz w:val="24"/>
          <w:szCs w:val="24"/>
        </w:rPr>
        <w:footnoteReference w:id="491"/>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 xml:space="preserve">Dari Pedoman Dasar Majelis Ulama Indonesia dapat dilihat bahwa organisasi ini paling tidak mempunyai empat fungsi; (a) Sebagai wadah musyawarah para ulama, zu’ama dan cendikiawan muslim dalam mengayomi umat dan mengembangkan kehidupan yang Islami. (b) Sebagai wadah silaturahmi para ulama, zu’ama dan cendikiawan muslim untuk mengembangkan dan mengamalkan ajaran Islam dan menggalang </w:t>
      </w:r>
      <w:r w:rsidRPr="008C0CCF">
        <w:rPr>
          <w:rFonts w:asciiTheme="majorBidi" w:hAnsiTheme="majorBidi" w:cstheme="majorBidi"/>
          <w:i/>
          <w:iCs/>
          <w:sz w:val="24"/>
          <w:szCs w:val="24"/>
        </w:rPr>
        <w:t>ukhuwah Islāmiyah</w:t>
      </w:r>
      <w:r w:rsidRPr="008C0CCF">
        <w:rPr>
          <w:rFonts w:asciiTheme="majorBidi" w:hAnsiTheme="majorBidi" w:cstheme="majorBidi"/>
          <w:sz w:val="24"/>
          <w:szCs w:val="24"/>
        </w:rPr>
        <w:t>. (c). Sebagai wadah yang mewakili umat Islam dalam hubungan dan konsultasi antar umat beragama. Dan (e) sebagai pemberi fatwa kepada umat Islam dan pemerintah, baik diminta maupun tidak diminta.</w:t>
      </w:r>
      <w:r w:rsidRPr="008C0CCF">
        <w:rPr>
          <w:rStyle w:val="FootnoteReference"/>
          <w:rFonts w:asciiTheme="majorBidi" w:hAnsiTheme="majorBidi" w:cstheme="majorBidi"/>
          <w:sz w:val="24"/>
          <w:szCs w:val="24"/>
        </w:rPr>
        <w:footnoteReference w:id="492"/>
      </w:r>
    </w:p>
    <w:p w:rsidR="00343B61" w:rsidRPr="008C0CCF" w:rsidRDefault="00343B61" w:rsidP="00343B61">
      <w:pPr>
        <w:pStyle w:val="ListParagraph"/>
        <w:spacing w:line="360" w:lineRule="auto"/>
        <w:ind w:left="0" w:firstLine="720"/>
        <w:jc w:val="both"/>
        <w:rPr>
          <w:rFonts w:asciiTheme="majorBidi" w:hAnsiTheme="majorBidi" w:cstheme="majorBidi"/>
          <w:sz w:val="24"/>
          <w:szCs w:val="24"/>
        </w:rPr>
      </w:pPr>
      <w:r w:rsidRPr="008C0CCF">
        <w:rPr>
          <w:rFonts w:asciiTheme="majorBidi" w:hAnsiTheme="majorBidi" w:cstheme="majorBidi"/>
          <w:sz w:val="24"/>
          <w:szCs w:val="24"/>
        </w:rPr>
        <w:t xml:space="preserve">Berdasarkan jati diri ulama sebagai </w:t>
      </w:r>
      <w:r w:rsidRPr="008C0CCF">
        <w:rPr>
          <w:rFonts w:asciiTheme="majorBidi" w:hAnsiTheme="majorBidi" w:cstheme="majorBidi"/>
          <w:i/>
          <w:iCs/>
          <w:sz w:val="24"/>
          <w:szCs w:val="24"/>
        </w:rPr>
        <w:t>war</w:t>
      </w:r>
      <w:r>
        <w:rPr>
          <w:rFonts w:asciiTheme="majorBidi" w:hAnsiTheme="majorBidi" w:cstheme="majorBidi"/>
          <w:i/>
          <w:iCs/>
          <w:sz w:val="24"/>
          <w:szCs w:val="24"/>
        </w:rPr>
        <w:t>atsah</w:t>
      </w:r>
      <w:r w:rsidRPr="008C0CCF">
        <w:rPr>
          <w:rFonts w:asciiTheme="majorBidi" w:hAnsiTheme="majorBidi" w:cstheme="majorBidi"/>
          <w:i/>
          <w:iCs/>
          <w:sz w:val="24"/>
          <w:szCs w:val="24"/>
        </w:rPr>
        <w:t xml:space="preserve"> al-anbiyā</w:t>
      </w:r>
      <w:r w:rsidRPr="008C0CCF">
        <w:rPr>
          <w:rFonts w:asciiTheme="majorBidi" w:hAnsiTheme="majorBidi" w:cstheme="majorBidi"/>
          <w:sz w:val="24"/>
          <w:szCs w:val="24"/>
        </w:rPr>
        <w:t>, maka Majelis Ulama Indonesia mempunyai enam peran pokok yang dijalankannya, yaitu :</w:t>
      </w:r>
    </w:p>
    <w:p w:rsidR="00343B61" w:rsidRPr="008C0CCF" w:rsidRDefault="00343B61" w:rsidP="002C0A33">
      <w:pPr>
        <w:pStyle w:val="ListParagraph"/>
        <w:numPr>
          <w:ilvl w:val="0"/>
          <w:numId w:val="36"/>
        </w:numPr>
        <w:autoSpaceDE w:val="0"/>
        <w:autoSpaceDN w:val="0"/>
        <w:adjustRightInd w:val="0"/>
        <w:spacing w:line="360" w:lineRule="auto"/>
        <w:jc w:val="both"/>
        <w:rPr>
          <w:rFonts w:asciiTheme="majorBidi" w:hAnsiTheme="majorBidi" w:cstheme="majorBidi"/>
          <w:sz w:val="24"/>
          <w:szCs w:val="24"/>
        </w:rPr>
      </w:pPr>
      <w:r w:rsidRPr="008C0CCF">
        <w:rPr>
          <w:rFonts w:asciiTheme="majorBidi" w:hAnsiTheme="majorBidi" w:cstheme="majorBidi"/>
          <w:sz w:val="24"/>
          <w:szCs w:val="24"/>
        </w:rPr>
        <w:lastRenderedPageBreak/>
        <w:t xml:space="preserve"> Ahli waris tugas Nabi (</w:t>
      </w:r>
      <w:r w:rsidRPr="008C0CCF">
        <w:rPr>
          <w:rFonts w:asciiTheme="majorBidi" w:hAnsiTheme="majorBidi" w:cstheme="majorBidi"/>
          <w:i/>
          <w:iCs/>
          <w:sz w:val="24"/>
          <w:szCs w:val="24"/>
        </w:rPr>
        <w:t>waratsah al-anbiyā</w:t>
      </w:r>
      <w:r w:rsidRPr="008C0CCF">
        <w:rPr>
          <w:rFonts w:asciiTheme="majorBidi" w:hAnsiTheme="majorBidi" w:cstheme="majorBidi"/>
          <w:sz w:val="24"/>
          <w:szCs w:val="24"/>
        </w:rPr>
        <w:t xml:space="preserve">), sebagai </w:t>
      </w:r>
      <w:r w:rsidRPr="008C0CCF">
        <w:rPr>
          <w:rFonts w:asciiTheme="majorBidi" w:hAnsiTheme="majorBidi" w:cstheme="majorBidi"/>
          <w:i/>
          <w:iCs/>
          <w:sz w:val="24"/>
          <w:szCs w:val="24"/>
        </w:rPr>
        <w:t>waratsah al-anbiyā</w:t>
      </w:r>
      <w:r w:rsidRPr="008C0CCF">
        <w:rPr>
          <w:rFonts w:asciiTheme="majorBidi" w:hAnsiTheme="majorBidi" w:cstheme="majorBidi"/>
          <w:sz w:val="24"/>
          <w:szCs w:val="24"/>
        </w:rPr>
        <w:t xml:space="preserve"> (pewaris tugas para Nabi-nabi), MUI menjalankan fungsi kenabian (</w:t>
      </w:r>
      <w:r w:rsidRPr="008C0CCF">
        <w:rPr>
          <w:rFonts w:asciiTheme="majorBidi" w:hAnsiTheme="majorBidi" w:cstheme="majorBidi"/>
          <w:i/>
          <w:iCs/>
          <w:sz w:val="24"/>
          <w:szCs w:val="24"/>
        </w:rPr>
        <w:t>al-nubuwwah</w:t>
      </w:r>
      <w:r w:rsidRPr="008C0CCF">
        <w:rPr>
          <w:rFonts w:asciiTheme="majorBidi" w:hAnsiTheme="majorBidi" w:cstheme="majorBidi"/>
          <w:sz w:val="24"/>
          <w:szCs w:val="24"/>
        </w:rPr>
        <w:t xml:space="preserve">) yakni memperjuangkan perubahan kehidupan agar berjalan sesuai ajaran Islam, walaupun dengan konsekuensi akan menerima kritik, tekanan, dan ancaman karena perjuangannya bertentangan dengan sebagian tradisi, budaya, dan peradaban manusia. </w:t>
      </w:r>
    </w:p>
    <w:p w:rsidR="00343B61" w:rsidRPr="008C0CCF" w:rsidRDefault="00343B61" w:rsidP="002C0A33">
      <w:pPr>
        <w:pStyle w:val="ListParagraph"/>
        <w:numPr>
          <w:ilvl w:val="0"/>
          <w:numId w:val="36"/>
        </w:num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Sebagai pemberi fatwa (</w:t>
      </w:r>
      <w:r w:rsidRPr="008C0CCF">
        <w:rPr>
          <w:rFonts w:asciiTheme="majorBidi" w:hAnsiTheme="majorBidi" w:cstheme="majorBidi"/>
          <w:i/>
          <w:iCs/>
          <w:sz w:val="24"/>
          <w:szCs w:val="24"/>
        </w:rPr>
        <w:t>muft</w:t>
      </w:r>
      <w:r w:rsidRPr="0094142F">
        <w:rPr>
          <w:rFonts w:asciiTheme="majorBidi" w:hAnsiTheme="majorBidi" w:cstheme="majorBidi"/>
          <w:i/>
          <w:iCs/>
        </w:rPr>
        <w:t>ī</w:t>
      </w:r>
      <w:r w:rsidRPr="008C0CCF">
        <w:rPr>
          <w:rFonts w:asciiTheme="majorBidi" w:hAnsiTheme="majorBidi" w:cstheme="majorBidi"/>
          <w:sz w:val="24"/>
          <w:szCs w:val="24"/>
        </w:rPr>
        <w:t>), Majelsi Ulama Indonesia berperan sebagai pemberi fatwa bagi umat Islam baik diminta maupun tidak diminta. Sebagai lembaga pemberi fatwa MUI mengakomodasi dan menyalurkan aspirasi umat Islam Indonesia yang sangat beragam aliran paham dan pemikiran serta organisasi keagamaannya</w:t>
      </w:r>
    </w:p>
    <w:p w:rsidR="00343B61" w:rsidRPr="008C0CCF" w:rsidRDefault="00343B61" w:rsidP="002C0A33">
      <w:pPr>
        <w:pStyle w:val="ListParagraph"/>
        <w:numPr>
          <w:ilvl w:val="0"/>
          <w:numId w:val="36"/>
        </w:num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Sebagai pembimbing dan pelayan umat (</w:t>
      </w:r>
      <w:r w:rsidRPr="008C0CCF">
        <w:rPr>
          <w:rFonts w:asciiTheme="majorBidi" w:hAnsiTheme="majorBidi" w:cstheme="majorBidi"/>
          <w:i/>
          <w:iCs/>
          <w:sz w:val="24"/>
          <w:szCs w:val="24"/>
        </w:rPr>
        <w:t>Rā</w:t>
      </w:r>
      <w:r w:rsidRPr="008C0CCF">
        <w:rPr>
          <w:rFonts w:asciiTheme="majorBidi" w:hAnsiTheme="majorBidi" w:cstheme="majorBidi"/>
          <w:sz w:val="24"/>
          <w:szCs w:val="24"/>
        </w:rPr>
        <w:t>'</w:t>
      </w:r>
      <w:r w:rsidRPr="008C0CCF">
        <w:rPr>
          <w:rFonts w:asciiTheme="majorBidi" w:hAnsiTheme="majorBidi" w:cstheme="majorBidi"/>
          <w:i/>
          <w:iCs/>
          <w:sz w:val="24"/>
          <w:szCs w:val="24"/>
        </w:rPr>
        <w:t>iy wa khādim al-ummah</w:t>
      </w:r>
      <w:r w:rsidRPr="008C0CCF">
        <w:rPr>
          <w:rFonts w:asciiTheme="majorBidi" w:hAnsiTheme="majorBidi" w:cstheme="majorBidi"/>
          <w:sz w:val="24"/>
          <w:szCs w:val="24"/>
        </w:rPr>
        <w:t>), yaitu melayani umat dan bangsa dalam memenuhi harapan, aspirasi dan tuntutan mereka, serta selalu tampil di depan dalam membela dan memperjuangkan aspirasi umat dan bangsa dalam hubungannya dengan pemerintah</w:t>
      </w:r>
      <w:r w:rsidRPr="008C0CCF">
        <w:rPr>
          <w:rStyle w:val="FootnoteReference"/>
          <w:rFonts w:asciiTheme="majorBidi" w:hAnsiTheme="majorBidi" w:cstheme="majorBidi"/>
          <w:sz w:val="24"/>
          <w:szCs w:val="24"/>
        </w:rPr>
        <w:footnoteReference w:id="493"/>
      </w:r>
      <w:r w:rsidRPr="008C0CCF">
        <w:rPr>
          <w:rFonts w:asciiTheme="majorBidi" w:hAnsiTheme="majorBidi" w:cstheme="majorBidi"/>
          <w:sz w:val="24"/>
          <w:szCs w:val="24"/>
        </w:rPr>
        <w:t xml:space="preserve">. </w:t>
      </w:r>
    </w:p>
    <w:p w:rsidR="00343B61" w:rsidRPr="008C0CCF" w:rsidRDefault="00343B61" w:rsidP="002C0A33">
      <w:pPr>
        <w:pStyle w:val="ListParagraph"/>
        <w:numPr>
          <w:ilvl w:val="0"/>
          <w:numId w:val="36"/>
        </w:num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 xml:space="preserve">Sebagai wahana penegakan amar makruf nahyi munkar, yaitu dengan menegaskan kebenaran sebagai kebenaran dan kebatilan sebagai kebatilan dengan penuh hikmah dan istiqamah, serta senantiasa berusaha merubah dan memperbaiki keadaan masyarakat dan bangsa dari kondisi yang tidak sejalan dengan ajaran Islam menjadi masyarakat dan bangsa yang berkualitas ( </w:t>
      </w:r>
      <w:r w:rsidRPr="008C0CCF">
        <w:rPr>
          <w:rFonts w:asciiTheme="majorBidi" w:hAnsiTheme="majorBidi" w:cstheme="majorBidi"/>
          <w:i/>
          <w:iCs/>
          <w:sz w:val="24"/>
          <w:szCs w:val="24"/>
        </w:rPr>
        <w:t>khairu ummah</w:t>
      </w:r>
      <w:r w:rsidRPr="008C0CCF">
        <w:rPr>
          <w:rFonts w:asciiTheme="majorBidi" w:hAnsiTheme="majorBidi" w:cstheme="majorBidi"/>
          <w:sz w:val="24"/>
          <w:szCs w:val="24"/>
        </w:rPr>
        <w:t xml:space="preserve">) </w:t>
      </w:r>
    </w:p>
    <w:p w:rsidR="00343B61" w:rsidRPr="008C0CCF" w:rsidRDefault="00343B61" w:rsidP="002C0A33">
      <w:pPr>
        <w:pStyle w:val="ListParagraph"/>
        <w:numPr>
          <w:ilvl w:val="0"/>
          <w:numId w:val="36"/>
        </w:num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Sebagai gerakan pembaruan (</w:t>
      </w:r>
      <w:r w:rsidRPr="008C0CCF">
        <w:rPr>
          <w:rFonts w:asciiTheme="majorBidi" w:hAnsiTheme="majorBidi" w:cstheme="majorBidi"/>
          <w:i/>
          <w:iCs/>
          <w:sz w:val="24"/>
          <w:szCs w:val="24"/>
        </w:rPr>
        <w:t>al-Tajdīd</w:t>
      </w:r>
      <w:r w:rsidRPr="008C0CCF">
        <w:rPr>
          <w:rFonts w:asciiTheme="majorBidi" w:hAnsiTheme="majorBidi" w:cstheme="majorBidi"/>
          <w:sz w:val="24"/>
          <w:szCs w:val="24"/>
        </w:rPr>
        <w:t xml:space="preserve">), yaitu gerakan pelopor pembaruan pemikiran Islam. </w:t>
      </w:r>
    </w:p>
    <w:p w:rsidR="00343B61" w:rsidRPr="008C0CCF" w:rsidRDefault="00343B61" w:rsidP="002C0A33">
      <w:pPr>
        <w:pStyle w:val="ListParagraph"/>
        <w:numPr>
          <w:ilvl w:val="0"/>
          <w:numId w:val="36"/>
        </w:num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 xml:space="preserve">Gerakan </w:t>
      </w:r>
      <w:r w:rsidRPr="008C0CCF">
        <w:rPr>
          <w:rFonts w:asciiTheme="majorBidi" w:hAnsiTheme="majorBidi" w:cstheme="majorBidi"/>
          <w:i/>
          <w:iCs/>
          <w:sz w:val="24"/>
          <w:szCs w:val="24"/>
        </w:rPr>
        <w:t>Ishlā</w:t>
      </w:r>
      <w:r w:rsidRPr="008C0CCF">
        <w:rPr>
          <w:rFonts w:asciiTheme="majorBidi" w:hAnsiTheme="majorBidi" w:cstheme="majorBidi"/>
          <w:i/>
          <w:iCs/>
          <w:sz w:val="24"/>
          <w:szCs w:val="24"/>
          <w:u w:val="single"/>
          <w:lang w:val="id-ID"/>
        </w:rPr>
        <w:t>h</w:t>
      </w:r>
      <w:r w:rsidRPr="008C0CCF">
        <w:rPr>
          <w:rFonts w:asciiTheme="majorBidi" w:hAnsiTheme="majorBidi" w:cstheme="majorBidi"/>
          <w:i/>
          <w:iCs/>
          <w:sz w:val="24"/>
          <w:szCs w:val="24"/>
        </w:rPr>
        <w:t xml:space="preserve">, </w:t>
      </w:r>
      <w:r w:rsidRPr="008C0CCF">
        <w:rPr>
          <w:rFonts w:asciiTheme="majorBidi" w:hAnsiTheme="majorBidi" w:cstheme="majorBidi"/>
          <w:sz w:val="24"/>
          <w:szCs w:val="24"/>
        </w:rPr>
        <w:t xml:space="preserve">berperan sebagai juru damai terhadap perbedaan yang terjadi di kalangan umat dengan jalan </w:t>
      </w:r>
      <w:r w:rsidRPr="008C0CCF">
        <w:rPr>
          <w:rFonts w:asciiTheme="majorBidi" w:hAnsiTheme="majorBidi" w:cstheme="majorBidi"/>
          <w:i/>
          <w:iCs/>
          <w:sz w:val="24"/>
          <w:szCs w:val="24"/>
        </w:rPr>
        <w:t>al-jam’u wa at-tauf īq</w:t>
      </w:r>
      <w:r w:rsidRPr="008C0CCF">
        <w:rPr>
          <w:rFonts w:asciiTheme="majorBidi" w:hAnsiTheme="majorBidi" w:cstheme="majorBidi"/>
          <w:sz w:val="24"/>
          <w:szCs w:val="24"/>
        </w:rPr>
        <w:t xml:space="preserve"> (kompromi </w:t>
      </w:r>
      <w:r w:rsidRPr="008C0CCF">
        <w:rPr>
          <w:rFonts w:asciiTheme="majorBidi" w:hAnsiTheme="majorBidi" w:cstheme="majorBidi"/>
          <w:sz w:val="24"/>
          <w:szCs w:val="24"/>
        </w:rPr>
        <w:lastRenderedPageBreak/>
        <w:t xml:space="preserve">dan persesuain) dan </w:t>
      </w:r>
      <w:r w:rsidRPr="008C0CCF">
        <w:rPr>
          <w:rFonts w:asciiTheme="majorBidi" w:hAnsiTheme="majorBidi" w:cstheme="majorBidi"/>
          <w:i/>
          <w:iCs/>
          <w:sz w:val="24"/>
          <w:szCs w:val="24"/>
        </w:rPr>
        <w:t>tarjīh</w:t>
      </w:r>
      <w:r w:rsidRPr="008C0CCF">
        <w:rPr>
          <w:rFonts w:asciiTheme="majorBidi" w:hAnsiTheme="majorBidi" w:cstheme="majorBidi"/>
          <w:sz w:val="24"/>
          <w:szCs w:val="24"/>
        </w:rPr>
        <w:t xml:space="preserve"> ( mencari hukum yang lebih kuat) sehingga diharapan persaudaraan di kalangan umat Islam tetap terjaga .</w:t>
      </w:r>
      <w:r w:rsidRPr="008C0CCF">
        <w:rPr>
          <w:rStyle w:val="FootnoteReference"/>
          <w:rFonts w:asciiTheme="majorBidi" w:hAnsiTheme="majorBidi" w:cstheme="majorBidi"/>
          <w:sz w:val="24"/>
          <w:szCs w:val="24"/>
        </w:rPr>
        <w:footnoteReference w:id="494"/>
      </w:r>
    </w:p>
    <w:p w:rsidR="00343B61" w:rsidRPr="008C0CCF" w:rsidRDefault="00343B61" w:rsidP="00343B61">
      <w:pPr>
        <w:spacing w:line="360" w:lineRule="auto"/>
        <w:ind w:firstLine="630"/>
        <w:jc w:val="both"/>
        <w:rPr>
          <w:rFonts w:asciiTheme="majorBidi" w:hAnsiTheme="majorBidi" w:cstheme="majorBidi"/>
          <w:sz w:val="24"/>
          <w:szCs w:val="24"/>
        </w:rPr>
      </w:pPr>
      <w:r w:rsidRPr="008C0CCF">
        <w:rPr>
          <w:rFonts w:asciiTheme="majorBidi" w:hAnsiTheme="majorBidi" w:cstheme="majorBidi"/>
          <w:sz w:val="24"/>
          <w:szCs w:val="24"/>
        </w:rPr>
        <w:t>Adapun tujuan didirikannya MUI adalah untuk mewujudkan masyarakat yang berkualitas (</w:t>
      </w:r>
      <w:r w:rsidRPr="008C0CCF">
        <w:rPr>
          <w:rFonts w:asciiTheme="majorBidi" w:hAnsiTheme="majorBidi" w:cstheme="majorBidi"/>
          <w:i/>
          <w:iCs/>
          <w:sz w:val="24"/>
          <w:szCs w:val="24"/>
        </w:rPr>
        <w:t>khairu ummah</w:t>
      </w:r>
      <w:r w:rsidRPr="008C0CCF">
        <w:rPr>
          <w:rFonts w:asciiTheme="majorBidi" w:hAnsiTheme="majorBidi" w:cstheme="majorBidi"/>
          <w:sz w:val="24"/>
          <w:szCs w:val="24"/>
        </w:rPr>
        <w:t>), dan negara yang aman, damai, adil dan makmur rohaniah dan jasmaniah yang diridhai Allh SWT (</w:t>
      </w:r>
      <w:r w:rsidRPr="008C0CCF">
        <w:rPr>
          <w:rFonts w:asciiTheme="majorBidi" w:hAnsiTheme="majorBidi" w:cstheme="majorBidi"/>
          <w:i/>
          <w:iCs/>
          <w:sz w:val="24"/>
          <w:szCs w:val="24"/>
        </w:rPr>
        <w:t>baldatun Thayyibatun wa rabbun ghafūr</w:t>
      </w:r>
      <w:r w:rsidRPr="008C0CCF">
        <w:rPr>
          <w:rFonts w:asciiTheme="majorBidi" w:hAnsiTheme="majorBidi" w:cstheme="majorBidi"/>
          <w:sz w:val="24"/>
          <w:szCs w:val="24"/>
        </w:rPr>
        <w:t>).</w:t>
      </w:r>
      <w:r w:rsidRPr="008C0CCF">
        <w:rPr>
          <w:rStyle w:val="FootnoteReference"/>
          <w:rFonts w:asciiTheme="majorBidi" w:hAnsiTheme="majorBidi" w:cstheme="majorBidi"/>
          <w:sz w:val="24"/>
          <w:szCs w:val="24"/>
        </w:rPr>
        <w:footnoteReference w:id="495"/>
      </w:r>
      <w:r w:rsidRPr="008C0CCF">
        <w:rPr>
          <w:rFonts w:asciiTheme="majorBidi" w:hAnsiTheme="majorBidi" w:cstheme="majorBidi"/>
          <w:sz w:val="24"/>
          <w:szCs w:val="24"/>
        </w:rPr>
        <w:t xml:space="preserve"> Untuk mencapai tujuan tersebut, Majelis Ulama Indonesia melaksanakan usaha-usaha sebagai berikut :</w:t>
      </w:r>
    </w:p>
    <w:p w:rsidR="00343B61" w:rsidRPr="008C0CCF" w:rsidRDefault="00343B61" w:rsidP="00343B61">
      <w:pPr>
        <w:autoSpaceDE w:val="0"/>
        <w:autoSpaceDN w:val="0"/>
        <w:adjustRightInd w:val="0"/>
        <w:spacing w:line="360" w:lineRule="auto"/>
        <w:ind w:left="1170" w:hanging="450"/>
        <w:jc w:val="both"/>
        <w:rPr>
          <w:rFonts w:asciiTheme="majorBidi" w:hAnsiTheme="majorBidi" w:cstheme="majorBidi"/>
          <w:sz w:val="24"/>
          <w:szCs w:val="24"/>
        </w:rPr>
      </w:pPr>
      <w:r w:rsidRPr="008C0CCF">
        <w:rPr>
          <w:rFonts w:asciiTheme="majorBidi" w:hAnsiTheme="majorBidi" w:cstheme="majorBidi"/>
          <w:sz w:val="24"/>
          <w:szCs w:val="24"/>
        </w:rPr>
        <w:t xml:space="preserve"> a). Memberikan bimbingan dan tuntunan kepada umat Islam agar tercipta kondisi kehidupan beragama yang bisa menjadi landasan yang kuat dan bisa mendorong terwujudnya masyarakat yang berkualitias ( </w:t>
      </w:r>
      <w:r w:rsidRPr="008C0CCF">
        <w:rPr>
          <w:rFonts w:asciiTheme="majorBidi" w:hAnsiTheme="majorBidi" w:cstheme="majorBidi"/>
          <w:i/>
          <w:iCs/>
          <w:sz w:val="24"/>
          <w:szCs w:val="24"/>
        </w:rPr>
        <w:t>khairu ummah</w:t>
      </w:r>
      <w:r w:rsidRPr="008C0CCF">
        <w:rPr>
          <w:rFonts w:asciiTheme="majorBidi" w:hAnsiTheme="majorBidi" w:cstheme="majorBidi"/>
          <w:sz w:val="24"/>
          <w:szCs w:val="24"/>
        </w:rPr>
        <w:t>).</w:t>
      </w:r>
    </w:p>
    <w:p w:rsidR="00343B61" w:rsidRPr="008C0CCF" w:rsidRDefault="00343B61" w:rsidP="00343B61">
      <w:pPr>
        <w:autoSpaceDE w:val="0"/>
        <w:autoSpaceDN w:val="0"/>
        <w:adjustRightInd w:val="0"/>
        <w:spacing w:after="0" w:line="360" w:lineRule="auto"/>
        <w:ind w:left="1080" w:hanging="360"/>
        <w:jc w:val="both"/>
        <w:rPr>
          <w:rFonts w:asciiTheme="majorBidi" w:hAnsiTheme="majorBidi" w:cstheme="majorBidi"/>
          <w:sz w:val="24"/>
          <w:szCs w:val="24"/>
        </w:rPr>
      </w:pPr>
      <w:r w:rsidRPr="008C0CCF">
        <w:rPr>
          <w:rFonts w:asciiTheme="majorBidi" w:hAnsiTheme="majorBidi" w:cstheme="majorBidi"/>
          <w:sz w:val="24"/>
          <w:szCs w:val="24"/>
        </w:rPr>
        <w:t>b)  Merumuskan kebijakan penyelenggaraan dakwah Islam dan amar ma’ruf nahi munkar untuk memacu terwujudnya kehidupan beragama dan bermasyrakat yang diridhai oleh Allah SWT.</w:t>
      </w:r>
    </w:p>
    <w:p w:rsidR="00343B61" w:rsidRPr="008C0CCF" w:rsidRDefault="00343B61" w:rsidP="00343B61">
      <w:pPr>
        <w:autoSpaceDE w:val="0"/>
        <w:autoSpaceDN w:val="0"/>
        <w:adjustRightInd w:val="0"/>
        <w:spacing w:after="0" w:line="360" w:lineRule="auto"/>
        <w:ind w:left="1080" w:hanging="450"/>
        <w:jc w:val="both"/>
        <w:rPr>
          <w:rFonts w:asciiTheme="majorBidi" w:hAnsiTheme="majorBidi" w:cstheme="majorBidi"/>
          <w:sz w:val="24"/>
          <w:szCs w:val="24"/>
        </w:rPr>
      </w:pPr>
      <w:r w:rsidRPr="008C0CCF">
        <w:rPr>
          <w:rFonts w:asciiTheme="majorBidi" w:hAnsiTheme="majorBidi" w:cstheme="majorBidi"/>
          <w:sz w:val="24"/>
          <w:szCs w:val="24"/>
        </w:rPr>
        <w:t xml:space="preserve"> c). Memberikan peringatan, nasehat dan fatwa mengenai masalah keagamaan dan kemasyarakatan kepada masyarakat dan pemerintah dengan bijak (hikmah) dan menyejukkan. </w:t>
      </w:r>
    </w:p>
    <w:p w:rsidR="00343B61" w:rsidRPr="008C0CCF" w:rsidRDefault="00343B61" w:rsidP="00343B61">
      <w:pPr>
        <w:pStyle w:val="ListParagraph"/>
        <w:tabs>
          <w:tab w:val="left" w:pos="1080"/>
        </w:tabs>
        <w:spacing w:after="0" w:line="360" w:lineRule="auto"/>
        <w:ind w:left="1080" w:hanging="360"/>
        <w:jc w:val="both"/>
        <w:rPr>
          <w:rFonts w:asciiTheme="majorBidi" w:hAnsiTheme="majorBidi" w:cstheme="majorBidi"/>
          <w:i/>
          <w:iCs/>
          <w:sz w:val="24"/>
          <w:szCs w:val="24"/>
          <w:lang w:val="id-ID"/>
        </w:rPr>
      </w:pPr>
      <w:r w:rsidRPr="008C0CCF">
        <w:rPr>
          <w:rFonts w:asciiTheme="majorBidi" w:hAnsiTheme="majorBidi" w:cstheme="majorBidi"/>
          <w:sz w:val="24"/>
          <w:szCs w:val="24"/>
        </w:rPr>
        <w:t xml:space="preserve"> d) Merumuskan pola hubungan keummatan yang memungkinkan terwujudnya ukhuwah </w:t>
      </w:r>
      <w:r w:rsidRPr="008C0CCF">
        <w:rPr>
          <w:rFonts w:asciiTheme="majorBidi" w:hAnsiTheme="majorBidi" w:cstheme="majorBidi"/>
          <w:i/>
          <w:iCs/>
          <w:sz w:val="24"/>
          <w:szCs w:val="24"/>
        </w:rPr>
        <w:t>Islāmiya</w:t>
      </w:r>
      <w:r w:rsidRPr="008C0CCF">
        <w:rPr>
          <w:rFonts w:asciiTheme="majorBidi" w:hAnsiTheme="majorBidi" w:cstheme="majorBidi"/>
          <w:sz w:val="24"/>
          <w:szCs w:val="24"/>
        </w:rPr>
        <w:t>h dan kerukunan antar umat beragama dalam memantapkan persatuan dan kesatuan bangsa.</w:t>
      </w:r>
    </w:p>
    <w:p w:rsidR="00343B61" w:rsidRPr="008C0CCF" w:rsidRDefault="00343B61" w:rsidP="00343B61">
      <w:pPr>
        <w:autoSpaceDE w:val="0"/>
        <w:autoSpaceDN w:val="0"/>
        <w:adjustRightInd w:val="0"/>
        <w:spacing w:after="0" w:line="360" w:lineRule="auto"/>
        <w:ind w:left="1080" w:hanging="360"/>
        <w:jc w:val="both"/>
        <w:rPr>
          <w:rFonts w:asciiTheme="majorBidi" w:hAnsiTheme="majorBidi" w:cstheme="majorBidi"/>
          <w:sz w:val="24"/>
          <w:szCs w:val="24"/>
          <w:lang w:val="id-ID"/>
        </w:rPr>
      </w:pPr>
      <w:r w:rsidRPr="008C0CCF">
        <w:rPr>
          <w:rFonts w:asciiTheme="majorBidi" w:hAnsiTheme="majorBidi" w:cstheme="majorBidi"/>
          <w:sz w:val="24"/>
          <w:szCs w:val="24"/>
          <w:lang w:val="id-ID"/>
        </w:rPr>
        <w:t xml:space="preserve">e).  Menjadi penghubung antara ulama dan umarā ( pemerintah) dan penterjamah timbal balik antara pemerintah dan ummat guna mendcapai masyarakat berkualitas ( </w:t>
      </w:r>
      <w:r w:rsidRPr="008C0CCF">
        <w:rPr>
          <w:rFonts w:asciiTheme="majorBidi" w:hAnsiTheme="majorBidi" w:cstheme="majorBidi"/>
          <w:i/>
          <w:iCs/>
          <w:sz w:val="24"/>
          <w:szCs w:val="24"/>
          <w:lang w:val="id-ID"/>
        </w:rPr>
        <w:t>khairu ummah</w:t>
      </w:r>
      <w:r w:rsidRPr="008C0CCF">
        <w:rPr>
          <w:rFonts w:asciiTheme="majorBidi" w:hAnsiTheme="majorBidi" w:cstheme="majorBidi"/>
          <w:sz w:val="24"/>
          <w:szCs w:val="24"/>
          <w:lang w:val="id-ID"/>
        </w:rPr>
        <w:t xml:space="preserve">) yang diridhai Allh SWT ( </w:t>
      </w:r>
      <w:r w:rsidRPr="008C0CCF">
        <w:rPr>
          <w:rFonts w:asciiTheme="majorBidi" w:hAnsiTheme="majorBidi" w:cstheme="majorBidi"/>
          <w:i/>
          <w:iCs/>
          <w:sz w:val="24"/>
          <w:szCs w:val="24"/>
          <w:lang w:val="id-ID"/>
        </w:rPr>
        <w:t>baldatun Thayyibatun wa rabbun ghafūr</w:t>
      </w:r>
      <w:r w:rsidRPr="008C0CCF">
        <w:rPr>
          <w:rFonts w:asciiTheme="majorBidi" w:hAnsiTheme="majorBidi" w:cstheme="majorBidi"/>
          <w:sz w:val="24"/>
          <w:szCs w:val="24"/>
          <w:lang w:val="id-ID"/>
        </w:rPr>
        <w:t>).</w:t>
      </w:r>
    </w:p>
    <w:p w:rsidR="00343B61" w:rsidRPr="008C0CCF" w:rsidRDefault="00343B61" w:rsidP="00343B61">
      <w:pPr>
        <w:autoSpaceDE w:val="0"/>
        <w:autoSpaceDN w:val="0"/>
        <w:adjustRightInd w:val="0"/>
        <w:spacing w:after="0" w:line="360" w:lineRule="auto"/>
        <w:ind w:left="1080" w:hanging="360"/>
        <w:jc w:val="both"/>
        <w:rPr>
          <w:rFonts w:asciiTheme="majorBidi" w:hAnsiTheme="majorBidi" w:cstheme="majorBidi"/>
          <w:sz w:val="24"/>
          <w:szCs w:val="24"/>
        </w:rPr>
      </w:pPr>
      <w:r w:rsidRPr="008C0CCF">
        <w:rPr>
          <w:rFonts w:asciiTheme="majorBidi" w:hAnsiTheme="majorBidi" w:cstheme="majorBidi"/>
          <w:sz w:val="24"/>
          <w:szCs w:val="24"/>
        </w:rPr>
        <w:lastRenderedPageBreak/>
        <w:t>f). Meningkatkan hubungan serta kerja sama antara organisasi, lembaga Islam dan cendekiawan muslim, serta menciptakan program-program bersama untuk kepentingan umat.</w:t>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k) Usaha/kegiatan lain yang sesuai dengan tujuan organisasi</w:t>
      </w:r>
      <w:r w:rsidRPr="008C0CCF">
        <w:rPr>
          <w:rStyle w:val="FootnoteReference"/>
          <w:rFonts w:asciiTheme="majorBidi" w:hAnsiTheme="majorBidi" w:cstheme="majorBidi"/>
          <w:sz w:val="24"/>
          <w:szCs w:val="24"/>
        </w:rPr>
        <w:footnoteReference w:id="496"/>
      </w:r>
      <w:r w:rsidRPr="008C0CCF">
        <w:rPr>
          <w:rFonts w:asciiTheme="majorBidi" w:hAnsiTheme="majorBidi" w:cstheme="majorBidi"/>
          <w:sz w:val="24"/>
          <w:szCs w:val="24"/>
        </w:rPr>
        <w:t>.</w:t>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 xml:space="preserve">Majelis Ulama Indonesia (MUI) sejak mula berdirinya (1975), sudah dibatasi ruang geraknya. </w:t>
      </w:r>
      <w:r w:rsidRPr="008C0CCF">
        <w:rPr>
          <w:rFonts w:asciiTheme="majorBidi" w:hAnsiTheme="majorBidi" w:cstheme="majorBidi"/>
          <w:i/>
          <w:iCs/>
          <w:sz w:val="24"/>
          <w:szCs w:val="24"/>
        </w:rPr>
        <w:t>Pertama</w:t>
      </w:r>
      <w:r w:rsidRPr="008C0CCF">
        <w:rPr>
          <w:rFonts w:asciiTheme="majorBidi" w:hAnsiTheme="majorBidi" w:cstheme="majorBidi"/>
          <w:sz w:val="24"/>
          <w:szCs w:val="24"/>
        </w:rPr>
        <w:t xml:space="preserve">, ia tidak boleh terlibat dalam kegiatan politik praktis karena hal itu sudah dilakukan dan menjadi porsi partai politik yakni PPP dan PDI serta Golkar. </w:t>
      </w:r>
      <w:r w:rsidRPr="008C0CCF">
        <w:rPr>
          <w:rFonts w:asciiTheme="majorBidi" w:hAnsiTheme="majorBidi" w:cstheme="majorBidi"/>
          <w:i/>
          <w:iCs/>
          <w:sz w:val="24"/>
          <w:szCs w:val="24"/>
        </w:rPr>
        <w:t>Kedua</w:t>
      </w:r>
      <w:r w:rsidRPr="008C0CCF">
        <w:rPr>
          <w:rFonts w:asciiTheme="majorBidi" w:hAnsiTheme="majorBidi" w:cstheme="majorBidi"/>
          <w:sz w:val="24"/>
          <w:szCs w:val="24"/>
        </w:rPr>
        <w:t>, ia juga tidak boleh melibatkan diri dalam kegiatan-kegiatan taktis yang menjadi garapan ormas-ormas Islam sehingga ia tidak menjadi saingan bagi ormas-ormas tersebut. Pembatasan ini pada awalnya disampaikan oleh Presiden Soeharto dalam pengarahan musyawarah, tetapi pada akhirnya disetujui juga oleh para ulama yang hadir dalam musyawarah tersebut. Semenjak 1990, batasan tentang lingkup dan fungsi organisiasi MUI mengalami perluasan. MUI secara bertahap menyelenggarakan program-program yang praktis, seperti mengirimkan para da'i ke wilayah transmigrasi, mendirikan Bank Mu’amalat Indonesia dan Badan Arbitrasi Kasus-kasus Muamalah, mendirikan Lembaga Pengkajian Pangan, Obat-obatan dan Kosmetika (LP-POM), yang telah memberikan sertifikasi halal untuk makanan baik produk dari dalam negeri maupun luar negeri. Sertifikat halal ini memberikan dampak yang besar bagi masyarakat</w:t>
      </w:r>
      <w:r w:rsidRPr="008C0CCF">
        <w:rPr>
          <w:rStyle w:val="FootnoteReference"/>
          <w:rFonts w:asciiTheme="majorBidi" w:hAnsiTheme="majorBidi" w:cstheme="majorBidi"/>
          <w:sz w:val="24"/>
          <w:szCs w:val="24"/>
        </w:rPr>
        <w:footnoteReference w:id="497"/>
      </w:r>
      <w:r w:rsidRPr="008C0CCF">
        <w:rPr>
          <w:rFonts w:asciiTheme="majorBidi" w:hAnsiTheme="majorBidi" w:cstheme="majorBidi"/>
          <w:sz w:val="24"/>
          <w:szCs w:val="24"/>
        </w:rPr>
        <w:t>.</w:t>
      </w:r>
    </w:p>
    <w:p w:rsidR="00343B61" w:rsidRPr="008C0CCF"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color w:val="FF0000"/>
          <w:sz w:val="24"/>
          <w:szCs w:val="24"/>
        </w:rPr>
      </w:pPr>
      <w:r w:rsidRPr="008C0CCF">
        <w:rPr>
          <w:rFonts w:asciiTheme="majorBidi" w:hAnsiTheme="majorBidi" w:cstheme="majorBidi"/>
          <w:sz w:val="24"/>
          <w:szCs w:val="24"/>
        </w:rPr>
        <w:t>Hubungan organisasi antara MUI Pusat dengan MUI Provinsi, antara MUI Provinsi dengan MUI Kabupaten/Kota, antara MUI Kabupaten/Kota dengan MUI Kecamatan, secara berjenjang bersifat koordinatif, aspiratif</w:t>
      </w:r>
      <w:r>
        <w:rPr>
          <w:rFonts w:asciiTheme="majorBidi" w:hAnsiTheme="majorBidi" w:cstheme="majorBidi"/>
          <w:sz w:val="24"/>
          <w:szCs w:val="24"/>
        </w:rPr>
        <w:t xml:space="preserve">, dan struktural administratif. </w:t>
      </w:r>
      <w:r w:rsidRPr="008C0CCF">
        <w:rPr>
          <w:rFonts w:asciiTheme="majorBidi" w:hAnsiTheme="majorBidi" w:cstheme="majorBidi"/>
          <w:sz w:val="24"/>
          <w:szCs w:val="24"/>
        </w:rPr>
        <w:t xml:space="preserve">Sedangkan hubungan antara MUI dengan organisasi kemasyarakatan/kelembagaan Islam bersifat konsultatif dan kemitraan. Organisasi </w:t>
      </w:r>
      <w:r w:rsidRPr="008C0CCF">
        <w:rPr>
          <w:rFonts w:asciiTheme="majorBidi" w:hAnsiTheme="majorBidi" w:cstheme="majorBidi"/>
          <w:sz w:val="24"/>
          <w:szCs w:val="24"/>
        </w:rPr>
        <w:lastRenderedPageBreak/>
        <w:t>MUI tidak memiliki stelsel keanggotaan. MUI juga bukan merupakan federasi ormas-ormas/ kelembagaan Islam.</w:t>
      </w:r>
      <w:r w:rsidRPr="008C0CCF">
        <w:rPr>
          <w:rStyle w:val="FootnoteReference"/>
          <w:rFonts w:asciiTheme="majorBidi" w:hAnsiTheme="majorBidi" w:cstheme="majorBidi"/>
          <w:sz w:val="24"/>
          <w:szCs w:val="24"/>
        </w:rPr>
        <w:footnoteReference w:id="498"/>
      </w:r>
    </w:p>
    <w:p w:rsidR="00343B61" w:rsidRPr="008C0CCF" w:rsidRDefault="00343B61" w:rsidP="002C0A33">
      <w:pPr>
        <w:pStyle w:val="ListParagraph"/>
        <w:numPr>
          <w:ilvl w:val="0"/>
          <w:numId w:val="37"/>
        </w:numPr>
        <w:autoSpaceDE w:val="0"/>
        <w:autoSpaceDN w:val="0"/>
        <w:adjustRightInd w:val="0"/>
        <w:spacing w:after="0" w:line="360" w:lineRule="auto"/>
        <w:ind w:left="630" w:hanging="270"/>
        <w:jc w:val="both"/>
        <w:rPr>
          <w:rFonts w:asciiTheme="majorBidi" w:hAnsiTheme="majorBidi" w:cstheme="majorBidi"/>
          <w:sz w:val="24"/>
          <w:szCs w:val="24"/>
        </w:rPr>
      </w:pPr>
      <w:r w:rsidRPr="008C0CCF">
        <w:rPr>
          <w:rFonts w:asciiTheme="majorBidi" w:hAnsiTheme="majorBidi" w:cstheme="majorBidi"/>
          <w:sz w:val="24"/>
          <w:szCs w:val="24"/>
        </w:rPr>
        <w:t>Perangkat Organisasi, Komisi, Lembaga dan Badan MUI</w:t>
      </w:r>
    </w:p>
    <w:p w:rsidR="00343B61" w:rsidRPr="008C0CCF" w:rsidRDefault="00343B61" w:rsidP="00343B61">
      <w:pPr>
        <w:autoSpaceDE w:val="0"/>
        <w:autoSpaceDN w:val="0"/>
        <w:adjustRightInd w:val="0"/>
        <w:spacing w:after="0" w:line="360" w:lineRule="auto"/>
        <w:jc w:val="both"/>
        <w:rPr>
          <w:rFonts w:asciiTheme="majorBidi" w:hAnsiTheme="majorBidi" w:cstheme="majorBidi"/>
          <w:sz w:val="24"/>
          <w:szCs w:val="24"/>
        </w:rPr>
      </w:pPr>
      <w:r w:rsidRPr="008C0CCF">
        <w:rPr>
          <w:rFonts w:asciiTheme="majorBidi" w:hAnsiTheme="majorBidi" w:cstheme="majorBidi"/>
          <w:sz w:val="24"/>
          <w:szCs w:val="24"/>
        </w:rPr>
        <w:tab/>
        <w:t>Dalam Pedoman Rumah tangga Majelis Ulama Indonesia pasal (5) mengenai perangkat Organisasi dijelaskan bahwa perangkat Organisasi MUI adalah: komisi-komisi, lembaga/badan (ayat 1). Kemudian pada ayat 2 dijelaskan bahwa dalam melaksanakan kegiatannya, Dewan Pimpinan membentuk komisi-komisi yang bertugas untuk menelaah, membahas, merumuskan dan menyampaikan usul-usul kepada Dewan Pimpinan sesuai dengan bidang masing-masing. Pada ayat (3) berbunyi:” dalam melaksanakan program dapat membentuk lembaga/badan sesuai dengan kebutuhan.” Perangkat organisasi MUI ini ada di tingkat pusat maupun provinsi sesuai kebutuhan, kemampuan dan kelayakan.</w:t>
      </w:r>
      <w:r w:rsidRPr="008C0CCF">
        <w:rPr>
          <w:rStyle w:val="FootnoteReference"/>
          <w:rFonts w:asciiTheme="majorBidi" w:hAnsiTheme="majorBidi" w:cstheme="majorBidi"/>
          <w:sz w:val="24"/>
          <w:szCs w:val="24"/>
        </w:rPr>
        <w:footnoteReference w:id="499"/>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Mengingat persoalan kemasyarakatan demikian luas baik lokal, nasional, regional dan internasional yang selalu berkembang dengan pesat, maka komisi-komisi MUI juga harus mampu mengikuti perkembangan masyarakat. Disamping itu, secara mendalam komisi-komisi membahas persoalan yang khusus, namun hasilnya harus bisa dirasakan oleh masyarakat secara umum</w:t>
      </w:r>
      <w:r w:rsidRPr="008C0CCF">
        <w:rPr>
          <w:rStyle w:val="FootnoteReference"/>
          <w:rFonts w:asciiTheme="majorBidi" w:hAnsiTheme="majorBidi" w:cstheme="majorBidi"/>
          <w:sz w:val="24"/>
          <w:szCs w:val="24"/>
        </w:rPr>
        <w:footnoteReference w:id="500"/>
      </w:r>
      <w:r w:rsidRPr="008C0CCF">
        <w:rPr>
          <w:rFonts w:asciiTheme="majorBidi" w:hAnsiTheme="majorBidi" w:cstheme="majorBidi"/>
          <w:sz w:val="24"/>
          <w:szCs w:val="24"/>
        </w:rPr>
        <w:t xml:space="preserve">. </w:t>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Secara operasional, saat ini komisi yang ada di lingkungan MUI Pusat meliputi : (i) Komisi Fatwa; (ii) Komisi Ukhuwah Islamiyah; (iii) Komisi Dakwah dan Pengembangan Masyarakat Islam; (iv) Komisi Pendidikan (Tarbiyah) dan Pembinaan Seni Budaya Islam; (v) Komisi Pengkajian dan Penelitian; (vi) Komisi Hukum dan Perundang-undangan; (vii) Komisi Pemberdayaan Ekonomi ummat; (viii) Komisi Pemberdayaan Perempuan, Remaja dan Keluarga; (ix) Komisi Informatika dan Media Massa; (x) Komisi Kerukunan Ummat Beragama; dan (xi) Komisi Hubungan Luar Negeri</w:t>
      </w:r>
      <w:r w:rsidRPr="008C0CCF">
        <w:rPr>
          <w:rStyle w:val="FootnoteReference"/>
          <w:rFonts w:asciiTheme="majorBidi" w:hAnsiTheme="majorBidi" w:cstheme="majorBidi"/>
          <w:sz w:val="24"/>
          <w:szCs w:val="24"/>
        </w:rPr>
        <w:footnoteReference w:id="501"/>
      </w:r>
    </w:p>
    <w:p w:rsidR="00343B61" w:rsidRPr="008C0CC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lastRenderedPageBreak/>
        <w:t>Dan dalam melaksanakan program yang bersifat khusus/printisan, MUI telah membentuk lembaga-lembaga Khusus yaitu; (i) Lembaga Pengkajian Pangan, Obat-obatan, Minuman dan Kosmetik (LP-POM); (ii) Dewan Syari’ah Nasional (DSN); (iii) Badan Arbitrase Syraiah Nasional ( BASYARNAS); (iv) Badan Penerit MUI; (v) Yayasan dana Dakwah Pembangunan.</w:t>
      </w:r>
      <w:r w:rsidRPr="008C0CCF">
        <w:rPr>
          <w:rStyle w:val="FootnoteReference"/>
          <w:rFonts w:asciiTheme="majorBidi" w:hAnsiTheme="majorBidi" w:cstheme="majorBidi"/>
          <w:sz w:val="24"/>
          <w:szCs w:val="24"/>
        </w:rPr>
        <w:footnoteReference w:id="502"/>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C0CCF">
        <w:rPr>
          <w:rFonts w:asciiTheme="majorBidi" w:hAnsiTheme="majorBidi" w:cstheme="majorBidi"/>
          <w:sz w:val="24"/>
          <w:szCs w:val="24"/>
        </w:rPr>
        <w:t>MUI pusat juga telah membentuk sejumlah kelembagaan/tim yang bersifat sementara/temporer (</w:t>
      </w:r>
      <w:r w:rsidRPr="008C0CCF">
        <w:rPr>
          <w:rFonts w:asciiTheme="majorBidi" w:hAnsiTheme="majorBidi" w:cstheme="majorBidi"/>
          <w:i/>
          <w:iCs/>
          <w:sz w:val="24"/>
          <w:szCs w:val="24"/>
        </w:rPr>
        <w:t>ad hock</w:t>
      </w:r>
      <w:r w:rsidRPr="008C0CCF">
        <w:rPr>
          <w:rFonts w:asciiTheme="majorBidi" w:hAnsiTheme="majorBidi" w:cstheme="majorBidi"/>
          <w:sz w:val="24"/>
          <w:szCs w:val="24"/>
        </w:rPr>
        <w:t>) seperti; (i) Tim pencari Fakta Kasus Maluku ( TPF- Maluku); (ii) Dompet Amal Kemanusian; (iii) Tim Peneliti/Pengkjain Kasus; ( iv) Komite Indoneisa untuk Solidaritas Palesina ( KISPA); (v) Aliansi Masyarakat Anti Pornografi; (vi) Tim Penanggulangan Terorisme ( TPT); dan (vii) Komite Dakwah Khusus ( KDK)</w:t>
      </w:r>
      <w:r w:rsidRPr="008C0CCF">
        <w:rPr>
          <w:rStyle w:val="FootnoteReference"/>
          <w:rFonts w:asciiTheme="majorBidi" w:hAnsiTheme="majorBidi" w:cstheme="majorBidi"/>
          <w:sz w:val="24"/>
          <w:szCs w:val="24"/>
        </w:rPr>
        <w:footnoteReference w:id="503"/>
      </w:r>
    </w:p>
    <w:p w:rsidR="00343B61" w:rsidRPr="00DC7F46" w:rsidRDefault="00343B61" w:rsidP="002C0A33">
      <w:pPr>
        <w:pStyle w:val="ListParagraph"/>
        <w:numPr>
          <w:ilvl w:val="0"/>
          <w:numId w:val="38"/>
        </w:numPr>
        <w:spacing w:line="360" w:lineRule="auto"/>
        <w:ind w:left="450"/>
        <w:rPr>
          <w:rFonts w:asciiTheme="majorBidi" w:hAnsiTheme="majorBidi" w:cstheme="majorBidi"/>
          <w:sz w:val="24"/>
          <w:szCs w:val="24"/>
        </w:rPr>
      </w:pPr>
      <w:r w:rsidRPr="00DC7F46">
        <w:rPr>
          <w:rFonts w:asciiTheme="majorBidi" w:hAnsiTheme="majorBidi" w:cstheme="majorBidi"/>
          <w:sz w:val="24"/>
          <w:szCs w:val="24"/>
        </w:rPr>
        <w:t xml:space="preserve">Metode </w:t>
      </w:r>
      <w:r w:rsidRPr="00DC7F46">
        <w:rPr>
          <w:rFonts w:asciiTheme="majorBidi" w:hAnsiTheme="majorBidi" w:cstheme="majorBidi"/>
          <w:i/>
          <w:iCs/>
          <w:sz w:val="24"/>
          <w:szCs w:val="24"/>
        </w:rPr>
        <w:t>Istinbāṭ</w:t>
      </w:r>
      <w:r w:rsidRPr="00DC7F46">
        <w:rPr>
          <w:rFonts w:asciiTheme="majorBidi" w:hAnsiTheme="majorBidi" w:cstheme="majorBidi"/>
          <w:sz w:val="24"/>
          <w:szCs w:val="24"/>
        </w:rPr>
        <w:t xml:space="preserve"> </w:t>
      </w:r>
      <w:r w:rsidRPr="00DC7F46">
        <w:rPr>
          <w:rFonts w:asciiTheme="majorBidi" w:hAnsiTheme="majorBidi" w:cstheme="majorBidi"/>
          <w:i/>
          <w:iCs/>
          <w:sz w:val="24"/>
          <w:szCs w:val="24"/>
        </w:rPr>
        <w:t>Al-a</w:t>
      </w:r>
      <w:r w:rsidRPr="00DC7F46">
        <w:rPr>
          <w:rFonts w:asciiTheme="majorBidi" w:hAnsiTheme="majorBidi" w:cstheme="majorBidi"/>
          <w:i/>
          <w:iCs/>
          <w:sz w:val="24"/>
          <w:szCs w:val="24"/>
          <w:u w:val="single"/>
          <w:lang w:val="id-ID"/>
        </w:rPr>
        <w:t>h</w:t>
      </w:r>
      <w:r w:rsidRPr="00DC7F46">
        <w:rPr>
          <w:rFonts w:asciiTheme="majorBidi" w:hAnsiTheme="majorBidi" w:cstheme="majorBidi"/>
          <w:i/>
          <w:iCs/>
          <w:sz w:val="24"/>
          <w:szCs w:val="24"/>
        </w:rPr>
        <w:t>kām</w:t>
      </w:r>
      <w:r w:rsidRPr="00DC7F46">
        <w:rPr>
          <w:rFonts w:asciiTheme="majorBidi" w:hAnsiTheme="majorBidi" w:cstheme="majorBidi"/>
          <w:sz w:val="24"/>
          <w:szCs w:val="24"/>
        </w:rPr>
        <w:t xml:space="preserve"> pada </w:t>
      </w:r>
      <w:r w:rsidRPr="00DC7F46">
        <w:rPr>
          <w:rFonts w:asciiTheme="majorBidi" w:hAnsiTheme="majorBidi" w:cstheme="majorBidi"/>
          <w:sz w:val="24"/>
          <w:szCs w:val="24"/>
          <w:lang w:val="sv-SE"/>
        </w:rPr>
        <w:t xml:space="preserve">Fatwa </w:t>
      </w:r>
      <w:r w:rsidRPr="00DC7F46">
        <w:rPr>
          <w:rFonts w:asciiTheme="majorBidi" w:hAnsiTheme="majorBidi" w:cstheme="majorBidi"/>
          <w:sz w:val="24"/>
          <w:szCs w:val="24"/>
        </w:rPr>
        <w:t>Majelis Ulama Indonesia</w:t>
      </w:r>
    </w:p>
    <w:p w:rsidR="00343B61" w:rsidRPr="00CB0722" w:rsidRDefault="00343B61" w:rsidP="002C0A33">
      <w:pPr>
        <w:pStyle w:val="ListParagraph"/>
        <w:numPr>
          <w:ilvl w:val="0"/>
          <w:numId w:val="15"/>
        </w:numPr>
        <w:spacing w:after="0" w:line="360" w:lineRule="auto"/>
        <w:ind w:left="720" w:hanging="270"/>
        <w:rPr>
          <w:rFonts w:asciiTheme="majorBidi" w:hAnsiTheme="majorBidi" w:cstheme="majorBidi"/>
          <w:sz w:val="24"/>
          <w:szCs w:val="24"/>
        </w:rPr>
      </w:pPr>
      <w:r w:rsidRPr="00CB0722">
        <w:rPr>
          <w:rFonts w:asciiTheme="majorBidi" w:hAnsiTheme="majorBidi" w:cstheme="majorBidi"/>
          <w:sz w:val="24"/>
          <w:szCs w:val="24"/>
        </w:rPr>
        <w:t xml:space="preserve">Pengertian Fatwa dan Historisnya </w:t>
      </w:r>
    </w:p>
    <w:p w:rsidR="00343B61" w:rsidRPr="00CB0722" w:rsidRDefault="00343B61" w:rsidP="00343B61">
      <w:pPr>
        <w:autoSpaceDE w:val="0"/>
        <w:autoSpaceDN w:val="0"/>
        <w:adjustRightInd w:val="0"/>
        <w:spacing w:after="0" w:line="360" w:lineRule="auto"/>
        <w:ind w:left="180" w:firstLine="540"/>
        <w:jc w:val="both"/>
        <w:rPr>
          <w:rFonts w:asciiTheme="majorBidi" w:eastAsiaTheme="minorHAnsi" w:hAnsiTheme="majorBidi" w:cstheme="majorBidi"/>
          <w:sz w:val="24"/>
          <w:szCs w:val="24"/>
        </w:rPr>
      </w:pPr>
      <w:r w:rsidRPr="00CB0722">
        <w:rPr>
          <w:rFonts w:asciiTheme="majorBidi" w:eastAsiaTheme="minorHAnsi" w:hAnsiTheme="majorBidi" w:cstheme="majorBidi"/>
          <w:sz w:val="24"/>
          <w:szCs w:val="24"/>
        </w:rPr>
        <w:t>Majelis Ulama Indonesia (MUI) sebagai wadah permusyawarahan para ulama, zu’ama dan cendekiawan Muslim, mempunyai peranan luhur sebagai pengayom bagi umat Islam Indonesia terutama di dalam memecahkan dan menjawab seluruh persoalan sosial-keagamaan dan kebangsaan yang timbul di tengah-tengah masyarakat. Jawaban yang diberikan oleh MUI adalah berbentuk fatwa.</w:t>
      </w:r>
      <w:r w:rsidRPr="00CB0722">
        <w:rPr>
          <w:rStyle w:val="FootnoteReference"/>
          <w:rFonts w:asciiTheme="majorBidi" w:eastAsiaTheme="minorHAnsi" w:hAnsiTheme="majorBidi" w:cstheme="majorBidi"/>
          <w:sz w:val="24"/>
          <w:szCs w:val="24"/>
        </w:rPr>
        <w:footnoteReference w:id="504"/>
      </w:r>
      <w:r w:rsidRPr="00CB0722">
        <w:rPr>
          <w:rFonts w:asciiTheme="majorBidi" w:eastAsiaTheme="minorHAnsi" w:hAnsiTheme="majorBidi" w:cstheme="majorBidi"/>
          <w:sz w:val="24"/>
          <w:szCs w:val="24"/>
        </w:rPr>
        <w:t xml:space="preserve"> </w:t>
      </w:r>
    </w:p>
    <w:p w:rsidR="00343B61" w:rsidRPr="00CB0722" w:rsidRDefault="00343B61" w:rsidP="00343B61">
      <w:pPr>
        <w:pStyle w:val="ListParagraph"/>
        <w:spacing w:after="0" w:line="360" w:lineRule="auto"/>
        <w:ind w:left="0" w:firstLine="720"/>
        <w:jc w:val="both"/>
        <w:rPr>
          <w:rFonts w:asciiTheme="majorBidi" w:hAnsiTheme="majorBidi" w:cstheme="majorBidi"/>
          <w:i/>
          <w:iCs/>
          <w:sz w:val="24"/>
          <w:szCs w:val="24"/>
        </w:rPr>
      </w:pPr>
      <w:r w:rsidRPr="00CB0722">
        <w:rPr>
          <w:rFonts w:asciiTheme="majorBidi" w:hAnsiTheme="majorBidi" w:cstheme="majorBidi"/>
          <w:sz w:val="24"/>
          <w:szCs w:val="24"/>
        </w:rPr>
        <w:t>Kata fatwa</w:t>
      </w:r>
      <w:r w:rsidRPr="00CB0722">
        <w:rPr>
          <w:rFonts w:asciiTheme="majorBidi" w:hAnsiTheme="majorBidi" w:cstheme="majorBidi"/>
          <w:sz w:val="24"/>
          <w:szCs w:val="24"/>
          <w:rtl/>
        </w:rPr>
        <w:t>(</w:t>
      </w:r>
      <w:r w:rsidRPr="00CB0722">
        <w:rPr>
          <w:rFonts w:asciiTheme="majorBidi" w:hAnsiTheme="majorBidi" w:cstheme="majorBidi"/>
          <w:color w:val="000000" w:themeColor="text1"/>
          <w:sz w:val="24"/>
          <w:szCs w:val="24"/>
          <w:rtl/>
        </w:rPr>
        <w:t xml:space="preserve"> فتوى)</w:t>
      </w:r>
      <w:r w:rsidRPr="00CB0722">
        <w:rPr>
          <w:rFonts w:asciiTheme="majorBidi" w:hAnsiTheme="majorBidi" w:cstheme="majorBidi" w:hint="cs"/>
          <w:color w:val="000000" w:themeColor="text1"/>
          <w:sz w:val="24"/>
          <w:szCs w:val="24"/>
          <w:rtl/>
        </w:rPr>
        <w:t xml:space="preserve"> </w:t>
      </w:r>
      <w:r w:rsidRPr="00CB0722">
        <w:rPr>
          <w:rFonts w:asciiTheme="majorBidi" w:hAnsiTheme="majorBidi" w:cstheme="majorBidi"/>
          <w:sz w:val="24"/>
          <w:szCs w:val="24"/>
        </w:rPr>
        <w:t xml:space="preserve"> secara etimologis, berasal dari bahasa Arab yang artinya ialah jawaban terhadap sesuatu yang musykil dalam bidang hukum syari’ah maupun perundang-undangan.</w:t>
      </w:r>
      <w:r w:rsidRPr="00CB0722">
        <w:rPr>
          <w:rStyle w:val="FootnoteReference"/>
          <w:rFonts w:asciiTheme="majorBidi" w:hAnsiTheme="majorBidi" w:cstheme="majorBidi"/>
          <w:sz w:val="24"/>
          <w:szCs w:val="24"/>
        </w:rPr>
        <w:footnoteReference w:id="505"/>
      </w:r>
      <w:r w:rsidRPr="00CB0722">
        <w:rPr>
          <w:rFonts w:asciiTheme="majorBidi" w:hAnsiTheme="majorBidi" w:cstheme="majorBidi"/>
          <w:sz w:val="24"/>
          <w:szCs w:val="24"/>
        </w:rPr>
        <w:t xml:space="preserve"> Ibnu Manzhūr ( w. 711 H) berkata: kata </w:t>
      </w:r>
      <w:r w:rsidRPr="00CB0722">
        <w:rPr>
          <w:rFonts w:asciiTheme="majorBidi" w:hAnsiTheme="majorBidi" w:cstheme="majorBidi"/>
          <w:i/>
          <w:iCs/>
          <w:sz w:val="24"/>
          <w:szCs w:val="24"/>
        </w:rPr>
        <w:t xml:space="preserve">fatwa </w:t>
      </w:r>
      <w:r w:rsidRPr="00CB0722">
        <w:rPr>
          <w:rFonts w:asciiTheme="majorBidi" w:hAnsiTheme="majorBidi" w:cstheme="majorBidi"/>
          <w:sz w:val="24"/>
          <w:szCs w:val="24"/>
        </w:rPr>
        <w:t xml:space="preserve">berarti </w:t>
      </w:r>
      <w:r w:rsidRPr="00A72D4D">
        <w:rPr>
          <w:rFonts w:asciiTheme="majorBidi" w:hAnsiTheme="majorBidi" w:cs="Traditional Arabic"/>
          <w:b/>
          <w:bCs/>
          <w:color w:val="000000"/>
          <w:sz w:val="24"/>
          <w:szCs w:val="24"/>
          <w:rtl/>
        </w:rPr>
        <w:t>تبيين المشكل من الأَحكام</w:t>
      </w:r>
      <w:r w:rsidRPr="00A72D4D">
        <w:rPr>
          <w:rFonts w:asciiTheme="majorBidi" w:hAnsiTheme="majorBidi" w:cs="Traditional Arabic"/>
          <w:b/>
          <w:bCs/>
          <w:color w:val="000000"/>
          <w:sz w:val="24"/>
          <w:szCs w:val="24"/>
        </w:rPr>
        <w:t xml:space="preserve"> </w:t>
      </w:r>
      <w:r w:rsidRPr="00CB0722">
        <w:rPr>
          <w:rFonts w:asciiTheme="majorBidi" w:hAnsiTheme="majorBidi" w:cstheme="majorBidi"/>
          <w:sz w:val="24"/>
          <w:szCs w:val="24"/>
        </w:rPr>
        <w:t xml:space="preserve">”menjelaskan hukum-hukum yang rumit”. Kata fatwa </w:t>
      </w:r>
      <w:r w:rsidRPr="00CB0722">
        <w:rPr>
          <w:rFonts w:asciiTheme="majorBidi" w:hAnsiTheme="majorBidi" w:cstheme="majorBidi"/>
          <w:color w:val="000000" w:themeColor="text1"/>
          <w:sz w:val="24"/>
          <w:szCs w:val="24"/>
          <w:rtl/>
        </w:rPr>
        <w:lastRenderedPageBreak/>
        <w:t>فتوى)</w:t>
      </w:r>
      <w:r w:rsidRPr="00CB0722">
        <w:rPr>
          <w:rFonts w:asciiTheme="majorBidi" w:hAnsiTheme="majorBidi" w:cstheme="majorBidi"/>
          <w:color w:val="000000" w:themeColor="text1"/>
          <w:sz w:val="24"/>
          <w:szCs w:val="24"/>
        </w:rPr>
        <w:t>) bisa juga berarti pertanyaan.</w:t>
      </w:r>
      <w:r w:rsidRPr="00CB0722">
        <w:rPr>
          <w:rStyle w:val="FootnoteReference"/>
          <w:rFonts w:asciiTheme="majorBidi" w:hAnsiTheme="majorBidi" w:cstheme="majorBidi"/>
          <w:sz w:val="24"/>
          <w:szCs w:val="24"/>
        </w:rPr>
        <w:footnoteReference w:id="506"/>
      </w:r>
      <w:r w:rsidRPr="00CB0722">
        <w:rPr>
          <w:rFonts w:asciiTheme="majorBidi" w:hAnsiTheme="majorBidi" w:cstheme="majorBidi"/>
          <w:sz w:val="24"/>
          <w:szCs w:val="24"/>
        </w:rPr>
        <w:t xml:space="preserve"> Hal ini sesuai dengan firman Allah SWT dalam QS. Al-Shoffat (37) ayat 11 sebagai berikut:</w:t>
      </w:r>
    </w:p>
    <w:p w:rsidR="00343B61" w:rsidRPr="006B67AB" w:rsidRDefault="00343B61" w:rsidP="00343B61">
      <w:pPr>
        <w:autoSpaceDE w:val="0"/>
        <w:autoSpaceDN w:val="0"/>
        <w:bidi/>
        <w:adjustRightInd w:val="0"/>
        <w:spacing w:after="0" w:line="240" w:lineRule="auto"/>
        <w:jc w:val="lowKashida"/>
        <w:rPr>
          <w:rFonts w:asciiTheme="majorBidi" w:hAnsiTheme="majorBidi" w:cstheme="majorBidi"/>
          <w:b/>
          <w:bCs/>
        </w:rPr>
      </w:pPr>
      <w:r w:rsidRPr="00A72D4D">
        <w:rPr>
          <w:rFonts w:ascii="Adobe نسخ Medium" w:hAnsi="Adobe نسخ Medium" w:cs="Traditional Arabic"/>
          <w:sz w:val="32"/>
          <w:szCs w:val="32"/>
          <w:rtl/>
        </w:rPr>
        <w:t>فَاسْتَفْتِهِمْ أَهُمْ أَشَدُّ خَلْقاً أَمْ مَنْ خَلَقْنا</w:t>
      </w:r>
      <w:r w:rsidRPr="00177883">
        <w:rPr>
          <w:rFonts w:ascii="Adobe نسخ Medium" w:hAnsi="Adobe نسخ Medium" w:cs="Adobe نسخ Medium"/>
          <w:sz w:val="32"/>
          <w:szCs w:val="32"/>
          <w:rtl/>
        </w:rPr>
        <w:t xml:space="preserve"> ( سورة الصفات</w:t>
      </w:r>
      <w:r w:rsidRPr="006B67AB">
        <w:rPr>
          <w:rFonts w:asciiTheme="majorBidi" w:hAnsiTheme="majorBidi" w:cstheme="majorBidi"/>
          <w:b/>
          <w:bCs/>
          <w:rtl/>
        </w:rPr>
        <w:t xml:space="preserve"> (37):  11</w:t>
      </w:r>
      <w:r>
        <w:rPr>
          <w:rFonts w:asciiTheme="majorBidi" w:hAnsiTheme="majorBidi" w:cstheme="majorBidi" w:hint="cs"/>
          <w:b/>
          <w:bCs/>
          <w:rtl/>
        </w:rPr>
        <w:t>)</w:t>
      </w:r>
    </w:p>
    <w:p w:rsidR="00343B61" w:rsidRDefault="00343B61" w:rsidP="00343B61">
      <w:pPr>
        <w:autoSpaceDE w:val="0"/>
        <w:autoSpaceDN w:val="0"/>
        <w:adjustRightInd w:val="0"/>
        <w:spacing w:after="0" w:line="240" w:lineRule="auto"/>
        <w:ind w:left="720"/>
        <w:jc w:val="lowKashida"/>
        <w:rPr>
          <w:rFonts w:asciiTheme="majorBidi" w:hAnsiTheme="majorBidi" w:cstheme="majorBidi"/>
          <w:sz w:val="24"/>
          <w:szCs w:val="24"/>
        </w:rPr>
      </w:pPr>
      <w:r w:rsidRPr="00CB0722">
        <w:rPr>
          <w:rFonts w:asciiTheme="majorBidi" w:hAnsiTheme="majorBidi" w:cstheme="majorBidi"/>
          <w:sz w:val="24"/>
          <w:szCs w:val="24"/>
        </w:rPr>
        <w:t>Artinya :</w:t>
      </w:r>
      <w:r w:rsidRPr="00CB0722">
        <w:rPr>
          <w:rFonts w:asciiTheme="majorBidi" w:hAnsiTheme="majorBidi" w:cstheme="majorBidi"/>
          <w:b/>
          <w:bCs/>
          <w:sz w:val="24"/>
          <w:szCs w:val="24"/>
        </w:rPr>
        <w:t>“</w:t>
      </w:r>
      <w:r w:rsidRPr="00CB0722">
        <w:rPr>
          <w:rStyle w:val="gen"/>
          <w:rFonts w:asciiTheme="majorBidi" w:hAnsiTheme="majorBidi" w:cstheme="majorBidi"/>
          <w:i/>
          <w:iCs/>
          <w:sz w:val="24"/>
          <w:szCs w:val="24"/>
        </w:rPr>
        <w:t>Maka tanyakanlah kepada mereka (musyrik Mekah): "Apakah mereka yang lebih kukuh kejadiannya ataukah apa</w:t>
      </w:r>
      <w:r w:rsidRPr="00CB0722">
        <w:rPr>
          <w:rStyle w:val="gen"/>
          <w:rFonts w:asciiTheme="majorBidi" w:hAnsiTheme="majorBidi" w:cstheme="majorBidi"/>
          <w:b/>
          <w:bCs/>
          <w:i/>
          <w:iCs/>
          <w:sz w:val="24"/>
          <w:szCs w:val="24"/>
        </w:rPr>
        <w:t xml:space="preserve"> </w:t>
      </w:r>
      <w:r w:rsidRPr="00CB0722">
        <w:rPr>
          <w:rStyle w:val="gen"/>
          <w:rFonts w:asciiTheme="majorBidi" w:hAnsiTheme="majorBidi" w:cstheme="majorBidi"/>
          <w:i/>
          <w:iCs/>
          <w:sz w:val="24"/>
          <w:szCs w:val="24"/>
        </w:rPr>
        <w:t>yang telah Kami ciptakan itu</w:t>
      </w:r>
      <w:r w:rsidRPr="00CB0722">
        <w:rPr>
          <w:rStyle w:val="gen"/>
          <w:rFonts w:asciiTheme="majorBidi" w:hAnsiTheme="majorBidi" w:cstheme="majorBidi"/>
          <w:sz w:val="24"/>
          <w:szCs w:val="24"/>
        </w:rPr>
        <w:t xml:space="preserve">?"( QS. </w:t>
      </w:r>
      <w:r w:rsidRPr="00CB0722">
        <w:rPr>
          <w:rFonts w:asciiTheme="majorBidi" w:hAnsiTheme="majorBidi" w:cstheme="majorBidi"/>
          <w:sz w:val="24"/>
          <w:szCs w:val="24"/>
        </w:rPr>
        <w:t>Al-Shoffat (37) : 11)</w:t>
      </w:r>
      <w:r w:rsidRPr="00CB0722">
        <w:rPr>
          <w:rStyle w:val="FootnoteReference"/>
          <w:rFonts w:asciiTheme="majorBidi" w:hAnsiTheme="majorBidi" w:cstheme="majorBidi"/>
          <w:sz w:val="24"/>
          <w:szCs w:val="24"/>
        </w:rPr>
        <w:footnoteReference w:id="507"/>
      </w:r>
    </w:p>
    <w:p w:rsidR="00343B61" w:rsidRPr="006930FB" w:rsidRDefault="00343B61" w:rsidP="00343B61">
      <w:pPr>
        <w:autoSpaceDE w:val="0"/>
        <w:autoSpaceDN w:val="0"/>
        <w:adjustRightInd w:val="0"/>
        <w:spacing w:after="0" w:line="240" w:lineRule="auto"/>
        <w:ind w:left="720"/>
        <w:jc w:val="lowKashida"/>
        <w:rPr>
          <w:rFonts w:asciiTheme="majorBidi" w:hAnsiTheme="majorBidi" w:cstheme="majorBidi"/>
          <w:sz w:val="24"/>
          <w:szCs w:val="24"/>
        </w:rPr>
      </w:pPr>
    </w:p>
    <w:p w:rsidR="00343B61" w:rsidRPr="00DE4383" w:rsidRDefault="00343B61" w:rsidP="00343B61">
      <w:pPr>
        <w:pStyle w:val="ListParagraph"/>
        <w:spacing w:after="0" w:line="360" w:lineRule="auto"/>
        <w:ind w:left="0" w:firstLine="720"/>
        <w:jc w:val="both"/>
        <w:rPr>
          <w:rFonts w:asciiTheme="majorBidi" w:hAnsiTheme="majorBidi" w:cstheme="majorBidi"/>
          <w:i/>
          <w:iCs/>
          <w:sz w:val="20"/>
          <w:szCs w:val="20"/>
        </w:rPr>
      </w:pPr>
      <w:r w:rsidRPr="00AF77E7">
        <w:rPr>
          <w:rFonts w:asciiTheme="majorBidi" w:hAnsiTheme="majorBidi" w:cstheme="majorBidi"/>
          <w:sz w:val="24"/>
          <w:szCs w:val="24"/>
        </w:rPr>
        <w:t xml:space="preserve">Selanjutnya dalam Al-Munjid disebutkan bahwa </w:t>
      </w:r>
      <w:r w:rsidRPr="00AF77E7">
        <w:rPr>
          <w:rFonts w:asciiTheme="majorBidi" w:hAnsiTheme="majorBidi" w:cstheme="majorBidi"/>
          <w:i/>
          <w:iCs/>
          <w:sz w:val="24"/>
          <w:szCs w:val="24"/>
        </w:rPr>
        <w:t>fatwa</w:t>
      </w:r>
      <w:r w:rsidRPr="00AF77E7">
        <w:rPr>
          <w:rFonts w:asciiTheme="majorBidi" w:hAnsiTheme="majorBidi" w:cstheme="majorBidi"/>
          <w:sz w:val="24"/>
          <w:szCs w:val="24"/>
          <w:rtl/>
        </w:rPr>
        <w:t>(</w:t>
      </w:r>
      <w:r w:rsidRPr="00AF77E7">
        <w:rPr>
          <w:rFonts w:asciiTheme="majorBidi" w:hAnsiTheme="majorBidi" w:cstheme="majorBidi"/>
          <w:color w:val="000000" w:themeColor="text1"/>
          <w:sz w:val="24"/>
          <w:szCs w:val="24"/>
          <w:rtl/>
        </w:rPr>
        <w:t xml:space="preserve"> فتوى)</w:t>
      </w:r>
      <w:r w:rsidRPr="00AF77E7">
        <w:rPr>
          <w:rFonts w:asciiTheme="majorBidi" w:hAnsiTheme="majorBidi" w:cstheme="majorBidi" w:hint="cs"/>
          <w:color w:val="000000" w:themeColor="text1"/>
          <w:sz w:val="24"/>
          <w:szCs w:val="24"/>
          <w:rtl/>
        </w:rPr>
        <w:t xml:space="preserve"> </w:t>
      </w:r>
      <w:r w:rsidRPr="00AF77E7">
        <w:rPr>
          <w:rFonts w:asciiTheme="majorBidi" w:hAnsiTheme="majorBidi" w:cstheme="majorBidi"/>
          <w:sz w:val="24"/>
          <w:szCs w:val="24"/>
        </w:rPr>
        <w:t xml:space="preserve"> bentuk jamaknya </w:t>
      </w:r>
      <w:r>
        <w:rPr>
          <w:rFonts w:asciiTheme="majorBidi" w:hAnsiTheme="majorBidi" w:cstheme="majorBidi"/>
          <w:sz w:val="24"/>
          <w:szCs w:val="24"/>
        </w:rPr>
        <w:t>(</w:t>
      </w:r>
      <w:r w:rsidRPr="00AF77E7">
        <w:rPr>
          <w:rFonts w:asciiTheme="majorBidi" w:hAnsiTheme="majorBidi" w:cstheme="majorBidi"/>
          <w:i/>
          <w:iCs/>
          <w:sz w:val="24"/>
          <w:szCs w:val="24"/>
        </w:rPr>
        <w:t>fatāwa</w:t>
      </w:r>
      <w:r w:rsidRPr="00AF77E7">
        <w:rPr>
          <w:rFonts w:asciiTheme="majorBidi" w:hAnsiTheme="majorBidi" w:cstheme="majorBidi"/>
          <w:sz w:val="24"/>
          <w:szCs w:val="24"/>
          <w:rtl/>
        </w:rPr>
        <w:t>(</w:t>
      </w:r>
      <w:r w:rsidRPr="00AF77E7">
        <w:rPr>
          <w:rFonts w:asciiTheme="majorBidi" w:hAnsiTheme="majorBidi" w:cstheme="majorBidi"/>
          <w:color w:val="000000" w:themeColor="text1"/>
          <w:sz w:val="24"/>
          <w:szCs w:val="24"/>
          <w:rtl/>
        </w:rPr>
        <w:t xml:space="preserve"> فتاوى)</w:t>
      </w:r>
      <w:r>
        <w:rPr>
          <w:rFonts w:asciiTheme="majorBidi" w:hAnsiTheme="majorBidi" w:cstheme="majorBidi"/>
          <w:color w:val="000000" w:themeColor="text1"/>
          <w:sz w:val="24"/>
          <w:szCs w:val="24"/>
        </w:rPr>
        <w:t>)</w:t>
      </w:r>
      <w:r w:rsidRPr="00AF77E7">
        <w:rPr>
          <w:rFonts w:asciiTheme="majorBidi" w:hAnsiTheme="majorBidi" w:cstheme="majorBidi"/>
          <w:sz w:val="24"/>
          <w:szCs w:val="24"/>
        </w:rPr>
        <w:t xml:space="preserve"> berarti nama dari apa yang dijelaskan seorang Alim mengenai hukum.</w:t>
      </w:r>
      <w:r w:rsidRPr="00AF77E7">
        <w:rPr>
          <w:rStyle w:val="FootnoteReference"/>
          <w:rFonts w:asciiTheme="majorBidi" w:hAnsiTheme="majorBidi" w:cstheme="majorBidi"/>
          <w:sz w:val="24"/>
          <w:szCs w:val="24"/>
        </w:rPr>
        <w:footnoteReference w:id="508"/>
      </w:r>
      <w:r w:rsidRPr="00AF77E7">
        <w:rPr>
          <w:rFonts w:asciiTheme="majorBidi" w:hAnsiTheme="majorBidi" w:cstheme="majorBidi"/>
          <w:sz w:val="24"/>
          <w:szCs w:val="24"/>
        </w:rPr>
        <w:t xml:space="preserve"> Dalam berbagai bentuk derivasinya, kata yang sering digunakan adalah</w:t>
      </w:r>
      <w:r>
        <w:rPr>
          <w:rFonts w:asciiTheme="majorBidi" w:hAnsiTheme="majorBidi" w:cstheme="majorBidi"/>
          <w:sz w:val="24"/>
          <w:szCs w:val="24"/>
        </w:rPr>
        <w:t xml:space="preserve"> </w:t>
      </w:r>
      <w:r w:rsidRPr="00DE4383">
        <w:rPr>
          <w:rFonts w:asciiTheme="majorBidi" w:hAnsiTheme="majorBidi" w:cstheme="majorBidi"/>
          <w:i/>
          <w:iCs/>
          <w:sz w:val="24"/>
          <w:szCs w:val="24"/>
        </w:rPr>
        <w:t>yuftī</w:t>
      </w:r>
      <w:r w:rsidRPr="00DE4383">
        <w:rPr>
          <w:rFonts w:asciiTheme="majorBidi" w:hAnsiTheme="majorBidi" w:cstheme="majorBidi"/>
          <w:sz w:val="24"/>
          <w:szCs w:val="24"/>
        </w:rPr>
        <w:t xml:space="preserve"> </w:t>
      </w:r>
      <w:r w:rsidRPr="00DE4383">
        <w:rPr>
          <w:rFonts w:asciiTheme="majorBidi" w:hAnsiTheme="majorBidi" w:cstheme="majorBidi"/>
          <w:sz w:val="24"/>
          <w:szCs w:val="24"/>
          <w:rtl/>
        </w:rPr>
        <w:t>(</w:t>
      </w:r>
      <w:r w:rsidRPr="00DE4383">
        <w:rPr>
          <w:rFonts w:asciiTheme="majorBidi" w:hAnsiTheme="majorBidi" w:cstheme="majorBidi"/>
          <w:color w:val="000000" w:themeColor="text1"/>
          <w:sz w:val="24"/>
          <w:szCs w:val="24"/>
          <w:rtl/>
        </w:rPr>
        <w:t xml:space="preserve"> يُفْتىِ)</w:t>
      </w:r>
      <w:r w:rsidRPr="00DE4383">
        <w:rPr>
          <w:rFonts w:asciiTheme="majorBidi" w:hAnsiTheme="majorBidi" w:cstheme="majorBidi"/>
          <w:color w:val="000000" w:themeColor="text1"/>
          <w:sz w:val="24"/>
          <w:szCs w:val="24"/>
        </w:rPr>
        <w:t xml:space="preserve"> </w:t>
      </w:r>
      <w:r w:rsidRPr="00DE4383">
        <w:rPr>
          <w:rFonts w:asciiTheme="majorBidi" w:hAnsiTheme="majorBidi" w:cstheme="majorBidi"/>
          <w:i/>
          <w:iCs/>
          <w:color w:val="000000" w:themeColor="text1"/>
          <w:sz w:val="24"/>
          <w:szCs w:val="24"/>
        </w:rPr>
        <w:t>aft</w:t>
      </w:r>
      <w:r w:rsidRPr="00DE4383">
        <w:rPr>
          <w:rFonts w:asciiTheme="majorBidi" w:hAnsiTheme="majorBidi" w:cstheme="majorBidi"/>
          <w:i/>
          <w:iCs/>
          <w:sz w:val="24"/>
          <w:szCs w:val="24"/>
        </w:rPr>
        <w:t>ā</w:t>
      </w:r>
      <w:r w:rsidRPr="00DE4383">
        <w:rPr>
          <w:rFonts w:asciiTheme="majorBidi" w:hAnsiTheme="majorBidi" w:cstheme="majorBidi"/>
          <w:color w:val="000000" w:themeColor="text1"/>
          <w:sz w:val="24"/>
          <w:szCs w:val="24"/>
        </w:rPr>
        <w:t xml:space="preserve"> </w:t>
      </w:r>
      <w:r w:rsidRPr="00DE4383">
        <w:rPr>
          <w:rFonts w:asciiTheme="majorBidi" w:hAnsiTheme="majorBidi" w:cstheme="majorBidi"/>
          <w:sz w:val="24"/>
          <w:szCs w:val="24"/>
          <w:rtl/>
        </w:rPr>
        <w:t>(</w:t>
      </w:r>
      <w:r w:rsidRPr="00DE4383">
        <w:rPr>
          <w:rFonts w:asciiTheme="majorBidi" w:hAnsiTheme="majorBidi" w:cstheme="majorBidi"/>
          <w:color w:val="000000" w:themeColor="text1"/>
          <w:sz w:val="24"/>
          <w:szCs w:val="24"/>
          <w:rtl/>
        </w:rPr>
        <w:t xml:space="preserve"> أفتَى)</w:t>
      </w:r>
      <w:r>
        <w:rPr>
          <w:rFonts w:asciiTheme="majorBidi" w:hAnsiTheme="majorBidi" w:cstheme="majorBidi"/>
          <w:color w:val="000000" w:themeColor="text1"/>
          <w:sz w:val="24"/>
          <w:szCs w:val="24"/>
        </w:rPr>
        <w:t xml:space="preserve"> yang artinya </w:t>
      </w:r>
      <w:r w:rsidRPr="00DE4383">
        <w:rPr>
          <w:rFonts w:asciiTheme="majorBidi" w:hAnsiTheme="majorBidi" w:cstheme="majorBidi"/>
          <w:sz w:val="24"/>
          <w:szCs w:val="24"/>
        </w:rPr>
        <w:t>berfatwa,</w:t>
      </w:r>
      <w:r>
        <w:rPr>
          <w:rFonts w:asciiTheme="majorBidi" w:hAnsiTheme="majorBidi" w:cstheme="majorBidi"/>
          <w:sz w:val="24"/>
          <w:szCs w:val="24"/>
        </w:rPr>
        <w:t xml:space="preserve"> </w:t>
      </w:r>
      <w:r w:rsidRPr="00DE4383">
        <w:rPr>
          <w:rFonts w:asciiTheme="majorBidi" w:hAnsiTheme="majorBidi" w:cstheme="majorBidi"/>
          <w:i/>
          <w:iCs/>
          <w:sz w:val="24"/>
          <w:szCs w:val="24"/>
        </w:rPr>
        <w:t>yastaftī</w:t>
      </w:r>
      <w:r w:rsidRPr="00DE4383">
        <w:rPr>
          <w:rFonts w:asciiTheme="majorBidi" w:hAnsiTheme="majorBidi" w:cstheme="majorBidi"/>
          <w:sz w:val="24"/>
          <w:szCs w:val="24"/>
        </w:rPr>
        <w:t xml:space="preserve"> </w:t>
      </w:r>
      <w:r>
        <w:rPr>
          <w:rFonts w:asciiTheme="majorBidi" w:hAnsiTheme="majorBidi" w:cstheme="majorBidi"/>
          <w:sz w:val="24"/>
          <w:szCs w:val="24"/>
        </w:rPr>
        <w:t xml:space="preserve">dan </w:t>
      </w:r>
      <w:r w:rsidRPr="00DE4383">
        <w:rPr>
          <w:rFonts w:asciiTheme="majorBidi" w:hAnsiTheme="majorBidi" w:cstheme="majorBidi"/>
          <w:i/>
          <w:iCs/>
          <w:sz w:val="24"/>
          <w:szCs w:val="24"/>
        </w:rPr>
        <w:t>istaftī</w:t>
      </w:r>
      <w:r w:rsidRPr="00DE4383">
        <w:rPr>
          <w:rFonts w:asciiTheme="majorBidi" w:hAnsiTheme="majorBidi" w:cstheme="majorBidi"/>
          <w:sz w:val="24"/>
          <w:szCs w:val="24"/>
        </w:rPr>
        <w:t xml:space="preserve"> </w:t>
      </w:r>
      <w:r>
        <w:rPr>
          <w:rFonts w:asciiTheme="majorBidi" w:hAnsiTheme="majorBidi" w:cstheme="majorBidi"/>
          <w:sz w:val="24"/>
          <w:szCs w:val="24"/>
        </w:rPr>
        <w:t>(</w:t>
      </w:r>
      <w:r w:rsidRPr="00DE4383">
        <w:rPr>
          <w:rFonts w:asciiTheme="majorBidi" w:hAnsiTheme="majorBidi" w:cstheme="majorBidi"/>
          <w:sz w:val="24"/>
          <w:szCs w:val="24"/>
          <w:rtl/>
        </w:rPr>
        <w:t>- يستفتي</w:t>
      </w:r>
      <w:r w:rsidRPr="00DE4383">
        <w:rPr>
          <w:rFonts w:asciiTheme="majorBidi" w:hAnsiTheme="majorBidi" w:cstheme="majorBidi"/>
          <w:sz w:val="24"/>
          <w:szCs w:val="24"/>
        </w:rPr>
        <w:t xml:space="preserve"> </w:t>
      </w:r>
      <w:r w:rsidRPr="00DE4383">
        <w:rPr>
          <w:rFonts w:asciiTheme="majorBidi" w:hAnsiTheme="majorBidi" w:cstheme="majorBidi"/>
          <w:sz w:val="24"/>
          <w:szCs w:val="24"/>
          <w:rtl/>
        </w:rPr>
        <w:t>استفتى</w:t>
      </w:r>
      <w:r>
        <w:rPr>
          <w:rFonts w:asciiTheme="majorBidi" w:hAnsiTheme="majorBidi" w:cstheme="majorBidi"/>
          <w:sz w:val="24"/>
          <w:szCs w:val="24"/>
        </w:rPr>
        <w:t>) artinya meminta fatwa</w:t>
      </w:r>
      <w:r w:rsidRPr="00DE4383">
        <w:rPr>
          <w:rFonts w:asciiTheme="majorBidi" w:hAnsiTheme="majorBidi" w:cstheme="majorBidi"/>
          <w:sz w:val="24"/>
          <w:szCs w:val="24"/>
        </w:rPr>
        <w:t>, dan</w:t>
      </w:r>
      <w:r>
        <w:rPr>
          <w:rFonts w:asciiTheme="majorBidi" w:hAnsiTheme="majorBidi" w:cstheme="majorBidi"/>
          <w:sz w:val="24"/>
          <w:szCs w:val="24"/>
        </w:rPr>
        <w:t xml:space="preserve"> </w:t>
      </w:r>
      <w:r w:rsidRPr="00DE4383">
        <w:rPr>
          <w:rFonts w:asciiTheme="majorBidi" w:hAnsiTheme="majorBidi" w:cstheme="majorBidi"/>
          <w:i/>
          <w:iCs/>
          <w:sz w:val="24"/>
          <w:szCs w:val="24"/>
        </w:rPr>
        <w:t>al-Muftī</w:t>
      </w:r>
      <w:r>
        <w:rPr>
          <w:rFonts w:asciiTheme="majorBidi" w:hAnsiTheme="majorBidi" w:cstheme="majorBidi"/>
          <w:i/>
          <w:iCs/>
          <w:sz w:val="24"/>
          <w:szCs w:val="24"/>
        </w:rPr>
        <w:t xml:space="preserve"> </w:t>
      </w:r>
      <w:r>
        <w:rPr>
          <w:rFonts w:asciiTheme="majorBidi" w:hAnsiTheme="majorBidi" w:cstheme="majorBidi"/>
          <w:sz w:val="24"/>
          <w:szCs w:val="24"/>
        </w:rPr>
        <w:t>(</w:t>
      </w:r>
      <w:r w:rsidRPr="00DE4383">
        <w:rPr>
          <w:rFonts w:asciiTheme="majorBidi" w:hAnsiTheme="majorBidi" w:cstheme="majorBidi"/>
          <w:sz w:val="24"/>
          <w:szCs w:val="24"/>
        </w:rPr>
        <w:t xml:space="preserve"> </w:t>
      </w:r>
      <w:r w:rsidRPr="00DE4383">
        <w:rPr>
          <w:rFonts w:asciiTheme="majorBidi" w:hAnsiTheme="majorBidi" w:cstheme="majorBidi"/>
          <w:sz w:val="24"/>
          <w:szCs w:val="24"/>
          <w:rtl/>
        </w:rPr>
        <w:t>المُفْتِى</w:t>
      </w:r>
      <w:r>
        <w:rPr>
          <w:rFonts w:asciiTheme="majorBidi" w:hAnsiTheme="majorBidi" w:cstheme="majorBidi"/>
          <w:sz w:val="24"/>
          <w:szCs w:val="24"/>
        </w:rPr>
        <w:t xml:space="preserve"> ) yang artinya pemberi fatwa</w:t>
      </w:r>
      <w:r w:rsidRPr="00DE4383">
        <w:rPr>
          <w:rFonts w:asciiTheme="majorBidi" w:hAnsiTheme="majorBidi" w:cstheme="majorBidi"/>
          <w:sz w:val="24"/>
          <w:szCs w:val="24"/>
        </w:rPr>
        <w:t>.</w:t>
      </w:r>
      <w:r w:rsidRPr="00AF77E7">
        <w:rPr>
          <w:rStyle w:val="FootnoteReference"/>
          <w:rFonts w:asciiTheme="majorBidi" w:hAnsiTheme="majorBidi" w:cstheme="majorBidi"/>
          <w:sz w:val="24"/>
          <w:szCs w:val="24"/>
        </w:rPr>
        <w:footnoteReference w:id="509"/>
      </w:r>
    </w:p>
    <w:p w:rsidR="00343B61" w:rsidRDefault="00343B61" w:rsidP="00343B61">
      <w:pPr>
        <w:pStyle w:val="ListParagraph"/>
        <w:spacing w:line="360" w:lineRule="auto"/>
        <w:ind w:left="0" w:firstLine="720"/>
        <w:jc w:val="both"/>
        <w:rPr>
          <w:rFonts w:asciiTheme="majorBidi" w:hAnsiTheme="majorBidi" w:cstheme="majorBidi"/>
          <w:sz w:val="24"/>
          <w:szCs w:val="24"/>
        </w:rPr>
      </w:pPr>
      <w:r w:rsidRPr="003E5814">
        <w:rPr>
          <w:rFonts w:asciiTheme="majorBidi" w:hAnsiTheme="majorBidi" w:cstheme="majorBidi"/>
          <w:sz w:val="24"/>
          <w:szCs w:val="24"/>
        </w:rPr>
        <w:t xml:space="preserve">Menurut Al-Fayumi, </w:t>
      </w:r>
      <w:r w:rsidRPr="003E5814">
        <w:rPr>
          <w:rFonts w:asciiTheme="majorBidi" w:hAnsiTheme="majorBidi" w:cstheme="majorBidi"/>
          <w:i/>
          <w:iCs/>
          <w:sz w:val="24"/>
          <w:szCs w:val="24"/>
        </w:rPr>
        <w:t xml:space="preserve">al-fatwa </w:t>
      </w:r>
      <w:r w:rsidRPr="003E5814">
        <w:rPr>
          <w:rFonts w:asciiTheme="majorBidi" w:hAnsiTheme="majorBidi" w:cstheme="majorBidi"/>
          <w:sz w:val="24"/>
          <w:szCs w:val="24"/>
        </w:rPr>
        <w:t>(</w:t>
      </w:r>
      <w:r w:rsidRPr="003E5814">
        <w:rPr>
          <w:rFonts w:asciiTheme="majorBidi" w:hAnsiTheme="majorBidi" w:cstheme="majorBidi"/>
          <w:sz w:val="24"/>
          <w:szCs w:val="24"/>
          <w:rtl/>
        </w:rPr>
        <w:t xml:space="preserve"> الفتوَى</w:t>
      </w:r>
      <w:r w:rsidRPr="003E5814">
        <w:rPr>
          <w:rFonts w:asciiTheme="majorBidi" w:hAnsiTheme="majorBidi" w:cstheme="majorBidi"/>
          <w:sz w:val="24"/>
          <w:szCs w:val="24"/>
        </w:rPr>
        <w:t>)</w:t>
      </w:r>
      <w:r w:rsidRPr="003E5814">
        <w:rPr>
          <w:rFonts w:asciiTheme="majorBidi" w:hAnsiTheme="majorBidi" w:cstheme="majorBidi"/>
          <w:sz w:val="24"/>
          <w:szCs w:val="24"/>
          <w:rtl/>
        </w:rPr>
        <w:t xml:space="preserve"> </w:t>
      </w:r>
      <w:r w:rsidRPr="003E5814">
        <w:rPr>
          <w:rFonts w:asciiTheme="majorBidi" w:hAnsiTheme="majorBidi" w:cstheme="majorBidi"/>
          <w:sz w:val="24"/>
          <w:szCs w:val="24"/>
        </w:rPr>
        <w:t xml:space="preserve">berasa dari kata </w:t>
      </w:r>
      <w:r w:rsidRPr="003E5814">
        <w:rPr>
          <w:rFonts w:asciiTheme="majorBidi" w:hAnsiTheme="majorBidi" w:cstheme="majorBidi"/>
          <w:i/>
          <w:iCs/>
          <w:sz w:val="24"/>
          <w:szCs w:val="24"/>
        </w:rPr>
        <w:t>al-fata</w:t>
      </w:r>
      <w:r w:rsidRPr="003E5814">
        <w:rPr>
          <w:rFonts w:asciiTheme="majorBidi" w:hAnsiTheme="majorBidi" w:cstheme="majorBidi"/>
          <w:sz w:val="24"/>
          <w:szCs w:val="24"/>
        </w:rPr>
        <w:t xml:space="preserve"> (</w:t>
      </w:r>
      <w:r w:rsidRPr="003E5814">
        <w:rPr>
          <w:rFonts w:asciiTheme="majorBidi" w:hAnsiTheme="majorBidi" w:cstheme="majorBidi"/>
          <w:sz w:val="24"/>
          <w:szCs w:val="24"/>
          <w:rtl/>
        </w:rPr>
        <w:t>الفتَى</w:t>
      </w:r>
      <w:r w:rsidRPr="003E5814">
        <w:rPr>
          <w:rFonts w:asciiTheme="majorBidi" w:hAnsiTheme="majorBidi" w:cstheme="majorBidi"/>
          <w:sz w:val="24"/>
          <w:szCs w:val="24"/>
        </w:rPr>
        <w:t>) artinya pemuda yang kuat. Dimaksudkan dengan pemuda yang kuat, bahwa seorang mufti pem</w:t>
      </w:r>
      <w:r>
        <w:rPr>
          <w:rFonts w:asciiTheme="majorBidi" w:hAnsiTheme="majorBidi" w:cstheme="majorBidi"/>
          <w:sz w:val="24"/>
          <w:szCs w:val="24"/>
        </w:rPr>
        <w:t>beri fatwa harus kuat menghadap</w:t>
      </w:r>
      <w:r w:rsidRPr="003E5814">
        <w:rPr>
          <w:rFonts w:asciiTheme="majorBidi" w:hAnsiTheme="majorBidi" w:cstheme="majorBidi"/>
          <w:sz w:val="24"/>
          <w:szCs w:val="24"/>
        </w:rPr>
        <w:t>i pertanyaan yang diajukan seseorang atau kelompok dengan jawaban</w:t>
      </w:r>
      <w:r>
        <w:rPr>
          <w:rFonts w:asciiTheme="majorBidi" w:hAnsiTheme="majorBidi" w:cstheme="majorBidi"/>
          <w:sz w:val="24"/>
          <w:szCs w:val="24"/>
        </w:rPr>
        <w:t xml:space="preserve"> yang menyegarkan dan</w:t>
      </w:r>
      <w:r w:rsidRPr="003E5814">
        <w:rPr>
          <w:rFonts w:asciiTheme="majorBidi" w:hAnsiTheme="majorBidi" w:cstheme="majorBidi"/>
          <w:sz w:val="24"/>
          <w:szCs w:val="24"/>
        </w:rPr>
        <w:t xml:space="preserve"> argument-argumen yang kuat.</w:t>
      </w:r>
      <w:r w:rsidRPr="003E5814">
        <w:rPr>
          <w:rStyle w:val="FootnoteReference"/>
          <w:rFonts w:asciiTheme="majorBidi" w:hAnsiTheme="majorBidi" w:cstheme="majorBidi"/>
          <w:sz w:val="24"/>
          <w:szCs w:val="24"/>
        </w:rPr>
        <w:footnoteReference w:id="510"/>
      </w:r>
      <w:r>
        <w:rPr>
          <w:rFonts w:asciiTheme="majorBidi" w:hAnsiTheme="majorBidi" w:cstheme="majorBidi"/>
          <w:sz w:val="24"/>
          <w:szCs w:val="24"/>
        </w:rPr>
        <w:t xml:space="preserve"> </w:t>
      </w:r>
    </w:p>
    <w:p w:rsidR="00343B61" w:rsidRPr="00A51F34" w:rsidRDefault="00343B61" w:rsidP="00343B61">
      <w:pPr>
        <w:pStyle w:val="ListParagraph"/>
        <w:spacing w:after="0" w:line="360" w:lineRule="auto"/>
        <w:ind w:left="0" w:firstLine="720"/>
        <w:jc w:val="both"/>
        <w:rPr>
          <w:rFonts w:asciiTheme="majorBidi" w:hAnsiTheme="majorBidi" w:cstheme="majorBidi"/>
          <w:sz w:val="24"/>
          <w:szCs w:val="24"/>
        </w:rPr>
      </w:pPr>
      <w:r w:rsidRPr="00A51F34">
        <w:rPr>
          <w:rFonts w:asciiTheme="majorBidi" w:hAnsiTheme="majorBidi" w:cstheme="majorBidi"/>
          <w:sz w:val="24"/>
          <w:szCs w:val="24"/>
        </w:rPr>
        <w:t xml:space="preserve">Sedangkan secara terminologis fatwa adalah menerangkan hukum agama dari suatu persoalan sebagai jawaban pertanyaan yang diajukan oleh peminta fatwa </w:t>
      </w:r>
      <w:r w:rsidRPr="00A51F34">
        <w:rPr>
          <w:rFonts w:asciiTheme="majorBidi" w:hAnsiTheme="majorBidi" w:cstheme="majorBidi"/>
          <w:i/>
          <w:iCs/>
          <w:sz w:val="24"/>
          <w:szCs w:val="24"/>
        </w:rPr>
        <w:t>(mustaftī)</w:t>
      </w:r>
      <w:r w:rsidRPr="00A51F34">
        <w:rPr>
          <w:rFonts w:asciiTheme="majorBidi" w:hAnsiTheme="majorBidi" w:cstheme="majorBidi"/>
          <w:sz w:val="24"/>
          <w:szCs w:val="24"/>
        </w:rPr>
        <w:t>, baik perseorangan maupun kolektif, baik dikenal ataupun tidak dikenal.</w:t>
      </w:r>
      <w:r w:rsidRPr="00A51F34">
        <w:rPr>
          <w:rStyle w:val="FootnoteReference"/>
          <w:rFonts w:asciiTheme="majorBidi" w:hAnsiTheme="majorBidi" w:cstheme="majorBidi"/>
          <w:sz w:val="24"/>
          <w:szCs w:val="24"/>
        </w:rPr>
        <w:footnoteReference w:id="511"/>
      </w:r>
      <w:r w:rsidRPr="00A51F34">
        <w:rPr>
          <w:rFonts w:asciiTheme="majorBidi" w:hAnsiTheme="majorBidi" w:cstheme="majorBidi"/>
          <w:sz w:val="24"/>
          <w:szCs w:val="24"/>
        </w:rPr>
        <w:t xml:space="preserve"> Menurut Zamaskhsyari ( w.538 H), </w:t>
      </w:r>
      <w:r w:rsidRPr="00A51F34">
        <w:rPr>
          <w:rFonts w:asciiTheme="majorBidi" w:hAnsiTheme="majorBidi" w:cstheme="majorBidi"/>
          <w:i/>
          <w:iCs/>
          <w:sz w:val="24"/>
          <w:szCs w:val="24"/>
        </w:rPr>
        <w:t>al-fatwa</w:t>
      </w:r>
      <w:r w:rsidRPr="00A51F34">
        <w:rPr>
          <w:rFonts w:asciiTheme="majorBidi" w:hAnsiTheme="majorBidi" w:cstheme="majorBidi"/>
          <w:sz w:val="24"/>
          <w:szCs w:val="24"/>
        </w:rPr>
        <w:t xml:space="preserve"> adalah penjelasan hukum </w:t>
      </w:r>
      <w:r w:rsidRPr="00A51F34">
        <w:rPr>
          <w:rFonts w:asciiTheme="majorBidi" w:hAnsiTheme="majorBidi" w:cstheme="majorBidi"/>
          <w:sz w:val="24"/>
          <w:szCs w:val="24"/>
        </w:rPr>
        <w:lastRenderedPageBreak/>
        <w:t>Syara’ tentang suatu masalah atas pertanyaan seseorang maupun kelompok.</w:t>
      </w:r>
      <w:r w:rsidRPr="00A51F34">
        <w:rPr>
          <w:rStyle w:val="FootnoteReference"/>
          <w:rFonts w:asciiTheme="majorBidi" w:hAnsiTheme="majorBidi" w:cstheme="majorBidi"/>
          <w:sz w:val="24"/>
          <w:szCs w:val="24"/>
        </w:rPr>
        <w:footnoteReference w:id="512"/>
      </w:r>
      <w:r w:rsidRPr="00A51F34">
        <w:rPr>
          <w:rFonts w:asciiTheme="majorBidi" w:hAnsiTheme="majorBidi" w:cstheme="majorBidi"/>
          <w:sz w:val="24"/>
          <w:szCs w:val="24"/>
        </w:rPr>
        <w:t xml:space="preserve"> Dalam kamus bahasa Indonesia mengartikan ”fatwa” sebagai “jawaban” (keputusan, pendapat) yang diberikan oleh mufti tentang suatu masalah.” Selain itu fatwa juga bermakna “nasihat orang alim; pelajaran baik atau petuah.</w:t>
      </w:r>
      <w:r w:rsidRPr="00A51F34">
        <w:rPr>
          <w:rStyle w:val="FootnoteReference"/>
          <w:rFonts w:asciiTheme="majorBidi" w:hAnsiTheme="majorBidi" w:cstheme="majorBidi"/>
          <w:sz w:val="24"/>
          <w:szCs w:val="24"/>
        </w:rPr>
        <w:footnoteReference w:id="513"/>
      </w:r>
      <w:r w:rsidRPr="00A51F34">
        <w:rPr>
          <w:rFonts w:asciiTheme="majorBidi" w:hAnsiTheme="majorBidi" w:cstheme="majorBidi"/>
          <w:sz w:val="24"/>
          <w:szCs w:val="24"/>
        </w:rPr>
        <w:t xml:space="preserve"> </w:t>
      </w:r>
    </w:p>
    <w:p w:rsidR="00343B61" w:rsidRPr="00A51F34" w:rsidRDefault="00343B61" w:rsidP="00343B61">
      <w:pPr>
        <w:autoSpaceDE w:val="0"/>
        <w:autoSpaceDN w:val="0"/>
        <w:adjustRightInd w:val="0"/>
        <w:spacing w:after="0" w:line="360" w:lineRule="auto"/>
        <w:ind w:firstLine="720"/>
        <w:jc w:val="both"/>
        <w:rPr>
          <w:rFonts w:asciiTheme="majorBidi" w:hAnsiTheme="majorBidi" w:cstheme="majorBidi"/>
          <w:color w:val="C00000"/>
          <w:sz w:val="24"/>
          <w:szCs w:val="24"/>
        </w:rPr>
      </w:pPr>
      <w:r w:rsidRPr="00A51F34">
        <w:rPr>
          <w:rFonts w:asciiTheme="majorBidi" w:hAnsiTheme="majorBidi" w:cstheme="majorBidi"/>
          <w:sz w:val="24"/>
          <w:szCs w:val="24"/>
        </w:rPr>
        <w:t>Sementara, definisi fatwa menurut Komisi Fatwa MUI, adalah penjelasan tentang hukum atau ajaran Islam mengenai permasalahan yang dihadapi atau ditanyakan oleh masyarakat serta merupakan pedoman dalam melaksanakan ajaran agamanya.</w:t>
      </w:r>
      <w:r w:rsidRPr="00A51F34">
        <w:rPr>
          <w:rStyle w:val="FootnoteReference"/>
          <w:rFonts w:asciiTheme="majorBidi" w:hAnsiTheme="majorBidi" w:cstheme="majorBidi"/>
          <w:sz w:val="24"/>
          <w:szCs w:val="24"/>
        </w:rPr>
        <w:footnoteReference w:id="514"/>
      </w:r>
      <w:r w:rsidRPr="00A51F34">
        <w:rPr>
          <w:rFonts w:asciiTheme="majorBidi" w:hAnsiTheme="majorBidi" w:cstheme="majorBidi"/>
          <w:sz w:val="24"/>
          <w:szCs w:val="24"/>
        </w:rPr>
        <w:t xml:space="preserve"> </w:t>
      </w:r>
    </w:p>
    <w:p w:rsidR="00343B61" w:rsidRPr="00D07E43" w:rsidRDefault="00343B61" w:rsidP="00343B61">
      <w:pPr>
        <w:pStyle w:val="ListParagraph"/>
        <w:spacing w:after="0" w:line="360" w:lineRule="auto"/>
        <w:ind w:left="0" w:firstLine="720"/>
        <w:jc w:val="both"/>
        <w:rPr>
          <w:rFonts w:asciiTheme="majorBidi" w:hAnsiTheme="majorBidi" w:cstheme="majorBidi"/>
          <w:i/>
          <w:iCs/>
          <w:sz w:val="24"/>
          <w:szCs w:val="24"/>
        </w:rPr>
      </w:pPr>
      <w:r w:rsidRPr="00D07E43">
        <w:rPr>
          <w:rFonts w:asciiTheme="majorBidi" w:hAnsiTheme="majorBidi" w:cstheme="majorBidi"/>
          <w:sz w:val="24"/>
          <w:szCs w:val="24"/>
        </w:rPr>
        <w:t xml:space="preserve">Di dalam Al-Qur’ān, kata fatwa dan berbagai bentuknya digunakan beberapa kali, antara lain: kata </w:t>
      </w:r>
      <w:r w:rsidRPr="00D07E43">
        <w:rPr>
          <w:rFonts w:asciiTheme="majorBidi" w:hAnsiTheme="majorBidi" w:cstheme="majorBidi"/>
          <w:i/>
          <w:iCs/>
          <w:sz w:val="24"/>
          <w:szCs w:val="24"/>
        </w:rPr>
        <w:t>yuftīkum</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يفتيكم</w:t>
      </w:r>
      <w:r w:rsidRPr="00D07E43">
        <w:rPr>
          <w:rFonts w:asciiTheme="majorBidi" w:hAnsiTheme="majorBidi" w:cstheme="majorBidi"/>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dan </w:t>
      </w:r>
      <w:r w:rsidRPr="00D07E43">
        <w:rPr>
          <w:rFonts w:asciiTheme="majorBidi" w:hAnsiTheme="majorBidi" w:cstheme="majorBidi"/>
          <w:i/>
          <w:iCs/>
          <w:sz w:val="24"/>
          <w:szCs w:val="24"/>
        </w:rPr>
        <w:t>yastaftūnaka</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يستفتونك</w:t>
      </w:r>
      <w:r w:rsidRPr="00D07E43">
        <w:rPr>
          <w:rFonts w:asciiTheme="majorBidi" w:hAnsiTheme="majorBidi" w:cstheme="majorBidi"/>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masing-masing digunakan dua kali</w:t>
      </w:r>
      <w:r w:rsidRPr="00D07E43">
        <w:rPr>
          <w:rStyle w:val="FootnoteReference"/>
          <w:rFonts w:asciiTheme="majorBidi" w:hAnsiTheme="majorBidi" w:cstheme="majorBidi"/>
          <w:sz w:val="24"/>
          <w:szCs w:val="24"/>
        </w:rPr>
        <w:footnoteReference w:id="515"/>
      </w:r>
      <w:r w:rsidRPr="00D07E43">
        <w:rPr>
          <w:rFonts w:asciiTheme="majorBidi" w:hAnsiTheme="majorBidi" w:cstheme="majorBidi"/>
          <w:sz w:val="24"/>
          <w:szCs w:val="24"/>
        </w:rPr>
        <w:t xml:space="preserve">; kata </w:t>
      </w:r>
      <w:r w:rsidRPr="00703A00">
        <w:rPr>
          <w:rFonts w:asciiTheme="majorBidi" w:hAnsiTheme="majorBidi" w:cstheme="majorBidi"/>
          <w:i/>
          <w:iCs/>
          <w:sz w:val="24"/>
          <w:szCs w:val="24"/>
        </w:rPr>
        <w:t>l</w:t>
      </w:r>
      <w:r w:rsidRPr="00AF77E7">
        <w:rPr>
          <w:rFonts w:asciiTheme="majorBidi" w:hAnsiTheme="majorBidi" w:cstheme="majorBidi"/>
          <w:i/>
          <w:iCs/>
          <w:sz w:val="24"/>
          <w:szCs w:val="24"/>
        </w:rPr>
        <w:t>ā</w:t>
      </w:r>
      <w:r w:rsidRPr="00703A00">
        <w:rPr>
          <w:rFonts w:asciiTheme="majorBidi" w:hAnsiTheme="majorBidi" w:cstheme="majorBidi"/>
          <w:i/>
          <w:iCs/>
          <w:sz w:val="24"/>
          <w:szCs w:val="24"/>
        </w:rPr>
        <w:t xml:space="preserve"> tastafti</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tl/>
        </w:rPr>
        <w:t>لاتستفت</w:t>
      </w:r>
      <w:r w:rsidRPr="00D07E43">
        <w:rPr>
          <w:rFonts w:asciiTheme="majorBidi" w:hAnsiTheme="majorBidi" w:cstheme="majorBidi"/>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dan </w:t>
      </w:r>
      <w:r w:rsidRPr="00703A00">
        <w:rPr>
          <w:rFonts w:asciiTheme="majorBidi" w:hAnsiTheme="majorBidi" w:cstheme="majorBidi"/>
          <w:i/>
          <w:iCs/>
          <w:sz w:val="24"/>
          <w:szCs w:val="24"/>
        </w:rPr>
        <w:t>tastaftiyān</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تستفتيان</w:t>
      </w:r>
      <w:r w:rsidRPr="00D07E43">
        <w:rPr>
          <w:rFonts w:asciiTheme="majorBidi" w:hAnsiTheme="majorBidi" w:cstheme="majorBidi"/>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masing-masing digunakan satu kali </w:t>
      </w:r>
      <w:r w:rsidRPr="00D07E43">
        <w:rPr>
          <w:rStyle w:val="FootnoteReference"/>
          <w:rFonts w:asciiTheme="majorBidi" w:hAnsiTheme="majorBidi" w:cstheme="majorBidi"/>
          <w:sz w:val="24"/>
          <w:szCs w:val="24"/>
        </w:rPr>
        <w:footnoteReference w:id="516"/>
      </w:r>
      <w:r w:rsidRPr="00D07E43">
        <w:rPr>
          <w:rFonts w:asciiTheme="majorBidi" w:hAnsiTheme="majorBidi" w:cstheme="majorBidi"/>
          <w:sz w:val="24"/>
          <w:szCs w:val="24"/>
        </w:rPr>
        <w:t xml:space="preserve">; dalam bentuk perintah, </w:t>
      </w:r>
      <w:r w:rsidRPr="00703A00">
        <w:rPr>
          <w:rFonts w:asciiTheme="majorBidi" w:hAnsiTheme="majorBidi" w:cstheme="majorBidi"/>
          <w:i/>
          <w:iCs/>
          <w:sz w:val="24"/>
          <w:szCs w:val="24"/>
        </w:rPr>
        <w:t>aftin</w:t>
      </w:r>
      <w:r w:rsidRPr="00AF77E7">
        <w:rPr>
          <w:rFonts w:asciiTheme="majorBidi" w:hAnsiTheme="majorBidi" w:cstheme="majorBidi"/>
          <w:i/>
          <w:iCs/>
          <w:sz w:val="24"/>
          <w:szCs w:val="24"/>
        </w:rPr>
        <w:t>ā</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أفتنا</w:t>
      </w:r>
      <w:r w:rsidRPr="00D07E43">
        <w:rPr>
          <w:rFonts w:asciiTheme="majorBidi" w:hAnsiTheme="majorBidi" w:cstheme="majorBidi"/>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satu kali</w:t>
      </w:r>
      <w:r w:rsidRPr="00D07E43">
        <w:rPr>
          <w:rStyle w:val="FootnoteReference"/>
          <w:rFonts w:asciiTheme="majorBidi" w:hAnsiTheme="majorBidi" w:cstheme="majorBidi"/>
          <w:sz w:val="24"/>
          <w:szCs w:val="24"/>
        </w:rPr>
        <w:footnoteReference w:id="517"/>
      </w:r>
      <w:r w:rsidRPr="00D07E43">
        <w:rPr>
          <w:rFonts w:asciiTheme="majorBidi" w:hAnsiTheme="majorBidi" w:cstheme="majorBidi"/>
          <w:sz w:val="24"/>
          <w:szCs w:val="24"/>
        </w:rPr>
        <w:t xml:space="preserve">; </w:t>
      </w:r>
      <w:r>
        <w:rPr>
          <w:rFonts w:asciiTheme="majorBidi" w:hAnsiTheme="majorBidi" w:cstheme="majorBidi"/>
          <w:sz w:val="24"/>
          <w:szCs w:val="24"/>
        </w:rPr>
        <w:t xml:space="preserve">dan </w:t>
      </w:r>
      <w:r w:rsidRPr="00703A00">
        <w:rPr>
          <w:rFonts w:asciiTheme="majorBidi" w:hAnsiTheme="majorBidi" w:cstheme="majorBidi"/>
          <w:i/>
          <w:iCs/>
          <w:sz w:val="24"/>
          <w:szCs w:val="24"/>
        </w:rPr>
        <w:t>aftun</w:t>
      </w:r>
      <w:r w:rsidRPr="00D07E43">
        <w:rPr>
          <w:rFonts w:asciiTheme="majorBidi" w:hAnsiTheme="majorBidi" w:cstheme="majorBidi"/>
          <w:i/>
          <w:iCs/>
          <w:sz w:val="24"/>
          <w:szCs w:val="24"/>
        </w:rPr>
        <w:t>ī</w:t>
      </w:r>
      <w:r>
        <w:rPr>
          <w:rFonts w:asciiTheme="majorBidi" w:hAnsiTheme="majorBidi" w:cstheme="majorBidi"/>
          <w:i/>
          <w:iCs/>
          <w:sz w:val="24"/>
          <w:szCs w:val="24"/>
        </w:rPr>
        <w:t xml:space="preserve"> </w:t>
      </w:r>
      <w:r>
        <w:rPr>
          <w:rFonts w:asciiTheme="majorBidi" w:hAnsiTheme="majorBidi" w:cstheme="majorBidi"/>
          <w:sz w:val="24"/>
          <w:szCs w:val="24"/>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أفتون</w:t>
      </w:r>
      <w:r>
        <w:rPr>
          <w:rFonts w:asciiTheme="majorBidi" w:hAnsiTheme="majorBidi" w:cstheme="majorBidi" w:hint="cs"/>
          <w:sz w:val="24"/>
          <w:szCs w:val="24"/>
          <w:rtl/>
        </w:rPr>
        <w:t>ي</w:t>
      </w:r>
      <w:r>
        <w:rPr>
          <w:rFonts w:asciiTheme="majorBidi" w:hAnsiTheme="majorBidi" w:cstheme="majorBidi"/>
          <w:sz w:val="24"/>
          <w:szCs w:val="24"/>
        </w:rPr>
        <w:t>)</w:t>
      </w:r>
      <w:r w:rsidRPr="00D07E43">
        <w:rPr>
          <w:rFonts w:asciiTheme="majorBidi" w:hAnsiTheme="majorBidi" w:cstheme="majorBidi"/>
          <w:sz w:val="24"/>
          <w:szCs w:val="24"/>
        </w:rPr>
        <w:t xml:space="preserve"> dua kali;</w:t>
      </w:r>
      <w:r w:rsidRPr="00D07E43">
        <w:rPr>
          <w:rStyle w:val="FootnoteReference"/>
          <w:rFonts w:asciiTheme="majorBidi" w:hAnsiTheme="majorBidi" w:cstheme="majorBidi"/>
          <w:sz w:val="24"/>
          <w:szCs w:val="24"/>
        </w:rPr>
        <w:footnoteReference w:id="518"/>
      </w:r>
      <w:r>
        <w:rPr>
          <w:rFonts w:asciiTheme="majorBidi" w:hAnsiTheme="majorBidi" w:cstheme="majorBidi"/>
          <w:sz w:val="24"/>
          <w:szCs w:val="24"/>
        </w:rPr>
        <w:t xml:space="preserve"> serta </w:t>
      </w:r>
      <w:r w:rsidRPr="00703A00">
        <w:rPr>
          <w:rFonts w:asciiTheme="majorBidi" w:hAnsiTheme="majorBidi" w:cstheme="majorBidi"/>
          <w:i/>
          <w:iCs/>
          <w:sz w:val="24"/>
          <w:szCs w:val="24"/>
        </w:rPr>
        <w:t>fastaftihum</w:t>
      </w:r>
      <w:r w:rsidRPr="00D07E43">
        <w:rPr>
          <w:rFonts w:asciiTheme="majorBidi" w:hAnsiTheme="majorBidi" w:cstheme="majorBidi"/>
          <w:sz w:val="24"/>
          <w:szCs w:val="24"/>
        </w:rPr>
        <w:t xml:space="preserve"> </w:t>
      </w:r>
      <w:r>
        <w:rPr>
          <w:rFonts w:asciiTheme="majorBidi" w:hAnsiTheme="majorBidi" w:cstheme="majorBidi" w:hint="cs"/>
          <w:sz w:val="24"/>
          <w:szCs w:val="24"/>
          <w:rtl/>
        </w:rPr>
        <w:t>)</w:t>
      </w:r>
      <w:r w:rsidRPr="00D07E43">
        <w:rPr>
          <w:rFonts w:asciiTheme="majorBidi" w:hAnsiTheme="majorBidi" w:cstheme="majorBidi"/>
          <w:sz w:val="24"/>
          <w:szCs w:val="24"/>
        </w:rPr>
        <w:t xml:space="preserve"> </w:t>
      </w:r>
      <w:r w:rsidRPr="00D07E43">
        <w:rPr>
          <w:rFonts w:asciiTheme="majorBidi" w:hAnsiTheme="majorBidi" w:cstheme="majorBidi"/>
          <w:sz w:val="24"/>
          <w:szCs w:val="24"/>
          <w:rtl/>
        </w:rPr>
        <w:t>فاستفتهم</w:t>
      </w:r>
      <w:r>
        <w:rPr>
          <w:rFonts w:asciiTheme="majorBidi" w:hAnsiTheme="majorBidi" w:cstheme="majorBidi" w:hint="cs"/>
          <w:sz w:val="24"/>
          <w:szCs w:val="24"/>
          <w:rtl/>
        </w:rPr>
        <w:t xml:space="preserve"> (</w:t>
      </w:r>
      <w:r w:rsidRPr="00D07E43">
        <w:rPr>
          <w:rFonts w:asciiTheme="majorBidi" w:hAnsiTheme="majorBidi" w:cstheme="majorBidi"/>
          <w:sz w:val="24"/>
          <w:szCs w:val="24"/>
        </w:rPr>
        <w:t>dua kali</w:t>
      </w:r>
      <w:r w:rsidRPr="00D07E43">
        <w:rPr>
          <w:rStyle w:val="FootnoteReference"/>
          <w:rFonts w:asciiTheme="majorBidi" w:hAnsiTheme="majorBidi" w:cstheme="majorBidi"/>
          <w:sz w:val="24"/>
          <w:szCs w:val="24"/>
        </w:rPr>
        <w:footnoteReference w:id="519"/>
      </w:r>
      <w:r w:rsidRPr="00D07E43">
        <w:rPr>
          <w:rFonts w:asciiTheme="majorBidi" w:hAnsiTheme="majorBidi" w:cstheme="majorBidi"/>
          <w:sz w:val="24"/>
          <w:szCs w:val="24"/>
        </w:rPr>
        <w:t>. Beberapa pernyataan di atas dipahami memiliki makna meminta penjelasan terhadap sesuatu yang belum atau tidak dijelaskan.</w:t>
      </w:r>
      <w:r w:rsidRPr="00D07E43">
        <w:rPr>
          <w:rStyle w:val="FootnoteReference"/>
          <w:rFonts w:asciiTheme="majorBidi" w:hAnsiTheme="majorBidi" w:cstheme="majorBidi"/>
          <w:sz w:val="24"/>
          <w:szCs w:val="24"/>
        </w:rPr>
        <w:footnoteReference w:id="520"/>
      </w:r>
    </w:p>
    <w:p w:rsidR="00343B61" w:rsidRPr="00A51F3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Formula yang harus ada dalam fatwa ada tiga, pertama si peminta fatwa (</w:t>
      </w:r>
      <w:r w:rsidRPr="00A51F34">
        <w:rPr>
          <w:rFonts w:asciiTheme="majorBidi" w:hAnsiTheme="majorBidi" w:cstheme="majorBidi"/>
          <w:i/>
          <w:iCs/>
          <w:sz w:val="24"/>
          <w:szCs w:val="24"/>
        </w:rPr>
        <w:t>mustaftī</w:t>
      </w:r>
      <w:r w:rsidRPr="00A51F34">
        <w:rPr>
          <w:rFonts w:asciiTheme="majorBidi" w:hAnsiTheme="majorBidi" w:cstheme="majorBidi"/>
          <w:sz w:val="24"/>
          <w:szCs w:val="24"/>
        </w:rPr>
        <w:t>) baik individu maupun sebuah kelompok. Kedua pemberi fatwa (</w:t>
      </w:r>
      <w:r w:rsidRPr="00A51F34">
        <w:rPr>
          <w:rFonts w:asciiTheme="majorBidi" w:hAnsiTheme="majorBidi" w:cstheme="majorBidi"/>
          <w:i/>
          <w:iCs/>
          <w:sz w:val="24"/>
          <w:szCs w:val="24"/>
        </w:rPr>
        <w:t>muftī</w:t>
      </w:r>
      <w:r w:rsidRPr="00A51F34">
        <w:rPr>
          <w:rFonts w:asciiTheme="majorBidi" w:hAnsiTheme="majorBidi" w:cstheme="majorBidi"/>
          <w:sz w:val="24"/>
          <w:szCs w:val="24"/>
        </w:rPr>
        <w:t>) dengan beberapa syarat yang diberikan oleh para ulama, dan ketiga materi fatwa.</w:t>
      </w:r>
      <w:r w:rsidRPr="00A51F34">
        <w:rPr>
          <w:rStyle w:val="FootnoteReference"/>
          <w:rFonts w:asciiTheme="majorBidi" w:hAnsiTheme="majorBidi" w:cstheme="majorBidi"/>
          <w:sz w:val="24"/>
          <w:szCs w:val="24"/>
        </w:rPr>
        <w:footnoteReference w:id="521"/>
      </w:r>
      <w:r w:rsidRPr="00A51F34">
        <w:rPr>
          <w:rFonts w:asciiTheme="majorBidi" w:hAnsiTheme="majorBidi" w:cstheme="majorBidi"/>
          <w:sz w:val="24"/>
          <w:szCs w:val="24"/>
        </w:rPr>
        <w:t xml:space="preserve"> Ketiga unsur tersebut mesti ada, jika satu dari unsur tersebut tidak ada maka dipastikan fatwa tidak bisa keluar.</w:t>
      </w:r>
    </w:p>
    <w:p w:rsidR="00343B61" w:rsidRPr="00A51F3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i/>
          <w:iCs/>
          <w:sz w:val="24"/>
          <w:szCs w:val="24"/>
        </w:rPr>
        <w:lastRenderedPageBreak/>
        <w:t>Al-</w:t>
      </w:r>
      <w:r w:rsidRPr="00A51F34">
        <w:rPr>
          <w:rFonts w:asciiTheme="majorBidi" w:hAnsiTheme="majorBidi" w:cstheme="majorBidi"/>
          <w:i/>
          <w:iCs/>
          <w:sz w:val="24"/>
          <w:szCs w:val="24"/>
        </w:rPr>
        <w:t>Muft</w:t>
      </w:r>
      <w:r w:rsidRPr="00DE4383">
        <w:rPr>
          <w:rFonts w:asciiTheme="majorBidi" w:hAnsiTheme="majorBidi" w:cstheme="majorBidi"/>
          <w:i/>
          <w:iCs/>
          <w:sz w:val="24"/>
          <w:szCs w:val="24"/>
        </w:rPr>
        <w:t>ī</w:t>
      </w:r>
      <w:r w:rsidRPr="00A51F34">
        <w:rPr>
          <w:rFonts w:asciiTheme="majorBidi" w:hAnsiTheme="majorBidi" w:cstheme="majorBidi"/>
          <w:sz w:val="24"/>
          <w:szCs w:val="24"/>
        </w:rPr>
        <w:t xml:space="preserve"> </w:t>
      </w:r>
      <w:r w:rsidRPr="00A51F34">
        <w:rPr>
          <w:rFonts w:asciiTheme="majorBidi" w:hAnsiTheme="majorBidi" w:cstheme="majorBidi"/>
          <w:color w:val="000000"/>
          <w:sz w:val="24"/>
          <w:szCs w:val="24"/>
          <w:rtl/>
        </w:rPr>
        <w:t>(المفتي)</w:t>
      </w:r>
      <w:r w:rsidRPr="00A51F34">
        <w:rPr>
          <w:rFonts w:asciiTheme="majorBidi" w:hAnsiTheme="majorBidi" w:cstheme="majorBidi"/>
          <w:color w:val="000000"/>
          <w:sz w:val="24"/>
          <w:szCs w:val="24"/>
        </w:rPr>
        <w:t xml:space="preserve"> adalah ahli fikih yang ditunjuk oleh pemerintah untuk menjawab permasalahan-permasalahan hukum syari’ah.</w:t>
      </w:r>
      <w:r w:rsidRPr="00A51F34">
        <w:rPr>
          <w:rStyle w:val="FootnoteReference"/>
          <w:rFonts w:asciiTheme="majorBidi" w:hAnsiTheme="majorBidi" w:cstheme="majorBidi"/>
          <w:color w:val="000000"/>
          <w:sz w:val="24"/>
          <w:szCs w:val="24"/>
        </w:rPr>
        <w:footnoteReference w:id="522"/>
      </w:r>
      <w:r w:rsidRPr="00A51F34">
        <w:rPr>
          <w:rFonts w:asciiTheme="majorBidi" w:hAnsiTheme="majorBidi" w:cstheme="majorBidi"/>
          <w:color w:val="000000"/>
          <w:sz w:val="24"/>
          <w:szCs w:val="24"/>
        </w:rPr>
        <w:t xml:space="preserve"> </w:t>
      </w:r>
      <w:r w:rsidRPr="00A51F34">
        <w:rPr>
          <w:rFonts w:asciiTheme="majorBidi" w:hAnsiTheme="majorBidi" w:cstheme="majorBidi"/>
          <w:sz w:val="24"/>
          <w:szCs w:val="24"/>
        </w:rPr>
        <w:t>Ibn Hamdan al-Hanbali saat mengemukakan makna kata "mufti" beliau menyatakan bahwa mufti “adalah orang yang memberitahukan hukum Allah swt karena pengetahuannya tentang dalil-dalil hukum tersebut.</w:t>
      </w:r>
      <w:r w:rsidRPr="00A51F34">
        <w:rPr>
          <w:rStyle w:val="FootnoteReference"/>
          <w:rFonts w:asciiTheme="majorBidi" w:hAnsiTheme="majorBidi" w:cstheme="majorBidi"/>
          <w:sz w:val="24"/>
          <w:szCs w:val="24"/>
        </w:rPr>
        <w:footnoteReference w:id="523"/>
      </w:r>
    </w:p>
    <w:p w:rsidR="00343B61" w:rsidRPr="00A51F34" w:rsidRDefault="00343B61" w:rsidP="00343B61">
      <w:pPr>
        <w:autoSpaceDE w:val="0"/>
        <w:autoSpaceDN w:val="0"/>
        <w:adjustRightInd w:val="0"/>
        <w:spacing w:after="0" w:line="360" w:lineRule="auto"/>
        <w:ind w:firstLine="720"/>
        <w:jc w:val="both"/>
        <w:rPr>
          <w:rFonts w:ascii="Z@RE85.tmp" w:hAnsi="Z@RE85.tmp" w:cs="Z@RE85.tmp"/>
          <w:sz w:val="24"/>
          <w:szCs w:val="24"/>
        </w:rPr>
      </w:pPr>
      <w:r w:rsidRPr="00A51F34">
        <w:rPr>
          <w:rFonts w:ascii="Z@RE85.tmp" w:hAnsi="Z@RE85.tmp" w:cs="Z@RE85.tmp"/>
          <w:sz w:val="24"/>
          <w:szCs w:val="24"/>
        </w:rPr>
        <w:t>Menurut al-Syaukani, seorang mufti adalah seorang mujtahid.</w:t>
      </w:r>
      <w:r w:rsidRPr="00A51F34">
        <w:rPr>
          <w:rStyle w:val="FootnoteReference"/>
          <w:rFonts w:ascii="Z@RE85.tmp" w:hAnsi="Z@RE85.tmp" w:cs="Z@RE85.tmp"/>
          <w:sz w:val="24"/>
          <w:szCs w:val="24"/>
        </w:rPr>
        <w:footnoteReference w:id="524"/>
      </w:r>
      <w:r w:rsidRPr="00A51F34">
        <w:rPr>
          <w:rFonts w:ascii="Z@RE85.tmp" w:hAnsi="Z@RE85.tmp" w:cs="Z@RE85.tmp"/>
          <w:sz w:val="24"/>
          <w:szCs w:val="24"/>
        </w:rPr>
        <w:t xml:space="preserve"> Ini berarti bahwa tidak sembarang orang dapat menjadi mufti dan memberikan fatwa. Oleh karena itu, seorang mufti harus memiliki persyaratan ijtihad. Hanya saja, Abu Zahrah mengemukakan perbedaan yang cukup signifikan antara ijtihad dan </w:t>
      </w:r>
      <w:r w:rsidRPr="00A51F34">
        <w:rPr>
          <w:rFonts w:ascii="Z@RE87.tmp,Italic" w:hAnsi="Z@RE87.tmp,Italic" w:cs="Z@RE87.tmp,Italic"/>
          <w:i/>
          <w:iCs/>
          <w:sz w:val="24"/>
          <w:szCs w:val="24"/>
        </w:rPr>
        <w:t xml:space="preserve">al-ifta` </w:t>
      </w:r>
      <w:r w:rsidRPr="00A51F34">
        <w:rPr>
          <w:rFonts w:ascii="Z@RE85.tmp" w:hAnsi="Z@RE85.tmp" w:cs="Z@RE85.tmp"/>
          <w:sz w:val="24"/>
          <w:szCs w:val="24"/>
        </w:rPr>
        <w:t xml:space="preserve">(memberi fatwa). Menurutnya, yang kedua bersifat lebih khusus dari yang pertama, ijtihad. Kalau ijtihad merupakan upaya maksimal seorang mujtahid dalam menyimpulkan hukum, baik dalam hal yang sudah terjadi ataupun belum, maka </w:t>
      </w:r>
      <w:r w:rsidRPr="00A51F34">
        <w:rPr>
          <w:rFonts w:ascii="Z@RE87.tmp,Italic" w:hAnsi="Z@RE87.tmp,Italic" w:cs="Z@RE87.tmp,Italic"/>
          <w:i/>
          <w:iCs/>
          <w:sz w:val="24"/>
          <w:szCs w:val="24"/>
        </w:rPr>
        <w:t xml:space="preserve">al-ifta` </w:t>
      </w:r>
      <w:r w:rsidRPr="00A51F34">
        <w:rPr>
          <w:rFonts w:ascii="Z@RE85.tmp" w:hAnsi="Z@RE85.tmp" w:cs="Z@RE85.tmp"/>
          <w:sz w:val="24"/>
          <w:szCs w:val="24"/>
        </w:rPr>
        <w:t>dilakukan hanya bila permasalahan muncul dan seorang faqih berupaya mencari dan menemukan hukum masalah itu.</w:t>
      </w:r>
      <w:r w:rsidRPr="00A51F34">
        <w:rPr>
          <w:rStyle w:val="FootnoteReference"/>
          <w:rFonts w:ascii="Z@RE85.tmp" w:hAnsi="Z@RE85.tmp" w:cs="Z@RE85.tmp"/>
          <w:sz w:val="24"/>
          <w:szCs w:val="24"/>
        </w:rPr>
        <w:footnoteReference w:id="525"/>
      </w:r>
      <w:r w:rsidRPr="00A51F34">
        <w:rPr>
          <w:rFonts w:ascii="Z@RE85.tmp" w:hAnsi="Z@RE85.tmp" w:cs="Z@RE85.tmp"/>
          <w:sz w:val="24"/>
          <w:szCs w:val="24"/>
        </w:rPr>
        <w:t xml:space="preserve"> Ini berarti bahwa hal yang kedua merupakan upaya mencari solusi atas permasalahan yang terjadi yang belum ditunjukkan penyelesaiannya dalam khazanah yang sudah ada.</w:t>
      </w:r>
    </w:p>
    <w:p w:rsidR="00343B61" w:rsidRPr="00A51F3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Terjadi perbedaan pendapat di kalangan ahli sejarah hukum Islam, kapan fatwa mulai muncul, Muhammad Utsman Syubair, mengatakan bahwa mufti pertama dalam sejarah Islam adalah Nabi Muhammad SAW yang memberikan fatwa atas nama Allah SWT. sesuai dengan wahyu yang turun kepadanya bahwa diantara tugas seorang Nabi adalah menjelaskan hukum-hukum Syar’iah kepada umat manusia. Sebagaimana Allah SWT berfirman:</w:t>
      </w:r>
    </w:p>
    <w:p w:rsidR="00343B61" w:rsidRPr="00C0315E" w:rsidRDefault="00343B61" w:rsidP="00343B61">
      <w:pPr>
        <w:autoSpaceDE w:val="0"/>
        <w:autoSpaceDN w:val="0"/>
        <w:bidi/>
        <w:adjustRightInd w:val="0"/>
        <w:spacing w:after="0" w:line="240" w:lineRule="auto"/>
        <w:jc w:val="both"/>
        <w:rPr>
          <w:rFonts w:asciiTheme="majorBidi" w:hAnsiTheme="majorBidi" w:cs="Traditional Arabic"/>
          <w:sz w:val="28"/>
          <w:szCs w:val="28"/>
          <w:rtl/>
        </w:rPr>
      </w:pPr>
      <w:r w:rsidRPr="00C0315E">
        <w:rPr>
          <w:rFonts w:asciiTheme="majorBidi" w:hAnsiTheme="majorBidi" w:cs="Traditional Arabic"/>
          <w:sz w:val="28"/>
          <w:szCs w:val="28"/>
        </w:rPr>
        <w:lastRenderedPageBreak/>
        <w:sym w:font="HQPB5" w:char="F021"/>
      </w:r>
      <w:r w:rsidRPr="00C0315E">
        <w:rPr>
          <w:rFonts w:asciiTheme="majorBidi" w:hAnsiTheme="majorBidi" w:cs="Traditional Arabic"/>
          <w:sz w:val="28"/>
          <w:szCs w:val="28"/>
        </w:rPr>
        <w:sym w:font="HQPB1" w:char="F024"/>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42"/>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1" w:char="F024"/>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5A"/>
      </w: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93"/>
      </w:r>
      <w:r w:rsidRPr="00C0315E">
        <w:rPr>
          <w:rFonts w:asciiTheme="majorBidi" w:hAnsiTheme="majorBidi" w:cs="Traditional Arabic"/>
          <w:sz w:val="28"/>
          <w:szCs w:val="28"/>
        </w:rPr>
        <w:sym w:font="HQPB2" w:char="F052"/>
      </w:r>
      <w:r w:rsidRPr="00C0315E">
        <w:rPr>
          <w:rFonts w:asciiTheme="majorBidi" w:hAnsiTheme="majorBidi" w:cs="Traditional Arabic"/>
          <w:sz w:val="28"/>
          <w:szCs w:val="28"/>
        </w:rPr>
        <w:sym w:font="HQPB5" w:char="F072"/>
      </w:r>
      <w:r w:rsidRPr="00C0315E">
        <w:rPr>
          <w:rFonts w:asciiTheme="majorBidi" w:hAnsiTheme="majorBidi" w:cs="Traditional Arabic"/>
          <w:sz w:val="28"/>
          <w:szCs w:val="28"/>
        </w:rPr>
        <w:sym w:font="HQPB1" w:char="F026"/>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9"/>
      </w:r>
      <w:r w:rsidRPr="00C0315E">
        <w:rPr>
          <w:rFonts w:asciiTheme="majorBidi" w:hAnsiTheme="majorBidi" w:cs="Traditional Arabic"/>
          <w:sz w:val="28"/>
          <w:szCs w:val="28"/>
        </w:rPr>
        <w:sym w:font="HQPB2" w:char="F037"/>
      </w: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2" w:char="F08B"/>
      </w:r>
      <w:r w:rsidRPr="00C0315E">
        <w:rPr>
          <w:rFonts w:asciiTheme="majorBidi" w:hAnsiTheme="majorBidi" w:cs="Traditional Arabic"/>
          <w:sz w:val="28"/>
          <w:szCs w:val="28"/>
        </w:rPr>
        <w:sym w:font="HQPB5" w:char="F06E"/>
      </w:r>
      <w:r w:rsidRPr="00C0315E">
        <w:rPr>
          <w:rFonts w:asciiTheme="majorBidi" w:hAnsiTheme="majorBidi" w:cs="Traditional Arabic"/>
          <w:sz w:val="28"/>
          <w:szCs w:val="28"/>
        </w:rPr>
        <w:sym w:font="HQPB2" w:char="F03D"/>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E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C"/>
      </w:r>
      <w:r w:rsidRPr="00C0315E">
        <w:rPr>
          <w:rFonts w:asciiTheme="majorBidi" w:hAnsiTheme="majorBidi" w:cs="Traditional Arabic"/>
          <w:sz w:val="28"/>
          <w:szCs w:val="28"/>
        </w:rPr>
        <w:sym w:font="HQPB1" w:char="F03D"/>
      </w:r>
      <w:r w:rsidRPr="00C0315E">
        <w:rPr>
          <w:rFonts w:asciiTheme="majorBidi" w:hAnsiTheme="majorBidi" w:cs="Traditional Arabic"/>
          <w:sz w:val="28"/>
          <w:szCs w:val="28"/>
        </w:rPr>
        <w:sym w:font="HQPB2" w:char="F0BB"/>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47"/>
      </w:r>
      <w:r w:rsidRPr="00C0315E">
        <w:rPr>
          <w:rFonts w:asciiTheme="majorBidi" w:hAnsiTheme="majorBidi" w:cs="Traditional Arabic"/>
          <w:sz w:val="28"/>
          <w:szCs w:val="28"/>
        </w:rPr>
        <w:sym w:font="HQPB4" w:char="F0C5"/>
      </w:r>
      <w:r w:rsidRPr="00C0315E">
        <w:rPr>
          <w:rFonts w:asciiTheme="majorBidi" w:hAnsiTheme="majorBidi" w:cs="Traditional Arabic"/>
          <w:sz w:val="28"/>
          <w:szCs w:val="28"/>
        </w:rPr>
        <w:sym w:font="HQPB2" w:char="F033"/>
      </w: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9E"/>
      </w:r>
      <w:r w:rsidRPr="00C0315E">
        <w:rPr>
          <w:rFonts w:asciiTheme="majorBidi" w:hAnsiTheme="majorBidi" w:cs="Traditional Arabic"/>
          <w:sz w:val="28"/>
          <w:szCs w:val="28"/>
        </w:rPr>
        <w:sym w:font="HQPB2" w:char="F077"/>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1" w:char="F02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FB"/>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4" w:char="F069"/>
      </w:r>
      <w:r w:rsidRPr="00C0315E">
        <w:rPr>
          <w:rFonts w:asciiTheme="majorBidi" w:hAnsiTheme="majorBidi" w:cs="Traditional Arabic"/>
          <w:sz w:val="28"/>
          <w:szCs w:val="28"/>
        </w:rPr>
        <w:sym w:font="HQPB2" w:char="F0FC"/>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37"/>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1" w:char="F046"/>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DE"/>
      </w:r>
      <w:r w:rsidRPr="00C0315E">
        <w:rPr>
          <w:rFonts w:asciiTheme="majorBidi" w:hAnsiTheme="majorBidi" w:cs="Traditional Arabic"/>
          <w:sz w:val="28"/>
          <w:szCs w:val="28"/>
        </w:rPr>
        <w:sym w:font="HQPB2" w:char="F04F"/>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2" w:char="F06C"/>
      </w:r>
      <w:r w:rsidRPr="00C0315E">
        <w:rPr>
          <w:rFonts w:asciiTheme="majorBidi" w:hAnsiTheme="majorBidi" w:cs="Traditional Arabic"/>
          <w:sz w:val="28"/>
          <w:szCs w:val="28"/>
        </w:rPr>
        <w:sym w:font="HQPB5" w:char="F06D"/>
      </w:r>
      <w:r w:rsidRPr="00C0315E">
        <w:rPr>
          <w:rFonts w:asciiTheme="majorBidi" w:hAnsiTheme="majorBidi" w:cs="Traditional Arabic"/>
          <w:sz w:val="28"/>
          <w:szCs w:val="28"/>
        </w:rPr>
        <w:sym w:font="HQPB2" w:char="F03B"/>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93"/>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3" w:char="F025"/>
      </w:r>
      <w:r w:rsidRPr="00C0315E">
        <w:rPr>
          <w:rFonts w:asciiTheme="majorBidi" w:hAnsiTheme="majorBidi" w:cs="Traditional Arabic"/>
          <w:sz w:val="28"/>
          <w:szCs w:val="28"/>
        </w:rPr>
        <w:sym w:font="HQPB4" w:char="F0A9"/>
      </w:r>
      <w:r w:rsidRPr="00C0315E">
        <w:rPr>
          <w:rFonts w:asciiTheme="majorBidi" w:hAnsiTheme="majorBidi" w:cs="Traditional Arabic"/>
          <w:sz w:val="28"/>
          <w:szCs w:val="28"/>
        </w:rPr>
        <w:sym w:font="HQPB3" w:char="F021"/>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28"/>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4" w:char="F0E0"/>
      </w:r>
      <w:r w:rsidRPr="00C0315E">
        <w:rPr>
          <w:rFonts w:asciiTheme="majorBidi" w:hAnsiTheme="majorBidi" w:cs="Traditional Arabic"/>
          <w:sz w:val="28"/>
          <w:szCs w:val="28"/>
        </w:rPr>
        <w:sym w:font="HQPB1" w:char="F0FF"/>
      </w:r>
      <w:r w:rsidRPr="00C0315E">
        <w:rPr>
          <w:rFonts w:asciiTheme="majorBidi" w:hAnsiTheme="majorBidi" w:cs="Traditional Arabic"/>
          <w:sz w:val="28"/>
          <w:szCs w:val="28"/>
        </w:rPr>
        <w:sym w:font="HQPB5" w:char="F06E"/>
      </w:r>
      <w:r w:rsidRPr="00C0315E">
        <w:rPr>
          <w:rFonts w:asciiTheme="majorBidi" w:hAnsiTheme="majorBidi" w:cs="Traditional Arabic"/>
          <w:sz w:val="28"/>
          <w:szCs w:val="28"/>
        </w:rPr>
        <w:sym w:font="HQPB2" w:char="F03D"/>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47"/>
      </w:r>
      <w:r w:rsidRPr="00C0315E">
        <w:rPr>
          <w:rFonts w:asciiTheme="majorBidi" w:hAnsiTheme="majorBidi" w:cs="Traditional Arabic"/>
          <w:sz w:val="28"/>
          <w:szCs w:val="28"/>
        </w:rPr>
        <w:sym w:font="HQPB4" w:char="F0F7"/>
      </w:r>
      <w:r w:rsidRPr="00C0315E">
        <w:rPr>
          <w:rFonts w:asciiTheme="majorBidi" w:hAnsiTheme="majorBidi" w:cs="Traditional Arabic"/>
          <w:sz w:val="28"/>
          <w:szCs w:val="28"/>
        </w:rPr>
        <w:sym w:font="HQPB1" w:char="F07A"/>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6D"/>
      </w:r>
      <w:r w:rsidRPr="00C0315E">
        <w:rPr>
          <w:rFonts w:asciiTheme="majorBidi" w:hAnsiTheme="majorBidi" w:cs="Traditional Arabic"/>
          <w:sz w:val="28"/>
          <w:szCs w:val="28"/>
        </w:rPr>
        <w:sym w:font="HQPB2" w:char="F08A"/>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1" w:char="F0F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A0"/>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93"/>
      </w:r>
      <w:r w:rsidRPr="00C0315E">
        <w:rPr>
          <w:rFonts w:asciiTheme="majorBidi" w:hAnsiTheme="majorBidi" w:cs="Traditional Arabic"/>
          <w:sz w:val="28"/>
          <w:szCs w:val="28"/>
        </w:rPr>
        <w:sym w:font="HQPB4" w:char="F059"/>
      </w:r>
      <w:r w:rsidRPr="00C0315E">
        <w:rPr>
          <w:rFonts w:asciiTheme="majorBidi" w:hAnsiTheme="majorBidi" w:cs="Traditional Arabic"/>
          <w:sz w:val="28"/>
          <w:szCs w:val="28"/>
        </w:rPr>
        <w:sym w:font="HQPB1" w:char="F089"/>
      </w:r>
      <w:r w:rsidRPr="00C0315E">
        <w:rPr>
          <w:rFonts w:asciiTheme="majorBidi" w:hAnsiTheme="majorBidi" w:cs="Traditional Arabic"/>
          <w:sz w:val="28"/>
          <w:szCs w:val="28"/>
        </w:rPr>
        <w:sym w:font="HQPB4" w:char="F0E8"/>
      </w:r>
      <w:r w:rsidRPr="00C0315E">
        <w:rPr>
          <w:rFonts w:asciiTheme="majorBidi" w:hAnsiTheme="majorBidi" w:cs="Traditional Arabic"/>
          <w:sz w:val="28"/>
          <w:szCs w:val="28"/>
        </w:rPr>
        <w:sym w:font="HQPB2" w:char="F064"/>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5A"/>
      </w:r>
      <w:r w:rsidRPr="00C0315E">
        <w:rPr>
          <w:rFonts w:asciiTheme="majorBidi" w:hAnsiTheme="majorBidi" w:cs="Traditional Arabic"/>
          <w:sz w:val="28"/>
          <w:szCs w:val="28"/>
        </w:rPr>
        <w:sym w:font="HQPB2" w:char="F070"/>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48"/>
      </w:r>
      <w:r w:rsidRPr="00C0315E">
        <w:rPr>
          <w:rFonts w:asciiTheme="majorBidi" w:hAnsiTheme="majorBidi" w:cs="Traditional Arabic"/>
          <w:sz w:val="28"/>
          <w:szCs w:val="28"/>
        </w:rPr>
        <w:sym w:font="HQPB4" w:char="F0F7"/>
      </w:r>
      <w:r w:rsidRPr="00C0315E">
        <w:rPr>
          <w:rFonts w:asciiTheme="majorBidi" w:hAnsiTheme="majorBidi" w:cs="Traditional Arabic"/>
          <w:sz w:val="28"/>
          <w:szCs w:val="28"/>
        </w:rPr>
        <w:sym w:font="HQPB1" w:char="F071"/>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1" w:char="F091"/>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35"/>
      </w:r>
      <w:r w:rsidRPr="00C0315E">
        <w:rPr>
          <w:rFonts w:asciiTheme="majorBidi" w:hAnsiTheme="majorBidi" w:cs="Traditional Arabic"/>
          <w:sz w:val="28"/>
          <w:szCs w:val="28"/>
        </w:rPr>
        <w:sym w:font="HQPB2" w:char="F051"/>
      </w:r>
      <w:r w:rsidRPr="00C0315E">
        <w:rPr>
          <w:rFonts w:asciiTheme="majorBidi" w:hAnsiTheme="majorBidi" w:cs="Traditional Arabic"/>
          <w:sz w:val="28"/>
          <w:szCs w:val="28"/>
        </w:rPr>
        <w:sym w:font="HQPB4" w:char="F0F6"/>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2" w:char="F029"/>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4" w:char="F06A"/>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9A"/>
      </w:r>
      <w:r w:rsidRPr="00C0315E">
        <w:rPr>
          <w:rFonts w:asciiTheme="majorBidi" w:hAnsiTheme="majorBidi" w:cs="Traditional Arabic"/>
          <w:sz w:val="28"/>
          <w:szCs w:val="28"/>
        </w:rPr>
        <w:sym w:font="HQPB2" w:char="F063"/>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4" w:char="F0E3"/>
      </w:r>
      <w:r w:rsidRPr="00C0315E">
        <w:rPr>
          <w:rFonts w:asciiTheme="majorBidi" w:hAnsiTheme="majorBidi" w:cs="Traditional Arabic"/>
          <w:sz w:val="28"/>
          <w:szCs w:val="28"/>
        </w:rPr>
        <w:sym w:font="HQPB2" w:char="F05A"/>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42"/>
      </w:r>
      <w:r w:rsidRPr="00C0315E">
        <w:rPr>
          <w:rFonts w:asciiTheme="majorBidi" w:hAnsiTheme="majorBidi" w:cs="Traditional Arabic"/>
          <w:sz w:val="28"/>
          <w:szCs w:val="28"/>
        </w:rPr>
        <w:sym w:font="HQPB4" w:char="F0F7"/>
      </w:r>
      <w:r w:rsidRPr="00C0315E">
        <w:rPr>
          <w:rFonts w:asciiTheme="majorBidi" w:hAnsiTheme="majorBidi" w:cs="Traditional Arabic"/>
          <w:sz w:val="28"/>
          <w:szCs w:val="28"/>
        </w:rPr>
        <w:sym w:font="HQPB2" w:char="F073"/>
      </w:r>
      <w:r w:rsidRPr="00C0315E">
        <w:rPr>
          <w:rFonts w:asciiTheme="majorBidi" w:hAnsiTheme="majorBidi" w:cs="Traditional Arabic"/>
          <w:sz w:val="28"/>
          <w:szCs w:val="28"/>
        </w:rPr>
        <w:sym w:font="HQPB4" w:char="F0E3"/>
      </w:r>
      <w:r w:rsidRPr="00C0315E">
        <w:rPr>
          <w:rFonts w:asciiTheme="majorBidi" w:hAnsiTheme="majorBidi" w:cs="Traditional Arabic"/>
          <w:sz w:val="28"/>
          <w:szCs w:val="28"/>
        </w:rPr>
        <w:sym w:font="HQPB2" w:char="F08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C7"/>
      </w:r>
      <w:r w:rsidRPr="00C0315E">
        <w:rPr>
          <w:rFonts w:asciiTheme="majorBidi" w:hAnsiTheme="majorBidi" w:cs="Traditional Arabic"/>
          <w:sz w:val="28"/>
          <w:szCs w:val="28"/>
        </w:rPr>
        <w:sym w:font="HQPB2" w:char="F0CF"/>
      </w:r>
      <w:r w:rsidRPr="00C0315E">
        <w:rPr>
          <w:rFonts w:asciiTheme="majorBidi" w:hAnsiTheme="majorBidi" w:cs="Traditional Arabic"/>
          <w:sz w:val="28"/>
          <w:szCs w:val="28"/>
        </w:rPr>
        <w:sym w:font="HQPB2" w:char="F0CD"/>
      </w:r>
      <w:r w:rsidRPr="00C0315E">
        <w:rPr>
          <w:rFonts w:asciiTheme="majorBidi" w:hAnsiTheme="majorBidi" w:cs="Traditional Arabic"/>
          <w:sz w:val="28"/>
          <w:szCs w:val="28"/>
        </w:rPr>
        <w:sym w:font="HQPB2" w:char="F0C8"/>
      </w:r>
      <w:r w:rsidRPr="00C0315E">
        <w:rPr>
          <w:rFonts w:asciiTheme="majorBidi" w:hAnsiTheme="majorBidi" w:cs="Traditional Arabic"/>
          <w:sz w:val="28"/>
          <w:szCs w:val="28"/>
          <w:rtl/>
        </w:rPr>
        <w:t xml:space="preserve">   </w:t>
      </w:r>
    </w:p>
    <w:p w:rsidR="00343B61" w:rsidRPr="00E12AED"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A51F34">
        <w:rPr>
          <w:rFonts w:asciiTheme="majorBidi" w:hAnsiTheme="majorBidi" w:cstheme="majorBidi"/>
          <w:sz w:val="24"/>
          <w:szCs w:val="24"/>
        </w:rPr>
        <w:t xml:space="preserve">Artinya: “ </w:t>
      </w:r>
      <w:r w:rsidRPr="00A51F34">
        <w:rPr>
          <w:rFonts w:asciiTheme="majorBidi" w:hAnsiTheme="majorBidi" w:cstheme="majorBidi"/>
          <w:i/>
          <w:iCs/>
          <w:sz w:val="24"/>
          <w:szCs w:val="24"/>
        </w:rPr>
        <w:t>dan Kami tidak menurunkan kepadamu Al-Kitab (Al Quran) ini, melainkan agar kamu dapat menjelaskan kepada mereka apa yang mereka perselisihkan itu dan menjadi petunjuk dan rahmat bagi kaum yang beriman</w:t>
      </w:r>
      <w:r w:rsidRPr="00A51F34">
        <w:rPr>
          <w:rFonts w:asciiTheme="majorBidi" w:hAnsiTheme="majorBidi" w:cstheme="majorBidi"/>
          <w:sz w:val="24"/>
          <w:szCs w:val="24"/>
        </w:rPr>
        <w:t xml:space="preserve">.” </w:t>
      </w:r>
      <w:r w:rsidRPr="00A51F34">
        <w:rPr>
          <w:rStyle w:val="FootnoteReference"/>
          <w:rFonts w:asciiTheme="majorBidi" w:hAnsiTheme="majorBidi" w:cstheme="majorBidi"/>
          <w:sz w:val="24"/>
          <w:szCs w:val="24"/>
        </w:rPr>
        <w:footnoteReference w:id="526"/>
      </w:r>
      <w:r w:rsidRPr="00A51F34">
        <w:rPr>
          <w:rFonts w:asciiTheme="majorBidi" w:hAnsiTheme="majorBidi" w:cstheme="majorBidi"/>
          <w:sz w:val="24"/>
          <w:szCs w:val="24"/>
        </w:rPr>
        <w:t xml:space="preserve"> ( QS. Al-Nahal [14]: 64 )</w:t>
      </w:r>
    </w:p>
    <w:p w:rsidR="00343B61" w:rsidRPr="00A51F3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 xml:space="preserve">Kemudian dalam Ayat lain: </w:t>
      </w:r>
    </w:p>
    <w:p w:rsidR="00343B61" w:rsidRPr="00C0315E" w:rsidRDefault="00343B61" w:rsidP="00343B61">
      <w:pPr>
        <w:bidi/>
        <w:rPr>
          <w:rFonts w:ascii="Adobe نسخ Medium" w:hAnsi="Adobe نسخ Medium" w:cs="Adobe نسخ Medium"/>
          <w:sz w:val="32"/>
          <w:szCs w:val="32"/>
          <w:rtl/>
        </w:rPr>
      </w:pP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1" w:char="F08C"/>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1" w:char="F029"/>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8"/>
      </w:r>
      <w:r w:rsidRPr="00C0315E">
        <w:rPr>
          <w:rFonts w:asciiTheme="majorBidi" w:hAnsiTheme="majorBidi" w:cs="Traditional Arabic"/>
          <w:sz w:val="28"/>
          <w:szCs w:val="28"/>
        </w:rPr>
        <w:sym w:font="HQPB1" w:char="F08B"/>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7B"/>
      </w:r>
      <w:r w:rsidRPr="00C0315E">
        <w:rPr>
          <w:rFonts w:asciiTheme="majorBidi" w:hAnsiTheme="majorBidi" w:cs="Traditional Arabic"/>
          <w:sz w:val="28"/>
          <w:szCs w:val="28"/>
        </w:rPr>
        <w:sym w:font="HQPB5" w:char="F072"/>
      </w:r>
      <w:r w:rsidRPr="00C0315E">
        <w:rPr>
          <w:rFonts w:asciiTheme="majorBidi" w:hAnsiTheme="majorBidi" w:cs="Traditional Arabic"/>
          <w:sz w:val="28"/>
          <w:szCs w:val="28"/>
        </w:rPr>
        <w:sym w:font="HQPB1" w:char="F026"/>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AA"/>
      </w:r>
      <w:r w:rsidRPr="00C0315E">
        <w:rPr>
          <w:rFonts w:ascii="Adobe نسخ Medium" w:hAnsi="Adobe نسخ Medium" w:cs="Traditional Arabic"/>
          <w:sz w:val="32"/>
          <w:szCs w:val="32"/>
          <w:rtl/>
        </w:rPr>
        <w:t xml:space="preserve"> اللهُ</w:t>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2C"/>
      </w:r>
      <w:r w:rsidRPr="00C0315E">
        <w:rPr>
          <w:rFonts w:asciiTheme="majorBidi" w:hAnsiTheme="majorBidi" w:cs="Traditional Arabic"/>
          <w:sz w:val="28"/>
          <w:szCs w:val="28"/>
        </w:rPr>
        <w:sym w:font="HQPB2" w:char="F0BB"/>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56"/>
      </w:r>
      <w:r w:rsidRPr="00C0315E">
        <w:rPr>
          <w:rFonts w:asciiTheme="majorBidi" w:hAnsiTheme="majorBidi" w:cs="Traditional Arabic"/>
          <w:sz w:val="28"/>
          <w:szCs w:val="28"/>
        </w:rPr>
        <w:sym w:font="HQPB2" w:char="F08A"/>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4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FB"/>
      </w:r>
      <w:r w:rsidRPr="00C0315E">
        <w:rPr>
          <w:rFonts w:asciiTheme="majorBidi" w:hAnsiTheme="majorBidi" w:cs="Traditional Arabic"/>
          <w:sz w:val="28"/>
          <w:szCs w:val="28"/>
        </w:rPr>
        <w:sym w:font="HQPB2" w:char="F0EF"/>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3" w:char="F025"/>
      </w:r>
      <w:r w:rsidRPr="00C0315E">
        <w:rPr>
          <w:rFonts w:asciiTheme="majorBidi" w:hAnsiTheme="majorBidi" w:cs="Traditional Arabic"/>
          <w:sz w:val="28"/>
          <w:szCs w:val="28"/>
        </w:rPr>
        <w:sym w:font="HQPB4" w:char="F0A9"/>
      </w:r>
      <w:r w:rsidRPr="00C0315E">
        <w:rPr>
          <w:rFonts w:asciiTheme="majorBidi" w:hAnsiTheme="majorBidi" w:cs="Traditional Arabic"/>
          <w:sz w:val="28"/>
          <w:szCs w:val="28"/>
        </w:rPr>
        <w:sym w:font="HQPB3" w:char="F021"/>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28"/>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4" w:char="F0E8"/>
      </w:r>
      <w:r w:rsidRPr="00C0315E">
        <w:rPr>
          <w:rFonts w:asciiTheme="majorBidi" w:hAnsiTheme="majorBidi" w:cs="Traditional Arabic"/>
          <w:sz w:val="28"/>
          <w:szCs w:val="28"/>
        </w:rPr>
        <w:sym w:font="HQPB1" w:char="F03F"/>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Pr>
        <w:sym w:font="HQPB4" w:char="F0E9"/>
      </w:r>
      <w:r w:rsidRPr="00C0315E">
        <w:rPr>
          <w:rFonts w:asciiTheme="majorBidi" w:hAnsiTheme="majorBidi" w:cs="Traditional Arabic"/>
          <w:sz w:val="28"/>
          <w:szCs w:val="28"/>
        </w:rPr>
        <w:sym w:font="HQPB1" w:char="F026"/>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C"/>
      </w:r>
      <w:r w:rsidRPr="00C0315E">
        <w:rPr>
          <w:rFonts w:asciiTheme="majorBidi" w:hAnsiTheme="majorBidi" w:cs="Traditional Arabic"/>
          <w:sz w:val="28"/>
          <w:szCs w:val="28"/>
        </w:rPr>
        <w:sym w:font="HQPB1" w:char="F03D"/>
      </w:r>
      <w:r w:rsidRPr="00C0315E">
        <w:rPr>
          <w:rFonts w:asciiTheme="majorBidi" w:hAnsiTheme="majorBidi" w:cs="Traditional Arabic"/>
          <w:sz w:val="28"/>
          <w:szCs w:val="28"/>
        </w:rPr>
        <w:sym w:font="HQPB2" w:char="F0BB"/>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47"/>
      </w:r>
      <w:r w:rsidRPr="00C0315E">
        <w:rPr>
          <w:rFonts w:asciiTheme="majorBidi" w:hAnsiTheme="majorBidi" w:cs="Traditional Arabic"/>
          <w:sz w:val="28"/>
          <w:szCs w:val="28"/>
        </w:rPr>
        <w:sym w:font="HQPB4" w:char="F0C5"/>
      </w:r>
      <w:r w:rsidRPr="00C0315E">
        <w:rPr>
          <w:rFonts w:asciiTheme="majorBidi" w:hAnsiTheme="majorBidi" w:cs="Traditional Arabic"/>
          <w:sz w:val="28"/>
          <w:szCs w:val="28"/>
        </w:rPr>
        <w:sym w:font="HQPB2" w:char="F033"/>
      </w: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BC"/>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2" w:char="F06D"/>
      </w:r>
      <w:r w:rsidRPr="00C0315E">
        <w:rPr>
          <w:rFonts w:asciiTheme="majorBidi" w:hAnsiTheme="majorBidi" w:cs="Traditional Arabic"/>
          <w:sz w:val="28"/>
          <w:szCs w:val="28"/>
        </w:rPr>
        <w:sym w:font="HQPB4" w:char="F0A8"/>
      </w:r>
      <w:r w:rsidRPr="00C0315E">
        <w:rPr>
          <w:rFonts w:asciiTheme="majorBidi" w:hAnsiTheme="majorBidi" w:cs="Traditional Arabic"/>
          <w:sz w:val="28"/>
          <w:szCs w:val="28"/>
        </w:rPr>
        <w:sym w:font="HQPB2" w:char="F05A"/>
      </w:r>
      <w:r w:rsidRPr="00C0315E">
        <w:rPr>
          <w:rFonts w:asciiTheme="majorBidi" w:hAnsiTheme="majorBidi" w:cs="Traditional Arabic"/>
          <w:sz w:val="28"/>
          <w:szCs w:val="28"/>
        </w:rPr>
        <w:sym w:font="HQPB4" w:char="F0E4"/>
      </w:r>
      <w:r w:rsidRPr="00C0315E">
        <w:rPr>
          <w:rFonts w:asciiTheme="majorBidi" w:hAnsiTheme="majorBidi" w:cs="Traditional Arabic"/>
          <w:sz w:val="28"/>
          <w:szCs w:val="28"/>
        </w:rPr>
        <w:sym w:font="HQPB2" w:char="F05E"/>
      </w:r>
      <w:r w:rsidRPr="00C0315E">
        <w:rPr>
          <w:rFonts w:asciiTheme="majorBidi" w:hAnsiTheme="majorBidi" w:cs="Traditional Arabic"/>
          <w:sz w:val="28"/>
          <w:szCs w:val="28"/>
        </w:rPr>
        <w:sym w:font="HQPB4" w:char="F0CD"/>
      </w:r>
      <w:r w:rsidRPr="00C0315E">
        <w:rPr>
          <w:rFonts w:asciiTheme="majorBidi" w:hAnsiTheme="majorBidi" w:cs="Traditional Arabic"/>
          <w:sz w:val="28"/>
          <w:szCs w:val="28"/>
        </w:rPr>
        <w:sym w:font="HQPB4" w:char="F068"/>
      </w:r>
      <w:r w:rsidRPr="00C0315E">
        <w:rPr>
          <w:rFonts w:asciiTheme="majorBidi" w:hAnsiTheme="majorBidi" w:cs="Traditional Arabic"/>
          <w:sz w:val="28"/>
          <w:szCs w:val="28"/>
        </w:rPr>
        <w:sym w:font="HQPB2" w:char="F08A"/>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1" w:char="F03B"/>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1" w:char="F046"/>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C4"/>
      </w:r>
      <w:r w:rsidRPr="00C0315E">
        <w:rPr>
          <w:rFonts w:asciiTheme="majorBidi" w:hAnsiTheme="majorBidi" w:cs="Traditional Arabic"/>
          <w:sz w:val="28"/>
          <w:szCs w:val="28"/>
        </w:rPr>
        <w:sym w:font="HQPB1" w:char="F0A8"/>
      </w:r>
      <w:r w:rsidRPr="00C0315E">
        <w:rPr>
          <w:rFonts w:asciiTheme="majorBidi" w:hAnsiTheme="majorBidi" w:cs="Traditional Arabic"/>
          <w:sz w:val="28"/>
          <w:szCs w:val="28"/>
        </w:rPr>
        <w:sym w:font="HQPB1" w:char="F024"/>
      </w:r>
      <w:r w:rsidRPr="00C0315E">
        <w:rPr>
          <w:rFonts w:asciiTheme="majorBidi" w:hAnsiTheme="majorBidi" w:cs="Traditional Arabic"/>
          <w:sz w:val="28"/>
          <w:szCs w:val="28"/>
        </w:rPr>
        <w:sym w:font="HQPB4" w:char="F0A8"/>
      </w:r>
      <w:r w:rsidRPr="00C0315E">
        <w:rPr>
          <w:rFonts w:asciiTheme="majorBidi" w:hAnsiTheme="majorBidi" w:cs="Traditional Arabic"/>
          <w:sz w:val="28"/>
          <w:szCs w:val="28"/>
        </w:rPr>
        <w:sym w:font="HQPB2" w:char="F05A"/>
      </w:r>
      <w:r w:rsidRPr="00C0315E">
        <w:rPr>
          <w:rFonts w:asciiTheme="majorBidi" w:hAnsiTheme="majorBidi" w:cs="Traditional Arabic"/>
          <w:sz w:val="28"/>
          <w:szCs w:val="28"/>
        </w:rPr>
        <w:sym w:font="HQPB2" w:char="F03D"/>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3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9F"/>
      </w:r>
      <w:r w:rsidRPr="00C0315E">
        <w:rPr>
          <w:rFonts w:asciiTheme="majorBidi" w:hAnsiTheme="majorBidi" w:cs="Traditional Arabic"/>
          <w:sz w:val="28"/>
          <w:szCs w:val="28"/>
        </w:rPr>
        <w:sym w:font="HQPB2" w:char="F077"/>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BC"/>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2" w:char="F06D"/>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52"/>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4" w:char="F0DF"/>
      </w:r>
      <w:r w:rsidRPr="00C0315E">
        <w:rPr>
          <w:rFonts w:asciiTheme="majorBidi" w:hAnsiTheme="majorBidi" w:cs="Traditional Arabic"/>
          <w:sz w:val="28"/>
          <w:szCs w:val="28"/>
        </w:rPr>
        <w:sym w:font="HQPB2" w:char="F04A"/>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1" w:char="F047"/>
      </w:r>
      <w:r w:rsidRPr="00C0315E">
        <w:rPr>
          <w:rFonts w:asciiTheme="majorBidi" w:hAnsiTheme="majorBidi" w:cs="Traditional Arabic"/>
          <w:sz w:val="28"/>
          <w:szCs w:val="28"/>
        </w:rPr>
        <w:sym w:font="HQPB4" w:char="F0F5"/>
      </w:r>
      <w:r w:rsidRPr="00C0315E">
        <w:rPr>
          <w:rFonts w:asciiTheme="majorBidi" w:hAnsiTheme="majorBidi" w:cs="Traditional Arabic"/>
          <w:sz w:val="28"/>
          <w:szCs w:val="28"/>
        </w:rPr>
        <w:sym w:font="HQPB2" w:char="F033"/>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3F"/>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2" w:char="F06E"/>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Pr>
        <w:sym w:font="HQPB4" w:char="F0E4"/>
      </w:r>
      <w:r w:rsidRPr="00C0315E">
        <w:rPr>
          <w:rFonts w:asciiTheme="majorBidi" w:hAnsiTheme="majorBidi" w:cs="Traditional Arabic"/>
          <w:sz w:val="28"/>
          <w:szCs w:val="28"/>
        </w:rPr>
        <w:sym w:font="HQPB1" w:char="F08B"/>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37"/>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5A"/>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F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E4"/>
      </w:r>
      <w:r w:rsidRPr="00C0315E">
        <w:rPr>
          <w:rFonts w:asciiTheme="majorBidi" w:hAnsiTheme="majorBidi" w:cs="Traditional Arabic"/>
          <w:sz w:val="28"/>
          <w:szCs w:val="28"/>
        </w:rPr>
        <w:sym w:font="HQPB5" w:char="F021"/>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1" w:char="F091"/>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F6"/>
      </w:r>
      <w:r w:rsidRPr="00C0315E">
        <w:rPr>
          <w:rFonts w:asciiTheme="majorBidi" w:hAnsiTheme="majorBidi" w:cs="Traditional Arabic"/>
          <w:sz w:val="28"/>
          <w:szCs w:val="28"/>
        </w:rPr>
        <w:sym w:font="HQPB2" w:char="F04E"/>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64"/>
      </w:r>
      <w:r w:rsidRPr="00C0315E">
        <w:rPr>
          <w:rFonts w:asciiTheme="majorBidi" w:hAnsiTheme="majorBidi" w:cs="Traditional Arabic"/>
          <w:sz w:val="28"/>
          <w:szCs w:val="28"/>
        </w:rPr>
        <w:sym w:font="HQPB4" w:char="F0CD"/>
      </w:r>
      <w:r w:rsidRPr="00C0315E">
        <w:rPr>
          <w:rFonts w:asciiTheme="majorBidi" w:hAnsiTheme="majorBidi" w:cs="Traditional Arabic"/>
          <w:sz w:val="28"/>
          <w:szCs w:val="28"/>
        </w:rPr>
        <w:sym w:font="HQPB1" w:char="F091"/>
      </w:r>
      <w:r w:rsidRPr="00C0315E">
        <w:rPr>
          <w:rFonts w:asciiTheme="majorBidi" w:hAnsiTheme="majorBidi" w:cs="Traditional Arabic"/>
          <w:sz w:val="28"/>
          <w:szCs w:val="28"/>
        </w:rPr>
        <w:sym w:font="HQPB2" w:char="F071"/>
      </w:r>
      <w:r w:rsidRPr="00C0315E">
        <w:rPr>
          <w:rFonts w:asciiTheme="majorBidi" w:hAnsiTheme="majorBidi" w:cs="Traditional Arabic"/>
          <w:sz w:val="28"/>
          <w:szCs w:val="28"/>
        </w:rPr>
        <w:sym w:font="HQPB4" w:char="F0DF"/>
      </w:r>
      <w:r w:rsidRPr="00C0315E">
        <w:rPr>
          <w:rFonts w:asciiTheme="majorBidi" w:hAnsiTheme="majorBidi" w:cs="Traditional Arabic"/>
          <w:sz w:val="28"/>
          <w:szCs w:val="28"/>
        </w:rPr>
        <w:sym w:font="HQPB2" w:char="F067"/>
      </w:r>
      <w:r w:rsidRPr="00C0315E">
        <w:rPr>
          <w:rFonts w:asciiTheme="majorBidi" w:hAnsiTheme="majorBidi" w:cs="Traditional Arabic"/>
          <w:sz w:val="28"/>
          <w:szCs w:val="28"/>
        </w:rPr>
        <w:sym w:font="HQPB4" w:char="F0E0"/>
      </w:r>
      <w:r w:rsidRPr="00C0315E">
        <w:rPr>
          <w:rFonts w:asciiTheme="majorBidi" w:hAnsiTheme="majorBidi" w:cs="Traditional Arabic"/>
          <w:sz w:val="28"/>
          <w:szCs w:val="28"/>
        </w:rPr>
        <w:sym w:font="HQPB1" w:char="F0DF"/>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28"/>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Pr>
        <w:sym w:font="HQPB4" w:char="F0F7"/>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1" w:char="F08E"/>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49"/>
      </w:r>
      <w:r w:rsidRPr="00C0315E">
        <w:rPr>
          <w:rFonts w:asciiTheme="majorBidi" w:hAnsiTheme="majorBidi" w:cs="Traditional Arabic"/>
          <w:sz w:val="28"/>
          <w:szCs w:val="28"/>
        </w:rPr>
        <w:sym w:font="HQPB4" w:char="F0F4"/>
      </w:r>
      <w:r w:rsidRPr="00C0315E">
        <w:rPr>
          <w:rFonts w:asciiTheme="majorBidi" w:hAnsiTheme="majorBidi" w:cs="Traditional Arabic"/>
          <w:sz w:val="28"/>
          <w:szCs w:val="28"/>
        </w:rPr>
        <w:sym w:font="HQPB1" w:char="F0A9"/>
      </w:r>
      <w:r w:rsidRPr="00C0315E">
        <w:rPr>
          <w:rFonts w:asciiTheme="majorBidi" w:hAnsiTheme="majorBidi" w:cs="Traditional Arabic"/>
          <w:sz w:val="28"/>
          <w:szCs w:val="28"/>
        </w:rPr>
        <w:sym w:font="HQPB5" w:char="F024"/>
      </w:r>
      <w:r w:rsidRPr="00C0315E">
        <w:rPr>
          <w:rFonts w:asciiTheme="majorBidi" w:hAnsiTheme="majorBidi" w:cs="Traditional Arabic"/>
          <w:sz w:val="28"/>
          <w:szCs w:val="28"/>
        </w:rPr>
        <w:sym w:font="HQPB1" w:char="F023"/>
      </w:r>
      <w:r w:rsidRPr="00C0315E">
        <w:rPr>
          <w:rFonts w:asciiTheme="majorBidi" w:hAnsiTheme="majorBidi" w:cs="Traditional Arabic"/>
          <w:sz w:val="28"/>
          <w:szCs w:val="28"/>
        </w:rPr>
        <w:sym w:font="HQPB5" w:char="F075"/>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2" w:char="F0BE"/>
      </w:r>
      <w:r w:rsidRPr="00C0315E">
        <w:rPr>
          <w:rFonts w:asciiTheme="majorBidi" w:hAnsiTheme="majorBidi" w:cs="Traditional Arabic"/>
          <w:sz w:val="28"/>
          <w:szCs w:val="28"/>
        </w:rPr>
        <w:sym w:font="HQPB4" w:char="F0CF"/>
      </w:r>
      <w:r w:rsidRPr="00C0315E">
        <w:rPr>
          <w:rFonts w:asciiTheme="majorBidi" w:hAnsiTheme="majorBidi" w:cs="Traditional Arabic"/>
          <w:sz w:val="28"/>
          <w:szCs w:val="28"/>
        </w:rPr>
        <w:sym w:font="HQPB2" w:char="F06D"/>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1" w:char="F02F"/>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1" w:char="F024"/>
      </w:r>
      <w:r w:rsidRPr="00C0315E">
        <w:rPr>
          <w:rFonts w:asciiTheme="majorBidi" w:hAnsiTheme="majorBidi" w:cs="Traditional Arabic"/>
          <w:sz w:val="28"/>
          <w:szCs w:val="28"/>
        </w:rPr>
        <w:sym w:font="HQPB4" w:char="F059"/>
      </w:r>
      <w:r w:rsidRPr="00C0315E">
        <w:rPr>
          <w:rFonts w:asciiTheme="majorBidi" w:hAnsiTheme="majorBidi" w:cs="Traditional Arabic"/>
          <w:sz w:val="28"/>
          <w:szCs w:val="28"/>
        </w:rPr>
        <w:sym w:font="HQPB2" w:char="F059"/>
      </w:r>
      <w:r w:rsidRPr="00C0315E">
        <w:rPr>
          <w:rFonts w:asciiTheme="majorBidi" w:hAnsiTheme="majorBidi" w:cs="Traditional Arabic"/>
          <w:sz w:val="28"/>
          <w:szCs w:val="28"/>
        </w:rPr>
        <w:sym w:font="HQPB5" w:char="F06F"/>
      </w:r>
      <w:r w:rsidRPr="00C0315E">
        <w:rPr>
          <w:rFonts w:asciiTheme="majorBidi" w:hAnsiTheme="majorBidi" w:cs="Traditional Arabic"/>
          <w:sz w:val="28"/>
          <w:szCs w:val="28"/>
        </w:rPr>
        <w:sym w:font="HQPB2" w:char="F0FF"/>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53"/>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57"/>
      </w:r>
      <w:r w:rsidRPr="00C0315E">
        <w:rPr>
          <w:rFonts w:asciiTheme="majorBidi" w:hAnsiTheme="majorBidi" w:cs="Traditional Arabic"/>
          <w:sz w:val="28"/>
          <w:szCs w:val="28"/>
        </w:rPr>
        <w:sym w:font="HQPB2" w:char="F078"/>
      </w:r>
      <w:r w:rsidRPr="00C0315E">
        <w:rPr>
          <w:rFonts w:asciiTheme="majorBidi" w:hAnsiTheme="majorBidi" w:cs="Traditional Arabic"/>
          <w:sz w:val="28"/>
          <w:szCs w:val="28"/>
        </w:rPr>
        <w:sym w:font="HQPB2" w:char="F08A"/>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2" w:char="F03D"/>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2" w:char="F025"/>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4" w:char="F028"/>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7D"/>
      </w:r>
      <w:r w:rsidRPr="00C0315E">
        <w:rPr>
          <w:rFonts w:asciiTheme="majorBidi" w:hAnsiTheme="majorBidi" w:cs="Traditional Arabic"/>
          <w:sz w:val="28"/>
          <w:szCs w:val="28"/>
        </w:rPr>
        <w:sym w:font="HQPB1" w:char="F0A7"/>
      </w:r>
      <w:r w:rsidRPr="00C0315E">
        <w:rPr>
          <w:rFonts w:asciiTheme="majorBidi" w:hAnsiTheme="majorBidi" w:cs="Traditional Arabic"/>
          <w:sz w:val="28"/>
          <w:szCs w:val="28"/>
        </w:rPr>
        <w:sym w:font="HQPB4" w:char="F0F8"/>
      </w:r>
      <w:r w:rsidRPr="00C0315E">
        <w:rPr>
          <w:rFonts w:asciiTheme="majorBidi" w:hAnsiTheme="majorBidi" w:cs="Traditional Arabic"/>
          <w:sz w:val="28"/>
          <w:szCs w:val="28"/>
        </w:rPr>
        <w:sym w:font="HQPB2" w:char="F0A9"/>
      </w:r>
      <w:r w:rsidRPr="00C0315E">
        <w:rPr>
          <w:rFonts w:asciiTheme="majorBidi" w:hAnsiTheme="majorBidi" w:cs="Traditional Arabic"/>
          <w:sz w:val="28"/>
          <w:szCs w:val="28"/>
        </w:rPr>
        <w:sym w:font="HQPB4" w:char="F0CE"/>
      </w:r>
      <w:r w:rsidRPr="00C0315E">
        <w:rPr>
          <w:rFonts w:asciiTheme="majorBidi" w:hAnsiTheme="majorBidi" w:cs="Traditional Arabic"/>
          <w:sz w:val="28"/>
          <w:szCs w:val="28"/>
        </w:rPr>
        <w:sym w:font="HQPB1" w:char="F037"/>
      </w:r>
      <w:r w:rsidRPr="00C0315E">
        <w:rPr>
          <w:rFonts w:asciiTheme="majorBidi" w:hAnsiTheme="majorBidi" w:cs="Traditional Arabic"/>
          <w:sz w:val="28"/>
          <w:szCs w:val="28"/>
        </w:rPr>
        <w:sym w:font="HQPB5" w:char="F073"/>
      </w:r>
      <w:r w:rsidRPr="00C0315E">
        <w:rPr>
          <w:rFonts w:asciiTheme="majorBidi" w:hAnsiTheme="majorBidi" w:cs="Traditional Arabic"/>
          <w:sz w:val="28"/>
          <w:szCs w:val="28"/>
        </w:rPr>
        <w:sym w:font="HQPB1" w:char="F0F9"/>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1" w:char="F024"/>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2" w:char="F042"/>
      </w:r>
      <w:r w:rsidRPr="00C0315E">
        <w:rPr>
          <w:rFonts w:asciiTheme="majorBidi" w:hAnsiTheme="majorBidi" w:cs="Traditional Arabic"/>
          <w:sz w:val="28"/>
          <w:szCs w:val="28"/>
          <w:rtl/>
        </w:rPr>
        <w:t xml:space="preserve"> </w:t>
      </w:r>
      <w:r w:rsidRPr="00C0315E">
        <w:rPr>
          <w:rFonts w:asciiTheme="majorBidi" w:hAnsiTheme="majorBidi" w:cs="Traditional Arabic"/>
          <w:sz w:val="28"/>
          <w:szCs w:val="28"/>
        </w:rPr>
        <w:sym w:font="HQPB5" w:char="F09A"/>
      </w:r>
      <w:r w:rsidRPr="00C0315E">
        <w:rPr>
          <w:rFonts w:asciiTheme="majorBidi" w:hAnsiTheme="majorBidi" w:cs="Traditional Arabic"/>
          <w:sz w:val="28"/>
          <w:szCs w:val="28"/>
        </w:rPr>
        <w:sym w:font="HQPB2" w:char="F063"/>
      </w:r>
      <w:r w:rsidRPr="00C0315E">
        <w:rPr>
          <w:rFonts w:asciiTheme="majorBidi" w:hAnsiTheme="majorBidi" w:cs="Traditional Arabic"/>
          <w:sz w:val="28"/>
          <w:szCs w:val="28"/>
        </w:rPr>
        <w:sym w:font="HQPB2" w:char="F072"/>
      </w:r>
      <w:r w:rsidRPr="00C0315E">
        <w:rPr>
          <w:rFonts w:asciiTheme="majorBidi" w:hAnsiTheme="majorBidi" w:cs="Traditional Arabic"/>
          <w:sz w:val="28"/>
          <w:szCs w:val="28"/>
        </w:rPr>
        <w:sym w:font="HQPB4" w:char="F0E7"/>
      </w:r>
      <w:r w:rsidRPr="00C0315E">
        <w:rPr>
          <w:rFonts w:asciiTheme="majorBidi" w:hAnsiTheme="majorBidi" w:cs="Traditional Arabic"/>
          <w:sz w:val="28"/>
          <w:szCs w:val="28"/>
        </w:rPr>
        <w:sym w:font="HQPB1" w:char="F08E"/>
      </w:r>
      <w:r w:rsidRPr="00C0315E">
        <w:rPr>
          <w:rFonts w:asciiTheme="majorBidi" w:hAnsiTheme="majorBidi" w:cs="Traditional Arabic"/>
          <w:sz w:val="28"/>
          <w:szCs w:val="28"/>
        </w:rPr>
        <w:sym w:font="HQPB5" w:char="F074"/>
      </w:r>
      <w:r w:rsidRPr="00C0315E">
        <w:rPr>
          <w:rFonts w:asciiTheme="majorBidi" w:hAnsiTheme="majorBidi" w:cs="Traditional Arabic"/>
          <w:sz w:val="28"/>
          <w:szCs w:val="28"/>
        </w:rPr>
        <w:sym w:font="HQPB1" w:char="F049"/>
      </w:r>
      <w:r w:rsidRPr="00C0315E">
        <w:rPr>
          <w:rFonts w:asciiTheme="majorBidi" w:hAnsiTheme="majorBidi" w:cs="Traditional Arabic"/>
          <w:sz w:val="28"/>
          <w:szCs w:val="28"/>
        </w:rPr>
        <w:sym w:font="HQPB4" w:char="F0F4"/>
      </w:r>
      <w:r w:rsidRPr="00C0315E">
        <w:rPr>
          <w:rFonts w:asciiTheme="majorBidi" w:hAnsiTheme="majorBidi" w:cs="Traditional Arabic"/>
          <w:sz w:val="28"/>
          <w:szCs w:val="28"/>
        </w:rPr>
        <w:sym w:font="HQPB1" w:char="F0B1"/>
      </w:r>
      <w:r w:rsidRPr="00C0315E">
        <w:rPr>
          <w:rFonts w:asciiTheme="majorBidi" w:hAnsiTheme="majorBidi" w:cs="Traditional Arabic"/>
          <w:sz w:val="28"/>
          <w:szCs w:val="28"/>
        </w:rPr>
        <w:sym w:font="HQPB5" w:char="F06F"/>
      </w:r>
      <w:r w:rsidRPr="00C0315E">
        <w:rPr>
          <w:rFonts w:asciiTheme="majorBidi" w:hAnsiTheme="majorBidi" w:cs="Traditional Arabic"/>
          <w:sz w:val="28"/>
          <w:szCs w:val="28"/>
        </w:rPr>
        <w:sym w:font="HQPB2" w:char="F084"/>
      </w:r>
      <w:r w:rsidRPr="00D85E1D">
        <w:rPr>
          <w:rFonts w:asciiTheme="majorBidi" w:hAnsiTheme="majorBidi" w:cstheme="majorBidi"/>
          <w:sz w:val="28"/>
          <w:szCs w:val="28"/>
          <w:rtl/>
        </w:rPr>
        <w:t xml:space="preserve"> </w:t>
      </w:r>
      <w:r w:rsidRPr="00D85E1D">
        <w:rPr>
          <w:rFonts w:asciiTheme="majorBidi" w:hAnsiTheme="majorBidi" w:cstheme="majorBidi"/>
          <w:sz w:val="28"/>
          <w:szCs w:val="28"/>
        </w:rPr>
        <w:sym w:font="HQPB2" w:char="F0C7"/>
      </w:r>
      <w:r w:rsidRPr="00D85E1D">
        <w:rPr>
          <w:rFonts w:asciiTheme="majorBidi" w:hAnsiTheme="majorBidi" w:cstheme="majorBidi"/>
          <w:sz w:val="28"/>
          <w:szCs w:val="28"/>
        </w:rPr>
        <w:sym w:font="HQPB2" w:char="F0CA"/>
      </w:r>
      <w:r w:rsidRPr="00D85E1D">
        <w:rPr>
          <w:rFonts w:asciiTheme="majorBidi" w:hAnsiTheme="majorBidi" w:cstheme="majorBidi"/>
          <w:sz w:val="28"/>
          <w:szCs w:val="28"/>
        </w:rPr>
        <w:sym w:font="HQPB2" w:char="F0D1"/>
      </w:r>
      <w:r w:rsidRPr="00D85E1D">
        <w:rPr>
          <w:rFonts w:asciiTheme="majorBidi" w:hAnsiTheme="majorBidi" w:cstheme="majorBidi"/>
          <w:sz w:val="28"/>
          <w:szCs w:val="28"/>
        </w:rPr>
        <w:sym w:font="HQPB2" w:char="F0D0"/>
      </w:r>
      <w:r w:rsidRPr="00D85E1D">
        <w:rPr>
          <w:rFonts w:asciiTheme="majorBidi" w:hAnsiTheme="majorBidi" w:cstheme="majorBidi"/>
          <w:sz w:val="28"/>
          <w:szCs w:val="28"/>
        </w:rPr>
        <w:sym w:font="HQPB2" w:char="F0C8"/>
      </w:r>
      <w:r w:rsidRPr="00D85E1D">
        <w:rPr>
          <w:rFonts w:asciiTheme="majorBidi" w:hAnsiTheme="majorBidi" w:cstheme="majorBidi"/>
          <w:sz w:val="28"/>
          <w:szCs w:val="28"/>
          <w:rtl/>
        </w:rPr>
        <w:t xml:space="preserve">   </w:t>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A51F34">
        <w:rPr>
          <w:rFonts w:asciiTheme="majorBidi" w:hAnsiTheme="majorBidi" w:cstheme="majorBidi"/>
          <w:sz w:val="24"/>
          <w:szCs w:val="24"/>
        </w:rPr>
        <w:t>Artinya: “</w:t>
      </w:r>
      <w:r w:rsidRPr="00A51F34">
        <w:rPr>
          <w:rFonts w:asciiTheme="majorBidi" w:hAnsiTheme="majorBidi" w:cstheme="majorBidi"/>
          <w:i/>
          <w:iCs/>
          <w:sz w:val="24"/>
          <w:szCs w:val="24"/>
        </w:rPr>
        <w:t>dan (ingatlah), ketika Allah mengambil janji dari orang-orang yang telah diberi kitab (yaitu): "Hendaklah kamu menerangkan isi kitab itu kepada manusia, dan jangan kamu menyembunyikannya," lalu mereka melemparkan janji itu ke belakang punggung mereka dan mereka menukarnya dengan harga yang sedikit. Amatlah buruknya tukaran yang mereka terima</w:t>
      </w:r>
      <w:r w:rsidRPr="00A51F34">
        <w:rPr>
          <w:rFonts w:asciiTheme="majorBidi" w:hAnsiTheme="majorBidi" w:cstheme="majorBidi"/>
          <w:sz w:val="24"/>
          <w:szCs w:val="24"/>
        </w:rPr>
        <w:t>.”</w:t>
      </w:r>
      <w:r w:rsidRPr="00A51F34">
        <w:rPr>
          <w:rStyle w:val="FootnoteReference"/>
          <w:rFonts w:asciiTheme="majorBidi" w:hAnsiTheme="majorBidi" w:cstheme="majorBidi"/>
          <w:sz w:val="24"/>
          <w:szCs w:val="24"/>
        </w:rPr>
        <w:footnoteReference w:id="527"/>
      </w:r>
      <w:r w:rsidRPr="00A51F34">
        <w:rPr>
          <w:rFonts w:asciiTheme="majorBidi" w:hAnsiTheme="majorBidi" w:cstheme="majorBidi"/>
          <w:sz w:val="24"/>
          <w:szCs w:val="24"/>
        </w:rPr>
        <w:t xml:space="preserve"> (QS. Ali Imran[ 3] : 187 )</w:t>
      </w:r>
    </w:p>
    <w:p w:rsidR="00343B61" w:rsidRPr="00A51F34"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Pr="00A51F34" w:rsidRDefault="00343B61" w:rsidP="00343B61">
      <w:pPr>
        <w:autoSpaceDE w:val="0"/>
        <w:autoSpaceDN w:val="0"/>
        <w:adjustRightInd w:val="0"/>
        <w:spacing w:after="0" w:line="360" w:lineRule="auto"/>
        <w:ind w:left="90" w:firstLine="630"/>
        <w:jc w:val="both"/>
        <w:rPr>
          <w:rFonts w:asciiTheme="majorBidi" w:hAnsiTheme="majorBidi" w:cstheme="majorBidi"/>
          <w:sz w:val="24"/>
          <w:szCs w:val="24"/>
        </w:rPr>
      </w:pPr>
      <w:r w:rsidRPr="00A51F34">
        <w:rPr>
          <w:rFonts w:asciiTheme="majorBidi" w:hAnsiTheme="majorBidi" w:cstheme="majorBidi"/>
          <w:sz w:val="24"/>
          <w:szCs w:val="24"/>
        </w:rPr>
        <w:t>Fatwa kemudian berkembang pada masa sahabat, dimana para sahabat dimintai sebuah keputusan hukum oleh orang awam yang kemudian terkenal dengan istilah fatwa shahabi. Derajat sahabat berbeda satu sama lain dalam memberikan fatwa, ada yang banyak  berfatwa ada yang sedikit dan ada yang sedang.</w:t>
      </w:r>
      <w:r w:rsidRPr="00A51F34">
        <w:rPr>
          <w:rStyle w:val="FootnoteReference"/>
          <w:rFonts w:asciiTheme="majorBidi" w:hAnsiTheme="majorBidi" w:cstheme="majorBidi"/>
          <w:sz w:val="24"/>
          <w:szCs w:val="24"/>
        </w:rPr>
        <w:footnoteReference w:id="528"/>
      </w:r>
      <w:r w:rsidRPr="00A51F34">
        <w:rPr>
          <w:rFonts w:asciiTheme="majorBidi" w:hAnsiTheme="majorBidi" w:cstheme="majorBidi"/>
          <w:sz w:val="24"/>
          <w:szCs w:val="24"/>
        </w:rPr>
        <w:t xml:space="preserve"> Termasuk kelompok pertama adalah; Umar bin Khatthob, Ali bin Abi Thalib, Abdullah bin Mas’ud, Aisyah Ummul Mukminin, Zaid bin Tsabit, Abdullah bin Abbas dan Abdullah bin Umar. Dan yang termasuk kelompok kedua yang sedikit memberikan fatwa adalah Abu Darda’, Ubaidah bin Jarrah, Hasan dan Husein bin Ali. Sementara Abu Bakar al-Shiddiq, Ummu Salamah, Anas bin Malik, Abu Sa’id al-Khudhri, Abu Hurairah, dan Utsman bin Affan </w:t>
      </w:r>
      <w:r w:rsidRPr="00A51F34">
        <w:rPr>
          <w:rFonts w:asciiTheme="majorBidi" w:hAnsiTheme="majorBidi" w:cstheme="majorBidi"/>
          <w:sz w:val="24"/>
          <w:szCs w:val="24"/>
        </w:rPr>
        <w:lastRenderedPageBreak/>
        <w:t>termasuk golongan yang ketiga, yakni golongan menengah dalam memberikan fatwa.</w:t>
      </w:r>
      <w:r w:rsidRPr="00A51F34">
        <w:rPr>
          <w:rStyle w:val="FootnoteReference"/>
          <w:rFonts w:asciiTheme="majorBidi" w:hAnsiTheme="majorBidi" w:cstheme="majorBidi"/>
          <w:sz w:val="24"/>
          <w:szCs w:val="24"/>
        </w:rPr>
        <w:footnoteReference w:id="529"/>
      </w:r>
    </w:p>
    <w:p w:rsidR="00343B61" w:rsidRPr="00A51F34" w:rsidRDefault="00343B61" w:rsidP="00343B61">
      <w:pPr>
        <w:autoSpaceDE w:val="0"/>
        <w:autoSpaceDN w:val="0"/>
        <w:adjustRightInd w:val="0"/>
        <w:spacing w:after="0" w:line="360" w:lineRule="auto"/>
        <w:ind w:left="90" w:firstLine="630"/>
        <w:jc w:val="both"/>
        <w:rPr>
          <w:rFonts w:asciiTheme="majorBidi" w:hAnsiTheme="majorBidi" w:cstheme="majorBidi"/>
          <w:sz w:val="24"/>
          <w:szCs w:val="24"/>
        </w:rPr>
      </w:pPr>
      <w:r w:rsidRPr="00A51F34">
        <w:rPr>
          <w:rFonts w:asciiTheme="majorBidi" w:hAnsiTheme="majorBidi" w:cstheme="majorBidi"/>
          <w:sz w:val="24"/>
          <w:szCs w:val="24"/>
        </w:rPr>
        <w:t>Kemudian dilanjutnya masa tabi’in dan atba’ tabi’in, seperti Ibrahim al-Nakh’i ( w 96 H) disebut sebagai orang pertama yang telah memberikan fatwa dari golongan tabi’in. kemudian Atha’ bin Abi Rabah (w. 115 H) dan Abdullah bin Abi Juraih (w. 132 H) keduanya tinggal di Mekkah.</w:t>
      </w:r>
      <w:r w:rsidRPr="00A51F34">
        <w:rPr>
          <w:rStyle w:val="FootnoteReference"/>
          <w:rFonts w:asciiTheme="majorBidi" w:hAnsiTheme="majorBidi" w:cstheme="majorBidi"/>
          <w:sz w:val="24"/>
          <w:szCs w:val="24"/>
        </w:rPr>
        <w:footnoteReference w:id="530"/>
      </w:r>
      <w:r w:rsidRPr="00A51F34">
        <w:rPr>
          <w:rFonts w:asciiTheme="majorBidi" w:hAnsiTheme="majorBidi" w:cstheme="majorBidi"/>
          <w:sz w:val="24"/>
          <w:szCs w:val="24"/>
        </w:rPr>
        <w:t xml:space="preserve"> </w:t>
      </w:r>
    </w:p>
    <w:p w:rsidR="00343B61" w:rsidRPr="00A51F34" w:rsidRDefault="00343B61" w:rsidP="00343B61">
      <w:pPr>
        <w:autoSpaceDE w:val="0"/>
        <w:autoSpaceDN w:val="0"/>
        <w:adjustRightInd w:val="0"/>
        <w:spacing w:after="0" w:line="360" w:lineRule="auto"/>
        <w:ind w:left="90" w:firstLine="630"/>
        <w:jc w:val="both"/>
        <w:rPr>
          <w:rFonts w:asciiTheme="majorBidi" w:hAnsiTheme="majorBidi" w:cstheme="majorBidi"/>
          <w:sz w:val="24"/>
          <w:szCs w:val="24"/>
        </w:rPr>
      </w:pPr>
      <w:r w:rsidRPr="00A51F34">
        <w:rPr>
          <w:rFonts w:asciiTheme="majorBidi" w:hAnsiTheme="majorBidi" w:cstheme="majorBidi"/>
          <w:sz w:val="24"/>
          <w:szCs w:val="24"/>
        </w:rPr>
        <w:t xml:space="preserve">Perkerjaan menghimpun fatwa-fatwa belum dilakukan hingga abad ke 12. Di kalangan mazhab Hanafi kumpulan fatwa paling awal adalah yang dilakukan oleh Burhanuddin bin Maza ( w 570 H) berjudul </w:t>
      </w:r>
      <w:r w:rsidRPr="00A51F34">
        <w:rPr>
          <w:rFonts w:asciiTheme="majorBidi" w:hAnsiTheme="majorBidi" w:cstheme="majorBidi"/>
          <w:i/>
          <w:iCs/>
          <w:sz w:val="24"/>
          <w:szCs w:val="24"/>
        </w:rPr>
        <w:t>Zakhirah al-Burhaniyah</w:t>
      </w:r>
      <w:r w:rsidRPr="00A51F34">
        <w:rPr>
          <w:rFonts w:asciiTheme="majorBidi" w:hAnsiTheme="majorBidi" w:cstheme="majorBidi"/>
          <w:sz w:val="24"/>
          <w:szCs w:val="24"/>
        </w:rPr>
        <w:t xml:space="preserve">. Kemudian oleh Sijaruddin al-Sanjawi ( w. abad ke 6) berjudul </w:t>
      </w:r>
      <w:r w:rsidRPr="00A51F34">
        <w:rPr>
          <w:rFonts w:asciiTheme="majorBidi" w:hAnsiTheme="majorBidi" w:cstheme="majorBidi"/>
          <w:i/>
          <w:iCs/>
          <w:sz w:val="24"/>
          <w:szCs w:val="24"/>
        </w:rPr>
        <w:t>Al-Sirajiyah</w:t>
      </w:r>
      <w:r w:rsidRPr="00A51F34">
        <w:rPr>
          <w:rFonts w:asciiTheme="majorBidi" w:hAnsiTheme="majorBidi" w:cstheme="majorBidi"/>
          <w:sz w:val="24"/>
          <w:szCs w:val="24"/>
        </w:rPr>
        <w:t xml:space="preserve">, baru oleh Ibn Al-Ali ad-Din ( w. 800 H) berjudul </w:t>
      </w:r>
      <w:r w:rsidRPr="00A51F34">
        <w:rPr>
          <w:rFonts w:asciiTheme="majorBidi" w:hAnsiTheme="majorBidi" w:cstheme="majorBidi"/>
          <w:i/>
          <w:iCs/>
          <w:sz w:val="24"/>
          <w:szCs w:val="24"/>
        </w:rPr>
        <w:t>fatawa Tatar Khaniyah</w:t>
      </w:r>
      <w:r w:rsidRPr="00A51F34">
        <w:rPr>
          <w:rFonts w:asciiTheme="majorBidi" w:hAnsiTheme="majorBidi" w:cstheme="majorBidi"/>
          <w:sz w:val="24"/>
          <w:szCs w:val="24"/>
        </w:rPr>
        <w:t xml:space="preserve">. Di kalangan Mazhab Maliki, kumpulan fatwa yang paling awal adalah al-Wanyarisi ( w. 914 H) berjudul </w:t>
      </w:r>
      <w:r w:rsidRPr="00A51F34">
        <w:rPr>
          <w:rFonts w:asciiTheme="majorBidi" w:hAnsiTheme="majorBidi" w:cstheme="majorBidi"/>
          <w:i/>
          <w:iCs/>
          <w:sz w:val="24"/>
          <w:szCs w:val="24"/>
        </w:rPr>
        <w:t>Mi’yar Al-Maghrib</w:t>
      </w:r>
      <w:r w:rsidRPr="00A51F34">
        <w:rPr>
          <w:rFonts w:asciiTheme="majorBidi" w:hAnsiTheme="majorBidi" w:cstheme="majorBidi"/>
          <w:sz w:val="24"/>
          <w:szCs w:val="24"/>
        </w:rPr>
        <w:t xml:space="preserve">. Di kalangan Mazhab Hanbali adalah kitab </w:t>
      </w:r>
      <w:r w:rsidRPr="00A51F34">
        <w:rPr>
          <w:rFonts w:asciiTheme="majorBidi" w:hAnsiTheme="majorBidi" w:cstheme="majorBidi"/>
          <w:i/>
          <w:iCs/>
          <w:sz w:val="24"/>
          <w:szCs w:val="24"/>
        </w:rPr>
        <w:t>Majmu’ al-Fatwa</w:t>
      </w:r>
      <w:r w:rsidRPr="00A51F34">
        <w:rPr>
          <w:rFonts w:asciiTheme="majorBidi" w:hAnsiTheme="majorBidi" w:cstheme="majorBidi"/>
          <w:sz w:val="24"/>
          <w:szCs w:val="24"/>
        </w:rPr>
        <w:t xml:space="preserve"> oleh Ibn Taimiyah. Pada abad 17, kumpulan fatwa yang paling tersohor adalah buatan India, yang terkenal dengan </w:t>
      </w:r>
      <w:r w:rsidRPr="00A51F34">
        <w:rPr>
          <w:rFonts w:asciiTheme="majorBidi" w:hAnsiTheme="majorBidi" w:cstheme="majorBidi"/>
          <w:i/>
          <w:iCs/>
          <w:sz w:val="24"/>
          <w:szCs w:val="24"/>
        </w:rPr>
        <w:t>fatawa ‘Al-amariqiyah</w:t>
      </w:r>
      <w:r w:rsidRPr="00A51F34">
        <w:rPr>
          <w:rStyle w:val="FootnoteReference"/>
          <w:rFonts w:asciiTheme="majorBidi" w:hAnsiTheme="majorBidi" w:cstheme="majorBidi"/>
          <w:sz w:val="24"/>
          <w:szCs w:val="24"/>
        </w:rPr>
        <w:footnoteReference w:id="531"/>
      </w:r>
      <w:r w:rsidRPr="00A51F34">
        <w:rPr>
          <w:rFonts w:asciiTheme="majorBidi" w:hAnsiTheme="majorBidi" w:cstheme="majorBidi"/>
          <w:sz w:val="24"/>
          <w:szCs w:val="24"/>
        </w:rPr>
        <w:t xml:space="preserve">. </w:t>
      </w:r>
    </w:p>
    <w:p w:rsidR="00343B61" w:rsidRPr="00A51F34" w:rsidRDefault="00343B61" w:rsidP="00343B61">
      <w:pPr>
        <w:pStyle w:val="ListParagraph"/>
        <w:spacing w:after="0" w:line="360" w:lineRule="auto"/>
        <w:ind w:left="0" w:firstLine="720"/>
        <w:jc w:val="both"/>
        <w:rPr>
          <w:rFonts w:asciiTheme="majorBidi" w:hAnsiTheme="majorBidi" w:cstheme="majorBidi"/>
          <w:i/>
          <w:iCs/>
          <w:color w:val="000000" w:themeColor="text1"/>
          <w:sz w:val="24"/>
          <w:szCs w:val="24"/>
        </w:rPr>
      </w:pPr>
      <w:r w:rsidRPr="00A51F34">
        <w:rPr>
          <w:rFonts w:asciiTheme="majorBidi" w:hAnsiTheme="majorBidi" w:cstheme="majorBidi"/>
          <w:sz w:val="24"/>
          <w:szCs w:val="24"/>
        </w:rPr>
        <w:t xml:space="preserve"> Di kalangan mazhab Syafi’i ada beberapa buku fatwa yang sangat tersohor, diantaranya “</w:t>
      </w:r>
      <w:r w:rsidRPr="00A51F34">
        <w:rPr>
          <w:rFonts w:asciiTheme="majorBidi" w:hAnsiTheme="majorBidi" w:cstheme="majorBidi"/>
          <w:i/>
          <w:iCs/>
          <w:sz w:val="24"/>
          <w:szCs w:val="24"/>
        </w:rPr>
        <w:t>Fatawa Imam Nawawi</w:t>
      </w:r>
      <w:r w:rsidRPr="00A51F34">
        <w:rPr>
          <w:rFonts w:asciiTheme="majorBidi" w:hAnsiTheme="majorBidi" w:cstheme="majorBidi"/>
          <w:sz w:val="24"/>
          <w:szCs w:val="24"/>
        </w:rPr>
        <w:t>” oleh Abu Zakariya Al-Nawawi, kemudian“</w:t>
      </w:r>
      <w:r w:rsidRPr="00A51F34">
        <w:rPr>
          <w:rFonts w:asciiTheme="majorBidi" w:hAnsiTheme="majorBidi" w:cstheme="majorBidi"/>
          <w:i/>
          <w:iCs/>
          <w:sz w:val="24"/>
          <w:szCs w:val="24"/>
        </w:rPr>
        <w:t>al-Fatawa al-Kubra al-Fiqhiyah</w:t>
      </w:r>
      <w:r w:rsidRPr="00A51F34">
        <w:rPr>
          <w:rFonts w:asciiTheme="majorBidi" w:hAnsiTheme="majorBidi" w:cstheme="majorBidi"/>
          <w:sz w:val="24"/>
          <w:szCs w:val="24"/>
        </w:rPr>
        <w:t xml:space="preserve">”, oleh Ibu Hajar al-Haitami dan juga </w:t>
      </w:r>
      <w:r w:rsidRPr="00A51F34">
        <w:rPr>
          <w:rFonts w:asciiTheme="majorBidi" w:hAnsiTheme="majorBidi" w:cstheme="majorBidi"/>
          <w:i/>
          <w:iCs/>
          <w:sz w:val="24"/>
          <w:szCs w:val="24"/>
        </w:rPr>
        <w:t>Fatawa al-Musholiyah</w:t>
      </w:r>
      <w:r w:rsidRPr="00A51F34">
        <w:rPr>
          <w:rFonts w:asciiTheme="majorBidi" w:hAnsiTheme="majorBidi" w:cstheme="majorBidi"/>
          <w:sz w:val="24"/>
          <w:szCs w:val="24"/>
        </w:rPr>
        <w:t xml:space="preserve"> oleh ‘izzud bin Abd al-Salam. </w:t>
      </w:r>
      <w:r w:rsidRPr="00A51F34">
        <w:rPr>
          <w:rFonts w:asciiTheme="majorBidi" w:hAnsiTheme="majorBidi" w:cstheme="majorBidi"/>
          <w:color w:val="000000" w:themeColor="text1"/>
          <w:sz w:val="24"/>
          <w:szCs w:val="24"/>
        </w:rPr>
        <w:t>Kemudian muncul kumpulan fatwa-fatwa oleh ulama kontemperor seperti kumpulan fatwa Syeikhul Akbar Mahmud Syaltut, berjudul “</w:t>
      </w:r>
      <w:r w:rsidRPr="00A51F34">
        <w:rPr>
          <w:rFonts w:asciiTheme="majorBidi" w:hAnsiTheme="majorBidi" w:cstheme="majorBidi"/>
          <w:i/>
          <w:iCs/>
          <w:color w:val="000000" w:themeColor="text1"/>
          <w:sz w:val="24"/>
          <w:szCs w:val="24"/>
        </w:rPr>
        <w:t>al-Fatwa</w:t>
      </w:r>
      <w:r w:rsidRPr="00A51F34">
        <w:rPr>
          <w:rFonts w:asciiTheme="majorBidi" w:hAnsiTheme="majorBidi" w:cstheme="majorBidi"/>
          <w:color w:val="000000" w:themeColor="text1"/>
          <w:sz w:val="24"/>
          <w:szCs w:val="24"/>
        </w:rPr>
        <w:t>”. Kemudian kitab “</w:t>
      </w:r>
      <w:r w:rsidRPr="00A51F34">
        <w:rPr>
          <w:rFonts w:asciiTheme="majorBidi" w:hAnsiTheme="majorBidi" w:cstheme="majorBidi"/>
          <w:i/>
          <w:iCs/>
          <w:color w:val="000000" w:themeColor="text1"/>
          <w:sz w:val="24"/>
          <w:szCs w:val="24"/>
        </w:rPr>
        <w:t>Fatawa</w:t>
      </w:r>
      <w:r w:rsidRPr="00A51F34">
        <w:rPr>
          <w:rFonts w:asciiTheme="majorBidi" w:hAnsiTheme="majorBidi" w:cstheme="majorBidi"/>
          <w:color w:val="000000" w:themeColor="text1"/>
          <w:sz w:val="24"/>
          <w:szCs w:val="24"/>
        </w:rPr>
        <w:t xml:space="preserve">” oleh Musthofa  al-Zarqa, </w:t>
      </w:r>
      <w:r w:rsidRPr="00A51F34">
        <w:rPr>
          <w:rFonts w:asciiTheme="majorBidi" w:hAnsiTheme="majorBidi" w:cstheme="majorBidi"/>
          <w:i/>
          <w:iCs/>
          <w:color w:val="000000" w:themeColor="text1"/>
          <w:sz w:val="24"/>
          <w:szCs w:val="24"/>
        </w:rPr>
        <w:t>Fatawa Mu’ahsirah</w:t>
      </w:r>
      <w:r w:rsidRPr="00A51F34">
        <w:rPr>
          <w:rFonts w:asciiTheme="majorBidi" w:hAnsiTheme="majorBidi" w:cstheme="majorBidi"/>
          <w:color w:val="000000" w:themeColor="text1"/>
          <w:sz w:val="24"/>
          <w:szCs w:val="24"/>
        </w:rPr>
        <w:t xml:space="preserve"> oleh Syeikh Yusuf Al-Qardhawi dan kumpulan fatwa Syeikh Muhammad Sa’id Romadhon Al-Buthi yang berjudul” </w:t>
      </w:r>
      <w:r w:rsidRPr="00A51F34">
        <w:rPr>
          <w:rFonts w:asciiTheme="majorBidi" w:hAnsiTheme="majorBidi" w:cstheme="majorBidi"/>
          <w:i/>
          <w:iCs/>
          <w:color w:val="000000" w:themeColor="text1"/>
          <w:sz w:val="24"/>
          <w:szCs w:val="24"/>
        </w:rPr>
        <w:t>Ma’a an-N</w:t>
      </w:r>
      <w:r w:rsidRPr="00A51F34">
        <w:rPr>
          <w:rFonts w:asciiTheme="majorBidi" w:hAnsiTheme="majorBidi" w:cstheme="majorBidi"/>
          <w:i/>
          <w:iCs/>
          <w:sz w:val="24"/>
          <w:szCs w:val="24"/>
        </w:rPr>
        <w:t>ā</w:t>
      </w:r>
      <w:r w:rsidRPr="00A51F34">
        <w:rPr>
          <w:rFonts w:asciiTheme="majorBidi" w:hAnsiTheme="majorBidi" w:cstheme="majorBidi"/>
          <w:i/>
          <w:iCs/>
          <w:color w:val="000000" w:themeColor="text1"/>
          <w:sz w:val="24"/>
          <w:szCs w:val="24"/>
        </w:rPr>
        <w:t>s Masyur</w:t>
      </w:r>
      <w:r w:rsidRPr="00A51F34">
        <w:rPr>
          <w:rFonts w:asciiTheme="majorBidi" w:hAnsiTheme="majorBidi" w:cstheme="majorBidi"/>
          <w:i/>
          <w:iCs/>
          <w:sz w:val="24"/>
          <w:szCs w:val="24"/>
        </w:rPr>
        <w:t>ā</w:t>
      </w:r>
      <w:r w:rsidRPr="00A51F34">
        <w:rPr>
          <w:rFonts w:asciiTheme="majorBidi" w:hAnsiTheme="majorBidi" w:cstheme="majorBidi"/>
          <w:i/>
          <w:iCs/>
          <w:color w:val="000000" w:themeColor="text1"/>
          <w:sz w:val="24"/>
          <w:szCs w:val="24"/>
        </w:rPr>
        <w:t>t wa Fat</w:t>
      </w:r>
      <w:r w:rsidRPr="00A51F34">
        <w:rPr>
          <w:rFonts w:asciiTheme="majorBidi" w:hAnsiTheme="majorBidi" w:cstheme="majorBidi"/>
          <w:i/>
          <w:iCs/>
          <w:sz w:val="24"/>
          <w:szCs w:val="24"/>
        </w:rPr>
        <w:t>ā</w:t>
      </w:r>
      <w:r w:rsidRPr="00A51F34">
        <w:rPr>
          <w:rFonts w:asciiTheme="majorBidi" w:hAnsiTheme="majorBidi" w:cstheme="majorBidi"/>
          <w:i/>
          <w:iCs/>
          <w:color w:val="000000" w:themeColor="text1"/>
          <w:sz w:val="24"/>
          <w:szCs w:val="24"/>
        </w:rPr>
        <w:t>wa</w:t>
      </w:r>
      <w:r w:rsidRPr="00A51F34">
        <w:rPr>
          <w:rFonts w:asciiTheme="majorBidi" w:hAnsiTheme="majorBidi" w:cstheme="majorBidi"/>
          <w:color w:val="000000" w:themeColor="text1"/>
          <w:sz w:val="24"/>
          <w:szCs w:val="24"/>
        </w:rPr>
        <w:t xml:space="preserve"> dan Wahbah bin Musthofa Al-Zuhaili menulis buku berjudul </w:t>
      </w:r>
      <w:r w:rsidRPr="00A51F34">
        <w:rPr>
          <w:rFonts w:asciiTheme="majorBidi" w:hAnsiTheme="majorBidi" w:cstheme="majorBidi"/>
          <w:i/>
          <w:iCs/>
          <w:sz w:val="24"/>
          <w:szCs w:val="24"/>
        </w:rPr>
        <w:t>Fatawa Muashirah</w:t>
      </w:r>
      <w:r w:rsidRPr="00A51F34">
        <w:rPr>
          <w:rFonts w:asciiTheme="majorBidi" w:hAnsiTheme="majorBidi" w:cstheme="majorBidi"/>
          <w:i/>
          <w:iCs/>
          <w:color w:val="000000" w:themeColor="text1"/>
          <w:sz w:val="24"/>
          <w:szCs w:val="24"/>
        </w:rPr>
        <w:t>.</w:t>
      </w:r>
      <w:r w:rsidRPr="00A51F34">
        <w:rPr>
          <w:rStyle w:val="FootnoteReference"/>
          <w:rFonts w:asciiTheme="majorBidi" w:hAnsiTheme="majorBidi" w:cstheme="majorBidi"/>
          <w:i/>
          <w:iCs/>
          <w:color w:val="000000" w:themeColor="text1"/>
          <w:sz w:val="24"/>
          <w:szCs w:val="24"/>
        </w:rPr>
        <w:footnoteReference w:id="532"/>
      </w:r>
    </w:p>
    <w:p w:rsidR="00343B61" w:rsidRPr="00A51F34" w:rsidRDefault="00343B61" w:rsidP="00343B61">
      <w:pPr>
        <w:pStyle w:val="Default"/>
        <w:spacing w:line="360" w:lineRule="auto"/>
        <w:ind w:firstLine="720"/>
        <w:jc w:val="both"/>
        <w:rPr>
          <w:rFonts w:asciiTheme="majorBidi" w:hAnsiTheme="majorBidi" w:cstheme="majorBidi"/>
          <w:color w:val="auto"/>
        </w:rPr>
      </w:pPr>
      <w:r w:rsidRPr="00A51F34">
        <w:rPr>
          <w:rFonts w:asciiTheme="majorBidi" w:hAnsiTheme="majorBidi" w:cstheme="majorBidi"/>
          <w:color w:val="auto"/>
        </w:rPr>
        <w:lastRenderedPageBreak/>
        <w:t xml:space="preserve">Dinamika fatwa sendiri telah berkembang di dunia Muslim kontemporer seperti </w:t>
      </w:r>
      <w:r w:rsidRPr="00A51F34">
        <w:rPr>
          <w:rFonts w:asciiTheme="majorBidi" w:hAnsiTheme="majorBidi" w:cstheme="majorBidi"/>
          <w:i/>
          <w:iCs/>
          <w:color w:val="auto"/>
        </w:rPr>
        <w:t xml:space="preserve">Syaikh al-Islām </w:t>
      </w:r>
      <w:r w:rsidRPr="00A51F34">
        <w:rPr>
          <w:rFonts w:asciiTheme="majorBidi" w:hAnsiTheme="majorBidi" w:cstheme="majorBidi"/>
          <w:color w:val="auto"/>
        </w:rPr>
        <w:t>sebuah lembaga fatwa yang eksistensinya diakui oleh ke kahlifatanTurki utsmani dan negara-negara yang berada di bawahnya. Kekuasaan yang diemban berupa kekuasaan legislatif, sebagai tempat konsultasi politik Sultan, mempunyai otoritas dalam memberikan fatwa yang terjadi pada waktu itu, serta sebagai penguasa spiritual Sultan. Kekuasaannya bertambah dengan adanya konstitusi 1876 M yakni mempunyai kekuasaan dalam bidang eksekutif, serta wewenang mengontrol badan yudikatif dan legislatif.</w:t>
      </w:r>
      <w:r w:rsidRPr="00A51F34">
        <w:rPr>
          <w:rStyle w:val="FootnoteReference"/>
          <w:rFonts w:asciiTheme="majorBidi" w:hAnsiTheme="majorBidi" w:cstheme="majorBidi"/>
          <w:color w:val="auto"/>
        </w:rPr>
        <w:footnoteReference w:id="533"/>
      </w:r>
      <w:r w:rsidRPr="00A51F34">
        <w:rPr>
          <w:rFonts w:asciiTheme="majorBidi" w:hAnsiTheme="majorBidi" w:cstheme="majorBidi"/>
          <w:color w:val="auto"/>
        </w:rPr>
        <w:t xml:space="preserve"> Namun keberadaannya kemudian dihapuskan oleh pemerintah modern di bawah pimpinan Mustafa Kemal Ataturk. </w:t>
      </w:r>
    </w:p>
    <w:p w:rsidR="00343B61" w:rsidRPr="00A51F34" w:rsidRDefault="00343B61" w:rsidP="00343B61">
      <w:pPr>
        <w:pStyle w:val="Default"/>
        <w:spacing w:line="360" w:lineRule="auto"/>
        <w:ind w:firstLine="720"/>
        <w:jc w:val="both"/>
        <w:rPr>
          <w:rFonts w:asciiTheme="majorBidi" w:hAnsiTheme="majorBidi" w:cstheme="majorBidi"/>
        </w:rPr>
      </w:pPr>
      <w:r w:rsidRPr="00A51F34">
        <w:rPr>
          <w:rFonts w:asciiTheme="majorBidi" w:hAnsiTheme="majorBidi" w:cstheme="majorBidi"/>
        </w:rPr>
        <w:t xml:space="preserve">Perkembangan fatwa juga terjadi di Mesir, yakni Muḥammad Abduh (1849-1905 M) seorang mufti besar yang berpengaruh di Mesir. Pendapatnya tidak terikat oleh mazhab apapun, sebab ia berpendapat bahwa ijtihad adalah kewajiban bagi seorang muslim. Bahwa bermazhab merupakan hal biasa namun </w:t>
      </w:r>
      <w:r w:rsidRPr="00A51F34">
        <w:rPr>
          <w:rFonts w:asciiTheme="majorBidi" w:hAnsiTheme="majorBidi" w:cstheme="majorBidi"/>
          <w:i/>
          <w:iCs/>
        </w:rPr>
        <w:t>taqlid</w:t>
      </w:r>
      <w:r w:rsidRPr="00A51F34">
        <w:rPr>
          <w:rFonts w:asciiTheme="majorBidi" w:hAnsiTheme="majorBidi" w:cstheme="majorBidi"/>
        </w:rPr>
        <w:t xml:space="preserve"> buta terhadap suatu mazhab bisa menjadi berbahaya sebab bisa berakibat pada permusuhan dan saling cela.</w:t>
      </w:r>
      <w:r w:rsidRPr="00A51F34">
        <w:rPr>
          <w:rStyle w:val="FootnoteReference"/>
          <w:rFonts w:asciiTheme="majorBidi" w:hAnsiTheme="majorBidi" w:cstheme="majorBidi"/>
        </w:rPr>
        <w:footnoteReference w:id="534"/>
      </w:r>
      <w:r w:rsidRPr="00A51F34">
        <w:rPr>
          <w:rFonts w:asciiTheme="majorBidi" w:hAnsiTheme="majorBidi" w:cstheme="majorBidi"/>
        </w:rPr>
        <w:t xml:space="preserve"> Pendapat yang demikian disinyalir oleh beberapa pemerhati sebagai westernisasi pemikiran, sebab pendapatnya berbarengan dengan intervensi ide Barat ke Mesir. Pendapat ini kurang beralasan, sebab pada realitasnya pendapat Abduh ini banyak dipengaruhi oleh gurunya yakni Jamal al-Dīn al-Afghanī (1839-1897 M) yang datang ke Mesir hingga akhir 1878 M ketika mengajar di al-Azhar.</w:t>
      </w:r>
      <w:r w:rsidRPr="00A51F34">
        <w:rPr>
          <w:rStyle w:val="FootnoteReference"/>
          <w:rFonts w:asciiTheme="majorBidi" w:hAnsiTheme="majorBidi" w:cstheme="majorBidi"/>
        </w:rPr>
        <w:footnoteReference w:id="535"/>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lastRenderedPageBreak/>
        <w:t xml:space="preserve">Pada masa kontemporer, pemerintah Mesir membentuk lembaga fatwa yang diberi nama </w:t>
      </w:r>
      <w:r w:rsidRPr="00A51F34">
        <w:rPr>
          <w:rFonts w:asciiTheme="majorBidi" w:hAnsiTheme="majorBidi" w:cstheme="majorBidi"/>
          <w:i/>
          <w:iCs/>
          <w:sz w:val="24"/>
          <w:szCs w:val="24"/>
        </w:rPr>
        <w:t>Majma’ al-Buḥūth al-Islāmiyyah</w:t>
      </w:r>
      <w:r w:rsidRPr="00A51F34">
        <w:rPr>
          <w:rFonts w:asciiTheme="majorBidi" w:hAnsiTheme="majorBidi" w:cstheme="majorBidi"/>
          <w:sz w:val="24"/>
          <w:szCs w:val="24"/>
        </w:rPr>
        <w:t xml:space="preserve"> yang diketuai oleh Syaikh al-Azhar. Lembaga ini kemudian menjadi tempat rujukan hukum Islam. Beberapa negara muslim lain juga telah membuat lembaga fatwa antara lain Kuwait yang dibentuk oleh Universitas Kuwait yang terfokus pada kajian Syari’ah dan Dirāsah Islāmiyyah. Tunisia yang dibentuk di Universitas Zaituniyyah, Arab Saudi, dan Sudan.</w:t>
      </w:r>
      <w:r w:rsidRPr="00A51F34">
        <w:rPr>
          <w:rStyle w:val="FootnoteReference"/>
          <w:rFonts w:asciiTheme="majorBidi" w:hAnsiTheme="majorBidi" w:cstheme="majorBidi"/>
          <w:sz w:val="24"/>
          <w:szCs w:val="24"/>
        </w:rPr>
        <w:footnoteReference w:id="536"/>
      </w:r>
    </w:p>
    <w:p w:rsidR="00343B61" w:rsidRPr="00A51F34" w:rsidRDefault="00343B61" w:rsidP="00343B61">
      <w:pPr>
        <w:pStyle w:val="ListParagraph"/>
        <w:spacing w:after="0" w:line="360" w:lineRule="auto"/>
        <w:ind w:left="0" w:firstLine="720"/>
        <w:jc w:val="both"/>
        <w:rPr>
          <w:rFonts w:asciiTheme="majorBidi" w:hAnsiTheme="majorBidi" w:cstheme="majorBidi"/>
          <w:sz w:val="24"/>
          <w:szCs w:val="24"/>
        </w:rPr>
      </w:pPr>
      <w:r w:rsidRPr="00A51F34">
        <w:rPr>
          <w:rFonts w:asciiTheme="majorBidi" w:hAnsiTheme="majorBidi" w:cstheme="majorBidi"/>
          <w:sz w:val="24"/>
          <w:szCs w:val="24"/>
        </w:rPr>
        <w:t>Lembaga fatwa yang juga berkembang di Arab Saudi adalah “</w:t>
      </w:r>
      <w:r w:rsidRPr="00A51F34">
        <w:rPr>
          <w:rFonts w:asciiTheme="majorBidi" w:hAnsiTheme="majorBidi" w:cstheme="majorBidi"/>
          <w:i/>
          <w:iCs/>
          <w:sz w:val="24"/>
          <w:szCs w:val="24"/>
        </w:rPr>
        <w:t>al-Lajnaḥ al-Dāimah li al-Buhūth al-Islāmiyyah wa al-Iftā</w:t>
      </w:r>
      <w:r w:rsidRPr="00A51F34">
        <w:rPr>
          <w:rFonts w:asciiTheme="majorBidi" w:hAnsiTheme="majorBidi" w:cstheme="majorBidi"/>
          <w:sz w:val="24"/>
          <w:szCs w:val="24"/>
        </w:rPr>
        <w:t xml:space="preserve">” atau </w:t>
      </w:r>
      <w:r w:rsidRPr="00A51F34">
        <w:rPr>
          <w:rFonts w:asciiTheme="majorBidi" w:hAnsiTheme="majorBidi" w:cstheme="majorBidi"/>
          <w:i/>
          <w:iCs/>
          <w:sz w:val="24"/>
          <w:szCs w:val="24"/>
        </w:rPr>
        <w:t>Council for Scientific Research and Legal Opinion</w:t>
      </w:r>
      <w:r w:rsidRPr="00A51F34">
        <w:rPr>
          <w:rFonts w:asciiTheme="majorBidi" w:hAnsiTheme="majorBidi" w:cstheme="majorBidi"/>
          <w:sz w:val="24"/>
          <w:szCs w:val="24"/>
        </w:rPr>
        <w:t>, namun fatwa yang dikeluarkan darinya mendapat kritikan yang keras dari pengamat, salah satunya adalah Khaled M. Abou El Fadel. Ia menilai fatwa-fatwa yang dikeluarkan oleh CLRO tidak berpihak pada harkat dan martabat perempuan.</w:t>
      </w:r>
      <w:r w:rsidRPr="00A51F34">
        <w:rPr>
          <w:rStyle w:val="FootnoteReference"/>
          <w:rFonts w:asciiTheme="majorBidi" w:hAnsiTheme="majorBidi" w:cstheme="majorBidi"/>
          <w:sz w:val="24"/>
          <w:szCs w:val="24"/>
        </w:rPr>
        <w:footnoteReference w:id="537"/>
      </w:r>
      <w:r w:rsidRPr="00A51F34">
        <w:rPr>
          <w:rFonts w:asciiTheme="majorBidi" w:hAnsiTheme="majorBidi" w:cstheme="majorBidi"/>
          <w:sz w:val="24"/>
          <w:szCs w:val="24"/>
        </w:rPr>
        <w:t xml:space="preserve"> </w:t>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 xml:space="preserve">Fatwa-fatwa yang telah difatwakan oleh ulama terdahulu yang begitu banyak kemudian ada yang terbukukan dan tersebar hampir di seluruh dunia seperti </w:t>
      </w:r>
      <w:r w:rsidRPr="00A51F34">
        <w:rPr>
          <w:rFonts w:asciiTheme="majorBidi" w:hAnsiTheme="majorBidi" w:cstheme="majorBidi"/>
          <w:i/>
          <w:iCs/>
          <w:sz w:val="24"/>
          <w:szCs w:val="24"/>
        </w:rPr>
        <w:t>al-Manār</w:t>
      </w:r>
      <w:r w:rsidRPr="00A51F34">
        <w:rPr>
          <w:rFonts w:asciiTheme="majorBidi" w:hAnsiTheme="majorBidi" w:cstheme="majorBidi"/>
          <w:sz w:val="24"/>
          <w:szCs w:val="24"/>
        </w:rPr>
        <w:t xml:space="preserve"> yang merupakan fatwa Rashīd Riḍā. Ada juga fatwa yang dipublikasikan dalam kalangan terbatas yakni dalam sebuah majalah, seperti </w:t>
      </w:r>
      <w:r w:rsidRPr="00A51F34">
        <w:rPr>
          <w:rFonts w:asciiTheme="majorBidi" w:hAnsiTheme="majorBidi" w:cstheme="majorBidi"/>
          <w:i/>
          <w:iCs/>
          <w:sz w:val="24"/>
          <w:szCs w:val="24"/>
        </w:rPr>
        <w:t>Nūr al-Islām</w:t>
      </w:r>
      <w:r w:rsidRPr="00A51F34">
        <w:rPr>
          <w:rFonts w:asciiTheme="majorBidi" w:hAnsiTheme="majorBidi" w:cstheme="majorBidi"/>
          <w:sz w:val="24"/>
          <w:szCs w:val="24"/>
        </w:rPr>
        <w:t xml:space="preserve"> dan Mimbar Islām yang berada di Kairo, majalah </w:t>
      </w:r>
      <w:r w:rsidRPr="00A51F34">
        <w:rPr>
          <w:rFonts w:asciiTheme="majorBidi" w:hAnsiTheme="majorBidi" w:cstheme="majorBidi"/>
          <w:i/>
          <w:iCs/>
          <w:sz w:val="24"/>
          <w:szCs w:val="24"/>
        </w:rPr>
        <w:t>al-Waḥy al-Islām</w:t>
      </w:r>
      <w:r w:rsidRPr="00A51F34">
        <w:rPr>
          <w:rFonts w:asciiTheme="majorBidi" w:hAnsiTheme="majorBidi" w:cstheme="majorBidi"/>
          <w:sz w:val="24"/>
          <w:szCs w:val="24"/>
        </w:rPr>
        <w:t xml:space="preserve"> di Kuwait, majalah </w:t>
      </w:r>
      <w:r w:rsidRPr="00A51F34">
        <w:rPr>
          <w:rFonts w:asciiTheme="majorBidi" w:hAnsiTheme="majorBidi" w:cstheme="majorBidi"/>
          <w:i/>
          <w:iCs/>
          <w:sz w:val="24"/>
          <w:szCs w:val="24"/>
        </w:rPr>
        <w:t>Manār al-Islām</w:t>
      </w:r>
      <w:r w:rsidRPr="00A51F34">
        <w:rPr>
          <w:rFonts w:asciiTheme="majorBidi" w:hAnsiTheme="majorBidi" w:cstheme="majorBidi"/>
          <w:sz w:val="24"/>
          <w:szCs w:val="24"/>
        </w:rPr>
        <w:t xml:space="preserve"> Abu Dhabi, dan al-Shibah terbitan Beirut.</w:t>
      </w:r>
      <w:r w:rsidRPr="00A51F34">
        <w:rPr>
          <w:rStyle w:val="FootnoteReference"/>
          <w:rFonts w:asciiTheme="majorBidi" w:hAnsiTheme="majorBidi" w:cstheme="majorBidi"/>
          <w:sz w:val="24"/>
          <w:szCs w:val="24"/>
        </w:rPr>
        <w:footnoteReference w:id="538"/>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 xml:space="preserve">Sementara lembaga fatwa di Indonesia sebelum terbentuknya MUI adalah lembaga fatwa yang didirikan oleh Muhammadiyah dan NU. Muhammadiyah mendirikan wadah fatwa dengan nama </w:t>
      </w:r>
      <w:r w:rsidRPr="00A51F34">
        <w:rPr>
          <w:rFonts w:asciiTheme="majorBidi" w:hAnsiTheme="majorBidi" w:cstheme="majorBidi"/>
          <w:i/>
          <w:iCs/>
          <w:sz w:val="24"/>
          <w:szCs w:val="24"/>
        </w:rPr>
        <w:t>Majelis Tarjīh</w:t>
      </w:r>
      <w:r w:rsidRPr="00A51F34">
        <w:rPr>
          <w:rFonts w:asciiTheme="majorBidi" w:hAnsiTheme="majorBidi" w:cstheme="majorBidi"/>
          <w:sz w:val="24"/>
          <w:szCs w:val="24"/>
        </w:rPr>
        <w:t xml:space="preserve"> Muhammadiyah dan NU dengan nama </w:t>
      </w:r>
      <w:r w:rsidRPr="00A51F34">
        <w:rPr>
          <w:rFonts w:asciiTheme="majorBidi" w:hAnsiTheme="majorBidi" w:cstheme="majorBidi"/>
          <w:i/>
          <w:iCs/>
          <w:sz w:val="24"/>
          <w:szCs w:val="24"/>
        </w:rPr>
        <w:t>Ba</w:t>
      </w:r>
      <w:r w:rsidRPr="00A51F34">
        <w:rPr>
          <w:rFonts w:asciiTheme="majorBidi" w:hAnsiTheme="majorBidi" w:cstheme="majorBidi"/>
          <w:i/>
          <w:iCs/>
          <w:sz w:val="24"/>
          <w:szCs w:val="24"/>
          <w:u w:val="single"/>
          <w:lang w:val="sv-SE"/>
        </w:rPr>
        <w:t>h</w:t>
      </w:r>
      <w:r w:rsidRPr="00A51F34">
        <w:rPr>
          <w:rFonts w:asciiTheme="majorBidi" w:hAnsiTheme="majorBidi" w:cstheme="majorBidi"/>
          <w:i/>
          <w:iCs/>
          <w:sz w:val="24"/>
          <w:szCs w:val="24"/>
        </w:rPr>
        <w:t>tsul Masāil Diniah</w:t>
      </w:r>
      <w:r w:rsidRPr="00A51F34">
        <w:rPr>
          <w:rFonts w:asciiTheme="majorBidi" w:hAnsiTheme="majorBidi" w:cstheme="majorBidi"/>
          <w:sz w:val="24"/>
          <w:szCs w:val="24"/>
        </w:rPr>
        <w:t xml:space="preserve"> atau yang dikenal dengan </w:t>
      </w:r>
      <w:r w:rsidRPr="00A51F34">
        <w:rPr>
          <w:rFonts w:asciiTheme="majorBidi" w:hAnsiTheme="majorBidi" w:cstheme="majorBidi"/>
          <w:i/>
          <w:iCs/>
          <w:sz w:val="24"/>
          <w:szCs w:val="24"/>
        </w:rPr>
        <w:t>Ba</w:t>
      </w:r>
      <w:r w:rsidRPr="00A51F34">
        <w:rPr>
          <w:rFonts w:asciiTheme="majorBidi" w:hAnsiTheme="majorBidi" w:cstheme="majorBidi"/>
          <w:i/>
          <w:iCs/>
          <w:sz w:val="24"/>
          <w:szCs w:val="24"/>
          <w:u w:val="single"/>
          <w:lang w:val="sv-SE"/>
        </w:rPr>
        <w:t>h</w:t>
      </w:r>
      <w:r w:rsidRPr="00A51F34">
        <w:rPr>
          <w:rFonts w:asciiTheme="majorBidi" w:hAnsiTheme="majorBidi" w:cstheme="majorBidi"/>
          <w:i/>
          <w:iCs/>
          <w:sz w:val="24"/>
          <w:szCs w:val="24"/>
        </w:rPr>
        <w:t>tsul</w:t>
      </w:r>
      <w:r w:rsidRPr="00A51F34">
        <w:rPr>
          <w:rFonts w:asciiTheme="majorBidi" w:hAnsiTheme="majorBidi" w:cstheme="majorBidi"/>
          <w:sz w:val="24"/>
          <w:szCs w:val="24"/>
        </w:rPr>
        <w:t xml:space="preserve"> </w:t>
      </w:r>
      <w:r w:rsidRPr="00A51F34">
        <w:rPr>
          <w:rFonts w:asciiTheme="majorBidi" w:hAnsiTheme="majorBidi" w:cstheme="majorBidi"/>
          <w:i/>
          <w:iCs/>
          <w:sz w:val="24"/>
          <w:szCs w:val="24"/>
        </w:rPr>
        <w:t>Masāil</w:t>
      </w:r>
      <w:r w:rsidRPr="00A51F34">
        <w:rPr>
          <w:rFonts w:asciiTheme="majorBidi" w:hAnsiTheme="majorBidi" w:cstheme="majorBidi"/>
          <w:sz w:val="24"/>
          <w:szCs w:val="24"/>
        </w:rPr>
        <w:t xml:space="preserve">. </w:t>
      </w:r>
      <w:r w:rsidRPr="00A51F34">
        <w:rPr>
          <w:rFonts w:asciiTheme="majorBidi" w:hAnsiTheme="majorBidi" w:cstheme="majorBidi"/>
          <w:sz w:val="24"/>
          <w:szCs w:val="24"/>
        </w:rPr>
        <w:lastRenderedPageBreak/>
        <w:t xml:space="preserve">Dua organisasi ini dengan dua model lembaga fatwa yang berbeda telah ada sejak zaman penjajahan hingga saat ini. </w:t>
      </w:r>
      <w:r w:rsidRPr="00A51F34">
        <w:rPr>
          <w:rFonts w:asciiTheme="majorBidi" w:hAnsiTheme="majorBidi" w:cstheme="majorBidi"/>
          <w:i/>
          <w:iCs/>
          <w:sz w:val="24"/>
          <w:szCs w:val="24"/>
        </w:rPr>
        <w:t>Ba</w:t>
      </w:r>
      <w:r w:rsidRPr="00A51F34">
        <w:rPr>
          <w:rFonts w:asciiTheme="majorBidi" w:hAnsiTheme="majorBidi" w:cstheme="majorBidi"/>
          <w:i/>
          <w:iCs/>
          <w:sz w:val="24"/>
          <w:szCs w:val="24"/>
          <w:u w:val="single"/>
          <w:lang w:val="sv-SE"/>
        </w:rPr>
        <w:t>h</w:t>
      </w:r>
      <w:r w:rsidRPr="00A51F34">
        <w:rPr>
          <w:rFonts w:asciiTheme="majorBidi" w:hAnsiTheme="majorBidi" w:cstheme="majorBidi"/>
          <w:i/>
          <w:iCs/>
          <w:sz w:val="24"/>
          <w:szCs w:val="24"/>
        </w:rPr>
        <w:t>tsul</w:t>
      </w:r>
      <w:r w:rsidRPr="00A51F34">
        <w:rPr>
          <w:rFonts w:asciiTheme="majorBidi" w:hAnsiTheme="majorBidi" w:cstheme="majorBidi"/>
          <w:sz w:val="24"/>
          <w:szCs w:val="24"/>
        </w:rPr>
        <w:t xml:space="preserve"> </w:t>
      </w:r>
      <w:r w:rsidRPr="00A51F34">
        <w:rPr>
          <w:rFonts w:asciiTheme="majorBidi" w:hAnsiTheme="majorBidi" w:cstheme="majorBidi"/>
          <w:i/>
          <w:iCs/>
          <w:sz w:val="24"/>
          <w:szCs w:val="24"/>
        </w:rPr>
        <w:t>Masāil</w:t>
      </w:r>
      <w:r w:rsidRPr="00A51F34">
        <w:rPr>
          <w:rFonts w:asciiTheme="majorBidi" w:hAnsiTheme="majorBidi" w:cstheme="majorBidi"/>
          <w:sz w:val="24"/>
          <w:szCs w:val="24"/>
        </w:rPr>
        <w:t xml:space="preserve"> sendiri seperti dikatakan Sahal Mahfudz sebenarnya telah ada jauh sebelum NU berdiri 1926. Kegiatan tersebut bermula dari kajian yang diadakan para kyai dan santri yang kemudian diterbitkan dalam sebuah buletin yang bernama </w:t>
      </w:r>
      <w:r w:rsidRPr="00A51F34">
        <w:rPr>
          <w:rFonts w:asciiTheme="majorBidi" w:hAnsiTheme="majorBidi" w:cstheme="majorBidi"/>
          <w:i/>
          <w:iCs/>
          <w:sz w:val="24"/>
          <w:szCs w:val="24"/>
        </w:rPr>
        <w:t>Lailatul Ijtima’ Nahdlatul Oelam</w:t>
      </w:r>
      <w:r w:rsidRPr="00A51F34">
        <w:rPr>
          <w:rFonts w:asciiTheme="majorBidi" w:hAnsiTheme="majorBidi" w:cstheme="majorBidi"/>
          <w:sz w:val="24"/>
          <w:szCs w:val="24"/>
        </w:rPr>
        <w:t>. Buletin ini kemudian dijadikan sebagai diskusi jarak jauh antar pesantren. Hasil keputusan satu pesantren kemudian ditanggapi oleh pesantren yang lain dan begitu seterusnya.</w:t>
      </w:r>
      <w:r w:rsidRPr="00A51F34">
        <w:rPr>
          <w:rStyle w:val="FootnoteReference"/>
          <w:rFonts w:asciiTheme="majorBidi" w:hAnsiTheme="majorBidi" w:cstheme="majorBidi"/>
          <w:sz w:val="24"/>
          <w:szCs w:val="24"/>
        </w:rPr>
        <w:footnoteReference w:id="539"/>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Fatwa dalam NU telah terjadi sejak Muktamar NU I tanggal 21 Oktober 1926 di Surabaya dan pada Muktamar selanjutnya. Selain pada saat Muktamar, fatwa juga diberikan dalam forum lain di kalangan NU seperti fatwa pada pertemuan Pengurus Besar Syuriah NU I tahun 1960 di Jakarta, Keputusan Rapat Dewan Partai NU tanggal 25 Oktober 1961 di Salatiga, Keputusan Munas Alim Ulama di Yogyakarta tanggal 30 Agustus 1981, dan beberapa keputusan lain dalam tubuh NU.</w:t>
      </w:r>
      <w:r w:rsidRPr="00A51F34">
        <w:rPr>
          <w:rStyle w:val="FootnoteReference"/>
          <w:rFonts w:asciiTheme="majorBidi" w:hAnsiTheme="majorBidi" w:cstheme="majorBidi"/>
          <w:sz w:val="24"/>
          <w:szCs w:val="24"/>
        </w:rPr>
        <w:footnoteReference w:id="540"/>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 xml:space="preserve">Namun demikian keberadaan lembaga tersebut secara permanen baru dikukuhkan ketika Muktamar NU XXVIII di Pondok Pesantren al-Munawwir Krapyak Yogyakarta pada 26-28 November 1989 dengan rekomendasi tentang pendirian lembaga bahsul masa‟il yang permanen dengan tujuan membahas masalah-masalah </w:t>
      </w:r>
      <w:r w:rsidRPr="00A51F34">
        <w:rPr>
          <w:rFonts w:asciiTheme="majorBidi" w:hAnsiTheme="majorBidi" w:cstheme="majorBidi"/>
          <w:i/>
          <w:iCs/>
          <w:sz w:val="24"/>
          <w:szCs w:val="24"/>
        </w:rPr>
        <w:t xml:space="preserve">mauqūf </w:t>
      </w:r>
      <w:r w:rsidRPr="00A51F34">
        <w:rPr>
          <w:rFonts w:asciiTheme="majorBidi" w:hAnsiTheme="majorBidi" w:cstheme="majorBidi"/>
          <w:sz w:val="24"/>
          <w:szCs w:val="24"/>
        </w:rPr>
        <w:t xml:space="preserve">dan kontemporer yang segera harus mendapat jawaban. Kemudian dikukuhkan kembali pada forum Munas Alim Ulama pada 21-25 Januari 1992 di Bandar Lampung tentang sistem pengambilan keputusan hukum dalam </w:t>
      </w:r>
      <w:r w:rsidRPr="00A51F34">
        <w:rPr>
          <w:rFonts w:asciiTheme="majorBidi" w:hAnsiTheme="majorBidi" w:cstheme="majorBidi"/>
          <w:i/>
          <w:iCs/>
          <w:sz w:val="24"/>
          <w:szCs w:val="24"/>
        </w:rPr>
        <w:t>Ba</w:t>
      </w:r>
      <w:r w:rsidRPr="00A51F34">
        <w:rPr>
          <w:rFonts w:asciiTheme="majorBidi" w:hAnsiTheme="majorBidi" w:cstheme="majorBidi"/>
          <w:i/>
          <w:iCs/>
          <w:sz w:val="24"/>
          <w:szCs w:val="24"/>
          <w:u w:val="single"/>
          <w:lang w:val="sv-SE"/>
        </w:rPr>
        <w:t>h</w:t>
      </w:r>
      <w:r w:rsidRPr="00A51F34">
        <w:rPr>
          <w:rFonts w:asciiTheme="majorBidi" w:hAnsiTheme="majorBidi" w:cstheme="majorBidi"/>
          <w:i/>
          <w:iCs/>
          <w:sz w:val="24"/>
          <w:szCs w:val="24"/>
        </w:rPr>
        <w:t>tsul</w:t>
      </w:r>
      <w:r w:rsidRPr="00A51F34">
        <w:rPr>
          <w:rFonts w:asciiTheme="majorBidi" w:hAnsiTheme="majorBidi" w:cstheme="majorBidi"/>
          <w:sz w:val="24"/>
          <w:szCs w:val="24"/>
        </w:rPr>
        <w:t xml:space="preserve"> </w:t>
      </w:r>
      <w:r w:rsidRPr="00A51F34">
        <w:rPr>
          <w:rFonts w:asciiTheme="majorBidi" w:hAnsiTheme="majorBidi" w:cstheme="majorBidi"/>
          <w:i/>
          <w:iCs/>
          <w:sz w:val="24"/>
          <w:szCs w:val="24"/>
        </w:rPr>
        <w:t>Masāil</w:t>
      </w:r>
      <w:r w:rsidRPr="00A51F34">
        <w:rPr>
          <w:rFonts w:asciiTheme="majorBidi" w:hAnsiTheme="majorBidi" w:cstheme="majorBidi"/>
          <w:sz w:val="24"/>
          <w:szCs w:val="24"/>
        </w:rPr>
        <w:t xml:space="preserve"> di lingkungan NU.</w:t>
      </w:r>
      <w:r w:rsidRPr="00A51F34">
        <w:rPr>
          <w:rStyle w:val="FootnoteReference"/>
          <w:rFonts w:asciiTheme="majorBidi" w:hAnsiTheme="majorBidi" w:cstheme="majorBidi"/>
          <w:sz w:val="24"/>
          <w:szCs w:val="24"/>
        </w:rPr>
        <w:footnoteReference w:id="541"/>
      </w:r>
      <w:r w:rsidRPr="00A51F34">
        <w:rPr>
          <w:rFonts w:asciiTheme="majorBidi" w:hAnsiTheme="majorBidi" w:cstheme="majorBidi"/>
          <w:sz w:val="24"/>
          <w:szCs w:val="24"/>
        </w:rPr>
        <w:t xml:space="preserve"> Kecenderungan bermazhab Shafi‟i </w:t>
      </w:r>
      <w:r w:rsidRPr="00A51F34">
        <w:rPr>
          <w:rFonts w:asciiTheme="majorBidi" w:hAnsiTheme="majorBidi" w:cstheme="majorBidi"/>
          <w:sz w:val="24"/>
          <w:szCs w:val="24"/>
        </w:rPr>
        <w:lastRenderedPageBreak/>
        <w:t>dialamatkan pada lembaga tersebut. Hal itu dapat dilihat dari berbagai kitab-kitab referensi yang mayoritas dari kalangan Shafi’iyyah seperti kitab ‘Iānah al-Ṭālibīn yang merupakan kitab pokok ulama NU.</w:t>
      </w:r>
      <w:r w:rsidRPr="00A51F34">
        <w:rPr>
          <w:rStyle w:val="FootnoteReference"/>
          <w:rFonts w:asciiTheme="majorBidi" w:hAnsiTheme="majorBidi" w:cstheme="majorBidi"/>
          <w:sz w:val="24"/>
          <w:szCs w:val="24"/>
        </w:rPr>
        <w:footnoteReference w:id="542"/>
      </w:r>
      <w:r w:rsidRPr="00A51F34">
        <w:rPr>
          <w:rFonts w:asciiTheme="majorBidi" w:hAnsiTheme="majorBidi" w:cstheme="majorBidi"/>
          <w:sz w:val="24"/>
          <w:szCs w:val="24"/>
        </w:rPr>
        <w:t xml:space="preserve"> </w:t>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Berbeda dengan NU, Muhammadiyah dengan lembaga Majlis Tarjihnya dinilai sebagai organisasi Islam Modern. Atho Mudzhar menggolongkan kecenderungan organisasi ke dalam dua kategori, reformis dan konservatif.</w:t>
      </w:r>
      <w:r w:rsidRPr="00A51F34">
        <w:rPr>
          <w:rStyle w:val="FootnoteReference"/>
          <w:rFonts w:asciiTheme="majorBidi" w:hAnsiTheme="majorBidi" w:cstheme="majorBidi"/>
          <w:sz w:val="24"/>
          <w:szCs w:val="24"/>
        </w:rPr>
        <w:footnoteReference w:id="543"/>
      </w:r>
      <w:r w:rsidRPr="00A51F34">
        <w:rPr>
          <w:rFonts w:asciiTheme="majorBidi" w:hAnsiTheme="majorBidi" w:cstheme="majorBidi"/>
          <w:sz w:val="24"/>
          <w:szCs w:val="24"/>
        </w:rPr>
        <w:t xml:space="preserve"> Dapat dikatakan bahwa NU merupakan lembaga yang cenderung konservatif karena lebih memilih untuk mempertahankan tradisi lama yang baik dan mengambil hal baru yang lebih baik, sedangkan Muhammadiyah cenderung sebagai lembaga reformis karena lebih memilih untuk merujuk kembali pada Al-Qur’ān dan hadis dan tidak memilih pada salah satu mazhab namun memilih pendapat yang sesuai dengan kondisi dan situasi. Keduanya mempunyai perbedaan dalam hal teologi dan ajaran Islam, namun dalam perjalanannya asumsi demikian semakin menipis sebab NU dalam hal ini sedikit demi sedikit mulai memodernisasikan diri.</w:t>
      </w:r>
      <w:r w:rsidRPr="00A51F34">
        <w:rPr>
          <w:rStyle w:val="FootnoteReference"/>
          <w:rFonts w:asciiTheme="majorBidi" w:hAnsiTheme="majorBidi" w:cstheme="majorBidi"/>
          <w:sz w:val="24"/>
          <w:szCs w:val="24"/>
        </w:rPr>
        <w:footnoteReference w:id="544"/>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Lembaga fatwa Muhammadiyah adalah Majelis Tarjih yang diusulkan dan diprakarsai oleh Mas Mansur pada Muktamar Muhammadiyah XVI di Pekalongan. Selanjutnya diresmikan pada Muktamar XVII di Yogyakarta dan diketuai oleh Mas Mansur.</w:t>
      </w:r>
      <w:r w:rsidRPr="00A51F34">
        <w:rPr>
          <w:rStyle w:val="FootnoteReference"/>
          <w:rFonts w:asciiTheme="majorBidi" w:hAnsiTheme="majorBidi" w:cstheme="majorBidi"/>
          <w:sz w:val="24"/>
          <w:szCs w:val="24"/>
        </w:rPr>
        <w:footnoteReference w:id="545"/>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 xml:space="preserve">Jika awalnya hanya berkutat pada persoalan khilafiyyah maka lambat laun forum Majlis Tarjih ini membahas dinamikan kontemporer seperti masalah sosial dan kedokteran. Selain menghadirkan ulama dalam setiap kasus yang akan diterliti juga menghadirkan tenaga ahli, misalnya dari kedokteran dan sebagainya. </w:t>
      </w:r>
      <w:r w:rsidRPr="00A51F34">
        <w:rPr>
          <w:rFonts w:asciiTheme="majorBidi" w:hAnsiTheme="majorBidi" w:cstheme="majorBidi"/>
          <w:sz w:val="24"/>
          <w:szCs w:val="24"/>
        </w:rPr>
        <w:lastRenderedPageBreak/>
        <w:t>Anggotanya terdiri dari ulama yang berkompeten bertarjih baik laki-laki maupun perempuan.</w:t>
      </w:r>
      <w:r w:rsidRPr="00A51F34">
        <w:rPr>
          <w:rStyle w:val="FootnoteReference"/>
          <w:rFonts w:asciiTheme="majorBidi" w:hAnsiTheme="majorBidi" w:cstheme="majorBidi"/>
          <w:sz w:val="24"/>
          <w:szCs w:val="24"/>
        </w:rPr>
        <w:footnoteReference w:id="546"/>
      </w:r>
    </w:p>
    <w:p w:rsidR="00343B61" w:rsidRPr="00A51F34" w:rsidRDefault="00343B61" w:rsidP="00343B61">
      <w:pPr>
        <w:spacing w:after="0" w:line="360" w:lineRule="auto"/>
        <w:ind w:firstLine="720"/>
        <w:jc w:val="both"/>
        <w:rPr>
          <w:rFonts w:asciiTheme="majorBidi" w:hAnsiTheme="majorBidi" w:cstheme="majorBidi"/>
          <w:sz w:val="24"/>
          <w:szCs w:val="24"/>
        </w:rPr>
      </w:pPr>
      <w:r w:rsidRPr="00A51F34">
        <w:rPr>
          <w:rFonts w:asciiTheme="majorBidi" w:hAnsiTheme="majorBidi" w:cstheme="majorBidi"/>
          <w:sz w:val="24"/>
          <w:szCs w:val="24"/>
        </w:rPr>
        <w:t>Kedua lembaga tersebut telah berperan aktif dalam dinamikan hukum Islam khususnya dalam bidang fatwa</w:t>
      </w:r>
      <w:r w:rsidRPr="00A51F34">
        <w:rPr>
          <w:rStyle w:val="FootnoteReference"/>
          <w:rFonts w:asciiTheme="majorBidi" w:hAnsiTheme="majorBidi" w:cstheme="majorBidi"/>
          <w:sz w:val="24"/>
          <w:szCs w:val="24"/>
        </w:rPr>
        <w:footnoteReference w:id="547"/>
      </w:r>
      <w:r w:rsidRPr="00A51F34">
        <w:rPr>
          <w:rFonts w:asciiTheme="majorBidi" w:hAnsiTheme="majorBidi" w:cstheme="majorBidi"/>
          <w:sz w:val="24"/>
          <w:szCs w:val="24"/>
        </w:rPr>
        <w:t xml:space="preserve"> Hal tersebut kemudian menggerakkan para ulama dan pemerintah untuk membentuk sebuah lembaga fatwa dalam skala nasional, yang menggabungkan berbagai organisasi Islam yang ada. Maka pada 1975 pemerintah mendeklarasikan Majelis Ulama Indonesia. MUI yang merupakan lembaga fatwa semi-pemerintah secara lambat laun turut mewarnai pembaruan dan perkembangan hukum yang ada di Indonesia mengingat masyarakat yang heterogen. Lembaga ini adalah lembaga yang paling dinamis atau paling tidak responsif dalam menanggapi dinamika kontemporer dewasa ini.</w:t>
      </w:r>
    </w:p>
    <w:p w:rsidR="00343B61" w:rsidRPr="0011362F" w:rsidRDefault="00343B61" w:rsidP="002C0A33">
      <w:pPr>
        <w:pStyle w:val="ListParagraph"/>
        <w:numPr>
          <w:ilvl w:val="0"/>
          <w:numId w:val="39"/>
        </w:numPr>
        <w:tabs>
          <w:tab w:val="left" w:pos="1170"/>
        </w:tabs>
        <w:spacing w:after="0" w:line="360" w:lineRule="auto"/>
        <w:ind w:left="450" w:hanging="270"/>
        <w:rPr>
          <w:rFonts w:asciiTheme="majorBidi" w:hAnsiTheme="majorBidi" w:cstheme="majorBidi"/>
          <w:sz w:val="24"/>
          <w:szCs w:val="24"/>
        </w:rPr>
      </w:pPr>
      <w:r w:rsidRPr="0011362F">
        <w:rPr>
          <w:rFonts w:asciiTheme="majorBidi" w:hAnsiTheme="majorBidi" w:cstheme="majorBidi"/>
          <w:sz w:val="24"/>
          <w:szCs w:val="24"/>
        </w:rPr>
        <w:t xml:space="preserve">Peran dan Tugas Lembaga Fatwa </w:t>
      </w:r>
      <w:r>
        <w:rPr>
          <w:rFonts w:asciiTheme="majorBidi" w:hAnsiTheme="majorBidi" w:cstheme="majorBidi"/>
          <w:sz w:val="24"/>
          <w:szCs w:val="24"/>
        </w:rPr>
        <w:t>MUI</w:t>
      </w:r>
    </w:p>
    <w:p w:rsidR="00343B61" w:rsidRPr="0011362F" w:rsidRDefault="00343B61" w:rsidP="00343B61">
      <w:pPr>
        <w:autoSpaceDE w:val="0"/>
        <w:autoSpaceDN w:val="0"/>
        <w:adjustRightInd w:val="0"/>
        <w:spacing w:after="0" w:line="360" w:lineRule="auto"/>
        <w:ind w:firstLine="720"/>
        <w:jc w:val="both"/>
        <w:rPr>
          <w:rFonts w:ascii="Z@R72D2.tmp" w:hAnsi="Z@R72D2.tmp" w:cs="Z@R72D2.tmp"/>
          <w:sz w:val="24"/>
          <w:szCs w:val="24"/>
        </w:rPr>
      </w:pPr>
      <w:r w:rsidRPr="0011362F">
        <w:rPr>
          <w:rFonts w:ascii="Z@R72D2.tmp" w:hAnsi="Z@R72D2.tmp" w:cs="Z@R72D2.tmp"/>
          <w:sz w:val="24"/>
          <w:szCs w:val="24"/>
        </w:rPr>
        <w:t>Keberadaan Komisi Fatwa Majelis Ulama Indonesia dipandang sangat penting, karena Komisi ini diharapkan dapat menjawab segala permasalahan hukum Islam yang senanti</w:t>
      </w:r>
      <w:r>
        <w:rPr>
          <w:rFonts w:ascii="Z@R72D2.tmp" w:hAnsi="Z@R72D2.tmp" w:cs="Z@R72D2.tmp"/>
          <w:sz w:val="24"/>
          <w:szCs w:val="24"/>
        </w:rPr>
        <w:t>asa muncul dan semakin kompleks</w:t>
      </w:r>
      <w:r w:rsidRPr="0011362F">
        <w:rPr>
          <w:rFonts w:ascii="Z@R72D2.tmp" w:hAnsi="Z@R72D2.tmp" w:cs="Z@R72D2.tmp"/>
          <w:sz w:val="24"/>
          <w:szCs w:val="24"/>
        </w:rPr>
        <w:t xml:space="preserve"> yang dihadapi oleh umat Islam Indonesia. Tugas yang diemban Komisi, yakni memberikan fatwa </w:t>
      </w:r>
      <w:r w:rsidRPr="0011362F">
        <w:rPr>
          <w:rFonts w:ascii="Z@R72D6.tmp,Italic" w:hAnsi="Z@R72D6.tmp,Italic" w:cs="Z@R72D6.tmp,Italic"/>
          <w:i/>
          <w:iCs/>
          <w:sz w:val="24"/>
          <w:szCs w:val="24"/>
        </w:rPr>
        <w:t xml:space="preserve">(ifta), </w:t>
      </w:r>
      <w:r w:rsidRPr="0011362F">
        <w:rPr>
          <w:rFonts w:ascii="Z@R72D2.tmp" w:hAnsi="Z@R72D2.tmp" w:cs="Z@R72D2.tmp"/>
          <w:sz w:val="24"/>
          <w:szCs w:val="24"/>
        </w:rPr>
        <w:t xml:space="preserve">bukanlah pekerjaan mudah yang dapat dilakukan oleh setiap orang, melainkan pekerjaan sulit dan mengandung resiko berat yang kelak akan dipertanggungjawabkan kepada Allah SWT. Hal ini mengingat tujuan pekerjaan tersebut adalah menjelaskan hukum Allah kepada masyarakat yang akan mempedomani dan mengamalkannya. Oleh karena itu tidaklah mengherankan jika hampir seluruh kitab </w:t>
      </w:r>
      <w:r w:rsidRPr="0011362F">
        <w:rPr>
          <w:rFonts w:ascii="Z@R72D6.tmp,Italic" w:hAnsi="Z@R72D6.tmp,Italic" w:cs="Z@R72D6.tmp,Italic"/>
          <w:i/>
          <w:iCs/>
          <w:sz w:val="24"/>
          <w:szCs w:val="24"/>
        </w:rPr>
        <w:t xml:space="preserve">Ushul al-Fiqh </w:t>
      </w:r>
      <w:r w:rsidRPr="0011362F">
        <w:rPr>
          <w:rFonts w:ascii="Z@R72D2.tmp" w:hAnsi="Z@R72D2.tmp" w:cs="Z@R72D2.tmp"/>
          <w:sz w:val="24"/>
          <w:szCs w:val="24"/>
        </w:rPr>
        <w:t xml:space="preserve">membicarakan masalah </w:t>
      </w:r>
      <w:r w:rsidRPr="0011362F">
        <w:rPr>
          <w:rFonts w:ascii="Z@R72D6.tmp,Italic" w:hAnsi="Z@R72D6.tmp,Italic" w:cs="Z@R72D6.tmp,Italic"/>
          <w:i/>
          <w:iCs/>
          <w:sz w:val="24"/>
          <w:szCs w:val="24"/>
        </w:rPr>
        <w:t xml:space="preserve">ifta. </w:t>
      </w:r>
      <w:r w:rsidRPr="0011362F">
        <w:rPr>
          <w:rFonts w:ascii="Z@R72D2.tmp" w:hAnsi="Z@R72D2.tmp" w:cs="Z@R72D2.tmp"/>
          <w:sz w:val="24"/>
          <w:szCs w:val="24"/>
        </w:rPr>
        <w:t xml:space="preserve">dan menetapkan </w:t>
      </w:r>
      <w:r w:rsidRPr="0011362F">
        <w:rPr>
          <w:rFonts w:ascii="Z@R72D2.tmp" w:hAnsi="Z@R72D2.tmp" w:cs="Z@R72D2.tmp"/>
          <w:sz w:val="24"/>
          <w:szCs w:val="24"/>
        </w:rPr>
        <w:lastRenderedPageBreak/>
        <w:t xml:space="preserve">sejumlah </w:t>
      </w:r>
      <w:r w:rsidRPr="0011362F">
        <w:rPr>
          <w:rFonts w:ascii="Z@R72D6.tmp,Italic" w:hAnsi="Z@R72D6.tmp,Italic" w:cs="Z@R72D6.tmp,Italic"/>
          <w:i/>
          <w:iCs/>
          <w:sz w:val="24"/>
          <w:szCs w:val="24"/>
        </w:rPr>
        <w:t xml:space="preserve">adab </w:t>
      </w:r>
      <w:r w:rsidRPr="0011362F">
        <w:rPr>
          <w:rFonts w:ascii="Z@R72D2.tmp" w:hAnsi="Z@R72D2.tmp" w:cs="Z@R72D2.tmp"/>
          <w:sz w:val="24"/>
          <w:szCs w:val="24"/>
        </w:rPr>
        <w:t xml:space="preserve">(kode etik), dan persyaratan sangat ketat dan berat yang harus dipegang teguh oleh </w:t>
      </w:r>
      <w:r w:rsidRPr="0011362F">
        <w:rPr>
          <w:rFonts w:ascii="Z@R72D6.tmp,Italic" w:hAnsi="Z@R72D6.tmp,Italic" w:cs="Z@R72D6.tmp,Italic"/>
          <w:sz w:val="24"/>
          <w:szCs w:val="24"/>
        </w:rPr>
        <w:t>setiap orang yang akan memeberikan fatwa.</w:t>
      </w:r>
      <w:r w:rsidRPr="0011362F">
        <w:rPr>
          <w:rStyle w:val="FootnoteReference"/>
          <w:rFonts w:ascii="Z@R72D6.tmp,Italic" w:hAnsi="Z@R72D6.tmp,Italic" w:cs="Z@R72D6.tmp,Italic"/>
          <w:sz w:val="24"/>
          <w:szCs w:val="24"/>
        </w:rPr>
        <w:footnoteReference w:id="548"/>
      </w:r>
    </w:p>
    <w:p w:rsidR="00343B61" w:rsidRPr="0011362F" w:rsidRDefault="00343B61" w:rsidP="00343B61">
      <w:pPr>
        <w:autoSpaceDE w:val="0"/>
        <w:autoSpaceDN w:val="0"/>
        <w:adjustRightInd w:val="0"/>
        <w:spacing w:after="0" w:line="360" w:lineRule="auto"/>
        <w:ind w:firstLine="720"/>
        <w:jc w:val="both"/>
        <w:rPr>
          <w:rFonts w:ascii="Z@R72D2.tmp" w:hAnsi="Z@R72D2.tmp" w:cs="Z@R72D2.tmp"/>
          <w:color w:val="FF0000"/>
          <w:sz w:val="24"/>
          <w:szCs w:val="24"/>
        </w:rPr>
      </w:pPr>
      <w:r w:rsidRPr="0011362F">
        <w:rPr>
          <w:rFonts w:ascii="Z@R72D2.tmp" w:hAnsi="Z@R72D2.tmp" w:cs="Z@R72D2.tmp"/>
          <w:sz w:val="24"/>
          <w:szCs w:val="24"/>
        </w:rPr>
        <w:t xml:space="preserve">Di antara prinsip dan persyaratan tersebut ialah bahwa </w:t>
      </w:r>
      <w:r w:rsidRPr="0011362F">
        <w:rPr>
          <w:rFonts w:ascii="Z@R72D6.tmp,Italic" w:hAnsi="Z@R72D6.tmp,Italic" w:cs="Z@R72D6.tmp,Italic"/>
          <w:i/>
          <w:iCs/>
          <w:sz w:val="24"/>
          <w:szCs w:val="24"/>
        </w:rPr>
        <w:t xml:space="preserve">mufti </w:t>
      </w:r>
      <w:r w:rsidRPr="0011362F">
        <w:rPr>
          <w:rFonts w:ascii="Z@R72D2.tmp" w:hAnsi="Z@R72D2.tmp" w:cs="Z@R72D2.tmp"/>
          <w:sz w:val="24"/>
          <w:szCs w:val="24"/>
        </w:rPr>
        <w:t xml:space="preserve">(orang atau lembaga yang memberikan fatwa) harus mengetahui hukum Islam secara mendalam berikut dalil-dalilnya. Ia tidak dibenarkan berfatwa hanya didasarkan pada keinginan dan kepentingan tertentu atau dugaan-dugaan semata tanpa didasarkan pada dalil. Fatwa harus dikeluarkan oleh orang atau lembaga yang mempunyai kompetensi untuk itu, sebab fatwa yang dikeluarkan secara sembarang akan melahirkan tindakan </w:t>
      </w:r>
      <w:r w:rsidRPr="0011362F">
        <w:rPr>
          <w:rFonts w:ascii="Z@R72D6.tmp,Italic" w:hAnsi="Z@R72D6.tmp,Italic" w:cs="Z@R72D6.tmp,Italic"/>
          <w:i/>
          <w:iCs/>
          <w:sz w:val="24"/>
          <w:szCs w:val="24"/>
        </w:rPr>
        <w:t xml:space="preserve">tahakkum </w:t>
      </w:r>
      <w:r w:rsidRPr="0011362F">
        <w:rPr>
          <w:rFonts w:ascii="Z@R72D2.tmp" w:hAnsi="Z@R72D2.tmp" w:cs="Z@R72D2.tmp"/>
          <w:sz w:val="24"/>
          <w:szCs w:val="24"/>
        </w:rPr>
        <w:t xml:space="preserve">(perbuatan membuat-buat hukum), perbuatan </w:t>
      </w:r>
      <w:r w:rsidRPr="0011362F">
        <w:rPr>
          <w:rFonts w:ascii="Z@R72D6.tmp,Italic" w:hAnsi="Z@R72D6.tmp,Italic" w:cs="Z@R72D6.tmp,Italic"/>
          <w:i/>
          <w:iCs/>
          <w:sz w:val="24"/>
          <w:szCs w:val="24"/>
        </w:rPr>
        <w:t xml:space="preserve">tahakkum </w:t>
      </w:r>
      <w:r w:rsidRPr="0011362F">
        <w:rPr>
          <w:rFonts w:ascii="Z@R72D6.tmp,Italic" w:hAnsi="Z@R72D6.tmp,Italic" w:cs="Z@R72D6.tmp,Italic"/>
          <w:sz w:val="24"/>
          <w:szCs w:val="24"/>
        </w:rPr>
        <w:t>harus dihindar</w:t>
      </w:r>
      <w:r>
        <w:rPr>
          <w:rFonts w:ascii="Z@R72D6.tmp,Italic" w:hAnsi="Z@R72D6.tmp,Italic" w:cs="Z@R72D6.tmp,Italic"/>
          <w:sz w:val="24"/>
          <w:szCs w:val="24"/>
        </w:rPr>
        <w:t>i</w:t>
      </w:r>
      <w:r w:rsidRPr="0011362F">
        <w:rPr>
          <w:rFonts w:ascii="Z@R72D6.tmp,Italic" w:hAnsi="Z@R72D6.tmp,Italic" w:cs="Z@R72D6.tmp,Italic"/>
          <w:sz w:val="24"/>
          <w:szCs w:val="24"/>
        </w:rPr>
        <w:t>, karena perbuatan ini dosanya lebih berat dari dosa syirik.</w:t>
      </w:r>
      <w:r w:rsidRPr="0011362F">
        <w:rPr>
          <w:rStyle w:val="FootnoteReference"/>
          <w:rFonts w:ascii="Z@R72D6.tmp,Italic" w:hAnsi="Z@R72D6.tmp,Italic" w:cs="Z@R72D6.tmp,Italic"/>
          <w:sz w:val="24"/>
          <w:szCs w:val="24"/>
        </w:rPr>
        <w:footnoteReference w:id="549"/>
      </w:r>
      <w:r w:rsidRPr="0011362F">
        <w:rPr>
          <w:rFonts w:ascii="Z@R72D2.tmp" w:hAnsi="Z@R72D2.tmp" w:cs="Z@R72D2.tmp"/>
          <w:sz w:val="24"/>
          <w:szCs w:val="24"/>
        </w:rPr>
        <w:t xml:space="preserve"> Sebagaimana firman Allah SWT dalam QS. Al-Nahl </w:t>
      </w:r>
      <w:r>
        <w:rPr>
          <w:rFonts w:ascii="Z@R72D2.tmp" w:hAnsi="Z@R72D2.tmp" w:cs="Z@R72D2.tmp"/>
          <w:sz w:val="24"/>
          <w:szCs w:val="24"/>
        </w:rPr>
        <w:t>[16]</w:t>
      </w:r>
      <w:r w:rsidRPr="0011362F">
        <w:rPr>
          <w:rFonts w:ascii="Z@R72D2.tmp" w:hAnsi="Z@R72D2.tmp" w:cs="Z@R72D2.tmp"/>
          <w:sz w:val="24"/>
          <w:szCs w:val="24"/>
        </w:rPr>
        <w:t xml:space="preserve">ayat 116: </w:t>
      </w:r>
    </w:p>
    <w:p w:rsidR="00343B61" w:rsidRPr="002F29E4" w:rsidRDefault="00343B61" w:rsidP="00343B61">
      <w:pPr>
        <w:bidi/>
        <w:rPr>
          <w:rFonts w:ascii="Adobe نسخ Medium" w:hAnsi="Adobe نسخ Medium" w:cs="Adobe نسخ Medium"/>
          <w:sz w:val="34"/>
          <w:szCs w:val="34"/>
          <w:rtl/>
        </w:rPr>
      </w:pPr>
      <w:r w:rsidRPr="00B921A2">
        <w:rPr>
          <w:rFonts w:cs="Traditional Arabic"/>
          <w:sz w:val="28"/>
          <w:szCs w:val="28"/>
        </w:rPr>
        <w:sym w:font="HQPB5" w:char="F09F"/>
      </w:r>
      <w:r w:rsidRPr="00B921A2">
        <w:rPr>
          <w:rFonts w:cs="Traditional Arabic"/>
          <w:sz w:val="28"/>
          <w:szCs w:val="28"/>
        </w:rPr>
        <w:sym w:font="HQPB2" w:char="F077"/>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5" w:char="F028"/>
      </w:r>
      <w:r w:rsidRPr="00B921A2">
        <w:rPr>
          <w:rFonts w:cs="Traditional Arabic"/>
          <w:sz w:val="28"/>
          <w:szCs w:val="28"/>
        </w:rPr>
        <w:sym w:font="HQPB1" w:char="F023"/>
      </w:r>
      <w:r w:rsidRPr="00B921A2">
        <w:rPr>
          <w:rFonts w:cs="Traditional Arabic"/>
          <w:sz w:val="28"/>
          <w:szCs w:val="28"/>
        </w:rPr>
        <w:sym w:font="HQPB2" w:char="F071"/>
      </w:r>
      <w:r w:rsidRPr="00B921A2">
        <w:rPr>
          <w:rFonts w:cs="Traditional Arabic"/>
          <w:sz w:val="28"/>
          <w:szCs w:val="28"/>
        </w:rPr>
        <w:sym w:font="HQPB4" w:char="F0E4"/>
      </w:r>
      <w:r w:rsidRPr="00B921A2">
        <w:rPr>
          <w:rFonts w:cs="Traditional Arabic"/>
          <w:sz w:val="28"/>
          <w:szCs w:val="28"/>
        </w:rPr>
        <w:sym w:font="HQPB2" w:char="F039"/>
      </w:r>
      <w:r w:rsidRPr="00B921A2">
        <w:rPr>
          <w:rFonts w:cs="Traditional Arabic"/>
          <w:sz w:val="28"/>
          <w:szCs w:val="28"/>
        </w:rPr>
        <w:sym w:font="HQPB2" w:char="F071"/>
      </w:r>
      <w:r w:rsidRPr="00B921A2">
        <w:rPr>
          <w:rFonts w:cs="Traditional Arabic"/>
          <w:sz w:val="28"/>
          <w:szCs w:val="28"/>
        </w:rPr>
        <w:sym w:font="HQPB4" w:char="F0E0"/>
      </w:r>
      <w:r w:rsidRPr="00B921A2">
        <w:rPr>
          <w:rFonts w:cs="Traditional Arabic"/>
          <w:sz w:val="28"/>
          <w:szCs w:val="28"/>
        </w:rPr>
        <w:sym w:font="HQPB2" w:char="F029"/>
      </w:r>
      <w:r w:rsidRPr="00B921A2">
        <w:rPr>
          <w:rFonts w:cs="Traditional Arabic"/>
          <w:sz w:val="28"/>
          <w:szCs w:val="28"/>
        </w:rPr>
        <w:sym w:font="HQPB5" w:char="F073"/>
      </w:r>
      <w:r w:rsidRPr="00B921A2">
        <w:rPr>
          <w:rFonts w:cs="Traditional Arabic"/>
          <w:sz w:val="28"/>
          <w:szCs w:val="28"/>
        </w:rPr>
        <w:sym w:font="HQPB1" w:char="F03F"/>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9"/>
      </w:r>
      <w:r w:rsidRPr="00B921A2">
        <w:rPr>
          <w:rFonts w:cs="Traditional Arabic"/>
          <w:sz w:val="28"/>
          <w:szCs w:val="28"/>
        </w:rPr>
        <w:sym w:font="HQPB2" w:char="F04A"/>
      </w:r>
      <w:r w:rsidRPr="00B921A2">
        <w:rPr>
          <w:rFonts w:cs="Traditional Arabic"/>
          <w:sz w:val="28"/>
          <w:szCs w:val="28"/>
        </w:rPr>
        <w:sym w:font="HQPB4" w:char="F0CF"/>
      </w:r>
      <w:r w:rsidRPr="00B921A2">
        <w:rPr>
          <w:rFonts w:cs="Traditional Arabic"/>
          <w:sz w:val="28"/>
          <w:szCs w:val="28"/>
        </w:rPr>
        <w:sym w:font="HQPB2" w:char="F039"/>
      </w:r>
      <w:r w:rsidRPr="00B921A2">
        <w:rPr>
          <w:rFonts w:ascii="(normal text)" w:hAnsi="(normal text)" w:cs="Traditional Arabic"/>
          <w:sz w:val="28"/>
          <w:szCs w:val="28"/>
          <w:rtl/>
        </w:rPr>
        <w:t xml:space="preserve"> </w:t>
      </w:r>
      <w:r w:rsidRPr="00B921A2">
        <w:rPr>
          <w:rFonts w:cs="Traditional Arabic"/>
          <w:sz w:val="28"/>
          <w:szCs w:val="28"/>
        </w:rPr>
        <w:sym w:font="HQPB4" w:char="F0DF"/>
      </w:r>
      <w:r w:rsidRPr="00B921A2">
        <w:rPr>
          <w:rFonts w:cs="Traditional Arabic"/>
          <w:sz w:val="28"/>
          <w:szCs w:val="28"/>
        </w:rPr>
        <w:sym w:font="HQPB2" w:char="F023"/>
      </w:r>
      <w:r w:rsidRPr="00B921A2">
        <w:rPr>
          <w:rFonts w:cs="Traditional Arabic"/>
          <w:sz w:val="28"/>
          <w:szCs w:val="28"/>
        </w:rPr>
        <w:sym w:font="HQPB4" w:char="F0C5"/>
      </w:r>
      <w:r w:rsidRPr="00B921A2">
        <w:rPr>
          <w:rFonts w:cs="Traditional Arabic"/>
          <w:sz w:val="28"/>
          <w:szCs w:val="28"/>
        </w:rPr>
        <w:sym w:font="HQPB1" w:char="F0C1"/>
      </w:r>
      <w:r w:rsidRPr="00B921A2">
        <w:rPr>
          <w:rFonts w:cs="Traditional Arabic"/>
          <w:sz w:val="28"/>
          <w:szCs w:val="28"/>
        </w:rPr>
        <w:sym w:font="HQPB5" w:char="F073"/>
      </w:r>
      <w:r w:rsidRPr="00B921A2">
        <w:rPr>
          <w:rFonts w:cs="Traditional Arabic"/>
          <w:sz w:val="28"/>
          <w:szCs w:val="28"/>
        </w:rPr>
        <w:sym w:font="HQPB1" w:char="F03F"/>
      </w:r>
      <w:r w:rsidRPr="00B921A2">
        <w:rPr>
          <w:rFonts w:ascii="(normal text)" w:hAnsi="(normal text)" w:cs="Traditional Arabic"/>
          <w:sz w:val="28"/>
          <w:szCs w:val="28"/>
          <w:rtl/>
        </w:rPr>
        <w:t xml:space="preserve"> </w:t>
      </w:r>
      <w:r w:rsidRPr="00B921A2">
        <w:rPr>
          <w:rFonts w:cs="Traditional Arabic"/>
          <w:sz w:val="28"/>
          <w:szCs w:val="28"/>
        </w:rPr>
        <w:sym w:font="HQPB4" w:char="F0E3"/>
      </w:r>
      <w:r w:rsidRPr="00B921A2">
        <w:rPr>
          <w:rFonts w:cs="Traditional Arabic"/>
          <w:sz w:val="28"/>
          <w:szCs w:val="28"/>
        </w:rPr>
        <w:sym w:font="HQPB2" w:char="F04E"/>
      </w:r>
      <w:r w:rsidRPr="00B921A2">
        <w:rPr>
          <w:rFonts w:cs="Traditional Arabic"/>
          <w:sz w:val="28"/>
          <w:szCs w:val="28"/>
        </w:rPr>
        <w:sym w:font="HQPB4" w:char="F0E0"/>
      </w:r>
      <w:r w:rsidRPr="00B921A2">
        <w:rPr>
          <w:rFonts w:cs="Traditional Arabic"/>
          <w:sz w:val="28"/>
          <w:szCs w:val="28"/>
        </w:rPr>
        <w:sym w:font="HQPB2" w:char="F036"/>
      </w:r>
      <w:r w:rsidRPr="00B921A2">
        <w:rPr>
          <w:rFonts w:cs="Traditional Arabic"/>
          <w:sz w:val="28"/>
          <w:szCs w:val="28"/>
        </w:rPr>
        <w:sym w:font="HQPB4" w:char="F0E7"/>
      </w:r>
      <w:r w:rsidRPr="00B921A2">
        <w:rPr>
          <w:rFonts w:cs="Traditional Arabic"/>
          <w:sz w:val="28"/>
          <w:szCs w:val="28"/>
        </w:rPr>
        <w:sym w:font="HQPB1" w:char="F047"/>
      </w:r>
      <w:r w:rsidRPr="00B921A2">
        <w:rPr>
          <w:rFonts w:cs="Traditional Arabic"/>
          <w:sz w:val="28"/>
          <w:szCs w:val="28"/>
        </w:rPr>
        <w:sym w:font="HQPB5" w:char="F06F"/>
      </w:r>
      <w:r w:rsidRPr="00B921A2">
        <w:rPr>
          <w:rFonts w:cs="Traditional Arabic"/>
          <w:sz w:val="28"/>
          <w:szCs w:val="28"/>
        </w:rPr>
        <w:sym w:font="HQPB2" w:char="F059"/>
      </w:r>
      <w:r w:rsidRPr="00B921A2">
        <w:rPr>
          <w:rFonts w:cs="Traditional Arabic"/>
          <w:sz w:val="28"/>
          <w:szCs w:val="28"/>
        </w:rPr>
        <w:sym w:font="HQPB4" w:char="F0C5"/>
      </w:r>
      <w:r w:rsidRPr="00B921A2">
        <w:rPr>
          <w:rFonts w:cs="Traditional Arabic"/>
          <w:sz w:val="28"/>
          <w:szCs w:val="28"/>
        </w:rPr>
        <w:sym w:font="HQPB1" w:char="F0A1"/>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72"/>
      </w:r>
      <w:r w:rsidRPr="00B921A2">
        <w:rPr>
          <w:rFonts w:cs="Traditional Arabic"/>
          <w:sz w:val="28"/>
          <w:szCs w:val="28"/>
        </w:rPr>
        <w:sym w:font="HQPB1" w:char="F026"/>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1" w:char="F03E"/>
      </w:r>
      <w:r w:rsidRPr="00B921A2">
        <w:rPr>
          <w:rFonts w:cs="Traditional Arabic"/>
          <w:sz w:val="28"/>
          <w:szCs w:val="28"/>
        </w:rPr>
        <w:sym w:font="HQPB4" w:char="F0C9"/>
      </w:r>
      <w:r w:rsidRPr="00B921A2">
        <w:rPr>
          <w:rFonts w:cs="Traditional Arabic"/>
          <w:sz w:val="28"/>
          <w:szCs w:val="28"/>
        </w:rPr>
        <w:sym w:font="HQPB1" w:char="F08B"/>
      </w:r>
      <w:r w:rsidRPr="00B921A2">
        <w:rPr>
          <w:rFonts w:cs="Traditional Arabic"/>
          <w:sz w:val="28"/>
          <w:szCs w:val="28"/>
        </w:rPr>
        <w:sym w:font="HQPB5" w:char="F073"/>
      </w:r>
      <w:r w:rsidRPr="00B921A2">
        <w:rPr>
          <w:rFonts w:cs="Traditional Arabic"/>
          <w:sz w:val="28"/>
          <w:szCs w:val="28"/>
        </w:rPr>
        <w:sym w:font="HQPB2" w:char="F033"/>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1" w:char="F023"/>
      </w:r>
      <w:r w:rsidRPr="00B921A2">
        <w:rPr>
          <w:rFonts w:cs="Traditional Arabic"/>
          <w:sz w:val="28"/>
          <w:szCs w:val="28"/>
        </w:rPr>
        <w:sym w:font="HQPB5" w:char="F078"/>
      </w:r>
      <w:r w:rsidRPr="00B921A2">
        <w:rPr>
          <w:rFonts w:cs="Traditional Arabic"/>
          <w:sz w:val="28"/>
          <w:szCs w:val="28"/>
        </w:rPr>
        <w:sym w:font="HQPB1" w:char="F08B"/>
      </w:r>
      <w:r w:rsidRPr="00B921A2">
        <w:rPr>
          <w:rFonts w:cs="Traditional Arabic"/>
          <w:sz w:val="28"/>
          <w:szCs w:val="28"/>
        </w:rPr>
        <w:sym w:font="HQPB2" w:char="F0BB"/>
      </w:r>
      <w:r w:rsidRPr="00B921A2">
        <w:rPr>
          <w:rFonts w:cs="Traditional Arabic"/>
          <w:sz w:val="28"/>
          <w:szCs w:val="28"/>
        </w:rPr>
        <w:sym w:font="HQPB5" w:char="F079"/>
      </w:r>
      <w:r w:rsidRPr="00B921A2">
        <w:rPr>
          <w:rFonts w:cs="Traditional Arabic"/>
          <w:sz w:val="28"/>
          <w:szCs w:val="28"/>
        </w:rPr>
        <w:sym w:font="HQPB2" w:char="F064"/>
      </w:r>
      <w:r w:rsidRPr="00B921A2">
        <w:rPr>
          <w:rFonts w:ascii="(normal text)" w:hAnsi="(normal text)" w:cs="Traditional Arabic"/>
          <w:sz w:val="28"/>
          <w:szCs w:val="28"/>
          <w:rtl/>
        </w:rPr>
        <w:t xml:space="preserve"> </w:t>
      </w:r>
      <w:r w:rsidRPr="00B921A2">
        <w:rPr>
          <w:rFonts w:cs="Traditional Arabic"/>
          <w:sz w:val="28"/>
          <w:szCs w:val="28"/>
        </w:rPr>
        <w:sym w:font="HQPB4" w:char="F0D7"/>
      </w:r>
      <w:r w:rsidRPr="00B921A2">
        <w:rPr>
          <w:rFonts w:cs="Traditional Arabic"/>
          <w:sz w:val="28"/>
          <w:szCs w:val="28"/>
        </w:rPr>
        <w:sym w:font="HQPB2" w:char="F040"/>
      </w:r>
      <w:r w:rsidRPr="00B921A2">
        <w:rPr>
          <w:rFonts w:cs="Traditional Arabic"/>
          <w:sz w:val="28"/>
          <w:szCs w:val="28"/>
        </w:rPr>
        <w:sym w:font="HQPB2" w:char="F0BB"/>
      </w:r>
      <w:r w:rsidRPr="00B921A2">
        <w:rPr>
          <w:rFonts w:cs="Traditional Arabic"/>
          <w:sz w:val="28"/>
          <w:szCs w:val="28"/>
        </w:rPr>
        <w:sym w:font="HQPB5" w:char="F06E"/>
      </w:r>
      <w:r w:rsidRPr="00B921A2">
        <w:rPr>
          <w:rFonts w:cs="Traditional Arabic"/>
          <w:sz w:val="28"/>
          <w:szCs w:val="28"/>
        </w:rPr>
        <w:sym w:font="HQPB2" w:char="F03D"/>
      </w:r>
      <w:r w:rsidRPr="00B921A2">
        <w:rPr>
          <w:rFonts w:cs="Traditional Arabic"/>
          <w:sz w:val="28"/>
          <w:szCs w:val="28"/>
        </w:rPr>
        <w:sym w:font="HQPB5" w:char="F079"/>
      </w:r>
      <w:r w:rsidRPr="00B921A2">
        <w:rPr>
          <w:rFonts w:cs="Traditional Arabic"/>
          <w:sz w:val="28"/>
          <w:szCs w:val="28"/>
        </w:rPr>
        <w:sym w:font="HQPB1" w:char="F06D"/>
      </w:r>
      <w:r w:rsidRPr="00B921A2">
        <w:rPr>
          <w:rFonts w:ascii="(normal text)" w:hAnsi="(normal text)" w:cs="Traditional Arabic"/>
          <w:sz w:val="28"/>
          <w:szCs w:val="28"/>
          <w:rtl/>
        </w:rPr>
        <w:t xml:space="preserve"> </w:t>
      </w:r>
      <w:r w:rsidRPr="00B921A2">
        <w:rPr>
          <w:rFonts w:cs="Traditional Arabic"/>
          <w:sz w:val="28"/>
          <w:szCs w:val="28"/>
        </w:rPr>
        <w:sym w:font="HQPB1" w:char="F023"/>
      </w:r>
      <w:r w:rsidRPr="00B921A2">
        <w:rPr>
          <w:rFonts w:cs="Traditional Arabic"/>
          <w:sz w:val="28"/>
          <w:szCs w:val="28"/>
        </w:rPr>
        <w:sym w:font="HQPB5" w:char="F078"/>
      </w:r>
      <w:r w:rsidRPr="00B921A2">
        <w:rPr>
          <w:rFonts w:cs="Traditional Arabic"/>
          <w:sz w:val="28"/>
          <w:szCs w:val="28"/>
        </w:rPr>
        <w:sym w:font="HQPB1" w:char="F08B"/>
      </w:r>
      <w:r w:rsidRPr="00B921A2">
        <w:rPr>
          <w:rFonts w:cs="Traditional Arabic"/>
          <w:sz w:val="28"/>
          <w:szCs w:val="28"/>
        </w:rPr>
        <w:sym w:font="HQPB2" w:char="F0BB"/>
      </w:r>
      <w:r w:rsidRPr="00B921A2">
        <w:rPr>
          <w:rFonts w:cs="Traditional Arabic"/>
          <w:sz w:val="28"/>
          <w:szCs w:val="28"/>
        </w:rPr>
        <w:sym w:font="HQPB5" w:char="F079"/>
      </w:r>
      <w:r w:rsidRPr="00B921A2">
        <w:rPr>
          <w:rFonts w:cs="Traditional Arabic"/>
          <w:sz w:val="28"/>
          <w:szCs w:val="28"/>
        </w:rPr>
        <w:sym w:font="HQPB2" w:char="F064"/>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4" w:char="F0D7"/>
      </w:r>
      <w:r w:rsidRPr="00B921A2">
        <w:rPr>
          <w:rFonts w:cs="Traditional Arabic"/>
          <w:sz w:val="28"/>
          <w:szCs w:val="28"/>
        </w:rPr>
        <w:sym w:font="HQPB2" w:char="F050"/>
      </w:r>
      <w:r w:rsidRPr="00B921A2">
        <w:rPr>
          <w:rFonts w:cs="Traditional Arabic"/>
          <w:sz w:val="28"/>
          <w:szCs w:val="28"/>
        </w:rPr>
        <w:sym w:font="HQPB1" w:char="F023"/>
      </w:r>
      <w:r w:rsidRPr="00B921A2">
        <w:rPr>
          <w:rFonts w:cs="Traditional Arabic"/>
          <w:sz w:val="28"/>
          <w:szCs w:val="28"/>
        </w:rPr>
        <w:sym w:font="HQPB5" w:char="F074"/>
      </w:r>
      <w:r w:rsidRPr="00B921A2">
        <w:rPr>
          <w:rFonts w:cs="Traditional Arabic"/>
          <w:sz w:val="28"/>
          <w:szCs w:val="28"/>
        </w:rPr>
        <w:sym w:font="HQPB1" w:char="F08D"/>
      </w:r>
      <w:r w:rsidRPr="00B921A2">
        <w:rPr>
          <w:rFonts w:cs="Traditional Arabic"/>
          <w:sz w:val="28"/>
          <w:szCs w:val="28"/>
        </w:rPr>
        <w:sym w:font="HQPB5" w:char="F079"/>
      </w:r>
      <w:r w:rsidRPr="00B921A2">
        <w:rPr>
          <w:rFonts w:cs="Traditional Arabic"/>
          <w:sz w:val="28"/>
          <w:szCs w:val="28"/>
        </w:rPr>
        <w:sym w:font="HQPB1" w:char="F06D"/>
      </w:r>
      <w:r w:rsidRPr="00B921A2">
        <w:rPr>
          <w:rFonts w:ascii="(normal text)" w:hAnsi="(normal text)" w:cs="Traditional Arabic"/>
          <w:sz w:val="28"/>
          <w:szCs w:val="28"/>
          <w:rtl/>
        </w:rPr>
        <w:t xml:space="preserve"> </w:t>
      </w:r>
      <w:r w:rsidRPr="00B921A2">
        <w:rPr>
          <w:rFonts w:cs="Traditional Arabic"/>
          <w:sz w:val="28"/>
          <w:szCs w:val="28"/>
        </w:rPr>
        <w:sym w:font="HQPB5" w:char="F028"/>
      </w:r>
      <w:r w:rsidRPr="00B921A2">
        <w:rPr>
          <w:rFonts w:cs="Traditional Arabic"/>
          <w:sz w:val="28"/>
          <w:szCs w:val="28"/>
        </w:rPr>
        <w:sym w:font="HQPB1" w:char="F023"/>
      </w:r>
      <w:r w:rsidRPr="00B921A2">
        <w:rPr>
          <w:rFonts w:cs="Traditional Arabic"/>
          <w:sz w:val="28"/>
          <w:szCs w:val="28"/>
        </w:rPr>
        <w:sym w:font="HQPB2" w:char="F072"/>
      </w:r>
      <w:r w:rsidRPr="00B921A2">
        <w:rPr>
          <w:rFonts w:cs="Traditional Arabic"/>
          <w:sz w:val="28"/>
          <w:szCs w:val="28"/>
        </w:rPr>
        <w:sym w:font="HQPB4" w:char="F0E7"/>
      </w:r>
      <w:r w:rsidRPr="00B921A2">
        <w:rPr>
          <w:rFonts w:cs="Traditional Arabic"/>
          <w:sz w:val="28"/>
          <w:szCs w:val="28"/>
        </w:rPr>
        <w:sym w:font="HQPB1" w:char="F08E"/>
      </w:r>
      <w:r w:rsidRPr="00B921A2">
        <w:rPr>
          <w:rFonts w:cs="Traditional Arabic"/>
          <w:sz w:val="28"/>
          <w:szCs w:val="28"/>
        </w:rPr>
        <w:sym w:font="HQPB5" w:char="F074"/>
      </w:r>
      <w:r w:rsidRPr="00B921A2">
        <w:rPr>
          <w:rFonts w:cs="Traditional Arabic"/>
          <w:sz w:val="28"/>
          <w:szCs w:val="28"/>
        </w:rPr>
        <w:sym w:font="HQPB1" w:char="F049"/>
      </w:r>
      <w:r w:rsidRPr="00B921A2">
        <w:rPr>
          <w:rFonts w:cs="Traditional Arabic"/>
          <w:sz w:val="28"/>
          <w:szCs w:val="28"/>
        </w:rPr>
        <w:sym w:font="HQPB4" w:char="F0F8"/>
      </w:r>
      <w:r w:rsidRPr="00B921A2">
        <w:rPr>
          <w:rFonts w:cs="Traditional Arabic"/>
          <w:sz w:val="28"/>
          <w:szCs w:val="28"/>
        </w:rPr>
        <w:sym w:font="HQPB1" w:char="F0FF"/>
      </w:r>
      <w:r w:rsidRPr="00B921A2">
        <w:rPr>
          <w:rFonts w:cs="Traditional Arabic"/>
          <w:sz w:val="28"/>
          <w:szCs w:val="28"/>
        </w:rPr>
        <w:sym w:font="HQPB5" w:char="F074"/>
      </w:r>
      <w:r w:rsidRPr="00B921A2">
        <w:rPr>
          <w:rFonts w:cs="Traditional Arabic"/>
          <w:sz w:val="28"/>
          <w:szCs w:val="28"/>
        </w:rPr>
        <w:sym w:font="HQPB1" w:char="F047"/>
      </w:r>
      <w:r w:rsidRPr="00B921A2">
        <w:rPr>
          <w:rFonts w:cs="Traditional Arabic"/>
          <w:sz w:val="28"/>
          <w:szCs w:val="28"/>
        </w:rPr>
        <w:sym w:font="HQPB4" w:char="F0CF"/>
      </w:r>
      <w:r w:rsidRPr="00B921A2">
        <w:rPr>
          <w:rFonts w:cs="Traditional Arabic"/>
          <w:sz w:val="28"/>
          <w:szCs w:val="28"/>
        </w:rPr>
        <w:sym w:font="HQPB4" w:char="F06A"/>
      </w:r>
      <w:r w:rsidRPr="00B921A2">
        <w:rPr>
          <w:rFonts w:cs="Traditional Arabic"/>
          <w:sz w:val="28"/>
          <w:szCs w:val="28"/>
        </w:rPr>
        <w:sym w:font="HQPB2" w:char="F039"/>
      </w:r>
      <w:r w:rsidRPr="00B921A2">
        <w:rPr>
          <w:rFonts w:ascii="(normal text)" w:hAnsi="(normal text)" w:cs="Traditional Arabic"/>
          <w:sz w:val="28"/>
          <w:szCs w:val="28"/>
          <w:rtl/>
        </w:rPr>
        <w:t xml:space="preserve"> </w:t>
      </w:r>
      <w:r w:rsidRPr="00B921A2">
        <w:rPr>
          <w:rFonts w:cs="Traditional Arabic"/>
          <w:sz w:val="28"/>
          <w:szCs w:val="28"/>
        </w:rPr>
        <w:sym w:font="HQPB2" w:char="F092"/>
      </w:r>
      <w:r w:rsidRPr="00B921A2">
        <w:rPr>
          <w:rFonts w:cs="Traditional Arabic"/>
          <w:sz w:val="28"/>
          <w:szCs w:val="28"/>
        </w:rPr>
        <w:sym w:font="HQPB5" w:char="F06E"/>
      </w:r>
      <w:r w:rsidRPr="00B921A2">
        <w:rPr>
          <w:rFonts w:cs="Traditional Arabic"/>
          <w:sz w:val="28"/>
          <w:szCs w:val="28"/>
        </w:rPr>
        <w:sym w:font="HQPB2" w:char="F03F"/>
      </w:r>
      <w:r w:rsidRPr="00B921A2">
        <w:rPr>
          <w:rFonts w:cs="Traditional Arabic"/>
          <w:sz w:val="28"/>
          <w:szCs w:val="28"/>
        </w:rPr>
        <w:sym w:font="HQPB5" w:char="F074"/>
      </w:r>
      <w:r w:rsidRPr="00B921A2">
        <w:rPr>
          <w:rFonts w:cs="Traditional Arabic"/>
          <w:sz w:val="28"/>
          <w:szCs w:val="28"/>
        </w:rPr>
        <w:sym w:font="HQPB1" w:char="F0E3"/>
      </w:r>
      <w:r w:rsidRPr="00B921A2">
        <w:rPr>
          <w:rFonts w:ascii="(normal text)" w:hAnsi="(normal text)" w:cs="Traditional Arabic"/>
          <w:sz w:val="28"/>
          <w:szCs w:val="28"/>
          <w:rtl/>
        </w:rPr>
        <w:t xml:space="preserve"> </w:t>
      </w:r>
      <w:r w:rsidRPr="00B921A2">
        <w:rPr>
          <w:rFonts w:ascii="Adobe نسخ Medium" w:hAnsi="Adobe نسخ Medium" w:cs="Traditional Arabic"/>
          <w:sz w:val="34"/>
          <w:szCs w:val="34"/>
          <w:rtl/>
        </w:rPr>
        <w:t xml:space="preserve"> اللهِ</w:t>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1" w:char="F03E"/>
      </w:r>
      <w:r w:rsidRPr="00B921A2">
        <w:rPr>
          <w:rFonts w:cs="Traditional Arabic"/>
          <w:sz w:val="28"/>
          <w:szCs w:val="28"/>
        </w:rPr>
        <w:sym w:font="HQPB4" w:char="F0C9"/>
      </w:r>
      <w:r w:rsidRPr="00B921A2">
        <w:rPr>
          <w:rFonts w:cs="Traditional Arabic"/>
          <w:sz w:val="28"/>
          <w:szCs w:val="28"/>
        </w:rPr>
        <w:sym w:font="HQPB1" w:char="F08B"/>
      </w:r>
      <w:r w:rsidRPr="00B921A2">
        <w:rPr>
          <w:rFonts w:cs="Traditional Arabic"/>
          <w:sz w:val="28"/>
          <w:szCs w:val="28"/>
        </w:rPr>
        <w:sym w:font="HQPB5" w:char="F073"/>
      </w:r>
      <w:r w:rsidRPr="00B921A2">
        <w:rPr>
          <w:rFonts w:cs="Traditional Arabic"/>
          <w:sz w:val="28"/>
          <w:szCs w:val="28"/>
        </w:rPr>
        <w:sym w:font="HQPB2" w:char="F033"/>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4" w:char="F034"/>
      </w:r>
      <w:r w:rsidRPr="00B921A2">
        <w:rPr>
          <w:rFonts w:ascii="(normal text)" w:hAnsi="(normal text)" w:cs="Traditional Arabic"/>
          <w:sz w:val="28"/>
          <w:szCs w:val="28"/>
          <w:rtl/>
        </w:rPr>
        <w:t xml:space="preserve"> </w:t>
      </w:r>
      <w:r w:rsidRPr="00B921A2">
        <w:rPr>
          <w:rFonts w:cs="Traditional Arabic"/>
          <w:sz w:val="28"/>
          <w:szCs w:val="28"/>
        </w:rPr>
        <w:sym w:font="HQPB4" w:char="F0A8"/>
      </w:r>
      <w:r w:rsidRPr="00B921A2">
        <w:rPr>
          <w:rFonts w:cs="Traditional Arabic"/>
          <w:sz w:val="28"/>
          <w:szCs w:val="28"/>
        </w:rPr>
        <w:sym w:font="HQPB2" w:char="F062"/>
      </w:r>
      <w:r w:rsidRPr="00B921A2">
        <w:rPr>
          <w:rFonts w:cs="Traditional Arabic"/>
          <w:sz w:val="28"/>
          <w:szCs w:val="28"/>
        </w:rPr>
        <w:sym w:font="HQPB4" w:char="F0CE"/>
      </w:r>
      <w:r w:rsidRPr="00B921A2">
        <w:rPr>
          <w:rFonts w:cs="Traditional Arabic"/>
          <w:sz w:val="28"/>
          <w:szCs w:val="28"/>
        </w:rPr>
        <w:sym w:font="HQPB1" w:char="F029"/>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2" w:char="F0FB"/>
      </w:r>
      <w:r w:rsidRPr="00B921A2">
        <w:rPr>
          <w:rFonts w:cs="Traditional Arabic"/>
          <w:sz w:val="28"/>
          <w:szCs w:val="28"/>
        </w:rPr>
        <w:sym w:font="HQPB2" w:char="F0EF"/>
      </w:r>
      <w:r w:rsidRPr="00B921A2">
        <w:rPr>
          <w:rFonts w:cs="Traditional Arabic"/>
          <w:sz w:val="28"/>
          <w:szCs w:val="28"/>
        </w:rPr>
        <w:sym w:font="HQPB4" w:char="F0CF"/>
      </w:r>
      <w:r w:rsidRPr="00B921A2">
        <w:rPr>
          <w:rFonts w:cs="Traditional Arabic"/>
          <w:sz w:val="28"/>
          <w:szCs w:val="28"/>
        </w:rPr>
        <w:sym w:font="HQPB3" w:char="F025"/>
      </w:r>
      <w:r w:rsidRPr="00B921A2">
        <w:rPr>
          <w:rFonts w:cs="Traditional Arabic"/>
          <w:sz w:val="28"/>
          <w:szCs w:val="28"/>
        </w:rPr>
        <w:sym w:font="HQPB4" w:char="F0A9"/>
      </w:r>
      <w:r w:rsidRPr="00B921A2">
        <w:rPr>
          <w:rFonts w:cs="Traditional Arabic"/>
          <w:sz w:val="28"/>
          <w:szCs w:val="28"/>
        </w:rPr>
        <w:sym w:font="HQPB3" w:char="F021"/>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2" w:char="F062"/>
      </w:r>
      <w:r w:rsidRPr="00B921A2">
        <w:rPr>
          <w:rFonts w:cs="Traditional Arabic"/>
          <w:sz w:val="28"/>
          <w:szCs w:val="28"/>
        </w:rPr>
        <w:sym w:font="HQPB2" w:char="F072"/>
      </w:r>
      <w:r w:rsidRPr="00B921A2">
        <w:rPr>
          <w:rFonts w:cs="Traditional Arabic"/>
          <w:sz w:val="28"/>
          <w:szCs w:val="28"/>
        </w:rPr>
        <w:sym w:font="HQPB4" w:char="F0E7"/>
      </w:r>
      <w:r w:rsidRPr="00B921A2">
        <w:rPr>
          <w:rFonts w:cs="Traditional Arabic"/>
          <w:sz w:val="28"/>
          <w:szCs w:val="28"/>
        </w:rPr>
        <w:sym w:font="HQPB1" w:char="F08E"/>
      </w:r>
      <w:r w:rsidRPr="00B921A2">
        <w:rPr>
          <w:rFonts w:cs="Traditional Arabic"/>
          <w:sz w:val="28"/>
          <w:szCs w:val="28"/>
        </w:rPr>
        <w:sym w:font="HQPB5" w:char="F074"/>
      </w:r>
      <w:r w:rsidRPr="00B921A2">
        <w:rPr>
          <w:rFonts w:cs="Traditional Arabic"/>
          <w:sz w:val="28"/>
          <w:szCs w:val="28"/>
        </w:rPr>
        <w:sym w:font="HQPB1" w:char="F049"/>
      </w:r>
      <w:r w:rsidRPr="00B921A2">
        <w:rPr>
          <w:rFonts w:cs="Traditional Arabic"/>
          <w:sz w:val="28"/>
          <w:szCs w:val="28"/>
        </w:rPr>
        <w:sym w:font="HQPB4" w:char="F0F8"/>
      </w:r>
      <w:r w:rsidRPr="00B921A2">
        <w:rPr>
          <w:rFonts w:cs="Traditional Arabic"/>
          <w:sz w:val="28"/>
          <w:szCs w:val="28"/>
        </w:rPr>
        <w:sym w:font="HQPB1" w:char="F0FF"/>
      </w:r>
      <w:r w:rsidRPr="00B921A2">
        <w:rPr>
          <w:rFonts w:cs="Traditional Arabic"/>
          <w:sz w:val="28"/>
          <w:szCs w:val="28"/>
        </w:rPr>
        <w:sym w:font="HQPB5" w:char="F074"/>
      </w:r>
      <w:r w:rsidRPr="00B921A2">
        <w:rPr>
          <w:rFonts w:cs="Traditional Arabic"/>
          <w:sz w:val="28"/>
          <w:szCs w:val="28"/>
        </w:rPr>
        <w:sym w:font="HQPB2" w:char="F083"/>
      </w:r>
      <w:r w:rsidRPr="00B921A2">
        <w:rPr>
          <w:rFonts w:ascii="(normal text)" w:hAnsi="(normal text)" w:cs="Traditional Arabic"/>
          <w:sz w:val="28"/>
          <w:szCs w:val="28"/>
          <w:rtl/>
        </w:rPr>
        <w:t xml:space="preserve"> </w:t>
      </w:r>
      <w:r w:rsidRPr="00B921A2">
        <w:rPr>
          <w:rFonts w:cs="Traditional Arabic"/>
          <w:sz w:val="28"/>
          <w:szCs w:val="28"/>
        </w:rPr>
        <w:sym w:font="HQPB2" w:char="F092"/>
      </w:r>
      <w:r w:rsidRPr="00B921A2">
        <w:rPr>
          <w:rFonts w:cs="Traditional Arabic"/>
          <w:sz w:val="28"/>
          <w:szCs w:val="28"/>
        </w:rPr>
        <w:sym w:font="HQPB5" w:char="F06E"/>
      </w:r>
      <w:r w:rsidRPr="00B921A2">
        <w:rPr>
          <w:rFonts w:cs="Traditional Arabic"/>
          <w:sz w:val="28"/>
          <w:szCs w:val="28"/>
        </w:rPr>
        <w:sym w:font="HQPB2" w:char="F03F"/>
      </w:r>
      <w:r w:rsidRPr="00B921A2">
        <w:rPr>
          <w:rFonts w:cs="Traditional Arabic"/>
          <w:sz w:val="28"/>
          <w:szCs w:val="28"/>
        </w:rPr>
        <w:sym w:font="HQPB5" w:char="F074"/>
      </w:r>
      <w:r w:rsidRPr="00B921A2">
        <w:rPr>
          <w:rFonts w:cs="Traditional Arabic"/>
          <w:sz w:val="28"/>
          <w:szCs w:val="28"/>
        </w:rPr>
        <w:sym w:font="HQPB1" w:char="F0E3"/>
      </w:r>
      <w:r w:rsidRPr="00B921A2">
        <w:rPr>
          <w:rFonts w:ascii="(normal text)" w:hAnsi="(normal text)" w:cs="Traditional Arabic"/>
          <w:sz w:val="28"/>
          <w:szCs w:val="28"/>
          <w:rtl/>
        </w:rPr>
        <w:t xml:space="preserve"> </w:t>
      </w:r>
      <w:r w:rsidRPr="00B921A2">
        <w:rPr>
          <w:rFonts w:cs="Traditional Arabic"/>
          <w:sz w:val="28"/>
          <w:szCs w:val="28"/>
        </w:rPr>
        <w:sym w:font="HQPB5" w:char="F0AB"/>
      </w:r>
      <w:r w:rsidRPr="00B921A2">
        <w:rPr>
          <w:rFonts w:cs="Traditional Arabic"/>
          <w:sz w:val="28"/>
          <w:szCs w:val="28"/>
        </w:rPr>
        <w:sym w:font="HQPB1" w:char="F021"/>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1" w:char="F03E"/>
      </w:r>
      <w:r w:rsidRPr="00B921A2">
        <w:rPr>
          <w:rFonts w:cs="Traditional Arabic"/>
          <w:sz w:val="28"/>
          <w:szCs w:val="28"/>
        </w:rPr>
        <w:sym w:font="HQPB4" w:char="F0C9"/>
      </w:r>
      <w:r w:rsidRPr="00B921A2">
        <w:rPr>
          <w:rFonts w:cs="Traditional Arabic"/>
          <w:sz w:val="28"/>
          <w:szCs w:val="28"/>
        </w:rPr>
        <w:sym w:font="HQPB1" w:char="F08B"/>
      </w:r>
      <w:r w:rsidRPr="00B921A2">
        <w:rPr>
          <w:rFonts w:cs="Traditional Arabic"/>
          <w:sz w:val="28"/>
          <w:szCs w:val="28"/>
        </w:rPr>
        <w:sym w:font="HQPB5" w:char="F073"/>
      </w:r>
      <w:r w:rsidRPr="00B921A2">
        <w:rPr>
          <w:rFonts w:cs="Traditional Arabic"/>
          <w:sz w:val="28"/>
          <w:szCs w:val="28"/>
        </w:rPr>
        <w:sym w:font="HQPB2" w:char="F033"/>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5" w:char="F09F"/>
      </w:r>
      <w:r w:rsidRPr="00B921A2">
        <w:rPr>
          <w:rFonts w:cs="Traditional Arabic"/>
          <w:sz w:val="28"/>
          <w:szCs w:val="28"/>
        </w:rPr>
        <w:sym w:font="HQPB2" w:char="F077"/>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2" w:char="F062"/>
      </w:r>
      <w:r w:rsidRPr="00B921A2">
        <w:rPr>
          <w:rFonts w:cs="Traditional Arabic"/>
          <w:sz w:val="28"/>
          <w:szCs w:val="28"/>
        </w:rPr>
        <w:sym w:font="HQPB2" w:char="F071"/>
      </w:r>
      <w:r w:rsidRPr="00B921A2">
        <w:rPr>
          <w:rFonts w:cs="Traditional Arabic"/>
          <w:sz w:val="28"/>
          <w:szCs w:val="28"/>
        </w:rPr>
        <w:sym w:font="HQPB4" w:char="F0DF"/>
      </w:r>
      <w:r w:rsidRPr="00B921A2">
        <w:rPr>
          <w:rFonts w:cs="Traditional Arabic"/>
          <w:sz w:val="28"/>
          <w:szCs w:val="28"/>
        </w:rPr>
        <w:sym w:font="HQPB1" w:char="F073"/>
      </w:r>
      <w:r w:rsidRPr="00B921A2">
        <w:rPr>
          <w:rFonts w:cs="Traditional Arabic"/>
          <w:sz w:val="28"/>
          <w:szCs w:val="28"/>
        </w:rPr>
        <w:sym w:font="HQPB4" w:char="F0CE"/>
      </w:r>
      <w:r w:rsidRPr="00B921A2">
        <w:rPr>
          <w:rFonts w:cs="Traditional Arabic"/>
          <w:sz w:val="28"/>
          <w:szCs w:val="28"/>
        </w:rPr>
        <w:sym w:font="HQPB2" w:char="F03D"/>
      </w:r>
      <w:r w:rsidRPr="00B921A2">
        <w:rPr>
          <w:rFonts w:cs="Traditional Arabic"/>
          <w:sz w:val="28"/>
          <w:szCs w:val="28"/>
        </w:rPr>
        <w:sym w:font="HQPB4" w:char="F0F8"/>
      </w:r>
      <w:r w:rsidRPr="00B921A2">
        <w:rPr>
          <w:rFonts w:cs="Traditional Arabic"/>
          <w:sz w:val="28"/>
          <w:szCs w:val="28"/>
        </w:rPr>
        <w:sym w:font="HQPB1" w:char="F0FF"/>
      </w:r>
      <w:r w:rsidRPr="00B921A2">
        <w:rPr>
          <w:rFonts w:cs="Traditional Arabic"/>
          <w:sz w:val="28"/>
          <w:szCs w:val="28"/>
        </w:rPr>
        <w:sym w:font="HQPB4" w:char="F0E3"/>
      </w:r>
      <w:r w:rsidRPr="00B921A2">
        <w:rPr>
          <w:rFonts w:cs="Traditional Arabic"/>
          <w:sz w:val="28"/>
          <w:szCs w:val="28"/>
        </w:rPr>
        <w:sym w:font="HQPB2" w:char="F083"/>
      </w:r>
      <w:r w:rsidRPr="00B921A2">
        <w:rPr>
          <w:rFonts w:ascii="(normal text)" w:hAnsi="(normal text)" w:cs="Traditional Arabic"/>
          <w:sz w:val="28"/>
          <w:szCs w:val="28"/>
          <w:rtl/>
        </w:rPr>
        <w:t xml:space="preserve"> </w:t>
      </w:r>
      <w:r w:rsidRPr="00B921A2">
        <w:rPr>
          <w:rFonts w:cs="Traditional Arabic"/>
          <w:sz w:val="28"/>
          <w:szCs w:val="28"/>
        </w:rPr>
        <w:sym w:font="HQPB2" w:char="F0C7"/>
      </w:r>
      <w:r w:rsidRPr="00B921A2">
        <w:rPr>
          <w:rFonts w:cs="Traditional Arabic"/>
          <w:sz w:val="28"/>
          <w:szCs w:val="28"/>
        </w:rPr>
        <w:sym w:font="HQPB2" w:char="F0CA"/>
      </w:r>
      <w:r w:rsidRPr="00B921A2">
        <w:rPr>
          <w:rFonts w:cs="Traditional Arabic"/>
          <w:sz w:val="28"/>
          <w:szCs w:val="28"/>
        </w:rPr>
        <w:sym w:font="HQPB2" w:char="F0CA"/>
      </w:r>
      <w:r w:rsidRPr="00B921A2">
        <w:rPr>
          <w:rFonts w:cs="Traditional Arabic"/>
          <w:sz w:val="28"/>
          <w:szCs w:val="28"/>
        </w:rPr>
        <w:sym w:font="HQPB2" w:char="F0CF"/>
      </w:r>
      <w:r w:rsidRPr="00B921A2">
        <w:rPr>
          <w:rFonts w:cs="Traditional Arabic"/>
          <w:sz w:val="28"/>
          <w:szCs w:val="28"/>
        </w:rPr>
        <w:sym w:font="HQPB2" w:char="F0C8"/>
      </w:r>
      <w:r>
        <w:rPr>
          <w:rFonts w:ascii="(normal text)" w:hAnsi="(normal text)"/>
          <w:sz w:val="28"/>
          <w:szCs w:val="28"/>
          <w:rtl/>
        </w:rPr>
        <w:t xml:space="preserve"> </w:t>
      </w:r>
      <w:r w:rsidRPr="0011362F">
        <w:rPr>
          <w:rFonts w:ascii="(normal text)" w:hAnsi="(normal text)" w:hint="cs"/>
          <w:sz w:val="28"/>
          <w:szCs w:val="28"/>
          <w:rtl/>
        </w:rPr>
        <w:t xml:space="preserve">( سورة النحل </w:t>
      </w:r>
      <w:r w:rsidRPr="0011362F">
        <w:rPr>
          <w:rFonts w:asciiTheme="majorBidi" w:hAnsiTheme="majorBidi" w:cstheme="majorBidi"/>
          <w:sz w:val="28"/>
          <w:szCs w:val="28"/>
        </w:rPr>
        <w:t>[16]</w:t>
      </w:r>
      <w:r w:rsidRPr="0011362F">
        <w:rPr>
          <w:rFonts w:ascii="(normal text)" w:hAnsi="(normal text)" w:hint="cs"/>
          <w:sz w:val="28"/>
          <w:szCs w:val="28"/>
          <w:rtl/>
        </w:rPr>
        <w:t xml:space="preserve"> : 116) </w:t>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Pr>
          <w:rFonts w:ascii="(normal text)" w:hAnsi="(normal text)"/>
          <w:sz w:val="24"/>
          <w:szCs w:val="24"/>
        </w:rPr>
        <w:t xml:space="preserve">Artinya: </w:t>
      </w:r>
      <w:r w:rsidRPr="0011362F">
        <w:rPr>
          <w:rFonts w:ascii="(normal text)" w:hAnsi="(normal text)"/>
          <w:sz w:val="24"/>
          <w:szCs w:val="24"/>
        </w:rPr>
        <w:t>“</w:t>
      </w:r>
      <w:r w:rsidRPr="0011362F">
        <w:rPr>
          <w:rFonts w:asciiTheme="majorBidi" w:hAnsiTheme="majorBidi" w:cstheme="majorBidi"/>
          <w:i/>
          <w:iCs/>
          <w:sz w:val="24"/>
          <w:szCs w:val="24"/>
        </w:rPr>
        <w:t>dan janganlah kamu mengatakan terhadap apa yang disebut-sebut oleh lidahmu secara Dusta "Ini halal dan ini haram", untuk mengada-adakan kebohongan terhadap Allah. Sesungguhnya orang-orang yang mengada-adakan kebohongan terhadap Allah Tiadalah beruntung</w:t>
      </w:r>
      <w:r w:rsidRPr="0011362F">
        <w:rPr>
          <w:rFonts w:ascii="(normal text)" w:hAnsi="(normal text)"/>
          <w:sz w:val="24"/>
          <w:szCs w:val="24"/>
        </w:rPr>
        <w:t>.</w:t>
      </w:r>
      <w:r w:rsidRPr="0011362F">
        <w:rPr>
          <w:rStyle w:val="FootnoteReference"/>
          <w:rFonts w:ascii="(normal text)" w:hAnsi="(normal text)"/>
          <w:sz w:val="24"/>
          <w:szCs w:val="24"/>
        </w:rPr>
        <w:footnoteReference w:id="550"/>
      </w:r>
      <w:r w:rsidRPr="0011362F">
        <w:rPr>
          <w:rFonts w:ascii="(normal text)" w:hAnsi="(normal text)"/>
          <w:sz w:val="24"/>
          <w:szCs w:val="24"/>
        </w:rPr>
        <w:t xml:space="preserve">” </w:t>
      </w:r>
      <w:r w:rsidRPr="0011362F">
        <w:rPr>
          <w:rFonts w:asciiTheme="majorBidi" w:hAnsiTheme="majorBidi" w:cstheme="majorBidi"/>
          <w:sz w:val="24"/>
          <w:szCs w:val="24"/>
        </w:rPr>
        <w:t>( QS. Al-Nahl [16]:116 )</w:t>
      </w:r>
    </w:p>
    <w:p w:rsidR="00343B61" w:rsidRPr="0011362F" w:rsidRDefault="00343B61" w:rsidP="00343B61">
      <w:pPr>
        <w:autoSpaceDE w:val="0"/>
        <w:autoSpaceDN w:val="0"/>
        <w:adjustRightInd w:val="0"/>
        <w:spacing w:after="0" w:line="360" w:lineRule="auto"/>
        <w:ind w:left="720"/>
        <w:jc w:val="both"/>
        <w:rPr>
          <w:rFonts w:asciiTheme="majorBidi" w:hAnsiTheme="majorBidi" w:cstheme="majorBidi"/>
          <w:sz w:val="24"/>
          <w:szCs w:val="24"/>
        </w:rPr>
      </w:pPr>
    </w:p>
    <w:p w:rsidR="00343B61" w:rsidRPr="0011362F" w:rsidRDefault="00343B61" w:rsidP="00343B61">
      <w:pPr>
        <w:autoSpaceDE w:val="0"/>
        <w:autoSpaceDN w:val="0"/>
        <w:adjustRightInd w:val="0"/>
        <w:spacing w:after="0" w:line="360" w:lineRule="auto"/>
        <w:ind w:firstLine="720"/>
        <w:jc w:val="both"/>
        <w:rPr>
          <w:rFonts w:ascii="(normal text)" w:hAnsi="(normal text)"/>
          <w:sz w:val="24"/>
          <w:szCs w:val="24"/>
        </w:rPr>
      </w:pPr>
      <w:r w:rsidRPr="0011362F">
        <w:rPr>
          <w:rFonts w:ascii="Z@R72D2.tmp" w:hAnsi="Z@R72D2.tmp" w:cs="Z@R72D2.tmp"/>
          <w:sz w:val="24"/>
          <w:szCs w:val="24"/>
        </w:rPr>
        <w:t xml:space="preserve">Ayat ini secara tegas melarang mengatakan hukum "halal haram" secara dusta dan kebohongan. Sementara itu, sebagaimana dapat dipahami dari firman Allah </w:t>
      </w:r>
      <w:r w:rsidRPr="0011362F">
        <w:rPr>
          <w:rFonts w:ascii="(normal text)" w:hAnsi="(normal text)"/>
          <w:sz w:val="24"/>
          <w:szCs w:val="24"/>
        </w:rPr>
        <w:t xml:space="preserve">SWT QS. Al-A'raf </w:t>
      </w:r>
      <w:r>
        <w:rPr>
          <w:rFonts w:ascii="(normal text)" w:hAnsi="(normal text)"/>
          <w:sz w:val="24"/>
          <w:szCs w:val="24"/>
        </w:rPr>
        <w:t xml:space="preserve">[7] </w:t>
      </w:r>
      <w:r w:rsidRPr="0011362F">
        <w:rPr>
          <w:rFonts w:ascii="(normal text)" w:hAnsi="(normal text)"/>
          <w:sz w:val="24"/>
          <w:szCs w:val="24"/>
        </w:rPr>
        <w:t xml:space="preserve">ayat 33 bahwa perbuatan </w:t>
      </w:r>
      <w:r w:rsidRPr="0011362F">
        <w:rPr>
          <w:rFonts w:ascii="(normal text)" w:hAnsi="(normal text)"/>
          <w:i/>
          <w:iCs/>
          <w:sz w:val="24"/>
          <w:szCs w:val="24"/>
        </w:rPr>
        <w:t>tahakkum</w:t>
      </w:r>
      <w:r w:rsidRPr="0011362F">
        <w:rPr>
          <w:rFonts w:ascii="(normal text)" w:hAnsi="(normal text)"/>
          <w:sz w:val="24"/>
          <w:szCs w:val="24"/>
        </w:rPr>
        <w:t xml:space="preserve"> merupakan perbuatan dosa, yang</w:t>
      </w:r>
      <w:r w:rsidRPr="0011362F">
        <w:rPr>
          <w:rFonts w:ascii="Z@R72D2.tmp" w:hAnsi="Z@R72D2.tmp" w:cs="Z@R72D2.tmp"/>
          <w:sz w:val="24"/>
          <w:szCs w:val="24"/>
        </w:rPr>
        <w:t xml:space="preserve"> </w:t>
      </w:r>
      <w:r w:rsidRPr="0011362F">
        <w:rPr>
          <w:rFonts w:ascii="(normal text)" w:hAnsi="(normal text)"/>
          <w:sz w:val="24"/>
          <w:szCs w:val="24"/>
        </w:rPr>
        <w:t xml:space="preserve">disetarakan dengan dosa syirik, Sebagaimana Firmannya: </w:t>
      </w:r>
    </w:p>
    <w:p w:rsidR="00343B61" w:rsidRPr="00991C5D" w:rsidRDefault="00343B61" w:rsidP="00343B61">
      <w:pPr>
        <w:autoSpaceDE w:val="0"/>
        <w:autoSpaceDN w:val="0"/>
        <w:bidi/>
        <w:adjustRightInd w:val="0"/>
        <w:spacing w:after="0" w:line="240" w:lineRule="auto"/>
        <w:ind w:firstLine="17"/>
        <w:jc w:val="both"/>
        <w:rPr>
          <w:rFonts w:ascii="(normal text)" w:hAnsi="(normal text)"/>
          <w:sz w:val="28"/>
          <w:szCs w:val="28"/>
          <w:rtl/>
        </w:rPr>
      </w:pPr>
      <w:r w:rsidRPr="00B921A2">
        <w:rPr>
          <w:rFonts w:cs="Traditional Arabic"/>
          <w:sz w:val="28"/>
          <w:szCs w:val="28"/>
        </w:rPr>
        <w:lastRenderedPageBreak/>
        <w:sym w:font="HQPB4" w:char="F0F6"/>
      </w:r>
      <w:r w:rsidRPr="00B921A2">
        <w:rPr>
          <w:rFonts w:cs="Traditional Arabic"/>
          <w:sz w:val="28"/>
          <w:szCs w:val="28"/>
        </w:rPr>
        <w:sym w:font="HQPB2" w:char="F040"/>
      </w:r>
      <w:r w:rsidRPr="00B921A2">
        <w:rPr>
          <w:rFonts w:cs="Traditional Arabic"/>
          <w:sz w:val="28"/>
          <w:szCs w:val="28"/>
        </w:rPr>
        <w:sym w:font="HQPB4" w:char="F0E8"/>
      </w:r>
      <w:r w:rsidRPr="00B921A2">
        <w:rPr>
          <w:rFonts w:cs="Traditional Arabic"/>
          <w:sz w:val="28"/>
          <w:szCs w:val="28"/>
        </w:rPr>
        <w:sym w:font="HQPB2" w:char="F025"/>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9"/>
      </w:r>
      <w:r w:rsidRPr="00B921A2">
        <w:rPr>
          <w:rFonts w:cs="Traditional Arabic"/>
          <w:sz w:val="28"/>
          <w:szCs w:val="28"/>
        </w:rPr>
        <w:sym w:font="HQPB2" w:char="F04A"/>
      </w:r>
      <w:r w:rsidRPr="00B921A2">
        <w:rPr>
          <w:rFonts w:cs="Traditional Arabic"/>
          <w:sz w:val="28"/>
          <w:szCs w:val="28"/>
        </w:rPr>
        <w:sym w:font="HQPB4" w:char="F0AF"/>
      </w:r>
      <w:r w:rsidRPr="00B921A2">
        <w:rPr>
          <w:rFonts w:cs="Traditional Arabic"/>
          <w:sz w:val="28"/>
          <w:szCs w:val="28"/>
        </w:rPr>
        <w:sym w:font="HQPB2" w:char="F052"/>
      </w:r>
      <w:r w:rsidRPr="00B921A2">
        <w:rPr>
          <w:rFonts w:cs="Traditional Arabic"/>
          <w:sz w:val="28"/>
          <w:szCs w:val="28"/>
        </w:rPr>
        <w:sym w:font="HQPB4" w:char="F0CE"/>
      </w:r>
      <w:r w:rsidRPr="00B921A2">
        <w:rPr>
          <w:rFonts w:cs="Traditional Arabic"/>
          <w:sz w:val="28"/>
          <w:szCs w:val="28"/>
        </w:rPr>
        <w:sym w:font="HQPB1" w:char="F029"/>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2" w:char="F050"/>
      </w:r>
      <w:r w:rsidRPr="00B921A2">
        <w:rPr>
          <w:rFonts w:cs="Traditional Arabic"/>
          <w:sz w:val="28"/>
          <w:szCs w:val="28"/>
        </w:rPr>
        <w:sym w:font="HQPB4" w:char="F0A7"/>
      </w:r>
      <w:r w:rsidRPr="00B921A2">
        <w:rPr>
          <w:rFonts w:cs="Traditional Arabic"/>
          <w:sz w:val="28"/>
          <w:szCs w:val="28"/>
        </w:rPr>
        <w:sym w:font="HQPB1" w:char="F08D"/>
      </w:r>
      <w:r w:rsidRPr="00B921A2">
        <w:rPr>
          <w:rFonts w:cs="Traditional Arabic"/>
          <w:sz w:val="28"/>
          <w:szCs w:val="28"/>
        </w:rPr>
        <w:sym w:font="HQPB5" w:char="F079"/>
      </w:r>
      <w:r w:rsidRPr="00B921A2">
        <w:rPr>
          <w:rFonts w:cs="Traditional Arabic"/>
          <w:sz w:val="28"/>
          <w:szCs w:val="28"/>
        </w:rPr>
        <w:sym w:font="HQPB1" w:char="F06D"/>
      </w:r>
      <w:r w:rsidRPr="00B921A2">
        <w:rPr>
          <w:rFonts w:ascii="(normal text)" w:hAnsi="(normal text)" w:cs="Traditional Arabic"/>
          <w:sz w:val="28"/>
          <w:szCs w:val="28"/>
          <w:rtl/>
        </w:rPr>
        <w:t xml:space="preserve"> </w:t>
      </w:r>
      <w:r w:rsidRPr="00B921A2">
        <w:rPr>
          <w:rFonts w:cs="Traditional Arabic"/>
          <w:sz w:val="28"/>
          <w:szCs w:val="28"/>
        </w:rPr>
        <w:sym w:font="HQPB5" w:char="F07D"/>
      </w:r>
      <w:r w:rsidRPr="00B921A2">
        <w:rPr>
          <w:rFonts w:cs="Traditional Arabic"/>
          <w:sz w:val="28"/>
          <w:szCs w:val="28"/>
        </w:rPr>
        <w:sym w:font="HQPB2" w:char="F091"/>
      </w:r>
      <w:r w:rsidRPr="00B921A2">
        <w:rPr>
          <w:rFonts w:cs="Traditional Arabic"/>
          <w:sz w:val="28"/>
          <w:szCs w:val="28"/>
        </w:rPr>
        <w:sym w:font="HQPB4" w:char="F0CE"/>
      </w:r>
      <w:r w:rsidRPr="00B921A2">
        <w:rPr>
          <w:rFonts w:cs="Traditional Arabic"/>
          <w:sz w:val="28"/>
          <w:szCs w:val="28"/>
        </w:rPr>
        <w:sym w:font="HQPB4" w:char="F06E"/>
      </w:r>
      <w:r w:rsidRPr="00B921A2">
        <w:rPr>
          <w:rFonts w:cs="Traditional Arabic"/>
          <w:sz w:val="28"/>
          <w:szCs w:val="28"/>
        </w:rPr>
        <w:sym w:font="HQPB1" w:char="F02F"/>
      </w:r>
      <w:r w:rsidRPr="00B921A2">
        <w:rPr>
          <w:rFonts w:cs="Traditional Arabic"/>
          <w:sz w:val="28"/>
          <w:szCs w:val="28"/>
        </w:rPr>
        <w:sym w:font="HQPB5" w:char="F075"/>
      </w:r>
      <w:r w:rsidRPr="00B921A2">
        <w:rPr>
          <w:rFonts w:cs="Traditional Arabic"/>
          <w:sz w:val="28"/>
          <w:szCs w:val="28"/>
        </w:rPr>
        <w:sym w:font="HQPB1" w:char="F091"/>
      </w:r>
      <w:r w:rsidRPr="00B921A2">
        <w:rPr>
          <w:rFonts w:ascii="(normal text)" w:hAnsi="(normal text)" w:cs="Traditional Arabic"/>
          <w:sz w:val="28"/>
          <w:szCs w:val="28"/>
          <w:rtl/>
        </w:rPr>
        <w:t xml:space="preserve"> </w:t>
      </w:r>
      <w:r w:rsidRPr="00B921A2">
        <w:rPr>
          <w:rFonts w:cs="Traditional Arabic"/>
          <w:sz w:val="28"/>
          <w:szCs w:val="28"/>
        </w:rPr>
        <w:sym w:font="HQPB5" w:char="F07C"/>
      </w:r>
      <w:r w:rsidRPr="00B921A2">
        <w:rPr>
          <w:rFonts w:cs="Traditional Arabic"/>
          <w:sz w:val="28"/>
          <w:szCs w:val="28"/>
        </w:rPr>
        <w:sym w:font="HQPB1" w:char="F0B7"/>
      </w:r>
      <w:r w:rsidRPr="00B921A2">
        <w:rPr>
          <w:rFonts w:cs="Traditional Arabic"/>
          <w:sz w:val="28"/>
          <w:szCs w:val="28"/>
        </w:rPr>
        <w:sym w:font="HQPB4" w:char="F0CF"/>
      </w:r>
      <w:r w:rsidRPr="00B921A2">
        <w:rPr>
          <w:rFonts w:cs="Traditional Arabic"/>
          <w:sz w:val="28"/>
          <w:szCs w:val="28"/>
        </w:rPr>
        <w:sym w:font="HQPB1" w:char="F06D"/>
      </w:r>
      <w:r w:rsidRPr="00B921A2">
        <w:rPr>
          <w:rFonts w:cs="Traditional Arabic"/>
          <w:sz w:val="28"/>
          <w:szCs w:val="28"/>
        </w:rPr>
        <w:sym w:font="HQPB2" w:char="F0BA"/>
      </w:r>
      <w:r w:rsidRPr="00B921A2">
        <w:rPr>
          <w:rFonts w:cs="Traditional Arabic"/>
          <w:sz w:val="28"/>
          <w:szCs w:val="28"/>
        </w:rPr>
        <w:sym w:font="HQPB5" w:char="F075"/>
      </w:r>
      <w:r w:rsidRPr="00B921A2">
        <w:rPr>
          <w:rFonts w:cs="Traditional Arabic"/>
          <w:sz w:val="28"/>
          <w:szCs w:val="28"/>
        </w:rPr>
        <w:sym w:font="HQPB2" w:char="F071"/>
      </w:r>
      <w:r w:rsidRPr="00B921A2">
        <w:rPr>
          <w:rFonts w:cs="Traditional Arabic"/>
          <w:sz w:val="28"/>
          <w:szCs w:val="28"/>
        </w:rPr>
        <w:sym w:font="HQPB5" w:char="F078"/>
      </w:r>
      <w:r w:rsidRPr="00B921A2">
        <w:rPr>
          <w:rFonts w:cs="Traditional Arabic"/>
          <w:sz w:val="28"/>
          <w:szCs w:val="28"/>
        </w:rPr>
        <w:sym w:font="HQPB1" w:char="F0FF"/>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4"/>
      </w:r>
      <w:r w:rsidRPr="00B921A2">
        <w:rPr>
          <w:rFonts w:cs="Traditional Arabic"/>
          <w:sz w:val="28"/>
          <w:szCs w:val="28"/>
        </w:rPr>
        <w:sym w:font="HQPB2" w:char="F042"/>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1" w:char="F08D"/>
      </w:r>
      <w:r w:rsidRPr="00B921A2">
        <w:rPr>
          <w:rFonts w:cs="Traditional Arabic"/>
          <w:sz w:val="28"/>
          <w:szCs w:val="28"/>
        </w:rPr>
        <w:sym w:font="HQPB5" w:char="F079"/>
      </w:r>
      <w:r w:rsidRPr="00B921A2">
        <w:rPr>
          <w:rFonts w:cs="Traditional Arabic"/>
          <w:sz w:val="28"/>
          <w:szCs w:val="28"/>
        </w:rPr>
        <w:sym w:font="HQPB2" w:char="F067"/>
      </w:r>
      <w:r w:rsidRPr="00B921A2">
        <w:rPr>
          <w:rFonts w:cs="Traditional Arabic"/>
          <w:sz w:val="28"/>
          <w:szCs w:val="28"/>
        </w:rPr>
        <w:sym w:font="HQPB5" w:char="F073"/>
      </w:r>
      <w:r w:rsidRPr="00B921A2">
        <w:rPr>
          <w:rFonts w:cs="Traditional Arabic"/>
          <w:sz w:val="28"/>
          <w:szCs w:val="28"/>
        </w:rPr>
        <w:sym w:font="HQPB1" w:char="F0DF"/>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0"/>
      </w:r>
      <w:r w:rsidRPr="00B921A2">
        <w:rPr>
          <w:rFonts w:cs="Traditional Arabic"/>
          <w:sz w:val="28"/>
          <w:szCs w:val="28"/>
        </w:rPr>
        <w:sym w:font="HQPB2" w:char="F06B"/>
      </w:r>
      <w:r w:rsidRPr="00B921A2">
        <w:rPr>
          <w:rFonts w:cs="Traditional Arabic"/>
          <w:sz w:val="28"/>
          <w:szCs w:val="28"/>
        </w:rPr>
        <w:sym w:font="HQPB4" w:char="F0F7"/>
      </w:r>
      <w:r w:rsidRPr="00B921A2">
        <w:rPr>
          <w:rFonts w:cs="Traditional Arabic"/>
          <w:sz w:val="28"/>
          <w:szCs w:val="28"/>
        </w:rPr>
        <w:sym w:font="HQPB2" w:char="F05D"/>
      </w:r>
      <w:r w:rsidRPr="00B921A2">
        <w:rPr>
          <w:rFonts w:cs="Traditional Arabic"/>
          <w:sz w:val="28"/>
          <w:szCs w:val="28"/>
        </w:rPr>
        <w:sym w:font="HQPB4" w:char="F0CF"/>
      </w:r>
      <w:r w:rsidRPr="00B921A2">
        <w:rPr>
          <w:rFonts w:cs="Traditional Arabic"/>
          <w:sz w:val="28"/>
          <w:szCs w:val="28"/>
        </w:rPr>
        <w:sym w:font="HQPB2" w:char="F042"/>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4"/>
      </w:r>
      <w:r w:rsidRPr="00B921A2">
        <w:rPr>
          <w:rFonts w:cs="Traditional Arabic"/>
          <w:sz w:val="28"/>
          <w:szCs w:val="28"/>
        </w:rPr>
        <w:sym w:font="HQPB2" w:char="F042"/>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2" w:char="F060"/>
      </w:r>
      <w:r w:rsidRPr="00B921A2">
        <w:rPr>
          <w:rFonts w:cs="Traditional Arabic"/>
          <w:sz w:val="28"/>
          <w:szCs w:val="28"/>
        </w:rPr>
        <w:sym w:font="HQPB5" w:char="F073"/>
      </w:r>
      <w:r w:rsidRPr="00B921A2">
        <w:rPr>
          <w:rFonts w:cs="Traditional Arabic"/>
          <w:sz w:val="28"/>
          <w:szCs w:val="28"/>
        </w:rPr>
        <w:sym w:font="HQPB1" w:char="F0DC"/>
      </w:r>
      <w:r w:rsidRPr="00B921A2">
        <w:rPr>
          <w:rFonts w:cs="Traditional Arabic"/>
          <w:sz w:val="28"/>
          <w:szCs w:val="28"/>
        </w:rPr>
        <w:sym w:font="HQPB5" w:char="F074"/>
      </w:r>
      <w:r w:rsidRPr="00B921A2">
        <w:rPr>
          <w:rFonts w:cs="Traditional Arabic"/>
          <w:sz w:val="28"/>
          <w:szCs w:val="28"/>
        </w:rPr>
        <w:sym w:font="HQPB1" w:char="F02F"/>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2" w:char="F04E"/>
      </w:r>
      <w:r w:rsidRPr="00B921A2">
        <w:rPr>
          <w:rFonts w:cs="Traditional Arabic"/>
          <w:sz w:val="28"/>
          <w:szCs w:val="28"/>
        </w:rPr>
        <w:sym w:font="HQPB4" w:char="F0F8"/>
      </w:r>
      <w:r w:rsidRPr="00B921A2">
        <w:rPr>
          <w:rFonts w:cs="Traditional Arabic"/>
          <w:sz w:val="28"/>
          <w:szCs w:val="28"/>
        </w:rPr>
        <w:sym w:font="HQPB1" w:char="F04F"/>
      </w:r>
      <w:r w:rsidRPr="00B921A2">
        <w:rPr>
          <w:rFonts w:cs="Traditional Arabic"/>
          <w:sz w:val="28"/>
          <w:szCs w:val="28"/>
        </w:rPr>
        <w:sym w:font="HQPB5" w:char="F04D"/>
      </w:r>
      <w:r w:rsidRPr="00B921A2">
        <w:rPr>
          <w:rFonts w:cs="Traditional Arabic"/>
          <w:sz w:val="28"/>
          <w:szCs w:val="28"/>
        </w:rPr>
        <w:sym w:font="HQPB2" w:char="F07D"/>
      </w:r>
      <w:r w:rsidRPr="00B921A2">
        <w:rPr>
          <w:rFonts w:cs="Traditional Arabic"/>
          <w:sz w:val="28"/>
          <w:szCs w:val="28"/>
        </w:rPr>
        <w:sym w:font="HQPB5" w:char="F024"/>
      </w:r>
      <w:r w:rsidRPr="00B921A2">
        <w:rPr>
          <w:rFonts w:cs="Traditional Arabic"/>
          <w:sz w:val="28"/>
          <w:szCs w:val="28"/>
        </w:rPr>
        <w:sym w:font="HQPB1" w:char="F023"/>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5" w:char="F07A"/>
      </w:r>
      <w:r w:rsidRPr="00B921A2">
        <w:rPr>
          <w:rFonts w:cs="Traditional Arabic"/>
          <w:sz w:val="28"/>
          <w:szCs w:val="28"/>
        </w:rPr>
        <w:sym w:font="HQPB2" w:char="F0D3"/>
      </w:r>
      <w:r w:rsidRPr="00B921A2">
        <w:rPr>
          <w:rFonts w:cs="Traditional Arabic"/>
          <w:sz w:val="28"/>
          <w:szCs w:val="28"/>
        </w:rPr>
        <w:sym w:font="HQPB4" w:char="F0F8"/>
      </w:r>
      <w:r w:rsidRPr="00B921A2">
        <w:rPr>
          <w:rFonts w:cs="Traditional Arabic"/>
          <w:sz w:val="28"/>
          <w:szCs w:val="28"/>
        </w:rPr>
        <w:sym w:font="HQPB1" w:char="F0F6"/>
      </w:r>
      <w:r w:rsidRPr="00B921A2">
        <w:rPr>
          <w:rFonts w:cs="Traditional Arabic"/>
          <w:sz w:val="28"/>
          <w:szCs w:val="28"/>
        </w:rPr>
        <w:sym w:font="HQPB5" w:char="F074"/>
      </w:r>
      <w:r w:rsidRPr="00B921A2">
        <w:rPr>
          <w:rFonts w:cs="Traditional Arabic"/>
          <w:sz w:val="28"/>
          <w:szCs w:val="28"/>
        </w:rPr>
        <w:sym w:font="HQPB1" w:char="F037"/>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4" w:char="F0CE"/>
      </w:r>
      <w:r w:rsidRPr="00B921A2">
        <w:rPr>
          <w:rFonts w:cs="Traditional Arabic"/>
          <w:sz w:val="28"/>
          <w:szCs w:val="28"/>
        </w:rPr>
        <w:sym w:font="HQPB1" w:char="F08E"/>
      </w:r>
      <w:r w:rsidRPr="00B921A2">
        <w:rPr>
          <w:rFonts w:cs="Traditional Arabic"/>
          <w:sz w:val="28"/>
          <w:szCs w:val="28"/>
        </w:rPr>
        <w:sym w:font="HQPB4" w:char="F0F6"/>
      </w:r>
      <w:r w:rsidRPr="00B921A2">
        <w:rPr>
          <w:rFonts w:cs="Traditional Arabic"/>
          <w:sz w:val="28"/>
          <w:szCs w:val="28"/>
        </w:rPr>
        <w:sym w:font="HQPB2" w:char="F08D"/>
      </w:r>
      <w:r w:rsidRPr="00B921A2">
        <w:rPr>
          <w:rFonts w:cs="Traditional Arabic"/>
          <w:sz w:val="28"/>
          <w:szCs w:val="28"/>
        </w:rPr>
        <w:sym w:font="HQPB5" w:char="F074"/>
      </w:r>
      <w:r w:rsidRPr="00B921A2">
        <w:rPr>
          <w:rFonts w:cs="Traditional Arabic"/>
          <w:sz w:val="28"/>
          <w:szCs w:val="28"/>
        </w:rPr>
        <w:sym w:font="HQPB1" w:char="F0F3"/>
      </w:r>
      <w:r w:rsidRPr="00B921A2">
        <w:rPr>
          <w:rFonts w:cs="Traditional Arabic"/>
          <w:sz w:val="28"/>
          <w:szCs w:val="28"/>
        </w:rPr>
        <w:sym w:font="HQPB4" w:char="F0CE"/>
      </w:r>
      <w:r w:rsidRPr="00B921A2">
        <w:rPr>
          <w:rFonts w:cs="Traditional Arabic"/>
          <w:sz w:val="28"/>
          <w:szCs w:val="28"/>
        </w:rPr>
        <w:sym w:font="HQPB1" w:char="F02F"/>
      </w:r>
      <w:r w:rsidRPr="00B921A2">
        <w:rPr>
          <w:rFonts w:ascii="(normal text)" w:hAnsi="(normal text)" w:cs="Traditional Arabic"/>
          <w:sz w:val="28"/>
          <w:szCs w:val="28"/>
          <w:rtl/>
        </w:rPr>
        <w:t xml:space="preserve"> </w:t>
      </w:r>
      <w:r w:rsidRPr="00B921A2">
        <w:rPr>
          <w:rFonts w:cs="Traditional Arabic"/>
          <w:sz w:val="28"/>
          <w:szCs w:val="28"/>
        </w:rPr>
        <w:sym w:font="HQPB4" w:char="F0C8"/>
      </w:r>
      <w:r w:rsidRPr="00B921A2">
        <w:rPr>
          <w:rFonts w:cs="Traditional Arabic"/>
          <w:sz w:val="28"/>
          <w:szCs w:val="28"/>
        </w:rPr>
        <w:sym w:font="HQPB4" w:char="F064"/>
      </w:r>
      <w:r w:rsidRPr="00B921A2">
        <w:rPr>
          <w:rFonts w:cs="Traditional Arabic"/>
          <w:sz w:val="28"/>
          <w:szCs w:val="28"/>
        </w:rPr>
        <w:sym w:font="HQPB2" w:char="F02C"/>
      </w:r>
      <w:r w:rsidRPr="00B921A2">
        <w:rPr>
          <w:rFonts w:cs="Traditional Arabic"/>
          <w:sz w:val="28"/>
          <w:szCs w:val="28"/>
        </w:rPr>
        <w:sym w:font="HQPB5" w:char="F079"/>
      </w:r>
      <w:r w:rsidRPr="00B921A2">
        <w:rPr>
          <w:rFonts w:cs="Traditional Arabic"/>
          <w:sz w:val="28"/>
          <w:szCs w:val="28"/>
        </w:rPr>
        <w:sym w:font="HQPB2" w:char="F0DB"/>
      </w:r>
      <w:r w:rsidRPr="00B921A2">
        <w:rPr>
          <w:rFonts w:cs="Traditional Arabic"/>
          <w:sz w:val="28"/>
          <w:szCs w:val="28"/>
        </w:rPr>
        <w:sym w:font="HQPB4" w:char="F0F8"/>
      </w:r>
      <w:r w:rsidRPr="00B921A2">
        <w:rPr>
          <w:rFonts w:cs="Traditional Arabic"/>
          <w:sz w:val="28"/>
          <w:szCs w:val="28"/>
        </w:rPr>
        <w:sym w:font="HQPB2" w:char="F039"/>
      </w:r>
      <w:r w:rsidRPr="00B921A2">
        <w:rPr>
          <w:rFonts w:cs="Traditional Arabic"/>
          <w:sz w:val="28"/>
          <w:szCs w:val="28"/>
        </w:rPr>
        <w:sym w:font="HQPB5" w:char="F024"/>
      </w:r>
      <w:r w:rsidRPr="00B921A2">
        <w:rPr>
          <w:rFonts w:cs="Traditional Arabic"/>
          <w:sz w:val="28"/>
          <w:szCs w:val="28"/>
        </w:rPr>
        <w:sym w:font="HQPB1" w:char="F023"/>
      </w:r>
      <w:r w:rsidRPr="00B921A2">
        <w:rPr>
          <w:rFonts w:ascii="(normal text)" w:hAnsi="(normal text)" w:cs="Traditional Arabic"/>
          <w:sz w:val="28"/>
          <w:szCs w:val="28"/>
          <w:rtl/>
        </w:rPr>
        <w:t xml:space="preserve"> </w:t>
      </w:r>
      <w:r w:rsidRPr="00B921A2">
        <w:rPr>
          <w:rFonts w:cs="Traditional Arabic"/>
          <w:sz w:val="28"/>
          <w:szCs w:val="28"/>
        </w:rPr>
        <w:sym w:font="HQPB2" w:char="F062"/>
      </w:r>
      <w:r w:rsidRPr="00B921A2">
        <w:rPr>
          <w:rFonts w:cs="Traditional Arabic"/>
          <w:sz w:val="28"/>
          <w:szCs w:val="28"/>
        </w:rPr>
        <w:sym w:font="HQPB5" w:char="F072"/>
      </w:r>
      <w:r w:rsidRPr="00B921A2">
        <w:rPr>
          <w:rFonts w:cs="Traditional Arabic"/>
          <w:sz w:val="28"/>
          <w:szCs w:val="28"/>
        </w:rPr>
        <w:sym w:font="HQPB1" w:char="F026"/>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5" w:char="F028"/>
      </w:r>
      <w:r w:rsidRPr="00B921A2">
        <w:rPr>
          <w:rFonts w:cs="Traditional Arabic"/>
          <w:sz w:val="28"/>
          <w:szCs w:val="28"/>
        </w:rPr>
        <w:sym w:font="HQPB1" w:char="F023"/>
      </w:r>
      <w:r w:rsidRPr="00B921A2">
        <w:rPr>
          <w:rFonts w:cs="Traditional Arabic"/>
          <w:sz w:val="28"/>
          <w:szCs w:val="28"/>
        </w:rPr>
        <w:sym w:font="HQPB2" w:char="F071"/>
      </w:r>
      <w:r w:rsidRPr="00B921A2">
        <w:rPr>
          <w:rFonts w:cs="Traditional Arabic"/>
          <w:sz w:val="28"/>
          <w:szCs w:val="28"/>
        </w:rPr>
        <w:sym w:font="HQPB4" w:char="F0E4"/>
      </w:r>
      <w:r w:rsidRPr="00B921A2">
        <w:rPr>
          <w:rFonts w:cs="Traditional Arabic"/>
          <w:sz w:val="28"/>
          <w:szCs w:val="28"/>
        </w:rPr>
        <w:sym w:font="HQPB2" w:char="F02E"/>
      </w:r>
      <w:r w:rsidRPr="00B921A2">
        <w:rPr>
          <w:rFonts w:cs="Traditional Arabic"/>
          <w:sz w:val="28"/>
          <w:szCs w:val="28"/>
        </w:rPr>
        <w:sym w:font="HQPB4" w:char="F0CE"/>
      </w:r>
      <w:r w:rsidRPr="00B921A2">
        <w:rPr>
          <w:rFonts w:cs="Traditional Arabic"/>
          <w:sz w:val="28"/>
          <w:szCs w:val="28"/>
        </w:rPr>
        <w:sym w:font="HQPB1" w:char="F08E"/>
      </w:r>
      <w:r w:rsidRPr="00B921A2">
        <w:rPr>
          <w:rFonts w:cs="Traditional Arabic"/>
          <w:sz w:val="28"/>
          <w:szCs w:val="28"/>
        </w:rPr>
        <w:sym w:font="HQPB4" w:char="F0F4"/>
      </w:r>
      <w:r w:rsidRPr="00B921A2">
        <w:rPr>
          <w:rFonts w:cs="Traditional Arabic"/>
          <w:sz w:val="28"/>
          <w:szCs w:val="28"/>
        </w:rPr>
        <w:sym w:font="HQPB1" w:char="F0B3"/>
      </w:r>
      <w:r w:rsidRPr="00B921A2">
        <w:rPr>
          <w:rFonts w:cs="Traditional Arabic"/>
          <w:sz w:val="28"/>
          <w:szCs w:val="28"/>
        </w:rPr>
        <w:sym w:font="HQPB4" w:char="F0E8"/>
      </w:r>
      <w:r w:rsidRPr="00B921A2">
        <w:rPr>
          <w:rFonts w:cs="Traditional Arabic"/>
          <w:sz w:val="28"/>
          <w:szCs w:val="28"/>
        </w:rPr>
        <w:sym w:font="HQPB1" w:char="F040"/>
      </w:r>
      <w:r w:rsidRPr="00B921A2">
        <w:rPr>
          <w:rFonts w:ascii="(normal text)" w:hAnsi="(normal text)" w:cs="Traditional Arabic"/>
          <w:sz w:val="28"/>
          <w:szCs w:val="28"/>
          <w:rtl/>
        </w:rPr>
        <w:t xml:space="preserve"> </w:t>
      </w:r>
      <w:r w:rsidRPr="00B921A2">
        <w:rPr>
          <w:rFonts w:cs="Traditional Arabic"/>
          <w:sz w:val="28"/>
          <w:szCs w:val="28"/>
        </w:rPr>
        <w:sym w:font="HQPB5" w:char="F0AB"/>
      </w:r>
      <w:r w:rsidRPr="00B921A2">
        <w:rPr>
          <w:rFonts w:cs="Traditional Arabic" w:hint="cs"/>
          <w:sz w:val="28"/>
          <w:szCs w:val="28"/>
          <w:rtl/>
        </w:rPr>
        <w:t xml:space="preserve"> </w:t>
      </w:r>
      <w:r w:rsidRPr="00B921A2">
        <w:rPr>
          <w:rFonts w:cs="Traditional Arabic"/>
          <w:sz w:val="28"/>
          <w:szCs w:val="28"/>
        </w:rPr>
        <w:sym w:font="HQPB5" w:char="F024"/>
      </w:r>
      <w:r w:rsidRPr="00B921A2">
        <w:rPr>
          <w:rFonts w:cs="Traditional Arabic"/>
          <w:sz w:val="28"/>
          <w:szCs w:val="28"/>
        </w:rPr>
        <w:sym w:font="HQPB1" w:char="F024"/>
      </w:r>
      <w:r w:rsidRPr="00B921A2">
        <w:rPr>
          <w:rFonts w:cs="Traditional Arabic"/>
          <w:sz w:val="28"/>
          <w:szCs w:val="28"/>
        </w:rPr>
        <w:sym w:font="HQPB4" w:char="F0CE"/>
      </w:r>
      <w:r w:rsidRPr="00B921A2">
        <w:rPr>
          <w:rFonts w:cs="Traditional Arabic"/>
          <w:sz w:val="28"/>
          <w:szCs w:val="28"/>
        </w:rPr>
        <w:sym w:font="HQPB1" w:char="F02F"/>
      </w:r>
      <w:r w:rsidRPr="00B921A2">
        <w:rPr>
          <w:rFonts w:ascii="Adobe نسخ Medium" w:hAnsi="Adobe نسخ Medium" w:cs="Traditional Arabic"/>
          <w:sz w:val="28"/>
          <w:szCs w:val="28"/>
          <w:rtl/>
        </w:rPr>
        <w:t>للهِ</w:t>
      </w:r>
      <w:r w:rsidRPr="00B921A2">
        <w:rPr>
          <w:rFonts w:cs="Traditional Arabic"/>
          <w:sz w:val="28"/>
          <w:szCs w:val="28"/>
        </w:rPr>
        <w:t xml:space="preserve"> </w:t>
      </w:r>
      <w:r w:rsidRPr="00B921A2">
        <w:rPr>
          <w:rFonts w:cs="Traditional Arabic"/>
          <w:sz w:val="28"/>
          <w:szCs w:val="28"/>
        </w:rPr>
        <w:sym w:font="HQPB1" w:char="F024"/>
      </w:r>
      <w:r w:rsidRPr="00B921A2">
        <w:rPr>
          <w:rFonts w:cs="Traditional Arabic"/>
          <w:sz w:val="28"/>
          <w:szCs w:val="28"/>
        </w:rPr>
        <w:sym w:font="HQPB5" w:char="F074"/>
      </w:r>
      <w:r w:rsidRPr="00B921A2">
        <w:rPr>
          <w:rFonts w:cs="Traditional Arabic"/>
          <w:sz w:val="28"/>
          <w:szCs w:val="28"/>
        </w:rPr>
        <w:sym w:font="HQPB2" w:char="F042"/>
      </w:r>
      <w:r w:rsidRPr="00B921A2">
        <w:rPr>
          <w:rFonts w:ascii="(normal text)" w:hAnsi="(normal text)" w:cs="Traditional Arabic"/>
          <w:sz w:val="28"/>
          <w:szCs w:val="28"/>
          <w:rtl/>
        </w:rPr>
        <w:t xml:space="preserve"> </w:t>
      </w:r>
      <w:r w:rsidRPr="00B921A2">
        <w:rPr>
          <w:rFonts w:cs="Traditional Arabic"/>
          <w:sz w:val="28"/>
          <w:szCs w:val="28"/>
        </w:rPr>
        <w:sym w:font="HQPB4" w:char="F0F3"/>
      </w:r>
      <w:r w:rsidRPr="00B921A2">
        <w:rPr>
          <w:rFonts w:cs="Traditional Arabic"/>
          <w:sz w:val="28"/>
          <w:szCs w:val="28"/>
        </w:rPr>
        <w:sym w:font="HQPB2" w:char="F04F"/>
      </w:r>
      <w:r w:rsidRPr="00B921A2">
        <w:rPr>
          <w:rFonts w:cs="Traditional Arabic"/>
          <w:sz w:val="28"/>
          <w:szCs w:val="28"/>
        </w:rPr>
        <w:sym w:font="HQPB5" w:char="F073"/>
      </w:r>
      <w:r w:rsidRPr="00B921A2">
        <w:rPr>
          <w:rFonts w:cs="Traditional Arabic"/>
          <w:sz w:val="28"/>
          <w:szCs w:val="28"/>
        </w:rPr>
        <w:sym w:font="HQPB2" w:char="F039"/>
      </w:r>
      <w:r w:rsidRPr="00B921A2">
        <w:rPr>
          <w:rFonts w:ascii="(normal text)" w:hAnsi="(normal text)" w:cs="Traditional Arabic"/>
          <w:sz w:val="28"/>
          <w:szCs w:val="28"/>
          <w:rtl/>
        </w:rPr>
        <w:t xml:space="preserve"> </w:t>
      </w:r>
      <w:r w:rsidRPr="00B921A2">
        <w:rPr>
          <w:rFonts w:cs="Traditional Arabic"/>
          <w:sz w:val="28"/>
          <w:szCs w:val="28"/>
        </w:rPr>
        <w:sym w:font="HQPB4" w:char="F0F6"/>
      </w:r>
      <w:r w:rsidRPr="00B921A2">
        <w:rPr>
          <w:rFonts w:cs="Traditional Arabic"/>
          <w:sz w:val="28"/>
          <w:szCs w:val="28"/>
        </w:rPr>
        <w:sym w:font="HQPB2" w:char="F041"/>
      </w:r>
      <w:r w:rsidRPr="00B921A2">
        <w:rPr>
          <w:rFonts w:cs="Traditional Arabic"/>
          <w:sz w:val="28"/>
          <w:szCs w:val="28"/>
        </w:rPr>
        <w:sym w:font="HQPB4" w:char="F0CD"/>
      </w:r>
      <w:r w:rsidRPr="00B921A2">
        <w:rPr>
          <w:rFonts w:cs="Traditional Arabic"/>
          <w:sz w:val="28"/>
          <w:szCs w:val="28"/>
        </w:rPr>
        <w:sym w:font="HQPB4" w:char="F069"/>
      </w:r>
      <w:r w:rsidRPr="00B921A2">
        <w:rPr>
          <w:rFonts w:cs="Traditional Arabic"/>
          <w:sz w:val="28"/>
          <w:szCs w:val="28"/>
        </w:rPr>
        <w:sym w:font="HQPB1" w:char="F094"/>
      </w:r>
      <w:r w:rsidRPr="00B921A2">
        <w:rPr>
          <w:rFonts w:cs="Traditional Arabic"/>
          <w:sz w:val="28"/>
          <w:szCs w:val="28"/>
        </w:rPr>
        <w:sym w:font="HQPB5" w:char="F074"/>
      </w:r>
      <w:r w:rsidRPr="00B921A2">
        <w:rPr>
          <w:rFonts w:cs="Traditional Arabic"/>
          <w:sz w:val="28"/>
          <w:szCs w:val="28"/>
        </w:rPr>
        <w:sym w:font="HQPB2" w:char="F05C"/>
      </w:r>
      <w:r w:rsidRPr="00B921A2">
        <w:rPr>
          <w:rFonts w:cs="Traditional Arabic"/>
          <w:sz w:val="28"/>
          <w:szCs w:val="28"/>
        </w:rPr>
        <w:sym w:font="HQPB4" w:char="F0E3"/>
      </w:r>
      <w:r w:rsidRPr="00B921A2">
        <w:rPr>
          <w:rFonts w:cs="Traditional Arabic"/>
          <w:sz w:val="28"/>
          <w:szCs w:val="28"/>
        </w:rPr>
        <w:sym w:font="HQPB2" w:char="F083"/>
      </w:r>
      <w:r w:rsidRPr="00B921A2">
        <w:rPr>
          <w:rFonts w:ascii="(normal text)" w:hAnsi="(normal text)" w:cs="Traditional Arabic"/>
          <w:sz w:val="28"/>
          <w:szCs w:val="28"/>
          <w:rtl/>
        </w:rPr>
        <w:t xml:space="preserve"> </w:t>
      </w:r>
      <w:r w:rsidRPr="00B921A2">
        <w:rPr>
          <w:rFonts w:cs="Traditional Arabic"/>
          <w:sz w:val="28"/>
          <w:szCs w:val="28"/>
        </w:rPr>
        <w:sym w:font="HQPB2" w:char="F0BE"/>
      </w:r>
      <w:r w:rsidRPr="00B921A2">
        <w:rPr>
          <w:rFonts w:cs="Traditional Arabic"/>
          <w:sz w:val="28"/>
          <w:szCs w:val="28"/>
        </w:rPr>
        <w:sym w:font="HQPB4" w:char="F0CF"/>
      </w:r>
      <w:r w:rsidRPr="00B921A2">
        <w:rPr>
          <w:rFonts w:cs="Traditional Arabic"/>
          <w:sz w:val="28"/>
          <w:szCs w:val="28"/>
        </w:rPr>
        <w:sym w:font="HQPB2" w:char="F06D"/>
      </w:r>
      <w:r w:rsidRPr="00B921A2">
        <w:rPr>
          <w:rFonts w:cs="Traditional Arabic"/>
          <w:sz w:val="28"/>
          <w:szCs w:val="28"/>
        </w:rPr>
        <w:sym w:font="HQPB4" w:char="F0CE"/>
      </w:r>
      <w:r w:rsidRPr="00B921A2">
        <w:rPr>
          <w:rFonts w:cs="Traditional Arabic"/>
          <w:sz w:val="28"/>
          <w:szCs w:val="28"/>
        </w:rPr>
        <w:sym w:font="HQPB1" w:char="F02F"/>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4" w:char="F059"/>
      </w:r>
      <w:r w:rsidRPr="00B921A2">
        <w:rPr>
          <w:rFonts w:cs="Traditional Arabic"/>
          <w:sz w:val="28"/>
          <w:szCs w:val="28"/>
        </w:rPr>
        <w:sym w:font="HQPB2" w:char="F05A"/>
      </w:r>
      <w:r w:rsidRPr="00B921A2">
        <w:rPr>
          <w:rFonts w:cs="Traditional Arabic"/>
          <w:sz w:val="28"/>
          <w:szCs w:val="28"/>
        </w:rPr>
        <w:sym w:font="HQPB2" w:char="F0BB"/>
      </w:r>
      <w:r w:rsidRPr="00B921A2">
        <w:rPr>
          <w:rFonts w:cs="Traditional Arabic"/>
          <w:sz w:val="28"/>
          <w:szCs w:val="28"/>
        </w:rPr>
        <w:sym w:font="HQPB5" w:char="F073"/>
      </w:r>
      <w:r w:rsidRPr="00B921A2">
        <w:rPr>
          <w:rFonts w:cs="Traditional Arabic"/>
          <w:sz w:val="28"/>
          <w:szCs w:val="28"/>
        </w:rPr>
        <w:sym w:font="HQPB1" w:char="F0DC"/>
      </w:r>
      <w:r w:rsidRPr="00B921A2">
        <w:rPr>
          <w:rFonts w:cs="Traditional Arabic"/>
          <w:sz w:val="28"/>
          <w:szCs w:val="28"/>
        </w:rPr>
        <w:sym w:font="HQPB4" w:char="F0F9"/>
      </w:r>
      <w:r w:rsidRPr="00B921A2">
        <w:rPr>
          <w:rFonts w:cs="Traditional Arabic"/>
          <w:sz w:val="28"/>
          <w:szCs w:val="28"/>
        </w:rPr>
        <w:sym w:font="HQPB2" w:char="F03D"/>
      </w:r>
      <w:r w:rsidRPr="00B921A2">
        <w:rPr>
          <w:rFonts w:cs="Traditional Arabic"/>
          <w:sz w:val="28"/>
          <w:szCs w:val="28"/>
        </w:rPr>
        <w:sym w:font="HQPB4" w:char="F0DF"/>
      </w:r>
      <w:r w:rsidRPr="00B921A2">
        <w:rPr>
          <w:rFonts w:cs="Traditional Arabic"/>
          <w:sz w:val="28"/>
          <w:szCs w:val="28"/>
        </w:rPr>
        <w:sym w:font="HQPB1" w:char="F099"/>
      </w:r>
      <w:r w:rsidRPr="00B921A2">
        <w:rPr>
          <w:rFonts w:ascii="(normal text)" w:hAnsi="(normal text)" w:cs="Traditional Arabic"/>
          <w:sz w:val="28"/>
          <w:szCs w:val="28"/>
          <w:rtl/>
        </w:rPr>
        <w:t xml:space="preserve"> </w:t>
      </w:r>
      <w:r w:rsidRPr="00B921A2">
        <w:rPr>
          <w:rFonts w:cs="Traditional Arabic"/>
          <w:sz w:val="28"/>
          <w:szCs w:val="28"/>
        </w:rPr>
        <w:sym w:font="HQPB2" w:char="F062"/>
      </w:r>
      <w:r w:rsidRPr="00B921A2">
        <w:rPr>
          <w:rFonts w:cs="Traditional Arabic"/>
          <w:sz w:val="28"/>
          <w:szCs w:val="28"/>
        </w:rPr>
        <w:sym w:font="HQPB5" w:char="F072"/>
      </w:r>
      <w:r w:rsidRPr="00B921A2">
        <w:rPr>
          <w:rFonts w:cs="Traditional Arabic"/>
          <w:sz w:val="28"/>
          <w:szCs w:val="28"/>
        </w:rPr>
        <w:sym w:font="HQPB1" w:char="F026"/>
      </w:r>
      <w:r w:rsidRPr="00B921A2">
        <w:rPr>
          <w:rFonts w:cs="Traditional Arabic"/>
          <w:sz w:val="28"/>
          <w:szCs w:val="28"/>
        </w:rPr>
        <w:sym w:font="HQPB5" w:char="F075"/>
      </w:r>
      <w:r w:rsidRPr="00B921A2">
        <w:rPr>
          <w:rFonts w:cs="Traditional Arabic"/>
          <w:sz w:val="28"/>
          <w:szCs w:val="28"/>
        </w:rPr>
        <w:sym w:font="HQPB2" w:char="F072"/>
      </w:r>
      <w:r w:rsidRPr="00B921A2">
        <w:rPr>
          <w:rFonts w:ascii="(normal text)" w:hAnsi="(normal text)" w:cs="Traditional Arabic"/>
          <w:sz w:val="28"/>
          <w:szCs w:val="28"/>
          <w:rtl/>
        </w:rPr>
        <w:t xml:space="preserve"> </w:t>
      </w:r>
      <w:r w:rsidRPr="00B921A2">
        <w:rPr>
          <w:rFonts w:cs="Traditional Arabic"/>
          <w:sz w:val="28"/>
          <w:szCs w:val="28"/>
        </w:rPr>
        <w:sym w:font="HQPB5" w:char="F028"/>
      </w:r>
      <w:r w:rsidRPr="00B921A2">
        <w:rPr>
          <w:rFonts w:cs="Traditional Arabic"/>
          <w:sz w:val="28"/>
          <w:szCs w:val="28"/>
        </w:rPr>
        <w:sym w:font="HQPB1" w:char="F023"/>
      </w:r>
      <w:r w:rsidRPr="00B921A2">
        <w:rPr>
          <w:rFonts w:cs="Traditional Arabic"/>
          <w:sz w:val="28"/>
          <w:szCs w:val="28"/>
        </w:rPr>
        <w:sym w:font="HQPB2" w:char="F071"/>
      </w:r>
      <w:r w:rsidRPr="00B921A2">
        <w:rPr>
          <w:rFonts w:cs="Traditional Arabic"/>
          <w:sz w:val="28"/>
          <w:szCs w:val="28"/>
        </w:rPr>
        <w:sym w:font="HQPB4" w:char="F0E4"/>
      </w:r>
      <w:r w:rsidRPr="00B921A2">
        <w:rPr>
          <w:rFonts w:cs="Traditional Arabic"/>
          <w:sz w:val="28"/>
          <w:szCs w:val="28"/>
        </w:rPr>
        <w:sym w:font="HQPB2" w:char="F039"/>
      </w:r>
      <w:r w:rsidRPr="00B921A2">
        <w:rPr>
          <w:rFonts w:cs="Traditional Arabic"/>
          <w:sz w:val="28"/>
          <w:szCs w:val="28"/>
        </w:rPr>
        <w:sym w:font="HQPB2" w:char="F071"/>
      </w:r>
      <w:r w:rsidRPr="00B921A2">
        <w:rPr>
          <w:rFonts w:cs="Traditional Arabic"/>
          <w:sz w:val="28"/>
          <w:szCs w:val="28"/>
        </w:rPr>
        <w:sym w:font="HQPB4" w:char="F0E0"/>
      </w:r>
      <w:r w:rsidRPr="00B921A2">
        <w:rPr>
          <w:rFonts w:cs="Traditional Arabic"/>
          <w:sz w:val="28"/>
          <w:szCs w:val="28"/>
        </w:rPr>
        <w:sym w:font="HQPB2" w:char="F029"/>
      </w:r>
      <w:r w:rsidRPr="00B921A2">
        <w:rPr>
          <w:rFonts w:cs="Traditional Arabic"/>
          <w:sz w:val="28"/>
          <w:szCs w:val="28"/>
        </w:rPr>
        <w:sym w:font="HQPB5" w:char="F073"/>
      </w:r>
      <w:r w:rsidRPr="00B921A2">
        <w:rPr>
          <w:rFonts w:cs="Traditional Arabic"/>
          <w:sz w:val="28"/>
          <w:szCs w:val="28"/>
        </w:rPr>
        <w:sym w:font="HQPB1" w:char="F03F"/>
      </w:r>
      <w:r w:rsidRPr="00B921A2">
        <w:rPr>
          <w:rFonts w:ascii="(normal text)" w:hAnsi="(normal text)" w:cs="Traditional Arabic"/>
          <w:sz w:val="28"/>
          <w:szCs w:val="28"/>
          <w:rtl/>
        </w:rPr>
        <w:t xml:space="preserve"> </w:t>
      </w:r>
      <w:r w:rsidRPr="00B921A2">
        <w:rPr>
          <w:rFonts w:cs="Traditional Arabic"/>
          <w:sz w:val="28"/>
          <w:szCs w:val="28"/>
        </w:rPr>
        <w:sym w:font="HQPB2" w:char="F092"/>
      </w:r>
      <w:r w:rsidRPr="00B921A2">
        <w:rPr>
          <w:rFonts w:cs="Traditional Arabic"/>
          <w:sz w:val="28"/>
          <w:szCs w:val="28"/>
        </w:rPr>
        <w:sym w:font="HQPB5" w:char="F06E"/>
      </w:r>
      <w:r w:rsidRPr="00B921A2">
        <w:rPr>
          <w:rFonts w:cs="Traditional Arabic"/>
          <w:sz w:val="28"/>
          <w:szCs w:val="28"/>
        </w:rPr>
        <w:sym w:font="HQPB2" w:char="F03F"/>
      </w:r>
      <w:r w:rsidRPr="00B921A2">
        <w:rPr>
          <w:rFonts w:cs="Traditional Arabic"/>
          <w:sz w:val="28"/>
          <w:szCs w:val="28"/>
        </w:rPr>
        <w:sym w:font="HQPB5" w:char="F074"/>
      </w:r>
      <w:r w:rsidRPr="00B921A2">
        <w:rPr>
          <w:rFonts w:cs="Traditional Arabic"/>
          <w:sz w:val="28"/>
          <w:szCs w:val="28"/>
        </w:rPr>
        <w:sym w:font="HQPB1" w:char="F0E3"/>
      </w:r>
      <w:r w:rsidRPr="00B921A2">
        <w:rPr>
          <w:rFonts w:ascii="(normal text)" w:hAnsi="(normal text)" w:cs="Traditional Arabic"/>
          <w:sz w:val="28"/>
          <w:szCs w:val="28"/>
          <w:rtl/>
        </w:rPr>
        <w:t xml:space="preserve"> </w:t>
      </w:r>
      <w:r w:rsidRPr="00B921A2">
        <w:rPr>
          <w:rFonts w:ascii="Adobe نسخ Medium" w:hAnsi="Adobe نسخ Medium" w:cs="Traditional Arabic"/>
          <w:sz w:val="28"/>
          <w:szCs w:val="28"/>
          <w:rtl/>
        </w:rPr>
        <w:t>الله</w:t>
      </w:r>
      <w:r w:rsidRPr="00B921A2">
        <w:rPr>
          <w:rFonts w:cs="Traditional Arabic"/>
          <w:sz w:val="28"/>
          <w:szCs w:val="28"/>
        </w:rPr>
        <w:sym w:font="HQPB5" w:char="F0AB"/>
      </w:r>
      <w:r w:rsidRPr="00B921A2">
        <w:rPr>
          <w:rFonts w:ascii="(normal text)" w:hAnsi="(normal text)" w:cs="Traditional Arabic"/>
          <w:sz w:val="28"/>
          <w:szCs w:val="28"/>
          <w:rtl/>
        </w:rPr>
        <w:t xml:space="preserve"> </w:t>
      </w:r>
      <w:r w:rsidRPr="00B921A2">
        <w:rPr>
          <w:rFonts w:cs="Traditional Arabic"/>
          <w:sz w:val="28"/>
          <w:szCs w:val="28"/>
        </w:rPr>
        <w:sym w:font="HQPB1" w:char="F024"/>
      </w:r>
      <w:r w:rsidRPr="00B921A2">
        <w:rPr>
          <w:rFonts w:cs="Traditional Arabic"/>
          <w:sz w:val="28"/>
          <w:szCs w:val="28"/>
        </w:rPr>
        <w:sym w:font="HQPB5" w:char="F074"/>
      </w:r>
      <w:r w:rsidRPr="00B921A2">
        <w:rPr>
          <w:rFonts w:cs="Traditional Arabic"/>
          <w:sz w:val="28"/>
          <w:szCs w:val="28"/>
        </w:rPr>
        <w:sym w:font="HQPB2" w:char="F042"/>
      </w:r>
      <w:r w:rsidRPr="00B921A2">
        <w:rPr>
          <w:rFonts w:ascii="(normal text)" w:hAnsi="(normal text)" w:cs="Traditional Arabic"/>
          <w:sz w:val="28"/>
          <w:szCs w:val="28"/>
          <w:rtl/>
        </w:rPr>
        <w:t xml:space="preserve"> </w:t>
      </w:r>
      <w:r w:rsidRPr="00B921A2">
        <w:rPr>
          <w:rFonts w:cs="Traditional Arabic"/>
          <w:sz w:val="28"/>
          <w:szCs w:val="28"/>
        </w:rPr>
        <w:sym w:font="HQPB5" w:char="F09F"/>
      </w:r>
      <w:r w:rsidRPr="00B921A2">
        <w:rPr>
          <w:rFonts w:cs="Traditional Arabic"/>
          <w:sz w:val="28"/>
          <w:szCs w:val="28"/>
        </w:rPr>
        <w:sym w:font="HQPB2" w:char="F077"/>
      </w:r>
      <w:r w:rsidRPr="00B921A2">
        <w:rPr>
          <w:rFonts w:ascii="(normal text)" w:hAnsi="(normal text)" w:cs="Traditional Arabic"/>
          <w:sz w:val="28"/>
          <w:szCs w:val="28"/>
          <w:rtl/>
        </w:rPr>
        <w:t xml:space="preserve"> </w:t>
      </w:r>
      <w:r w:rsidRPr="00B921A2">
        <w:rPr>
          <w:rFonts w:cs="Traditional Arabic"/>
          <w:sz w:val="28"/>
          <w:szCs w:val="28"/>
        </w:rPr>
        <w:sym w:font="HQPB5" w:char="F074"/>
      </w:r>
      <w:r w:rsidRPr="00B921A2">
        <w:rPr>
          <w:rFonts w:cs="Traditional Arabic"/>
          <w:sz w:val="28"/>
          <w:szCs w:val="28"/>
        </w:rPr>
        <w:sym w:font="HQPB2" w:char="F062"/>
      </w:r>
      <w:r w:rsidRPr="00B921A2">
        <w:rPr>
          <w:rFonts w:cs="Traditional Arabic"/>
          <w:sz w:val="28"/>
          <w:szCs w:val="28"/>
        </w:rPr>
        <w:sym w:font="HQPB2" w:char="F071"/>
      </w:r>
      <w:r w:rsidRPr="00B921A2">
        <w:rPr>
          <w:rFonts w:cs="Traditional Arabic"/>
          <w:sz w:val="28"/>
          <w:szCs w:val="28"/>
        </w:rPr>
        <w:sym w:font="HQPB4" w:char="F0E7"/>
      </w:r>
      <w:r w:rsidRPr="00B921A2">
        <w:rPr>
          <w:rFonts w:cs="Traditional Arabic"/>
          <w:sz w:val="28"/>
          <w:szCs w:val="28"/>
        </w:rPr>
        <w:sym w:font="HQPB2" w:char="F048"/>
      </w:r>
      <w:r w:rsidRPr="00B921A2">
        <w:rPr>
          <w:rFonts w:cs="Traditional Arabic"/>
          <w:sz w:val="28"/>
          <w:szCs w:val="28"/>
        </w:rPr>
        <w:sym w:font="HQPB5" w:char="F073"/>
      </w:r>
      <w:r w:rsidRPr="00B921A2">
        <w:rPr>
          <w:rFonts w:cs="Traditional Arabic"/>
          <w:sz w:val="28"/>
          <w:szCs w:val="28"/>
        </w:rPr>
        <w:sym w:font="HQPB2" w:char="F03E"/>
      </w:r>
      <w:r w:rsidRPr="00B921A2">
        <w:rPr>
          <w:rFonts w:cs="Traditional Arabic"/>
          <w:sz w:val="28"/>
          <w:szCs w:val="28"/>
        </w:rPr>
        <w:sym w:font="HQPB4" w:char="F0F7"/>
      </w:r>
      <w:r w:rsidRPr="00B921A2">
        <w:rPr>
          <w:rFonts w:cs="Traditional Arabic"/>
          <w:sz w:val="28"/>
          <w:szCs w:val="28"/>
        </w:rPr>
        <w:sym w:font="HQPB1" w:char="F0E8"/>
      </w:r>
      <w:r w:rsidRPr="00B921A2">
        <w:rPr>
          <w:rFonts w:cs="Traditional Arabic"/>
          <w:sz w:val="28"/>
          <w:szCs w:val="28"/>
        </w:rPr>
        <w:sym w:font="HQPB5" w:char="F073"/>
      </w:r>
      <w:r w:rsidRPr="00B921A2">
        <w:rPr>
          <w:rFonts w:cs="Traditional Arabic"/>
          <w:sz w:val="28"/>
          <w:szCs w:val="28"/>
        </w:rPr>
        <w:sym w:font="HQPB1" w:char="F03F"/>
      </w:r>
      <w:r w:rsidRPr="00991C5D">
        <w:rPr>
          <w:rFonts w:ascii="(normal text)" w:hAnsi="(normal text)"/>
          <w:sz w:val="28"/>
          <w:szCs w:val="28"/>
          <w:rtl/>
        </w:rPr>
        <w:t xml:space="preserve"> </w:t>
      </w:r>
      <w:r w:rsidRPr="00991C5D">
        <w:rPr>
          <w:sz w:val="28"/>
          <w:szCs w:val="28"/>
        </w:rPr>
        <w:sym w:font="HQPB2" w:char="F0C7"/>
      </w:r>
      <w:r w:rsidRPr="00991C5D">
        <w:rPr>
          <w:sz w:val="28"/>
          <w:szCs w:val="28"/>
        </w:rPr>
        <w:sym w:font="HQPB2" w:char="F0CC"/>
      </w:r>
      <w:r w:rsidRPr="00991C5D">
        <w:rPr>
          <w:sz w:val="28"/>
          <w:szCs w:val="28"/>
        </w:rPr>
        <w:sym w:font="HQPB2" w:char="F0CC"/>
      </w:r>
      <w:r w:rsidRPr="00991C5D">
        <w:rPr>
          <w:sz w:val="28"/>
          <w:szCs w:val="28"/>
        </w:rPr>
        <w:sym w:font="HQPB2" w:char="F0C8"/>
      </w:r>
      <w:r w:rsidRPr="00991C5D">
        <w:rPr>
          <w:rFonts w:ascii="(normal text)" w:hAnsi="(normal text)"/>
          <w:sz w:val="28"/>
          <w:szCs w:val="28"/>
          <w:rtl/>
        </w:rPr>
        <w:t xml:space="preserve">   </w:t>
      </w:r>
      <w:r w:rsidRPr="00991C5D">
        <w:rPr>
          <w:rFonts w:ascii="(normal text)" w:hAnsi="(normal text)" w:hint="cs"/>
          <w:sz w:val="28"/>
          <w:szCs w:val="28"/>
          <w:rtl/>
        </w:rPr>
        <w:t xml:space="preserve">( سورة الأعراف </w:t>
      </w:r>
      <w:r w:rsidRPr="00991C5D">
        <w:rPr>
          <w:rFonts w:asciiTheme="majorBidi" w:hAnsiTheme="majorBidi" w:cstheme="majorBidi"/>
          <w:sz w:val="28"/>
          <w:szCs w:val="28"/>
        </w:rPr>
        <w:t>[</w:t>
      </w:r>
      <w:r w:rsidRPr="00991C5D">
        <w:rPr>
          <w:rFonts w:asciiTheme="majorBidi" w:hAnsiTheme="majorBidi" w:cstheme="majorBidi" w:hint="cs"/>
          <w:sz w:val="28"/>
          <w:szCs w:val="28"/>
          <w:rtl/>
        </w:rPr>
        <w:t>7</w:t>
      </w:r>
      <w:r w:rsidRPr="00991C5D">
        <w:rPr>
          <w:rFonts w:asciiTheme="majorBidi" w:hAnsiTheme="majorBidi" w:cstheme="majorBidi"/>
          <w:sz w:val="28"/>
          <w:szCs w:val="28"/>
        </w:rPr>
        <w:t>]</w:t>
      </w:r>
      <w:r w:rsidRPr="00991C5D">
        <w:rPr>
          <w:rFonts w:ascii="(normal text)" w:hAnsi="(normal text)" w:hint="cs"/>
          <w:sz w:val="28"/>
          <w:szCs w:val="28"/>
          <w:rtl/>
        </w:rPr>
        <w:t xml:space="preserve"> : 33)</w:t>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Pr>
          <w:rFonts w:ascii="(normal text)" w:hAnsi="(normal text)"/>
          <w:sz w:val="24"/>
          <w:szCs w:val="24"/>
        </w:rPr>
        <w:t xml:space="preserve">Artinya: </w:t>
      </w:r>
      <w:r w:rsidRPr="0011362F">
        <w:rPr>
          <w:rFonts w:ascii="(normal text)" w:hAnsi="(normal text)"/>
          <w:sz w:val="24"/>
          <w:szCs w:val="24"/>
        </w:rPr>
        <w:t xml:space="preserve">“ </w:t>
      </w:r>
      <w:r w:rsidRPr="0011362F">
        <w:rPr>
          <w:rFonts w:ascii="(normal text)" w:hAnsi="(normal text)"/>
          <w:i/>
          <w:iCs/>
          <w:sz w:val="24"/>
          <w:szCs w:val="24"/>
        </w:rPr>
        <w:t>Katakanlah: "Tuhanku hanya mengharamkan perbuatan yang keji, baik yang nampak ataupun yang tersembunyi, dan perbuatan dosa, melanggar hak manusia tanpa alasan yang benar, (mengharamkan) mempersekutukan Allah dengan sesuatu yang Allah tidak menurunkan hujjah untuk itu dan (mengharamkan) mengada-adakan terhadap Allah apa yang tidak kamu ketahui</w:t>
      </w:r>
      <w:r w:rsidRPr="0011362F">
        <w:rPr>
          <w:rFonts w:ascii="(normal text)" w:hAnsi="(normal text)"/>
          <w:sz w:val="24"/>
          <w:szCs w:val="24"/>
        </w:rPr>
        <w:t>.</w:t>
      </w:r>
      <w:r w:rsidRPr="0011362F">
        <w:rPr>
          <w:rStyle w:val="FootnoteReference"/>
          <w:rFonts w:ascii="(normal text)" w:hAnsi="(normal text)"/>
          <w:sz w:val="24"/>
          <w:szCs w:val="24"/>
        </w:rPr>
        <w:footnoteReference w:id="551"/>
      </w:r>
      <w:r w:rsidRPr="0011362F">
        <w:rPr>
          <w:rFonts w:ascii="(normal text)" w:hAnsi="(normal text)"/>
          <w:sz w:val="24"/>
          <w:szCs w:val="24"/>
        </w:rPr>
        <w:t xml:space="preserve">" </w:t>
      </w:r>
      <w:r w:rsidRPr="0011362F">
        <w:rPr>
          <w:rFonts w:asciiTheme="majorBidi" w:hAnsiTheme="majorBidi" w:cstheme="majorBidi"/>
          <w:sz w:val="24"/>
          <w:szCs w:val="24"/>
        </w:rPr>
        <w:t>( QS. Al-‘Akraf [7]:33 )</w:t>
      </w:r>
    </w:p>
    <w:p w:rsidR="00343B61" w:rsidRPr="0011362F" w:rsidRDefault="00343B61" w:rsidP="00343B61">
      <w:pPr>
        <w:autoSpaceDE w:val="0"/>
        <w:autoSpaceDN w:val="0"/>
        <w:adjustRightInd w:val="0"/>
        <w:spacing w:after="0" w:line="360" w:lineRule="auto"/>
        <w:ind w:left="720"/>
        <w:jc w:val="both"/>
        <w:rPr>
          <w:rFonts w:ascii="(normal text)" w:hAnsi="(normal text)"/>
          <w:sz w:val="24"/>
          <w:szCs w:val="24"/>
        </w:rPr>
      </w:pPr>
    </w:p>
    <w:p w:rsidR="00343B61" w:rsidRPr="0011362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62F">
        <w:rPr>
          <w:rFonts w:asciiTheme="majorBidi" w:hAnsiTheme="majorBidi" w:cstheme="majorBidi"/>
          <w:sz w:val="24"/>
          <w:szCs w:val="24"/>
        </w:rPr>
        <w:t xml:space="preserve">Sejalan dengan kedua ayat di atas, Nabi Muhammad </w:t>
      </w:r>
      <w:r>
        <w:rPr>
          <w:rFonts w:asciiTheme="majorBidi" w:hAnsiTheme="majorBidi" w:cstheme="majorBidi"/>
          <w:sz w:val="24"/>
          <w:szCs w:val="24"/>
        </w:rPr>
        <w:t xml:space="preserve">SAW </w:t>
      </w:r>
      <w:r w:rsidRPr="0011362F">
        <w:rPr>
          <w:rFonts w:asciiTheme="majorBidi" w:hAnsiTheme="majorBidi" w:cstheme="majorBidi"/>
          <w:sz w:val="24"/>
          <w:szCs w:val="24"/>
        </w:rPr>
        <w:t>dalam sebuah hadisnya menjelaskan bahwa orang yang paling berani untuk berfatwa adalah orang yang paling berani masuk neraka. Sebagaiman Sabdanya:</w:t>
      </w:r>
    </w:p>
    <w:p w:rsidR="00343B61" w:rsidRPr="0011362F" w:rsidRDefault="00343B61" w:rsidP="00343B61">
      <w:pPr>
        <w:autoSpaceDE w:val="0"/>
        <w:autoSpaceDN w:val="0"/>
        <w:bidi/>
        <w:adjustRightInd w:val="0"/>
        <w:spacing w:after="0" w:line="240" w:lineRule="auto"/>
        <w:ind w:firstLine="17"/>
        <w:jc w:val="both"/>
        <w:rPr>
          <w:rFonts w:ascii="Arial" w:hAnsi="Arial"/>
          <w:b/>
          <w:bCs/>
          <w:color w:val="000000"/>
          <w:sz w:val="28"/>
          <w:szCs w:val="28"/>
          <w:rtl/>
        </w:rPr>
      </w:pPr>
      <w:r w:rsidRPr="00B921A2">
        <w:rPr>
          <w:rFonts w:ascii="Adobe نسخ Medium" w:hAnsi="Adobe نسخ Medium" w:cs="Traditional Arabic"/>
          <w:sz w:val="32"/>
          <w:szCs w:val="32"/>
          <w:rtl/>
        </w:rPr>
        <w:t xml:space="preserve">أَجْرَؤُكُمْ عَلَى الْفُتْيَا أَجْرَأُكُمْ عَلَى النَّارِ ( رواه </w:t>
      </w:r>
      <w:r w:rsidRPr="00B921A2">
        <w:rPr>
          <w:rFonts w:ascii="Adobe نسخ Medium" w:hAnsi="Adobe نسخ Medium" w:cs="Traditional Arabic"/>
          <w:color w:val="000000"/>
          <w:sz w:val="32"/>
          <w:szCs w:val="32"/>
          <w:rtl/>
        </w:rPr>
        <w:t>الدارمي )</w:t>
      </w:r>
      <w:r w:rsidRPr="0011362F">
        <w:rPr>
          <w:rFonts w:ascii="Arial" w:hAnsi="Arial" w:hint="cs"/>
          <w:b/>
          <w:bCs/>
          <w:color w:val="000000"/>
          <w:sz w:val="28"/>
          <w:szCs w:val="28"/>
          <w:rtl/>
        </w:rPr>
        <w:t xml:space="preserve"> </w:t>
      </w:r>
      <w:r w:rsidRPr="0011362F">
        <w:rPr>
          <w:rStyle w:val="FootnoteReference"/>
          <w:rFonts w:ascii="Arial" w:hAnsi="Arial"/>
          <w:color w:val="000000"/>
          <w:sz w:val="28"/>
          <w:szCs w:val="28"/>
          <w:rtl/>
        </w:rPr>
        <w:footnoteReference w:id="552"/>
      </w:r>
    </w:p>
    <w:p w:rsidR="00343B61" w:rsidRDefault="00343B61" w:rsidP="00343B61">
      <w:pPr>
        <w:autoSpaceDE w:val="0"/>
        <w:autoSpaceDN w:val="0"/>
        <w:adjustRightInd w:val="0"/>
        <w:spacing w:after="0" w:line="240" w:lineRule="auto"/>
        <w:ind w:left="720"/>
        <w:jc w:val="both"/>
        <w:rPr>
          <w:rFonts w:asciiTheme="majorBidi" w:hAnsiTheme="majorBidi" w:cstheme="majorBidi"/>
          <w:color w:val="000000"/>
          <w:sz w:val="24"/>
          <w:szCs w:val="24"/>
        </w:rPr>
      </w:pPr>
      <w:r w:rsidRPr="0011362F">
        <w:rPr>
          <w:rFonts w:asciiTheme="majorBidi" w:hAnsiTheme="majorBidi" w:cstheme="majorBidi"/>
          <w:i/>
          <w:iCs/>
          <w:color w:val="000000"/>
          <w:sz w:val="24"/>
          <w:szCs w:val="24"/>
        </w:rPr>
        <w:t>Artinya: “Orang yang paling berani diantara kamu untuk berfatwa adalah orang yang paling berani masuk neraka”</w:t>
      </w:r>
      <w:r w:rsidRPr="0011362F">
        <w:rPr>
          <w:rFonts w:asciiTheme="majorBidi" w:hAnsiTheme="majorBidi" w:cstheme="majorBidi"/>
          <w:color w:val="000000"/>
          <w:sz w:val="24"/>
          <w:szCs w:val="24"/>
        </w:rPr>
        <w:t xml:space="preserve"> ( HR. Al-Darimi)</w:t>
      </w:r>
    </w:p>
    <w:p w:rsidR="00343B61" w:rsidRPr="0011362F" w:rsidRDefault="00343B61" w:rsidP="00343B61">
      <w:pPr>
        <w:autoSpaceDE w:val="0"/>
        <w:autoSpaceDN w:val="0"/>
        <w:adjustRightInd w:val="0"/>
        <w:spacing w:after="0" w:line="360" w:lineRule="auto"/>
        <w:ind w:left="720"/>
        <w:jc w:val="both"/>
        <w:rPr>
          <w:rFonts w:asciiTheme="majorBidi" w:hAnsiTheme="majorBidi" w:cstheme="majorBidi"/>
          <w:color w:val="000000"/>
          <w:sz w:val="24"/>
          <w:szCs w:val="24"/>
        </w:rPr>
      </w:pPr>
    </w:p>
    <w:p w:rsidR="00343B61" w:rsidRPr="00DF5213" w:rsidRDefault="00343B61" w:rsidP="00343B61">
      <w:pPr>
        <w:pStyle w:val="ListParagraph"/>
        <w:spacing w:line="360" w:lineRule="auto"/>
        <w:ind w:left="0" w:firstLine="720"/>
        <w:jc w:val="both"/>
        <w:rPr>
          <w:rFonts w:asciiTheme="majorBidi" w:hAnsiTheme="majorBidi" w:cstheme="majorBidi"/>
          <w:i/>
          <w:iCs/>
        </w:rPr>
      </w:pPr>
      <w:r w:rsidRPr="00C82A57">
        <w:rPr>
          <w:rFonts w:asciiTheme="majorBidi" w:hAnsiTheme="majorBidi" w:cstheme="majorBidi"/>
          <w:sz w:val="24"/>
          <w:szCs w:val="24"/>
        </w:rPr>
        <w:t xml:space="preserve"> Ayat </w:t>
      </w:r>
      <w:r>
        <w:rPr>
          <w:rFonts w:asciiTheme="majorBidi" w:hAnsiTheme="majorBidi" w:cstheme="majorBidi"/>
          <w:sz w:val="24"/>
          <w:szCs w:val="24"/>
        </w:rPr>
        <w:t xml:space="preserve">Al-Qur’ān </w:t>
      </w:r>
      <w:r w:rsidRPr="00C82A57">
        <w:rPr>
          <w:rFonts w:asciiTheme="majorBidi" w:hAnsiTheme="majorBidi" w:cstheme="majorBidi"/>
          <w:sz w:val="24"/>
          <w:szCs w:val="24"/>
        </w:rPr>
        <w:t>dan hadis</w:t>
      </w:r>
      <w:r>
        <w:rPr>
          <w:rFonts w:asciiTheme="majorBidi" w:hAnsiTheme="majorBidi" w:cstheme="majorBidi"/>
          <w:sz w:val="24"/>
          <w:szCs w:val="24"/>
        </w:rPr>
        <w:t xml:space="preserve"> Nabi SAW</w:t>
      </w:r>
      <w:r w:rsidRPr="00C82A57">
        <w:rPr>
          <w:rFonts w:asciiTheme="majorBidi" w:hAnsiTheme="majorBidi" w:cstheme="majorBidi"/>
          <w:sz w:val="24"/>
          <w:szCs w:val="24"/>
        </w:rPr>
        <w:t xml:space="preserve"> di atas senantiasa dipegang teguh oleh Komisi Fatwa dan Hukum MUI setiap akan mengeluarkan suatu fatwa. Oleh karena itu, kira dapat dimaklumi apabila ada kesan yang dirasakan bahwa Komisi Fatwa tidak produktif atau agak lamban dalam merespon p</w:t>
      </w:r>
      <w:r>
        <w:rPr>
          <w:rFonts w:asciiTheme="majorBidi" w:hAnsiTheme="majorBidi" w:cstheme="majorBidi"/>
          <w:sz w:val="24"/>
          <w:szCs w:val="24"/>
        </w:rPr>
        <w:t>ersoalan yang merebak di tengah</w:t>
      </w:r>
      <w:r w:rsidRPr="00C82A57">
        <w:rPr>
          <w:rFonts w:asciiTheme="majorBidi" w:hAnsiTheme="majorBidi" w:cstheme="majorBidi"/>
          <w:sz w:val="24"/>
          <w:szCs w:val="24"/>
        </w:rPr>
        <w:t>–tengah masyarakat. Sebab, selain khawatir akan terkena ancaman ayat dan hadis di atas, untuk mengeluarkan sebuah fatwa harus memperhatikan situasi dan kondisi, sehingga fatwanya benar-benar membagi kemaslahatan bari masyarakat dan sejalan dengan tujuan persyariatan Islam (</w:t>
      </w:r>
      <w:r w:rsidRPr="00DF5213">
        <w:rPr>
          <w:rFonts w:asciiTheme="majorBidi" w:hAnsiTheme="majorBidi" w:cstheme="majorBidi"/>
          <w:i/>
          <w:iCs/>
          <w:sz w:val="24"/>
          <w:szCs w:val="24"/>
        </w:rPr>
        <w:t>maqāṣid al-sharī</w:t>
      </w:r>
      <w:r w:rsidRPr="00DF5213">
        <w:rPr>
          <w:sz w:val="24"/>
          <w:szCs w:val="24"/>
        </w:rPr>
        <w:t>‘</w:t>
      </w:r>
      <w:r w:rsidRPr="00DF5213">
        <w:rPr>
          <w:rFonts w:asciiTheme="majorBidi" w:hAnsiTheme="majorBidi" w:cstheme="majorBidi"/>
          <w:i/>
          <w:iCs/>
          <w:sz w:val="24"/>
          <w:szCs w:val="24"/>
        </w:rPr>
        <w:t>ah</w:t>
      </w:r>
      <w:r w:rsidRPr="00C82A57">
        <w:rPr>
          <w:rFonts w:asciiTheme="majorBidi" w:hAnsiTheme="majorBidi" w:cstheme="majorBidi"/>
          <w:sz w:val="24"/>
          <w:szCs w:val="24"/>
        </w:rPr>
        <w:t xml:space="preserve">), </w:t>
      </w:r>
      <w:r w:rsidRPr="00C82A57">
        <w:rPr>
          <w:rFonts w:asciiTheme="majorBidi" w:hAnsiTheme="majorBidi" w:cstheme="majorBidi"/>
          <w:sz w:val="24"/>
          <w:szCs w:val="24"/>
        </w:rPr>
        <w:lastRenderedPageBreak/>
        <w:t xml:space="preserve">yaitu </w:t>
      </w:r>
      <w:r w:rsidRPr="00DF5213">
        <w:rPr>
          <w:rFonts w:asciiTheme="majorBidi" w:hAnsiTheme="majorBidi" w:cstheme="majorBidi"/>
          <w:i/>
          <w:iCs/>
          <w:sz w:val="24"/>
          <w:szCs w:val="24"/>
        </w:rPr>
        <w:t>al-maṣālih al-‘āmmah</w:t>
      </w:r>
      <w:r>
        <w:rPr>
          <w:rFonts w:asciiTheme="majorBidi" w:hAnsiTheme="majorBidi" w:cstheme="majorBidi"/>
          <w:i/>
          <w:iCs/>
          <w:sz w:val="24"/>
          <w:szCs w:val="24"/>
        </w:rPr>
        <w:t>)</w:t>
      </w:r>
      <w:r w:rsidRPr="00C82A57">
        <w:rPr>
          <w:rFonts w:asciiTheme="majorBidi" w:hAnsiTheme="majorBidi" w:cstheme="majorBidi"/>
          <w:sz w:val="24"/>
          <w:szCs w:val="24"/>
        </w:rPr>
        <w:t xml:space="preserve"> atau kemaslahatan umum yang di sepakati oleh seluruh ulama.</w:t>
      </w:r>
      <w:r w:rsidRPr="00C82A57">
        <w:rPr>
          <w:rStyle w:val="FootnoteReference"/>
          <w:rFonts w:asciiTheme="majorBidi" w:hAnsiTheme="majorBidi" w:cstheme="majorBidi"/>
          <w:sz w:val="24"/>
          <w:szCs w:val="24"/>
        </w:rPr>
        <w:footnoteReference w:id="553"/>
      </w:r>
      <w:r w:rsidRPr="00C82A57">
        <w:rPr>
          <w:rFonts w:asciiTheme="majorBidi" w:hAnsiTheme="majorBidi" w:cstheme="majorBidi"/>
          <w:sz w:val="24"/>
          <w:szCs w:val="24"/>
        </w:rPr>
        <w:t xml:space="preserve">  </w:t>
      </w:r>
    </w:p>
    <w:p w:rsidR="00343B61" w:rsidRPr="002D640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640F">
        <w:rPr>
          <w:rFonts w:asciiTheme="majorBidi" w:hAnsiTheme="majorBidi" w:cstheme="majorBidi"/>
          <w:sz w:val="24"/>
          <w:szCs w:val="24"/>
        </w:rPr>
        <w:t>Ibnu Qayyim mencatat, bahwa kalangan salaf ( sahabat dan tabi’in) tidak senang mudah berfatwa, dan kalau sudah ada seorang diantara mereka berfatwa,itu sud</w:t>
      </w:r>
      <w:r>
        <w:rPr>
          <w:rFonts w:asciiTheme="majorBidi" w:hAnsiTheme="majorBidi" w:cstheme="majorBidi"/>
          <w:sz w:val="24"/>
          <w:szCs w:val="24"/>
        </w:rPr>
        <w:t>ah dianggap memadai. Fatwa meng</w:t>
      </w:r>
      <w:r w:rsidRPr="002D640F">
        <w:rPr>
          <w:rFonts w:asciiTheme="majorBidi" w:hAnsiTheme="majorBidi" w:cstheme="majorBidi"/>
          <w:sz w:val="24"/>
          <w:szCs w:val="24"/>
        </w:rPr>
        <w:t xml:space="preserve">hendaki pula pengetahuan memadai tentang apa yang hendak difatwakan. Mufti tidak boleh memfatwakan masalah apa saja yang ditanyakan kepadanya, yang dalam hal ini Ibnu Abbas menyampaikan kritikan amat pedas: </w:t>
      </w:r>
    </w:p>
    <w:p w:rsidR="00343B61" w:rsidRPr="00CA0F10" w:rsidRDefault="00343B61" w:rsidP="00343B61">
      <w:pPr>
        <w:autoSpaceDE w:val="0"/>
        <w:autoSpaceDN w:val="0"/>
        <w:bidi/>
        <w:adjustRightInd w:val="0"/>
        <w:spacing w:after="0" w:line="240" w:lineRule="auto"/>
        <w:ind w:firstLine="17"/>
        <w:rPr>
          <w:rFonts w:ascii="Adobe نسخ Medium" w:hAnsi="Adobe نسخ Medium" w:cs="Traditional Arabic"/>
          <w:sz w:val="32"/>
          <w:szCs w:val="32"/>
        </w:rPr>
      </w:pPr>
      <w:r w:rsidRPr="00CA0F10">
        <w:rPr>
          <w:rFonts w:ascii="Adobe نسخ Medium" w:hAnsi="Adobe نسخ Medium" w:cs="Traditional Arabic"/>
          <w:sz w:val="32"/>
          <w:szCs w:val="32"/>
          <w:rtl/>
        </w:rPr>
        <w:t>إن كل من أفتى الناس فى كل ما يسئله عنه لمجنون</w:t>
      </w:r>
    </w:p>
    <w:p w:rsidR="00343B61" w:rsidRPr="006930FB"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6930FB">
        <w:rPr>
          <w:rFonts w:asciiTheme="majorBidi" w:hAnsiTheme="majorBidi" w:cstheme="majorBidi"/>
          <w:sz w:val="24"/>
          <w:szCs w:val="24"/>
        </w:rPr>
        <w:t>Artinya: “</w:t>
      </w:r>
      <w:r w:rsidRPr="006930FB">
        <w:rPr>
          <w:rFonts w:asciiTheme="majorBidi" w:hAnsiTheme="majorBidi" w:cstheme="majorBidi"/>
          <w:i/>
          <w:iCs/>
          <w:sz w:val="24"/>
          <w:szCs w:val="24"/>
        </w:rPr>
        <w:t>Setiap yang berfatwa untuk orang banyak mengenai semua masalah yang ditanyakan kepadanya sesungguh mereka gila</w:t>
      </w:r>
      <w:r w:rsidRPr="006930FB">
        <w:rPr>
          <w:rFonts w:asciiTheme="majorBidi" w:hAnsiTheme="majorBidi" w:cstheme="majorBidi"/>
          <w:sz w:val="24"/>
          <w:szCs w:val="24"/>
        </w:rPr>
        <w:t>”.</w:t>
      </w:r>
      <w:r w:rsidRPr="006930FB">
        <w:rPr>
          <w:rStyle w:val="FootnoteReference"/>
          <w:rFonts w:asciiTheme="majorBidi" w:hAnsiTheme="majorBidi" w:cstheme="majorBidi"/>
          <w:sz w:val="24"/>
          <w:szCs w:val="24"/>
        </w:rPr>
        <w:footnoteReference w:id="554"/>
      </w:r>
    </w:p>
    <w:p w:rsidR="00343B61" w:rsidRPr="002D640F" w:rsidRDefault="00343B61" w:rsidP="00343B61">
      <w:pPr>
        <w:autoSpaceDE w:val="0"/>
        <w:autoSpaceDN w:val="0"/>
        <w:adjustRightInd w:val="0"/>
        <w:spacing w:after="0" w:line="360" w:lineRule="auto"/>
        <w:ind w:left="720"/>
        <w:jc w:val="both"/>
        <w:rPr>
          <w:rFonts w:ascii="Z@R72D2.tmp" w:hAnsi="Z@R72D2.tmp"/>
          <w:sz w:val="24"/>
          <w:szCs w:val="24"/>
        </w:rPr>
      </w:pPr>
    </w:p>
    <w:p w:rsidR="00343B61" w:rsidRPr="002D640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640F">
        <w:rPr>
          <w:rFonts w:asciiTheme="majorBidi" w:hAnsiTheme="majorBidi" w:cstheme="majorBidi"/>
          <w:sz w:val="24"/>
          <w:szCs w:val="24"/>
        </w:rPr>
        <w:t>Dalam khidmahnya membangun kehidupan berbangsa dan bermasyarakat, MUI berperan sebagai pemberi fatwa bagi umat Islam baik diminta maupun tidak diminta. Sebagai lembaga pemberi fatwa MUI mengakomodasi dan menyalurkan aspirasi umat Islam Indonesia yang sangat beragam aliran paham dan pemikiran serta organisasi keagamaannya.</w:t>
      </w:r>
      <w:r w:rsidRPr="002D640F">
        <w:rPr>
          <w:rStyle w:val="FootnoteReference"/>
          <w:rFonts w:asciiTheme="majorBidi" w:hAnsiTheme="majorBidi" w:cstheme="majorBidi"/>
          <w:sz w:val="24"/>
          <w:szCs w:val="24"/>
        </w:rPr>
        <w:footnoteReference w:id="555"/>
      </w:r>
    </w:p>
    <w:p w:rsidR="00343B61" w:rsidRPr="002D640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640F">
        <w:rPr>
          <w:rFonts w:asciiTheme="majorBidi" w:hAnsiTheme="majorBidi" w:cstheme="majorBidi"/>
          <w:sz w:val="24"/>
          <w:szCs w:val="24"/>
        </w:rPr>
        <w:t xml:space="preserve">Fatwa menemukan urgensitasnya karena ia memuat penjelasan dan bimbingan hukum mengenai berbagai hal, mulai dari masalah ibadah, muamalah (sosial, politik maupun ekonomi) hingga masalah-masalah aktual dan kontemporer yang muncul seiring dengan perkembangan peradaban manusia. Dalam konteks tata perundangan nasional, fatwa MUI memang tidak menjadi bagian dalam sistem hukum dan perundang-undangan di Indonesia, bahkan dalam struktur kelembagaan negara juga tidak dikenal apa yang disebut dengan mufti ataupun lembaga fatwa. Selain itu, hakekat dasar fatwa sesungguhnya berfungsi sebagai </w:t>
      </w:r>
      <w:r w:rsidRPr="002D640F">
        <w:rPr>
          <w:rFonts w:asciiTheme="majorBidi" w:hAnsiTheme="majorBidi" w:cstheme="majorBidi"/>
          <w:sz w:val="24"/>
          <w:szCs w:val="24"/>
        </w:rPr>
        <w:lastRenderedPageBreak/>
        <w:t>sebuah pendapat hukum (</w:t>
      </w:r>
      <w:r w:rsidRPr="002D640F">
        <w:rPr>
          <w:rFonts w:asciiTheme="majorBidi" w:hAnsiTheme="majorBidi" w:cstheme="majorBidi"/>
          <w:i/>
          <w:iCs/>
          <w:sz w:val="24"/>
          <w:szCs w:val="24"/>
        </w:rPr>
        <w:t>legal opinion</w:t>
      </w:r>
      <w:r w:rsidRPr="002D640F">
        <w:rPr>
          <w:rFonts w:asciiTheme="majorBidi" w:hAnsiTheme="majorBidi" w:cstheme="majorBidi"/>
          <w:sz w:val="24"/>
          <w:szCs w:val="24"/>
        </w:rPr>
        <w:t>) yang daya ikatnya berbeda dengan putusan hukum (</w:t>
      </w:r>
      <w:r w:rsidRPr="002D640F">
        <w:rPr>
          <w:rFonts w:asciiTheme="majorBidi" w:hAnsiTheme="majorBidi" w:cstheme="majorBidi"/>
          <w:i/>
          <w:iCs/>
          <w:sz w:val="24"/>
          <w:szCs w:val="24"/>
        </w:rPr>
        <w:t>qadl</w:t>
      </w:r>
      <w:r w:rsidRPr="004713AF">
        <w:rPr>
          <w:rFonts w:asciiTheme="majorBidi" w:hAnsiTheme="majorBidi" w:cstheme="majorBidi"/>
          <w:i/>
          <w:iCs/>
          <w:sz w:val="24"/>
          <w:szCs w:val="24"/>
        </w:rPr>
        <w:t>ā</w:t>
      </w:r>
      <w:r w:rsidRPr="002D640F">
        <w:rPr>
          <w:rFonts w:asciiTheme="majorBidi" w:hAnsiTheme="majorBidi" w:cstheme="majorBidi"/>
          <w:i/>
          <w:iCs/>
          <w:sz w:val="24"/>
          <w:szCs w:val="24"/>
        </w:rPr>
        <w:t>'</w:t>
      </w:r>
      <w:r w:rsidRPr="002D640F">
        <w:rPr>
          <w:rFonts w:asciiTheme="majorBidi" w:hAnsiTheme="majorBidi" w:cstheme="majorBidi"/>
          <w:sz w:val="24"/>
          <w:szCs w:val="24"/>
        </w:rPr>
        <w:t>)</w:t>
      </w:r>
      <w:r w:rsidRPr="002D640F">
        <w:rPr>
          <w:rStyle w:val="FootnoteReference"/>
          <w:rFonts w:asciiTheme="majorBidi" w:hAnsiTheme="majorBidi" w:cstheme="majorBidi"/>
          <w:sz w:val="24"/>
          <w:szCs w:val="24"/>
        </w:rPr>
        <w:footnoteReference w:id="556"/>
      </w:r>
      <w:r w:rsidRPr="002D640F">
        <w:rPr>
          <w:rFonts w:asciiTheme="majorBidi" w:hAnsiTheme="majorBidi" w:cstheme="majorBidi"/>
          <w:sz w:val="24"/>
          <w:szCs w:val="24"/>
        </w:rPr>
        <w:t>.</w:t>
      </w:r>
    </w:p>
    <w:p w:rsidR="00343B61" w:rsidRPr="00F47CBB"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F47CBB">
        <w:rPr>
          <w:rFonts w:asciiTheme="majorBidi" w:hAnsiTheme="majorBidi" w:cstheme="majorBidi"/>
          <w:sz w:val="24"/>
          <w:szCs w:val="24"/>
        </w:rPr>
        <w:t xml:space="preserve">Namun kenyataan yang terjadi, fatwa bagi sebagian besar umat Islam Indonesia tidak hanya dipahami sebagai pendapat hukum yang tidak mengikat, tapi lebih jauh dari itu fatwa ulama sudah menjadi acuan dan pedoman </w:t>
      </w:r>
      <w:r w:rsidRPr="00F47CBB">
        <w:rPr>
          <w:rFonts w:asciiTheme="majorBidi" w:hAnsiTheme="majorBidi" w:cstheme="majorBidi"/>
          <w:sz w:val="24"/>
          <w:szCs w:val="24"/>
        </w:rPr>
        <w:lastRenderedPageBreak/>
        <w:t>pelaksanaan ajaran agama dalam kehidupan sehari-hari.</w:t>
      </w:r>
      <w:r w:rsidRPr="00F47CBB">
        <w:rPr>
          <w:rStyle w:val="FootnoteReference"/>
          <w:rFonts w:asciiTheme="majorBidi" w:hAnsiTheme="majorBidi" w:cstheme="majorBidi"/>
          <w:sz w:val="24"/>
          <w:szCs w:val="24"/>
        </w:rPr>
        <w:footnoteReference w:id="557"/>
      </w:r>
      <w:r w:rsidRPr="00F47CBB">
        <w:rPr>
          <w:rFonts w:asciiTheme="majorBidi" w:hAnsiTheme="majorBidi" w:cstheme="majorBidi"/>
          <w:sz w:val="24"/>
          <w:szCs w:val="24"/>
        </w:rPr>
        <w:t xml:space="preserve"> Di samping itu, fatwa MUI juga manjadi rujukan dalam perumusan paraturan perundang-undangan. </w:t>
      </w:r>
      <w:r w:rsidRPr="00F47CBB">
        <w:rPr>
          <w:rStyle w:val="FootnoteReference"/>
          <w:rFonts w:asciiTheme="majorBidi" w:hAnsiTheme="majorBidi" w:cstheme="majorBidi"/>
          <w:sz w:val="24"/>
          <w:szCs w:val="24"/>
        </w:rPr>
        <w:footnoteReference w:id="558"/>
      </w:r>
      <w:r w:rsidRPr="00F47CBB">
        <w:rPr>
          <w:rFonts w:asciiTheme="majorBidi" w:hAnsiTheme="majorBidi" w:cstheme="majorBidi"/>
          <w:sz w:val="24"/>
          <w:szCs w:val="24"/>
        </w:rPr>
        <w:t xml:space="preserve"> </w:t>
      </w:r>
    </w:p>
    <w:p w:rsidR="00343B61" w:rsidRPr="0015333D"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Pr>
          <w:rFonts w:asciiTheme="majorBidi" w:hAnsiTheme="majorBidi" w:cstheme="majorBidi"/>
          <w:sz w:val="24"/>
          <w:szCs w:val="24"/>
        </w:rPr>
        <w:t>Efektiv</w:t>
      </w:r>
      <w:r w:rsidRPr="0015333D">
        <w:rPr>
          <w:rFonts w:asciiTheme="majorBidi" w:hAnsiTheme="majorBidi" w:cstheme="majorBidi"/>
          <w:sz w:val="24"/>
          <w:szCs w:val="24"/>
        </w:rPr>
        <w:t xml:space="preserve">itas fatwa MUI tersebut, menurut Asrorun Ni’am Sholeh, disebabkan oleh setidaknya dua faktor, </w:t>
      </w:r>
      <w:r w:rsidRPr="0015333D">
        <w:rPr>
          <w:rFonts w:asciiTheme="majorBidi" w:hAnsiTheme="majorBidi" w:cstheme="majorBidi"/>
          <w:i/>
          <w:iCs/>
          <w:sz w:val="24"/>
          <w:szCs w:val="24"/>
        </w:rPr>
        <w:t xml:space="preserve">pertama </w:t>
      </w:r>
      <w:r w:rsidRPr="0015333D">
        <w:rPr>
          <w:rFonts w:asciiTheme="majorBidi" w:hAnsiTheme="majorBidi" w:cstheme="majorBidi"/>
          <w:sz w:val="24"/>
          <w:szCs w:val="24"/>
        </w:rPr>
        <w:t xml:space="preserve">aspek kompetensi kelembagaan, dan </w:t>
      </w:r>
      <w:r w:rsidRPr="0015333D">
        <w:rPr>
          <w:rFonts w:asciiTheme="majorBidi" w:hAnsiTheme="majorBidi" w:cstheme="majorBidi"/>
          <w:i/>
          <w:iCs/>
          <w:sz w:val="24"/>
          <w:szCs w:val="24"/>
        </w:rPr>
        <w:t xml:space="preserve">kedua </w:t>
      </w:r>
      <w:r w:rsidRPr="0015333D">
        <w:rPr>
          <w:rFonts w:asciiTheme="majorBidi" w:hAnsiTheme="majorBidi" w:cstheme="majorBidi"/>
          <w:sz w:val="24"/>
          <w:szCs w:val="24"/>
        </w:rPr>
        <w:t xml:space="preserve">aspek kompetensi personal. Pada aspek kompetensi kelembagaan dapat dilihat dari sejarah kelahiran MUI sebagaimana dijelaskan pada bagian terdahulu. Dengan demikian, secara kelembagaan fatwa MUI dapat diterima oleh komunitas lintas ormas Islam. Sebagaimana diketahui, di Indonesia terdapat banyak Ormas Islam, dan sebagian dari itu memiliki lembaga fatwa. Sayangnya, banyak produk fatwa yang dikeluarkan lembaga fatwa ormas Islam kurang efektif karena hanya menjangkau komunitas di organisasinya masing-masing. Berangkat dari realitas tersebut, maka MUI, sebagai </w:t>
      </w:r>
      <w:r w:rsidRPr="0015333D">
        <w:rPr>
          <w:rFonts w:asciiTheme="majorBidi" w:hAnsiTheme="majorBidi" w:cstheme="majorBidi"/>
          <w:i/>
          <w:iCs/>
          <w:sz w:val="24"/>
          <w:szCs w:val="24"/>
        </w:rPr>
        <w:t>melting pot</w:t>
      </w:r>
      <w:r w:rsidRPr="0015333D">
        <w:rPr>
          <w:rFonts w:asciiTheme="majorBidi" w:hAnsiTheme="majorBidi" w:cstheme="majorBidi"/>
          <w:sz w:val="24"/>
          <w:szCs w:val="24"/>
        </w:rPr>
        <w:t xml:space="preserve"> (wadah berhimpun ulama dan zu’ama dari berbagai komponen/ormas Islam di Indonesia), memiliki posisi strategis dalam hal ini. Walaupun MUI tidak merupakan supra struktur dari ormas-ormas Islam yang ada di Indonesia, akan tetapi MUI bisa disebut sebagai sebuah wadah yang merepresentasikan umat Islam Indonesia.</w:t>
      </w:r>
      <w:r w:rsidRPr="0015333D">
        <w:rPr>
          <w:rStyle w:val="FootnoteReference"/>
          <w:rFonts w:asciiTheme="majorBidi" w:hAnsiTheme="majorBidi" w:cstheme="majorBidi"/>
          <w:sz w:val="24"/>
          <w:szCs w:val="24"/>
        </w:rPr>
        <w:footnoteReference w:id="559"/>
      </w:r>
      <w:r w:rsidRPr="0015333D">
        <w:rPr>
          <w:rFonts w:asciiTheme="majorBidi" w:hAnsiTheme="majorBidi" w:cstheme="majorBidi"/>
          <w:color w:val="FF0000"/>
          <w:sz w:val="24"/>
          <w:szCs w:val="24"/>
        </w:rPr>
        <w:t xml:space="preserve"> </w:t>
      </w:r>
    </w:p>
    <w:p w:rsidR="00343B61" w:rsidRPr="00CA64CD"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CA64CD">
        <w:rPr>
          <w:rFonts w:asciiTheme="majorBidi" w:hAnsiTheme="majorBidi" w:cstheme="majorBidi"/>
          <w:sz w:val="24"/>
          <w:szCs w:val="24"/>
        </w:rPr>
        <w:t xml:space="preserve">Sementara, terkait dengan kompetensi personal, dapat dilihat dari tingkat representasi pengurus MUI, terkhusus komisi Fatwa yang mencerminkan keberagaman latar belakang keilmuan, serta keberagaman latar belakang organisasi keagamaan Islam. Secara umum, pengurus MUI merupakan fungsionaris atau pimpinan ormas-ormas Islam, bahkan MUI juga mengakomodir tokoh-tokoh lain yang tidak berasal dari ormas Islam yang mempunyai kredibilitas </w:t>
      </w:r>
      <w:r w:rsidRPr="00CA64CD">
        <w:rPr>
          <w:rFonts w:asciiTheme="majorBidi" w:hAnsiTheme="majorBidi" w:cstheme="majorBidi"/>
          <w:sz w:val="24"/>
          <w:szCs w:val="24"/>
        </w:rPr>
        <w:lastRenderedPageBreak/>
        <w:t>dan kapabilitas, seperti Perguruan Tinggi Islam, Pesantren serta institusi keislaman lainnya.</w:t>
      </w:r>
      <w:r w:rsidRPr="00CA64CD">
        <w:rPr>
          <w:rStyle w:val="FootnoteReference"/>
          <w:rFonts w:asciiTheme="majorBidi" w:hAnsiTheme="majorBidi" w:cstheme="majorBidi"/>
          <w:sz w:val="24"/>
          <w:szCs w:val="24"/>
        </w:rPr>
        <w:footnoteReference w:id="560"/>
      </w:r>
      <w:r w:rsidRPr="00CA64CD">
        <w:rPr>
          <w:rFonts w:asciiTheme="majorBidi" w:hAnsiTheme="majorBidi" w:cstheme="majorBidi"/>
          <w:color w:val="FF0000"/>
          <w:sz w:val="24"/>
          <w:szCs w:val="24"/>
        </w:rPr>
        <w:t xml:space="preserve"> </w:t>
      </w:r>
    </w:p>
    <w:p w:rsidR="00343B61" w:rsidRPr="00A42E1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42E12">
        <w:rPr>
          <w:rFonts w:asciiTheme="majorBidi" w:hAnsiTheme="majorBidi" w:cstheme="majorBidi"/>
          <w:sz w:val="24"/>
          <w:szCs w:val="24"/>
        </w:rPr>
        <w:t>Wibawa dan pengaruh ulama yang bertindak sebagai mufti merupakan indikator utama kuat atau lemahnya efektivitas fatwa dalam menyelesaikan problem yang dihadapi masyarakat. Keanekaragaman masyarakat ( terutama di perkotaan) yang terdiri dari berbagaia kelompok, aliran, golongan dengan latar belakang budaya, tradisi dan pendidikan yang berbeda merupakan salah satu tantangan nyata efektifitas fatwa, karena sangat mungkin fatwa hanya mempunyai daya ikat untuk kelompok masyarakat tertentu saja, sedangkan kelompok lain yang tidak mengakui atau tidak mengenal fatwa tidak merasa terikat dengan fatwa, melainkan aka</w:t>
      </w:r>
      <w:r>
        <w:rPr>
          <w:rFonts w:asciiTheme="majorBidi" w:hAnsiTheme="majorBidi" w:cstheme="majorBidi"/>
          <w:sz w:val="24"/>
          <w:szCs w:val="24"/>
        </w:rPr>
        <w:t>n mengikuti pola pikir yang ses</w:t>
      </w:r>
      <w:r w:rsidRPr="00A42E12">
        <w:rPr>
          <w:rFonts w:asciiTheme="majorBidi" w:hAnsiTheme="majorBidi" w:cstheme="majorBidi"/>
          <w:sz w:val="24"/>
          <w:szCs w:val="24"/>
        </w:rPr>
        <w:t>u</w:t>
      </w:r>
      <w:r>
        <w:rPr>
          <w:rFonts w:asciiTheme="majorBidi" w:hAnsiTheme="majorBidi" w:cstheme="majorBidi"/>
          <w:sz w:val="24"/>
          <w:szCs w:val="24"/>
        </w:rPr>
        <w:t>a</w:t>
      </w:r>
      <w:r w:rsidRPr="00A42E12">
        <w:rPr>
          <w:rFonts w:asciiTheme="majorBidi" w:hAnsiTheme="majorBidi" w:cstheme="majorBidi"/>
          <w:sz w:val="24"/>
          <w:szCs w:val="24"/>
        </w:rPr>
        <w:t>i dengan aspirasi kelompok mereka sendiri.</w:t>
      </w:r>
      <w:r w:rsidRPr="00A42E12">
        <w:rPr>
          <w:rStyle w:val="FootnoteReference"/>
          <w:rFonts w:asciiTheme="majorBidi" w:hAnsiTheme="majorBidi" w:cstheme="majorBidi"/>
          <w:sz w:val="24"/>
          <w:szCs w:val="24"/>
        </w:rPr>
        <w:footnoteReference w:id="561"/>
      </w:r>
    </w:p>
    <w:p w:rsidR="00343B61" w:rsidRPr="00EF1187"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EF1187">
        <w:rPr>
          <w:rFonts w:asciiTheme="majorBidi" w:hAnsiTheme="majorBidi" w:cstheme="majorBidi"/>
          <w:sz w:val="24"/>
          <w:szCs w:val="24"/>
        </w:rPr>
        <w:t>MUI sebagai wadah perkhidmatan ulama kepada umat Islam di Indonesia mempunyai beberapa fungsi dan tugas yang harus diemban. Salah satu fungsi dan tugas tersebut adalah memberi fatwa keagamaan di Indonesia. Oleh karena posisi MUI yang strategis inilah, maka fatwa-fatwa yang ditetapkan oleh Majelis Ulama Indonesia mempunyai daya terima yang tinggi di kalangan umat Islam Indonesia di banding dengan fatwa yang ditetapkan oleh ormas Islam.</w:t>
      </w:r>
      <w:r w:rsidRPr="00EF1187">
        <w:rPr>
          <w:rStyle w:val="FootnoteReference"/>
          <w:rFonts w:asciiTheme="majorBidi" w:hAnsiTheme="majorBidi" w:cstheme="majorBidi"/>
          <w:sz w:val="24"/>
          <w:szCs w:val="24"/>
        </w:rPr>
        <w:footnoteReference w:id="562"/>
      </w:r>
      <w:r w:rsidRPr="00EF1187">
        <w:rPr>
          <w:rFonts w:asciiTheme="majorBidi" w:hAnsiTheme="majorBidi" w:cstheme="majorBidi"/>
          <w:color w:val="FF0000"/>
          <w:sz w:val="24"/>
          <w:szCs w:val="24"/>
        </w:rPr>
        <w:t xml:space="preserve"> </w:t>
      </w:r>
      <w:r>
        <w:rPr>
          <w:rFonts w:asciiTheme="majorBidi" w:hAnsiTheme="majorBidi" w:cstheme="majorBidi"/>
          <w:color w:val="FF0000"/>
          <w:sz w:val="24"/>
          <w:szCs w:val="24"/>
        </w:rPr>
        <w:tab/>
      </w:r>
    </w:p>
    <w:p w:rsidR="00343B61" w:rsidRPr="00681813" w:rsidRDefault="00343B61" w:rsidP="002C0A33">
      <w:pPr>
        <w:pStyle w:val="ListParagraph"/>
        <w:numPr>
          <w:ilvl w:val="0"/>
          <w:numId w:val="39"/>
        </w:numPr>
        <w:tabs>
          <w:tab w:val="left" w:pos="1620"/>
        </w:tabs>
        <w:spacing w:after="0" w:line="360" w:lineRule="auto"/>
        <w:ind w:left="450" w:hanging="270"/>
        <w:rPr>
          <w:rFonts w:asciiTheme="majorBidi" w:hAnsiTheme="majorBidi" w:cstheme="majorBidi"/>
          <w:sz w:val="24"/>
          <w:szCs w:val="24"/>
        </w:rPr>
      </w:pPr>
      <w:r w:rsidRPr="00681813">
        <w:rPr>
          <w:rFonts w:asciiTheme="majorBidi" w:hAnsiTheme="majorBidi" w:cstheme="majorBidi"/>
          <w:sz w:val="24"/>
          <w:szCs w:val="24"/>
        </w:rPr>
        <w:t>Dasar Penetapan Fatwa MUI</w:t>
      </w:r>
    </w:p>
    <w:p w:rsidR="00343B61" w:rsidRPr="0068181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681813">
        <w:rPr>
          <w:rFonts w:asciiTheme="majorBidi" w:hAnsiTheme="majorBidi" w:cstheme="majorBidi"/>
          <w:sz w:val="24"/>
          <w:szCs w:val="24"/>
        </w:rPr>
        <w:t>Untuk melakukan tugasnya sebagai pemberi fatwa, MUI mempunyai aturan main yang tertuang dalam Pedoman Tata Cara Penetapan Fatwa</w:t>
      </w:r>
      <w:r w:rsidRPr="00681813">
        <w:rPr>
          <w:rFonts w:asciiTheme="majorBidi" w:hAnsiTheme="majorBidi" w:cstheme="majorBidi"/>
          <w:i/>
          <w:iCs/>
          <w:sz w:val="24"/>
          <w:szCs w:val="24"/>
        </w:rPr>
        <w:t xml:space="preserve"> </w:t>
      </w:r>
      <w:r w:rsidRPr="00681813">
        <w:rPr>
          <w:rFonts w:asciiTheme="majorBidi" w:hAnsiTheme="majorBidi" w:cstheme="majorBidi"/>
          <w:sz w:val="24"/>
          <w:szCs w:val="24"/>
        </w:rPr>
        <w:t>yang telah diputuskan pada 18 januari 1986,</w:t>
      </w:r>
      <w:r w:rsidRPr="00681813">
        <w:rPr>
          <w:rStyle w:val="FootnoteReference"/>
          <w:rFonts w:asciiTheme="majorBidi" w:hAnsiTheme="majorBidi" w:cstheme="majorBidi"/>
          <w:sz w:val="24"/>
          <w:szCs w:val="24"/>
        </w:rPr>
        <w:footnoteReference w:id="563"/>
      </w:r>
      <w:r w:rsidRPr="00681813">
        <w:rPr>
          <w:rFonts w:asciiTheme="majorBidi" w:hAnsiTheme="majorBidi" w:cstheme="majorBidi"/>
          <w:sz w:val="24"/>
          <w:szCs w:val="24"/>
        </w:rPr>
        <w:t xml:space="preserve"> kemudian pedoman tersebut di perbarui </w:t>
      </w:r>
      <w:r w:rsidRPr="00681813">
        <w:rPr>
          <w:rFonts w:asciiTheme="majorBidi" w:hAnsiTheme="majorBidi" w:cstheme="majorBidi"/>
          <w:sz w:val="24"/>
          <w:szCs w:val="24"/>
        </w:rPr>
        <w:lastRenderedPageBreak/>
        <w:t>dengan Pedoman Penetapan Fatwa Majelis Ulama Indonesia</w:t>
      </w:r>
      <w:r w:rsidRPr="00681813">
        <w:rPr>
          <w:rFonts w:asciiTheme="majorBidi" w:hAnsiTheme="majorBidi" w:cstheme="majorBidi"/>
          <w:i/>
          <w:iCs/>
          <w:sz w:val="24"/>
          <w:szCs w:val="24"/>
        </w:rPr>
        <w:t xml:space="preserve"> </w:t>
      </w:r>
      <w:r w:rsidRPr="00681813">
        <w:rPr>
          <w:rFonts w:asciiTheme="majorBidi" w:hAnsiTheme="majorBidi" w:cstheme="majorBidi"/>
          <w:sz w:val="24"/>
          <w:szCs w:val="24"/>
        </w:rPr>
        <w:t>yang diputuskan pada tanggal 2 Oktober 1997 di Jakarta,</w:t>
      </w:r>
      <w:r w:rsidRPr="00681813">
        <w:rPr>
          <w:rStyle w:val="FootnoteReference"/>
          <w:rFonts w:asciiTheme="majorBidi" w:hAnsiTheme="majorBidi" w:cstheme="majorBidi"/>
          <w:sz w:val="24"/>
          <w:szCs w:val="24"/>
        </w:rPr>
        <w:footnoteReference w:id="564"/>
      </w:r>
      <w:r w:rsidRPr="00681813">
        <w:rPr>
          <w:rFonts w:asciiTheme="majorBidi" w:hAnsiTheme="majorBidi" w:cstheme="majorBidi"/>
          <w:sz w:val="24"/>
          <w:szCs w:val="24"/>
        </w:rPr>
        <w:t xml:space="preserve"> dan disempurnakan lagi dengan judul” Pedoman dan Prosedur Penetapan Fatwa MUI” pada 2001.</w:t>
      </w:r>
      <w:r w:rsidRPr="00681813">
        <w:rPr>
          <w:rStyle w:val="FootnoteReference"/>
          <w:rFonts w:asciiTheme="majorBidi" w:hAnsiTheme="majorBidi" w:cstheme="majorBidi"/>
          <w:sz w:val="24"/>
          <w:szCs w:val="24"/>
        </w:rPr>
        <w:footnoteReference w:id="565"/>
      </w:r>
      <w:r w:rsidRPr="00681813">
        <w:rPr>
          <w:rFonts w:asciiTheme="majorBidi" w:hAnsiTheme="majorBidi" w:cstheme="majorBidi"/>
          <w:sz w:val="24"/>
          <w:szCs w:val="24"/>
        </w:rPr>
        <w:t xml:space="preserve"> Terakhir, pedoman ini disempurnakan kembali melalui forum Ijtima' Ulama Komisi Fatwa Se-Indonesia I Yang berlangsung pada tanggal 20-22 Syawal 1424 H/ 14-16 Desember 2003 M di Jakarta</w:t>
      </w:r>
      <w:r w:rsidRPr="00681813">
        <w:rPr>
          <w:rStyle w:val="FootnoteReference"/>
          <w:rFonts w:asciiTheme="majorBidi" w:hAnsiTheme="majorBidi" w:cstheme="majorBidi"/>
          <w:sz w:val="24"/>
          <w:szCs w:val="24"/>
        </w:rPr>
        <w:footnoteReference w:id="566"/>
      </w:r>
      <w:r w:rsidRPr="00681813">
        <w:rPr>
          <w:rFonts w:asciiTheme="majorBidi" w:hAnsiTheme="majorBidi" w:cstheme="majorBidi"/>
          <w:sz w:val="24"/>
          <w:szCs w:val="24"/>
        </w:rPr>
        <w:t>.</w:t>
      </w:r>
    </w:p>
    <w:p w:rsidR="00343B61" w:rsidRPr="0068181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681813">
        <w:rPr>
          <w:rFonts w:asciiTheme="majorBidi" w:hAnsiTheme="majorBidi" w:cstheme="majorBidi"/>
          <w:sz w:val="24"/>
          <w:szCs w:val="24"/>
        </w:rPr>
        <w:t>Berbagai pertimbangan melatarbelakangi perubahan pedoman itu, di antaranya:</w:t>
      </w:r>
    </w:p>
    <w:p w:rsidR="00343B61" w:rsidRPr="00681813" w:rsidRDefault="00343B61" w:rsidP="00343B61">
      <w:pPr>
        <w:tabs>
          <w:tab w:val="left" w:pos="720"/>
        </w:tabs>
        <w:autoSpaceDE w:val="0"/>
        <w:autoSpaceDN w:val="0"/>
        <w:adjustRightInd w:val="0"/>
        <w:spacing w:after="0" w:line="360" w:lineRule="auto"/>
        <w:ind w:left="720" w:hanging="360"/>
        <w:jc w:val="both"/>
        <w:rPr>
          <w:rFonts w:asciiTheme="majorBidi" w:hAnsiTheme="majorBidi" w:cstheme="majorBidi"/>
          <w:sz w:val="24"/>
          <w:szCs w:val="24"/>
        </w:rPr>
      </w:pPr>
      <w:r>
        <w:rPr>
          <w:rFonts w:asciiTheme="majorBidi" w:hAnsiTheme="majorBidi" w:cstheme="majorBidi"/>
          <w:sz w:val="24"/>
          <w:szCs w:val="24"/>
        </w:rPr>
        <w:t xml:space="preserve">a. </w:t>
      </w:r>
      <w:r w:rsidRPr="00681813">
        <w:rPr>
          <w:rFonts w:asciiTheme="majorBidi" w:hAnsiTheme="majorBidi" w:cstheme="majorBidi"/>
          <w:sz w:val="24"/>
          <w:szCs w:val="24"/>
        </w:rPr>
        <w:t>Perkembangan ilmu pengetahuan dan teknologi serta keberhasilan pembangunan di berbagai bidang menyebabkan banyak perilaku dan persoalan baru yang tidak pernah terbayangkan sebelumnya menjadi kenyataan;</w:t>
      </w:r>
    </w:p>
    <w:p w:rsidR="00343B61" w:rsidRPr="00681813" w:rsidRDefault="00343B61" w:rsidP="00343B61">
      <w:pPr>
        <w:tabs>
          <w:tab w:val="left" w:pos="720"/>
        </w:tabs>
        <w:autoSpaceDE w:val="0"/>
        <w:autoSpaceDN w:val="0"/>
        <w:adjustRightInd w:val="0"/>
        <w:spacing w:after="0" w:line="360" w:lineRule="auto"/>
        <w:ind w:left="720" w:hanging="360"/>
        <w:jc w:val="both"/>
        <w:rPr>
          <w:rFonts w:asciiTheme="majorBidi" w:hAnsiTheme="majorBidi" w:cstheme="majorBidi"/>
          <w:sz w:val="24"/>
          <w:szCs w:val="24"/>
        </w:rPr>
      </w:pPr>
      <w:r>
        <w:rPr>
          <w:rFonts w:asciiTheme="majorBidi" w:hAnsiTheme="majorBidi" w:cstheme="majorBidi"/>
          <w:sz w:val="24"/>
          <w:szCs w:val="24"/>
        </w:rPr>
        <w:t xml:space="preserve">b.  </w:t>
      </w:r>
      <w:r w:rsidRPr="00681813">
        <w:rPr>
          <w:rFonts w:asciiTheme="majorBidi" w:hAnsiTheme="majorBidi" w:cstheme="majorBidi"/>
          <w:sz w:val="24"/>
          <w:szCs w:val="24"/>
        </w:rPr>
        <w:t>Berkembangnya kesadaran beragama dikalangan umat Islam menyebabkan banyak munculnya pertanyaan dalam berbagai bidang yang mereka dapati dan mereka tidak mengetahui apa pandangan Islam terhadap hal-hal yang menurut mereka baru dan tidak mereka dapati dari peninggalan para pendahulu mereka;</w:t>
      </w:r>
    </w:p>
    <w:p w:rsidR="00343B61" w:rsidRPr="00681813" w:rsidRDefault="00343B61" w:rsidP="00343B61">
      <w:pPr>
        <w:tabs>
          <w:tab w:val="left" w:pos="630"/>
        </w:tabs>
        <w:autoSpaceDE w:val="0"/>
        <w:autoSpaceDN w:val="0"/>
        <w:adjustRightInd w:val="0"/>
        <w:spacing w:after="0" w:line="36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c.  </w:t>
      </w:r>
      <w:r w:rsidRPr="00681813">
        <w:rPr>
          <w:rFonts w:asciiTheme="majorBidi" w:hAnsiTheme="majorBidi" w:cstheme="majorBidi"/>
          <w:sz w:val="24"/>
          <w:szCs w:val="24"/>
        </w:rPr>
        <w:t>Boleh jadi, permasalahan yang dipertanyakan itu sudah ada jawabannya di dalam berbagai peninggalan masa lalu, mulai dari Al-Qur’ān sampai pendapat para ulama dalam berbagai kitabnya;</w:t>
      </w:r>
    </w:p>
    <w:p w:rsidR="00343B61" w:rsidRPr="00681813" w:rsidRDefault="00343B61" w:rsidP="00343B61">
      <w:pPr>
        <w:tabs>
          <w:tab w:val="left" w:pos="630"/>
        </w:tabs>
        <w:autoSpaceDE w:val="0"/>
        <w:autoSpaceDN w:val="0"/>
        <w:adjustRightInd w:val="0"/>
        <w:spacing w:after="0" w:line="36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d. </w:t>
      </w:r>
      <w:r w:rsidRPr="00681813">
        <w:rPr>
          <w:rFonts w:asciiTheme="majorBidi" w:hAnsiTheme="majorBidi" w:cstheme="majorBidi"/>
          <w:sz w:val="24"/>
          <w:szCs w:val="24"/>
        </w:rPr>
        <w:t>Bila tidak, maka jawaban itu harus diupayakan dengan segala kemampuan yang dimiliki, terutama oleh para ulama yang memiliki kapasitas pengetahuan yang memadai dalam bidangnya;</w:t>
      </w:r>
    </w:p>
    <w:p w:rsidR="00343B61" w:rsidRPr="00681813" w:rsidRDefault="00343B61" w:rsidP="00343B61">
      <w:pPr>
        <w:tabs>
          <w:tab w:val="left" w:pos="630"/>
        </w:tabs>
        <w:autoSpaceDE w:val="0"/>
        <w:autoSpaceDN w:val="0"/>
        <w:adjustRightInd w:val="0"/>
        <w:spacing w:after="0" w:line="36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e. </w:t>
      </w:r>
      <w:r w:rsidRPr="00681813">
        <w:rPr>
          <w:rFonts w:asciiTheme="majorBidi" w:hAnsiTheme="majorBidi" w:cstheme="majorBidi"/>
          <w:sz w:val="24"/>
          <w:szCs w:val="24"/>
        </w:rPr>
        <w:t xml:space="preserve">Majelis Ulama Indonesia sebagai wadah musyawarah para ulama, zu’ama, dan cendekiawan muslim sudah seharusnya menjadi pengayom seluruh </w:t>
      </w:r>
      <w:r w:rsidRPr="00681813">
        <w:rPr>
          <w:rFonts w:asciiTheme="majorBidi" w:hAnsiTheme="majorBidi" w:cstheme="majorBidi"/>
          <w:sz w:val="24"/>
          <w:szCs w:val="24"/>
        </w:rPr>
        <w:lastRenderedPageBreak/>
        <w:t>muslim Indonesia. Oleh karenanya, lembaga ini adalah lembaga yang paling memiliki kompetensi untuk memberikan solusi bagi berbagai permasalahan sosial keagamaan yang dihadapi oleh masyarakat. Di samping itu juga, lembaga ini telah mendapat kepercayaan penuh masyarakat dan pemerintah.</w:t>
      </w:r>
      <w:r w:rsidRPr="00681813">
        <w:rPr>
          <w:rStyle w:val="FootnoteReference"/>
          <w:rFonts w:asciiTheme="majorBidi" w:hAnsiTheme="majorBidi" w:cstheme="majorBidi"/>
          <w:sz w:val="24"/>
          <w:szCs w:val="24"/>
        </w:rPr>
        <w:footnoteReference w:id="567"/>
      </w:r>
      <w:r w:rsidRPr="00681813">
        <w:rPr>
          <w:rFonts w:asciiTheme="majorBidi" w:hAnsiTheme="majorBidi" w:cstheme="majorBidi"/>
          <w:sz w:val="24"/>
          <w:szCs w:val="24"/>
        </w:rPr>
        <w:t xml:space="preserve"> </w:t>
      </w:r>
    </w:p>
    <w:p w:rsidR="00343B61" w:rsidRPr="0068181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681813">
        <w:rPr>
          <w:rFonts w:asciiTheme="majorBidi" w:hAnsiTheme="majorBidi" w:cstheme="majorBidi"/>
          <w:sz w:val="24"/>
          <w:szCs w:val="24"/>
        </w:rPr>
        <w:t>Sebagaimana termaktub dalam Pedoman penetapan fatwa MUI, Maka fatwa MUI ditetapkan berdasarkan pada Al-Qur’ān, Hadis, Ijma’ dan Qiyas, dan aktifitas penetapan fatwa dilakukan secara kolektif oleh lembaga yang dinamakan “Komisi Fatwa”, serta penetapan fatwa MUI bersifat responsif, proaktif, dan antisipatif.</w:t>
      </w:r>
      <w:r w:rsidRPr="00681813">
        <w:rPr>
          <w:rStyle w:val="FootnoteReference"/>
          <w:rFonts w:asciiTheme="majorBidi" w:hAnsiTheme="majorBidi" w:cstheme="majorBidi"/>
          <w:sz w:val="24"/>
          <w:szCs w:val="24"/>
        </w:rPr>
        <w:footnoteReference w:id="568"/>
      </w:r>
      <w:r w:rsidRPr="00681813">
        <w:rPr>
          <w:rFonts w:asciiTheme="majorBidi" w:hAnsiTheme="majorBidi" w:cstheme="majorBidi"/>
          <w:color w:val="FF0000"/>
          <w:sz w:val="24"/>
          <w:szCs w:val="24"/>
        </w:rPr>
        <w:t xml:space="preserve"> </w:t>
      </w:r>
      <w:r w:rsidRPr="00681813">
        <w:rPr>
          <w:rFonts w:asciiTheme="majorBidi" w:hAnsiTheme="majorBidi" w:cstheme="majorBidi"/>
          <w:sz w:val="24"/>
          <w:szCs w:val="24"/>
        </w:rPr>
        <w:t xml:space="preserve">Berbeda dengan definisi fatwa secara umum, yang basisnya adalah pertanyaan dari </w:t>
      </w:r>
      <w:r w:rsidRPr="00681813">
        <w:rPr>
          <w:rFonts w:asciiTheme="majorBidi" w:hAnsiTheme="majorBidi" w:cstheme="majorBidi"/>
          <w:i/>
          <w:iCs/>
          <w:sz w:val="24"/>
          <w:szCs w:val="24"/>
        </w:rPr>
        <w:t>mustafti</w:t>
      </w:r>
      <w:r w:rsidRPr="00681813">
        <w:rPr>
          <w:rFonts w:asciiTheme="majorBidi" w:hAnsiTheme="majorBidi" w:cstheme="majorBidi"/>
          <w:sz w:val="24"/>
          <w:szCs w:val="24"/>
        </w:rPr>
        <w:t xml:space="preserve">, yang oleh karenanya bersifat pasif, fatwa MUI dengan ketiga sifat ini maka dituntut untuk aktif, tidak sekedar menunggu pertanyaan ataupun pengaduan dari </w:t>
      </w:r>
      <w:r w:rsidRPr="00681813">
        <w:rPr>
          <w:rFonts w:asciiTheme="majorBidi" w:hAnsiTheme="majorBidi" w:cstheme="majorBidi"/>
          <w:i/>
          <w:iCs/>
          <w:sz w:val="24"/>
          <w:szCs w:val="24"/>
        </w:rPr>
        <w:t>mustafti</w:t>
      </w:r>
      <w:r w:rsidRPr="00681813">
        <w:rPr>
          <w:rFonts w:asciiTheme="majorBidi" w:hAnsiTheme="majorBidi" w:cstheme="majorBidi"/>
          <w:sz w:val="24"/>
          <w:szCs w:val="24"/>
        </w:rPr>
        <w:t>.</w:t>
      </w:r>
    </w:p>
    <w:p w:rsidR="00343B61" w:rsidRPr="00084D6E" w:rsidRDefault="00343B61" w:rsidP="00343B61">
      <w:pPr>
        <w:pStyle w:val="ListParagraph"/>
        <w:spacing w:after="0" w:line="360" w:lineRule="auto"/>
        <w:ind w:left="0" w:firstLine="720"/>
        <w:jc w:val="both"/>
        <w:rPr>
          <w:rFonts w:asciiTheme="majorBidi" w:hAnsiTheme="majorBidi" w:cstheme="majorBidi"/>
          <w:i/>
          <w:iCs/>
        </w:rPr>
      </w:pPr>
      <w:r w:rsidRPr="00DF44A9">
        <w:rPr>
          <w:rFonts w:asciiTheme="majorBidi" w:hAnsiTheme="majorBidi" w:cstheme="majorBidi"/>
          <w:sz w:val="24"/>
          <w:szCs w:val="24"/>
        </w:rPr>
        <w:t xml:space="preserve">Al-Qur’ān, Hadis, Ijma’dan Qiyas merupakan sumber dan dalil hukum syara’ yang disepakati oleh jumhur ulama. Sedangkan yang lainnya, seperti </w:t>
      </w:r>
      <w:r w:rsidRPr="00DF44A9">
        <w:rPr>
          <w:rFonts w:asciiTheme="majorBidi" w:hAnsiTheme="majorBidi" w:cstheme="majorBidi"/>
          <w:i/>
          <w:iCs/>
          <w:sz w:val="24"/>
          <w:szCs w:val="24"/>
        </w:rPr>
        <w:t>al-istihsan</w:t>
      </w:r>
      <w:r w:rsidRPr="00DF44A9">
        <w:rPr>
          <w:rFonts w:asciiTheme="majorBidi" w:hAnsiTheme="majorBidi" w:cstheme="majorBidi"/>
          <w:sz w:val="24"/>
          <w:szCs w:val="24"/>
        </w:rPr>
        <w:t xml:space="preserve">, </w:t>
      </w:r>
      <w:r w:rsidRPr="00DF44A9">
        <w:rPr>
          <w:rFonts w:asciiTheme="majorBidi" w:hAnsiTheme="majorBidi" w:cstheme="majorBidi"/>
          <w:i/>
          <w:iCs/>
          <w:sz w:val="24"/>
          <w:szCs w:val="24"/>
        </w:rPr>
        <w:t>al-istishlah</w:t>
      </w:r>
      <w:r w:rsidRPr="00DF44A9">
        <w:rPr>
          <w:rFonts w:asciiTheme="majorBidi" w:hAnsiTheme="majorBidi" w:cstheme="majorBidi"/>
          <w:sz w:val="24"/>
          <w:szCs w:val="24"/>
        </w:rPr>
        <w:t xml:space="preserve">, </w:t>
      </w:r>
      <w:r w:rsidRPr="00DF44A9">
        <w:rPr>
          <w:rFonts w:asciiTheme="majorBidi" w:hAnsiTheme="majorBidi" w:cstheme="majorBidi"/>
          <w:i/>
          <w:iCs/>
          <w:sz w:val="24"/>
          <w:szCs w:val="24"/>
        </w:rPr>
        <w:t xml:space="preserve">sadd al-dzari‘ah </w:t>
      </w:r>
      <w:r w:rsidRPr="00DF44A9">
        <w:rPr>
          <w:rFonts w:asciiTheme="majorBidi" w:hAnsiTheme="majorBidi" w:cstheme="majorBidi"/>
          <w:sz w:val="24"/>
          <w:szCs w:val="24"/>
        </w:rPr>
        <w:t>dan lain sebagainya, diperselisihkan keberadaannya sebagai dalil hukum oleh ulama.</w:t>
      </w:r>
      <w:r w:rsidRPr="00DF44A9">
        <w:rPr>
          <w:rStyle w:val="FootnoteReference"/>
          <w:rFonts w:asciiTheme="majorBidi" w:hAnsiTheme="majorBidi" w:cstheme="majorBidi"/>
          <w:sz w:val="24"/>
          <w:szCs w:val="24"/>
        </w:rPr>
        <w:footnoteReference w:id="569"/>
      </w:r>
      <w:r w:rsidRPr="00DF44A9">
        <w:rPr>
          <w:rFonts w:asciiTheme="majorBidi" w:hAnsiTheme="majorBidi" w:cstheme="majorBidi"/>
          <w:sz w:val="24"/>
          <w:szCs w:val="24"/>
        </w:rPr>
        <w:t xml:space="preserve"> Meski demikian, metode </w:t>
      </w:r>
      <w:r w:rsidRPr="00DF44A9">
        <w:rPr>
          <w:rFonts w:asciiTheme="majorBidi" w:hAnsiTheme="majorBidi" w:cstheme="majorBidi"/>
          <w:i/>
          <w:iCs/>
          <w:sz w:val="24"/>
          <w:szCs w:val="24"/>
        </w:rPr>
        <w:t xml:space="preserve">istinbath </w:t>
      </w:r>
      <w:r w:rsidRPr="00DF44A9">
        <w:rPr>
          <w:rFonts w:asciiTheme="majorBidi" w:hAnsiTheme="majorBidi" w:cstheme="majorBidi"/>
          <w:sz w:val="24"/>
          <w:szCs w:val="24"/>
        </w:rPr>
        <w:t xml:space="preserve">hukum lain seperti </w:t>
      </w:r>
      <w:r w:rsidRPr="00DF44A9">
        <w:rPr>
          <w:rFonts w:asciiTheme="majorBidi" w:hAnsiTheme="majorBidi" w:cstheme="majorBidi"/>
          <w:i/>
          <w:iCs/>
          <w:sz w:val="24"/>
          <w:szCs w:val="24"/>
        </w:rPr>
        <w:t>istihsan</w:t>
      </w:r>
      <w:r w:rsidRPr="00DF44A9">
        <w:rPr>
          <w:rFonts w:asciiTheme="majorBidi" w:hAnsiTheme="majorBidi" w:cstheme="majorBidi"/>
          <w:sz w:val="24"/>
          <w:szCs w:val="24"/>
        </w:rPr>
        <w:t xml:space="preserve">, </w:t>
      </w:r>
      <w:r w:rsidRPr="00DF44A9">
        <w:rPr>
          <w:rFonts w:asciiTheme="majorBidi" w:hAnsiTheme="majorBidi" w:cstheme="majorBidi"/>
          <w:i/>
          <w:iCs/>
          <w:sz w:val="24"/>
          <w:szCs w:val="24"/>
        </w:rPr>
        <w:t>istishlah</w:t>
      </w:r>
      <w:r w:rsidRPr="00DF44A9">
        <w:rPr>
          <w:rFonts w:asciiTheme="majorBidi" w:hAnsiTheme="majorBidi" w:cstheme="majorBidi"/>
          <w:sz w:val="24"/>
          <w:szCs w:val="24"/>
        </w:rPr>
        <w:t xml:space="preserve">, dan </w:t>
      </w:r>
      <w:r w:rsidRPr="00DF44A9">
        <w:rPr>
          <w:rFonts w:asciiTheme="majorBidi" w:hAnsiTheme="majorBidi" w:cstheme="majorBidi"/>
          <w:i/>
          <w:iCs/>
          <w:sz w:val="24"/>
          <w:szCs w:val="24"/>
        </w:rPr>
        <w:t>sadd a</w:t>
      </w:r>
      <w:r>
        <w:rPr>
          <w:rFonts w:asciiTheme="majorBidi" w:hAnsiTheme="majorBidi" w:cstheme="majorBidi"/>
          <w:i/>
          <w:iCs/>
          <w:sz w:val="24"/>
          <w:szCs w:val="24"/>
        </w:rPr>
        <w:t>-</w:t>
      </w:r>
      <w:r w:rsidRPr="00DF44A9">
        <w:rPr>
          <w:rFonts w:asciiTheme="majorBidi" w:hAnsiTheme="majorBidi" w:cstheme="majorBidi"/>
          <w:i/>
          <w:iCs/>
          <w:sz w:val="24"/>
          <w:szCs w:val="24"/>
        </w:rPr>
        <w:t xml:space="preserve">ldzariah, </w:t>
      </w:r>
      <w:r w:rsidRPr="00DF44A9">
        <w:rPr>
          <w:rFonts w:asciiTheme="majorBidi" w:hAnsiTheme="majorBidi" w:cstheme="majorBidi"/>
          <w:sz w:val="24"/>
          <w:szCs w:val="24"/>
        </w:rPr>
        <w:t xml:space="preserve">tetap digunakan dalam fatwa MUI setelah keempat sumber dan dalil hukum tersebut melalui pendekatan </w:t>
      </w:r>
      <w:r w:rsidRPr="00084D6E">
        <w:rPr>
          <w:rFonts w:asciiTheme="majorBidi" w:hAnsiTheme="majorBidi" w:cstheme="majorBidi"/>
          <w:i/>
          <w:iCs/>
          <w:sz w:val="24"/>
          <w:szCs w:val="24"/>
        </w:rPr>
        <w:t>manhaj</w:t>
      </w:r>
      <w:r w:rsidRPr="00084D6E">
        <w:rPr>
          <w:rFonts w:asciiTheme="majorBidi" w:hAnsiTheme="majorBidi" w:cstheme="majorBidi"/>
          <w:i/>
          <w:iCs/>
        </w:rPr>
        <w:t>ī</w:t>
      </w:r>
      <w:r>
        <w:rPr>
          <w:rFonts w:asciiTheme="majorBidi" w:hAnsiTheme="majorBidi" w:cstheme="majorBidi"/>
          <w:i/>
          <w:iCs/>
          <w:sz w:val="24"/>
          <w:szCs w:val="24"/>
        </w:rPr>
        <w:t>.</w:t>
      </w:r>
      <w:r w:rsidRPr="00084D6E">
        <w:rPr>
          <w:rStyle w:val="FootnoteReference"/>
          <w:rFonts w:asciiTheme="majorBidi" w:hAnsiTheme="majorBidi" w:cstheme="majorBidi"/>
          <w:sz w:val="24"/>
          <w:szCs w:val="24"/>
        </w:rPr>
        <w:footnoteReference w:id="570"/>
      </w:r>
    </w:p>
    <w:p w:rsidR="00343B61" w:rsidRPr="00EC11D8"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EC11D8">
        <w:rPr>
          <w:rFonts w:asciiTheme="majorBidi" w:hAnsiTheme="majorBidi" w:cstheme="majorBidi"/>
          <w:sz w:val="24"/>
          <w:szCs w:val="24"/>
        </w:rPr>
        <w:t xml:space="preserve">Kesepakatan jumhur ulama terhadap penggunaan Al-Qur’ān, Sunnah, Ijma’ dan Qiyas didasarkan pada ayat Al-Qur’ān dalam QS. Al-Nisa </w:t>
      </w:r>
      <w:r>
        <w:rPr>
          <w:rFonts w:asciiTheme="majorBidi" w:hAnsiTheme="majorBidi" w:cstheme="majorBidi"/>
          <w:sz w:val="24"/>
          <w:szCs w:val="24"/>
        </w:rPr>
        <w:t>[4]</w:t>
      </w:r>
      <w:r w:rsidRPr="00EC11D8">
        <w:rPr>
          <w:rFonts w:asciiTheme="majorBidi" w:hAnsiTheme="majorBidi" w:cstheme="majorBidi"/>
          <w:sz w:val="24"/>
          <w:szCs w:val="24"/>
        </w:rPr>
        <w:t xml:space="preserve"> ayat 59 sebagai berikut:</w:t>
      </w:r>
    </w:p>
    <w:p w:rsidR="00343B61" w:rsidRPr="00BC5EAC" w:rsidRDefault="00343B61" w:rsidP="00343B61">
      <w:pPr>
        <w:autoSpaceDE w:val="0"/>
        <w:autoSpaceDN w:val="0"/>
        <w:bidi/>
        <w:adjustRightInd w:val="0"/>
        <w:spacing w:after="0" w:line="240" w:lineRule="auto"/>
        <w:rPr>
          <w:rFonts w:ascii="(normal text)" w:hAnsi="(normal text)"/>
          <w:sz w:val="28"/>
          <w:szCs w:val="28"/>
          <w:rtl/>
        </w:rPr>
      </w:pPr>
      <w:r w:rsidRPr="00BC5EAC">
        <w:rPr>
          <w:sz w:val="28"/>
          <w:szCs w:val="28"/>
        </w:rPr>
        <w:lastRenderedPageBreak/>
        <w:sym w:font="HQPB1" w:char="F024"/>
      </w:r>
      <w:r w:rsidRPr="00BC5EAC">
        <w:rPr>
          <w:sz w:val="28"/>
          <w:szCs w:val="28"/>
        </w:rPr>
        <w:sym w:font="HQPB5" w:char="F070"/>
      </w:r>
      <w:r w:rsidRPr="00BC5EAC">
        <w:rPr>
          <w:sz w:val="28"/>
          <w:szCs w:val="28"/>
        </w:rPr>
        <w:sym w:font="HQPB2" w:char="F06B"/>
      </w:r>
      <w:r w:rsidRPr="00BC5EAC">
        <w:rPr>
          <w:sz w:val="28"/>
          <w:szCs w:val="28"/>
        </w:rPr>
        <w:sym w:font="HQPB4" w:char="F09A"/>
      </w:r>
      <w:r w:rsidRPr="00BC5EAC">
        <w:rPr>
          <w:sz w:val="28"/>
          <w:szCs w:val="28"/>
        </w:rPr>
        <w:sym w:font="HQPB2" w:char="F089"/>
      </w:r>
      <w:r w:rsidRPr="00BC5EAC">
        <w:rPr>
          <w:sz w:val="28"/>
          <w:szCs w:val="28"/>
        </w:rPr>
        <w:sym w:font="HQPB5" w:char="F072"/>
      </w:r>
      <w:r w:rsidRPr="00BC5EAC">
        <w:rPr>
          <w:sz w:val="28"/>
          <w:szCs w:val="28"/>
        </w:rPr>
        <w:sym w:font="HQPB1" w:char="F027"/>
      </w:r>
      <w:r w:rsidRPr="00BC5EAC">
        <w:rPr>
          <w:sz w:val="28"/>
          <w:szCs w:val="28"/>
        </w:rPr>
        <w:sym w:font="HQPB5" w:char="F0AF"/>
      </w:r>
      <w:r w:rsidRPr="00BC5EAC">
        <w:rPr>
          <w:sz w:val="28"/>
          <w:szCs w:val="28"/>
        </w:rPr>
        <w:sym w:font="HQPB2" w:char="F0BB"/>
      </w:r>
      <w:r w:rsidRPr="00BC5EAC">
        <w:rPr>
          <w:sz w:val="28"/>
          <w:szCs w:val="28"/>
        </w:rPr>
        <w:sym w:font="HQPB5" w:char="F074"/>
      </w:r>
      <w:r w:rsidRPr="00BC5EAC">
        <w:rPr>
          <w:sz w:val="28"/>
          <w:szCs w:val="28"/>
        </w:rPr>
        <w:sym w:font="HQPB2" w:char="F083"/>
      </w:r>
      <w:r w:rsidRPr="00BC5EAC">
        <w:rPr>
          <w:rFonts w:ascii="(normal text)" w:hAnsi="(normal text)"/>
          <w:sz w:val="28"/>
          <w:szCs w:val="28"/>
          <w:rtl/>
        </w:rPr>
        <w:t xml:space="preserve"> </w:t>
      </w:r>
      <w:r w:rsidRPr="00BC5EAC">
        <w:rPr>
          <w:sz w:val="28"/>
          <w:szCs w:val="28"/>
        </w:rPr>
        <w:sym w:font="HQPB5" w:char="F074"/>
      </w:r>
      <w:r w:rsidRPr="00BC5EAC">
        <w:rPr>
          <w:sz w:val="28"/>
          <w:szCs w:val="28"/>
        </w:rPr>
        <w:sym w:font="HQPB2" w:char="F0FB"/>
      </w:r>
      <w:r w:rsidRPr="00BC5EAC">
        <w:rPr>
          <w:sz w:val="28"/>
          <w:szCs w:val="28"/>
        </w:rPr>
        <w:sym w:font="HQPB2" w:char="F0EF"/>
      </w:r>
      <w:r w:rsidRPr="00BC5EAC">
        <w:rPr>
          <w:sz w:val="28"/>
          <w:szCs w:val="28"/>
        </w:rPr>
        <w:sym w:font="HQPB4" w:char="F0CF"/>
      </w:r>
      <w:r w:rsidRPr="00BC5EAC">
        <w:rPr>
          <w:sz w:val="28"/>
          <w:szCs w:val="28"/>
        </w:rPr>
        <w:sym w:font="HQPB3" w:char="F025"/>
      </w:r>
      <w:r w:rsidRPr="00BC5EAC">
        <w:rPr>
          <w:sz w:val="28"/>
          <w:szCs w:val="28"/>
        </w:rPr>
        <w:sym w:font="HQPB4" w:char="F0A9"/>
      </w:r>
      <w:r w:rsidRPr="00BC5EAC">
        <w:rPr>
          <w:sz w:val="28"/>
          <w:szCs w:val="28"/>
        </w:rPr>
        <w:sym w:font="HQPB3" w:char="F021"/>
      </w:r>
      <w:r w:rsidRPr="00BC5EAC">
        <w:rPr>
          <w:sz w:val="28"/>
          <w:szCs w:val="28"/>
        </w:rPr>
        <w:sym w:font="HQPB5" w:char="F024"/>
      </w:r>
      <w:r w:rsidRPr="00BC5EAC">
        <w:rPr>
          <w:sz w:val="28"/>
          <w:szCs w:val="28"/>
        </w:rPr>
        <w:sym w:font="HQPB1" w:char="F023"/>
      </w:r>
      <w:r w:rsidRPr="00BC5EAC">
        <w:rPr>
          <w:rFonts w:ascii="(normal text)" w:hAnsi="(normal text)"/>
          <w:sz w:val="28"/>
          <w:szCs w:val="28"/>
          <w:rtl/>
        </w:rPr>
        <w:t xml:space="preserve"> </w:t>
      </w:r>
      <w:r w:rsidRPr="00BC5EAC">
        <w:rPr>
          <w:sz w:val="28"/>
          <w:szCs w:val="28"/>
        </w:rPr>
        <w:sym w:font="HQPB5" w:char="F028"/>
      </w:r>
      <w:r w:rsidRPr="00BC5EAC">
        <w:rPr>
          <w:sz w:val="28"/>
          <w:szCs w:val="28"/>
        </w:rPr>
        <w:sym w:font="HQPB1" w:char="F023"/>
      </w:r>
      <w:r w:rsidRPr="00BC5EAC">
        <w:rPr>
          <w:sz w:val="28"/>
          <w:szCs w:val="28"/>
        </w:rPr>
        <w:sym w:font="HQPB4" w:char="F0FE"/>
      </w:r>
      <w:r w:rsidRPr="00BC5EAC">
        <w:rPr>
          <w:sz w:val="28"/>
          <w:szCs w:val="28"/>
        </w:rPr>
        <w:sym w:font="HQPB2" w:char="F071"/>
      </w:r>
      <w:r w:rsidRPr="00BC5EAC">
        <w:rPr>
          <w:sz w:val="28"/>
          <w:szCs w:val="28"/>
        </w:rPr>
        <w:sym w:font="HQPB4" w:char="F0E3"/>
      </w:r>
      <w:r w:rsidRPr="00BC5EAC">
        <w:rPr>
          <w:sz w:val="28"/>
          <w:szCs w:val="28"/>
        </w:rPr>
        <w:sym w:font="HQPB2" w:char="F059"/>
      </w:r>
      <w:r w:rsidRPr="00BC5EAC">
        <w:rPr>
          <w:sz w:val="28"/>
          <w:szCs w:val="28"/>
        </w:rPr>
        <w:sym w:font="HQPB5" w:char="F074"/>
      </w:r>
      <w:r w:rsidRPr="00BC5EAC">
        <w:rPr>
          <w:sz w:val="28"/>
          <w:szCs w:val="28"/>
        </w:rPr>
        <w:sym w:font="HQPB2" w:char="F042"/>
      </w:r>
      <w:r w:rsidRPr="00BC5EAC">
        <w:rPr>
          <w:sz w:val="28"/>
          <w:szCs w:val="28"/>
        </w:rPr>
        <w:sym w:font="HQPB1" w:char="F023"/>
      </w:r>
      <w:r w:rsidRPr="00BC5EAC">
        <w:rPr>
          <w:sz w:val="28"/>
          <w:szCs w:val="28"/>
        </w:rPr>
        <w:sym w:font="HQPB5" w:char="F075"/>
      </w:r>
      <w:r w:rsidRPr="00BC5EAC">
        <w:rPr>
          <w:sz w:val="28"/>
          <w:szCs w:val="28"/>
        </w:rPr>
        <w:sym w:font="HQPB2" w:char="F0E4"/>
      </w:r>
      <w:r w:rsidRPr="00BC5EAC">
        <w:rPr>
          <w:rFonts w:ascii="(normal text)" w:hAnsi="(normal text)"/>
          <w:sz w:val="28"/>
          <w:szCs w:val="28"/>
          <w:rtl/>
        </w:rPr>
        <w:t xml:space="preserve"> </w:t>
      </w:r>
      <w:r w:rsidRPr="00BC5EAC">
        <w:rPr>
          <w:sz w:val="28"/>
          <w:szCs w:val="28"/>
        </w:rPr>
        <w:sym w:font="HQPB5" w:char="F028"/>
      </w:r>
      <w:r w:rsidRPr="00BC5EAC">
        <w:rPr>
          <w:sz w:val="28"/>
          <w:szCs w:val="28"/>
        </w:rPr>
        <w:sym w:font="HQPB1" w:char="F023"/>
      </w:r>
      <w:r w:rsidRPr="00BC5EAC">
        <w:rPr>
          <w:sz w:val="28"/>
          <w:szCs w:val="28"/>
        </w:rPr>
        <w:sym w:font="HQPB2" w:char="F071"/>
      </w:r>
      <w:r w:rsidRPr="00BC5EAC">
        <w:rPr>
          <w:sz w:val="28"/>
          <w:szCs w:val="28"/>
        </w:rPr>
        <w:sym w:font="HQPB4" w:char="F0E3"/>
      </w:r>
      <w:r w:rsidRPr="00BC5EAC">
        <w:rPr>
          <w:sz w:val="28"/>
          <w:szCs w:val="28"/>
        </w:rPr>
        <w:sym w:font="HQPB1" w:char="F0E8"/>
      </w:r>
      <w:r w:rsidRPr="00BC5EAC">
        <w:rPr>
          <w:sz w:val="28"/>
          <w:szCs w:val="28"/>
        </w:rPr>
        <w:sym w:font="HQPB2" w:char="F08B"/>
      </w:r>
      <w:r w:rsidRPr="00BC5EAC">
        <w:rPr>
          <w:sz w:val="28"/>
          <w:szCs w:val="28"/>
        </w:rPr>
        <w:sym w:font="HQPB4" w:char="F0CF"/>
      </w:r>
      <w:r w:rsidRPr="00BC5EAC">
        <w:rPr>
          <w:sz w:val="28"/>
          <w:szCs w:val="28"/>
        </w:rPr>
        <w:sym w:font="HQPB1" w:char="F0DB"/>
      </w:r>
      <w:r w:rsidRPr="00BC5EAC">
        <w:rPr>
          <w:sz w:val="28"/>
          <w:szCs w:val="28"/>
        </w:rPr>
        <w:sym w:font="HQPB5" w:char="F072"/>
      </w:r>
      <w:r w:rsidRPr="00BC5EAC">
        <w:rPr>
          <w:sz w:val="28"/>
          <w:szCs w:val="28"/>
        </w:rPr>
        <w:sym w:font="HQPB1" w:char="F026"/>
      </w:r>
      <w:r w:rsidRPr="00BC5EAC">
        <w:rPr>
          <w:rFonts w:ascii="(normal text)" w:hAnsi="(normal text)"/>
          <w:sz w:val="28"/>
          <w:szCs w:val="28"/>
          <w:rtl/>
        </w:rPr>
        <w:t xml:space="preserve"> </w:t>
      </w:r>
      <w:r w:rsidRPr="00BC5EAC">
        <w:rPr>
          <w:sz w:val="28"/>
          <w:szCs w:val="28"/>
        </w:rPr>
        <w:sym w:font="HQPB5" w:char="F0A9"/>
      </w:r>
      <w:r w:rsidRPr="00122F36">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BC5EAC">
        <w:rPr>
          <w:rFonts w:ascii="(normal text)" w:hAnsi="(normal text)"/>
          <w:sz w:val="28"/>
          <w:szCs w:val="28"/>
          <w:rtl/>
        </w:rPr>
        <w:t xml:space="preserve"> </w:t>
      </w:r>
      <w:r w:rsidRPr="00BC5EAC">
        <w:rPr>
          <w:sz w:val="28"/>
          <w:szCs w:val="28"/>
        </w:rPr>
        <w:sym w:font="HQPB5" w:char="F028"/>
      </w:r>
      <w:r w:rsidRPr="00BC5EAC">
        <w:rPr>
          <w:sz w:val="28"/>
          <w:szCs w:val="28"/>
        </w:rPr>
        <w:sym w:font="HQPB1" w:char="F023"/>
      </w:r>
      <w:r w:rsidRPr="00BC5EAC">
        <w:rPr>
          <w:sz w:val="28"/>
          <w:szCs w:val="28"/>
        </w:rPr>
        <w:sym w:font="HQPB2" w:char="F071"/>
      </w:r>
      <w:r w:rsidRPr="00BC5EAC">
        <w:rPr>
          <w:sz w:val="28"/>
          <w:szCs w:val="28"/>
        </w:rPr>
        <w:sym w:font="HQPB4" w:char="F0E3"/>
      </w:r>
      <w:r w:rsidRPr="00BC5EAC">
        <w:rPr>
          <w:sz w:val="28"/>
          <w:szCs w:val="28"/>
        </w:rPr>
        <w:sym w:font="HQPB1" w:char="F0E8"/>
      </w:r>
      <w:r w:rsidRPr="00BC5EAC">
        <w:rPr>
          <w:sz w:val="28"/>
          <w:szCs w:val="28"/>
        </w:rPr>
        <w:sym w:font="HQPB2" w:char="F08B"/>
      </w:r>
      <w:r w:rsidRPr="00BC5EAC">
        <w:rPr>
          <w:sz w:val="28"/>
          <w:szCs w:val="28"/>
        </w:rPr>
        <w:sym w:font="HQPB4" w:char="F0CF"/>
      </w:r>
      <w:r w:rsidRPr="00BC5EAC">
        <w:rPr>
          <w:sz w:val="28"/>
          <w:szCs w:val="28"/>
        </w:rPr>
        <w:sym w:font="HQPB1" w:char="F0DB"/>
      </w:r>
      <w:r w:rsidRPr="00BC5EAC">
        <w:rPr>
          <w:sz w:val="28"/>
          <w:szCs w:val="28"/>
        </w:rPr>
        <w:sym w:font="HQPB5" w:char="F072"/>
      </w:r>
      <w:r w:rsidRPr="00BC5EAC">
        <w:rPr>
          <w:sz w:val="28"/>
          <w:szCs w:val="28"/>
        </w:rPr>
        <w:sym w:font="HQPB1" w:char="F026"/>
      </w:r>
      <w:r w:rsidRPr="00BC5EAC">
        <w:rPr>
          <w:sz w:val="28"/>
          <w:szCs w:val="28"/>
        </w:rPr>
        <w:sym w:font="HQPB5" w:char="F075"/>
      </w:r>
      <w:r w:rsidRPr="00BC5EAC">
        <w:rPr>
          <w:sz w:val="28"/>
          <w:szCs w:val="28"/>
        </w:rPr>
        <w:sym w:font="HQPB2" w:char="F072"/>
      </w:r>
      <w:r w:rsidRPr="00BC5EAC">
        <w:rPr>
          <w:rFonts w:ascii="(normal text)" w:hAnsi="(normal text)"/>
          <w:sz w:val="28"/>
          <w:szCs w:val="28"/>
          <w:rtl/>
        </w:rPr>
        <w:t xml:space="preserve"> </w:t>
      </w:r>
      <w:r w:rsidRPr="00BC5EAC">
        <w:rPr>
          <w:sz w:val="28"/>
          <w:szCs w:val="28"/>
        </w:rPr>
        <w:sym w:font="HQPB5" w:char="F074"/>
      </w:r>
      <w:r w:rsidRPr="00BC5EAC">
        <w:rPr>
          <w:sz w:val="28"/>
          <w:szCs w:val="28"/>
        </w:rPr>
        <w:sym w:font="HQPB2" w:char="F041"/>
      </w:r>
      <w:r w:rsidRPr="00BC5EAC">
        <w:rPr>
          <w:sz w:val="28"/>
          <w:szCs w:val="28"/>
        </w:rPr>
        <w:sym w:font="HQPB2" w:char="F071"/>
      </w:r>
      <w:r w:rsidRPr="00BC5EAC">
        <w:rPr>
          <w:sz w:val="28"/>
          <w:szCs w:val="28"/>
        </w:rPr>
        <w:sym w:font="HQPB4" w:char="F0DF"/>
      </w:r>
      <w:r w:rsidRPr="00BC5EAC">
        <w:rPr>
          <w:sz w:val="28"/>
          <w:szCs w:val="28"/>
        </w:rPr>
        <w:sym w:font="HQPB1" w:char="F099"/>
      </w:r>
      <w:r w:rsidRPr="00BC5EAC">
        <w:rPr>
          <w:sz w:val="28"/>
          <w:szCs w:val="28"/>
        </w:rPr>
        <w:sym w:font="HQPB4" w:char="F0A7"/>
      </w:r>
      <w:r w:rsidRPr="00BC5EAC">
        <w:rPr>
          <w:sz w:val="28"/>
          <w:szCs w:val="28"/>
        </w:rPr>
        <w:sym w:font="HQPB1" w:char="F08D"/>
      </w:r>
      <w:r w:rsidRPr="00BC5EAC">
        <w:rPr>
          <w:sz w:val="28"/>
          <w:szCs w:val="28"/>
        </w:rPr>
        <w:sym w:font="HQPB2" w:char="F039"/>
      </w:r>
      <w:r w:rsidRPr="00BC5EAC">
        <w:rPr>
          <w:sz w:val="28"/>
          <w:szCs w:val="28"/>
        </w:rPr>
        <w:sym w:font="HQPB5" w:char="F024"/>
      </w:r>
      <w:r w:rsidRPr="00BC5EAC">
        <w:rPr>
          <w:sz w:val="28"/>
          <w:szCs w:val="28"/>
        </w:rPr>
        <w:sym w:font="HQPB1" w:char="F023"/>
      </w:r>
      <w:r w:rsidRPr="00BC5EAC">
        <w:rPr>
          <w:rFonts w:ascii="(normal text)" w:hAnsi="(normal text)"/>
          <w:sz w:val="28"/>
          <w:szCs w:val="28"/>
          <w:rtl/>
        </w:rPr>
        <w:t xml:space="preserve"> </w:t>
      </w:r>
      <w:r w:rsidRPr="00BC5EAC">
        <w:rPr>
          <w:sz w:val="28"/>
          <w:szCs w:val="28"/>
        </w:rPr>
        <w:sym w:font="HQPB2" w:char="F092"/>
      </w:r>
      <w:r w:rsidRPr="00BC5EAC">
        <w:rPr>
          <w:sz w:val="28"/>
          <w:szCs w:val="28"/>
        </w:rPr>
        <w:sym w:font="HQPB4" w:char="F0CD"/>
      </w:r>
      <w:r w:rsidRPr="00BC5EAC">
        <w:rPr>
          <w:sz w:val="28"/>
          <w:szCs w:val="28"/>
        </w:rPr>
        <w:sym w:font="HQPB2" w:char="F03C"/>
      </w:r>
      <w:r w:rsidRPr="00BC5EAC">
        <w:rPr>
          <w:sz w:val="28"/>
          <w:szCs w:val="28"/>
        </w:rPr>
        <w:sym w:font="HQPB5" w:char="F027"/>
      </w:r>
      <w:r w:rsidRPr="00BC5EAC">
        <w:rPr>
          <w:sz w:val="28"/>
          <w:szCs w:val="28"/>
        </w:rPr>
        <w:sym w:font="HQPB2" w:char="F072"/>
      </w:r>
      <w:r w:rsidRPr="00BC5EAC">
        <w:rPr>
          <w:sz w:val="28"/>
          <w:szCs w:val="28"/>
        </w:rPr>
        <w:sym w:font="HQPB4" w:char="F0E9"/>
      </w:r>
      <w:r w:rsidRPr="00BC5EAC">
        <w:rPr>
          <w:sz w:val="28"/>
          <w:szCs w:val="28"/>
        </w:rPr>
        <w:sym w:font="HQPB1" w:char="F026"/>
      </w:r>
      <w:r w:rsidRPr="00BC5EAC">
        <w:rPr>
          <w:sz w:val="28"/>
          <w:szCs w:val="28"/>
        </w:rPr>
        <w:sym w:font="HQPB5" w:char="F075"/>
      </w:r>
      <w:r w:rsidRPr="00BC5EAC">
        <w:rPr>
          <w:sz w:val="28"/>
          <w:szCs w:val="28"/>
        </w:rPr>
        <w:sym w:font="HQPB2" w:char="F072"/>
      </w:r>
      <w:r w:rsidRPr="00BC5EAC">
        <w:rPr>
          <w:rFonts w:ascii="(normal text)" w:hAnsi="(normal text)"/>
          <w:sz w:val="28"/>
          <w:szCs w:val="28"/>
          <w:rtl/>
        </w:rPr>
        <w:t xml:space="preserve"> </w:t>
      </w:r>
      <w:r w:rsidRPr="00BC5EAC">
        <w:rPr>
          <w:sz w:val="28"/>
          <w:szCs w:val="28"/>
        </w:rPr>
        <w:sym w:font="HQPB4" w:char="F0CD"/>
      </w:r>
      <w:r w:rsidRPr="00BC5EAC">
        <w:rPr>
          <w:sz w:val="28"/>
          <w:szCs w:val="28"/>
        </w:rPr>
        <w:sym w:font="HQPB1" w:char="F090"/>
      </w:r>
      <w:r w:rsidRPr="00BC5EAC">
        <w:rPr>
          <w:sz w:val="28"/>
          <w:szCs w:val="28"/>
        </w:rPr>
        <w:sym w:font="HQPB4" w:char="F0F6"/>
      </w:r>
      <w:r w:rsidRPr="00BC5EAC">
        <w:rPr>
          <w:sz w:val="28"/>
          <w:szCs w:val="28"/>
        </w:rPr>
        <w:sym w:font="HQPB2" w:char="F044"/>
      </w:r>
      <w:r w:rsidRPr="00BC5EAC">
        <w:rPr>
          <w:sz w:val="28"/>
          <w:szCs w:val="28"/>
        </w:rPr>
        <w:sym w:font="HQPB5" w:char="F046"/>
      </w:r>
      <w:r w:rsidRPr="00BC5EAC">
        <w:rPr>
          <w:sz w:val="28"/>
          <w:szCs w:val="28"/>
        </w:rPr>
        <w:sym w:font="HQPB2" w:char="F07B"/>
      </w:r>
      <w:r w:rsidRPr="00BC5EAC">
        <w:rPr>
          <w:sz w:val="28"/>
          <w:szCs w:val="28"/>
        </w:rPr>
        <w:sym w:font="HQPB5" w:char="F024"/>
      </w:r>
      <w:r w:rsidRPr="00BC5EAC">
        <w:rPr>
          <w:sz w:val="28"/>
          <w:szCs w:val="28"/>
        </w:rPr>
        <w:sym w:font="HQPB1" w:char="F023"/>
      </w:r>
      <w:r w:rsidRPr="00BC5EAC">
        <w:rPr>
          <w:rFonts w:ascii="(normal text)" w:hAnsi="(normal text)"/>
          <w:sz w:val="28"/>
          <w:szCs w:val="28"/>
          <w:rtl/>
        </w:rPr>
        <w:t xml:space="preserve"> </w:t>
      </w:r>
      <w:r w:rsidRPr="00BC5EAC">
        <w:rPr>
          <w:sz w:val="28"/>
          <w:szCs w:val="28"/>
        </w:rPr>
        <w:sym w:font="HQPB4" w:char="F0F3"/>
      </w:r>
      <w:r w:rsidRPr="00BC5EAC">
        <w:rPr>
          <w:sz w:val="28"/>
          <w:szCs w:val="28"/>
        </w:rPr>
        <w:sym w:font="HQPB2" w:char="F04F"/>
      </w:r>
      <w:r w:rsidRPr="00BC5EAC">
        <w:rPr>
          <w:sz w:val="28"/>
          <w:szCs w:val="28"/>
        </w:rPr>
        <w:sym w:font="HQPB4" w:char="F0E4"/>
      </w:r>
      <w:r w:rsidRPr="00BC5EAC">
        <w:rPr>
          <w:sz w:val="28"/>
          <w:szCs w:val="28"/>
        </w:rPr>
        <w:sym w:font="HQPB2" w:char="F033"/>
      </w:r>
      <w:r w:rsidRPr="00BC5EAC">
        <w:rPr>
          <w:sz w:val="28"/>
          <w:szCs w:val="28"/>
        </w:rPr>
        <w:sym w:font="HQPB2" w:char="F05A"/>
      </w:r>
      <w:r w:rsidRPr="00BC5EAC">
        <w:rPr>
          <w:sz w:val="28"/>
          <w:szCs w:val="28"/>
        </w:rPr>
        <w:sym w:font="HQPB4" w:char="F0CF"/>
      </w:r>
      <w:r w:rsidRPr="00BC5EAC">
        <w:rPr>
          <w:sz w:val="28"/>
          <w:szCs w:val="28"/>
        </w:rPr>
        <w:sym w:font="HQPB2" w:char="F042"/>
      </w:r>
      <w:r w:rsidRPr="00BC5EAC">
        <w:rPr>
          <w:rFonts w:ascii="(normal text)" w:hAnsi="(normal text)"/>
          <w:sz w:val="28"/>
          <w:szCs w:val="28"/>
          <w:rtl/>
        </w:rPr>
        <w:t xml:space="preserve"> </w:t>
      </w:r>
      <w:r w:rsidRPr="00BC5EAC">
        <w:rPr>
          <w:sz w:val="28"/>
          <w:szCs w:val="28"/>
        </w:rPr>
        <w:sym w:font="HQPB4" w:char="F028"/>
      </w:r>
      <w:r w:rsidRPr="00BC5EAC">
        <w:rPr>
          <w:rFonts w:ascii="(normal text)" w:hAnsi="(normal text)"/>
          <w:sz w:val="28"/>
          <w:szCs w:val="28"/>
          <w:rtl/>
        </w:rPr>
        <w:t xml:space="preserve"> </w:t>
      </w:r>
      <w:r w:rsidRPr="00BC5EAC">
        <w:rPr>
          <w:sz w:val="28"/>
          <w:szCs w:val="28"/>
        </w:rPr>
        <w:sym w:font="HQPB2" w:char="F062"/>
      </w:r>
      <w:r w:rsidRPr="00BC5EAC">
        <w:rPr>
          <w:sz w:val="28"/>
          <w:szCs w:val="28"/>
        </w:rPr>
        <w:sym w:font="HQPB4" w:char="F0CE"/>
      </w:r>
      <w:r w:rsidRPr="00BC5EAC">
        <w:rPr>
          <w:sz w:val="28"/>
          <w:szCs w:val="28"/>
        </w:rPr>
        <w:sym w:font="HQPB1" w:char="F02A"/>
      </w:r>
      <w:r w:rsidRPr="00BC5EAC">
        <w:rPr>
          <w:sz w:val="28"/>
          <w:szCs w:val="28"/>
        </w:rPr>
        <w:sym w:font="HQPB5" w:char="F073"/>
      </w:r>
      <w:r w:rsidRPr="00BC5EAC">
        <w:rPr>
          <w:sz w:val="28"/>
          <w:szCs w:val="28"/>
        </w:rPr>
        <w:sym w:font="HQPB1" w:char="F0F9"/>
      </w:r>
      <w:r w:rsidRPr="00BC5EAC">
        <w:rPr>
          <w:rFonts w:ascii="(normal text)" w:hAnsi="(normal text)"/>
          <w:sz w:val="28"/>
          <w:szCs w:val="28"/>
          <w:rtl/>
        </w:rPr>
        <w:t xml:space="preserve"> </w:t>
      </w:r>
      <w:r w:rsidRPr="00BC5EAC">
        <w:rPr>
          <w:sz w:val="28"/>
          <w:szCs w:val="28"/>
        </w:rPr>
        <w:sym w:font="HQPB4" w:char="F0F7"/>
      </w:r>
      <w:r w:rsidRPr="00BC5EAC">
        <w:rPr>
          <w:sz w:val="28"/>
          <w:szCs w:val="28"/>
        </w:rPr>
        <w:sym w:font="HQPB2" w:char="F04C"/>
      </w:r>
      <w:r w:rsidRPr="00BC5EAC">
        <w:rPr>
          <w:sz w:val="28"/>
          <w:szCs w:val="28"/>
        </w:rPr>
        <w:sym w:font="HQPB4" w:char="F0E4"/>
      </w:r>
      <w:r w:rsidRPr="00BC5EAC">
        <w:rPr>
          <w:sz w:val="28"/>
          <w:szCs w:val="28"/>
        </w:rPr>
        <w:sym w:font="HQPB2" w:char="F0EA"/>
      </w:r>
      <w:r w:rsidRPr="00BC5EAC">
        <w:rPr>
          <w:sz w:val="28"/>
          <w:szCs w:val="28"/>
        </w:rPr>
        <w:sym w:font="HQPB4" w:char="F0F4"/>
      </w:r>
      <w:r w:rsidRPr="00BC5EAC">
        <w:rPr>
          <w:sz w:val="28"/>
          <w:szCs w:val="28"/>
        </w:rPr>
        <w:sym w:font="HQPB1" w:char="F0E3"/>
      </w:r>
      <w:r w:rsidRPr="00BC5EAC">
        <w:rPr>
          <w:sz w:val="28"/>
          <w:szCs w:val="28"/>
        </w:rPr>
        <w:sym w:font="HQPB5" w:char="F074"/>
      </w:r>
      <w:r w:rsidRPr="00BC5EAC">
        <w:rPr>
          <w:sz w:val="28"/>
          <w:szCs w:val="28"/>
        </w:rPr>
        <w:sym w:font="HQPB1" w:char="F093"/>
      </w:r>
      <w:r w:rsidRPr="00BC5EAC">
        <w:rPr>
          <w:sz w:val="28"/>
          <w:szCs w:val="28"/>
        </w:rPr>
        <w:sym w:font="HQPB2" w:char="F0BB"/>
      </w:r>
      <w:r w:rsidRPr="00BC5EAC">
        <w:rPr>
          <w:sz w:val="28"/>
          <w:szCs w:val="28"/>
        </w:rPr>
        <w:sym w:font="HQPB5" w:char="F075"/>
      </w:r>
      <w:r w:rsidRPr="00BC5EAC">
        <w:rPr>
          <w:sz w:val="28"/>
          <w:szCs w:val="28"/>
        </w:rPr>
        <w:sym w:font="HQPB2" w:char="F05A"/>
      </w:r>
      <w:r w:rsidRPr="00BC5EAC">
        <w:rPr>
          <w:sz w:val="28"/>
          <w:szCs w:val="28"/>
        </w:rPr>
        <w:sym w:font="HQPB5" w:char="F073"/>
      </w:r>
      <w:r w:rsidRPr="00BC5EAC">
        <w:rPr>
          <w:sz w:val="28"/>
          <w:szCs w:val="28"/>
        </w:rPr>
        <w:sym w:font="HQPB1" w:char="F03F"/>
      </w:r>
      <w:r w:rsidRPr="00BC5EAC">
        <w:rPr>
          <w:rFonts w:ascii="(normal text)" w:hAnsi="(normal text)"/>
          <w:sz w:val="28"/>
          <w:szCs w:val="28"/>
          <w:rtl/>
        </w:rPr>
        <w:t xml:space="preserve"> </w:t>
      </w:r>
      <w:r w:rsidRPr="00BC5EAC">
        <w:rPr>
          <w:sz w:val="28"/>
          <w:szCs w:val="28"/>
        </w:rPr>
        <w:sym w:font="HQPB2" w:char="F092"/>
      </w:r>
      <w:r w:rsidRPr="00BC5EAC">
        <w:rPr>
          <w:sz w:val="28"/>
          <w:szCs w:val="28"/>
        </w:rPr>
        <w:sym w:font="HQPB4" w:char="F0CE"/>
      </w:r>
      <w:r w:rsidRPr="00BC5EAC">
        <w:rPr>
          <w:sz w:val="28"/>
          <w:szCs w:val="28"/>
        </w:rPr>
        <w:sym w:font="HQPB1" w:char="F0FB"/>
      </w:r>
      <w:r w:rsidRPr="00BC5EAC">
        <w:rPr>
          <w:rFonts w:ascii="(normal text)" w:hAnsi="(normal text)"/>
          <w:sz w:val="28"/>
          <w:szCs w:val="28"/>
          <w:rtl/>
        </w:rPr>
        <w:t xml:space="preserve"> </w:t>
      </w:r>
      <w:r w:rsidRPr="00BC5EAC">
        <w:rPr>
          <w:sz w:val="28"/>
          <w:szCs w:val="28"/>
        </w:rPr>
        <w:sym w:font="HQPB4" w:char="F026"/>
      </w:r>
      <w:r w:rsidRPr="00BC5EAC">
        <w:rPr>
          <w:sz w:val="28"/>
          <w:szCs w:val="28"/>
        </w:rPr>
        <w:sym w:font="HQPB2" w:char="F0E4"/>
      </w:r>
      <w:r w:rsidRPr="00BC5EAC">
        <w:rPr>
          <w:sz w:val="28"/>
          <w:szCs w:val="28"/>
        </w:rPr>
        <w:sym w:font="HQPB4" w:char="F0F3"/>
      </w:r>
      <w:r w:rsidRPr="00BC5EAC">
        <w:rPr>
          <w:sz w:val="28"/>
          <w:szCs w:val="28"/>
        </w:rPr>
        <w:sym w:font="HQPB2" w:char="F0D3"/>
      </w:r>
      <w:r w:rsidRPr="00BC5EAC">
        <w:rPr>
          <w:sz w:val="28"/>
          <w:szCs w:val="28"/>
        </w:rPr>
        <w:sym w:font="HQPB5" w:char="F078"/>
      </w:r>
      <w:r w:rsidRPr="00BC5EAC">
        <w:rPr>
          <w:sz w:val="28"/>
          <w:szCs w:val="28"/>
        </w:rPr>
        <w:sym w:font="HQPB1" w:char="F0AB"/>
      </w:r>
      <w:r w:rsidRPr="00BC5EAC">
        <w:rPr>
          <w:rFonts w:ascii="(normal text)" w:hAnsi="(normal text)"/>
          <w:sz w:val="28"/>
          <w:szCs w:val="28"/>
          <w:rtl/>
        </w:rPr>
        <w:t xml:space="preserve"> </w:t>
      </w:r>
      <w:r w:rsidRPr="00BC5EAC">
        <w:rPr>
          <w:sz w:val="28"/>
          <w:szCs w:val="28"/>
        </w:rPr>
        <w:sym w:font="HQPB4" w:char="F0E7"/>
      </w:r>
      <w:r w:rsidRPr="00BC5EAC">
        <w:rPr>
          <w:sz w:val="28"/>
          <w:szCs w:val="28"/>
        </w:rPr>
        <w:sym w:font="HQPB2" w:char="F06E"/>
      </w:r>
      <w:r w:rsidRPr="00BC5EAC">
        <w:rPr>
          <w:sz w:val="28"/>
          <w:szCs w:val="28"/>
        </w:rPr>
        <w:sym w:font="HQPB2" w:char="F072"/>
      </w:r>
      <w:r w:rsidRPr="00BC5EAC">
        <w:rPr>
          <w:sz w:val="28"/>
          <w:szCs w:val="28"/>
        </w:rPr>
        <w:sym w:font="HQPB4" w:char="F096"/>
      </w:r>
      <w:r w:rsidRPr="00BC5EAC">
        <w:rPr>
          <w:sz w:val="28"/>
          <w:szCs w:val="28"/>
        </w:rPr>
        <w:sym w:font="HQPB1" w:char="F08A"/>
      </w:r>
      <w:r w:rsidRPr="00BC5EAC">
        <w:rPr>
          <w:sz w:val="28"/>
          <w:szCs w:val="28"/>
        </w:rPr>
        <w:sym w:font="HQPB4" w:char="F0E3"/>
      </w:r>
      <w:r w:rsidRPr="00BC5EAC">
        <w:rPr>
          <w:sz w:val="28"/>
          <w:szCs w:val="28"/>
        </w:rPr>
        <w:sym w:font="HQPB1" w:char="F08D"/>
      </w:r>
      <w:r w:rsidRPr="00BC5EAC">
        <w:rPr>
          <w:sz w:val="28"/>
          <w:szCs w:val="28"/>
        </w:rPr>
        <w:sym w:font="HQPB5" w:char="F073"/>
      </w:r>
      <w:r w:rsidRPr="00BC5EAC">
        <w:rPr>
          <w:sz w:val="28"/>
          <w:szCs w:val="28"/>
        </w:rPr>
        <w:sym w:font="HQPB1" w:char="F0F9"/>
      </w:r>
      <w:r w:rsidRPr="00BC5EAC">
        <w:rPr>
          <w:rFonts w:ascii="(normal text)" w:hAnsi="(normal text)"/>
          <w:sz w:val="28"/>
          <w:szCs w:val="28"/>
          <w:rtl/>
        </w:rPr>
        <w:t xml:space="preserve"> </w:t>
      </w:r>
      <w:r w:rsidRPr="00BC5EAC">
        <w:rPr>
          <w:sz w:val="28"/>
          <w:szCs w:val="28"/>
        </w:rPr>
        <w:sym w:font="HQPB2" w:char="F092"/>
      </w:r>
      <w:r w:rsidRPr="00BC5EAC">
        <w:rPr>
          <w:sz w:val="28"/>
          <w:szCs w:val="28"/>
        </w:rPr>
        <w:sym w:font="HQPB5" w:char="F06E"/>
      </w:r>
      <w:r w:rsidRPr="00BC5EAC">
        <w:rPr>
          <w:sz w:val="28"/>
          <w:szCs w:val="28"/>
        </w:rPr>
        <w:sym w:font="HQPB2" w:char="F03C"/>
      </w:r>
      <w:r w:rsidRPr="00BC5EAC">
        <w:rPr>
          <w:sz w:val="28"/>
          <w:szCs w:val="28"/>
        </w:rPr>
        <w:sym w:font="HQPB4" w:char="F0CE"/>
      </w:r>
      <w:r w:rsidRPr="00BC5EAC">
        <w:rPr>
          <w:sz w:val="28"/>
          <w:szCs w:val="28"/>
        </w:rPr>
        <w:sym w:font="HQPB1" w:char="F029"/>
      </w:r>
      <w:r w:rsidRPr="00BC5EAC">
        <w:rPr>
          <w:rFonts w:ascii="(normal text)" w:hAnsi="(normal text)"/>
          <w:sz w:val="28"/>
          <w:szCs w:val="28"/>
          <w:rtl/>
        </w:rPr>
        <w:t xml:space="preserve"> </w:t>
      </w:r>
      <w:r w:rsidRPr="00BC5EAC">
        <w:rPr>
          <w:sz w:val="28"/>
          <w:szCs w:val="28"/>
        </w:rPr>
        <w:sym w:font="HQPB5" w:char="F0AB"/>
      </w:r>
      <w:r w:rsidRPr="00122F36">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w:t>
      </w:r>
      <w:r w:rsidRPr="00BC5EAC">
        <w:rPr>
          <w:rFonts w:ascii="(normal text)" w:hAnsi="(normal text)"/>
          <w:sz w:val="28"/>
          <w:szCs w:val="28"/>
          <w:rtl/>
        </w:rPr>
        <w:t xml:space="preserve"> </w:t>
      </w:r>
      <w:r w:rsidRPr="00BC5EAC">
        <w:rPr>
          <w:sz w:val="28"/>
          <w:szCs w:val="28"/>
        </w:rPr>
        <w:sym w:font="HQPB4" w:char="F0C9"/>
      </w:r>
      <w:r w:rsidRPr="00BC5EAC">
        <w:rPr>
          <w:sz w:val="28"/>
          <w:szCs w:val="28"/>
        </w:rPr>
        <w:sym w:font="HQPB2" w:char="F041"/>
      </w:r>
      <w:r w:rsidRPr="00BC5EAC">
        <w:rPr>
          <w:sz w:val="28"/>
          <w:szCs w:val="28"/>
        </w:rPr>
        <w:sym w:font="HQPB2" w:char="F071"/>
      </w:r>
      <w:r w:rsidRPr="00BC5EAC">
        <w:rPr>
          <w:sz w:val="28"/>
          <w:szCs w:val="28"/>
        </w:rPr>
        <w:sym w:font="HQPB4" w:char="F0DF"/>
      </w:r>
      <w:r w:rsidRPr="00BC5EAC">
        <w:rPr>
          <w:sz w:val="28"/>
          <w:szCs w:val="28"/>
        </w:rPr>
        <w:sym w:font="HQPB1" w:char="F099"/>
      </w:r>
      <w:r w:rsidRPr="00BC5EAC">
        <w:rPr>
          <w:sz w:val="28"/>
          <w:szCs w:val="28"/>
        </w:rPr>
        <w:sym w:font="HQPB4" w:char="F0A7"/>
      </w:r>
      <w:r w:rsidRPr="00BC5EAC">
        <w:rPr>
          <w:sz w:val="28"/>
          <w:szCs w:val="28"/>
        </w:rPr>
        <w:sym w:font="HQPB1" w:char="F08D"/>
      </w:r>
      <w:r w:rsidRPr="00BC5EAC">
        <w:rPr>
          <w:sz w:val="28"/>
          <w:szCs w:val="28"/>
        </w:rPr>
        <w:sym w:font="HQPB2" w:char="F039"/>
      </w:r>
      <w:r w:rsidRPr="00BC5EAC">
        <w:rPr>
          <w:sz w:val="28"/>
          <w:szCs w:val="28"/>
        </w:rPr>
        <w:sym w:font="HQPB5" w:char="F024"/>
      </w:r>
      <w:r w:rsidRPr="00BC5EAC">
        <w:rPr>
          <w:sz w:val="28"/>
          <w:szCs w:val="28"/>
        </w:rPr>
        <w:sym w:font="HQPB1" w:char="F023"/>
      </w:r>
      <w:r w:rsidRPr="00BC5EAC">
        <w:rPr>
          <w:sz w:val="28"/>
          <w:szCs w:val="28"/>
        </w:rPr>
        <w:sym w:font="HQPB5" w:char="F075"/>
      </w:r>
      <w:r w:rsidRPr="00BC5EAC">
        <w:rPr>
          <w:sz w:val="28"/>
          <w:szCs w:val="28"/>
        </w:rPr>
        <w:sym w:font="HQPB2" w:char="F072"/>
      </w:r>
      <w:r w:rsidRPr="00BC5EAC">
        <w:rPr>
          <w:rFonts w:ascii="(normal text)" w:hAnsi="(normal text)"/>
          <w:sz w:val="28"/>
          <w:szCs w:val="28"/>
          <w:rtl/>
        </w:rPr>
        <w:t xml:space="preserve"> </w:t>
      </w:r>
      <w:r w:rsidRPr="00BC5EAC">
        <w:rPr>
          <w:sz w:val="28"/>
          <w:szCs w:val="28"/>
        </w:rPr>
        <w:sym w:font="HQPB2" w:char="F062"/>
      </w:r>
      <w:r w:rsidRPr="00BC5EAC">
        <w:rPr>
          <w:sz w:val="28"/>
          <w:szCs w:val="28"/>
        </w:rPr>
        <w:sym w:font="HQPB4" w:char="F0CE"/>
      </w:r>
      <w:r w:rsidRPr="00BC5EAC">
        <w:rPr>
          <w:sz w:val="28"/>
          <w:szCs w:val="28"/>
        </w:rPr>
        <w:sym w:font="HQPB1" w:char="F029"/>
      </w:r>
      <w:r w:rsidRPr="00BC5EAC">
        <w:rPr>
          <w:rFonts w:ascii="(normal text)" w:hAnsi="(normal text)"/>
          <w:sz w:val="28"/>
          <w:szCs w:val="28"/>
          <w:rtl/>
        </w:rPr>
        <w:t xml:space="preserve"> </w:t>
      </w:r>
      <w:r w:rsidRPr="00BC5EAC">
        <w:rPr>
          <w:sz w:val="28"/>
          <w:szCs w:val="28"/>
        </w:rPr>
        <w:sym w:font="HQPB4" w:char="F0F7"/>
      </w:r>
      <w:r w:rsidRPr="00BC5EAC">
        <w:rPr>
          <w:sz w:val="28"/>
          <w:szCs w:val="28"/>
        </w:rPr>
        <w:sym w:font="HQPB2" w:char="F04C"/>
      </w:r>
      <w:r w:rsidRPr="00BC5EAC">
        <w:rPr>
          <w:sz w:val="28"/>
          <w:szCs w:val="28"/>
        </w:rPr>
        <w:sym w:font="HQPB4" w:char="F0E4"/>
      </w:r>
      <w:r w:rsidRPr="00BC5EAC">
        <w:rPr>
          <w:sz w:val="28"/>
          <w:szCs w:val="28"/>
        </w:rPr>
        <w:sym w:font="HQPB2" w:char="F0EA"/>
      </w:r>
      <w:r w:rsidRPr="00BC5EAC">
        <w:rPr>
          <w:sz w:val="28"/>
          <w:szCs w:val="28"/>
        </w:rPr>
        <w:sym w:font="HQPB2" w:char="F059"/>
      </w:r>
      <w:r w:rsidRPr="00BC5EAC">
        <w:rPr>
          <w:sz w:val="28"/>
          <w:szCs w:val="28"/>
        </w:rPr>
        <w:sym w:font="HQPB4" w:char="F0E4"/>
      </w:r>
      <w:r w:rsidRPr="00BC5EAC">
        <w:rPr>
          <w:sz w:val="28"/>
          <w:szCs w:val="28"/>
        </w:rPr>
        <w:sym w:font="HQPB2" w:char="F02E"/>
      </w:r>
      <w:r w:rsidRPr="00BC5EAC">
        <w:rPr>
          <w:rFonts w:ascii="(normal text)" w:hAnsi="(normal text)"/>
          <w:sz w:val="28"/>
          <w:szCs w:val="28"/>
          <w:rtl/>
        </w:rPr>
        <w:t xml:space="preserve"> </w:t>
      </w:r>
      <w:r w:rsidRPr="00BC5EAC">
        <w:rPr>
          <w:sz w:val="28"/>
          <w:szCs w:val="28"/>
        </w:rPr>
        <w:sym w:font="HQPB5" w:char="F074"/>
      </w:r>
      <w:r w:rsidRPr="00BC5EAC">
        <w:rPr>
          <w:sz w:val="28"/>
          <w:szCs w:val="28"/>
        </w:rPr>
        <w:sym w:font="HQPB2" w:char="F062"/>
      </w:r>
      <w:r w:rsidRPr="00BC5EAC">
        <w:rPr>
          <w:sz w:val="28"/>
          <w:szCs w:val="28"/>
        </w:rPr>
        <w:sym w:font="HQPB2" w:char="F071"/>
      </w:r>
      <w:r w:rsidRPr="00BC5EAC">
        <w:rPr>
          <w:sz w:val="28"/>
          <w:szCs w:val="28"/>
        </w:rPr>
        <w:sym w:font="HQPB4" w:char="F0E3"/>
      </w:r>
      <w:r w:rsidRPr="00BC5EAC">
        <w:rPr>
          <w:sz w:val="28"/>
          <w:szCs w:val="28"/>
        </w:rPr>
        <w:sym w:font="HQPB2" w:char="F05A"/>
      </w:r>
      <w:r w:rsidRPr="00BC5EAC">
        <w:rPr>
          <w:sz w:val="28"/>
          <w:szCs w:val="28"/>
        </w:rPr>
        <w:sym w:font="HQPB4" w:char="F0CF"/>
      </w:r>
      <w:r w:rsidRPr="00BC5EAC">
        <w:rPr>
          <w:sz w:val="28"/>
          <w:szCs w:val="28"/>
        </w:rPr>
        <w:sym w:font="HQPB2" w:char="F042"/>
      </w:r>
      <w:r w:rsidRPr="00BC5EAC">
        <w:rPr>
          <w:sz w:val="28"/>
          <w:szCs w:val="28"/>
        </w:rPr>
        <w:sym w:font="HQPB4" w:char="F0F7"/>
      </w:r>
      <w:r w:rsidRPr="00BC5EAC">
        <w:rPr>
          <w:sz w:val="28"/>
          <w:szCs w:val="28"/>
        </w:rPr>
        <w:sym w:font="HQPB2" w:char="F073"/>
      </w:r>
      <w:r w:rsidRPr="00BC5EAC">
        <w:rPr>
          <w:sz w:val="28"/>
          <w:szCs w:val="28"/>
        </w:rPr>
        <w:sym w:font="HQPB4" w:char="F0E8"/>
      </w:r>
      <w:r w:rsidRPr="00BC5EAC">
        <w:rPr>
          <w:sz w:val="28"/>
          <w:szCs w:val="28"/>
        </w:rPr>
        <w:sym w:font="HQPB1" w:char="F03F"/>
      </w:r>
      <w:r w:rsidRPr="00BC5EAC">
        <w:rPr>
          <w:rFonts w:ascii="(normal text)" w:hAnsi="(normal text)"/>
          <w:sz w:val="28"/>
          <w:szCs w:val="28"/>
          <w:rtl/>
        </w:rPr>
        <w:t xml:space="preserve"> </w:t>
      </w:r>
      <w:r w:rsidRPr="00BC5EAC">
        <w:rPr>
          <w:sz w:val="28"/>
          <w:szCs w:val="28"/>
        </w:rPr>
        <w:sym w:font="HQPB5" w:char="F0AB"/>
      </w:r>
      <w:r w:rsidRPr="00BC5EAC">
        <w:rPr>
          <w:sz w:val="28"/>
          <w:szCs w:val="28"/>
        </w:rPr>
        <w:sym w:font="HQPB1" w:char="F021"/>
      </w:r>
      <w:r w:rsidRPr="00BC5EAC">
        <w:rPr>
          <w:sz w:val="28"/>
          <w:szCs w:val="28"/>
        </w:rPr>
        <w:sym w:font="HQPB5" w:char="F024"/>
      </w:r>
      <w:r w:rsidRPr="00BC5EAC">
        <w:rPr>
          <w:sz w:val="28"/>
          <w:szCs w:val="28"/>
        </w:rPr>
        <w:sym w:font="HQPB1" w:char="F024"/>
      </w:r>
      <w:r w:rsidRPr="00BC5EAC">
        <w:rPr>
          <w:sz w:val="28"/>
          <w:szCs w:val="28"/>
        </w:rPr>
        <w:sym w:font="HQPB4" w:char="F0CE"/>
      </w:r>
      <w:r w:rsidRPr="00BC5EAC">
        <w:rPr>
          <w:sz w:val="28"/>
          <w:szCs w:val="28"/>
        </w:rPr>
        <w:sym w:font="HQPB1" w:char="F02F"/>
      </w:r>
      <w:r w:rsidRPr="00BC5EAC">
        <w:rPr>
          <w:rFonts w:ascii="(normal text)" w:hAnsi="(normal text)"/>
          <w:sz w:val="28"/>
          <w:szCs w:val="28"/>
          <w:rtl/>
        </w:rPr>
        <w:t xml:space="preserve"> </w:t>
      </w:r>
      <w:r w:rsidRPr="00BC5EAC">
        <w:rPr>
          <w:sz w:val="28"/>
          <w:szCs w:val="28"/>
        </w:rPr>
        <w:sym w:font="HQPB4" w:char="F0CF"/>
      </w:r>
      <w:r w:rsidRPr="00BC5EAC">
        <w:rPr>
          <w:sz w:val="28"/>
          <w:szCs w:val="28"/>
        </w:rPr>
        <w:sym w:font="HQPB2" w:char="F051"/>
      </w:r>
      <w:r w:rsidRPr="00BC5EAC">
        <w:rPr>
          <w:sz w:val="28"/>
          <w:szCs w:val="28"/>
        </w:rPr>
        <w:sym w:font="HQPB4" w:char="F0F6"/>
      </w:r>
      <w:r w:rsidRPr="00BC5EAC">
        <w:rPr>
          <w:sz w:val="28"/>
          <w:szCs w:val="28"/>
        </w:rPr>
        <w:sym w:font="HQPB2" w:char="F071"/>
      </w:r>
      <w:r w:rsidRPr="00BC5EAC">
        <w:rPr>
          <w:sz w:val="28"/>
          <w:szCs w:val="28"/>
        </w:rPr>
        <w:sym w:font="HQPB5" w:char="F075"/>
      </w:r>
      <w:r w:rsidRPr="00BC5EAC">
        <w:rPr>
          <w:sz w:val="28"/>
          <w:szCs w:val="28"/>
        </w:rPr>
        <w:sym w:font="HQPB2" w:char="F08B"/>
      </w:r>
      <w:r w:rsidRPr="00BC5EAC">
        <w:rPr>
          <w:sz w:val="28"/>
          <w:szCs w:val="28"/>
        </w:rPr>
        <w:sym w:font="HQPB4" w:char="F0F8"/>
      </w:r>
      <w:r w:rsidRPr="00BC5EAC">
        <w:rPr>
          <w:sz w:val="28"/>
          <w:szCs w:val="28"/>
        </w:rPr>
        <w:sym w:font="HQPB2" w:char="F039"/>
      </w:r>
      <w:r w:rsidRPr="00BC5EAC">
        <w:rPr>
          <w:sz w:val="28"/>
          <w:szCs w:val="28"/>
        </w:rPr>
        <w:sym w:font="HQPB5" w:char="F024"/>
      </w:r>
      <w:r w:rsidRPr="00BC5EAC">
        <w:rPr>
          <w:sz w:val="28"/>
          <w:szCs w:val="28"/>
        </w:rPr>
        <w:sym w:font="HQPB1" w:char="F023"/>
      </w:r>
      <w:r w:rsidRPr="00BC5EAC">
        <w:rPr>
          <w:sz w:val="28"/>
          <w:szCs w:val="28"/>
        </w:rPr>
        <w:sym w:font="HQPB5" w:char="F075"/>
      </w:r>
      <w:r w:rsidRPr="00BC5EAC">
        <w:rPr>
          <w:sz w:val="28"/>
          <w:szCs w:val="28"/>
        </w:rPr>
        <w:sym w:font="HQPB2" w:char="F072"/>
      </w:r>
      <w:r w:rsidRPr="00BC5EAC">
        <w:rPr>
          <w:rFonts w:ascii="(normal text)" w:hAnsi="(normal text)"/>
          <w:sz w:val="28"/>
          <w:szCs w:val="28"/>
          <w:rtl/>
        </w:rPr>
        <w:t xml:space="preserve"> </w:t>
      </w:r>
      <w:r w:rsidRPr="00BC5EAC">
        <w:rPr>
          <w:sz w:val="28"/>
          <w:szCs w:val="28"/>
        </w:rPr>
        <w:sym w:font="HQPB4" w:char="F0CC"/>
      </w:r>
      <w:r w:rsidRPr="00BC5EAC">
        <w:rPr>
          <w:sz w:val="28"/>
          <w:szCs w:val="28"/>
        </w:rPr>
        <w:sym w:font="HQPB1" w:char="F08D"/>
      </w:r>
      <w:r w:rsidRPr="00BC5EAC">
        <w:rPr>
          <w:sz w:val="28"/>
          <w:szCs w:val="28"/>
        </w:rPr>
        <w:sym w:font="HQPB4" w:char="F0C5"/>
      </w:r>
      <w:r w:rsidRPr="00BC5EAC">
        <w:rPr>
          <w:sz w:val="28"/>
          <w:szCs w:val="28"/>
        </w:rPr>
        <w:sym w:font="HQPB1" w:char="F07A"/>
      </w:r>
      <w:r w:rsidRPr="00BC5EAC">
        <w:rPr>
          <w:sz w:val="28"/>
          <w:szCs w:val="28"/>
        </w:rPr>
        <w:sym w:font="HQPB5" w:char="F046"/>
      </w:r>
      <w:r w:rsidRPr="00BC5EAC">
        <w:rPr>
          <w:sz w:val="28"/>
          <w:szCs w:val="28"/>
        </w:rPr>
        <w:sym w:font="HQPB2" w:char="F079"/>
      </w:r>
      <w:r w:rsidRPr="00BC5EAC">
        <w:rPr>
          <w:sz w:val="28"/>
          <w:szCs w:val="28"/>
        </w:rPr>
        <w:sym w:font="HQPB5" w:char="F024"/>
      </w:r>
      <w:r w:rsidRPr="00BC5EAC">
        <w:rPr>
          <w:sz w:val="28"/>
          <w:szCs w:val="28"/>
        </w:rPr>
        <w:sym w:font="HQPB1" w:char="F023"/>
      </w:r>
      <w:r w:rsidRPr="00BC5EAC">
        <w:rPr>
          <w:rFonts w:ascii="(normal text)" w:hAnsi="(normal text)"/>
          <w:sz w:val="28"/>
          <w:szCs w:val="28"/>
          <w:rtl/>
        </w:rPr>
        <w:t xml:space="preserve"> </w:t>
      </w:r>
      <w:r w:rsidRPr="00BC5EAC">
        <w:rPr>
          <w:sz w:val="28"/>
          <w:szCs w:val="28"/>
        </w:rPr>
        <w:sym w:font="HQPB4" w:char="F034"/>
      </w:r>
      <w:r w:rsidRPr="00BC5EAC">
        <w:rPr>
          <w:rFonts w:ascii="(normal text)" w:hAnsi="(normal text)"/>
          <w:sz w:val="28"/>
          <w:szCs w:val="28"/>
          <w:rtl/>
        </w:rPr>
        <w:t xml:space="preserve"> </w:t>
      </w:r>
      <w:r w:rsidRPr="00BC5EAC">
        <w:rPr>
          <w:sz w:val="28"/>
          <w:szCs w:val="28"/>
        </w:rPr>
        <w:sym w:font="HQPB5" w:char="F079"/>
      </w:r>
      <w:r w:rsidRPr="00BC5EAC">
        <w:rPr>
          <w:sz w:val="28"/>
          <w:szCs w:val="28"/>
        </w:rPr>
        <w:sym w:font="HQPB2" w:char="F037"/>
      </w:r>
      <w:r w:rsidRPr="00BC5EAC">
        <w:rPr>
          <w:sz w:val="28"/>
          <w:szCs w:val="28"/>
        </w:rPr>
        <w:sym w:font="HQPB4" w:char="F0CF"/>
      </w:r>
      <w:r w:rsidRPr="00BC5EAC">
        <w:rPr>
          <w:sz w:val="28"/>
          <w:szCs w:val="28"/>
        </w:rPr>
        <w:sym w:font="HQPB2" w:char="F039"/>
      </w:r>
      <w:r w:rsidRPr="00BC5EAC">
        <w:rPr>
          <w:sz w:val="28"/>
          <w:szCs w:val="28"/>
        </w:rPr>
        <w:sym w:font="HQPB2" w:char="F0BA"/>
      </w:r>
      <w:r w:rsidRPr="00BC5EAC">
        <w:rPr>
          <w:sz w:val="28"/>
          <w:szCs w:val="28"/>
        </w:rPr>
        <w:sym w:font="HQPB5" w:char="F073"/>
      </w:r>
      <w:r w:rsidRPr="00BC5EAC">
        <w:rPr>
          <w:sz w:val="28"/>
          <w:szCs w:val="28"/>
        </w:rPr>
        <w:sym w:font="HQPB1" w:char="F08C"/>
      </w:r>
      <w:r w:rsidRPr="00BC5EAC">
        <w:rPr>
          <w:rFonts w:ascii="(normal text)" w:hAnsi="(normal text)"/>
          <w:sz w:val="28"/>
          <w:szCs w:val="28"/>
          <w:rtl/>
        </w:rPr>
        <w:t xml:space="preserve"> </w:t>
      </w:r>
      <w:r w:rsidRPr="00BC5EAC">
        <w:rPr>
          <w:sz w:val="28"/>
          <w:szCs w:val="28"/>
        </w:rPr>
        <w:sym w:font="HQPB4" w:char="F0D7"/>
      </w:r>
      <w:r w:rsidRPr="00BC5EAC">
        <w:rPr>
          <w:sz w:val="28"/>
          <w:szCs w:val="28"/>
        </w:rPr>
        <w:sym w:font="HQPB1" w:char="F08E"/>
      </w:r>
      <w:r w:rsidRPr="00BC5EAC">
        <w:rPr>
          <w:sz w:val="28"/>
          <w:szCs w:val="28"/>
        </w:rPr>
        <w:sym w:font="HQPB4" w:char="F0F6"/>
      </w:r>
      <w:r w:rsidRPr="00BC5EAC">
        <w:rPr>
          <w:sz w:val="28"/>
          <w:szCs w:val="28"/>
        </w:rPr>
        <w:sym w:font="HQPB2" w:char="F08D"/>
      </w:r>
      <w:r w:rsidRPr="00BC5EAC">
        <w:rPr>
          <w:sz w:val="28"/>
          <w:szCs w:val="28"/>
        </w:rPr>
        <w:sym w:font="HQPB5" w:char="F079"/>
      </w:r>
      <w:r w:rsidRPr="00BC5EAC">
        <w:rPr>
          <w:sz w:val="28"/>
          <w:szCs w:val="28"/>
        </w:rPr>
        <w:sym w:font="HQPB1" w:char="F07A"/>
      </w:r>
      <w:r w:rsidRPr="00BC5EAC">
        <w:rPr>
          <w:rFonts w:ascii="(normal text)" w:hAnsi="(normal text)"/>
          <w:sz w:val="28"/>
          <w:szCs w:val="28"/>
          <w:rtl/>
        </w:rPr>
        <w:t xml:space="preserve"> </w:t>
      </w:r>
      <w:r w:rsidRPr="00BC5EAC">
        <w:rPr>
          <w:sz w:val="28"/>
          <w:szCs w:val="28"/>
        </w:rPr>
        <w:sym w:font="HQPB4" w:char="F0DF"/>
      </w:r>
      <w:r w:rsidRPr="00BC5EAC">
        <w:rPr>
          <w:sz w:val="28"/>
          <w:szCs w:val="28"/>
        </w:rPr>
        <w:sym w:font="HQPB2" w:char="F060"/>
      </w:r>
      <w:r w:rsidRPr="00BC5EAC">
        <w:rPr>
          <w:sz w:val="28"/>
          <w:szCs w:val="28"/>
        </w:rPr>
        <w:sym w:font="HQPB5" w:char="F07C"/>
      </w:r>
      <w:r w:rsidRPr="00BC5EAC">
        <w:rPr>
          <w:sz w:val="28"/>
          <w:szCs w:val="28"/>
        </w:rPr>
        <w:sym w:font="HQPB1" w:char="F0A1"/>
      </w:r>
      <w:r w:rsidRPr="00BC5EAC">
        <w:rPr>
          <w:sz w:val="28"/>
          <w:szCs w:val="28"/>
        </w:rPr>
        <w:sym w:font="HQPB4" w:char="F0F4"/>
      </w:r>
      <w:r w:rsidRPr="00BC5EAC">
        <w:rPr>
          <w:sz w:val="28"/>
          <w:szCs w:val="28"/>
        </w:rPr>
        <w:sym w:font="HQPB1" w:char="F06D"/>
      </w:r>
      <w:r w:rsidRPr="00BC5EAC">
        <w:rPr>
          <w:sz w:val="28"/>
          <w:szCs w:val="28"/>
        </w:rPr>
        <w:sym w:font="HQPB5" w:char="F072"/>
      </w:r>
      <w:r w:rsidRPr="00BC5EAC">
        <w:rPr>
          <w:sz w:val="28"/>
          <w:szCs w:val="28"/>
        </w:rPr>
        <w:sym w:font="HQPB1" w:char="F026"/>
      </w:r>
      <w:r w:rsidRPr="00BC5EAC">
        <w:rPr>
          <w:sz w:val="28"/>
          <w:szCs w:val="28"/>
        </w:rPr>
        <w:sym w:font="HQPB5" w:char="F075"/>
      </w:r>
      <w:r w:rsidRPr="00BC5EAC">
        <w:rPr>
          <w:sz w:val="28"/>
          <w:szCs w:val="28"/>
        </w:rPr>
        <w:sym w:font="HQPB2" w:char="F072"/>
      </w:r>
      <w:r w:rsidRPr="00BC5EAC">
        <w:rPr>
          <w:rFonts w:ascii="(normal text)" w:hAnsi="(normal text)"/>
          <w:sz w:val="28"/>
          <w:szCs w:val="28"/>
          <w:rtl/>
        </w:rPr>
        <w:t xml:space="preserve"> </w:t>
      </w:r>
      <w:r w:rsidRPr="00BC5EAC">
        <w:rPr>
          <w:sz w:val="28"/>
          <w:szCs w:val="28"/>
        </w:rPr>
        <w:sym w:font="HQPB4" w:char="F0B8"/>
      </w:r>
      <w:r w:rsidRPr="00BC5EAC">
        <w:rPr>
          <w:sz w:val="28"/>
          <w:szCs w:val="28"/>
        </w:rPr>
        <w:sym w:font="HQPB2" w:char="F078"/>
      </w:r>
      <w:r w:rsidRPr="00BC5EAC">
        <w:rPr>
          <w:sz w:val="28"/>
          <w:szCs w:val="28"/>
        </w:rPr>
        <w:sym w:font="HQPB2" w:char="F083"/>
      </w:r>
      <w:r w:rsidRPr="00BC5EAC">
        <w:rPr>
          <w:sz w:val="28"/>
          <w:szCs w:val="28"/>
        </w:rPr>
        <w:sym w:font="HQPB4" w:char="F0CD"/>
      </w:r>
      <w:r w:rsidRPr="00BC5EAC">
        <w:rPr>
          <w:sz w:val="28"/>
          <w:szCs w:val="28"/>
        </w:rPr>
        <w:sym w:font="HQPB2" w:char="F072"/>
      </w:r>
      <w:r w:rsidRPr="00BC5EAC">
        <w:rPr>
          <w:sz w:val="28"/>
          <w:szCs w:val="28"/>
        </w:rPr>
        <w:sym w:font="HQPB4" w:char="F0F9"/>
      </w:r>
      <w:r w:rsidRPr="00BC5EAC">
        <w:rPr>
          <w:sz w:val="28"/>
          <w:szCs w:val="28"/>
        </w:rPr>
        <w:sym w:font="HQPB1" w:char="F027"/>
      </w:r>
      <w:r w:rsidRPr="00BC5EAC">
        <w:rPr>
          <w:sz w:val="28"/>
          <w:szCs w:val="28"/>
        </w:rPr>
        <w:sym w:font="HQPB5" w:char="F073"/>
      </w:r>
      <w:r w:rsidRPr="00BC5EAC">
        <w:rPr>
          <w:sz w:val="28"/>
          <w:szCs w:val="28"/>
        </w:rPr>
        <w:sym w:font="HQPB1" w:char="F03F"/>
      </w:r>
      <w:r w:rsidRPr="00BC5EAC">
        <w:rPr>
          <w:rFonts w:ascii="(normal text)" w:hAnsi="(normal text)"/>
          <w:sz w:val="28"/>
          <w:szCs w:val="28"/>
          <w:rtl/>
        </w:rPr>
        <w:t xml:space="preserve"> </w:t>
      </w:r>
      <w:r w:rsidRPr="00BC5EAC">
        <w:rPr>
          <w:sz w:val="28"/>
          <w:szCs w:val="28"/>
        </w:rPr>
        <w:sym w:font="HQPB2" w:char="F0C7"/>
      </w:r>
      <w:r w:rsidRPr="00BC5EAC">
        <w:rPr>
          <w:sz w:val="28"/>
          <w:szCs w:val="28"/>
        </w:rPr>
        <w:sym w:font="HQPB2" w:char="F0CE"/>
      </w:r>
      <w:r w:rsidRPr="00BC5EAC">
        <w:rPr>
          <w:sz w:val="28"/>
          <w:szCs w:val="28"/>
        </w:rPr>
        <w:sym w:font="HQPB2" w:char="F0D2"/>
      </w:r>
      <w:r w:rsidRPr="00BC5EAC">
        <w:rPr>
          <w:sz w:val="28"/>
          <w:szCs w:val="28"/>
        </w:rPr>
        <w:sym w:font="HQPB2" w:char="F0C8"/>
      </w:r>
      <w:r w:rsidRPr="00BC5EAC">
        <w:rPr>
          <w:rFonts w:ascii="(normal text)" w:hAnsi="(normal text)"/>
          <w:sz w:val="28"/>
          <w:szCs w:val="28"/>
          <w:rtl/>
        </w:rPr>
        <w:t xml:space="preserve"> </w:t>
      </w:r>
      <w:r w:rsidRPr="00E1129B">
        <w:rPr>
          <w:rFonts w:ascii="(normal text)" w:hAnsi="(normal text)" w:cs="Traditional Arabic" w:hint="cs"/>
          <w:sz w:val="28"/>
          <w:szCs w:val="28"/>
          <w:rtl/>
        </w:rPr>
        <w:t>( سورة النساء : 59)</w:t>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Artinya:</w:t>
      </w:r>
      <w:r w:rsidRPr="0011362F">
        <w:rPr>
          <w:rFonts w:asciiTheme="majorBidi" w:hAnsiTheme="majorBidi" w:cstheme="majorBidi"/>
          <w:i/>
          <w:iCs/>
          <w:sz w:val="24"/>
          <w:szCs w:val="24"/>
        </w:rPr>
        <w:t>“ Hai orang-orang yang beriman, taatilah Allah dan taatilah Rasul (Nya), dan ulil amri di antara kamu. kemudian jika kamu berlainan Pendapat tentang sesuatu, Maka kembalikanlah ia kepada Allah (Al Quran) dan Rasul (sunnahnya), jika kamu benar-benar beriman kepada Allah dan hari kemudian. yang demikian itu lebih utama (bagimu) dan lebih baik akibatnya</w:t>
      </w:r>
      <w:r w:rsidRPr="0011362F">
        <w:rPr>
          <w:rStyle w:val="FootnoteReference"/>
          <w:rFonts w:asciiTheme="majorBidi" w:hAnsiTheme="majorBidi" w:cstheme="majorBidi"/>
          <w:i/>
          <w:iCs/>
          <w:sz w:val="24"/>
          <w:szCs w:val="24"/>
        </w:rPr>
        <w:footnoteReference w:id="571"/>
      </w:r>
      <w:r w:rsidRPr="0011362F">
        <w:rPr>
          <w:rFonts w:asciiTheme="majorBidi" w:hAnsiTheme="majorBidi" w:cstheme="majorBidi"/>
          <w:i/>
          <w:iCs/>
          <w:sz w:val="24"/>
          <w:szCs w:val="24"/>
        </w:rPr>
        <w:t>.</w:t>
      </w:r>
      <w:r w:rsidRPr="0011362F">
        <w:rPr>
          <w:rFonts w:asciiTheme="majorBidi" w:hAnsiTheme="majorBidi" w:cstheme="majorBidi"/>
          <w:sz w:val="24"/>
          <w:szCs w:val="24"/>
        </w:rPr>
        <w:t>( QS. Al-Nisa[4]: 59)</w:t>
      </w:r>
    </w:p>
    <w:p w:rsidR="00343B61" w:rsidRPr="0011362F"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Pr="00BC5EAC"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62F">
        <w:rPr>
          <w:rFonts w:asciiTheme="majorBidi" w:hAnsiTheme="majorBidi" w:cstheme="majorBidi"/>
          <w:sz w:val="24"/>
          <w:szCs w:val="24"/>
        </w:rPr>
        <w:t xml:space="preserve">Wahbah Al-Zuhaili berkata: perintah untuk taat kepada Allah dan Rasulnya merupakan perintah untuk mengikuti </w:t>
      </w:r>
      <w:r>
        <w:rPr>
          <w:rFonts w:asciiTheme="majorBidi" w:hAnsiTheme="majorBidi" w:cstheme="majorBidi"/>
          <w:sz w:val="24"/>
          <w:szCs w:val="24"/>
        </w:rPr>
        <w:t>Al-Qur’ān</w:t>
      </w:r>
      <w:r w:rsidRPr="0011362F">
        <w:rPr>
          <w:rFonts w:asciiTheme="majorBidi" w:hAnsiTheme="majorBidi" w:cstheme="majorBidi"/>
          <w:sz w:val="24"/>
          <w:szCs w:val="24"/>
        </w:rPr>
        <w:t xml:space="preserve"> dan Sunnah, dan suruhan taat kepada ulil amri dari kaum mulimin merupakan perintah untuk mengikuti kesepakatan para ulama mujtahid (</w:t>
      </w:r>
      <w:r w:rsidRPr="0011362F">
        <w:rPr>
          <w:rFonts w:asciiTheme="majorBidi" w:hAnsiTheme="majorBidi" w:cstheme="majorBidi"/>
          <w:i/>
          <w:iCs/>
          <w:sz w:val="24"/>
          <w:szCs w:val="24"/>
        </w:rPr>
        <w:t>ijma’</w:t>
      </w:r>
      <w:r w:rsidRPr="0011362F">
        <w:rPr>
          <w:rFonts w:asciiTheme="majorBidi" w:hAnsiTheme="majorBidi" w:cstheme="majorBidi"/>
          <w:sz w:val="24"/>
          <w:szCs w:val="24"/>
        </w:rPr>
        <w:t xml:space="preserve">), serta perintah mengambalikan permasalahan yang terjadi perbedaan pendapat kepada </w:t>
      </w:r>
      <w:r>
        <w:rPr>
          <w:rFonts w:asciiTheme="majorBidi" w:hAnsiTheme="majorBidi" w:cstheme="majorBidi"/>
          <w:sz w:val="24"/>
          <w:szCs w:val="24"/>
        </w:rPr>
        <w:t>Al-Qur’ān</w:t>
      </w:r>
      <w:r w:rsidRPr="0011362F">
        <w:rPr>
          <w:rFonts w:asciiTheme="majorBidi" w:hAnsiTheme="majorBidi" w:cstheme="majorBidi"/>
          <w:sz w:val="24"/>
          <w:szCs w:val="24"/>
        </w:rPr>
        <w:t xml:space="preserve"> dan Sunnah pada saat tidak ada </w:t>
      </w:r>
      <w:r w:rsidRPr="0011362F">
        <w:rPr>
          <w:rFonts w:asciiTheme="majorBidi" w:hAnsiTheme="majorBidi" w:cstheme="majorBidi"/>
          <w:i/>
          <w:iCs/>
          <w:sz w:val="24"/>
          <w:szCs w:val="24"/>
        </w:rPr>
        <w:t>nas</w:t>
      </w:r>
      <w:r>
        <w:rPr>
          <w:rFonts w:asciiTheme="majorBidi" w:hAnsiTheme="majorBidi" w:cstheme="majorBidi"/>
          <w:sz w:val="24"/>
          <w:szCs w:val="24"/>
        </w:rPr>
        <w:t xml:space="preserve"> </w:t>
      </w:r>
      <w:r w:rsidRPr="0011362F">
        <w:rPr>
          <w:rFonts w:asciiTheme="majorBidi" w:hAnsiTheme="majorBidi" w:cstheme="majorBidi"/>
          <w:sz w:val="24"/>
          <w:szCs w:val="24"/>
        </w:rPr>
        <w:t xml:space="preserve">dan juga Ijma’ merupakan perintah melakukan qiyas” </w:t>
      </w:r>
      <w:r w:rsidRPr="0011362F">
        <w:rPr>
          <w:rStyle w:val="FootnoteReference"/>
          <w:rFonts w:asciiTheme="majorBidi" w:hAnsiTheme="majorBidi" w:cstheme="majorBidi"/>
          <w:sz w:val="24"/>
          <w:szCs w:val="24"/>
        </w:rPr>
        <w:footnoteReference w:id="572"/>
      </w:r>
    </w:p>
    <w:p w:rsidR="00343B61" w:rsidRPr="00BE77D1" w:rsidRDefault="00343B61" w:rsidP="00343B61">
      <w:pPr>
        <w:autoSpaceDE w:val="0"/>
        <w:autoSpaceDN w:val="0"/>
        <w:adjustRightInd w:val="0"/>
        <w:spacing w:after="0" w:line="360" w:lineRule="auto"/>
        <w:ind w:firstLine="720"/>
        <w:jc w:val="both"/>
        <w:rPr>
          <w:rStyle w:val="gen"/>
          <w:rFonts w:ascii="Arial" w:hAnsi="Arial"/>
          <w:sz w:val="28"/>
          <w:szCs w:val="28"/>
        </w:rPr>
      </w:pPr>
      <w:r w:rsidRPr="00BE77D1">
        <w:rPr>
          <w:rFonts w:asciiTheme="majorBidi" w:hAnsiTheme="majorBidi" w:cstheme="majorBidi"/>
          <w:sz w:val="24"/>
          <w:szCs w:val="24"/>
        </w:rPr>
        <w:t xml:space="preserve">Sementara urutan pemakain dalil ini diperkuat oleh hadis Mua’dz bin Jabal ketika diutus Rasulullah SAW untuk menjadi </w:t>
      </w:r>
      <w:r w:rsidRPr="00BE77D1">
        <w:rPr>
          <w:rFonts w:asciiTheme="majorBidi" w:hAnsiTheme="majorBidi" w:cstheme="majorBidi"/>
          <w:i/>
          <w:iCs/>
          <w:sz w:val="24"/>
          <w:szCs w:val="24"/>
        </w:rPr>
        <w:t>qadhi</w:t>
      </w:r>
      <w:r w:rsidRPr="00BE77D1">
        <w:rPr>
          <w:rFonts w:asciiTheme="majorBidi" w:hAnsiTheme="majorBidi" w:cstheme="majorBidi"/>
          <w:sz w:val="24"/>
          <w:szCs w:val="24"/>
        </w:rPr>
        <w:t xml:space="preserve"> ke Yaman yang menegaskan penggunaan ijtihad oleh Mu'adz ketika tidak ditemukan dalil dari ayat-ayat Al-Qur’ān dan Sunnah. </w:t>
      </w:r>
      <w:r w:rsidRPr="00BE77D1">
        <w:rPr>
          <w:rStyle w:val="gen"/>
          <w:rFonts w:asciiTheme="majorBidi" w:hAnsiTheme="majorBidi" w:cstheme="majorBidi"/>
          <w:sz w:val="24"/>
          <w:szCs w:val="24"/>
        </w:rPr>
        <w:t>Sebagaimana dikutip oleh Imam Abu Daud dan Al-Baihaqi dalam Musnadnya:</w:t>
      </w:r>
    </w:p>
    <w:p w:rsidR="00343B61" w:rsidRPr="00E1129B" w:rsidRDefault="00343B61" w:rsidP="00343B61">
      <w:pPr>
        <w:autoSpaceDE w:val="0"/>
        <w:autoSpaceDN w:val="0"/>
        <w:bidi/>
        <w:adjustRightInd w:val="0"/>
        <w:spacing w:after="0" w:line="240" w:lineRule="auto"/>
        <w:jc w:val="both"/>
        <w:rPr>
          <w:rFonts w:ascii="Arial" w:hAnsi="Arial" w:cs="Traditional Arabic"/>
          <w:sz w:val="32"/>
          <w:szCs w:val="32"/>
        </w:rPr>
      </w:pPr>
      <w:r w:rsidRPr="003038FD">
        <w:rPr>
          <w:rFonts w:ascii="Adobe نسخ Medium" w:hAnsi="Adobe نسخ Medium" w:cs="Traditional Arabic"/>
          <w:sz w:val="32"/>
          <w:szCs w:val="32"/>
          <w:rtl/>
        </w:rPr>
        <w:t xml:space="preserve">عَن أُنَاسٍ مِنْ أَهْلِ حِمْصٍ ، مِنْ أَصْحَابِ مُعَاذِ بْنِ جَبَلٍ ، أَنَّ رَسُولَ اللهِ صلى الله عليه وسلم لَمَّا أَرَادَ أَنْ يَبْعَثَ مُعَاذًا إِلَى الْيَمَنِ قَالَ : كَيْفَ تَقْضِي إِذَا عَرَضَ لَكَ قَضَاءٌ ؟ قَالَ : أَقْضِي بِكِتَابِ اللهِ ، قَالَ : فَإِنْ لَمْ تَجِدْ فِي كِتَابِ اللهِ ؟ قَالَ : فَبِسُنَّةِ رَسُولِ اللهِ صلى الله عليه وسلم ، قَالَ : فَإِنْ لَمْ تَجِدْ فِي سُنَّةِ رَسُولِ اللهِ صلى الله عليه وسلم ، وَلاَ فِي كِتَابِ اللهِ ؟ قَالَ : أَجْتَهِدُ رَأْيِي ، وَلاَ آلُو </w:t>
      </w:r>
      <w:r w:rsidRPr="003038FD">
        <w:rPr>
          <w:rFonts w:ascii="Adobe نسخ Medium" w:hAnsi="Adobe نسخ Medium" w:cs="Traditional Arabic"/>
          <w:sz w:val="32"/>
          <w:szCs w:val="32"/>
          <w:rtl/>
        </w:rPr>
        <w:lastRenderedPageBreak/>
        <w:t xml:space="preserve">فَضَرَبَ رَسُولُ اللهِ صلى الله عليه وسلم صَدْرَهُ ، وَقَالَ : الْحَمْدُ لِلَّهِ الَّذِي وَفَّقَ رَسُولَ ، رَسُولِ اللهِ لِمَا يُرْضِي رَسُولَ اللَّهِ ( رواه أبو داود </w:t>
      </w:r>
      <w:r w:rsidRPr="00E1129B">
        <w:rPr>
          <w:rFonts w:ascii="Arial" w:hAnsi="Arial" w:cs="Traditional Arabic"/>
          <w:sz w:val="32"/>
          <w:szCs w:val="32"/>
          <w:rtl/>
        </w:rPr>
        <w:t>)</w:t>
      </w:r>
      <w:r w:rsidRPr="00E1129B">
        <w:rPr>
          <w:rStyle w:val="FootnoteReference"/>
          <w:rFonts w:ascii="Arial" w:hAnsi="Arial" w:cs="Traditional Arabic"/>
          <w:sz w:val="32"/>
          <w:szCs w:val="32"/>
          <w:rtl/>
        </w:rPr>
        <w:footnoteReference w:id="573"/>
      </w:r>
    </w:p>
    <w:p w:rsidR="00343B61" w:rsidRPr="0011362F"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sidRPr="0011362F">
        <w:rPr>
          <w:rStyle w:val="gen"/>
          <w:rFonts w:asciiTheme="majorBidi" w:hAnsiTheme="majorBidi" w:cstheme="majorBidi"/>
          <w:sz w:val="24"/>
          <w:szCs w:val="24"/>
        </w:rPr>
        <w:t xml:space="preserve"> </w:t>
      </w:r>
      <w:r>
        <w:rPr>
          <w:rStyle w:val="gen"/>
          <w:rFonts w:asciiTheme="majorBidi" w:hAnsiTheme="majorBidi" w:cstheme="majorBidi"/>
          <w:sz w:val="24"/>
          <w:szCs w:val="24"/>
        </w:rPr>
        <w:t xml:space="preserve">Artinya: </w:t>
      </w:r>
      <w:r w:rsidRPr="0011362F">
        <w:rPr>
          <w:rStyle w:val="gen"/>
          <w:rFonts w:asciiTheme="majorBidi" w:hAnsiTheme="majorBidi" w:cstheme="majorBidi"/>
          <w:sz w:val="24"/>
          <w:szCs w:val="24"/>
        </w:rPr>
        <w:t xml:space="preserve">“Diriwayatkan dari sekelompok penduduk Homs, mereka termasuk sahabat </w:t>
      </w:r>
      <w:r w:rsidRPr="0011362F">
        <w:rPr>
          <w:rFonts w:asciiTheme="majorBidi" w:hAnsiTheme="majorBidi" w:cstheme="majorBidi"/>
          <w:i/>
          <w:iCs/>
          <w:sz w:val="24"/>
          <w:szCs w:val="24"/>
        </w:rPr>
        <w:t>Muadz bin Jabal, bahwa Rasulullah SAW ketika bermaksud mengutus Muadz ke negeri Yaman. Nabi SAW</w:t>
      </w:r>
      <w:r>
        <w:rPr>
          <w:rFonts w:asciiTheme="majorBidi" w:hAnsiTheme="majorBidi" w:cstheme="majorBidi"/>
          <w:i/>
          <w:iCs/>
          <w:sz w:val="24"/>
          <w:szCs w:val="24"/>
        </w:rPr>
        <w:t xml:space="preserve"> bertanya kepada Muadz,”</w:t>
      </w:r>
      <w:r w:rsidRPr="0011362F">
        <w:rPr>
          <w:rFonts w:asciiTheme="majorBidi" w:hAnsiTheme="majorBidi" w:cstheme="majorBidi"/>
          <w:i/>
          <w:iCs/>
          <w:sz w:val="24"/>
          <w:szCs w:val="24"/>
        </w:rPr>
        <w:t xml:space="preserve">bagaimana kamu akan menetapkan hukum kalau dihadapkan pada satu masalah yang memerlukan penetapan hukum?”, Muadz menjawab, “Saya akan menetapkan hukum berdasarkan </w:t>
      </w:r>
      <w:r>
        <w:rPr>
          <w:rFonts w:asciiTheme="majorBidi" w:hAnsiTheme="majorBidi" w:cstheme="majorBidi"/>
          <w:i/>
          <w:iCs/>
          <w:sz w:val="24"/>
          <w:szCs w:val="24"/>
        </w:rPr>
        <w:t>Al-Qur’ān</w:t>
      </w:r>
      <w:r w:rsidRPr="0011362F">
        <w:rPr>
          <w:rFonts w:asciiTheme="majorBidi" w:hAnsiTheme="majorBidi" w:cstheme="majorBidi"/>
          <w:i/>
          <w:iCs/>
          <w:sz w:val="24"/>
          <w:szCs w:val="24"/>
        </w:rPr>
        <w:t xml:space="preserve">. Rasul bertanya lagi, “Seandainya tidak ditemukan ketetapannya di dalam </w:t>
      </w:r>
      <w:r>
        <w:rPr>
          <w:rFonts w:asciiTheme="majorBidi" w:hAnsiTheme="majorBidi" w:cstheme="majorBidi"/>
          <w:i/>
          <w:iCs/>
          <w:sz w:val="24"/>
          <w:szCs w:val="24"/>
        </w:rPr>
        <w:t>Al-Qur’ān</w:t>
      </w:r>
      <w:r w:rsidRPr="0011362F">
        <w:rPr>
          <w:rFonts w:asciiTheme="majorBidi" w:hAnsiTheme="majorBidi" w:cstheme="majorBidi"/>
          <w:i/>
          <w:iCs/>
          <w:sz w:val="24"/>
          <w:szCs w:val="24"/>
        </w:rPr>
        <w:t xml:space="preserve">?” Muadz menjawab, “Saya akan tetapkan berdasarkan Hadits”. Rasul bertanya lagi, “Seandainya tidak engkau temukan ketetapannya dalam </w:t>
      </w:r>
      <w:r>
        <w:rPr>
          <w:rFonts w:asciiTheme="majorBidi" w:hAnsiTheme="majorBidi" w:cstheme="majorBidi"/>
          <w:i/>
          <w:iCs/>
          <w:sz w:val="24"/>
          <w:szCs w:val="24"/>
        </w:rPr>
        <w:t>Al-Qur’ān</w:t>
      </w:r>
      <w:r w:rsidRPr="0011362F">
        <w:rPr>
          <w:rFonts w:asciiTheme="majorBidi" w:hAnsiTheme="majorBidi" w:cstheme="majorBidi"/>
          <w:i/>
          <w:iCs/>
          <w:sz w:val="24"/>
          <w:szCs w:val="24"/>
        </w:rPr>
        <w:t xml:space="preserve"> dan Hadits”, Muadz menjawab” saya akan berijtihad berdasarkan pendapat saya sendiri dengan seksama” kemudian, Rasulullah Saw menepuk dada Muadz bin Jabal, seraya berkata;” Segala puji bagi Allah yang telah memberikan petunjuk kepada utusan Rasulullah terhadap jalan yang diridhainya</w:t>
      </w:r>
      <w:r w:rsidRPr="0011362F">
        <w:rPr>
          <w:rFonts w:asciiTheme="majorBidi" w:hAnsiTheme="majorBidi" w:cstheme="majorBidi"/>
          <w:sz w:val="24"/>
          <w:szCs w:val="24"/>
        </w:rPr>
        <w:t>”. ( HR. Abu Daud dan Baihaqi)</w:t>
      </w:r>
    </w:p>
    <w:p w:rsidR="00343B61" w:rsidRPr="0011362F"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Pr="0011362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62F">
        <w:rPr>
          <w:rFonts w:asciiTheme="majorBidi" w:hAnsiTheme="majorBidi" w:cstheme="majorBidi"/>
          <w:sz w:val="24"/>
          <w:szCs w:val="24"/>
        </w:rPr>
        <w:t>Dalam hadis lain yang diriwayatkan oleh Al-Bahaqi dan Al-Darimi, dijelaskan juga  bagaimana urutan pemberlakuan dalil ini, Yaitu sabda Nabi Saw:</w:t>
      </w:r>
    </w:p>
    <w:p w:rsidR="00343B61" w:rsidRPr="00E1129B" w:rsidRDefault="00343B61" w:rsidP="00343B61">
      <w:pPr>
        <w:autoSpaceDE w:val="0"/>
        <w:autoSpaceDN w:val="0"/>
        <w:bidi/>
        <w:adjustRightInd w:val="0"/>
        <w:spacing w:after="0" w:line="240" w:lineRule="auto"/>
        <w:jc w:val="both"/>
        <w:rPr>
          <w:rFonts w:ascii="Simplified Arabic" w:hAnsi="Simplified Arabic" w:cs="Traditional Arabic"/>
          <w:sz w:val="32"/>
          <w:szCs w:val="32"/>
        </w:rPr>
      </w:pPr>
      <w:r w:rsidRPr="00E1129B">
        <w:rPr>
          <w:rFonts w:ascii="Arial" w:hAnsi="Arial" w:cs="Traditional Arabic"/>
          <w:sz w:val="32"/>
          <w:szCs w:val="32"/>
          <w:rtl/>
        </w:rPr>
        <w:t>عَنْ مَيْمُونِ بْنِ مِهْرَانَ قَالَ : كَانَ أَبُو بَكْرٍ رَضِىَ اللَّهُ عَنْهُ إِذَا وَرَدَ عَلَيْهِ خَصْمٌ نَظَرَ فِى كِتَابِ اللَّهِ فَإِنْ وَجَدَ فِيهِ مَا يَقْضِى بِهِ قَضَى بِهِ بَيْنَهُمْ فَإِنْ لَمْ يَجِدْ فِى الْكِتَابِ نَظَرَ هَلْ كَانَتْ مِنَ النَّبِىِّ -صلى الله عليه وسلم- فِيهِ سُنَّةٌ فَإِنْ عَلِمَهَا قَضَى بِهَا وَإِنْ لَمْ يَعْلَمْ خَرَجَ فَسَأَلَ الْمُسْلِمِينَ فَقَالَ أَتَانِى كَذَا وَكَذَا فَنَظَرْتُ فِى كِتَابِ اللَّهِ وَفِى سُنَّةِ رَسُولِ اللَّهِ -صلى الله عليه وسلم- فَلَمْ أَجِدْ فِى ذَلِكَ شَيْئًا فَهَلْ تَعْلَمُونَ أَنَّ نَبِىَّ اللَّهِ -صلى الله عليه وسلم- قَضَى فِى ذَلِكَ بِقَضَاءٍ فَرُبَّمَا قَامَ إِلَيْهِ الرَّهْطُ فَقَالُوا نَعَمْ قَضَى فِيهِ بِكَذَا وَكَذَا فَيَأْخُذُ بِقَضَاءِ رَسُولِ اللَّهِ -صلى الله عليه وسلم- وَإِنْ أَعْيَاهُ ذَلِكَ دَعَا رُءُوسَ الْمُسْلِمِينَ وَعُلَمَاءَهُمْ فَاسْتَشَارَهُمْ فَإِذَا اجْتَمَعَ رَأْيُهُمْ عَلَى الأَمْرِ قَضَى بِهِ</w:t>
      </w:r>
      <w:r w:rsidRPr="00E1129B">
        <w:rPr>
          <w:rStyle w:val="FootnoteReference"/>
          <w:rFonts w:ascii="Simplified Arabic" w:hAnsi="Simplified Arabic" w:cs="Traditional Arabic"/>
          <w:sz w:val="32"/>
          <w:szCs w:val="32"/>
          <w:rtl/>
        </w:rPr>
        <w:footnoteReference w:id="574"/>
      </w:r>
    </w:p>
    <w:p w:rsidR="00343B61" w:rsidRDefault="00343B61" w:rsidP="00343B61">
      <w:pPr>
        <w:autoSpaceDE w:val="0"/>
        <w:autoSpaceDN w:val="0"/>
        <w:adjustRightInd w:val="0"/>
        <w:spacing w:after="0" w:line="240" w:lineRule="auto"/>
        <w:ind w:left="720"/>
        <w:jc w:val="both"/>
        <w:rPr>
          <w:rStyle w:val="gen"/>
          <w:rFonts w:asciiTheme="majorBidi" w:hAnsiTheme="majorBidi" w:cstheme="majorBidi"/>
          <w:sz w:val="24"/>
          <w:szCs w:val="24"/>
        </w:rPr>
      </w:pPr>
      <w:r>
        <w:rPr>
          <w:rFonts w:asciiTheme="majorBidi" w:hAnsiTheme="majorBidi" w:cstheme="majorBidi"/>
          <w:sz w:val="24"/>
          <w:szCs w:val="24"/>
        </w:rPr>
        <w:t xml:space="preserve">Artinya: </w:t>
      </w:r>
      <w:r w:rsidRPr="0011362F">
        <w:rPr>
          <w:rFonts w:asciiTheme="majorBidi" w:hAnsiTheme="majorBidi" w:cstheme="majorBidi"/>
          <w:sz w:val="24"/>
          <w:szCs w:val="24"/>
        </w:rPr>
        <w:t xml:space="preserve">“ </w:t>
      </w:r>
      <w:r w:rsidRPr="0011362F">
        <w:rPr>
          <w:rFonts w:asciiTheme="majorBidi" w:hAnsiTheme="majorBidi" w:cstheme="majorBidi"/>
          <w:i/>
          <w:iCs/>
          <w:sz w:val="24"/>
          <w:szCs w:val="24"/>
        </w:rPr>
        <w:t>Dari Maimun Bin Mihran ia berkata:</w:t>
      </w:r>
      <w:r w:rsidRPr="0011362F">
        <w:rPr>
          <w:rFonts w:ascii="Z@R72D4.tmp,Bold" w:hAnsi="Z@R72D4.tmp,Bold" w:cs="Z@R72D4.tmp,Bold"/>
          <w:b/>
          <w:bCs/>
          <w:i/>
          <w:iCs/>
          <w:sz w:val="24"/>
          <w:szCs w:val="24"/>
        </w:rPr>
        <w:t xml:space="preserve"> </w:t>
      </w:r>
      <w:r w:rsidRPr="0011362F">
        <w:rPr>
          <w:rFonts w:asciiTheme="majorBidi" w:hAnsiTheme="majorBidi" w:cstheme="majorBidi"/>
          <w:i/>
          <w:iCs/>
          <w:sz w:val="24"/>
          <w:szCs w:val="24"/>
        </w:rPr>
        <w:t xml:space="preserve">Adalah Abu Bakar RA. ketika menemui suatu permasalahan yang diperselisihkan segera ia </w:t>
      </w:r>
      <w:r w:rsidRPr="0011362F">
        <w:rPr>
          <w:rFonts w:asciiTheme="majorBidi" w:hAnsiTheme="majorBidi" w:cstheme="majorBidi"/>
          <w:i/>
          <w:iCs/>
          <w:sz w:val="24"/>
          <w:szCs w:val="24"/>
        </w:rPr>
        <w:lastRenderedPageBreak/>
        <w:t>merujuk kitabullah, jika ditemuinya dalam kitabullah (hukum masalah tersebut)  maka ia akan memutuskannya berdasarkan kitabullah, dan jika ia tidak menemukannya dalam kitabullah sedangkan ia mengetahui (hukumnya) dari Rasulullah SAW maka ia memutuskannya berdasarkan sunnah Rasulullah, dan jika tidak ditemukannya juga dalam sunnah Rasulull</w:t>
      </w:r>
      <w:r>
        <w:rPr>
          <w:rFonts w:asciiTheme="majorBidi" w:hAnsiTheme="majorBidi" w:cstheme="majorBidi"/>
          <w:i/>
          <w:iCs/>
          <w:sz w:val="24"/>
          <w:szCs w:val="24"/>
        </w:rPr>
        <w:t>ah maka ia menanyakannya kepada para Shahabat, lalu beliau berakata:”</w:t>
      </w:r>
      <w:r w:rsidRPr="0011362F">
        <w:rPr>
          <w:rFonts w:asciiTheme="majorBidi" w:hAnsiTheme="majorBidi" w:cstheme="majorBidi"/>
          <w:i/>
          <w:iCs/>
          <w:sz w:val="24"/>
          <w:szCs w:val="24"/>
        </w:rPr>
        <w:t>Saya punya permasalahan begini begini, saya telah menelaah kitabullah dan sunnah Rasulullah belum saya temukan masalah ini, apakah kamu mengetahui masalah ini pernah Nabi putuskan? Maka terkadang ada sekelompok sahabat yang menjawab: iya. Maka Abu Bakar memutuskan perkara itu sesuai dengan putusan Nabi SAW. Dan jika tidak ditemukan juga dalam putusan Nabi maka ia segera mengumpulkan para sahabat terkemuka untuk memusyawarahkan (hukum permasalahan tersebut),</w:t>
      </w:r>
      <w:r w:rsidRPr="0011362F">
        <w:rPr>
          <w:rFonts w:ascii="Z@R72D4.tmp,Bold" w:hAnsi="Z@R72D4.tmp,Bold" w:cs="Z@R72D4.tmp,Bold"/>
          <w:b/>
          <w:bCs/>
          <w:i/>
          <w:iCs/>
          <w:sz w:val="24"/>
          <w:szCs w:val="24"/>
        </w:rPr>
        <w:t xml:space="preserve"> </w:t>
      </w:r>
      <w:r w:rsidRPr="0011362F">
        <w:rPr>
          <w:rFonts w:asciiTheme="majorBidi" w:hAnsiTheme="majorBidi" w:cstheme="majorBidi"/>
          <w:i/>
          <w:iCs/>
          <w:sz w:val="24"/>
          <w:szCs w:val="24"/>
        </w:rPr>
        <w:t>dan jika di antara para sahabat tersebut telah terjadi satu konsensus (terhadap hukum permasalahan</w:t>
      </w:r>
      <w:r w:rsidRPr="0011362F">
        <w:rPr>
          <w:rFonts w:ascii="Z@R72D4.tmp,Bold" w:hAnsi="Z@R72D4.tmp,Bold" w:cs="Z@R72D4.tmp,Bold"/>
          <w:b/>
          <w:bCs/>
          <w:i/>
          <w:iCs/>
          <w:sz w:val="24"/>
          <w:szCs w:val="24"/>
        </w:rPr>
        <w:t xml:space="preserve"> </w:t>
      </w:r>
      <w:r w:rsidRPr="0011362F">
        <w:rPr>
          <w:rFonts w:asciiTheme="majorBidi" w:hAnsiTheme="majorBidi" w:cstheme="majorBidi"/>
          <w:i/>
          <w:iCs/>
          <w:sz w:val="24"/>
          <w:szCs w:val="24"/>
        </w:rPr>
        <w:t>tersebut),</w:t>
      </w:r>
      <w:r>
        <w:rPr>
          <w:rFonts w:asciiTheme="majorBidi" w:hAnsiTheme="majorBidi" w:cstheme="majorBidi"/>
          <w:i/>
          <w:iCs/>
          <w:sz w:val="24"/>
          <w:szCs w:val="24"/>
        </w:rPr>
        <w:t xml:space="preserve"> maka ia akan memutuskannya ber</w:t>
      </w:r>
      <w:r w:rsidRPr="0011362F">
        <w:rPr>
          <w:rFonts w:asciiTheme="majorBidi" w:hAnsiTheme="majorBidi" w:cstheme="majorBidi"/>
          <w:i/>
          <w:iCs/>
          <w:sz w:val="24"/>
          <w:szCs w:val="24"/>
        </w:rPr>
        <w:t>dasarkan konsensus para sahabat tersebut</w:t>
      </w:r>
      <w:r w:rsidRPr="0011362F">
        <w:rPr>
          <w:rFonts w:asciiTheme="majorBidi" w:hAnsiTheme="majorBidi" w:cstheme="majorBidi"/>
          <w:sz w:val="24"/>
          <w:szCs w:val="24"/>
        </w:rPr>
        <w:t xml:space="preserve">” ( HR. Baihaqi, Al-Darimi) </w:t>
      </w:r>
    </w:p>
    <w:p w:rsidR="00343B61" w:rsidRPr="004713AF"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Pr="00927E8D"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E131DF">
        <w:rPr>
          <w:rFonts w:asciiTheme="majorBidi" w:hAnsiTheme="majorBidi" w:cstheme="majorBidi"/>
          <w:sz w:val="24"/>
          <w:szCs w:val="24"/>
        </w:rPr>
        <w:t>Al-Qur’ān, As-Sunnah dan Ijma’ dianggap sebagai sumber hukum yang berdiri</w:t>
      </w:r>
      <w:r>
        <w:rPr>
          <w:rFonts w:asciiTheme="majorBidi" w:hAnsiTheme="majorBidi" w:cstheme="majorBidi"/>
          <w:sz w:val="24"/>
          <w:szCs w:val="24"/>
        </w:rPr>
        <w:t xml:space="preserve"> sendiri dalam menetapkan hokum </w:t>
      </w:r>
      <w:r w:rsidRPr="00E131DF">
        <w:rPr>
          <w:rFonts w:asciiTheme="majorBidi" w:hAnsiTheme="majorBidi" w:cstheme="majorBidi"/>
          <w:sz w:val="24"/>
          <w:szCs w:val="24"/>
        </w:rPr>
        <w:t xml:space="preserve">syari’ah karena tidak membutuhkan pihak lain dalam menetapkan suatu hukum. Sedangkan qiyas tidak dianggap sebagai sumber hukum yang berdiri sendiri karena membutuhkan cantolan hukum yang ada dalam Al-Qur’ān, As-Sunnah dan Ijma’, dengan cara menggali ‘illat yang ada pada hukum asal. Dengan demikian, dalil qiyas sifatnya tidak independen dengan dalil yang bersifat </w:t>
      </w:r>
      <w:r w:rsidRPr="00E131DF">
        <w:rPr>
          <w:rFonts w:asciiTheme="majorBidi" w:hAnsiTheme="majorBidi" w:cstheme="majorBidi"/>
          <w:i/>
          <w:iCs/>
          <w:sz w:val="24"/>
          <w:szCs w:val="24"/>
        </w:rPr>
        <w:t>naql</w:t>
      </w:r>
      <w:r w:rsidRPr="00E131DF">
        <w:rPr>
          <w:rFonts w:asciiTheme="majorBidi" w:hAnsiTheme="majorBidi" w:cstheme="majorBidi"/>
          <w:sz w:val="24"/>
          <w:szCs w:val="24"/>
        </w:rPr>
        <w:t xml:space="preserve">, terikat dengan </w:t>
      </w:r>
      <w:r w:rsidRPr="00E131DF">
        <w:rPr>
          <w:rFonts w:asciiTheme="majorBidi" w:hAnsiTheme="majorBidi" w:cstheme="majorBidi"/>
          <w:i/>
          <w:iCs/>
          <w:sz w:val="24"/>
          <w:szCs w:val="24"/>
        </w:rPr>
        <w:t>"ashl"</w:t>
      </w:r>
      <w:r w:rsidRPr="00E131DF">
        <w:rPr>
          <w:rFonts w:asciiTheme="majorBidi" w:hAnsiTheme="majorBidi" w:cstheme="majorBidi"/>
          <w:sz w:val="24"/>
          <w:szCs w:val="24"/>
        </w:rPr>
        <w:t xml:space="preserve"> yang terdapat dalam nash Al-Qur’ān dan Sunnah</w:t>
      </w:r>
      <w:r w:rsidRPr="00E131DF">
        <w:rPr>
          <w:rStyle w:val="FootnoteReference"/>
          <w:rFonts w:asciiTheme="majorBidi" w:hAnsiTheme="majorBidi" w:cstheme="majorBidi"/>
          <w:sz w:val="24"/>
          <w:szCs w:val="24"/>
        </w:rPr>
        <w:footnoteReference w:id="575"/>
      </w:r>
    </w:p>
    <w:p w:rsidR="00343B61" w:rsidRPr="00EE4292" w:rsidRDefault="00343B61" w:rsidP="002C0A33">
      <w:pPr>
        <w:pStyle w:val="ListParagraph"/>
        <w:numPr>
          <w:ilvl w:val="0"/>
          <w:numId w:val="39"/>
        </w:numPr>
        <w:autoSpaceDE w:val="0"/>
        <w:autoSpaceDN w:val="0"/>
        <w:adjustRightInd w:val="0"/>
        <w:spacing w:after="0" w:line="360" w:lineRule="auto"/>
        <w:ind w:left="360" w:hanging="180"/>
        <w:jc w:val="both"/>
        <w:rPr>
          <w:rFonts w:asciiTheme="majorBidi" w:hAnsiTheme="majorBidi" w:cstheme="majorBidi"/>
          <w:sz w:val="24"/>
          <w:szCs w:val="24"/>
        </w:rPr>
      </w:pPr>
      <w:r>
        <w:rPr>
          <w:rFonts w:asciiTheme="majorBidi" w:hAnsiTheme="majorBidi" w:cstheme="majorBidi"/>
          <w:sz w:val="24"/>
          <w:szCs w:val="24"/>
        </w:rPr>
        <w:t xml:space="preserve"> </w:t>
      </w:r>
      <w:r w:rsidRPr="00EE4292">
        <w:rPr>
          <w:rFonts w:asciiTheme="majorBidi" w:hAnsiTheme="majorBidi" w:cstheme="majorBidi"/>
          <w:sz w:val="24"/>
          <w:szCs w:val="24"/>
        </w:rPr>
        <w:t>Metode Penetapan Fatwa MUI</w:t>
      </w:r>
    </w:p>
    <w:p w:rsidR="00343B61" w:rsidRPr="00EE429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EE4292">
        <w:rPr>
          <w:rFonts w:asciiTheme="majorBidi" w:hAnsiTheme="majorBidi" w:cstheme="majorBidi"/>
          <w:sz w:val="24"/>
          <w:szCs w:val="24"/>
        </w:rPr>
        <w:t>Penyempurnaan lain dari pedoman penetapan fatwa MUI adalah memisahkan antara dasar dan metode penetapan fatwa dalam bab yang berbeda. Penetapan fatwa didasarkan pada al- Qur’an, sunnah (hadis), ijma’, dan qiyas, sedang metode penetapan fatwa melalui lima langkah.</w:t>
      </w:r>
      <w:r w:rsidRPr="00EE4292">
        <w:rPr>
          <w:rStyle w:val="FootnoteReference"/>
          <w:rFonts w:asciiTheme="majorBidi" w:hAnsiTheme="majorBidi" w:cstheme="majorBidi"/>
          <w:sz w:val="24"/>
          <w:szCs w:val="24"/>
        </w:rPr>
        <w:footnoteReference w:id="576"/>
      </w:r>
    </w:p>
    <w:p w:rsidR="00343B61" w:rsidRPr="00C25527"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25527">
        <w:rPr>
          <w:rFonts w:asciiTheme="majorBidi" w:hAnsiTheme="majorBidi" w:cstheme="majorBidi"/>
          <w:sz w:val="24"/>
          <w:szCs w:val="24"/>
        </w:rPr>
        <w:lastRenderedPageBreak/>
        <w:t xml:space="preserve">Langkah </w:t>
      </w:r>
      <w:r w:rsidRPr="00C25527">
        <w:rPr>
          <w:rFonts w:asciiTheme="majorBidi" w:hAnsiTheme="majorBidi" w:cstheme="majorBidi"/>
          <w:i/>
          <w:iCs/>
          <w:sz w:val="24"/>
          <w:szCs w:val="24"/>
        </w:rPr>
        <w:t xml:space="preserve">pertama, </w:t>
      </w:r>
      <w:r w:rsidRPr="00C25527">
        <w:rPr>
          <w:rFonts w:asciiTheme="majorBidi" w:hAnsiTheme="majorBidi" w:cstheme="majorBidi"/>
          <w:sz w:val="24"/>
          <w:szCs w:val="24"/>
        </w:rPr>
        <w:t>sebelum fatwa ditetapkan hendaklah ditinjau lebih dahulu pendapat para imam mazhab tentang masalah yang akan difatwakan tersebut, secara seksama berikut dalil-dalilnya. Dari sini dapat dimengerti bahwa fatwa MUI mempunyai transmisi dan kesinambungan dengan masalah yang difatwakan oleh para imam mazhab. Metode ini meneguhkan MUI sebagai pewaris tradisi keilmuan ulama generasi sebelumnya, sekaligus meneguhkan konsistensi MUI dalam menjalankan fungsi ahli waris para nabi (</w:t>
      </w:r>
      <w:r w:rsidRPr="00C25527">
        <w:rPr>
          <w:rFonts w:asciiTheme="majorBidi" w:hAnsiTheme="majorBidi" w:cstheme="majorBidi"/>
          <w:i/>
          <w:iCs/>
          <w:sz w:val="24"/>
          <w:szCs w:val="24"/>
        </w:rPr>
        <w:t>waratsah al-anbiy</w:t>
      </w:r>
      <w:r w:rsidRPr="00C25527">
        <w:rPr>
          <w:rFonts w:asciiTheme="majorBidi" w:hAnsiTheme="majorBidi" w:cstheme="majorBidi"/>
          <w:sz w:val="24"/>
          <w:szCs w:val="24"/>
        </w:rPr>
        <w:t>a')</w:t>
      </w:r>
      <w:r>
        <w:rPr>
          <w:rFonts w:asciiTheme="majorBidi" w:hAnsiTheme="majorBidi" w:cstheme="majorBidi"/>
          <w:sz w:val="24"/>
          <w:szCs w:val="24"/>
        </w:rPr>
        <w:t>.</w:t>
      </w:r>
      <w:r w:rsidRPr="00C25527">
        <w:rPr>
          <w:rStyle w:val="FootnoteReference"/>
          <w:rFonts w:asciiTheme="majorBidi" w:hAnsiTheme="majorBidi" w:cstheme="majorBidi"/>
          <w:sz w:val="24"/>
          <w:szCs w:val="24"/>
        </w:rPr>
        <w:footnoteReference w:id="577"/>
      </w:r>
      <w:r w:rsidRPr="00C25527">
        <w:rPr>
          <w:rFonts w:asciiTheme="majorBidi" w:hAnsiTheme="majorBidi" w:cstheme="majorBidi"/>
          <w:sz w:val="24"/>
          <w:szCs w:val="24"/>
        </w:rPr>
        <w:t xml:space="preserve"> dengan mengikuti tradisi dan keilmuan ulama pendahulu (</w:t>
      </w:r>
      <w:r w:rsidRPr="00C25527">
        <w:rPr>
          <w:rFonts w:asciiTheme="majorBidi" w:hAnsiTheme="majorBidi" w:cstheme="majorBidi"/>
          <w:i/>
          <w:iCs/>
          <w:sz w:val="24"/>
          <w:szCs w:val="24"/>
        </w:rPr>
        <w:t>salaf al-shalih</w:t>
      </w:r>
      <w:r w:rsidRPr="00C25527">
        <w:rPr>
          <w:rFonts w:asciiTheme="majorBidi" w:hAnsiTheme="majorBidi" w:cstheme="majorBidi"/>
          <w:sz w:val="24"/>
          <w:szCs w:val="24"/>
        </w:rPr>
        <w:t>). Pedoman yang bersifat normatif ini agaknya sejalan dengan realitas latar belakang keilmuan para pengurus Komisi Fatwa MUI, yang mayoritas berlatar belakang disiplin fi</w:t>
      </w:r>
      <w:r>
        <w:rPr>
          <w:rFonts w:asciiTheme="majorBidi" w:hAnsiTheme="majorBidi" w:cstheme="majorBidi"/>
          <w:sz w:val="24"/>
          <w:szCs w:val="24"/>
        </w:rPr>
        <w:t xml:space="preserve">qh, khususnya mazhab Syafi'i. </w:t>
      </w:r>
      <w:r w:rsidRPr="00C25527">
        <w:rPr>
          <w:rFonts w:asciiTheme="majorBidi" w:hAnsiTheme="majorBidi" w:cstheme="majorBidi"/>
          <w:sz w:val="24"/>
          <w:szCs w:val="24"/>
        </w:rPr>
        <w:t>Sebenarnya, secara umum, mayoritas masyarakat muslim di Indonesia, secar</w:t>
      </w:r>
      <w:r>
        <w:rPr>
          <w:rFonts w:asciiTheme="majorBidi" w:hAnsiTheme="majorBidi" w:cstheme="majorBidi"/>
          <w:sz w:val="24"/>
          <w:szCs w:val="24"/>
        </w:rPr>
        <w:t>a hukum mengikuti mazhab Syafi'i</w:t>
      </w:r>
      <w:r w:rsidRPr="00C25527">
        <w:rPr>
          <w:rFonts w:asciiTheme="majorBidi" w:hAnsiTheme="majorBidi" w:cstheme="majorBidi"/>
          <w:sz w:val="24"/>
          <w:szCs w:val="24"/>
        </w:rPr>
        <w:t>, sedang dalam doktrin keagamaan mengikuti teologi Asy'ary.</w:t>
      </w:r>
      <w:r w:rsidRPr="00C25527">
        <w:rPr>
          <w:rStyle w:val="FootnoteReference"/>
          <w:rFonts w:asciiTheme="majorBidi" w:hAnsiTheme="majorBidi" w:cstheme="majorBidi"/>
          <w:sz w:val="24"/>
          <w:szCs w:val="24"/>
        </w:rPr>
        <w:footnoteReference w:id="578"/>
      </w:r>
      <w:r w:rsidRPr="00C25527">
        <w:rPr>
          <w:rFonts w:asciiTheme="majorBidi" w:hAnsiTheme="majorBidi" w:cstheme="majorBidi"/>
          <w:sz w:val="24"/>
          <w:szCs w:val="24"/>
        </w:rPr>
        <w:t xml:space="preserve"> </w:t>
      </w:r>
    </w:p>
    <w:p w:rsidR="00343B61" w:rsidRPr="00C25527"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25527">
        <w:rPr>
          <w:rFonts w:asciiTheme="majorBidi" w:hAnsiTheme="majorBidi" w:cstheme="majorBidi"/>
          <w:sz w:val="24"/>
          <w:szCs w:val="24"/>
        </w:rPr>
        <w:t>Hal tersebut didukung oleh fakta bahwa hampir semua tulisan dalam bahasa Arab tentang fiqh dan hukum Islam, yang dipakai di lembaga pendidikan Islam di Indonesia adalah karya</w:t>
      </w:r>
      <w:r>
        <w:rPr>
          <w:rFonts w:asciiTheme="majorBidi" w:hAnsiTheme="majorBidi" w:cstheme="majorBidi"/>
          <w:sz w:val="24"/>
          <w:szCs w:val="24"/>
        </w:rPr>
        <w:t>-karya ulama dari mazhab Syafi'i</w:t>
      </w:r>
      <w:r w:rsidRPr="00C25527">
        <w:rPr>
          <w:rFonts w:asciiTheme="majorBidi" w:hAnsiTheme="majorBidi" w:cstheme="majorBidi"/>
          <w:sz w:val="24"/>
          <w:szCs w:val="24"/>
        </w:rPr>
        <w:t xml:space="preserve">. Daftar buku ini meliputi antara lain; </w:t>
      </w:r>
      <w:r w:rsidRPr="00C25527">
        <w:rPr>
          <w:rFonts w:asciiTheme="majorBidi" w:hAnsiTheme="majorBidi" w:cstheme="majorBidi"/>
          <w:i/>
          <w:iCs/>
          <w:sz w:val="24"/>
          <w:szCs w:val="24"/>
        </w:rPr>
        <w:t xml:space="preserve">Minhaj al-Thalibin </w:t>
      </w:r>
      <w:r w:rsidRPr="00C25527">
        <w:rPr>
          <w:rFonts w:asciiTheme="majorBidi" w:hAnsiTheme="majorBidi" w:cstheme="majorBidi"/>
          <w:sz w:val="24"/>
          <w:szCs w:val="24"/>
        </w:rPr>
        <w:t xml:space="preserve">karya al-Nawawi (w. 679 H) dengan </w:t>
      </w:r>
      <w:r w:rsidRPr="00C25527">
        <w:rPr>
          <w:rFonts w:asciiTheme="majorBidi" w:hAnsiTheme="majorBidi" w:cstheme="majorBidi"/>
          <w:i/>
          <w:iCs/>
          <w:sz w:val="24"/>
          <w:szCs w:val="24"/>
        </w:rPr>
        <w:t>khulashah</w:t>
      </w:r>
      <w:r w:rsidRPr="00C25527">
        <w:rPr>
          <w:rFonts w:asciiTheme="majorBidi" w:hAnsiTheme="majorBidi" w:cstheme="majorBidi"/>
          <w:sz w:val="24"/>
          <w:szCs w:val="24"/>
        </w:rPr>
        <w:t xml:space="preserve"> dan </w:t>
      </w:r>
      <w:r w:rsidRPr="00C25527">
        <w:rPr>
          <w:rFonts w:asciiTheme="majorBidi" w:hAnsiTheme="majorBidi" w:cstheme="majorBidi"/>
          <w:i/>
          <w:iCs/>
          <w:sz w:val="24"/>
          <w:szCs w:val="24"/>
        </w:rPr>
        <w:t>hashiyah</w:t>
      </w:r>
      <w:r w:rsidRPr="00C25527">
        <w:rPr>
          <w:rFonts w:asciiTheme="majorBidi" w:hAnsiTheme="majorBidi" w:cstheme="majorBidi"/>
          <w:sz w:val="24"/>
          <w:szCs w:val="24"/>
        </w:rPr>
        <w:t xml:space="preserve">nya, yakni </w:t>
      </w:r>
      <w:r w:rsidRPr="00C25527">
        <w:rPr>
          <w:rFonts w:asciiTheme="majorBidi" w:hAnsiTheme="majorBidi" w:cstheme="majorBidi"/>
          <w:i/>
          <w:iCs/>
          <w:sz w:val="24"/>
          <w:szCs w:val="24"/>
        </w:rPr>
        <w:t xml:space="preserve">Kanz al-Raghibin </w:t>
      </w:r>
      <w:r w:rsidRPr="00C25527">
        <w:rPr>
          <w:rFonts w:asciiTheme="majorBidi" w:hAnsiTheme="majorBidi" w:cstheme="majorBidi"/>
          <w:sz w:val="24"/>
          <w:szCs w:val="24"/>
        </w:rPr>
        <w:t xml:space="preserve">oleh al-Mahalli (w. 864 H), </w:t>
      </w:r>
      <w:r w:rsidRPr="00C25527">
        <w:rPr>
          <w:rFonts w:asciiTheme="majorBidi" w:hAnsiTheme="majorBidi" w:cstheme="majorBidi"/>
          <w:i/>
          <w:iCs/>
          <w:sz w:val="24"/>
          <w:szCs w:val="24"/>
        </w:rPr>
        <w:t>Syarh Kanz al-</w:t>
      </w:r>
      <w:r>
        <w:rPr>
          <w:rFonts w:asciiTheme="majorBidi" w:hAnsiTheme="majorBidi" w:cstheme="majorBidi"/>
          <w:i/>
          <w:iCs/>
          <w:sz w:val="24"/>
          <w:szCs w:val="24"/>
        </w:rPr>
        <w:t>Ra</w:t>
      </w:r>
      <w:r w:rsidRPr="00C25527">
        <w:rPr>
          <w:rFonts w:asciiTheme="majorBidi" w:hAnsiTheme="majorBidi" w:cstheme="majorBidi"/>
          <w:i/>
          <w:iCs/>
          <w:sz w:val="24"/>
          <w:szCs w:val="24"/>
        </w:rPr>
        <w:t xml:space="preserve">ghibin </w:t>
      </w:r>
      <w:r w:rsidRPr="00C25527">
        <w:rPr>
          <w:rFonts w:asciiTheme="majorBidi" w:hAnsiTheme="majorBidi" w:cstheme="majorBidi"/>
          <w:sz w:val="24"/>
          <w:szCs w:val="24"/>
        </w:rPr>
        <w:t xml:space="preserve">oleh Qalyuby dan 'Umairah, </w:t>
      </w:r>
      <w:r>
        <w:rPr>
          <w:rFonts w:asciiTheme="majorBidi" w:hAnsiTheme="majorBidi" w:cstheme="majorBidi"/>
          <w:i/>
          <w:iCs/>
          <w:sz w:val="24"/>
          <w:szCs w:val="24"/>
        </w:rPr>
        <w:t>Minha</w:t>
      </w:r>
      <w:r w:rsidRPr="00C25527">
        <w:rPr>
          <w:rFonts w:asciiTheme="majorBidi" w:hAnsiTheme="majorBidi" w:cstheme="majorBidi"/>
          <w:i/>
          <w:iCs/>
          <w:sz w:val="24"/>
          <w:szCs w:val="24"/>
        </w:rPr>
        <w:t xml:space="preserve">j al-Thullab </w:t>
      </w:r>
      <w:r w:rsidRPr="00C25527">
        <w:rPr>
          <w:rFonts w:asciiTheme="majorBidi" w:hAnsiTheme="majorBidi" w:cstheme="majorBidi"/>
          <w:sz w:val="24"/>
          <w:szCs w:val="24"/>
        </w:rPr>
        <w:t xml:space="preserve">karya al-Anshary (w. 926 H), </w:t>
      </w:r>
      <w:r w:rsidRPr="00C25527">
        <w:rPr>
          <w:rFonts w:asciiTheme="majorBidi" w:hAnsiTheme="majorBidi" w:cstheme="majorBidi"/>
          <w:i/>
          <w:iCs/>
          <w:sz w:val="24"/>
          <w:szCs w:val="24"/>
        </w:rPr>
        <w:t xml:space="preserve">Fath al-Wahhab </w:t>
      </w:r>
      <w:r w:rsidRPr="00C25527">
        <w:rPr>
          <w:rFonts w:asciiTheme="majorBidi" w:hAnsiTheme="majorBidi" w:cstheme="majorBidi"/>
          <w:sz w:val="24"/>
          <w:szCs w:val="24"/>
        </w:rPr>
        <w:t xml:space="preserve">karya al-Anshary (w. 926 H), </w:t>
      </w:r>
      <w:r w:rsidRPr="00C25527">
        <w:rPr>
          <w:rFonts w:asciiTheme="majorBidi" w:hAnsiTheme="majorBidi" w:cstheme="majorBidi"/>
          <w:i/>
          <w:iCs/>
          <w:sz w:val="24"/>
          <w:szCs w:val="24"/>
        </w:rPr>
        <w:t xml:space="preserve">Tuhfah al-Muhtaj </w:t>
      </w:r>
      <w:r w:rsidRPr="00C25527">
        <w:rPr>
          <w:rFonts w:asciiTheme="majorBidi" w:hAnsiTheme="majorBidi" w:cstheme="majorBidi"/>
          <w:sz w:val="24"/>
          <w:szCs w:val="24"/>
        </w:rPr>
        <w:t xml:space="preserve">karya Ibn Hajar al-Haitsami (w. 973 H), </w:t>
      </w:r>
      <w:r w:rsidRPr="00C25527">
        <w:rPr>
          <w:rFonts w:asciiTheme="majorBidi" w:hAnsiTheme="majorBidi" w:cstheme="majorBidi"/>
          <w:i/>
          <w:iCs/>
          <w:sz w:val="24"/>
          <w:szCs w:val="24"/>
        </w:rPr>
        <w:t>Mughn</w:t>
      </w:r>
      <w:r>
        <w:rPr>
          <w:rFonts w:asciiTheme="majorBidi" w:hAnsiTheme="majorBidi" w:cstheme="majorBidi"/>
          <w:i/>
          <w:iCs/>
          <w:sz w:val="24"/>
          <w:szCs w:val="24"/>
        </w:rPr>
        <w:t>i</w:t>
      </w:r>
      <w:r w:rsidRPr="00C25527">
        <w:rPr>
          <w:rFonts w:asciiTheme="majorBidi" w:hAnsiTheme="majorBidi" w:cstheme="majorBidi"/>
          <w:i/>
          <w:iCs/>
          <w:sz w:val="24"/>
          <w:szCs w:val="24"/>
        </w:rPr>
        <w:t xml:space="preserve"> al-Muhtaj </w:t>
      </w:r>
      <w:r w:rsidRPr="00C25527">
        <w:rPr>
          <w:rFonts w:asciiTheme="majorBidi" w:hAnsiTheme="majorBidi" w:cstheme="majorBidi"/>
          <w:sz w:val="24"/>
          <w:szCs w:val="24"/>
        </w:rPr>
        <w:t xml:space="preserve">karya Syarbani (w. 977 H), dan </w:t>
      </w:r>
      <w:r w:rsidRPr="00C25527">
        <w:rPr>
          <w:rFonts w:asciiTheme="majorBidi" w:hAnsiTheme="majorBidi" w:cstheme="majorBidi"/>
          <w:i/>
          <w:iCs/>
          <w:sz w:val="24"/>
          <w:szCs w:val="24"/>
        </w:rPr>
        <w:t>Nih</w:t>
      </w:r>
      <w:r>
        <w:rPr>
          <w:rFonts w:asciiTheme="majorBidi" w:hAnsiTheme="majorBidi" w:cstheme="majorBidi"/>
          <w:i/>
          <w:iCs/>
          <w:sz w:val="24"/>
          <w:szCs w:val="24"/>
        </w:rPr>
        <w:t>a</w:t>
      </w:r>
      <w:r w:rsidRPr="00C25527">
        <w:rPr>
          <w:rFonts w:asciiTheme="majorBidi" w:hAnsiTheme="majorBidi" w:cstheme="majorBidi"/>
          <w:i/>
          <w:iCs/>
          <w:sz w:val="24"/>
          <w:szCs w:val="24"/>
        </w:rPr>
        <w:t>yah</w:t>
      </w:r>
      <w:r w:rsidRPr="00C25527">
        <w:rPr>
          <w:rFonts w:asciiTheme="majorBidi" w:hAnsiTheme="majorBidi" w:cstheme="majorBidi"/>
          <w:sz w:val="24"/>
          <w:szCs w:val="24"/>
        </w:rPr>
        <w:t xml:space="preserve"> </w:t>
      </w:r>
      <w:r w:rsidRPr="00C25527">
        <w:rPr>
          <w:rFonts w:asciiTheme="majorBidi" w:hAnsiTheme="majorBidi" w:cstheme="majorBidi"/>
          <w:i/>
          <w:iCs/>
          <w:sz w:val="24"/>
          <w:szCs w:val="24"/>
        </w:rPr>
        <w:t xml:space="preserve">al-Muhtaj </w:t>
      </w:r>
      <w:r w:rsidRPr="00C25527">
        <w:rPr>
          <w:rFonts w:asciiTheme="majorBidi" w:hAnsiTheme="majorBidi" w:cstheme="majorBidi"/>
          <w:sz w:val="24"/>
          <w:szCs w:val="24"/>
        </w:rPr>
        <w:t>karya al-Ramli (w. 1004 H).</w:t>
      </w:r>
      <w:r w:rsidRPr="00C25527">
        <w:rPr>
          <w:rStyle w:val="FootnoteReference"/>
          <w:rFonts w:asciiTheme="majorBidi" w:hAnsiTheme="majorBidi" w:cstheme="majorBidi"/>
          <w:sz w:val="24"/>
          <w:szCs w:val="24"/>
        </w:rPr>
        <w:footnoteReference w:id="579"/>
      </w:r>
    </w:p>
    <w:p w:rsidR="00343B61" w:rsidRPr="005107FA"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5107FA">
        <w:rPr>
          <w:rFonts w:asciiTheme="majorBidi" w:hAnsiTheme="majorBidi" w:cstheme="majorBidi"/>
          <w:sz w:val="24"/>
          <w:szCs w:val="24"/>
        </w:rPr>
        <w:lastRenderedPageBreak/>
        <w:t xml:space="preserve">Hanya saja, belakangan, seiring dengan banyaknya sarjana Timur Tengah yang telah menyelesaikan pendidikannya, kecenderungan bermazhab secara </w:t>
      </w:r>
      <w:r w:rsidRPr="005107FA">
        <w:rPr>
          <w:rFonts w:asciiTheme="majorBidi" w:hAnsiTheme="majorBidi" w:cstheme="majorBidi"/>
          <w:i/>
          <w:iCs/>
          <w:sz w:val="24"/>
          <w:szCs w:val="24"/>
        </w:rPr>
        <w:t xml:space="preserve">qaul </w:t>
      </w:r>
      <w:r w:rsidRPr="005107FA">
        <w:rPr>
          <w:rFonts w:asciiTheme="majorBidi" w:hAnsiTheme="majorBidi" w:cstheme="majorBidi"/>
          <w:sz w:val="24"/>
          <w:szCs w:val="24"/>
        </w:rPr>
        <w:t xml:space="preserve">sudah mulai bergeser ke arah </w:t>
      </w:r>
      <w:r w:rsidRPr="005107FA">
        <w:rPr>
          <w:rFonts w:asciiTheme="majorBidi" w:hAnsiTheme="majorBidi" w:cstheme="majorBidi"/>
          <w:i/>
          <w:iCs/>
          <w:sz w:val="24"/>
          <w:szCs w:val="24"/>
        </w:rPr>
        <w:t>manhaj</w:t>
      </w:r>
      <w:r>
        <w:rPr>
          <w:rFonts w:asciiTheme="majorBidi" w:hAnsiTheme="majorBidi" w:cstheme="majorBidi"/>
          <w:i/>
          <w:iCs/>
          <w:sz w:val="24"/>
          <w:szCs w:val="24"/>
        </w:rPr>
        <w:t>i</w:t>
      </w:r>
      <w:r w:rsidRPr="005107FA">
        <w:rPr>
          <w:rFonts w:asciiTheme="majorBidi" w:hAnsiTheme="majorBidi" w:cstheme="majorBidi"/>
          <w:sz w:val="24"/>
          <w:szCs w:val="24"/>
        </w:rPr>
        <w:t>, dan k</w:t>
      </w:r>
      <w:r>
        <w:rPr>
          <w:rFonts w:asciiTheme="majorBidi" w:hAnsiTheme="majorBidi" w:cstheme="majorBidi"/>
          <w:sz w:val="24"/>
          <w:szCs w:val="24"/>
        </w:rPr>
        <w:t>eterikatan dengan mazhab Syafi'i</w:t>
      </w:r>
      <w:r w:rsidRPr="005107FA">
        <w:rPr>
          <w:rFonts w:asciiTheme="majorBidi" w:hAnsiTheme="majorBidi" w:cstheme="majorBidi"/>
          <w:sz w:val="24"/>
          <w:szCs w:val="24"/>
        </w:rPr>
        <w:t xml:space="preserve"> juga sudah mulai longgar. Lebih lanjut, terjadi interak</w:t>
      </w:r>
      <w:r>
        <w:rPr>
          <w:rFonts w:asciiTheme="majorBidi" w:hAnsiTheme="majorBidi" w:cstheme="majorBidi"/>
          <w:sz w:val="24"/>
          <w:szCs w:val="24"/>
        </w:rPr>
        <w:t>si metodologis antar mazhab fiq</w:t>
      </w:r>
      <w:r w:rsidRPr="005107FA">
        <w:rPr>
          <w:rFonts w:asciiTheme="majorBidi" w:hAnsiTheme="majorBidi" w:cstheme="majorBidi"/>
          <w:sz w:val="24"/>
          <w:szCs w:val="24"/>
        </w:rPr>
        <w:t>h. Bahkan dalam batas tertentu, juga terjadi penggunaan metode yang eklektik (</w:t>
      </w:r>
      <w:r w:rsidRPr="005107FA">
        <w:rPr>
          <w:rFonts w:asciiTheme="majorBidi" w:hAnsiTheme="majorBidi" w:cstheme="majorBidi"/>
          <w:i/>
          <w:iCs/>
          <w:sz w:val="24"/>
          <w:szCs w:val="24"/>
        </w:rPr>
        <w:t>talfiq</w:t>
      </w:r>
      <w:r w:rsidRPr="005107FA">
        <w:rPr>
          <w:rFonts w:asciiTheme="majorBidi" w:hAnsiTheme="majorBidi" w:cstheme="majorBidi"/>
          <w:sz w:val="24"/>
          <w:szCs w:val="24"/>
        </w:rPr>
        <w:t>), dengan mengambil metode lintas mazhab yang sesuai dengan mengedepankan prinsip kemaslahatan.</w:t>
      </w:r>
      <w:r w:rsidRPr="005107FA">
        <w:rPr>
          <w:rStyle w:val="FootnoteReference"/>
          <w:rFonts w:asciiTheme="majorBidi" w:hAnsiTheme="majorBidi" w:cstheme="majorBidi"/>
          <w:sz w:val="24"/>
          <w:szCs w:val="24"/>
        </w:rPr>
        <w:footnoteReference w:id="580"/>
      </w:r>
    </w:p>
    <w:p w:rsidR="00343B61" w:rsidRPr="00C9497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9497F">
        <w:rPr>
          <w:rFonts w:asciiTheme="majorBidi" w:hAnsiTheme="majorBidi" w:cstheme="majorBidi"/>
          <w:sz w:val="24"/>
          <w:szCs w:val="24"/>
        </w:rPr>
        <w:t xml:space="preserve">Dalam lingkup fatwa </w:t>
      </w:r>
      <w:r>
        <w:rPr>
          <w:rFonts w:asciiTheme="majorBidi" w:hAnsiTheme="majorBidi" w:cstheme="majorBidi"/>
          <w:sz w:val="24"/>
          <w:szCs w:val="24"/>
        </w:rPr>
        <w:t>MUI, upaya mengikuti mazhab fiq</w:t>
      </w:r>
      <w:r w:rsidRPr="00C9497F">
        <w:rPr>
          <w:rFonts w:asciiTheme="majorBidi" w:hAnsiTheme="majorBidi" w:cstheme="majorBidi"/>
          <w:sz w:val="24"/>
          <w:szCs w:val="24"/>
        </w:rPr>
        <w:t>h secara e</w:t>
      </w:r>
      <w:r>
        <w:rPr>
          <w:rFonts w:asciiTheme="majorBidi" w:hAnsiTheme="majorBidi" w:cstheme="majorBidi"/>
          <w:sz w:val="24"/>
          <w:szCs w:val="24"/>
        </w:rPr>
        <w:t>le</w:t>
      </w:r>
      <w:r w:rsidRPr="00C9497F">
        <w:rPr>
          <w:rFonts w:asciiTheme="majorBidi" w:hAnsiTheme="majorBidi" w:cstheme="majorBidi"/>
          <w:sz w:val="24"/>
          <w:szCs w:val="24"/>
        </w:rPr>
        <w:t>ktik dapat dilihat saat pengambilan keputusan fatwa mengenai hukum memakan dan membudidayakan kodok. Pada tahun 1984, Pemerintah telah menganjurkan para petani untuk berternak kodok hijau di Provinsi Sumatera Barat. Dalam usaha agar Pemerintah memperoleh dukungan terhadap program itu, maka kantor Departemen Pertanian Sumatra Barat telah mengirimkan surat kepada Majelis Ulama daerah meminta fatwa tentang peternakan kodok hijau dan memakan dagingnya. Pada</w:t>
      </w:r>
      <w:r>
        <w:rPr>
          <w:rFonts w:asciiTheme="majorBidi" w:hAnsiTheme="majorBidi" w:cstheme="majorBidi"/>
          <w:sz w:val="24"/>
          <w:szCs w:val="24"/>
        </w:rPr>
        <w:t xml:space="preserve"> tanggal 21 Juli </w:t>
      </w:r>
      <w:r w:rsidRPr="00C9497F">
        <w:rPr>
          <w:rFonts w:asciiTheme="majorBidi" w:hAnsiTheme="majorBidi" w:cstheme="majorBidi"/>
          <w:sz w:val="24"/>
          <w:szCs w:val="24"/>
        </w:rPr>
        <w:t xml:space="preserve">1984 MUI Sumatera Barat bersidang dan menetapkan fatwa bahwa baik membudidayakan maupun memakan daging kodok hijau dibolehkan dalam agama Islam. Hal ini didasarkan pada keumuman ayat yang menyatakan bahwa setiap makhluk hidup yang dapat dimakan yang diciptakan Allah SWT di dunia pada dasarnya adalah halal dan boleh dimakan kecuali beberapa binatang tertentu yang jelas dilarang dalam Al-Qur’ān. Dalam masalah kodok, menurut dalil ini, larangan itu tidak ada. </w:t>
      </w:r>
    </w:p>
    <w:p w:rsidR="00343B61" w:rsidRPr="00C9497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9497F">
        <w:rPr>
          <w:rFonts w:asciiTheme="majorBidi" w:hAnsiTheme="majorBidi" w:cstheme="majorBidi"/>
          <w:sz w:val="24"/>
          <w:szCs w:val="24"/>
        </w:rPr>
        <w:t>Tidak lama dari fatwa MUI Sumatera Barat yang cukup menghebohkan ini, Majelis Ulama Daerah Nusa Tenggara Barat mengeluarkan fatwa yang isinya bertentangan. Fatwa ini menegaskan bahwa baik beternak kodok maupun memakan dagingnya dilarang dalam Islam. Dalilnya adalah bahwa kodok termasuk binatang yang hidup di air dan di daratan pada waktu yang bersamaan. Ini sejal</w:t>
      </w:r>
      <w:r>
        <w:rPr>
          <w:rFonts w:asciiTheme="majorBidi" w:hAnsiTheme="majorBidi" w:cstheme="majorBidi"/>
          <w:sz w:val="24"/>
          <w:szCs w:val="24"/>
        </w:rPr>
        <w:t>an dengan pandangan Imam Syafi'i</w:t>
      </w:r>
      <w:r w:rsidRPr="00C9497F">
        <w:rPr>
          <w:rFonts w:asciiTheme="majorBidi" w:hAnsiTheme="majorBidi" w:cstheme="majorBidi"/>
          <w:sz w:val="24"/>
          <w:szCs w:val="24"/>
        </w:rPr>
        <w:t xml:space="preserve">. Kedua fatwa ini tak pelak telah </w:t>
      </w:r>
      <w:r w:rsidRPr="00C9497F">
        <w:rPr>
          <w:rFonts w:asciiTheme="majorBidi" w:hAnsiTheme="majorBidi" w:cstheme="majorBidi"/>
          <w:sz w:val="24"/>
          <w:szCs w:val="24"/>
        </w:rPr>
        <w:lastRenderedPageBreak/>
        <w:t>menjadi kontoversi dan memancing kebingungan umum, termasuk Pemerintah yang berencana mengembangan budi daya kodok.</w:t>
      </w:r>
      <w:r w:rsidRPr="00C9497F">
        <w:rPr>
          <w:rStyle w:val="FootnoteReference"/>
          <w:rFonts w:asciiTheme="majorBidi" w:hAnsiTheme="majorBidi" w:cstheme="majorBidi"/>
          <w:sz w:val="24"/>
          <w:szCs w:val="24"/>
        </w:rPr>
        <w:footnoteReference w:id="581"/>
      </w:r>
    </w:p>
    <w:p w:rsidR="00343B61" w:rsidRPr="00F225B0"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F225B0">
        <w:rPr>
          <w:rFonts w:asciiTheme="majorBidi" w:hAnsiTheme="majorBidi" w:cstheme="majorBidi"/>
          <w:sz w:val="24"/>
          <w:szCs w:val="24"/>
        </w:rPr>
        <w:t>Dalam upaya untuk meminimalkan kontroversi dan menghilangkan kebingungan masyarakat, Pemerintah melalui Sekretari</w:t>
      </w:r>
      <w:r>
        <w:rPr>
          <w:rFonts w:asciiTheme="majorBidi" w:hAnsiTheme="majorBidi" w:cstheme="majorBidi"/>
          <w:sz w:val="24"/>
          <w:szCs w:val="24"/>
        </w:rPr>
        <w:t xml:space="preserve">s Menteri Muda Peternakan, pada tanggal </w:t>
      </w:r>
      <w:r w:rsidRPr="00F225B0">
        <w:rPr>
          <w:rFonts w:asciiTheme="majorBidi" w:hAnsiTheme="majorBidi" w:cstheme="majorBidi"/>
          <w:sz w:val="24"/>
          <w:szCs w:val="24"/>
        </w:rPr>
        <w:t>17 Oktober 1984 mengirim surat permintaan fatwa kepada MUI Pusat mengenai ihwal yang sama agar terjadi ketenangan. Dan pada</w:t>
      </w:r>
      <w:r>
        <w:rPr>
          <w:rFonts w:asciiTheme="majorBidi" w:hAnsiTheme="majorBidi" w:cstheme="majorBidi"/>
          <w:sz w:val="24"/>
          <w:szCs w:val="24"/>
        </w:rPr>
        <w:t xml:space="preserve"> tanggal</w:t>
      </w:r>
      <w:r w:rsidRPr="00F225B0">
        <w:rPr>
          <w:rFonts w:asciiTheme="majorBidi" w:hAnsiTheme="majorBidi" w:cstheme="majorBidi"/>
          <w:sz w:val="24"/>
          <w:szCs w:val="24"/>
        </w:rPr>
        <w:t xml:space="preserve"> 18 November 1984 Komisi Fatwa MUI seca</w:t>
      </w:r>
      <w:r>
        <w:rPr>
          <w:rFonts w:asciiTheme="majorBidi" w:hAnsiTheme="majorBidi" w:cstheme="majorBidi"/>
          <w:sz w:val="24"/>
          <w:szCs w:val="24"/>
        </w:rPr>
        <w:t>ra khusus membahas masalah budi</w:t>
      </w:r>
      <w:r w:rsidRPr="00F225B0">
        <w:rPr>
          <w:rFonts w:asciiTheme="majorBidi" w:hAnsiTheme="majorBidi" w:cstheme="majorBidi"/>
          <w:sz w:val="24"/>
          <w:szCs w:val="24"/>
        </w:rPr>
        <w:t>daya dan memakan daging kodok. Di samping Ketua dan anggota Komisi Fatwa, rapat juga dihadiri oleh pakar perikanan dari Institut Pertanian Bogor yang menjelaskan tentang kehidupan kodok dan peternakannya, juga perwakilan MUI Daerah Sumatera Barat dan NTB serta beberapa Dekan Fakultas Syariah PTAIN. Setelah mendengar keterangan ahli serta makalah-makalah yang disampaikan serta mempelajari dalil-dalil yang disajikan maka rapat Komisi Fatwa MUI menyepakati untuk mengeluarkan fatwa yang bersifat kompromis, yang menyatakan bahwa berternak kodok diperbolehkan dalam Islam, tetapi memakan daging kodok diharamkan. Fatwa itu menjelaskan bahwa pemberian izin untuk berternak didasarkan pada mazhab Maliki dan larangan memakan dag</w:t>
      </w:r>
      <w:r>
        <w:rPr>
          <w:rFonts w:asciiTheme="majorBidi" w:hAnsiTheme="majorBidi" w:cstheme="majorBidi"/>
          <w:sz w:val="24"/>
          <w:szCs w:val="24"/>
        </w:rPr>
        <w:t>ing kodok berdasarkan mazhab Syafi'i</w:t>
      </w:r>
      <w:r w:rsidRPr="00F225B0">
        <w:rPr>
          <w:rFonts w:asciiTheme="majorBidi" w:hAnsiTheme="majorBidi" w:cstheme="majorBidi"/>
          <w:sz w:val="24"/>
          <w:szCs w:val="24"/>
        </w:rPr>
        <w:t>.</w:t>
      </w:r>
      <w:r w:rsidRPr="00F225B0">
        <w:rPr>
          <w:rStyle w:val="FootnoteReference"/>
          <w:rFonts w:asciiTheme="majorBidi" w:hAnsiTheme="majorBidi" w:cstheme="majorBidi"/>
          <w:sz w:val="24"/>
          <w:szCs w:val="24"/>
        </w:rPr>
        <w:footnoteReference w:id="582"/>
      </w:r>
      <w:r w:rsidRPr="00F225B0">
        <w:rPr>
          <w:rFonts w:asciiTheme="majorBidi" w:hAnsiTheme="majorBidi" w:cstheme="majorBidi"/>
          <w:sz w:val="24"/>
          <w:szCs w:val="24"/>
        </w:rPr>
        <w:t xml:space="preserve"> Ini adalah bentuk praktek </w:t>
      </w:r>
      <w:r w:rsidRPr="00F225B0">
        <w:rPr>
          <w:rFonts w:asciiTheme="majorBidi" w:hAnsiTheme="majorBidi" w:cstheme="majorBidi"/>
          <w:i/>
          <w:iCs/>
          <w:sz w:val="24"/>
          <w:szCs w:val="24"/>
        </w:rPr>
        <w:t xml:space="preserve">talfiq </w:t>
      </w:r>
      <w:r w:rsidRPr="00F225B0">
        <w:rPr>
          <w:rFonts w:asciiTheme="majorBidi" w:hAnsiTheme="majorBidi" w:cstheme="majorBidi"/>
          <w:sz w:val="24"/>
          <w:szCs w:val="24"/>
        </w:rPr>
        <w:t>mazhab dalam penetapan fatwa MUI yang diharapkan dapat menyelesaikan permasalahan. Walau demikian, fatwa tersebut tidak dapat menyelesaikan permasalahan secara tuntas. Sebaliknya, MUI dituduh mengeluarkan fatwa yang tidak memiliki integritas karena menggabungkan pandangan dari dua mazhab yang berlainan.</w:t>
      </w:r>
      <w:r w:rsidRPr="00F225B0">
        <w:rPr>
          <w:rStyle w:val="FootnoteReference"/>
          <w:rFonts w:asciiTheme="majorBidi" w:hAnsiTheme="majorBidi" w:cstheme="majorBidi"/>
          <w:sz w:val="24"/>
          <w:szCs w:val="24"/>
        </w:rPr>
        <w:footnoteReference w:id="583"/>
      </w:r>
    </w:p>
    <w:p w:rsidR="00343B61" w:rsidRPr="004710C3"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4710C3">
        <w:rPr>
          <w:rFonts w:asciiTheme="majorBidi" w:hAnsiTheme="majorBidi" w:cstheme="majorBidi"/>
          <w:sz w:val="24"/>
          <w:szCs w:val="24"/>
        </w:rPr>
        <w:lastRenderedPageBreak/>
        <w:t xml:space="preserve">Langkah </w:t>
      </w:r>
      <w:r w:rsidRPr="004710C3">
        <w:rPr>
          <w:rFonts w:asciiTheme="majorBidi" w:hAnsiTheme="majorBidi" w:cstheme="majorBidi"/>
          <w:i/>
          <w:iCs/>
          <w:sz w:val="24"/>
          <w:szCs w:val="24"/>
        </w:rPr>
        <w:t>kedua</w:t>
      </w:r>
      <w:r w:rsidRPr="004710C3">
        <w:rPr>
          <w:rFonts w:asciiTheme="majorBidi" w:hAnsiTheme="majorBidi" w:cstheme="majorBidi"/>
          <w:sz w:val="24"/>
          <w:szCs w:val="24"/>
        </w:rPr>
        <w:t xml:space="preserve"> masalah yang telah jelas hukumnya (</w:t>
      </w:r>
      <w:r w:rsidRPr="004710C3">
        <w:rPr>
          <w:rFonts w:asciiTheme="majorBidi" w:hAnsiTheme="majorBidi" w:cstheme="majorBidi"/>
          <w:i/>
          <w:iCs/>
          <w:sz w:val="24"/>
          <w:szCs w:val="24"/>
        </w:rPr>
        <w:t>al-ahkam al-qath’iyyat</w:t>
      </w:r>
      <w:r w:rsidRPr="004710C3">
        <w:rPr>
          <w:rFonts w:asciiTheme="majorBidi" w:hAnsiTheme="majorBidi" w:cstheme="majorBidi"/>
          <w:sz w:val="24"/>
          <w:szCs w:val="24"/>
        </w:rPr>
        <w:t xml:space="preserve">) hendaklah disampaikan sebagaimana adanya. Langkah </w:t>
      </w:r>
      <w:r w:rsidRPr="004710C3">
        <w:rPr>
          <w:rFonts w:asciiTheme="majorBidi" w:hAnsiTheme="majorBidi" w:cstheme="majorBidi"/>
          <w:i/>
          <w:iCs/>
          <w:sz w:val="24"/>
          <w:szCs w:val="24"/>
        </w:rPr>
        <w:t>ketiga</w:t>
      </w:r>
      <w:r w:rsidRPr="004710C3">
        <w:rPr>
          <w:rFonts w:asciiTheme="majorBidi" w:hAnsiTheme="majorBidi" w:cstheme="majorBidi"/>
          <w:sz w:val="24"/>
          <w:szCs w:val="24"/>
        </w:rPr>
        <w:t xml:space="preserve">, dalam masalah yang terjadi </w:t>
      </w:r>
      <w:r w:rsidRPr="004710C3">
        <w:rPr>
          <w:rFonts w:asciiTheme="majorBidi" w:hAnsiTheme="majorBidi" w:cstheme="majorBidi"/>
          <w:i/>
          <w:iCs/>
          <w:sz w:val="24"/>
          <w:szCs w:val="24"/>
        </w:rPr>
        <w:t>khilafiyah</w:t>
      </w:r>
      <w:r w:rsidRPr="004710C3">
        <w:rPr>
          <w:rFonts w:asciiTheme="majorBidi" w:hAnsiTheme="majorBidi" w:cstheme="majorBidi"/>
          <w:sz w:val="24"/>
          <w:szCs w:val="24"/>
        </w:rPr>
        <w:t xml:space="preserve"> di kalangan mazhab, maka ditempuh dua cara:</w:t>
      </w:r>
    </w:p>
    <w:p w:rsidR="00343B61" w:rsidRPr="004710C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4710C3">
        <w:rPr>
          <w:rFonts w:asciiTheme="majorBidi" w:hAnsiTheme="majorBidi" w:cstheme="majorBidi"/>
          <w:sz w:val="24"/>
          <w:szCs w:val="24"/>
        </w:rPr>
        <w:t xml:space="preserve">a. penetapan fatwa didasarkan pada hasil usaha penemuan titik temu di antara pendapat-pendapat mazhab melalui metode </w:t>
      </w:r>
      <w:r w:rsidRPr="004710C3">
        <w:rPr>
          <w:rFonts w:asciiTheme="majorBidi" w:hAnsiTheme="majorBidi" w:cstheme="majorBidi"/>
          <w:i/>
          <w:iCs/>
          <w:sz w:val="24"/>
          <w:szCs w:val="24"/>
        </w:rPr>
        <w:t>al-jam’u wa al-taufiq</w:t>
      </w:r>
      <w:r w:rsidRPr="004710C3">
        <w:rPr>
          <w:rFonts w:asciiTheme="majorBidi" w:hAnsiTheme="majorBidi" w:cstheme="majorBidi"/>
          <w:sz w:val="24"/>
          <w:szCs w:val="24"/>
        </w:rPr>
        <w:t>;</w:t>
      </w:r>
      <w:r w:rsidRPr="004710C3">
        <w:rPr>
          <w:rStyle w:val="FootnoteReference"/>
          <w:rFonts w:asciiTheme="majorBidi" w:hAnsiTheme="majorBidi" w:cstheme="majorBidi"/>
          <w:sz w:val="24"/>
          <w:szCs w:val="24"/>
        </w:rPr>
        <w:footnoteReference w:id="584"/>
      </w:r>
      <w:r w:rsidRPr="004710C3">
        <w:rPr>
          <w:rFonts w:asciiTheme="majorBidi" w:hAnsiTheme="majorBidi" w:cstheme="majorBidi"/>
          <w:sz w:val="24"/>
          <w:szCs w:val="24"/>
        </w:rPr>
        <w:t xml:space="preserve"> dan</w:t>
      </w:r>
    </w:p>
    <w:p w:rsidR="00343B61" w:rsidRPr="004710C3" w:rsidRDefault="00343B61" w:rsidP="00343B61">
      <w:pPr>
        <w:autoSpaceDE w:val="0"/>
        <w:autoSpaceDN w:val="0"/>
        <w:adjustRightInd w:val="0"/>
        <w:spacing w:after="0" w:line="360" w:lineRule="auto"/>
        <w:ind w:firstLine="720"/>
        <w:jc w:val="both"/>
        <w:rPr>
          <w:rFonts w:asciiTheme="majorBidi" w:hAnsiTheme="majorBidi" w:cstheme="majorBidi"/>
          <w:i/>
          <w:iCs/>
          <w:sz w:val="24"/>
          <w:szCs w:val="24"/>
        </w:rPr>
      </w:pPr>
      <w:r w:rsidRPr="004710C3">
        <w:rPr>
          <w:rFonts w:asciiTheme="majorBidi" w:hAnsiTheme="majorBidi" w:cstheme="majorBidi"/>
          <w:sz w:val="24"/>
          <w:szCs w:val="24"/>
        </w:rPr>
        <w:t xml:space="preserve">b. jika usaha penemuan titik temu tidak berhasil dilakukan, penetapan fatwa didasarkan pada hasil tarjih melalui metode </w:t>
      </w:r>
      <w:r w:rsidRPr="004710C3">
        <w:rPr>
          <w:rFonts w:asciiTheme="majorBidi" w:hAnsiTheme="majorBidi" w:cstheme="majorBidi"/>
          <w:i/>
          <w:iCs/>
          <w:sz w:val="24"/>
          <w:szCs w:val="24"/>
        </w:rPr>
        <w:t>muqaranah al-madzahib</w:t>
      </w:r>
      <w:r w:rsidRPr="004710C3">
        <w:rPr>
          <w:rFonts w:asciiTheme="majorBidi" w:hAnsiTheme="majorBidi" w:cstheme="majorBidi"/>
          <w:sz w:val="24"/>
          <w:szCs w:val="24"/>
        </w:rPr>
        <w:t xml:space="preserve"> dengan menggunakan kaidah-kaidah </w:t>
      </w:r>
      <w:r w:rsidRPr="004710C3">
        <w:rPr>
          <w:rFonts w:asciiTheme="majorBidi" w:hAnsiTheme="majorBidi" w:cstheme="majorBidi"/>
          <w:i/>
          <w:iCs/>
          <w:sz w:val="24"/>
          <w:szCs w:val="24"/>
        </w:rPr>
        <w:t>ushul al-fiqh al-muqaran.</w:t>
      </w:r>
    </w:p>
    <w:p w:rsidR="00343B61" w:rsidRPr="004710C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4710C3">
        <w:rPr>
          <w:rFonts w:asciiTheme="majorBidi" w:hAnsiTheme="majorBidi" w:cstheme="majorBidi"/>
          <w:sz w:val="24"/>
          <w:szCs w:val="24"/>
        </w:rPr>
        <w:t xml:space="preserve">Langkah </w:t>
      </w:r>
      <w:r w:rsidRPr="004710C3">
        <w:rPr>
          <w:rFonts w:asciiTheme="majorBidi" w:hAnsiTheme="majorBidi" w:cstheme="majorBidi"/>
          <w:i/>
          <w:iCs/>
          <w:sz w:val="24"/>
          <w:szCs w:val="24"/>
        </w:rPr>
        <w:t xml:space="preserve">keempat, </w:t>
      </w:r>
      <w:r w:rsidRPr="004710C3">
        <w:rPr>
          <w:rFonts w:asciiTheme="majorBidi" w:hAnsiTheme="majorBidi" w:cstheme="majorBidi"/>
          <w:sz w:val="24"/>
          <w:szCs w:val="24"/>
        </w:rPr>
        <w:t xml:space="preserve">dalam masalah yang tidak ditemukan pendapat hukumnya di kalangan mazhab, penetapan fatwa didasarkan pada hasil </w:t>
      </w:r>
      <w:r w:rsidRPr="004710C3">
        <w:rPr>
          <w:rFonts w:asciiTheme="majorBidi" w:hAnsiTheme="majorBidi" w:cstheme="majorBidi"/>
          <w:i/>
          <w:iCs/>
          <w:sz w:val="24"/>
          <w:szCs w:val="24"/>
        </w:rPr>
        <w:t>ijtihad</w:t>
      </w:r>
      <w:r w:rsidRPr="004710C3">
        <w:rPr>
          <w:rFonts w:asciiTheme="majorBidi" w:hAnsiTheme="majorBidi" w:cstheme="majorBidi"/>
          <w:sz w:val="24"/>
          <w:szCs w:val="24"/>
        </w:rPr>
        <w:t xml:space="preserve"> </w:t>
      </w:r>
      <w:r w:rsidRPr="004710C3">
        <w:rPr>
          <w:rFonts w:asciiTheme="majorBidi" w:hAnsiTheme="majorBidi" w:cstheme="majorBidi"/>
          <w:i/>
          <w:iCs/>
          <w:sz w:val="24"/>
          <w:szCs w:val="24"/>
        </w:rPr>
        <w:t xml:space="preserve">jama’i </w:t>
      </w:r>
      <w:r w:rsidRPr="004710C3">
        <w:rPr>
          <w:rFonts w:asciiTheme="majorBidi" w:hAnsiTheme="majorBidi" w:cstheme="majorBidi"/>
          <w:sz w:val="24"/>
          <w:szCs w:val="24"/>
        </w:rPr>
        <w:t xml:space="preserve">(kolektif ) melalui metode </w:t>
      </w:r>
      <w:r w:rsidRPr="004710C3">
        <w:rPr>
          <w:rFonts w:asciiTheme="majorBidi" w:hAnsiTheme="majorBidi" w:cstheme="majorBidi"/>
          <w:i/>
          <w:iCs/>
          <w:sz w:val="24"/>
          <w:szCs w:val="24"/>
        </w:rPr>
        <w:t xml:space="preserve">bayani </w:t>
      </w:r>
      <w:r w:rsidRPr="004710C3">
        <w:rPr>
          <w:rFonts w:asciiTheme="majorBidi" w:hAnsiTheme="majorBidi" w:cstheme="majorBidi"/>
          <w:sz w:val="24"/>
          <w:szCs w:val="24"/>
        </w:rPr>
        <w:t xml:space="preserve">, </w:t>
      </w:r>
      <w:r w:rsidRPr="004710C3">
        <w:rPr>
          <w:rFonts w:asciiTheme="majorBidi" w:hAnsiTheme="majorBidi" w:cstheme="majorBidi"/>
          <w:i/>
          <w:iCs/>
          <w:sz w:val="24"/>
          <w:szCs w:val="24"/>
        </w:rPr>
        <w:t xml:space="preserve">ta’lili </w:t>
      </w:r>
      <w:r w:rsidRPr="004710C3">
        <w:rPr>
          <w:rFonts w:asciiTheme="majorBidi" w:hAnsiTheme="majorBidi" w:cstheme="majorBidi"/>
          <w:sz w:val="24"/>
          <w:szCs w:val="24"/>
        </w:rPr>
        <w:t>(</w:t>
      </w:r>
      <w:r w:rsidRPr="004710C3">
        <w:rPr>
          <w:rFonts w:asciiTheme="majorBidi" w:hAnsiTheme="majorBidi" w:cstheme="majorBidi"/>
          <w:i/>
          <w:iCs/>
          <w:sz w:val="24"/>
          <w:szCs w:val="24"/>
        </w:rPr>
        <w:t xml:space="preserve">qiyas, istihsan, ilhaqi </w:t>
      </w:r>
      <w:r w:rsidRPr="004710C3">
        <w:rPr>
          <w:rFonts w:asciiTheme="majorBidi" w:hAnsiTheme="majorBidi" w:cstheme="majorBidi"/>
          <w:sz w:val="24"/>
          <w:szCs w:val="24"/>
        </w:rPr>
        <w:t xml:space="preserve">), </w:t>
      </w:r>
      <w:r w:rsidRPr="004710C3">
        <w:rPr>
          <w:rFonts w:asciiTheme="majorBidi" w:hAnsiTheme="majorBidi" w:cstheme="majorBidi"/>
          <w:i/>
          <w:iCs/>
          <w:sz w:val="24"/>
          <w:szCs w:val="24"/>
        </w:rPr>
        <w:t>istishlah</w:t>
      </w:r>
      <w:r w:rsidRPr="004710C3">
        <w:rPr>
          <w:rFonts w:asciiTheme="majorBidi" w:hAnsiTheme="majorBidi" w:cstheme="majorBidi"/>
          <w:sz w:val="24"/>
          <w:szCs w:val="24"/>
        </w:rPr>
        <w:t>,</w:t>
      </w:r>
      <w:r w:rsidRPr="004710C3">
        <w:rPr>
          <w:rStyle w:val="FootnoteReference"/>
          <w:rFonts w:asciiTheme="majorBidi" w:hAnsiTheme="majorBidi" w:cstheme="majorBidi"/>
          <w:sz w:val="24"/>
          <w:szCs w:val="24"/>
        </w:rPr>
        <w:footnoteReference w:id="585"/>
      </w:r>
      <w:r w:rsidRPr="004710C3">
        <w:rPr>
          <w:rFonts w:asciiTheme="majorBidi" w:hAnsiTheme="majorBidi" w:cstheme="majorBidi"/>
          <w:sz w:val="24"/>
          <w:szCs w:val="24"/>
        </w:rPr>
        <w:t xml:space="preserve"> dan </w:t>
      </w:r>
      <w:r w:rsidRPr="004710C3">
        <w:rPr>
          <w:rFonts w:asciiTheme="majorBidi" w:hAnsiTheme="majorBidi" w:cstheme="majorBidi"/>
          <w:i/>
          <w:iCs/>
          <w:sz w:val="24"/>
          <w:szCs w:val="24"/>
        </w:rPr>
        <w:t>sadd aldzariah.</w:t>
      </w:r>
      <w:r w:rsidRPr="004710C3">
        <w:rPr>
          <w:rStyle w:val="FootnoteReference"/>
          <w:rFonts w:asciiTheme="majorBidi" w:hAnsiTheme="majorBidi" w:cstheme="majorBidi"/>
          <w:i/>
          <w:iCs/>
          <w:sz w:val="24"/>
          <w:szCs w:val="24"/>
        </w:rPr>
        <w:footnoteReference w:id="586"/>
      </w:r>
      <w:r w:rsidRPr="004710C3">
        <w:rPr>
          <w:rFonts w:asciiTheme="majorBidi" w:hAnsiTheme="majorBidi" w:cstheme="majorBidi"/>
          <w:sz w:val="24"/>
          <w:szCs w:val="24"/>
        </w:rPr>
        <w:t xml:space="preserve"> </w:t>
      </w:r>
    </w:p>
    <w:p w:rsidR="00343B61" w:rsidRPr="00F955D9" w:rsidRDefault="00343B61" w:rsidP="00343B61">
      <w:pPr>
        <w:autoSpaceDE w:val="0"/>
        <w:autoSpaceDN w:val="0"/>
        <w:adjustRightInd w:val="0"/>
        <w:spacing w:after="0" w:line="360" w:lineRule="auto"/>
        <w:ind w:firstLine="720"/>
        <w:jc w:val="both"/>
        <w:rPr>
          <w:rFonts w:asciiTheme="majorBidi" w:hAnsiTheme="majorBidi" w:cstheme="majorBidi"/>
          <w:color w:val="FF0000"/>
          <w:sz w:val="24"/>
          <w:szCs w:val="24"/>
        </w:rPr>
      </w:pPr>
      <w:r w:rsidRPr="00F955D9">
        <w:rPr>
          <w:rFonts w:asciiTheme="majorBidi" w:hAnsiTheme="majorBidi" w:cstheme="majorBidi"/>
          <w:sz w:val="24"/>
          <w:szCs w:val="24"/>
        </w:rPr>
        <w:t xml:space="preserve">Dan langkah </w:t>
      </w:r>
      <w:r w:rsidRPr="00F955D9">
        <w:rPr>
          <w:rFonts w:asciiTheme="majorBidi" w:hAnsiTheme="majorBidi" w:cstheme="majorBidi"/>
          <w:i/>
          <w:iCs/>
          <w:sz w:val="24"/>
          <w:szCs w:val="24"/>
        </w:rPr>
        <w:t xml:space="preserve">kelima, </w:t>
      </w:r>
      <w:r w:rsidRPr="00F955D9">
        <w:rPr>
          <w:rFonts w:asciiTheme="majorBidi" w:hAnsiTheme="majorBidi" w:cstheme="majorBidi"/>
          <w:sz w:val="24"/>
          <w:szCs w:val="24"/>
        </w:rPr>
        <w:t>penetapan fatwa harus senantiasa memperhatikan kemaslahatan umum (</w:t>
      </w:r>
      <w:r w:rsidRPr="00F955D9">
        <w:rPr>
          <w:rFonts w:asciiTheme="majorBidi" w:hAnsiTheme="majorBidi" w:cstheme="majorBidi"/>
          <w:i/>
          <w:iCs/>
          <w:sz w:val="24"/>
          <w:szCs w:val="24"/>
        </w:rPr>
        <w:t>mashalih ‘ammah</w:t>
      </w:r>
      <w:r w:rsidRPr="00F955D9">
        <w:rPr>
          <w:rFonts w:asciiTheme="majorBidi" w:hAnsiTheme="majorBidi" w:cstheme="majorBidi"/>
          <w:sz w:val="24"/>
          <w:szCs w:val="24"/>
        </w:rPr>
        <w:t xml:space="preserve">) dan </w:t>
      </w:r>
      <w:r w:rsidRPr="00F955D9">
        <w:rPr>
          <w:rFonts w:asciiTheme="majorBidi" w:hAnsiTheme="majorBidi" w:cstheme="majorBidi"/>
          <w:i/>
          <w:iCs/>
          <w:sz w:val="24"/>
          <w:szCs w:val="24"/>
        </w:rPr>
        <w:t>maqashid al-syariah</w:t>
      </w:r>
      <w:r w:rsidRPr="00F955D9">
        <w:rPr>
          <w:rFonts w:asciiTheme="majorBidi" w:hAnsiTheme="majorBidi" w:cstheme="majorBidi"/>
          <w:sz w:val="24"/>
          <w:szCs w:val="24"/>
        </w:rPr>
        <w:t>.</w:t>
      </w:r>
      <w:r w:rsidRPr="00F955D9">
        <w:rPr>
          <w:rStyle w:val="FootnoteReference"/>
          <w:rFonts w:asciiTheme="majorBidi" w:hAnsiTheme="majorBidi" w:cstheme="majorBidi"/>
          <w:sz w:val="24"/>
          <w:szCs w:val="24"/>
        </w:rPr>
        <w:footnoteReference w:id="587"/>
      </w:r>
      <w:r w:rsidRPr="00F955D9">
        <w:rPr>
          <w:rFonts w:asciiTheme="majorBidi" w:hAnsiTheme="majorBidi" w:cstheme="majorBidi"/>
          <w:sz w:val="24"/>
          <w:szCs w:val="24"/>
        </w:rPr>
        <w:t xml:space="preserve"> </w:t>
      </w:r>
    </w:p>
    <w:p w:rsidR="00343B61" w:rsidRPr="00F955D9"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F955D9">
        <w:rPr>
          <w:rFonts w:asciiTheme="majorBidi" w:hAnsiTheme="majorBidi" w:cstheme="majorBidi"/>
          <w:sz w:val="24"/>
          <w:szCs w:val="24"/>
        </w:rPr>
        <w:t>Dalam konteks pertimbangan akan kemaslahatan umum (</w:t>
      </w:r>
      <w:r>
        <w:rPr>
          <w:rFonts w:asciiTheme="majorBidi" w:hAnsiTheme="majorBidi" w:cstheme="majorBidi"/>
          <w:i/>
          <w:iCs/>
          <w:sz w:val="24"/>
          <w:szCs w:val="24"/>
        </w:rPr>
        <w:t xml:space="preserve">mashalih </w:t>
      </w:r>
      <w:r w:rsidRPr="00F955D9">
        <w:rPr>
          <w:rFonts w:asciiTheme="majorBidi" w:hAnsiTheme="majorBidi" w:cstheme="majorBidi"/>
          <w:i/>
          <w:iCs/>
          <w:sz w:val="24"/>
          <w:szCs w:val="24"/>
        </w:rPr>
        <w:t>‘ammah</w:t>
      </w:r>
      <w:r w:rsidRPr="00F955D9">
        <w:rPr>
          <w:rFonts w:asciiTheme="majorBidi" w:hAnsiTheme="majorBidi" w:cstheme="majorBidi"/>
          <w:sz w:val="24"/>
          <w:szCs w:val="24"/>
        </w:rPr>
        <w:t xml:space="preserve">) dan </w:t>
      </w:r>
      <w:r w:rsidRPr="00F955D9">
        <w:rPr>
          <w:rFonts w:asciiTheme="majorBidi" w:hAnsiTheme="majorBidi" w:cstheme="majorBidi"/>
          <w:i/>
          <w:iCs/>
          <w:sz w:val="24"/>
          <w:szCs w:val="24"/>
        </w:rPr>
        <w:t xml:space="preserve">maqashid al-syari’ah </w:t>
      </w:r>
      <w:r w:rsidRPr="00F955D9">
        <w:rPr>
          <w:rFonts w:asciiTheme="majorBidi" w:hAnsiTheme="majorBidi" w:cstheme="majorBidi"/>
          <w:sz w:val="24"/>
          <w:szCs w:val="24"/>
        </w:rPr>
        <w:t xml:space="preserve">maka dalam proses penetapan fatwa yang selama ini berlangsung, bahwa fatwa yang diundangkan oleh Komisi Fatwa MUI tidak boleh bertentangan dengan nash dan asas kemaslahatan. Dengan kata lain bahwa pertimbangan kemaslahatan menjadi salah satu tolok ukur utama. Sedang maslahat yang diakui oleh MUI secara tegas dituangkan dalam fatwanya mengenai kriteria maslahat. Fatwa tersebut menetapkan tiga point, </w:t>
      </w:r>
      <w:r w:rsidRPr="00C53344">
        <w:rPr>
          <w:rFonts w:asciiTheme="majorBidi" w:hAnsiTheme="majorBidi" w:cstheme="majorBidi"/>
          <w:i/>
          <w:iCs/>
          <w:sz w:val="24"/>
          <w:szCs w:val="24"/>
        </w:rPr>
        <w:t>pertama</w:t>
      </w:r>
      <w:r>
        <w:rPr>
          <w:rFonts w:asciiTheme="majorBidi" w:hAnsiTheme="majorBidi" w:cstheme="majorBidi"/>
          <w:sz w:val="24"/>
          <w:szCs w:val="24"/>
        </w:rPr>
        <w:t>,</w:t>
      </w:r>
      <w:r w:rsidRPr="00F955D9">
        <w:rPr>
          <w:rFonts w:asciiTheme="majorBidi" w:hAnsiTheme="majorBidi" w:cstheme="majorBidi"/>
          <w:sz w:val="24"/>
          <w:szCs w:val="24"/>
        </w:rPr>
        <w:t xml:space="preserve"> </w:t>
      </w:r>
      <w:r w:rsidRPr="00F955D9">
        <w:rPr>
          <w:rFonts w:asciiTheme="majorBidi" w:hAnsiTheme="majorBidi" w:cstheme="majorBidi"/>
          <w:sz w:val="24"/>
          <w:szCs w:val="24"/>
        </w:rPr>
        <w:lastRenderedPageBreak/>
        <w:t>maslahat/kemaslahatan menurut hukum Islam adalah tercapainya tujuan syari’ah (</w:t>
      </w:r>
      <w:r w:rsidRPr="00F955D9">
        <w:rPr>
          <w:rFonts w:asciiTheme="majorBidi" w:hAnsiTheme="majorBidi" w:cstheme="majorBidi"/>
          <w:i/>
          <w:iCs/>
          <w:sz w:val="24"/>
          <w:szCs w:val="24"/>
        </w:rPr>
        <w:t>maqāṣid al-sharī’ah</w:t>
      </w:r>
      <w:r w:rsidRPr="00F955D9">
        <w:rPr>
          <w:rFonts w:asciiTheme="majorBidi" w:hAnsiTheme="majorBidi" w:cstheme="majorBidi"/>
          <w:sz w:val="24"/>
          <w:szCs w:val="24"/>
        </w:rPr>
        <w:t>) yang diwujudkan dalam bentuk terpeliharanya lima kebutuhan primer (</w:t>
      </w:r>
      <w:r w:rsidRPr="00F955D9">
        <w:rPr>
          <w:rFonts w:asciiTheme="majorBidi" w:hAnsiTheme="majorBidi" w:cstheme="majorBidi"/>
          <w:i/>
          <w:iCs/>
          <w:sz w:val="24"/>
          <w:szCs w:val="24"/>
        </w:rPr>
        <w:t>al-ḍarūriyyah al-khamsah</w:t>
      </w:r>
      <w:r w:rsidRPr="00F955D9">
        <w:rPr>
          <w:rFonts w:asciiTheme="majorBidi" w:hAnsiTheme="majorBidi" w:cstheme="majorBidi"/>
          <w:sz w:val="24"/>
          <w:szCs w:val="24"/>
        </w:rPr>
        <w:t xml:space="preserve">) yaitu agama, akal, jiwa, harta, dan keturunan. </w:t>
      </w:r>
      <w:r w:rsidRPr="00C53344">
        <w:rPr>
          <w:rFonts w:asciiTheme="majorBidi" w:hAnsiTheme="majorBidi" w:cstheme="majorBidi"/>
          <w:i/>
          <w:iCs/>
          <w:sz w:val="24"/>
          <w:szCs w:val="24"/>
        </w:rPr>
        <w:t>Kedua</w:t>
      </w:r>
      <w:r>
        <w:rPr>
          <w:rFonts w:asciiTheme="majorBidi" w:hAnsiTheme="majorBidi" w:cstheme="majorBidi"/>
          <w:sz w:val="24"/>
          <w:szCs w:val="24"/>
        </w:rPr>
        <w:t>,</w:t>
      </w:r>
      <w:r w:rsidRPr="00F955D9">
        <w:rPr>
          <w:rFonts w:asciiTheme="majorBidi" w:hAnsiTheme="majorBidi" w:cstheme="majorBidi"/>
          <w:sz w:val="24"/>
          <w:szCs w:val="24"/>
        </w:rPr>
        <w:t xml:space="preserve"> maslahat yang dibenarkan syari’at adalah maslahat yang tidak bertentangan dengan nass. Oleh karena itu, maslahat tidak </w:t>
      </w:r>
      <w:r>
        <w:rPr>
          <w:rFonts w:asciiTheme="majorBidi" w:hAnsiTheme="majorBidi" w:cstheme="majorBidi"/>
          <w:sz w:val="24"/>
          <w:szCs w:val="24"/>
        </w:rPr>
        <w:t>boleh bertentangan dengan nash</w:t>
      </w:r>
      <w:r w:rsidRPr="00F955D9">
        <w:rPr>
          <w:rFonts w:asciiTheme="majorBidi" w:hAnsiTheme="majorBidi" w:cstheme="majorBidi"/>
          <w:sz w:val="24"/>
          <w:szCs w:val="24"/>
        </w:rPr>
        <w:t xml:space="preserve">. Dan </w:t>
      </w:r>
      <w:r w:rsidRPr="00C53344">
        <w:rPr>
          <w:rFonts w:asciiTheme="majorBidi" w:hAnsiTheme="majorBidi" w:cstheme="majorBidi"/>
          <w:i/>
          <w:iCs/>
          <w:sz w:val="24"/>
          <w:szCs w:val="24"/>
        </w:rPr>
        <w:t>ketiga</w:t>
      </w:r>
      <w:r>
        <w:rPr>
          <w:rFonts w:asciiTheme="majorBidi" w:hAnsiTheme="majorBidi" w:cstheme="majorBidi"/>
          <w:sz w:val="24"/>
          <w:szCs w:val="24"/>
        </w:rPr>
        <w:t>,</w:t>
      </w:r>
      <w:r w:rsidRPr="00F955D9">
        <w:rPr>
          <w:rFonts w:asciiTheme="majorBidi" w:hAnsiTheme="majorBidi" w:cstheme="majorBidi"/>
          <w:sz w:val="24"/>
          <w:szCs w:val="24"/>
        </w:rPr>
        <w:t xml:space="preserve"> yang berhak menentukan maslahat-tidaknya sesuatu menurut syarak adalah lembaga yang mempunyai kompetensi dibidang syari’ah dan dilakukan melalui </w:t>
      </w:r>
      <w:r w:rsidRPr="00F955D9">
        <w:rPr>
          <w:rFonts w:asciiTheme="majorBidi" w:hAnsiTheme="majorBidi" w:cstheme="majorBidi"/>
          <w:i/>
          <w:iCs/>
          <w:sz w:val="24"/>
          <w:szCs w:val="24"/>
        </w:rPr>
        <w:t>ijtihad jama’i</w:t>
      </w:r>
      <w:r w:rsidRPr="00F955D9">
        <w:rPr>
          <w:rFonts w:asciiTheme="majorBidi" w:hAnsiTheme="majorBidi" w:cstheme="majorBidi"/>
          <w:sz w:val="24"/>
          <w:szCs w:val="24"/>
        </w:rPr>
        <w:t>.</w:t>
      </w:r>
      <w:r w:rsidRPr="00F955D9">
        <w:rPr>
          <w:rStyle w:val="FootnoteReference"/>
          <w:rFonts w:asciiTheme="majorBidi" w:hAnsiTheme="majorBidi" w:cstheme="majorBidi"/>
          <w:sz w:val="24"/>
          <w:szCs w:val="24"/>
        </w:rPr>
        <w:footnoteReference w:id="588"/>
      </w:r>
    </w:p>
    <w:p w:rsidR="00343B61" w:rsidRPr="0011362F" w:rsidRDefault="00343B61" w:rsidP="002C0A33">
      <w:pPr>
        <w:pStyle w:val="ListParagraph"/>
        <w:numPr>
          <w:ilvl w:val="0"/>
          <w:numId w:val="39"/>
        </w:numPr>
        <w:tabs>
          <w:tab w:val="left" w:pos="1620"/>
        </w:tabs>
        <w:spacing w:after="0" w:line="360" w:lineRule="auto"/>
        <w:ind w:left="450" w:hanging="270"/>
        <w:rPr>
          <w:rFonts w:asciiTheme="majorBidi" w:hAnsiTheme="majorBidi" w:cstheme="majorBidi"/>
          <w:sz w:val="24"/>
          <w:szCs w:val="24"/>
        </w:rPr>
      </w:pPr>
      <w:r w:rsidRPr="0011362F">
        <w:rPr>
          <w:rFonts w:asciiTheme="majorBidi" w:hAnsiTheme="majorBidi" w:cstheme="majorBidi"/>
          <w:sz w:val="24"/>
          <w:szCs w:val="24"/>
        </w:rPr>
        <w:t>Prosedur, Format , Kewenangan dan Wilayah Fatwa</w:t>
      </w:r>
      <w:r>
        <w:rPr>
          <w:rFonts w:asciiTheme="majorBidi" w:hAnsiTheme="majorBidi" w:cstheme="majorBidi"/>
          <w:sz w:val="24"/>
          <w:szCs w:val="24"/>
        </w:rPr>
        <w:t xml:space="preserve"> MUI</w:t>
      </w:r>
    </w:p>
    <w:p w:rsidR="00343B61" w:rsidRPr="00066E2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066E23">
        <w:rPr>
          <w:rFonts w:asciiTheme="majorBidi" w:hAnsiTheme="majorBidi" w:cstheme="majorBidi"/>
          <w:sz w:val="24"/>
          <w:szCs w:val="24"/>
        </w:rPr>
        <w:t>Sebagai sebuah organisasi tingkat nasional, tentunya Majelis Ulama Indonesia memiliki standar operasional prosedur</w:t>
      </w:r>
      <w:r>
        <w:rPr>
          <w:rFonts w:asciiTheme="majorBidi" w:hAnsiTheme="majorBidi" w:cstheme="majorBidi"/>
          <w:sz w:val="24"/>
          <w:szCs w:val="24"/>
        </w:rPr>
        <w:t xml:space="preserve"> (SOP), terutama dalam merespon</w:t>
      </w:r>
      <w:r w:rsidRPr="00066E23">
        <w:rPr>
          <w:rFonts w:asciiTheme="majorBidi" w:hAnsiTheme="majorBidi" w:cstheme="majorBidi"/>
          <w:sz w:val="24"/>
          <w:szCs w:val="24"/>
        </w:rPr>
        <w:t xml:space="preserve"> berbagai permasalahan, baik berupa pertanyaan melalui surat, ataupun melalui media lain. Standar operasional prosedur ini dalam bahasa yang dikemukakan oleh MUI sebagai Pedoman Dan Prosedur Penetapan Fatwa. Dalam hal fatwa, MUI memiliki mekanisme kerja Komisi Fatwa MUI yang telah ditetapkan yaitu rapat Komisi Fatwa harus dihadiri oleh anggota komisi yang jumlahnya dianggap memadai oleh pimpinan rapat. Bila dianggap perlu, rapat Komisi Fatwa dapat menghadirkan tenaga ahli yang berhubungan dengan masalah yang akan dibahas. Rapat Komisi Fatwa diadakan apabila ada permintaan atau pertanyaan dari masyarakat yang oleh Dewan Pimpinan dianggap perlu dibahas dan diberikan fatwanya, atau ada permintaan dan pertanyaan dari pemerintah, lembaga sosial, atau MUI sendiri, atau ada temuan dan perkembangan baru berkaitan dengan masalah keagamaan, ilmu pengetahuan, dan teknologi. Pemimpin rapat adalah ketua komisi atau wakilnya dengan persetujuan ketua komisi, didampingi oleh sekretaris atau wakil sekretaris komisi. Bila ketua dan wakil berhalangan hadir, maka pemimpin rapat adalah anggota komisi yang disetujui. Segala usulan dan pendapat yang dikemukakan dalam rapat dicatat oleh sekretaris atau wakil sekretaris komisi, sebagai risalah rapat dan dijadikan bahan keputusan fatwa. </w:t>
      </w:r>
      <w:r w:rsidRPr="00066E23">
        <w:rPr>
          <w:rFonts w:asciiTheme="majorBidi" w:hAnsiTheme="majorBidi" w:cstheme="majorBidi"/>
          <w:sz w:val="24"/>
          <w:szCs w:val="24"/>
        </w:rPr>
        <w:lastRenderedPageBreak/>
        <w:t>Setelah pembahasan secara komprehensif, rapat menetapkan keputusan. Keputusan rapat komisi sesegera mungkin dilaporkan kepada Dewan Pimpinan MUI untuk dipermaklumkan kepada masyarakat dan pihak-pihak yang bersangkutan.</w:t>
      </w:r>
      <w:r w:rsidRPr="00066E23">
        <w:rPr>
          <w:rStyle w:val="FootnoteReference"/>
          <w:rFonts w:asciiTheme="majorBidi" w:hAnsiTheme="majorBidi" w:cstheme="majorBidi"/>
          <w:sz w:val="24"/>
          <w:szCs w:val="24"/>
        </w:rPr>
        <w:footnoteReference w:id="589"/>
      </w:r>
    </w:p>
    <w:p w:rsidR="00343B61" w:rsidRPr="0011371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71F">
        <w:rPr>
          <w:rFonts w:asciiTheme="majorBidi" w:hAnsiTheme="majorBidi" w:cstheme="majorBidi"/>
          <w:sz w:val="24"/>
          <w:szCs w:val="24"/>
        </w:rPr>
        <w:t>Sementara format keputusan fatwa haruslah menggunaan bahasa hukum yang mudah dipahami dan tidak multi interpretasi, dan fatwa mesti ditandatangani oleh ketua dan sekretaris komisi. Keputusan fatwa harus memuat: Judul dan nomor, konsideran, diktum yang berisi fatwa hukum dan rekomendasi, penjelasan, dan lampiran bila dipandang perlu.</w:t>
      </w:r>
      <w:r w:rsidRPr="0011371F">
        <w:rPr>
          <w:rStyle w:val="FootnoteReference"/>
          <w:rFonts w:asciiTheme="majorBidi" w:hAnsiTheme="majorBidi" w:cstheme="majorBidi"/>
          <w:sz w:val="24"/>
          <w:szCs w:val="24"/>
        </w:rPr>
        <w:footnoteReference w:id="590"/>
      </w:r>
    </w:p>
    <w:p w:rsidR="00343B61" w:rsidRPr="0011371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71F">
        <w:rPr>
          <w:rFonts w:asciiTheme="majorBidi" w:hAnsiTheme="majorBidi" w:cstheme="majorBidi"/>
          <w:sz w:val="24"/>
          <w:szCs w:val="24"/>
        </w:rPr>
        <w:t>Dalam pedoman dan prosedur penetapan Fatwa Majelis Ulama dijelaskan juga tentang kewenangan dan wilayah fatwa. Bahwa MUI pusat memiliki kewenangan untuk menetapkan fatwa dalam hal keagamaan secara umum, terutama masalah fiqh dan aqidah, yang menyangkut umat Islam Indonesia secara nasional atau masalah keagamaan yang muncul di suatu daerah yang berpotensi menyebar ke daerah lain. Hal yang sudah difatwakan oleh MUI Pusat, MUI Daerah tidak perlu lagi menetapkan fatwa baru tentang hal yang sama, tetapi hanya berhak untuk melaksanakannya saja. Bila fatwa tersebut tidak dapat dilaksanakan, maka MUI Daerah bisa menetapkan fatwa baru yang berbeda setelah berkonsultasi dengan MUI Pusat. Bila belum ada keputusan fatwa, MUI Daerah bisa menetapkan fatwa sendiri. Dalam hal-hal yang sensitif, MUI Daerah sebaiknya berkonsultasi lebih dulu dengan MUI Pusat sebelum menetapkan fatwa.</w:t>
      </w:r>
      <w:r w:rsidRPr="0011371F">
        <w:rPr>
          <w:rStyle w:val="FootnoteReference"/>
          <w:rFonts w:asciiTheme="majorBidi" w:hAnsiTheme="majorBidi" w:cstheme="majorBidi"/>
          <w:sz w:val="24"/>
          <w:szCs w:val="24"/>
        </w:rPr>
        <w:footnoteReference w:id="591"/>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347FC9">
        <w:rPr>
          <w:rFonts w:asciiTheme="majorBidi" w:hAnsiTheme="majorBidi" w:cstheme="majorBidi"/>
          <w:sz w:val="24"/>
          <w:szCs w:val="24"/>
        </w:rPr>
        <w:t xml:space="preserve">Posisi fatwa MUI Pusat dan Daerah memiliki kedudukan yang sama dan tidak saling membatalkan, bila mengikuti pedoman dan prosedur yang telah ditetapkan. Bila terjadi perbedaan dalam masalah yang sama, maka perlu diadakan </w:t>
      </w:r>
      <w:r w:rsidRPr="00347FC9">
        <w:rPr>
          <w:rFonts w:asciiTheme="majorBidi" w:hAnsiTheme="majorBidi" w:cstheme="majorBidi"/>
          <w:sz w:val="24"/>
          <w:szCs w:val="24"/>
        </w:rPr>
        <w:lastRenderedPageBreak/>
        <w:t xml:space="preserve">pertemuan antara kedua dewan pimpinan untuk </w:t>
      </w:r>
      <w:r>
        <w:rPr>
          <w:rFonts w:asciiTheme="majorBidi" w:hAnsiTheme="majorBidi" w:cstheme="majorBidi"/>
          <w:sz w:val="24"/>
          <w:szCs w:val="24"/>
        </w:rPr>
        <w:t>mencari penyelesaian yang baik.</w:t>
      </w:r>
      <w:r w:rsidRPr="00347FC9">
        <w:rPr>
          <w:rStyle w:val="FootnoteReference"/>
          <w:rFonts w:asciiTheme="majorBidi" w:hAnsiTheme="majorBidi" w:cstheme="majorBidi"/>
          <w:sz w:val="24"/>
          <w:szCs w:val="24"/>
        </w:rPr>
        <w:footnoteReference w:id="592"/>
      </w:r>
    </w:p>
    <w:p w:rsidR="00343B61" w:rsidRPr="0011371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11371F">
        <w:rPr>
          <w:rFonts w:asciiTheme="majorBidi" w:hAnsiTheme="majorBidi" w:cstheme="majorBidi"/>
          <w:sz w:val="24"/>
          <w:szCs w:val="24"/>
        </w:rPr>
        <w:t>Mencermati pedoman dan mekanisme penetapan fatwa MUI diatas, tampak sistematis dan lengkap. Langkah-langkah ijtihad sudah disesuaikan dengan metode ijtihad yang mu’tabar dan dipakai oleh para ulama salaf salih, juga oleh para ulama kontemporer. Penyajian keputusan penetapan fatwa pun dibentuk formatnya secara sistematis sehingga memudahkan orang untuk membaca dan memahami makna yang hendak dicapai oleh fatwa itu. Hal ini tentunya tidak lepas dari upaya maksimal para ulama untuk melakukan yang terbaik untuk umat Islam, terutama umat Islam Indonesia.</w:t>
      </w:r>
    </w:p>
    <w:p w:rsidR="00343B61" w:rsidRPr="000D6FAA" w:rsidRDefault="00343B61" w:rsidP="002C0A33">
      <w:pPr>
        <w:pStyle w:val="ListParagraph"/>
        <w:numPr>
          <w:ilvl w:val="0"/>
          <w:numId w:val="39"/>
        </w:numPr>
        <w:autoSpaceDE w:val="0"/>
        <w:autoSpaceDN w:val="0"/>
        <w:adjustRightInd w:val="0"/>
        <w:spacing w:after="0" w:line="360" w:lineRule="auto"/>
        <w:ind w:left="450" w:hanging="270"/>
        <w:jc w:val="both"/>
        <w:rPr>
          <w:rFonts w:ascii="Z@RE85.tmp" w:hAnsi="Z@RE85.tmp" w:cs="Z@RE85.tmp"/>
          <w:sz w:val="24"/>
          <w:szCs w:val="24"/>
        </w:rPr>
      </w:pPr>
      <w:r w:rsidRPr="000D6FAA">
        <w:rPr>
          <w:rFonts w:ascii="Z@RE85.tmp" w:hAnsi="Z@RE85.tmp" w:cs="Z@RE85.tmp"/>
          <w:sz w:val="24"/>
          <w:szCs w:val="24"/>
        </w:rPr>
        <w:t xml:space="preserve">Pendekatan Fatwa </w:t>
      </w:r>
      <w:r>
        <w:rPr>
          <w:rFonts w:ascii="Z@RE85.tmp" w:hAnsi="Z@RE85.tmp" w:cs="Z@RE85.tmp"/>
          <w:sz w:val="24"/>
          <w:szCs w:val="24"/>
        </w:rPr>
        <w:t>MUI</w:t>
      </w: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r w:rsidRPr="000D6FAA">
        <w:rPr>
          <w:rFonts w:ascii="Z@RE85.tmp" w:hAnsi="Z@RE85.tmp" w:cs="Z@RE85.tmp"/>
          <w:sz w:val="24"/>
          <w:szCs w:val="24"/>
        </w:rPr>
        <w:t xml:space="preserve">Metode penetapan fatwa yang dilakukan oleh Komisi Fatwa menggunakan tiga pendekatan, yakni pendekatan </w:t>
      </w:r>
      <w:r w:rsidRPr="000D6FAA">
        <w:rPr>
          <w:rFonts w:ascii="Z@RE87.tmp,Italic" w:hAnsi="Z@RE87.tmp,Italic" w:cs="Z@RE87.tmp,Italic"/>
          <w:i/>
          <w:iCs/>
          <w:sz w:val="24"/>
          <w:szCs w:val="24"/>
        </w:rPr>
        <w:t>nas qath'i</w:t>
      </w:r>
      <w:r w:rsidRPr="000D6FAA">
        <w:rPr>
          <w:rFonts w:ascii="Z@RE85.tmp" w:hAnsi="Z@RE85.tmp" w:cs="Z@RE85.tmp"/>
          <w:sz w:val="24"/>
          <w:szCs w:val="24"/>
        </w:rPr>
        <w:t xml:space="preserve">, </w:t>
      </w:r>
      <w:r w:rsidRPr="000D6FAA">
        <w:rPr>
          <w:rFonts w:ascii="Z@RE87.tmp,Italic" w:hAnsi="Z@RE87.tmp,Italic" w:cs="Z@RE87.tmp,Italic"/>
          <w:i/>
          <w:iCs/>
          <w:sz w:val="24"/>
          <w:szCs w:val="24"/>
        </w:rPr>
        <w:t>qauli</w:t>
      </w:r>
      <w:r w:rsidRPr="000D6FAA">
        <w:rPr>
          <w:rFonts w:ascii="Z@RE85.tmp" w:hAnsi="Z@RE85.tmp" w:cs="Z@RE85.tmp"/>
          <w:sz w:val="24"/>
          <w:szCs w:val="24"/>
        </w:rPr>
        <w:t xml:space="preserve">, dan </w:t>
      </w:r>
      <w:r w:rsidRPr="000D6FAA">
        <w:rPr>
          <w:rFonts w:ascii="Z@RE87.tmp,Italic" w:hAnsi="Z@RE87.tmp,Italic" w:cs="Z@RE87.tmp,Italic"/>
          <w:i/>
          <w:iCs/>
          <w:sz w:val="24"/>
          <w:szCs w:val="24"/>
        </w:rPr>
        <w:t>manhaji</w:t>
      </w:r>
      <w:r w:rsidRPr="000D6FAA">
        <w:rPr>
          <w:rStyle w:val="FootnoteReference"/>
          <w:rFonts w:ascii="Z@RE87.tmp,Italic" w:hAnsi="Z@RE87.tmp,Italic" w:cs="Z@RE87.tmp,Italic"/>
          <w:i/>
          <w:iCs/>
          <w:sz w:val="24"/>
          <w:szCs w:val="24"/>
        </w:rPr>
        <w:footnoteReference w:id="593"/>
      </w:r>
      <w:r w:rsidRPr="000D6FAA">
        <w:rPr>
          <w:rFonts w:ascii="Z@RE85.tmp" w:hAnsi="Z@RE85.tmp" w:cs="Z@RE85.tmp"/>
          <w:sz w:val="24"/>
          <w:szCs w:val="24"/>
        </w:rPr>
        <w:t xml:space="preserve">. Pendekatan </w:t>
      </w:r>
      <w:r w:rsidRPr="000D6FAA">
        <w:rPr>
          <w:rFonts w:ascii="Z@RE85.tmp" w:hAnsi="Z@RE85.tmp" w:cs="Z@RE85.tmp"/>
          <w:i/>
          <w:iCs/>
          <w:sz w:val="24"/>
          <w:szCs w:val="24"/>
        </w:rPr>
        <w:t>nas qath'i</w:t>
      </w:r>
      <w:r w:rsidRPr="000D6FAA">
        <w:rPr>
          <w:rFonts w:ascii="Z@RE85.tmp" w:hAnsi="Z@RE85.tmp" w:cs="Z@RE85.tmp"/>
          <w:sz w:val="24"/>
          <w:szCs w:val="24"/>
        </w:rPr>
        <w:t xml:space="preserve"> dilakukan bila suatu masalah telah jelas diungkap oleh teks </w:t>
      </w:r>
      <w:r>
        <w:rPr>
          <w:rFonts w:ascii="Z@RE85.tmp" w:hAnsi="Z@RE85.tmp" w:cs="Z@RE85.tmp"/>
          <w:sz w:val="24"/>
          <w:szCs w:val="24"/>
        </w:rPr>
        <w:t>Al-Qur’ān</w:t>
      </w:r>
      <w:r w:rsidRPr="000D6FAA">
        <w:rPr>
          <w:rFonts w:ascii="Z@RE85.tmp" w:hAnsi="Z@RE85.tmp" w:cs="Z@RE85.tmp"/>
          <w:sz w:val="24"/>
          <w:szCs w:val="24"/>
        </w:rPr>
        <w:t xml:space="preserve"> atau hadis, yakni dengan berpegang pada teks tersebut. Pendekatan qauli dilakukan bila jawaban masalah sudah diungkap oleh pendapat yang terdapat dalam kitab-kitab yang </w:t>
      </w:r>
      <w:r w:rsidRPr="000D6FAA">
        <w:rPr>
          <w:rFonts w:ascii="Z@RE85.tmp" w:hAnsi="Z@RE85.tmp" w:cs="Z@RE85.tmp"/>
          <w:i/>
          <w:iCs/>
          <w:sz w:val="24"/>
          <w:szCs w:val="24"/>
        </w:rPr>
        <w:t>mu'tabar</w:t>
      </w:r>
      <w:r w:rsidRPr="000D6FAA">
        <w:rPr>
          <w:rFonts w:ascii="Z@RE85.tmp" w:hAnsi="Z@RE85.tmp" w:cs="Z@RE85.tmp"/>
          <w:sz w:val="24"/>
          <w:szCs w:val="24"/>
        </w:rPr>
        <w:t xml:space="preserve">; kecuali bila pendapat itu sulit atau tidak dapat dilaksanakan, atau </w:t>
      </w:r>
      <w:r w:rsidRPr="000D6FAA">
        <w:rPr>
          <w:rFonts w:ascii="Z@RE87.tmp,Italic" w:hAnsi="Z@RE87.tmp,Italic" w:cs="Z@RE87.tmp,Italic"/>
          <w:i/>
          <w:iCs/>
          <w:sz w:val="24"/>
          <w:szCs w:val="24"/>
        </w:rPr>
        <w:t>illat</w:t>
      </w:r>
      <w:r w:rsidRPr="000D6FAA">
        <w:rPr>
          <w:rFonts w:ascii="Z@RE85.tmp" w:hAnsi="Z@RE85.tmp" w:cs="Z@RE85.tmp"/>
          <w:sz w:val="24"/>
          <w:szCs w:val="24"/>
        </w:rPr>
        <w:t xml:space="preserve">-nya telah berubah. Bila dua pendekatan ini tidak bisa dilakukan, maka pendekatan </w:t>
      </w:r>
      <w:r w:rsidRPr="000D6FAA">
        <w:rPr>
          <w:rFonts w:ascii="Z@RE85.tmp" w:hAnsi="Z@RE85.tmp" w:cs="Z@RE85.tmp"/>
          <w:i/>
          <w:iCs/>
          <w:sz w:val="24"/>
          <w:szCs w:val="24"/>
        </w:rPr>
        <w:t>manhaji</w:t>
      </w:r>
      <w:r w:rsidRPr="000D6FAA">
        <w:rPr>
          <w:rFonts w:ascii="Z@RE85.tmp" w:hAnsi="Z@RE85.tmp" w:cs="Z@RE85.tmp"/>
          <w:sz w:val="24"/>
          <w:szCs w:val="24"/>
        </w:rPr>
        <w:t xml:space="preserve"> dapat dilaksanakan, yakni melalui </w:t>
      </w:r>
      <w:r w:rsidRPr="000D6FAA">
        <w:rPr>
          <w:rFonts w:ascii="Z@RE85.tmp" w:hAnsi="Z@RE85.tmp" w:cs="Z@RE85.tmp"/>
          <w:i/>
          <w:iCs/>
          <w:sz w:val="24"/>
          <w:szCs w:val="24"/>
        </w:rPr>
        <w:t>ijtihad jama'i</w:t>
      </w:r>
      <w:r w:rsidRPr="000D6FAA">
        <w:rPr>
          <w:rFonts w:ascii="Z@RE85.tmp" w:hAnsi="Z@RE85.tmp" w:cs="Z@RE85.tmp"/>
          <w:sz w:val="24"/>
          <w:szCs w:val="24"/>
        </w:rPr>
        <w:t xml:space="preserve"> dengan menggunakan metode </w:t>
      </w:r>
      <w:r w:rsidRPr="000D6FAA">
        <w:rPr>
          <w:rFonts w:ascii="Z@RE85.tmp" w:hAnsi="Z@RE85.tmp" w:cs="Z@RE85.tmp"/>
          <w:i/>
          <w:iCs/>
          <w:sz w:val="24"/>
          <w:szCs w:val="24"/>
        </w:rPr>
        <w:t>al-jam'u wa al-taufiq</w:t>
      </w:r>
      <w:r w:rsidRPr="000D6FAA">
        <w:rPr>
          <w:rFonts w:ascii="Z@RE85.tmp" w:hAnsi="Z@RE85.tmp" w:cs="Z@RE85.tmp"/>
          <w:sz w:val="24"/>
          <w:szCs w:val="24"/>
        </w:rPr>
        <w:t xml:space="preserve">, </w:t>
      </w:r>
      <w:r w:rsidRPr="000D6FAA">
        <w:rPr>
          <w:rFonts w:ascii="Z@RE85.tmp" w:hAnsi="Z@RE85.tmp" w:cs="Z@RE85.tmp"/>
          <w:i/>
          <w:iCs/>
          <w:sz w:val="24"/>
          <w:szCs w:val="24"/>
        </w:rPr>
        <w:t>tarjihi</w:t>
      </w:r>
      <w:r w:rsidRPr="000D6FAA">
        <w:rPr>
          <w:rFonts w:ascii="Z@RE85.tmp" w:hAnsi="Z@RE85.tmp" w:cs="Z@RE85.tmp"/>
          <w:sz w:val="24"/>
          <w:szCs w:val="24"/>
        </w:rPr>
        <w:t xml:space="preserve">, </w:t>
      </w:r>
      <w:r w:rsidRPr="000D6FAA">
        <w:rPr>
          <w:rFonts w:ascii="Z@RE85.tmp" w:hAnsi="Z@RE85.tmp" w:cs="Z@RE85.tmp"/>
          <w:i/>
          <w:iCs/>
          <w:sz w:val="24"/>
          <w:szCs w:val="24"/>
        </w:rPr>
        <w:t>ilhaqi</w:t>
      </w:r>
      <w:r w:rsidRPr="000D6FAA">
        <w:rPr>
          <w:rFonts w:ascii="Z@RE85.tmp" w:hAnsi="Z@RE85.tmp" w:cs="Z@RE85.tmp"/>
          <w:sz w:val="24"/>
          <w:szCs w:val="24"/>
        </w:rPr>
        <w:t xml:space="preserve">, dan </w:t>
      </w:r>
      <w:r w:rsidRPr="000D6FAA">
        <w:rPr>
          <w:rFonts w:ascii="Z@RE85.tmp" w:hAnsi="Z@RE85.tmp" w:cs="Z@RE85.tmp"/>
          <w:i/>
          <w:iCs/>
          <w:sz w:val="24"/>
          <w:szCs w:val="24"/>
        </w:rPr>
        <w:t>istinbati</w:t>
      </w:r>
      <w:r w:rsidRPr="000D6FAA">
        <w:rPr>
          <w:rFonts w:ascii="Z@RE85.tmp" w:hAnsi="Z@RE85.tmp" w:cs="Z@RE85.tmp"/>
          <w:sz w:val="24"/>
          <w:szCs w:val="24"/>
        </w:rPr>
        <w:t>.</w:t>
      </w:r>
      <w:r w:rsidRPr="000D6FAA">
        <w:rPr>
          <w:rStyle w:val="FootnoteReference"/>
          <w:rFonts w:ascii="Z@RE85.tmp" w:hAnsi="Z@RE85.tmp" w:cs="Z@RE85.tmp"/>
          <w:sz w:val="24"/>
          <w:szCs w:val="24"/>
        </w:rPr>
        <w:footnoteReference w:id="594"/>
      </w:r>
      <w:r w:rsidRPr="000D6FAA">
        <w:rPr>
          <w:rFonts w:ascii="Z@RE85.tmp" w:hAnsi="Z@RE85.tmp" w:cs="Z@RE85.tmp"/>
          <w:sz w:val="24"/>
          <w:szCs w:val="24"/>
        </w:rPr>
        <w:t xml:space="preserve">  </w:t>
      </w:r>
    </w:p>
    <w:p w:rsidR="00343B61" w:rsidRPr="00D0176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D01763">
        <w:rPr>
          <w:rFonts w:asciiTheme="majorBidi" w:hAnsiTheme="majorBidi" w:cstheme="majorBidi"/>
          <w:sz w:val="24"/>
          <w:szCs w:val="24"/>
        </w:rPr>
        <w:t xml:space="preserve">Penetapan fatwa lewat pendekatan nash saja jelas tidak memadai karena </w:t>
      </w:r>
      <w:r w:rsidRPr="00D01763">
        <w:rPr>
          <w:rFonts w:asciiTheme="majorBidi" w:hAnsiTheme="majorBidi" w:cstheme="majorBidi"/>
          <w:i/>
          <w:iCs/>
          <w:sz w:val="24"/>
          <w:szCs w:val="24"/>
        </w:rPr>
        <w:t xml:space="preserve">nash </w:t>
      </w:r>
      <w:r w:rsidRPr="00D01763">
        <w:rPr>
          <w:rFonts w:asciiTheme="majorBidi" w:hAnsiTheme="majorBidi" w:cstheme="majorBidi"/>
          <w:sz w:val="24"/>
          <w:szCs w:val="24"/>
        </w:rPr>
        <w:t>sifatnya sangat terbatas, sedangkan berbagai persoalan yang terjadi terus berkembang.</w:t>
      </w:r>
      <w:r w:rsidRPr="00D01763">
        <w:rPr>
          <w:rFonts w:asciiTheme="majorBidi" w:hAnsiTheme="majorBidi" w:cstheme="majorBidi"/>
          <w:i/>
          <w:iCs/>
          <w:sz w:val="24"/>
          <w:szCs w:val="24"/>
        </w:rPr>
        <w:t xml:space="preserve"> </w:t>
      </w:r>
      <w:r w:rsidRPr="00D01763">
        <w:rPr>
          <w:rFonts w:asciiTheme="majorBidi" w:hAnsiTheme="majorBidi" w:cstheme="majorBidi"/>
          <w:sz w:val="24"/>
          <w:szCs w:val="24"/>
        </w:rPr>
        <w:t xml:space="preserve">Demikian juga tidak mungkin hanya berpegang pada </w:t>
      </w:r>
      <w:r w:rsidRPr="00D01763">
        <w:rPr>
          <w:rFonts w:asciiTheme="majorBidi" w:hAnsiTheme="majorBidi" w:cstheme="majorBidi"/>
          <w:i/>
          <w:iCs/>
          <w:sz w:val="24"/>
          <w:szCs w:val="24"/>
        </w:rPr>
        <w:t xml:space="preserve">aqwal </w:t>
      </w:r>
      <w:r w:rsidRPr="00D01763">
        <w:rPr>
          <w:rFonts w:asciiTheme="majorBidi" w:hAnsiTheme="majorBidi" w:cstheme="majorBidi"/>
          <w:sz w:val="24"/>
          <w:szCs w:val="24"/>
        </w:rPr>
        <w:t xml:space="preserve">yang ada </w:t>
      </w:r>
      <w:r w:rsidRPr="00D01763">
        <w:rPr>
          <w:rFonts w:asciiTheme="majorBidi" w:hAnsiTheme="majorBidi" w:cstheme="majorBidi"/>
          <w:sz w:val="24"/>
          <w:szCs w:val="24"/>
        </w:rPr>
        <w:lastRenderedPageBreak/>
        <w:t>didalam kitab-kitab</w:t>
      </w:r>
      <w:r w:rsidRPr="00D01763">
        <w:rPr>
          <w:rFonts w:asciiTheme="majorBidi" w:hAnsiTheme="majorBidi" w:cstheme="majorBidi"/>
          <w:i/>
          <w:iCs/>
          <w:sz w:val="24"/>
          <w:szCs w:val="24"/>
        </w:rPr>
        <w:t xml:space="preserve"> mu’tabarah </w:t>
      </w:r>
      <w:r w:rsidRPr="00D01763">
        <w:rPr>
          <w:rFonts w:asciiTheme="majorBidi" w:hAnsiTheme="majorBidi" w:cstheme="majorBidi"/>
          <w:sz w:val="24"/>
          <w:szCs w:val="24"/>
        </w:rPr>
        <w:t>karena penulisannya sudah terhenti sejak sekitar seratus tahun yang lalu,</w:t>
      </w:r>
      <w:r w:rsidRPr="00D01763">
        <w:rPr>
          <w:rFonts w:asciiTheme="majorBidi" w:hAnsiTheme="majorBidi" w:cstheme="majorBidi"/>
          <w:i/>
          <w:iCs/>
          <w:sz w:val="24"/>
          <w:szCs w:val="24"/>
        </w:rPr>
        <w:t xml:space="preserve"> </w:t>
      </w:r>
      <w:r w:rsidRPr="00D01763">
        <w:rPr>
          <w:rFonts w:asciiTheme="majorBidi" w:hAnsiTheme="majorBidi" w:cstheme="majorBidi"/>
          <w:sz w:val="24"/>
          <w:szCs w:val="24"/>
        </w:rPr>
        <w:t xml:space="preserve">padahal persoalan-persoalan yang timbul terus berlangsung. Untuk itu, Komisi Fatwa MUI menggunakan pendekatan </w:t>
      </w:r>
      <w:r w:rsidRPr="00D01763">
        <w:rPr>
          <w:rFonts w:asciiTheme="majorBidi" w:hAnsiTheme="majorBidi" w:cstheme="majorBidi"/>
          <w:i/>
          <w:iCs/>
          <w:sz w:val="24"/>
          <w:szCs w:val="24"/>
        </w:rPr>
        <w:t>manhaij</w:t>
      </w:r>
      <w:r w:rsidRPr="00D01763">
        <w:rPr>
          <w:rFonts w:asciiTheme="majorBidi" w:hAnsiTheme="majorBidi" w:cstheme="majorBidi"/>
          <w:sz w:val="24"/>
          <w:szCs w:val="24"/>
        </w:rPr>
        <w:t xml:space="preserve">, melalui </w:t>
      </w:r>
      <w:r w:rsidRPr="00D01763">
        <w:rPr>
          <w:rFonts w:asciiTheme="majorBidi" w:hAnsiTheme="majorBidi" w:cstheme="majorBidi"/>
          <w:i/>
          <w:iCs/>
          <w:sz w:val="24"/>
          <w:szCs w:val="24"/>
        </w:rPr>
        <w:t>ijtihad jama'i.</w:t>
      </w:r>
    </w:p>
    <w:p w:rsidR="00343B61" w:rsidRPr="00D0176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D01763">
        <w:rPr>
          <w:rFonts w:asciiTheme="majorBidi" w:hAnsiTheme="majorBidi" w:cstheme="majorBidi"/>
          <w:sz w:val="24"/>
          <w:szCs w:val="24"/>
        </w:rPr>
        <w:t xml:space="preserve">Menurut Ibrahim Hosen </w:t>
      </w:r>
      <w:r w:rsidRPr="00C86419">
        <w:rPr>
          <w:rFonts w:asciiTheme="majorBidi" w:hAnsiTheme="majorBidi" w:cstheme="majorBidi"/>
          <w:i/>
          <w:iCs/>
          <w:sz w:val="24"/>
          <w:szCs w:val="24"/>
        </w:rPr>
        <w:t>Ijtihād</w:t>
      </w:r>
      <w:r w:rsidRPr="00D01763">
        <w:rPr>
          <w:rFonts w:asciiTheme="majorBidi" w:hAnsiTheme="majorBidi" w:cstheme="majorBidi"/>
          <w:sz w:val="24"/>
          <w:szCs w:val="24"/>
        </w:rPr>
        <w:t xml:space="preserve"> jama’</w:t>
      </w:r>
      <w:r w:rsidRPr="0082707B">
        <w:rPr>
          <w:rFonts w:asciiTheme="majorBidi" w:hAnsiTheme="majorBidi" w:cstheme="majorBidi"/>
          <w:sz w:val="24"/>
          <w:szCs w:val="24"/>
        </w:rPr>
        <w:t>ī</w:t>
      </w:r>
      <w:r w:rsidRPr="00D01763">
        <w:rPr>
          <w:rFonts w:asciiTheme="majorBidi" w:hAnsiTheme="majorBidi" w:cstheme="majorBidi"/>
          <w:sz w:val="24"/>
          <w:szCs w:val="24"/>
        </w:rPr>
        <w:t>y adalah “ upaya maksimal berupa pengerahan segala kesanggupan dan kemampuan oleh sekelompok ulama yang secara kolektif dan telah terpenuhinya persyaratan-persyaratan ijti</w:t>
      </w:r>
      <w:r>
        <w:rPr>
          <w:rFonts w:asciiTheme="majorBidi" w:hAnsiTheme="majorBidi" w:cstheme="majorBidi"/>
          <w:sz w:val="24"/>
          <w:szCs w:val="24"/>
        </w:rPr>
        <w:t>h</w:t>
      </w:r>
      <w:r w:rsidRPr="00D01763">
        <w:rPr>
          <w:rFonts w:asciiTheme="majorBidi" w:hAnsiTheme="majorBidi" w:cstheme="majorBidi"/>
          <w:sz w:val="24"/>
          <w:szCs w:val="24"/>
        </w:rPr>
        <w:t>ad guna memecahkan hukum sesuatu masalah yang belum ditegaskan oleh Al-Qur’ān atau Sunnah dan belum pernah diijtihadi oleh ulama-ulama tersebut”.</w:t>
      </w:r>
      <w:r w:rsidRPr="00D01763">
        <w:rPr>
          <w:rStyle w:val="FootnoteReference"/>
          <w:rFonts w:asciiTheme="majorBidi" w:hAnsiTheme="majorBidi" w:cstheme="majorBidi"/>
          <w:sz w:val="24"/>
          <w:szCs w:val="24"/>
        </w:rPr>
        <w:footnoteReference w:id="595"/>
      </w:r>
      <w:r w:rsidRPr="00D01763">
        <w:rPr>
          <w:rFonts w:asciiTheme="majorBidi" w:hAnsiTheme="majorBidi" w:cstheme="majorBidi"/>
          <w:sz w:val="24"/>
          <w:szCs w:val="24"/>
        </w:rPr>
        <w:t xml:space="preserve"> </w:t>
      </w:r>
    </w:p>
    <w:p w:rsidR="00343B61" w:rsidRPr="00363582"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C86419">
        <w:rPr>
          <w:rFonts w:asciiTheme="majorBidi" w:hAnsiTheme="majorBidi" w:cstheme="majorBidi"/>
          <w:i/>
          <w:iCs/>
          <w:sz w:val="24"/>
          <w:szCs w:val="24"/>
        </w:rPr>
        <w:t>Ijtihād intiqāiy</w:t>
      </w:r>
      <w:r w:rsidRPr="00363582">
        <w:rPr>
          <w:rFonts w:asciiTheme="majorBidi" w:hAnsiTheme="majorBidi" w:cstheme="majorBidi"/>
          <w:sz w:val="24"/>
          <w:szCs w:val="24"/>
        </w:rPr>
        <w:t xml:space="preserve"> </w:t>
      </w:r>
      <w:r>
        <w:rPr>
          <w:rFonts w:asciiTheme="majorBidi" w:hAnsiTheme="majorBidi" w:cstheme="majorBidi"/>
          <w:sz w:val="24"/>
          <w:szCs w:val="24"/>
        </w:rPr>
        <w:t>(ijtiha</w:t>
      </w:r>
      <w:r w:rsidRPr="00363582">
        <w:rPr>
          <w:rFonts w:asciiTheme="majorBidi" w:hAnsiTheme="majorBidi" w:cstheme="majorBidi"/>
          <w:sz w:val="24"/>
          <w:szCs w:val="24"/>
        </w:rPr>
        <w:t>d komparatif selektif), yaitu deng</w:t>
      </w:r>
      <w:r>
        <w:rPr>
          <w:rFonts w:asciiTheme="majorBidi" w:hAnsiTheme="majorBidi" w:cstheme="majorBidi"/>
          <w:sz w:val="24"/>
          <w:szCs w:val="24"/>
        </w:rPr>
        <w:t>an meneliti kembali hasil ijtiha</w:t>
      </w:r>
      <w:r w:rsidRPr="00363582">
        <w:rPr>
          <w:rFonts w:asciiTheme="majorBidi" w:hAnsiTheme="majorBidi" w:cstheme="majorBidi"/>
          <w:sz w:val="24"/>
          <w:szCs w:val="24"/>
        </w:rPr>
        <w:t>d ulama-ulama terdahulu beserta dalil-d</w:t>
      </w:r>
      <w:r>
        <w:rPr>
          <w:rFonts w:asciiTheme="majorBidi" w:hAnsiTheme="majorBidi" w:cstheme="majorBidi"/>
          <w:sz w:val="24"/>
          <w:szCs w:val="24"/>
        </w:rPr>
        <w:t>alilnya yang terdapat dalam fiq</w:t>
      </w:r>
      <w:r w:rsidRPr="00363582">
        <w:rPr>
          <w:rFonts w:asciiTheme="majorBidi" w:hAnsiTheme="majorBidi" w:cstheme="majorBidi"/>
          <w:sz w:val="24"/>
          <w:szCs w:val="24"/>
        </w:rPr>
        <w:t xml:space="preserve">h klasik, lalu membandingkannya satu sama lain, kemudian memilih mana diantara pendapat-pendapat tersebut yang lebih kuat </w:t>
      </w:r>
      <w:r w:rsidRPr="00363582">
        <w:rPr>
          <w:rFonts w:asciiTheme="majorBidi" w:hAnsiTheme="majorBidi" w:cstheme="majorBidi"/>
          <w:i/>
          <w:iCs/>
          <w:sz w:val="24"/>
          <w:szCs w:val="24"/>
        </w:rPr>
        <w:t>(tarj</w:t>
      </w:r>
      <w:r w:rsidRPr="0094142F">
        <w:rPr>
          <w:rFonts w:asciiTheme="majorBidi" w:hAnsiTheme="majorBidi" w:cstheme="majorBidi"/>
          <w:i/>
          <w:iCs/>
        </w:rPr>
        <w:t>ī</w:t>
      </w:r>
      <w:r w:rsidRPr="00363582">
        <w:rPr>
          <w:rFonts w:asciiTheme="majorBidi" w:hAnsiTheme="majorBidi" w:cstheme="majorBidi"/>
          <w:i/>
          <w:iCs/>
          <w:sz w:val="24"/>
          <w:szCs w:val="24"/>
        </w:rPr>
        <w:t>h)</w:t>
      </w:r>
      <w:r w:rsidRPr="00363582">
        <w:rPr>
          <w:rFonts w:asciiTheme="majorBidi" w:hAnsiTheme="majorBidi" w:cstheme="majorBidi"/>
          <w:sz w:val="24"/>
          <w:szCs w:val="24"/>
        </w:rPr>
        <w:t>.</w:t>
      </w:r>
      <w:r w:rsidRPr="00363582">
        <w:rPr>
          <w:rStyle w:val="FootnoteReference"/>
          <w:rFonts w:asciiTheme="majorBidi" w:hAnsiTheme="majorBidi" w:cstheme="majorBidi"/>
          <w:sz w:val="24"/>
          <w:szCs w:val="24"/>
        </w:rPr>
        <w:footnoteReference w:id="596"/>
      </w:r>
      <w:r w:rsidRPr="00363582">
        <w:rPr>
          <w:rFonts w:asciiTheme="majorBidi" w:hAnsiTheme="majorBidi" w:cstheme="majorBidi"/>
          <w:sz w:val="24"/>
          <w:szCs w:val="24"/>
        </w:rPr>
        <w:t xml:space="preserve"> </w:t>
      </w:r>
    </w:p>
    <w:p w:rsidR="00343B61" w:rsidRPr="000D6FAA"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0D6FAA">
        <w:rPr>
          <w:rFonts w:ascii="Times New Roman" w:hAnsi="Times New Roman" w:cs="Times New Roman"/>
          <w:sz w:val="24"/>
          <w:szCs w:val="24"/>
        </w:rPr>
        <w:t>Menurut Al-Qardhawi kriteria yang digunakan untuk memilih pendapat yang terkuat adalah: a) Pendapat tersebut hendaknya lebih cocok dengan kehidupan orang zaman sekarang. b) Pendapat tersebut hendaknya lebih banyak memberikan rahmat bagi umat manusia. c) Pendapat tersebut hendaknya lebih dekat kepada kemudahan yang diberikan syari</w:t>
      </w:r>
      <w:r w:rsidRPr="000D6FAA">
        <w:rPr>
          <w:rFonts w:ascii="TimesNewRoman" w:hAnsi="Times New Roman" w:cs="TimesNewRoman" w:hint="cs"/>
          <w:sz w:val="24"/>
          <w:szCs w:val="24"/>
        </w:rPr>
        <w:t>’</w:t>
      </w:r>
      <w:r w:rsidRPr="000D6FAA">
        <w:rPr>
          <w:rFonts w:ascii="Times New Roman" w:hAnsi="Times New Roman" w:cs="Times New Roman"/>
          <w:sz w:val="24"/>
          <w:szCs w:val="24"/>
        </w:rPr>
        <w:t>at. e) Pendapat tersebut lebih utama dalam mewujudkan syari</w:t>
      </w:r>
      <w:r w:rsidRPr="000D6FAA">
        <w:rPr>
          <w:rFonts w:ascii="TimesNewRoman" w:hAnsi="Times New Roman" w:cs="TimesNewRoman" w:hint="cs"/>
          <w:sz w:val="24"/>
          <w:szCs w:val="24"/>
        </w:rPr>
        <w:t>’</w:t>
      </w:r>
      <w:r w:rsidRPr="000D6FAA">
        <w:rPr>
          <w:rFonts w:ascii="Times New Roman" w:hAnsi="Times New Roman" w:cs="Times New Roman"/>
          <w:sz w:val="24"/>
          <w:szCs w:val="24"/>
        </w:rPr>
        <w:t>at, memberikan</w:t>
      </w:r>
      <w:r w:rsidRPr="000D6FAA">
        <w:rPr>
          <w:rFonts w:ascii="TimesNewRoman" w:hAnsi="Times New Roman" w:cs="TimesNewRoman"/>
          <w:sz w:val="24"/>
          <w:szCs w:val="24"/>
        </w:rPr>
        <w:t xml:space="preserve"> </w:t>
      </w:r>
      <w:r w:rsidRPr="000D6FAA">
        <w:rPr>
          <w:rFonts w:ascii="Times New Roman" w:hAnsi="Times New Roman" w:cs="Times New Roman"/>
          <w:sz w:val="24"/>
          <w:szCs w:val="24"/>
        </w:rPr>
        <w:t>kemaslahatan bagi makhluk dan menjauhkan mereka dari kerusakan.</w:t>
      </w:r>
      <w:r w:rsidRPr="000D6FAA">
        <w:rPr>
          <w:rStyle w:val="FootnoteReference"/>
          <w:rFonts w:ascii="Times New Roman" w:hAnsi="Times New Roman" w:cs="Times New Roman"/>
          <w:sz w:val="24"/>
          <w:szCs w:val="24"/>
        </w:rPr>
        <w:footnoteReference w:id="597"/>
      </w:r>
    </w:p>
    <w:p w:rsidR="00343B61" w:rsidRPr="00C86419" w:rsidRDefault="00343B61" w:rsidP="00343B61">
      <w:pPr>
        <w:pStyle w:val="ListParagraph"/>
        <w:spacing w:after="0" w:line="360" w:lineRule="auto"/>
        <w:ind w:left="0" w:firstLine="720"/>
        <w:jc w:val="both"/>
        <w:rPr>
          <w:rFonts w:asciiTheme="majorBidi" w:hAnsiTheme="majorBidi" w:cstheme="majorBidi"/>
          <w:i/>
          <w:iCs/>
        </w:rPr>
      </w:pPr>
      <w:r w:rsidRPr="000D6FAA">
        <w:rPr>
          <w:rFonts w:asciiTheme="majorBidi" w:hAnsiTheme="majorBidi" w:cstheme="majorBidi"/>
          <w:sz w:val="24"/>
          <w:szCs w:val="24"/>
        </w:rPr>
        <w:t xml:space="preserve">Dalam melakukan </w:t>
      </w:r>
      <w:r w:rsidRPr="00C86419">
        <w:rPr>
          <w:rFonts w:asciiTheme="majorBidi" w:hAnsiTheme="majorBidi" w:cstheme="majorBidi"/>
          <w:i/>
          <w:iCs/>
          <w:sz w:val="24"/>
          <w:szCs w:val="24"/>
        </w:rPr>
        <w:t>ijtihā</w:t>
      </w:r>
      <w:r>
        <w:rPr>
          <w:rFonts w:asciiTheme="majorBidi" w:hAnsiTheme="majorBidi" w:cstheme="majorBidi"/>
          <w:i/>
          <w:iCs/>
          <w:sz w:val="24"/>
          <w:szCs w:val="24"/>
        </w:rPr>
        <w:t xml:space="preserve">d </w:t>
      </w:r>
      <w:r w:rsidRPr="00C86419">
        <w:rPr>
          <w:rFonts w:asciiTheme="majorBidi" w:hAnsiTheme="majorBidi" w:cstheme="majorBidi"/>
          <w:i/>
          <w:iCs/>
          <w:sz w:val="24"/>
          <w:szCs w:val="24"/>
        </w:rPr>
        <w:t>intiqāiy</w:t>
      </w:r>
      <w:r w:rsidRPr="000D6FAA">
        <w:rPr>
          <w:rFonts w:asciiTheme="majorBidi" w:hAnsiTheme="majorBidi" w:cstheme="majorBidi"/>
          <w:sz w:val="24"/>
          <w:szCs w:val="24"/>
        </w:rPr>
        <w:t xml:space="preserve">, pada sebagian masalah boleh saja diambil pendapat satu madzhab, sedangkan pada sebagian yang lain dipilih pendapat madzhab lain pula, atau dengan istilah </w:t>
      </w:r>
      <w:r>
        <w:rPr>
          <w:rFonts w:asciiTheme="majorBidi" w:hAnsiTheme="majorBidi" w:cstheme="majorBidi"/>
          <w:i/>
          <w:iCs/>
          <w:sz w:val="24"/>
          <w:szCs w:val="24"/>
        </w:rPr>
        <w:t>“</w:t>
      </w:r>
      <w:r w:rsidRPr="000D6FAA">
        <w:rPr>
          <w:rFonts w:asciiTheme="majorBidi" w:hAnsiTheme="majorBidi" w:cstheme="majorBidi"/>
          <w:i/>
          <w:iCs/>
          <w:sz w:val="24"/>
          <w:szCs w:val="24"/>
        </w:rPr>
        <w:t>talf</w:t>
      </w:r>
      <w:r w:rsidRPr="0094142F">
        <w:rPr>
          <w:rFonts w:asciiTheme="majorBidi" w:hAnsiTheme="majorBidi" w:cstheme="majorBidi"/>
          <w:i/>
          <w:iCs/>
        </w:rPr>
        <w:t>ī</w:t>
      </w:r>
      <w:r w:rsidRPr="000D6FAA">
        <w:rPr>
          <w:rFonts w:asciiTheme="majorBidi" w:hAnsiTheme="majorBidi" w:cstheme="majorBidi"/>
          <w:i/>
          <w:iCs/>
          <w:sz w:val="24"/>
          <w:szCs w:val="24"/>
        </w:rPr>
        <w:t>q</w:t>
      </w:r>
      <w:r w:rsidRPr="000D6FAA">
        <w:rPr>
          <w:rFonts w:asciiTheme="majorBidi" w:hAnsiTheme="majorBidi" w:cstheme="majorBidi"/>
          <w:sz w:val="24"/>
          <w:szCs w:val="24"/>
        </w:rPr>
        <w:t>”</w:t>
      </w:r>
      <w:r w:rsidRPr="000D6FAA">
        <w:rPr>
          <w:rStyle w:val="FootnoteReference"/>
          <w:rFonts w:asciiTheme="majorBidi" w:hAnsiTheme="majorBidi" w:cstheme="majorBidi"/>
          <w:sz w:val="24"/>
          <w:szCs w:val="24"/>
        </w:rPr>
        <w:footnoteReference w:id="598"/>
      </w:r>
      <w:r w:rsidRPr="000D6FAA">
        <w:rPr>
          <w:rFonts w:asciiTheme="majorBidi" w:hAnsiTheme="majorBidi" w:cstheme="majorBidi"/>
          <w:sz w:val="24"/>
          <w:szCs w:val="24"/>
        </w:rPr>
        <w:t xml:space="preserve"> dalam arti pendapat </w:t>
      </w:r>
      <w:r w:rsidRPr="000D6FAA">
        <w:rPr>
          <w:rFonts w:asciiTheme="majorBidi" w:hAnsiTheme="majorBidi" w:cstheme="majorBidi"/>
          <w:sz w:val="24"/>
          <w:szCs w:val="24"/>
        </w:rPr>
        <w:lastRenderedPageBreak/>
        <w:t>yang dipilih boleh saja pendapat madzhab Mâliki dalam suatu masalah, sedangkan dalam masalah lain dipi</w:t>
      </w:r>
      <w:r>
        <w:rPr>
          <w:rFonts w:asciiTheme="majorBidi" w:hAnsiTheme="majorBidi" w:cstheme="majorBidi"/>
          <w:sz w:val="24"/>
          <w:szCs w:val="24"/>
        </w:rPr>
        <w:t>lih pendapat madzhab Hanafi, Syafi’i</w:t>
      </w:r>
      <w:r w:rsidRPr="000D6FAA">
        <w:rPr>
          <w:rFonts w:asciiTheme="majorBidi" w:hAnsiTheme="majorBidi" w:cstheme="majorBidi"/>
          <w:sz w:val="24"/>
          <w:szCs w:val="24"/>
        </w:rPr>
        <w:t xml:space="preserve"> atau Hanbali, bahkan boleh saja dipilih pendapat di luar madzhab empat. Karena sesungguhnya </w:t>
      </w:r>
      <w:r w:rsidRPr="000D6FAA">
        <w:rPr>
          <w:rFonts w:asciiTheme="majorBidi" w:hAnsiTheme="majorBidi" w:cstheme="majorBidi"/>
          <w:i/>
          <w:iCs/>
          <w:sz w:val="24"/>
          <w:szCs w:val="24"/>
        </w:rPr>
        <w:t>talf</w:t>
      </w:r>
      <w:r w:rsidRPr="0094142F">
        <w:rPr>
          <w:rFonts w:asciiTheme="majorBidi" w:hAnsiTheme="majorBidi" w:cstheme="majorBidi"/>
          <w:i/>
          <w:iCs/>
        </w:rPr>
        <w:t>ī</w:t>
      </w:r>
      <w:r w:rsidRPr="000D6FAA">
        <w:rPr>
          <w:rFonts w:asciiTheme="majorBidi" w:hAnsiTheme="majorBidi" w:cstheme="majorBidi"/>
          <w:i/>
          <w:iCs/>
          <w:sz w:val="24"/>
          <w:szCs w:val="24"/>
        </w:rPr>
        <w:t>q</w:t>
      </w:r>
      <w:r w:rsidRPr="000D6FAA">
        <w:rPr>
          <w:rFonts w:asciiTheme="majorBidi" w:hAnsiTheme="majorBidi" w:cstheme="majorBidi"/>
          <w:sz w:val="24"/>
          <w:szCs w:val="24"/>
        </w:rPr>
        <w:t xml:space="preserve"> yang dilarang adalah menambal sulam sebagian pendapat dengan pendapat yang lain bukan berdasarkan dalil, tetapi berdasarkan selera belaka, semata-mata bertaqlid, tidak memilih yang benar dan terkuat.</w:t>
      </w:r>
      <w:r w:rsidRPr="000D6FAA">
        <w:rPr>
          <w:rStyle w:val="FootnoteReference"/>
          <w:rFonts w:asciiTheme="majorBidi" w:hAnsiTheme="majorBidi" w:cstheme="majorBidi"/>
          <w:sz w:val="24"/>
          <w:szCs w:val="24"/>
        </w:rPr>
        <w:footnoteReference w:id="599"/>
      </w:r>
      <w:r>
        <w:rPr>
          <w:rFonts w:asciiTheme="majorBidi" w:hAnsiTheme="majorBidi" w:cstheme="majorBidi"/>
          <w:sz w:val="24"/>
          <w:szCs w:val="24"/>
        </w:rPr>
        <w:t xml:space="preserve"> </w:t>
      </w:r>
    </w:p>
    <w:p w:rsidR="00343B61" w:rsidRPr="00C86419" w:rsidRDefault="00343B61" w:rsidP="00343B61">
      <w:pPr>
        <w:spacing w:after="0" w:line="360" w:lineRule="auto"/>
        <w:ind w:firstLine="720"/>
        <w:jc w:val="both"/>
        <w:rPr>
          <w:rFonts w:asciiTheme="majorBidi" w:hAnsiTheme="majorBidi" w:cstheme="majorBidi"/>
          <w:i/>
          <w:iCs/>
          <w:sz w:val="24"/>
          <w:szCs w:val="24"/>
        </w:rPr>
      </w:pPr>
      <w:r w:rsidRPr="000D6FAA">
        <w:rPr>
          <w:rFonts w:ascii="Times New Roman" w:hAnsi="Times New Roman" w:cs="Times New Roman"/>
          <w:sz w:val="24"/>
          <w:szCs w:val="24"/>
        </w:rPr>
        <w:t xml:space="preserve">Hal yang tidak kalah pentinnya diperhatikan saat memilih pendapat ketika melakukan </w:t>
      </w:r>
      <w:r w:rsidRPr="00C86419">
        <w:rPr>
          <w:rFonts w:asciiTheme="majorBidi" w:hAnsiTheme="majorBidi" w:cstheme="majorBidi"/>
          <w:i/>
          <w:iCs/>
          <w:sz w:val="24"/>
          <w:szCs w:val="24"/>
        </w:rPr>
        <w:t>ijtihā</w:t>
      </w:r>
      <w:r>
        <w:rPr>
          <w:rFonts w:asciiTheme="majorBidi" w:hAnsiTheme="majorBidi" w:cstheme="majorBidi"/>
          <w:i/>
          <w:iCs/>
          <w:sz w:val="24"/>
          <w:szCs w:val="24"/>
        </w:rPr>
        <w:t xml:space="preserve">d </w:t>
      </w:r>
      <w:r w:rsidRPr="00C86419">
        <w:rPr>
          <w:rFonts w:asciiTheme="majorBidi" w:hAnsiTheme="majorBidi" w:cstheme="majorBidi"/>
          <w:i/>
          <w:iCs/>
          <w:sz w:val="24"/>
          <w:szCs w:val="24"/>
        </w:rPr>
        <w:t>intiqāiy</w:t>
      </w:r>
      <w:r>
        <w:rPr>
          <w:rFonts w:asciiTheme="majorBidi" w:hAnsiTheme="majorBidi" w:cstheme="majorBidi"/>
          <w:i/>
          <w:iCs/>
          <w:sz w:val="24"/>
          <w:szCs w:val="24"/>
        </w:rPr>
        <w:t xml:space="preserve"> </w:t>
      </w:r>
      <w:r w:rsidRPr="000D6FAA">
        <w:rPr>
          <w:rFonts w:ascii="Times New Roman" w:hAnsi="Times New Roman" w:cs="Times New Roman"/>
          <w:sz w:val="24"/>
          <w:szCs w:val="24"/>
        </w:rPr>
        <w:t>adalah</w:t>
      </w:r>
      <w:r w:rsidRPr="000D6FAA">
        <w:rPr>
          <w:rFonts w:ascii="Times New Roman" w:hAnsi="Times New Roman" w:cs="Times New Roman"/>
          <w:i/>
          <w:iCs/>
          <w:sz w:val="24"/>
          <w:szCs w:val="24"/>
        </w:rPr>
        <w:t xml:space="preserve"> </w:t>
      </w:r>
      <w:r w:rsidRPr="000D6FAA">
        <w:rPr>
          <w:rFonts w:ascii="Times New Roman" w:hAnsi="Times New Roman" w:cs="Times New Roman"/>
          <w:sz w:val="24"/>
          <w:szCs w:val="24"/>
        </w:rPr>
        <w:t>seorang mujtahid harus mempertimbangkan faktor-</w:t>
      </w:r>
      <w:r w:rsidRPr="000D6FAA">
        <w:rPr>
          <w:rFonts w:asciiTheme="majorBidi" w:hAnsiTheme="majorBidi" w:cstheme="majorBidi"/>
          <w:sz w:val="24"/>
          <w:szCs w:val="24"/>
        </w:rPr>
        <w:t>faktor lain, seperti; perubahan sosial po</w:t>
      </w:r>
      <w:r>
        <w:rPr>
          <w:rFonts w:asciiTheme="majorBidi" w:hAnsiTheme="majorBidi" w:cstheme="majorBidi"/>
          <w:sz w:val="24"/>
          <w:szCs w:val="24"/>
        </w:rPr>
        <w:t xml:space="preserve">litik pada tingkat nasional dan </w:t>
      </w:r>
      <w:r w:rsidRPr="000D6FAA">
        <w:rPr>
          <w:rFonts w:asciiTheme="majorBidi" w:hAnsiTheme="majorBidi" w:cstheme="majorBidi"/>
          <w:sz w:val="24"/>
          <w:szCs w:val="24"/>
        </w:rPr>
        <w:t>internasional,</w:t>
      </w:r>
      <w:r>
        <w:rPr>
          <w:rFonts w:ascii="Times New Roman" w:hAnsi="Times New Roman" w:cs="Times New Roman"/>
          <w:sz w:val="24"/>
          <w:szCs w:val="24"/>
        </w:rPr>
        <w:t xml:space="preserve"> </w:t>
      </w:r>
      <w:r w:rsidRPr="000D6FAA">
        <w:rPr>
          <w:rFonts w:asciiTheme="majorBidi" w:hAnsiTheme="majorBidi" w:cstheme="majorBidi"/>
          <w:sz w:val="24"/>
          <w:szCs w:val="24"/>
        </w:rPr>
        <w:t>perkembangan ilmu pengetahuan modern, serta tuntutan dan kebutuhan zaman.</w:t>
      </w:r>
      <w:r w:rsidRPr="000D6FAA">
        <w:rPr>
          <w:rStyle w:val="FootnoteReference"/>
          <w:rFonts w:asciiTheme="majorBidi" w:hAnsiTheme="majorBidi" w:cstheme="majorBidi"/>
          <w:sz w:val="24"/>
          <w:szCs w:val="24"/>
        </w:rPr>
        <w:footnoteReference w:id="600"/>
      </w:r>
    </w:p>
    <w:p w:rsidR="00343B61" w:rsidRPr="00080C3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080C34">
        <w:rPr>
          <w:rFonts w:asciiTheme="majorBidi" w:hAnsiTheme="majorBidi" w:cstheme="majorBidi"/>
          <w:sz w:val="24"/>
          <w:szCs w:val="24"/>
        </w:rPr>
        <w:t>Dengan demikian, terhadap masalah fiqh ini, pada dasarnya, Komisi Fatwa hanyalah memilih yang terbaik (</w:t>
      </w:r>
      <w:r w:rsidRPr="00080C34">
        <w:rPr>
          <w:rFonts w:asciiTheme="majorBidi" w:hAnsiTheme="majorBidi" w:cstheme="majorBidi"/>
          <w:i/>
          <w:iCs/>
          <w:sz w:val="24"/>
          <w:szCs w:val="24"/>
        </w:rPr>
        <w:t>intiqa’i</w:t>
      </w:r>
      <w:r w:rsidRPr="00080C34">
        <w:rPr>
          <w:rFonts w:asciiTheme="majorBidi" w:hAnsiTheme="majorBidi" w:cstheme="majorBidi"/>
          <w:sz w:val="24"/>
          <w:szCs w:val="24"/>
        </w:rPr>
        <w:t xml:space="preserve">), kecuali mengenai masalah yang tidak terdapat penjelasan hukumnya dalam buku-buku mazhab yang ada. Maka, dalam hal ini Komisi Fatwa melakukan </w:t>
      </w:r>
      <w:r w:rsidRPr="00080C34">
        <w:rPr>
          <w:rFonts w:asciiTheme="majorBidi" w:hAnsiTheme="majorBidi" w:cstheme="majorBidi"/>
          <w:i/>
          <w:iCs/>
          <w:sz w:val="24"/>
          <w:szCs w:val="24"/>
        </w:rPr>
        <w:t xml:space="preserve">ijtihad jama’i </w:t>
      </w:r>
      <w:r w:rsidRPr="00080C34">
        <w:rPr>
          <w:rFonts w:asciiTheme="majorBidi" w:hAnsiTheme="majorBidi" w:cstheme="majorBidi"/>
          <w:sz w:val="24"/>
          <w:szCs w:val="24"/>
        </w:rPr>
        <w:t xml:space="preserve">secara bebas namun terikat dengan kaidah-kaidah </w:t>
      </w:r>
      <w:r w:rsidRPr="00080C34">
        <w:rPr>
          <w:rFonts w:asciiTheme="majorBidi" w:hAnsiTheme="majorBidi" w:cstheme="majorBidi"/>
          <w:i/>
          <w:iCs/>
          <w:sz w:val="24"/>
          <w:szCs w:val="24"/>
        </w:rPr>
        <w:t xml:space="preserve">istinbath </w:t>
      </w:r>
      <w:r w:rsidRPr="00080C34">
        <w:rPr>
          <w:rFonts w:asciiTheme="majorBidi" w:hAnsiTheme="majorBidi" w:cstheme="majorBidi"/>
          <w:sz w:val="24"/>
          <w:szCs w:val="24"/>
        </w:rPr>
        <w:t xml:space="preserve">(ijtihad) yang telah dirumuskan oleh para imam mazhab, dengan </w:t>
      </w:r>
      <w:r w:rsidRPr="007C1369">
        <w:rPr>
          <w:rFonts w:asciiTheme="majorBidi" w:hAnsiTheme="majorBidi" w:cstheme="majorBidi"/>
          <w:i/>
          <w:iCs/>
          <w:sz w:val="24"/>
          <w:szCs w:val="24"/>
        </w:rPr>
        <w:t>ijitihad</w:t>
      </w:r>
      <w:r w:rsidRPr="00080C34">
        <w:rPr>
          <w:rFonts w:asciiTheme="majorBidi" w:hAnsiTheme="majorBidi" w:cstheme="majorBidi"/>
          <w:sz w:val="24"/>
          <w:szCs w:val="24"/>
        </w:rPr>
        <w:t xml:space="preserve"> </w:t>
      </w:r>
      <w:r w:rsidRPr="00080C34">
        <w:rPr>
          <w:rFonts w:asciiTheme="majorBidi" w:hAnsiTheme="majorBidi" w:cstheme="majorBidi"/>
          <w:i/>
          <w:iCs/>
          <w:sz w:val="24"/>
          <w:szCs w:val="24"/>
        </w:rPr>
        <w:t>insya’i</w:t>
      </w:r>
      <w:r w:rsidRPr="00080C34">
        <w:rPr>
          <w:rFonts w:asciiTheme="majorBidi" w:hAnsiTheme="majorBidi" w:cstheme="majorBidi"/>
          <w:sz w:val="24"/>
          <w:szCs w:val="24"/>
        </w:rPr>
        <w:t>.</w:t>
      </w:r>
    </w:p>
    <w:p w:rsidR="00343B61" w:rsidRPr="00C86419" w:rsidRDefault="00343B61" w:rsidP="00343B61">
      <w:pPr>
        <w:spacing w:after="0" w:line="360" w:lineRule="auto"/>
        <w:ind w:firstLine="720"/>
        <w:jc w:val="both"/>
        <w:rPr>
          <w:rFonts w:asciiTheme="majorBidi" w:hAnsiTheme="majorBidi" w:cstheme="majorBidi"/>
          <w:i/>
          <w:iCs/>
          <w:sz w:val="24"/>
          <w:szCs w:val="24"/>
        </w:rPr>
      </w:pPr>
      <w:r w:rsidRPr="00C86419">
        <w:rPr>
          <w:rFonts w:asciiTheme="majorBidi" w:hAnsiTheme="majorBidi" w:cstheme="majorBidi"/>
          <w:i/>
          <w:iCs/>
          <w:sz w:val="24"/>
          <w:szCs w:val="24"/>
        </w:rPr>
        <w:t>Ijtihā</w:t>
      </w:r>
      <w:r>
        <w:rPr>
          <w:rFonts w:asciiTheme="majorBidi" w:hAnsiTheme="majorBidi" w:cstheme="majorBidi"/>
          <w:i/>
          <w:iCs/>
          <w:sz w:val="24"/>
          <w:szCs w:val="24"/>
        </w:rPr>
        <w:t>d</w:t>
      </w:r>
      <w:r>
        <w:rPr>
          <w:rFonts w:asciiTheme="majorBidi" w:hAnsiTheme="majorBidi" w:cstheme="majorBidi"/>
          <w:sz w:val="24"/>
          <w:szCs w:val="24"/>
        </w:rPr>
        <w:t xml:space="preserve"> </w:t>
      </w:r>
      <w:r w:rsidRPr="00C741AB">
        <w:rPr>
          <w:rFonts w:asciiTheme="majorBidi" w:hAnsiTheme="majorBidi" w:cstheme="majorBidi"/>
          <w:i/>
          <w:iCs/>
          <w:sz w:val="24"/>
          <w:szCs w:val="24"/>
        </w:rPr>
        <w:t>insyāiy</w:t>
      </w:r>
      <w:r w:rsidRPr="007C1369">
        <w:rPr>
          <w:rFonts w:asciiTheme="majorBidi" w:hAnsiTheme="majorBidi" w:cstheme="majorBidi"/>
          <w:sz w:val="24"/>
          <w:szCs w:val="24"/>
        </w:rPr>
        <w:t>(</w:t>
      </w:r>
      <w:r w:rsidRPr="00E53757">
        <w:rPr>
          <w:rFonts w:asciiTheme="majorBidi" w:hAnsiTheme="majorBidi" w:cs="Traditional Arabic"/>
          <w:sz w:val="24"/>
          <w:szCs w:val="24"/>
          <w:rtl/>
        </w:rPr>
        <w:t>الاجتهاد الإنشائي</w:t>
      </w:r>
      <w:r>
        <w:rPr>
          <w:rFonts w:asciiTheme="majorBidi" w:hAnsiTheme="majorBidi" w:cstheme="majorBidi"/>
          <w:sz w:val="24"/>
          <w:szCs w:val="24"/>
        </w:rPr>
        <w:t>)(Ijtiha</w:t>
      </w:r>
      <w:r w:rsidRPr="007C1369">
        <w:rPr>
          <w:rFonts w:asciiTheme="majorBidi" w:hAnsiTheme="majorBidi" w:cstheme="majorBidi"/>
          <w:sz w:val="24"/>
          <w:szCs w:val="24"/>
        </w:rPr>
        <w:t>d konstruktif inovatif), yakni menetapkan hukum atas berbagai masalah baru yang belum pernah dikenal oleh ulama-ulama terdahulu karena memang belum ada pada zaman itu, atau dalam masalah lama tetapi mujtahid kontemporer mempunyai pendapat baru yang belum pernah dikemukakan oleh ulama-ulama terdahulu.</w:t>
      </w:r>
      <w:r w:rsidRPr="007C1369">
        <w:rPr>
          <w:rStyle w:val="FootnoteReference"/>
          <w:rFonts w:asciiTheme="majorBidi" w:hAnsiTheme="majorBidi" w:cstheme="majorBidi"/>
          <w:sz w:val="24"/>
          <w:szCs w:val="24"/>
        </w:rPr>
        <w:footnoteReference w:id="601"/>
      </w:r>
    </w:p>
    <w:p w:rsidR="00343B61" w:rsidRPr="007C1369"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7C1369">
        <w:rPr>
          <w:rFonts w:asciiTheme="majorBidi" w:hAnsiTheme="majorBidi" w:cstheme="majorBidi"/>
          <w:sz w:val="24"/>
          <w:szCs w:val="24"/>
        </w:rPr>
        <w:lastRenderedPageBreak/>
        <w:t>Dalam menghadapi persoalan yang sama sekali baru diperlukan pengetahuan yang sedang dibahas, disamping pengetahuan yang menjadi persyaratan ijti</w:t>
      </w:r>
      <w:r>
        <w:rPr>
          <w:rFonts w:asciiTheme="majorBidi" w:hAnsiTheme="majorBidi" w:cstheme="majorBidi"/>
          <w:sz w:val="24"/>
          <w:szCs w:val="24"/>
        </w:rPr>
        <w:t xml:space="preserve">hâd itu sendiri. Dalam hubungan </w:t>
      </w:r>
      <w:r w:rsidRPr="007C1369">
        <w:rPr>
          <w:rFonts w:asciiTheme="majorBidi" w:hAnsiTheme="majorBidi" w:cstheme="majorBidi"/>
          <w:sz w:val="24"/>
          <w:szCs w:val="24"/>
        </w:rPr>
        <w:t xml:space="preserve">ini, </w:t>
      </w:r>
      <w:r w:rsidRPr="007C1369">
        <w:rPr>
          <w:rFonts w:asciiTheme="majorBidi" w:hAnsiTheme="majorBidi" w:cstheme="majorBidi"/>
          <w:i/>
          <w:iCs/>
          <w:sz w:val="24"/>
          <w:szCs w:val="24"/>
        </w:rPr>
        <w:t>ijtih</w:t>
      </w:r>
      <w:r w:rsidRPr="00C86419">
        <w:rPr>
          <w:rFonts w:asciiTheme="majorBidi" w:hAnsiTheme="majorBidi" w:cstheme="majorBidi"/>
          <w:i/>
          <w:iCs/>
          <w:sz w:val="24"/>
          <w:szCs w:val="24"/>
        </w:rPr>
        <w:t>ā</w:t>
      </w:r>
      <w:r w:rsidRPr="007C1369">
        <w:rPr>
          <w:rFonts w:asciiTheme="majorBidi" w:hAnsiTheme="majorBidi" w:cstheme="majorBidi"/>
          <w:i/>
          <w:iCs/>
          <w:sz w:val="24"/>
          <w:szCs w:val="24"/>
        </w:rPr>
        <w:t>d jam</w:t>
      </w:r>
      <w:r w:rsidRPr="00C86419">
        <w:rPr>
          <w:rFonts w:asciiTheme="majorBidi" w:hAnsiTheme="majorBidi" w:cstheme="majorBidi"/>
          <w:i/>
          <w:iCs/>
          <w:sz w:val="24"/>
          <w:szCs w:val="24"/>
        </w:rPr>
        <w:t>ā</w:t>
      </w:r>
      <w:r>
        <w:t>‘</w:t>
      </w:r>
      <w:r w:rsidRPr="007C1369">
        <w:rPr>
          <w:rFonts w:asciiTheme="majorBidi" w:hAnsiTheme="majorBidi" w:cstheme="majorBidi"/>
          <w:i/>
          <w:iCs/>
          <w:sz w:val="24"/>
          <w:szCs w:val="24"/>
        </w:rPr>
        <w:t xml:space="preserve">iy </w:t>
      </w:r>
      <w:r>
        <w:rPr>
          <w:rFonts w:asciiTheme="majorBidi" w:hAnsiTheme="majorBidi" w:cstheme="majorBidi"/>
          <w:sz w:val="24"/>
          <w:szCs w:val="24"/>
        </w:rPr>
        <w:t>(ijtiha</w:t>
      </w:r>
      <w:r w:rsidRPr="007C1369">
        <w:rPr>
          <w:rFonts w:asciiTheme="majorBidi" w:hAnsiTheme="majorBidi" w:cstheme="majorBidi"/>
          <w:sz w:val="24"/>
          <w:szCs w:val="24"/>
        </w:rPr>
        <w:t xml:space="preserve">d kolektif), sangat diperlukan. Karena keterbatasan pengetahuan seseorang disertai semakin ketatnya disiplin ilmu pada masa sekarang ini, maka </w:t>
      </w:r>
      <w:r w:rsidRPr="007C1369">
        <w:rPr>
          <w:rFonts w:asciiTheme="majorBidi" w:hAnsiTheme="majorBidi" w:cstheme="majorBidi"/>
          <w:i/>
          <w:iCs/>
          <w:sz w:val="24"/>
          <w:szCs w:val="24"/>
        </w:rPr>
        <w:t>ijtih</w:t>
      </w:r>
      <w:r w:rsidRPr="00C86419">
        <w:rPr>
          <w:rFonts w:asciiTheme="majorBidi" w:hAnsiTheme="majorBidi" w:cstheme="majorBidi"/>
          <w:i/>
          <w:iCs/>
          <w:sz w:val="24"/>
          <w:szCs w:val="24"/>
        </w:rPr>
        <w:t>ā</w:t>
      </w:r>
      <w:r w:rsidRPr="007C1369">
        <w:rPr>
          <w:rFonts w:asciiTheme="majorBidi" w:hAnsiTheme="majorBidi" w:cstheme="majorBidi"/>
          <w:i/>
          <w:iCs/>
          <w:sz w:val="24"/>
          <w:szCs w:val="24"/>
        </w:rPr>
        <w:t>d fard</w:t>
      </w:r>
      <w:r w:rsidRPr="0094142F">
        <w:rPr>
          <w:rFonts w:asciiTheme="majorBidi" w:hAnsiTheme="majorBidi" w:cstheme="majorBidi"/>
          <w:i/>
          <w:iCs/>
        </w:rPr>
        <w:t>ī</w:t>
      </w:r>
      <w:r w:rsidRPr="007C1369">
        <w:rPr>
          <w:rFonts w:asciiTheme="majorBidi" w:hAnsiTheme="majorBidi" w:cstheme="majorBidi"/>
          <w:i/>
          <w:iCs/>
          <w:sz w:val="24"/>
          <w:szCs w:val="24"/>
        </w:rPr>
        <w:t xml:space="preserve">y </w:t>
      </w:r>
      <w:r>
        <w:rPr>
          <w:rFonts w:asciiTheme="majorBidi" w:hAnsiTheme="majorBidi" w:cstheme="majorBidi"/>
          <w:sz w:val="24"/>
          <w:szCs w:val="24"/>
        </w:rPr>
        <w:t>(ijtiha</w:t>
      </w:r>
      <w:r w:rsidRPr="007C1369">
        <w:rPr>
          <w:rFonts w:asciiTheme="majorBidi" w:hAnsiTheme="majorBidi" w:cstheme="majorBidi"/>
          <w:sz w:val="24"/>
          <w:szCs w:val="24"/>
        </w:rPr>
        <w:t>d perorangan) mengenai kasus yang sama sekali baru, kemungkinan besar akan</w:t>
      </w:r>
      <w:r>
        <w:rPr>
          <w:rFonts w:asciiTheme="majorBidi" w:hAnsiTheme="majorBidi" w:cstheme="majorBidi"/>
          <w:sz w:val="24"/>
          <w:szCs w:val="24"/>
        </w:rPr>
        <w:t xml:space="preserve"> membawa pada kekeliruan. </w:t>
      </w:r>
    </w:p>
    <w:p w:rsidR="00343B61" w:rsidRPr="003C485E"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Sebagai contoh dapat dikemukakan kasus pencangkokan jaringan atau organ tubuh manusia. Guna menetapkan hukumnya, perlu didengar lebih dahulu pendapat ahli dalam bidang kedokteran, khususnya ahli bedah. Daripadanya akan diperoleh informasi mengenai cara dan mekanisme pencangkokan organ tubuh itu. Setelah diketahui secara jelas perihal pencangkokan itu baru mulai dibahas dari berbagai disiplin ilmu agama Islam, untuk kemudian diambil kesimpulan hukumnya. Kegiatan ijtihâd kolektif ini harus ditempuh, mengingat sudah semakin jelas dan tegasnya pembidangan ilmu yang didalami oleh seseorang.</w:t>
      </w:r>
      <w:r>
        <w:rPr>
          <w:rStyle w:val="FootnoteReference"/>
          <w:rFonts w:ascii="Times New Roman" w:hAnsi="Times New Roman" w:cs="Times New Roman"/>
          <w:sz w:val="24"/>
          <w:szCs w:val="24"/>
        </w:rPr>
        <w:footnoteReference w:id="602"/>
      </w:r>
    </w:p>
    <w:p w:rsidR="00343B61" w:rsidRPr="00A93E45"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Menurut al-Qardhawi</w:t>
      </w:r>
      <w:r w:rsidRPr="00A93E45">
        <w:rPr>
          <w:rFonts w:asciiTheme="majorBidi" w:hAnsiTheme="majorBidi" w:cstheme="majorBidi"/>
          <w:sz w:val="24"/>
          <w:szCs w:val="24"/>
        </w:rPr>
        <w:t>, bila mujtahid masa lalu berbeda pendapat dalam satu masalah sehingga terdapat dua pendapat, maka mujtahid yang datang kemudian boleh memunculkan pendapat yang ketiga. Bila ada tiga pendapat dalam satu masalah yang diijtihâdkan oleh mujtahid masa lalu, maka mujtahid sekarang boleh memunculkan pendapat keempat. Karena adanya beda pendapat itu menunjukan bahwa masalah masalah tersebut dapat menerima berbagai interpretasi dan pendapat mujtahid tidak boleh dibatasi.</w:t>
      </w:r>
      <w:r w:rsidRPr="00A93E45">
        <w:rPr>
          <w:rStyle w:val="FootnoteReference"/>
          <w:rFonts w:asciiTheme="majorBidi" w:hAnsiTheme="majorBidi" w:cstheme="majorBidi"/>
          <w:sz w:val="24"/>
          <w:szCs w:val="24"/>
        </w:rPr>
        <w:footnoteReference w:id="603"/>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heme="majorBidi" w:hAnsiTheme="majorBidi" w:cstheme="majorBidi"/>
          <w:sz w:val="24"/>
          <w:szCs w:val="24"/>
        </w:rPr>
        <w:t>Al-</w:t>
      </w:r>
      <w:r w:rsidRPr="0082707B">
        <w:rPr>
          <w:rFonts w:asciiTheme="majorBidi" w:hAnsiTheme="majorBidi" w:cstheme="majorBidi"/>
          <w:sz w:val="24"/>
          <w:szCs w:val="24"/>
        </w:rPr>
        <w:t>Ā</w:t>
      </w:r>
      <w:r>
        <w:rPr>
          <w:rFonts w:asciiTheme="majorBidi" w:hAnsiTheme="majorBidi" w:cstheme="majorBidi"/>
          <w:sz w:val="24"/>
          <w:szCs w:val="24"/>
        </w:rPr>
        <w:t>mid</w:t>
      </w:r>
      <w:r w:rsidRPr="0082707B">
        <w:rPr>
          <w:rFonts w:asciiTheme="majorBidi" w:hAnsiTheme="majorBidi" w:cstheme="majorBidi"/>
          <w:sz w:val="24"/>
          <w:szCs w:val="24"/>
        </w:rPr>
        <w:t>ī</w:t>
      </w:r>
      <w:r>
        <w:rPr>
          <w:rFonts w:asciiTheme="majorBidi" w:hAnsiTheme="majorBidi" w:cstheme="majorBidi"/>
          <w:sz w:val="24"/>
          <w:szCs w:val="24"/>
        </w:rPr>
        <w:t xml:space="preserve"> (w.</w:t>
      </w:r>
      <w:r w:rsidRPr="00FD71BA">
        <w:rPr>
          <w:rFonts w:asciiTheme="majorBidi" w:hAnsiTheme="majorBidi" w:cstheme="majorBidi"/>
          <w:sz w:val="24"/>
          <w:szCs w:val="24"/>
        </w:rPr>
        <w:t>631H) berpendapat bahwa bila pendapat ketiga itu bertentangan dengan kedua pendapat terdahulu, maka pendapat ketiga tersebut tidak boleh dikemukakan, karena bertentangan dengan ijm</w:t>
      </w:r>
      <w:r>
        <w:rPr>
          <w:rFonts w:asciiTheme="majorBidi" w:hAnsiTheme="majorBidi" w:cstheme="majorBidi"/>
          <w:sz w:val="24"/>
          <w:szCs w:val="24"/>
        </w:rPr>
        <w:t>a</w:t>
      </w:r>
      <w:r w:rsidRPr="00FD71BA">
        <w:rPr>
          <w:rFonts w:asciiTheme="majorBidi" w:hAnsiTheme="majorBidi" w:cstheme="majorBidi"/>
          <w:sz w:val="24"/>
          <w:szCs w:val="24"/>
        </w:rPr>
        <w:t xml:space="preserve">’. Namun, bila </w:t>
      </w:r>
      <w:r w:rsidRPr="00FD71BA">
        <w:rPr>
          <w:rFonts w:asciiTheme="majorBidi" w:hAnsiTheme="majorBidi" w:cstheme="majorBidi"/>
          <w:sz w:val="24"/>
          <w:szCs w:val="24"/>
        </w:rPr>
        <w:lastRenderedPageBreak/>
        <w:t>pendapat ketiga itu sejalan (relevan) dengan kedua pendapat terdahulu, maka pendapat itu boleh diajukan, karena tidak bertentangan dengan ijmâ’</w:t>
      </w:r>
      <w:r w:rsidRPr="00C63156">
        <w:rPr>
          <w:rFonts w:ascii="Times New Roman" w:hAnsi="Times New Roman" w:cs="Times New Roman"/>
          <w:sz w:val="24"/>
          <w:szCs w:val="24"/>
        </w:rPr>
        <w:t>.</w:t>
      </w:r>
      <w:r>
        <w:rPr>
          <w:rStyle w:val="FootnoteReference"/>
          <w:rFonts w:ascii="Times New Roman" w:hAnsi="Times New Roman" w:cs="Times New Roman"/>
          <w:sz w:val="24"/>
          <w:szCs w:val="24"/>
        </w:rPr>
        <w:footnoteReference w:id="604"/>
      </w:r>
    </w:p>
    <w:p w:rsidR="00343B61" w:rsidRPr="00FF5DAC"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FF5DAC">
        <w:rPr>
          <w:rFonts w:asciiTheme="majorBidi" w:hAnsiTheme="majorBidi" w:cstheme="majorBidi"/>
          <w:sz w:val="24"/>
          <w:szCs w:val="24"/>
        </w:rPr>
        <w:t>Dari paparan di atas kiranya dapat diketahui bagaimana proses dan prosedur penetapan fatwa yang dilakukan oleh MUI. Jika dirincikan proses dan prosedur tersebut adalah sebagai berikut:</w:t>
      </w:r>
    </w:p>
    <w:p w:rsidR="00343B61" w:rsidRPr="00FF5DAC" w:rsidRDefault="00343B61" w:rsidP="00343B61">
      <w:pPr>
        <w:autoSpaceDE w:val="0"/>
        <w:autoSpaceDN w:val="0"/>
        <w:adjustRightInd w:val="0"/>
        <w:spacing w:after="0" w:line="360" w:lineRule="auto"/>
        <w:ind w:left="270" w:hanging="270"/>
        <w:jc w:val="both"/>
        <w:rPr>
          <w:rFonts w:asciiTheme="majorBidi" w:hAnsiTheme="majorBidi" w:cstheme="majorBidi"/>
          <w:sz w:val="24"/>
          <w:szCs w:val="24"/>
        </w:rPr>
      </w:pPr>
      <w:r>
        <w:rPr>
          <w:rFonts w:asciiTheme="majorBidi" w:hAnsiTheme="majorBidi" w:cstheme="majorBidi"/>
          <w:sz w:val="24"/>
          <w:szCs w:val="24"/>
        </w:rPr>
        <w:t xml:space="preserve">i. </w:t>
      </w:r>
      <w:r w:rsidRPr="00FF5DAC">
        <w:rPr>
          <w:rFonts w:asciiTheme="majorBidi" w:hAnsiTheme="majorBidi" w:cstheme="majorBidi"/>
          <w:sz w:val="24"/>
          <w:szCs w:val="24"/>
        </w:rPr>
        <w:t>Pengkajian masalah. Di sini Komisi Fatwa dituntut terlebih dahulu untuk mengetahui dengan jelas hakikat dan duduk masalahnya. Jika masalahnya merupakan masalah baru dan memerlukan penjelasan dari ahlinya, maka ahli yang bersangkutan mesti didengarkan penjelasannya.</w:t>
      </w:r>
    </w:p>
    <w:p w:rsidR="00343B61" w:rsidRPr="00FF5DAC" w:rsidRDefault="00343B61" w:rsidP="00343B61">
      <w:pPr>
        <w:autoSpaceDE w:val="0"/>
        <w:autoSpaceDN w:val="0"/>
        <w:adjustRightInd w:val="0"/>
        <w:spacing w:after="0" w:line="360" w:lineRule="auto"/>
        <w:ind w:left="270" w:hanging="270"/>
        <w:jc w:val="both"/>
        <w:rPr>
          <w:rFonts w:asciiTheme="majorBidi" w:hAnsiTheme="majorBidi" w:cstheme="majorBidi"/>
          <w:sz w:val="24"/>
          <w:szCs w:val="24"/>
        </w:rPr>
      </w:pPr>
      <w:r>
        <w:rPr>
          <w:rFonts w:asciiTheme="majorBidi" w:hAnsiTheme="majorBidi" w:cstheme="majorBidi"/>
          <w:sz w:val="24"/>
          <w:szCs w:val="24"/>
        </w:rPr>
        <w:t xml:space="preserve">ii. </w:t>
      </w:r>
      <w:r w:rsidRPr="00FF5DAC">
        <w:rPr>
          <w:rFonts w:asciiTheme="majorBidi" w:hAnsiTheme="majorBidi" w:cstheme="majorBidi"/>
          <w:sz w:val="24"/>
          <w:szCs w:val="24"/>
        </w:rPr>
        <w:t xml:space="preserve">Selanjutnya, setelah jelas permasalahannya, ditentukan apakah ia termasuk ke dalam kategori hukum </w:t>
      </w:r>
      <w:r w:rsidRPr="00C741AB">
        <w:rPr>
          <w:rFonts w:asciiTheme="majorBidi" w:hAnsiTheme="majorBidi" w:cstheme="majorBidi"/>
          <w:i/>
          <w:iCs/>
          <w:sz w:val="24"/>
          <w:szCs w:val="24"/>
        </w:rPr>
        <w:t xml:space="preserve">qaṭ'iyyāt </w:t>
      </w:r>
      <w:r w:rsidRPr="00FF5DAC">
        <w:rPr>
          <w:rFonts w:asciiTheme="majorBidi" w:hAnsiTheme="majorBidi" w:cstheme="majorBidi"/>
          <w:sz w:val="24"/>
          <w:szCs w:val="24"/>
        </w:rPr>
        <w:t xml:space="preserve">atau bukan. Jika termasuk kategori </w:t>
      </w:r>
      <w:r w:rsidRPr="00C741AB">
        <w:rPr>
          <w:rFonts w:asciiTheme="majorBidi" w:hAnsiTheme="majorBidi" w:cstheme="majorBidi"/>
          <w:i/>
          <w:iCs/>
          <w:sz w:val="24"/>
          <w:szCs w:val="24"/>
        </w:rPr>
        <w:t>qaṭ'iyyāt</w:t>
      </w:r>
      <w:r w:rsidRPr="00FF5DAC">
        <w:rPr>
          <w:rFonts w:asciiTheme="majorBidi" w:hAnsiTheme="majorBidi" w:cstheme="majorBidi"/>
          <w:i/>
          <w:iCs/>
          <w:sz w:val="24"/>
          <w:szCs w:val="24"/>
        </w:rPr>
        <w:t>,</w:t>
      </w:r>
      <w:r w:rsidRPr="00FF5DAC">
        <w:rPr>
          <w:rFonts w:asciiTheme="majorBidi" w:hAnsiTheme="majorBidi" w:cstheme="majorBidi"/>
          <w:sz w:val="24"/>
          <w:szCs w:val="24"/>
        </w:rPr>
        <w:t xml:space="preserve"> demikian juga jika telah ada ijma', Komisi Fatwa menetapkan fatwa sebagaimana adanya. Jika tidak termasuk dalam kategori </w:t>
      </w:r>
      <w:r w:rsidRPr="00C741AB">
        <w:rPr>
          <w:rFonts w:asciiTheme="majorBidi" w:hAnsiTheme="majorBidi" w:cstheme="majorBidi"/>
          <w:i/>
          <w:iCs/>
          <w:sz w:val="24"/>
          <w:szCs w:val="24"/>
        </w:rPr>
        <w:t>qaṭ'iyyāt</w:t>
      </w:r>
      <w:r w:rsidRPr="00FF5DAC">
        <w:rPr>
          <w:rFonts w:asciiTheme="majorBidi" w:hAnsiTheme="majorBidi" w:cstheme="majorBidi"/>
          <w:sz w:val="24"/>
          <w:szCs w:val="24"/>
        </w:rPr>
        <w:t>, Komisi Fatwa selanjutnya melakukan ijtihad.</w:t>
      </w:r>
    </w:p>
    <w:p w:rsidR="00343B61" w:rsidRPr="00C741AB" w:rsidRDefault="00343B61" w:rsidP="00343B61">
      <w:pPr>
        <w:spacing w:line="360" w:lineRule="auto"/>
        <w:ind w:left="270" w:hanging="360"/>
        <w:jc w:val="both"/>
        <w:rPr>
          <w:rFonts w:asciiTheme="majorBidi" w:hAnsiTheme="majorBidi" w:cstheme="majorBidi"/>
          <w:i/>
          <w:iCs/>
          <w:sz w:val="24"/>
          <w:szCs w:val="24"/>
        </w:rPr>
      </w:pPr>
      <w:r>
        <w:rPr>
          <w:rFonts w:asciiTheme="majorBidi" w:hAnsiTheme="majorBidi" w:cstheme="majorBidi"/>
          <w:sz w:val="24"/>
          <w:szCs w:val="24"/>
        </w:rPr>
        <w:t xml:space="preserve">iii. </w:t>
      </w:r>
      <w:r w:rsidRPr="00FF5DAC">
        <w:rPr>
          <w:rFonts w:asciiTheme="majorBidi" w:hAnsiTheme="majorBidi" w:cstheme="majorBidi"/>
          <w:sz w:val="24"/>
          <w:szCs w:val="24"/>
        </w:rPr>
        <w:t xml:space="preserve">Dalam melakukan ijtihad, Komisi Fatwa dapat menempuh ijtihad </w:t>
      </w:r>
      <w:r w:rsidRPr="00C741AB">
        <w:rPr>
          <w:rFonts w:asciiTheme="majorBidi" w:hAnsiTheme="majorBidi" w:cstheme="majorBidi"/>
          <w:i/>
          <w:iCs/>
          <w:sz w:val="24"/>
          <w:szCs w:val="24"/>
        </w:rPr>
        <w:t>insyā’</w:t>
      </w:r>
      <w:r w:rsidRPr="00FD1755">
        <w:rPr>
          <w:rFonts w:asciiTheme="majorBidi" w:hAnsiTheme="majorBidi" w:cstheme="majorBidi"/>
          <w:bCs/>
          <w:i/>
          <w:iCs/>
          <w:sz w:val="24"/>
          <w:szCs w:val="24"/>
        </w:rPr>
        <w:t>ī</w:t>
      </w:r>
      <w:r w:rsidRPr="00C741AB">
        <w:rPr>
          <w:rFonts w:asciiTheme="majorBidi" w:hAnsiTheme="majorBidi" w:cstheme="majorBidi"/>
          <w:i/>
          <w:iCs/>
          <w:sz w:val="24"/>
          <w:szCs w:val="24"/>
        </w:rPr>
        <w:t>'</w:t>
      </w:r>
      <w:r w:rsidRPr="00C741AB">
        <w:rPr>
          <w:rFonts w:asciiTheme="majorBidi" w:hAnsiTheme="majorBidi" w:cstheme="majorBidi"/>
          <w:sz w:val="24"/>
          <w:szCs w:val="24"/>
        </w:rPr>
        <w:t xml:space="preserve"> </w:t>
      </w:r>
      <w:r w:rsidRPr="00FF5DAC">
        <w:rPr>
          <w:rFonts w:asciiTheme="majorBidi" w:hAnsiTheme="majorBidi" w:cstheme="majorBidi"/>
          <w:sz w:val="24"/>
          <w:szCs w:val="24"/>
        </w:rPr>
        <w:t xml:space="preserve">dan dapat pula melakukan ijtihad </w:t>
      </w:r>
      <w:r w:rsidRPr="00FF5DAC">
        <w:rPr>
          <w:rFonts w:asciiTheme="majorBidi" w:hAnsiTheme="majorBidi" w:cstheme="majorBidi"/>
          <w:i/>
          <w:iCs/>
          <w:sz w:val="24"/>
          <w:szCs w:val="24"/>
        </w:rPr>
        <w:t>intiq</w:t>
      </w:r>
      <w:r w:rsidRPr="00C741AB">
        <w:rPr>
          <w:rFonts w:asciiTheme="majorBidi" w:hAnsiTheme="majorBidi" w:cstheme="majorBidi"/>
          <w:i/>
          <w:iCs/>
          <w:sz w:val="24"/>
          <w:szCs w:val="24"/>
        </w:rPr>
        <w:t>ā</w:t>
      </w:r>
      <w:r w:rsidRPr="00FF5DAC">
        <w:rPr>
          <w:rFonts w:asciiTheme="majorBidi" w:hAnsiTheme="majorBidi" w:cstheme="majorBidi"/>
          <w:i/>
          <w:iCs/>
          <w:sz w:val="24"/>
          <w:szCs w:val="24"/>
        </w:rPr>
        <w:t>’</w:t>
      </w:r>
      <w:r w:rsidRPr="00FD1755">
        <w:rPr>
          <w:rFonts w:asciiTheme="majorBidi" w:hAnsiTheme="majorBidi" w:cstheme="majorBidi"/>
          <w:bCs/>
          <w:i/>
          <w:iCs/>
          <w:sz w:val="24"/>
          <w:szCs w:val="24"/>
        </w:rPr>
        <w:t>ī</w:t>
      </w:r>
      <w:r w:rsidRPr="00FF5DAC">
        <w:rPr>
          <w:rFonts w:asciiTheme="majorBidi" w:hAnsiTheme="majorBidi" w:cstheme="majorBidi"/>
          <w:i/>
          <w:iCs/>
          <w:sz w:val="24"/>
          <w:szCs w:val="24"/>
        </w:rPr>
        <w:t>.</w:t>
      </w:r>
      <w:r w:rsidRPr="00FF5DAC">
        <w:rPr>
          <w:rFonts w:asciiTheme="majorBidi" w:hAnsiTheme="majorBidi" w:cstheme="majorBidi"/>
          <w:sz w:val="24"/>
          <w:szCs w:val="24"/>
        </w:rPr>
        <w:t xml:space="preserve"> Dalam hal ijtihad terakhir ini, MUI menggunakan pendekatan </w:t>
      </w:r>
      <w:r w:rsidRPr="00FF5DAC">
        <w:rPr>
          <w:rFonts w:asciiTheme="majorBidi" w:hAnsiTheme="majorBidi" w:cstheme="majorBidi"/>
          <w:i/>
          <w:iCs/>
          <w:sz w:val="24"/>
          <w:szCs w:val="24"/>
        </w:rPr>
        <w:t>muqaranah al-madz</w:t>
      </w:r>
      <w:r w:rsidRPr="00C86419">
        <w:rPr>
          <w:rFonts w:asciiTheme="majorBidi" w:hAnsiTheme="majorBidi" w:cstheme="majorBidi"/>
          <w:i/>
          <w:iCs/>
          <w:sz w:val="24"/>
          <w:szCs w:val="24"/>
        </w:rPr>
        <w:t>ā</w:t>
      </w:r>
      <w:r w:rsidRPr="00FF5DAC">
        <w:rPr>
          <w:rFonts w:asciiTheme="majorBidi" w:hAnsiTheme="majorBidi" w:cstheme="majorBidi"/>
          <w:i/>
          <w:iCs/>
          <w:sz w:val="24"/>
          <w:szCs w:val="24"/>
        </w:rPr>
        <w:t>hib.</w:t>
      </w:r>
      <w:r w:rsidRPr="00FF5DAC">
        <w:rPr>
          <w:rFonts w:asciiTheme="majorBidi" w:hAnsiTheme="majorBidi" w:cstheme="majorBidi"/>
          <w:sz w:val="24"/>
          <w:szCs w:val="24"/>
        </w:rPr>
        <w:t xml:space="preserve"> </w:t>
      </w:r>
      <w:r w:rsidRPr="00C86419">
        <w:rPr>
          <w:rFonts w:asciiTheme="majorBidi" w:hAnsiTheme="majorBidi" w:cstheme="majorBidi"/>
          <w:i/>
          <w:iCs/>
          <w:sz w:val="24"/>
          <w:szCs w:val="24"/>
        </w:rPr>
        <w:t>ijtihā</w:t>
      </w:r>
      <w:r>
        <w:rPr>
          <w:rFonts w:asciiTheme="majorBidi" w:hAnsiTheme="majorBidi" w:cstheme="majorBidi"/>
          <w:i/>
          <w:iCs/>
          <w:sz w:val="24"/>
          <w:szCs w:val="24"/>
        </w:rPr>
        <w:t xml:space="preserve">d </w:t>
      </w:r>
      <w:r w:rsidRPr="00C86419">
        <w:rPr>
          <w:rFonts w:asciiTheme="majorBidi" w:hAnsiTheme="majorBidi" w:cstheme="majorBidi"/>
          <w:i/>
          <w:iCs/>
          <w:sz w:val="24"/>
          <w:szCs w:val="24"/>
        </w:rPr>
        <w:t>intiqā</w:t>
      </w:r>
      <w:r w:rsidRPr="00FD1755">
        <w:rPr>
          <w:rFonts w:asciiTheme="majorBidi" w:hAnsiTheme="majorBidi" w:cstheme="majorBidi"/>
          <w:bCs/>
          <w:i/>
          <w:iCs/>
          <w:sz w:val="24"/>
          <w:szCs w:val="24"/>
        </w:rPr>
        <w:t>ī</w:t>
      </w:r>
      <w:r w:rsidRPr="00C86419">
        <w:rPr>
          <w:rFonts w:asciiTheme="majorBidi" w:hAnsiTheme="majorBidi" w:cstheme="majorBidi"/>
          <w:i/>
          <w:iCs/>
          <w:sz w:val="24"/>
          <w:szCs w:val="24"/>
        </w:rPr>
        <w:t>y</w:t>
      </w:r>
      <w:r>
        <w:rPr>
          <w:rFonts w:asciiTheme="majorBidi" w:hAnsiTheme="majorBidi" w:cstheme="majorBidi"/>
          <w:i/>
          <w:iCs/>
          <w:sz w:val="24"/>
          <w:szCs w:val="24"/>
        </w:rPr>
        <w:t xml:space="preserve"> </w:t>
      </w:r>
      <w:r w:rsidRPr="00FF5DAC">
        <w:rPr>
          <w:rFonts w:asciiTheme="majorBidi" w:hAnsiTheme="majorBidi" w:cstheme="majorBidi"/>
          <w:sz w:val="24"/>
          <w:szCs w:val="24"/>
        </w:rPr>
        <w:t xml:space="preserve">dilakukan untuk memilih pendapat para ahli fiqh terdahulu mengenai masalah-masalah tertentu, sebagaimana tertulis dalam dalam berbagai buku fiqh, kemudian menyeleksi mana yang lebih kuat dalilnya dan lebih relevan dengan kondisi sekarang. Sedangkan </w:t>
      </w:r>
      <w:r w:rsidRPr="00C86419">
        <w:rPr>
          <w:rFonts w:asciiTheme="majorBidi" w:hAnsiTheme="majorBidi" w:cstheme="majorBidi"/>
          <w:i/>
          <w:iCs/>
          <w:sz w:val="24"/>
          <w:szCs w:val="24"/>
        </w:rPr>
        <w:t>ijtihā</w:t>
      </w:r>
      <w:r>
        <w:rPr>
          <w:rFonts w:asciiTheme="majorBidi" w:hAnsiTheme="majorBidi" w:cstheme="majorBidi"/>
          <w:i/>
          <w:iCs/>
          <w:sz w:val="24"/>
          <w:szCs w:val="24"/>
        </w:rPr>
        <w:t xml:space="preserve">d </w:t>
      </w:r>
      <w:r w:rsidRPr="00FF5DAC">
        <w:rPr>
          <w:rFonts w:asciiTheme="majorBidi" w:hAnsiTheme="majorBidi" w:cstheme="majorBidi"/>
          <w:i/>
          <w:iCs/>
          <w:sz w:val="24"/>
          <w:szCs w:val="24"/>
        </w:rPr>
        <w:t>insy</w:t>
      </w:r>
      <w:r w:rsidRPr="00C86419">
        <w:rPr>
          <w:rFonts w:asciiTheme="majorBidi" w:hAnsiTheme="majorBidi" w:cstheme="majorBidi"/>
          <w:i/>
          <w:iCs/>
          <w:sz w:val="24"/>
          <w:szCs w:val="24"/>
        </w:rPr>
        <w:t>ā</w:t>
      </w:r>
      <w:r w:rsidRPr="00FD1755">
        <w:rPr>
          <w:rFonts w:asciiTheme="majorBidi" w:hAnsiTheme="majorBidi" w:cstheme="majorBidi"/>
          <w:bCs/>
          <w:i/>
          <w:iCs/>
          <w:sz w:val="24"/>
          <w:szCs w:val="24"/>
        </w:rPr>
        <w:t>ī</w:t>
      </w:r>
      <w:r w:rsidRPr="00C86419">
        <w:rPr>
          <w:rFonts w:asciiTheme="majorBidi" w:hAnsiTheme="majorBidi" w:cstheme="majorBidi"/>
          <w:i/>
          <w:iCs/>
          <w:sz w:val="24"/>
          <w:szCs w:val="24"/>
        </w:rPr>
        <w:t>y</w:t>
      </w:r>
      <w:r w:rsidRPr="00FF5DAC">
        <w:rPr>
          <w:rFonts w:asciiTheme="majorBidi" w:hAnsiTheme="majorBidi" w:cstheme="majorBidi"/>
          <w:sz w:val="24"/>
          <w:szCs w:val="24"/>
        </w:rPr>
        <w:t xml:space="preserve"> dilakukan untuk mengambil kesimpulan hukum mengenai peristiwa-peristiwa baru yang belum diselesaikan oleh ahli fiqh terdahulu.</w:t>
      </w:r>
    </w:p>
    <w:p w:rsidR="00343B61" w:rsidRPr="003B152D" w:rsidRDefault="00343B61" w:rsidP="002C0A33">
      <w:pPr>
        <w:pStyle w:val="ListParagraph"/>
        <w:numPr>
          <w:ilvl w:val="0"/>
          <w:numId w:val="38"/>
        </w:numPr>
        <w:tabs>
          <w:tab w:val="left" w:pos="1620"/>
        </w:tabs>
        <w:spacing w:line="360" w:lineRule="auto"/>
        <w:ind w:left="540" w:hanging="540"/>
        <w:rPr>
          <w:rFonts w:asciiTheme="majorBidi" w:hAnsiTheme="majorBidi" w:cstheme="majorBidi"/>
          <w:sz w:val="24"/>
          <w:szCs w:val="24"/>
        </w:rPr>
      </w:pPr>
      <w:r w:rsidRPr="003B152D">
        <w:rPr>
          <w:rFonts w:asciiTheme="majorBidi" w:hAnsiTheme="majorBidi" w:cstheme="majorBidi"/>
          <w:sz w:val="24"/>
          <w:szCs w:val="24"/>
        </w:rPr>
        <w:t xml:space="preserve">Kedudukan </w:t>
      </w:r>
      <w:r w:rsidRPr="003F21B9">
        <w:rPr>
          <w:rFonts w:asciiTheme="majorBidi" w:hAnsiTheme="majorBidi" w:cstheme="majorBidi"/>
          <w:i/>
          <w:iCs/>
          <w:sz w:val="24"/>
          <w:szCs w:val="24"/>
        </w:rPr>
        <w:t>Siyāsah Syar’iyah</w:t>
      </w:r>
      <w:r w:rsidRPr="003B152D">
        <w:rPr>
          <w:rFonts w:asciiTheme="majorBidi" w:hAnsiTheme="majorBidi" w:cstheme="majorBidi"/>
          <w:sz w:val="24"/>
          <w:szCs w:val="24"/>
        </w:rPr>
        <w:t xml:space="preserve"> dalam Fatwa MUI </w:t>
      </w:r>
    </w:p>
    <w:p w:rsidR="00343B61" w:rsidRPr="00D814C3" w:rsidRDefault="00343B61" w:rsidP="00343B61">
      <w:pPr>
        <w:pStyle w:val="ListParagraph"/>
        <w:spacing w:line="360" w:lineRule="auto"/>
        <w:ind w:left="0" w:firstLine="720"/>
        <w:jc w:val="both"/>
        <w:rPr>
          <w:rFonts w:asciiTheme="majorBidi" w:hAnsiTheme="majorBidi" w:cstheme="majorBidi"/>
          <w:i/>
          <w:iCs/>
        </w:rPr>
      </w:pPr>
      <w:r w:rsidRPr="00882C83">
        <w:rPr>
          <w:rFonts w:asciiTheme="majorBidi" w:hAnsiTheme="majorBidi" w:cstheme="majorBidi"/>
          <w:sz w:val="24"/>
          <w:szCs w:val="24"/>
        </w:rPr>
        <w:t xml:space="preserve">Sebagaimana pembahasan dalam bab sebelumnya, </w:t>
      </w:r>
      <w:r w:rsidRPr="007A614E">
        <w:rPr>
          <w:rFonts w:asciiTheme="majorBidi" w:hAnsiTheme="majorBidi" w:cstheme="majorBidi"/>
          <w:i/>
          <w:iCs/>
          <w:sz w:val="24"/>
          <w:szCs w:val="24"/>
        </w:rPr>
        <w:t>siy</w:t>
      </w:r>
      <w:r w:rsidRPr="007A614E">
        <w:rPr>
          <w:rFonts w:asciiTheme="majorBidi" w:hAnsiTheme="majorBidi" w:cstheme="majorBidi"/>
          <w:i/>
          <w:iCs/>
        </w:rPr>
        <w:t>ā</w:t>
      </w:r>
      <w:r>
        <w:rPr>
          <w:rFonts w:asciiTheme="majorBidi" w:hAnsiTheme="majorBidi" w:cstheme="majorBidi"/>
          <w:i/>
          <w:iCs/>
          <w:sz w:val="24"/>
          <w:szCs w:val="24"/>
        </w:rPr>
        <w:t xml:space="preserve">sah </w:t>
      </w:r>
      <w:r w:rsidRPr="007A614E">
        <w:rPr>
          <w:rFonts w:asciiTheme="majorBidi" w:hAnsiTheme="majorBidi" w:cstheme="majorBidi"/>
          <w:i/>
          <w:iCs/>
          <w:sz w:val="24"/>
          <w:szCs w:val="24"/>
        </w:rPr>
        <w:t>syar</w:t>
      </w:r>
      <w:r>
        <w:t>‘</w:t>
      </w:r>
      <w:r w:rsidRPr="007A614E">
        <w:rPr>
          <w:rFonts w:asciiTheme="majorBidi" w:hAnsiTheme="majorBidi" w:cstheme="majorBidi"/>
          <w:i/>
          <w:iCs/>
          <w:sz w:val="24"/>
          <w:szCs w:val="24"/>
        </w:rPr>
        <w:t>i</w:t>
      </w:r>
      <w:r>
        <w:rPr>
          <w:rFonts w:asciiTheme="majorBidi" w:hAnsiTheme="majorBidi" w:cstheme="majorBidi"/>
          <w:i/>
          <w:iCs/>
          <w:sz w:val="24"/>
          <w:szCs w:val="24"/>
        </w:rPr>
        <w:t>y</w:t>
      </w:r>
      <w:r w:rsidRPr="007A614E">
        <w:rPr>
          <w:rFonts w:asciiTheme="majorBidi" w:hAnsiTheme="majorBidi" w:cstheme="majorBidi"/>
          <w:i/>
          <w:iCs/>
          <w:sz w:val="24"/>
          <w:szCs w:val="24"/>
        </w:rPr>
        <w:t>yah</w:t>
      </w:r>
      <w:r w:rsidRPr="007A614E">
        <w:rPr>
          <w:rFonts w:asciiTheme="majorBidi" w:hAnsiTheme="majorBidi" w:cstheme="majorBidi"/>
          <w:sz w:val="24"/>
          <w:szCs w:val="24"/>
        </w:rPr>
        <w:t xml:space="preserve"> mempunyai korelasi dengan </w:t>
      </w:r>
      <w:r w:rsidRPr="007A614E">
        <w:rPr>
          <w:rFonts w:asciiTheme="majorBidi" w:hAnsiTheme="majorBidi" w:cstheme="majorBidi"/>
          <w:i/>
          <w:iCs/>
          <w:sz w:val="24"/>
          <w:szCs w:val="24"/>
        </w:rPr>
        <w:t>maqāṣid al-sharī</w:t>
      </w:r>
      <w:r>
        <w:t>‘</w:t>
      </w:r>
      <w:r w:rsidRPr="007A614E">
        <w:rPr>
          <w:rFonts w:asciiTheme="majorBidi" w:hAnsiTheme="majorBidi" w:cstheme="majorBidi"/>
          <w:i/>
          <w:iCs/>
          <w:sz w:val="24"/>
          <w:szCs w:val="24"/>
        </w:rPr>
        <w:t>ah</w:t>
      </w:r>
      <w:r w:rsidRPr="007A614E">
        <w:rPr>
          <w:rFonts w:asciiTheme="majorBidi" w:hAnsiTheme="majorBidi" w:cstheme="majorBidi"/>
          <w:sz w:val="24"/>
          <w:szCs w:val="24"/>
        </w:rPr>
        <w:t xml:space="preserve">, terutama prinsip kemaslahatan. Seluruh fatwa Majelis Ulama Indonesia, ditetapkan dengan memperhatikan aspek kemaslahatan, bagi </w:t>
      </w:r>
      <w:r w:rsidRPr="00217E5B">
        <w:rPr>
          <w:rFonts w:asciiTheme="majorBidi" w:hAnsiTheme="majorBidi" w:cstheme="majorBidi"/>
          <w:i/>
          <w:iCs/>
          <w:sz w:val="24"/>
          <w:szCs w:val="24"/>
        </w:rPr>
        <w:t>mustaft</w:t>
      </w:r>
      <w:r w:rsidRPr="007A614E">
        <w:rPr>
          <w:rFonts w:asciiTheme="majorBidi" w:hAnsiTheme="majorBidi" w:cstheme="majorBidi"/>
          <w:i/>
          <w:iCs/>
          <w:sz w:val="24"/>
          <w:szCs w:val="24"/>
        </w:rPr>
        <w:t>ī</w:t>
      </w:r>
      <w:r w:rsidRPr="007A614E">
        <w:rPr>
          <w:rFonts w:asciiTheme="majorBidi" w:hAnsiTheme="majorBidi" w:cstheme="majorBidi"/>
          <w:sz w:val="24"/>
          <w:szCs w:val="24"/>
        </w:rPr>
        <w:t xml:space="preserve"> secara khusus dan bagi masyarakat secara umum.</w:t>
      </w:r>
      <w:r>
        <w:rPr>
          <w:rFonts w:asciiTheme="majorBidi" w:hAnsiTheme="majorBidi" w:cstheme="majorBidi"/>
          <w:sz w:val="24"/>
          <w:szCs w:val="24"/>
        </w:rPr>
        <w:t xml:space="preserve"> </w:t>
      </w:r>
      <w:r w:rsidRPr="00D814C3">
        <w:rPr>
          <w:rFonts w:asciiTheme="majorBidi" w:hAnsiTheme="majorBidi" w:cstheme="majorBidi"/>
          <w:sz w:val="24"/>
          <w:szCs w:val="24"/>
        </w:rPr>
        <w:lastRenderedPageBreak/>
        <w:t>Namun, tidak adanya patokan yang jelas mengenai ihwal maslahat yang dapat dijadikan pijakan dan pertimbangan dalam penetapan hukum, melahirkan gejala sosial yang</w:t>
      </w:r>
      <w:r>
        <w:rPr>
          <w:rFonts w:asciiTheme="majorBidi" w:hAnsiTheme="majorBidi" w:cstheme="majorBidi"/>
          <w:sz w:val="24"/>
          <w:szCs w:val="24"/>
        </w:rPr>
        <w:t xml:space="preserve"> kurang menguntungkan. </w:t>
      </w:r>
      <w:r w:rsidRPr="00D814C3">
        <w:rPr>
          <w:rFonts w:asciiTheme="majorBidi" w:hAnsiTheme="majorBidi" w:cstheme="majorBidi"/>
          <w:sz w:val="24"/>
          <w:szCs w:val="24"/>
        </w:rPr>
        <w:t>Sebagian orang mengklaim demi kemaslahatan sering kali menabrak ketentuan-ketentuan yang sudah baku.</w:t>
      </w:r>
    </w:p>
    <w:p w:rsidR="00343B61" w:rsidRPr="00882C83" w:rsidRDefault="00343B61" w:rsidP="00343B61">
      <w:pPr>
        <w:pStyle w:val="ListParagraph"/>
        <w:tabs>
          <w:tab w:val="left" w:pos="1620"/>
        </w:tabs>
        <w:spacing w:line="360" w:lineRule="auto"/>
        <w:ind w:left="90" w:firstLine="540"/>
        <w:jc w:val="both"/>
        <w:rPr>
          <w:rFonts w:asciiTheme="majorBidi" w:hAnsiTheme="majorBidi" w:cstheme="majorBidi"/>
          <w:sz w:val="24"/>
          <w:szCs w:val="24"/>
        </w:rPr>
      </w:pPr>
      <w:r w:rsidRPr="00882C83">
        <w:rPr>
          <w:rFonts w:asciiTheme="majorBidi" w:hAnsiTheme="majorBidi" w:cstheme="majorBidi"/>
          <w:sz w:val="24"/>
          <w:szCs w:val="24"/>
        </w:rPr>
        <w:t xml:space="preserve">Menyikapi masalah ini, Komisi Fatwa Majelis Ulama Indonesia merumuskan suatu kriteria apakah sesuatu itu masuk dalam kategori </w:t>
      </w:r>
      <w:r>
        <w:rPr>
          <w:rFonts w:asciiTheme="majorBidi" w:hAnsiTheme="majorBidi" w:cstheme="majorBidi"/>
          <w:sz w:val="24"/>
          <w:szCs w:val="24"/>
        </w:rPr>
        <w:t>Maslahah</w:t>
      </w:r>
      <w:r w:rsidRPr="00882C83">
        <w:rPr>
          <w:rFonts w:asciiTheme="majorBidi" w:hAnsiTheme="majorBidi" w:cstheme="majorBidi"/>
          <w:sz w:val="24"/>
          <w:szCs w:val="24"/>
        </w:rPr>
        <w:t xml:space="preserve"> yang dapat dijadikan landasan penetapan hukum atau tidak, serta ihwal otoritas penentunya. Melalui fatwa Munas VII Majelis Ulama Indonesia Nomor: 6/MUNAS VII/MUI/10/2005, tanggal 19 -22 Jumadil Akhir 1426 H / 26-29 Juli 2005 M, Komisi Fatwa menetapkan kriteria mashlahat sebagai berikut </w:t>
      </w:r>
      <w:r w:rsidRPr="00882C83">
        <w:rPr>
          <w:rStyle w:val="FootnoteReference"/>
          <w:rFonts w:asciiTheme="majorBidi" w:hAnsiTheme="majorBidi" w:cstheme="majorBidi"/>
          <w:sz w:val="24"/>
          <w:szCs w:val="24"/>
        </w:rPr>
        <w:footnoteReference w:id="605"/>
      </w:r>
      <w:r w:rsidRPr="00882C83">
        <w:rPr>
          <w:rFonts w:asciiTheme="majorBidi" w:hAnsiTheme="majorBidi" w:cstheme="majorBidi"/>
          <w:sz w:val="24"/>
          <w:szCs w:val="24"/>
        </w:rPr>
        <w:t>:</w:t>
      </w:r>
    </w:p>
    <w:p w:rsidR="00343B61" w:rsidRPr="00D814C3" w:rsidRDefault="00343B61" w:rsidP="002C0A33">
      <w:pPr>
        <w:pStyle w:val="ListParagraph"/>
        <w:numPr>
          <w:ilvl w:val="0"/>
          <w:numId w:val="40"/>
        </w:numPr>
        <w:spacing w:line="360" w:lineRule="auto"/>
        <w:jc w:val="both"/>
        <w:rPr>
          <w:rFonts w:asciiTheme="majorBidi" w:hAnsiTheme="majorBidi" w:cstheme="majorBidi"/>
          <w:i/>
          <w:iCs/>
          <w:sz w:val="24"/>
          <w:szCs w:val="24"/>
        </w:rPr>
      </w:pP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 xml:space="preserve">ah </w:t>
      </w:r>
      <w:r w:rsidRPr="00D814C3">
        <w:rPr>
          <w:rFonts w:asciiTheme="majorBidi" w:hAnsiTheme="majorBidi" w:cstheme="majorBidi"/>
          <w:sz w:val="24"/>
          <w:szCs w:val="24"/>
        </w:rPr>
        <w:t xml:space="preserve">/kemaslahatan menurut hukum Islam adalah tercapainya tujuan </w:t>
      </w:r>
      <w:r w:rsidRPr="007A614E">
        <w:rPr>
          <w:rFonts w:asciiTheme="majorBidi" w:hAnsiTheme="majorBidi" w:cstheme="majorBidi"/>
          <w:i/>
          <w:iCs/>
          <w:sz w:val="24"/>
          <w:szCs w:val="24"/>
        </w:rPr>
        <w:t>sharī</w:t>
      </w:r>
      <w:r>
        <w:t>‘</w:t>
      </w:r>
      <w:r w:rsidRPr="007A614E">
        <w:rPr>
          <w:rFonts w:asciiTheme="majorBidi" w:hAnsiTheme="majorBidi" w:cstheme="majorBidi"/>
          <w:i/>
          <w:iCs/>
          <w:sz w:val="24"/>
          <w:szCs w:val="24"/>
        </w:rPr>
        <w:t>ah</w:t>
      </w:r>
      <w:r>
        <w:rPr>
          <w:rFonts w:asciiTheme="majorBidi" w:hAnsiTheme="majorBidi" w:cstheme="majorBidi"/>
          <w:i/>
          <w:iCs/>
          <w:sz w:val="24"/>
          <w:szCs w:val="24"/>
        </w:rPr>
        <w:t xml:space="preserve"> </w:t>
      </w:r>
      <w:r w:rsidRPr="00D814C3">
        <w:rPr>
          <w:rFonts w:asciiTheme="majorBidi" w:hAnsiTheme="majorBidi" w:cstheme="majorBidi"/>
          <w:sz w:val="24"/>
          <w:szCs w:val="24"/>
        </w:rPr>
        <w:t>(</w:t>
      </w:r>
      <w:r>
        <w:rPr>
          <w:rFonts w:asciiTheme="majorBidi" w:hAnsiTheme="majorBidi" w:cstheme="majorBidi"/>
          <w:i/>
          <w:iCs/>
          <w:sz w:val="24"/>
          <w:szCs w:val="24"/>
        </w:rPr>
        <w:t xml:space="preserve">maqāṣid </w:t>
      </w:r>
      <w:r w:rsidRPr="00D814C3">
        <w:rPr>
          <w:rFonts w:asciiTheme="majorBidi" w:hAnsiTheme="majorBidi" w:cstheme="majorBidi"/>
          <w:i/>
          <w:iCs/>
          <w:sz w:val="24"/>
          <w:szCs w:val="24"/>
        </w:rPr>
        <w:t>al-</w:t>
      </w:r>
      <w:r w:rsidRPr="007A614E">
        <w:rPr>
          <w:rFonts w:asciiTheme="majorBidi" w:hAnsiTheme="majorBidi" w:cstheme="majorBidi"/>
          <w:i/>
          <w:iCs/>
          <w:sz w:val="24"/>
          <w:szCs w:val="24"/>
        </w:rPr>
        <w:t>sharī</w:t>
      </w:r>
      <w:r>
        <w:t>‘</w:t>
      </w:r>
      <w:r w:rsidRPr="007A614E">
        <w:rPr>
          <w:rFonts w:asciiTheme="majorBidi" w:hAnsiTheme="majorBidi" w:cstheme="majorBidi"/>
          <w:i/>
          <w:iCs/>
          <w:sz w:val="24"/>
          <w:szCs w:val="24"/>
        </w:rPr>
        <w:t>ah</w:t>
      </w:r>
      <w:r w:rsidRPr="00D814C3">
        <w:rPr>
          <w:rFonts w:asciiTheme="majorBidi" w:hAnsiTheme="majorBidi" w:cstheme="majorBidi"/>
          <w:sz w:val="24"/>
          <w:szCs w:val="24"/>
        </w:rPr>
        <w:t>) yang diwujudkan dalam bentuk terpeliharanya lima kebutuhan primer (</w:t>
      </w:r>
      <w:r w:rsidRPr="00D814C3">
        <w:rPr>
          <w:rFonts w:asciiTheme="majorBidi" w:hAnsiTheme="majorBidi" w:cstheme="majorBidi"/>
          <w:i/>
          <w:iCs/>
          <w:sz w:val="24"/>
          <w:szCs w:val="24"/>
        </w:rPr>
        <w:t>al-dlar</w:t>
      </w:r>
      <w:r>
        <w:rPr>
          <w:rFonts w:asciiTheme="majorBidi" w:hAnsiTheme="majorBidi" w:cstheme="majorBidi"/>
          <w:i/>
          <w:iCs/>
          <w:sz w:val="24"/>
          <w:szCs w:val="24"/>
        </w:rPr>
        <w:t>u</w:t>
      </w:r>
      <w:r w:rsidRPr="00D814C3">
        <w:rPr>
          <w:rFonts w:asciiTheme="majorBidi" w:hAnsiTheme="majorBidi" w:cstheme="majorBidi"/>
          <w:i/>
          <w:iCs/>
          <w:sz w:val="24"/>
          <w:szCs w:val="24"/>
        </w:rPr>
        <w:t xml:space="preserve"> riyyāt al-khams</w:t>
      </w:r>
      <w:r w:rsidRPr="00D814C3">
        <w:rPr>
          <w:rFonts w:asciiTheme="majorBidi" w:hAnsiTheme="majorBidi" w:cstheme="majorBidi"/>
          <w:sz w:val="24"/>
          <w:szCs w:val="24"/>
        </w:rPr>
        <w:t>), yaitu agama, akal, jiwa, harta, dan keturunan.</w:t>
      </w:r>
    </w:p>
    <w:p w:rsidR="00343B61" w:rsidRPr="00882C83" w:rsidRDefault="00343B61" w:rsidP="002C0A33">
      <w:pPr>
        <w:pStyle w:val="ListParagraph"/>
        <w:numPr>
          <w:ilvl w:val="0"/>
          <w:numId w:val="40"/>
        </w:numPr>
        <w:autoSpaceDE w:val="0"/>
        <w:autoSpaceDN w:val="0"/>
        <w:adjustRightInd w:val="0"/>
        <w:spacing w:after="0" w:line="360" w:lineRule="auto"/>
        <w:jc w:val="both"/>
        <w:rPr>
          <w:rFonts w:asciiTheme="majorBidi" w:hAnsiTheme="majorBidi" w:cstheme="majorBidi"/>
          <w:sz w:val="24"/>
          <w:szCs w:val="24"/>
        </w:rPr>
      </w:pP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Pr>
          <w:rFonts w:asciiTheme="majorBidi" w:hAnsiTheme="majorBidi" w:cstheme="majorBidi"/>
          <w:sz w:val="24"/>
          <w:szCs w:val="24"/>
        </w:rPr>
        <w:t xml:space="preserve"> </w:t>
      </w:r>
      <w:r w:rsidRPr="00882C83">
        <w:rPr>
          <w:rFonts w:asciiTheme="majorBidi" w:hAnsiTheme="majorBidi" w:cstheme="majorBidi"/>
          <w:sz w:val="24"/>
          <w:szCs w:val="24"/>
        </w:rPr>
        <w:t xml:space="preserve">yang dibenarkan oleh </w:t>
      </w:r>
      <w:r w:rsidRPr="007A614E">
        <w:rPr>
          <w:rFonts w:asciiTheme="majorBidi" w:hAnsiTheme="majorBidi" w:cstheme="majorBidi"/>
          <w:i/>
          <w:iCs/>
          <w:sz w:val="24"/>
          <w:szCs w:val="24"/>
        </w:rPr>
        <w:t>sharī</w:t>
      </w:r>
      <w:r>
        <w:t>‘</w:t>
      </w:r>
      <w:r w:rsidRPr="007A614E">
        <w:rPr>
          <w:rFonts w:asciiTheme="majorBidi" w:hAnsiTheme="majorBidi" w:cstheme="majorBidi"/>
          <w:i/>
          <w:iCs/>
          <w:sz w:val="24"/>
          <w:szCs w:val="24"/>
        </w:rPr>
        <w:t>ah</w:t>
      </w:r>
      <w:r w:rsidRPr="00882C83">
        <w:rPr>
          <w:rFonts w:asciiTheme="majorBidi" w:hAnsiTheme="majorBidi" w:cstheme="majorBidi"/>
          <w:sz w:val="24"/>
          <w:szCs w:val="24"/>
        </w:rPr>
        <w:t xml:space="preserve"> adalah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yang tidak bertentangan dengan </w:t>
      </w:r>
      <w:r w:rsidRPr="00882C83">
        <w:rPr>
          <w:rFonts w:asciiTheme="majorBidi" w:hAnsiTheme="majorBidi" w:cstheme="majorBidi"/>
          <w:i/>
          <w:iCs/>
          <w:sz w:val="24"/>
          <w:szCs w:val="24"/>
        </w:rPr>
        <w:t>nash</w:t>
      </w:r>
      <w:r w:rsidRPr="00882C83">
        <w:rPr>
          <w:rFonts w:asciiTheme="majorBidi" w:hAnsiTheme="majorBidi" w:cstheme="majorBidi"/>
          <w:sz w:val="24"/>
          <w:szCs w:val="24"/>
        </w:rPr>
        <w:t xml:space="preserve">. Oleh karena itu,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tidak boleh bertentangan dengan nash.</w:t>
      </w:r>
    </w:p>
    <w:p w:rsidR="00343B61" w:rsidRPr="00E26169" w:rsidRDefault="00343B61" w:rsidP="002C0A33">
      <w:pPr>
        <w:pStyle w:val="ListParagraph"/>
        <w:numPr>
          <w:ilvl w:val="0"/>
          <w:numId w:val="40"/>
        </w:numPr>
        <w:autoSpaceDE w:val="0"/>
        <w:autoSpaceDN w:val="0"/>
        <w:adjustRightInd w:val="0"/>
        <w:spacing w:after="0" w:line="360" w:lineRule="auto"/>
        <w:jc w:val="both"/>
        <w:rPr>
          <w:rFonts w:asciiTheme="majorBidi" w:hAnsiTheme="majorBidi" w:cstheme="majorBidi"/>
          <w:sz w:val="24"/>
          <w:szCs w:val="24"/>
        </w:rPr>
      </w:pPr>
      <w:r w:rsidRPr="00882C83">
        <w:rPr>
          <w:rFonts w:asciiTheme="majorBidi" w:hAnsiTheme="majorBidi" w:cstheme="majorBidi"/>
          <w:sz w:val="24"/>
          <w:szCs w:val="24"/>
        </w:rPr>
        <w:t xml:space="preserve">Yang berhak menentukan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tidaknya sesuatu menurut syara’ adalah lembaga yang mempunyai kompetensi di bidang </w:t>
      </w:r>
      <w:r w:rsidRPr="007A614E">
        <w:rPr>
          <w:rFonts w:asciiTheme="majorBidi" w:hAnsiTheme="majorBidi" w:cstheme="majorBidi"/>
          <w:i/>
          <w:iCs/>
          <w:sz w:val="24"/>
          <w:szCs w:val="24"/>
        </w:rPr>
        <w:t>sharī</w:t>
      </w:r>
      <w:r>
        <w:t>‘</w:t>
      </w:r>
      <w:r w:rsidRPr="007A614E">
        <w:rPr>
          <w:rFonts w:asciiTheme="majorBidi" w:hAnsiTheme="majorBidi" w:cstheme="majorBidi"/>
          <w:i/>
          <w:iCs/>
          <w:sz w:val="24"/>
          <w:szCs w:val="24"/>
        </w:rPr>
        <w:t>ah</w:t>
      </w:r>
      <w:r w:rsidRPr="00882C83">
        <w:rPr>
          <w:rFonts w:asciiTheme="majorBidi" w:hAnsiTheme="majorBidi" w:cstheme="majorBidi"/>
          <w:sz w:val="24"/>
          <w:szCs w:val="24"/>
        </w:rPr>
        <w:t xml:space="preserve"> dan dilakukan melalui </w:t>
      </w:r>
      <w:r>
        <w:rPr>
          <w:rFonts w:asciiTheme="majorBidi" w:hAnsiTheme="majorBidi" w:cstheme="majorBidi"/>
          <w:i/>
          <w:iCs/>
          <w:sz w:val="24"/>
          <w:szCs w:val="24"/>
        </w:rPr>
        <w:t>ijtihād</w:t>
      </w:r>
      <w:r w:rsidRPr="00882C83">
        <w:rPr>
          <w:rFonts w:asciiTheme="majorBidi" w:hAnsiTheme="majorBidi" w:cstheme="majorBidi"/>
          <w:i/>
          <w:iCs/>
          <w:sz w:val="24"/>
          <w:szCs w:val="24"/>
        </w:rPr>
        <w:t xml:space="preserve"> </w:t>
      </w:r>
      <w:r>
        <w:rPr>
          <w:rFonts w:asciiTheme="majorBidi" w:hAnsiTheme="majorBidi" w:cstheme="majorBidi"/>
          <w:i/>
          <w:iCs/>
          <w:sz w:val="24"/>
          <w:szCs w:val="24"/>
        </w:rPr>
        <w:t>jamā</w:t>
      </w:r>
      <w:r w:rsidRPr="007A614E">
        <w:rPr>
          <w:rFonts w:asciiTheme="majorBidi" w:hAnsiTheme="majorBidi" w:cstheme="majorBidi"/>
          <w:i/>
          <w:iCs/>
          <w:sz w:val="24"/>
          <w:szCs w:val="24"/>
        </w:rPr>
        <w:t>ī</w:t>
      </w:r>
      <w:r>
        <w:t>‘</w:t>
      </w:r>
      <w:r w:rsidRPr="00882C83">
        <w:rPr>
          <w:rFonts w:asciiTheme="majorBidi" w:hAnsiTheme="majorBidi" w:cstheme="majorBidi"/>
          <w:sz w:val="24"/>
          <w:szCs w:val="24"/>
        </w:rPr>
        <w:t>.</w:t>
      </w:r>
    </w:p>
    <w:p w:rsidR="00343B61" w:rsidRPr="00882C83"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82C83">
        <w:rPr>
          <w:rFonts w:asciiTheme="majorBidi" w:hAnsiTheme="majorBidi" w:cstheme="majorBidi"/>
          <w:sz w:val="24"/>
          <w:szCs w:val="24"/>
        </w:rPr>
        <w:t xml:space="preserve">Melalui fatwa ini, Komisi Fatwa MUI seolah hendak menegaskan bahwa otoritas penentuan sesuatu itu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w:t>
      </w:r>
      <w:r w:rsidRPr="00882C83">
        <w:rPr>
          <w:rFonts w:asciiTheme="majorBidi" w:hAnsiTheme="majorBidi" w:cstheme="majorBidi"/>
          <w:sz w:val="24"/>
          <w:szCs w:val="24"/>
        </w:rPr>
        <w:t xml:space="preserve">atau tidak secara </w:t>
      </w:r>
      <w:r w:rsidRPr="00882C83">
        <w:rPr>
          <w:rFonts w:asciiTheme="majorBidi" w:hAnsiTheme="majorBidi" w:cstheme="majorBidi"/>
          <w:i/>
          <w:iCs/>
          <w:sz w:val="24"/>
          <w:szCs w:val="24"/>
        </w:rPr>
        <w:t>syara’</w:t>
      </w:r>
      <w:r w:rsidRPr="00882C83">
        <w:rPr>
          <w:rFonts w:asciiTheme="majorBidi" w:hAnsiTheme="majorBidi" w:cstheme="majorBidi"/>
          <w:sz w:val="24"/>
          <w:szCs w:val="24"/>
        </w:rPr>
        <w:t xml:space="preserve">, dilakukan melalui </w:t>
      </w:r>
      <w:r>
        <w:rPr>
          <w:rFonts w:asciiTheme="majorBidi" w:hAnsiTheme="majorBidi" w:cstheme="majorBidi"/>
          <w:sz w:val="24"/>
          <w:szCs w:val="24"/>
        </w:rPr>
        <w:t>ijtihād</w:t>
      </w:r>
      <w:r w:rsidRPr="00882C83">
        <w:rPr>
          <w:rFonts w:asciiTheme="majorBidi" w:hAnsiTheme="majorBidi" w:cstheme="majorBidi"/>
          <w:sz w:val="24"/>
          <w:szCs w:val="24"/>
        </w:rPr>
        <w:t xml:space="preserve"> kolektif melalui sebuah lembaga yang punya kompetensi keagamaan, yang dalam hal ini antara lain melalui Komisi Fatwa MUI.</w:t>
      </w:r>
    </w:p>
    <w:p w:rsidR="00343B61" w:rsidRPr="000119C0" w:rsidRDefault="00343B61" w:rsidP="00343B61">
      <w:pPr>
        <w:pStyle w:val="ListParagraph"/>
        <w:spacing w:after="0" w:line="360" w:lineRule="auto"/>
        <w:ind w:left="0" w:firstLine="720"/>
        <w:jc w:val="both"/>
        <w:rPr>
          <w:rFonts w:asciiTheme="majorBidi" w:hAnsiTheme="majorBidi" w:cstheme="majorBidi"/>
          <w:i/>
          <w:iCs/>
        </w:rPr>
      </w:pPr>
      <w:r w:rsidRPr="00882C83">
        <w:rPr>
          <w:rFonts w:asciiTheme="majorBidi" w:hAnsiTheme="majorBidi" w:cstheme="majorBidi"/>
          <w:sz w:val="24"/>
          <w:szCs w:val="24"/>
        </w:rPr>
        <w:t xml:space="preserve">Penetapan fatwa Kriteria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ini dilatarbelakangi ol</w:t>
      </w:r>
      <w:r>
        <w:rPr>
          <w:rFonts w:asciiTheme="majorBidi" w:hAnsiTheme="majorBidi" w:cstheme="majorBidi"/>
          <w:sz w:val="24"/>
          <w:szCs w:val="24"/>
        </w:rPr>
        <w:t>eh fenomena akhir-akhir ini, di</w:t>
      </w:r>
      <w:r w:rsidRPr="00882C83">
        <w:rPr>
          <w:rFonts w:asciiTheme="majorBidi" w:hAnsiTheme="majorBidi" w:cstheme="majorBidi"/>
          <w:sz w:val="24"/>
          <w:szCs w:val="24"/>
        </w:rPr>
        <w:t xml:space="preserve">mana istilah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sering digunakan pihak-pihak tertentu sebagai dalil untuk menetapkan hukum tanpa mengindahkan ketentuan, batasan, dan kaedah penetapan hukum yang baku ( </w:t>
      </w:r>
      <w:r w:rsidRPr="00882C83">
        <w:rPr>
          <w:rFonts w:asciiTheme="majorBidi" w:hAnsiTheme="majorBidi" w:cstheme="majorBidi"/>
          <w:i/>
          <w:iCs/>
          <w:sz w:val="24"/>
          <w:szCs w:val="24"/>
        </w:rPr>
        <w:t>bi ghairi hud</w:t>
      </w:r>
      <w:r w:rsidRPr="0094142F">
        <w:rPr>
          <w:rFonts w:asciiTheme="majorBidi" w:hAnsiTheme="majorBidi" w:cstheme="majorBidi"/>
          <w:i/>
          <w:iCs/>
        </w:rPr>
        <w:t>ū</w:t>
      </w:r>
      <w:r w:rsidRPr="00882C83">
        <w:rPr>
          <w:rFonts w:asciiTheme="majorBidi" w:hAnsiTheme="majorBidi" w:cstheme="majorBidi"/>
          <w:i/>
          <w:iCs/>
          <w:sz w:val="24"/>
          <w:szCs w:val="24"/>
        </w:rPr>
        <w:t xml:space="preserve">d wa laa </w:t>
      </w:r>
      <w:r w:rsidRPr="0094142F">
        <w:rPr>
          <w:rFonts w:asciiTheme="majorBidi" w:hAnsiTheme="majorBidi" w:cstheme="majorBidi"/>
          <w:i/>
          <w:iCs/>
          <w:sz w:val="24"/>
          <w:szCs w:val="24"/>
        </w:rPr>
        <w:t>Ḍ</w:t>
      </w:r>
      <w:r w:rsidRPr="00882C83">
        <w:rPr>
          <w:rFonts w:asciiTheme="majorBidi" w:hAnsiTheme="majorBidi" w:cstheme="majorBidi"/>
          <w:i/>
          <w:iCs/>
          <w:sz w:val="24"/>
          <w:szCs w:val="24"/>
        </w:rPr>
        <w:t>aw</w:t>
      </w:r>
      <w:r w:rsidRPr="0094142F">
        <w:rPr>
          <w:rFonts w:asciiTheme="majorBidi" w:hAnsiTheme="majorBidi" w:cstheme="majorBidi"/>
          <w:i/>
          <w:iCs/>
        </w:rPr>
        <w:t>ā</w:t>
      </w:r>
      <w:r w:rsidRPr="00882C83">
        <w:rPr>
          <w:rFonts w:asciiTheme="majorBidi" w:hAnsiTheme="majorBidi" w:cstheme="majorBidi"/>
          <w:i/>
          <w:iCs/>
          <w:sz w:val="24"/>
          <w:szCs w:val="24"/>
        </w:rPr>
        <w:t>bi</w:t>
      </w:r>
      <w:r w:rsidRPr="0094142F">
        <w:rPr>
          <w:rFonts w:asciiTheme="majorBidi" w:hAnsiTheme="majorBidi" w:cstheme="majorBidi"/>
          <w:i/>
          <w:iCs/>
          <w:sz w:val="24"/>
          <w:szCs w:val="24"/>
        </w:rPr>
        <w:t>ṭ</w:t>
      </w:r>
      <w:r w:rsidRPr="00882C83">
        <w:rPr>
          <w:rFonts w:asciiTheme="majorBidi" w:hAnsiTheme="majorBidi" w:cstheme="majorBidi"/>
          <w:sz w:val="24"/>
          <w:szCs w:val="24"/>
          <w:rtl/>
        </w:rPr>
        <w:t xml:space="preserve"> / بغير </w:t>
      </w:r>
      <w:r w:rsidRPr="00882C83">
        <w:rPr>
          <w:rFonts w:asciiTheme="majorBidi" w:hAnsiTheme="majorBidi" w:cstheme="majorBidi"/>
          <w:sz w:val="24"/>
          <w:szCs w:val="24"/>
          <w:rtl/>
        </w:rPr>
        <w:lastRenderedPageBreak/>
        <w:t>حدود ولا ضوابط</w:t>
      </w:r>
      <w:r>
        <w:rPr>
          <w:rFonts w:asciiTheme="majorBidi" w:hAnsiTheme="majorBidi" w:cstheme="majorBidi"/>
          <w:sz w:val="24"/>
          <w:szCs w:val="24"/>
        </w:rPr>
        <w:t>)</w:t>
      </w:r>
      <w:r w:rsidRPr="00882C83">
        <w:rPr>
          <w:rFonts w:asciiTheme="majorBidi" w:hAnsiTheme="majorBidi" w:cstheme="majorBidi"/>
          <w:sz w:val="24"/>
          <w:szCs w:val="24"/>
        </w:rPr>
        <w:t>. dan</w:t>
      </w:r>
      <w:r>
        <w:rPr>
          <w:rFonts w:asciiTheme="majorBidi" w:hAnsiTheme="majorBidi" w:cstheme="majorBidi"/>
          <w:sz w:val="24"/>
          <w:szCs w:val="24"/>
        </w:rPr>
        <w:t xml:space="preserve"> pemahaman dalam </w:t>
      </w:r>
      <w:r w:rsidRPr="00882C83">
        <w:rPr>
          <w:rFonts w:asciiTheme="majorBidi" w:hAnsiTheme="majorBidi" w:cstheme="majorBidi"/>
          <w:sz w:val="24"/>
          <w:szCs w:val="24"/>
        </w:rPr>
        <w:t xml:space="preserve">penggunaan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yang tidak sesuai dengan kaidah-kaidah hukum Islam tersebut, telah mengakibatkan terjadinya kesalahan dalam menetapkan hukum Islam sehinga menimbulkan keresahan di kalangan masyarakat. Dalam rangka memelihara dan mendudukkan hukum Islam secara</w:t>
      </w:r>
      <w:r>
        <w:rPr>
          <w:rFonts w:asciiTheme="majorBidi" w:hAnsiTheme="majorBidi" w:cstheme="majorBidi"/>
          <w:sz w:val="24"/>
          <w:szCs w:val="24"/>
        </w:rPr>
        <w:t xml:space="preserve"> </w:t>
      </w:r>
      <w:r w:rsidRPr="00882C83">
        <w:rPr>
          <w:rFonts w:asciiTheme="majorBidi" w:hAnsiTheme="majorBidi" w:cstheme="majorBidi"/>
          <w:sz w:val="24"/>
          <w:szCs w:val="24"/>
        </w:rPr>
        <w:t>proporsional, Majelis Ulama Indonesia memandang perlu menetapkan fatwa tentang kriteria maslahat untuk dijadikan pedoman agar tidak menimbulkan kesalah</w:t>
      </w:r>
      <w:r>
        <w:rPr>
          <w:rFonts w:asciiTheme="majorBidi" w:hAnsiTheme="majorBidi" w:cstheme="majorBidi"/>
          <w:sz w:val="24"/>
          <w:szCs w:val="24"/>
        </w:rPr>
        <w:t xml:space="preserve"> </w:t>
      </w:r>
      <w:r w:rsidRPr="00882C83">
        <w:rPr>
          <w:rFonts w:asciiTheme="majorBidi" w:hAnsiTheme="majorBidi" w:cstheme="majorBidi"/>
          <w:sz w:val="24"/>
          <w:szCs w:val="24"/>
        </w:rPr>
        <w:t>pahaman.</w:t>
      </w:r>
      <w:r w:rsidRPr="00882C83">
        <w:rPr>
          <w:rStyle w:val="FootnoteReference"/>
          <w:rFonts w:asciiTheme="majorBidi" w:hAnsiTheme="majorBidi" w:cstheme="majorBidi"/>
          <w:sz w:val="24"/>
          <w:szCs w:val="24"/>
        </w:rPr>
        <w:footnoteReference w:id="606"/>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82C83">
        <w:rPr>
          <w:rFonts w:asciiTheme="majorBidi" w:hAnsiTheme="majorBidi" w:cstheme="majorBidi"/>
          <w:sz w:val="24"/>
          <w:szCs w:val="24"/>
        </w:rPr>
        <w:t xml:space="preserve">Argumen yang dijadikan MUI sebagai landasan dalam penetapan kriteria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w:t>
      </w:r>
      <w:r w:rsidRPr="00882C83">
        <w:rPr>
          <w:rFonts w:asciiTheme="majorBidi" w:hAnsiTheme="majorBidi" w:cstheme="majorBidi"/>
          <w:sz w:val="24"/>
          <w:szCs w:val="24"/>
        </w:rPr>
        <w:t>ini adalah tiga pendapat ahli ushul fiqh, yaitu  pendapat al-Khawarizm, al-Ghazali dan al-Syathibi.</w:t>
      </w:r>
    </w:p>
    <w:p w:rsidR="00343B61" w:rsidRPr="00700CF0" w:rsidRDefault="00343B61" w:rsidP="00343B61">
      <w:pPr>
        <w:pStyle w:val="ListParagraph"/>
        <w:spacing w:after="0" w:line="360" w:lineRule="auto"/>
        <w:ind w:left="0" w:firstLine="720"/>
        <w:jc w:val="both"/>
        <w:rPr>
          <w:rFonts w:asciiTheme="majorBidi" w:hAnsiTheme="majorBidi" w:cstheme="majorBidi"/>
          <w:i/>
          <w:iCs/>
        </w:rPr>
      </w:pPr>
      <w:r w:rsidRPr="00882C83">
        <w:rPr>
          <w:rFonts w:asciiTheme="majorBidi" w:hAnsiTheme="majorBidi" w:cstheme="majorBidi"/>
          <w:sz w:val="24"/>
          <w:szCs w:val="24"/>
        </w:rPr>
        <w:t xml:space="preserve"> </w:t>
      </w:r>
      <w:r w:rsidRPr="003A52CF">
        <w:rPr>
          <w:rFonts w:asciiTheme="majorBidi" w:hAnsiTheme="majorBidi" w:cstheme="majorBidi"/>
          <w:i/>
          <w:iCs/>
          <w:sz w:val="24"/>
          <w:szCs w:val="24"/>
        </w:rPr>
        <w:t>Pertama</w:t>
      </w:r>
      <w:r>
        <w:rPr>
          <w:rFonts w:asciiTheme="majorBidi" w:hAnsiTheme="majorBidi" w:cstheme="majorBidi"/>
          <w:sz w:val="24"/>
          <w:szCs w:val="24"/>
        </w:rPr>
        <w:t>,</w:t>
      </w:r>
      <w:r w:rsidRPr="00882C83">
        <w:rPr>
          <w:rFonts w:asciiTheme="majorBidi" w:hAnsiTheme="majorBidi" w:cstheme="majorBidi"/>
          <w:sz w:val="24"/>
          <w:szCs w:val="24"/>
        </w:rPr>
        <w:t xml:space="preserve"> adalah pendapat al-Khawarizm sebagaimana dikutip oleh al-Syaukani dalam kitab </w:t>
      </w:r>
      <w:r w:rsidRPr="00882C83">
        <w:rPr>
          <w:rFonts w:asciiTheme="majorBidi" w:hAnsiTheme="majorBidi" w:cstheme="majorBidi"/>
          <w:i/>
          <w:iCs/>
          <w:sz w:val="24"/>
          <w:szCs w:val="24"/>
        </w:rPr>
        <w:t>Irsy</w:t>
      </w:r>
      <w:r>
        <w:rPr>
          <w:rFonts w:asciiTheme="majorBidi" w:hAnsiTheme="majorBidi" w:cstheme="majorBidi"/>
          <w:i/>
          <w:iCs/>
          <w:sz w:val="24"/>
          <w:szCs w:val="24"/>
        </w:rPr>
        <w:t>ā</w:t>
      </w:r>
      <w:r w:rsidRPr="00882C83">
        <w:rPr>
          <w:rFonts w:asciiTheme="majorBidi" w:hAnsiTheme="majorBidi" w:cstheme="majorBidi"/>
          <w:i/>
          <w:iCs/>
          <w:sz w:val="24"/>
          <w:szCs w:val="24"/>
        </w:rPr>
        <w:t>d al- Fuh</w:t>
      </w:r>
      <w:r w:rsidRPr="0094142F">
        <w:rPr>
          <w:rFonts w:asciiTheme="majorBidi" w:hAnsiTheme="majorBidi" w:cstheme="majorBidi"/>
          <w:i/>
          <w:iCs/>
        </w:rPr>
        <w:t>ū</w:t>
      </w:r>
      <w:r w:rsidRPr="00882C83">
        <w:rPr>
          <w:rFonts w:asciiTheme="majorBidi" w:hAnsiTheme="majorBidi" w:cstheme="majorBidi"/>
          <w:i/>
          <w:iCs/>
          <w:sz w:val="24"/>
          <w:szCs w:val="24"/>
        </w:rPr>
        <w:t xml:space="preserve">l </w:t>
      </w:r>
      <w:r w:rsidRPr="00882C83">
        <w:rPr>
          <w:rFonts w:asciiTheme="majorBidi" w:hAnsiTheme="majorBidi" w:cstheme="majorBidi"/>
          <w:sz w:val="24"/>
          <w:szCs w:val="24"/>
        </w:rPr>
        <w:t>yaitu :</w:t>
      </w:r>
    </w:p>
    <w:p w:rsidR="00343B61" w:rsidRPr="00882C83" w:rsidRDefault="00343B61" w:rsidP="00343B61">
      <w:pPr>
        <w:autoSpaceDE w:val="0"/>
        <w:autoSpaceDN w:val="0"/>
        <w:bidi/>
        <w:adjustRightInd w:val="0"/>
        <w:spacing w:after="0" w:line="240" w:lineRule="auto"/>
        <w:jc w:val="both"/>
        <w:rPr>
          <w:rFonts w:asciiTheme="majorBidi" w:hAnsiTheme="majorBidi" w:cstheme="majorBidi"/>
          <w:sz w:val="24"/>
          <w:szCs w:val="24"/>
        </w:rPr>
      </w:pPr>
      <w:r w:rsidRPr="003B152D">
        <w:rPr>
          <w:rFonts w:asciiTheme="majorBidi" w:hAnsiTheme="majorBidi" w:cs="Traditional Arabic"/>
          <w:sz w:val="32"/>
          <w:szCs w:val="32"/>
          <w:rtl/>
        </w:rPr>
        <w:t>قال الخوارزمي والمراد بالمصلحة المحافظة على مقصود الشرع بدفع المفاسد عن الخلق</w:t>
      </w:r>
      <w:r w:rsidRPr="00882C83">
        <w:rPr>
          <w:rStyle w:val="FootnoteReference"/>
          <w:rFonts w:asciiTheme="majorBidi" w:hAnsiTheme="majorBidi" w:cstheme="majorBidi"/>
          <w:sz w:val="24"/>
          <w:szCs w:val="24"/>
          <w:rtl/>
        </w:rPr>
        <w:footnoteReference w:id="607"/>
      </w:r>
    </w:p>
    <w:p w:rsidR="00343B61" w:rsidRDefault="00343B61" w:rsidP="00343B61">
      <w:pPr>
        <w:autoSpaceDE w:val="0"/>
        <w:autoSpaceDN w:val="0"/>
        <w:adjustRightInd w:val="0"/>
        <w:spacing w:after="0" w:line="240" w:lineRule="auto"/>
        <w:ind w:left="900"/>
        <w:jc w:val="both"/>
        <w:rPr>
          <w:rFonts w:asciiTheme="majorBidi" w:hAnsiTheme="majorBidi" w:cstheme="majorBidi"/>
          <w:i/>
          <w:iCs/>
          <w:sz w:val="24"/>
          <w:szCs w:val="24"/>
        </w:rPr>
      </w:pPr>
      <w:r w:rsidRPr="00882C83">
        <w:rPr>
          <w:rFonts w:asciiTheme="majorBidi" w:hAnsiTheme="majorBidi" w:cstheme="majorBidi"/>
          <w:sz w:val="24"/>
          <w:szCs w:val="24"/>
        </w:rPr>
        <w:t xml:space="preserve">Artinya: Al-Khawarizm berkata:” </w:t>
      </w:r>
      <w:r w:rsidRPr="00882C83">
        <w:rPr>
          <w:rFonts w:asciiTheme="majorBidi" w:hAnsiTheme="majorBidi" w:cstheme="majorBidi"/>
          <w:i/>
          <w:iCs/>
          <w:sz w:val="24"/>
          <w:szCs w:val="24"/>
        </w:rPr>
        <w:t xml:space="preserve">Yang dimaksud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adalah memelihara tujuan hukum Islam dengan menolak/menghindarkan bencana (kerusakan, hal-hal yang merugikan) dari makhluk (manusia)”.</w:t>
      </w:r>
    </w:p>
    <w:p w:rsidR="00343B61" w:rsidRPr="00CF5597" w:rsidRDefault="00343B61" w:rsidP="00343B61">
      <w:pPr>
        <w:autoSpaceDE w:val="0"/>
        <w:autoSpaceDN w:val="0"/>
        <w:adjustRightInd w:val="0"/>
        <w:spacing w:after="0" w:line="240" w:lineRule="auto"/>
        <w:ind w:left="900"/>
        <w:jc w:val="both"/>
        <w:rPr>
          <w:rFonts w:asciiTheme="majorBidi" w:hAnsiTheme="majorBidi" w:cstheme="majorBidi"/>
          <w:i/>
          <w:iCs/>
          <w:sz w:val="24"/>
          <w:szCs w:val="24"/>
        </w:rPr>
      </w:pPr>
    </w:p>
    <w:p w:rsidR="00343B61" w:rsidRPr="00980064" w:rsidRDefault="00343B61" w:rsidP="00343B61">
      <w:pPr>
        <w:pStyle w:val="ListParagraph"/>
        <w:spacing w:line="360" w:lineRule="auto"/>
        <w:ind w:left="0" w:firstLine="720"/>
        <w:jc w:val="both"/>
        <w:rPr>
          <w:rFonts w:asciiTheme="majorBidi" w:hAnsiTheme="majorBidi" w:cstheme="majorBidi"/>
          <w:i/>
          <w:iCs/>
        </w:rPr>
      </w:pPr>
      <w:r w:rsidRPr="003A52CF">
        <w:rPr>
          <w:rFonts w:asciiTheme="majorBidi" w:hAnsiTheme="majorBidi" w:cstheme="majorBidi"/>
          <w:i/>
          <w:iCs/>
          <w:sz w:val="24"/>
          <w:szCs w:val="24"/>
        </w:rPr>
        <w:t>Kedua</w:t>
      </w:r>
      <w:r w:rsidRPr="00882C83">
        <w:rPr>
          <w:rFonts w:asciiTheme="majorBidi" w:hAnsiTheme="majorBidi" w:cstheme="majorBidi"/>
          <w:sz w:val="24"/>
          <w:szCs w:val="24"/>
        </w:rPr>
        <w:t xml:space="preserve">, </w:t>
      </w:r>
      <w:r>
        <w:rPr>
          <w:rFonts w:asciiTheme="majorBidi" w:hAnsiTheme="majorBidi" w:cstheme="majorBidi"/>
          <w:sz w:val="24"/>
          <w:szCs w:val="24"/>
        </w:rPr>
        <w:t xml:space="preserve">adalah </w:t>
      </w:r>
      <w:r w:rsidRPr="00882C83">
        <w:rPr>
          <w:rFonts w:asciiTheme="majorBidi" w:hAnsiTheme="majorBidi" w:cstheme="majorBidi"/>
          <w:sz w:val="24"/>
          <w:szCs w:val="24"/>
        </w:rPr>
        <w:t xml:space="preserve">pendapat Imam al-Ghazali dalam </w:t>
      </w:r>
      <w:r w:rsidRPr="003A52CF">
        <w:rPr>
          <w:rFonts w:asciiTheme="majorBidi" w:hAnsiTheme="majorBidi" w:cstheme="majorBidi"/>
          <w:i/>
          <w:iCs/>
          <w:sz w:val="24"/>
          <w:szCs w:val="24"/>
        </w:rPr>
        <w:t>al-Mustashfā</w:t>
      </w:r>
      <w:r>
        <w:rPr>
          <w:rFonts w:asciiTheme="majorBidi" w:hAnsiTheme="majorBidi" w:cstheme="majorBidi"/>
          <w:i/>
          <w:iCs/>
          <w:sz w:val="24"/>
          <w:szCs w:val="24"/>
        </w:rPr>
        <w:t xml:space="preserve"> </w:t>
      </w:r>
      <w:r w:rsidRPr="003A52CF">
        <w:rPr>
          <w:rFonts w:asciiTheme="majorBidi" w:hAnsiTheme="majorBidi" w:cstheme="majorBidi"/>
          <w:sz w:val="24"/>
          <w:szCs w:val="24"/>
        </w:rPr>
        <w:t>yang menegaskan bahwa:</w:t>
      </w:r>
    </w:p>
    <w:p w:rsidR="00343B61" w:rsidRPr="003B152D" w:rsidRDefault="00343B61" w:rsidP="00343B61">
      <w:pPr>
        <w:autoSpaceDE w:val="0"/>
        <w:autoSpaceDN w:val="0"/>
        <w:bidi/>
        <w:adjustRightInd w:val="0"/>
        <w:spacing w:after="0"/>
        <w:ind w:right="90"/>
        <w:jc w:val="both"/>
        <w:rPr>
          <w:rFonts w:asciiTheme="majorBidi" w:hAnsiTheme="majorBidi" w:cs="Traditional Arabic"/>
          <w:sz w:val="32"/>
          <w:szCs w:val="32"/>
        </w:rPr>
      </w:pPr>
      <w:r w:rsidRPr="003B152D">
        <w:rPr>
          <w:rFonts w:ascii="Arial" w:hAnsi="Arial" w:cs="Traditional Arabic"/>
          <w:sz w:val="32"/>
          <w:szCs w:val="32"/>
          <w:rtl/>
        </w:rPr>
        <w:t>أما المصلحة: فهي عبارة في الاصل عن جلب منفعة أو دفع مضرة، ولسنا نعني به ذلك، فإن جلب المنفعة ودفع المضرة مقاصد الخلق، وصلاح الخلق في تحصيل مقاصدهم، لكنا نعني بالمصلحة المحافظة على مقصود الشرع، ومقصود الشرع من الخلق خمسة وهو: أن يحفظ عليهم دينهم، ونفسهم، وعقلهم، ونسلهم، ومالهم، فكل ما يتضمن حفظ هذه الاصول الخمسة فهو مصلحة، وكل ما يفوت هذه الاصول فهو مفسدة ودفعها مصلحة.</w:t>
      </w:r>
      <w:r w:rsidRPr="003B152D">
        <w:rPr>
          <w:rFonts w:asciiTheme="majorBidi" w:hAnsiTheme="majorBidi" w:cs="Traditional Arabic"/>
          <w:sz w:val="32"/>
          <w:szCs w:val="32"/>
          <w:rtl/>
        </w:rPr>
        <w:t xml:space="preserve"> </w:t>
      </w:r>
      <w:r w:rsidRPr="003B152D">
        <w:rPr>
          <w:rStyle w:val="FootnoteReference"/>
          <w:rFonts w:asciiTheme="majorBidi" w:hAnsiTheme="majorBidi" w:cs="Traditional Arabic"/>
          <w:sz w:val="32"/>
          <w:szCs w:val="32"/>
          <w:rtl/>
        </w:rPr>
        <w:footnoteReference w:id="608"/>
      </w:r>
    </w:p>
    <w:p w:rsidR="00343B61" w:rsidRPr="00882C83" w:rsidRDefault="00343B61" w:rsidP="00343B61">
      <w:pPr>
        <w:autoSpaceDE w:val="0"/>
        <w:autoSpaceDN w:val="0"/>
        <w:adjustRightInd w:val="0"/>
        <w:spacing w:after="0"/>
        <w:ind w:left="900"/>
        <w:jc w:val="both"/>
        <w:rPr>
          <w:rFonts w:asciiTheme="majorBidi" w:hAnsiTheme="majorBidi" w:cstheme="majorBidi"/>
          <w:sz w:val="24"/>
          <w:szCs w:val="24"/>
        </w:rPr>
      </w:pPr>
      <w:r w:rsidRPr="00882C83">
        <w:rPr>
          <w:rFonts w:asciiTheme="majorBidi" w:hAnsiTheme="majorBidi" w:cstheme="majorBidi"/>
          <w:i/>
          <w:iCs/>
          <w:sz w:val="24"/>
          <w:szCs w:val="24"/>
        </w:rPr>
        <w:lastRenderedPageBreak/>
        <w:t>Artinya:</w:t>
      </w:r>
      <w:r>
        <w:rPr>
          <w:rFonts w:asciiTheme="majorBidi" w:hAnsiTheme="majorBidi" w:cstheme="majorBidi"/>
          <w:i/>
          <w:iCs/>
          <w:sz w:val="24"/>
          <w:szCs w:val="24"/>
        </w:rPr>
        <w:t>”</w:t>
      </w:r>
      <w:r w:rsidRPr="00882C83">
        <w:rPr>
          <w:rFonts w:asciiTheme="majorBidi" w:hAnsiTheme="majorBidi" w:cstheme="majorBidi"/>
          <w:i/>
          <w:iCs/>
          <w:sz w:val="24"/>
          <w:szCs w:val="24"/>
        </w:rPr>
        <w:t xml:space="preserve">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menurut makna asalnya berarti menarik manfaat atau menolak mudarat (hal-hal yang merugikan). Akan tetapi, bukan itu yang kami maksud, sebab meraih manfaat dan menghindarkan mudarat adalah tujuan makhluk (manusia). Kemaslahatan makhluk terletak pada tercapainya tujuan mereka. Yang kami maksud dengan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adalah memelihara tujuan syara’. (hukum Islam). Tujuan hukum Islam yang ingin dicapai dari makhuk ada lima; yaitu memelihara agama, jiwa, akal, keturunan, dan harta mereka. Setiap hukum yang mengandung tujuan memelihara kelima hal ini disebut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i/>
          <w:iCs/>
          <w:sz w:val="24"/>
          <w:szCs w:val="24"/>
        </w:rPr>
        <w:t xml:space="preserve">; dan setiap hal yang meniadakannya disebut mafsadat dan menolaknya disebut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Pr>
          <w:rFonts w:asciiTheme="majorBidi" w:hAnsiTheme="majorBidi" w:cstheme="majorBidi"/>
          <w:i/>
          <w:iCs/>
          <w:sz w:val="24"/>
          <w:szCs w:val="24"/>
        </w:rPr>
        <w:t>.</w:t>
      </w:r>
      <w:r>
        <w:rPr>
          <w:rFonts w:asciiTheme="majorBidi" w:hAnsiTheme="majorBidi" w:cstheme="majorBidi"/>
          <w:sz w:val="24"/>
          <w:szCs w:val="24"/>
        </w:rPr>
        <w:t>”</w:t>
      </w:r>
    </w:p>
    <w:p w:rsidR="00343B61" w:rsidRPr="00882C83" w:rsidRDefault="00343B61" w:rsidP="00343B61">
      <w:pPr>
        <w:autoSpaceDE w:val="0"/>
        <w:autoSpaceDN w:val="0"/>
        <w:adjustRightInd w:val="0"/>
        <w:spacing w:after="0" w:line="240" w:lineRule="auto"/>
        <w:ind w:left="720"/>
        <w:jc w:val="both"/>
        <w:rPr>
          <w:rFonts w:asciiTheme="majorBidi" w:hAnsiTheme="majorBidi" w:cstheme="majorBidi"/>
          <w:i/>
          <w:iCs/>
          <w:sz w:val="24"/>
          <w:szCs w:val="24"/>
        </w:rPr>
      </w:pPr>
    </w:p>
    <w:p w:rsidR="00343B61" w:rsidRPr="004810BF" w:rsidRDefault="00343B61" w:rsidP="00343B61">
      <w:pPr>
        <w:pStyle w:val="ListParagraph"/>
        <w:spacing w:line="360" w:lineRule="auto"/>
        <w:ind w:left="0" w:firstLine="720"/>
        <w:jc w:val="both"/>
        <w:rPr>
          <w:rFonts w:asciiTheme="majorBidi" w:hAnsiTheme="majorBidi" w:cstheme="majorBidi"/>
          <w:i/>
          <w:iCs/>
        </w:rPr>
      </w:pPr>
      <w:r w:rsidRPr="00DC6590">
        <w:rPr>
          <w:rFonts w:asciiTheme="majorBidi" w:hAnsiTheme="majorBidi" w:cstheme="majorBidi"/>
          <w:i/>
          <w:iCs/>
          <w:sz w:val="24"/>
          <w:szCs w:val="24"/>
        </w:rPr>
        <w:t>Ketiga</w:t>
      </w:r>
      <w:r w:rsidRPr="00882C83">
        <w:rPr>
          <w:rFonts w:asciiTheme="majorBidi" w:hAnsiTheme="majorBidi" w:cstheme="majorBidi"/>
          <w:sz w:val="24"/>
          <w:szCs w:val="24"/>
        </w:rPr>
        <w:t>, pendapat al-Sy</w:t>
      </w:r>
      <w:r w:rsidRPr="003F21B9">
        <w:rPr>
          <w:rFonts w:asciiTheme="majorBidi" w:hAnsiTheme="majorBidi" w:cstheme="majorBidi"/>
          <w:sz w:val="24"/>
          <w:szCs w:val="24"/>
        </w:rPr>
        <w:t>ā</w:t>
      </w:r>
      <w:r w:rsidRPr="00882C83">
        <w:rPr>
          <w:rFonts w:asciiTheme="majorBidi" w:hAnsiTheme="majorBidi" w:cstheme="majorBidi"/>
          <w:sz w:val="24"/>
          <w:szCs w:val="24"/>
        </w:rPr>
        <w:t xml:space="preserve">thibi dalam </w:t>
      </w:r>
      <w:r w:rsidRPr="00882C83">
        <w:rPr>
          <w:rFonts w:asciiTheme="majorBidi" w:hAnsiTheme="majorBidi" w:cstheme="majorBidi"/>
          <w:i/>
          <w:iCs/>
          <w:sz w:val="24"/>
          <w:szCs w:val="24"/>
        </w:rPr>
        <w:t>al-Muwafaq</w:t>
      </w:r>
      <w:r w:rsidRPr="004810BF">
        <w:rPr>
          <w:rFonts w:asciiTheme="majorBidi" w:hAnsiTheme="majorBidi" w:cstheme="majorBidi"/>
          <w:i/>
          <w:iCs/>
          <w:sz w:val="24"/>
          <w:szCs w:val="24"/>
        </w:rPr>
        <w:t>āt</w:t>
      </w:r>
      <w:r w:rsidRPr="004810BF">
        <w:rPr>
          <w:rFonts w:asciiTheme="majorBidi" w:hAnsiTheme="majorBidi" w:cstheme="majorBidi"/>
          <w:sz w:val="24"/>
          <w:szCs w:val="24"/>
        </w:rPr>
        <w:t xml:space="preserve"> yang menegaskan hal serupa, yaitu: </w:t>
      </w:r>
    </w:p>
    <w:p w:rsidR="00343B61" w:rsidRPr="00CF5597" w:rsidRDefault="00343B61" w:rsidP="00343B61">
      <w:pPr>
        <w:pStyle w:val="ListParagraph"/>
        <w:autoSpaceDE w:val="0"/>
        <w:autoSpaceDN w:val="0"/>
        <w:bidi/>
        <w:adjustRightInd w:val="0"/>
        <w:spacing w:after="0"/>
        <w:ind w:left="0" w:right="90"/>
        <w:jc w:val="both"/>
        <w:rPr>
          <w:rFonts w:asciiTheme="majorBidi" w:hAnsiTheme="majorBidi" w:cs="Traditional Arabic"/>
          <w:color w:val="000000" w:themeColor="text1"/>
          <w:sz w:val="32"/>
          <w:szCs w:val="32"/>
        </w:rPr>
      </w:pPr>
      <w:r w:rsidRPr="003B152D">
        <w:rPr>
          <w:rFonts w:ascii="Arial" w:hAnsi="Arial" w:cs="Traditional Arabic"/>
          <w:color w:val="000000" w:themeColor="text1"/>
          <w:sz w:val="32"/>
          <w:szCs w:val="32"/>
          <w:rtl/>
        </w:rPr>
        <w:t>وهو أن كل أصل شرعي لم يشهد له نص معين، وكان ملائما لتصرفات الشرع، ومأخوذا معناه من أدلته؛ فهو صحيح يُبنى</w:t>
      </w:r>
      <w:r w:rsidRPr="003B152D">
        <w:rPr>
          <w:rFonts w:ascii="Arial" w:hAnsi="Arial" w:cs="Traditional Arabic"/>
          <w:color w:val="000000" w:themeColor="text1"/>
          <w:sz w:val="32"/>
          <w:szCs w:val="32"/>
        </w:rPr>
        <w:t xml:space="preserve"> </w:t>
      </w:r>
      <w:r w:rsidRPr="003B152D">
        <w:rPr>
          <w:rFonts w:ascii="Arial" w:hAnsi="Arial" w:cs="Traditional Arabic"/>
          <w:color w:val="000000" w:themeColor="text1"/>
          <w:sz w:val="32"/>
          <w:szCs w:val="32"/>
          <w:rtl/>
        </w:rPr>
        <w:t>عليه، ويُرجع إليه إذا كان ذلك الأصل قد صار بمجموع أدلته مقطوعا به؛ لأن الأدلة لا يلزم أن تدل على القطع بالحكم بانفرادها دون انضمام غيرها إليها كما تقدم؛ لأن ذلك كالمتعذر</w:t>
      </w:r>
      <w:r w:rsidRPr="003B152D">
        <w:rPr>
          <w:rStyle w:val="FootnoteReference"/>
          <w:rFonts w:asciiTheme="majorBidi" w:hAnsiTheme="majorBidi" w:cs="Traditional Arabic"/>
          <w:color w:val="000000" w:themeColor="text1"/>
          <w:sz w:val="32"/>
          <w:szCs w:val="32"/>
          <w:rtl/>
        </w:rPr>
        <w:footnoteReference w:id="609"/>
      </w:r>
    </w:p>
    <w:p w:rsidR="00343B61" w:rsidRPr="00882C83" w:rsidRDefault="00343B61" w:rsidP="00343B61">
      <w:pPr>
        <w:pStyle w:val="ListParagraph"/>
        <w:autoSpaceDE w:val="0"/>
        <w:autoSpaceDN w:val="0"/>
        <w:adjustRightInd w:val="0"/>
        <w:spacing w:after="0" w:line="240" w:lineRule="auto"/>
        <w:ind w:left="810"/>
        <w:jc w:val="both"/>
        <w:rPr>
          <w:rFonts w:asciiTheme="majorBidi" w:hAnsiTheme="majorBidi" w:cstheme="majorBidi"/>
          <w:i/>
          <w:iCs/>
          <w:sz w:val="24"/>
          <w:szCs w:val="24"/>
        </w:rPr>
      </w:pPr>
      <w:r w:rsidRPr="00882C83">
        <w:rPr>
          <w:rFonts w:asciiTheme="majorBidi" w:hAnsiTheme="majorBidi" w:cstheme="majorBidi"/>
          <w:sz w:val="24"/>
          <w:szCs w:val="24"/>
        </w:rPr>
        <w:t>Artinya:</w:t>
      </w:r>
      <w:r w:rsidRPr="00882C83">
        <w:rPr>
          <w:rFonts w:asciiTheme="majorBidi" w:hAnsiTheme="majorBidi" w:cstheme="majorBidi"/>
          <w:i/>
          <w:iCs/>
          <w:sz w:val="24"/>
          <w:szCs w:val="24"/>
        </w:rPr>
        <w:t xml:space="preserve"> “Setiap dasar agama (kemaslahatan) yang tidak ditunjuk oleh nash tertentu dan ia sejalan dengan tindakan syara’ serta maknanya diambil dari dalil-dalil syara’, maka hal itu benar, dapat dijadikan landasan hukum dan dijadikan rujukan. Demikian itu apabila kemaslahatan tersebut berdasarkan kumpulan beberapa dalil dapat dipastikan kebenarannya. Sebab dalil-dalil itu tidak mesti menunjukkan kepastian hukum secara berdiri sendiri tanpa digabungkan dengan dalil yang lain, sebagaimana penjelasan terdahulu. Hal tersebut karena yang demikian itu nampaknya sulit terjadi”.</w:t>
      </w:r>
    </w:p>
    <w:p w:rsidR="00343B61" w:rsidRPr="00882C83" w:rsidRDefault="00343B61" w:rsidP="00343B61">
      <w:pPr>
        <w:autoSpaceDE w:val="0"/>
        <w:autoSpaceDN w:val="0"/>
        <w:adjustRightInd w:val="0"/>
        <w:spacing w:after="0" w:line="240" w:lineRule="auto"/>
        <w:jc w:val="both"/>
        <w:rPr>
          <w:rFonts w:asciiTheme="majorBidi" w:hAnsiTheme="majorBidi" w:cstheme="majorBidi"/>
          <w:i/>
          <w:iCs/>
          <w:sz w:val="24"/>
          <w:szCs w:val="24"/>
        </w:rPr>
      </w:pPr>
    </w:p>
    <w:p w:rsidR="00343B61" w:rsidRDefault="00343B61" w:rsidP="00343B61">
      <w:pPr>
        <w:pStyle w:val="ListParagraph"/>
        <w:autoSpaceDE w:val="0"/>
        <w:autoSpaceDN w:val="0"/>
        <w:adjustRightInd w:val="0"/>
        <w:spacing w:after="0" w:line="360" w:lineRule="auto"/>
        <w:ind w:left="90" w:firstLine="630"/>
        <w:jc w:val="both"/>
        <w:rPr>
          <w:rFonts w:asciiTheme="majorBidi" w:hAnsiTheme="majorBidi" w:cstheme="majorBidi"/>
          <w:sz w:val="24"/>
          <w:szCs w:val="24"/>
        </w:rPr>
      </w:pPr>
      <w:r w:rsidRPr="00882C83">
        <w:rPr>
          <w:rFonts w:asciiTheme="majorBidi" w:hAnsiTheme="majorBidi" w:cstheme="majorBidi"/>
          <w:sz w:val="24"/>
          <w:szCs w:val="24"/>
        </w:rPr>
        <w:t xml:space="preserve">Dari tiga pendapat diatas dapat disimpulkan bahwa hakekat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sidRPr="00882C83">
        <w:rPr>
          <w:rFonts w:asciiTheme="majorBidi" w:hAnsiTheme="majorBidi" w:cstheme="majorBidi"/>
          <w:sz w:val="24"/>
          <w:szCs w:val="24"/>
        </w:rPr>
        <w:t xml:space="preserve"> adalah memelihara tujuan syara’(hukum Islam) yang lima, </w:t>
      </w:r>
      <w:r>
        <w:rPr>
          <w:rFonts w:asciiTheme="majorBidi" w:hAnsiTheme="majorBidi" w:cstheme="majorBidi"/>
          <w:sz w:val="24"/>
          <w:szCs w:val="24"/>
        </w:rPr>
        <w:t xml:space="preserve">atau </w:t>
      </w:r>
      <w:r w:rsidRPr="00882C83">
        <w:rPr>
          <w:rFonts w:asciiTheme="majorBidi" w:hAnsiTheme="majorBidi" w:cstheme="majorBidi"/>
          <w:sz w:val="24"/>
          <w:szCs w:val="24"/>
        </w:rPr>
        <w:t xml:space="preserve">yang dikenal dengan istilah </w:t>
      </w:r>
      <w:r>
        <w:rPr>
          <w:rFonts w:asciiTheme="majorBidi" w:hAnsiTheme="majorBidi" w:cstheme="majorBidi"/>
          <w:i/>
          <w:iCs/>
          <w:sz w:val="24"/>
          <w:szCs w:val="24"/>
        </w:rPr>
        <w:t>ad-dlaruriyy</w:t>
      </w:r>
      <w:r w:rsidRPr="004810BF">
        <w:rPr>
          <w:rFonts w:asciiTheme="majorBidi" w:hAnsiTheme="majorBidi" w:cstheme="majorBidi"/>
          <w:i/>
          <w:iCs/>
          <w:sz w:val="24"/>
          <w:szCs w:val="24"/>
        </w:rPr>
        <w:t>ā</w:t>
      </w:r>
      <w:r w:rsidRPr="00882C83">
        <w:rPr>
          <w:rFonts w:asciiTheme="majorBidi" w:hAnsiTheme="majorBidi" w:cstheme="majorBidi"/>
          <w:i/>
          <w:iCs/>
          <w:sz w:val="24"/>
          <w:szCs w:val="24"/>
        </w:rPr>
        <w:t>t al-khams</w:t>
      </w:r>
      <w:r>
        <w:rPr>
          <w:rFonts w:asciiTheme="majorBidi" w:hAnsiTheme="majorBidi" w:cstheme="majorBidi"/>
          <w:sz w:val="24"/>
          <w:szCs w:val="24"/>
        </w:rPr>
        <w:t xml:space="preserve"> </w:t>
      </w:r>
      <w:r w:rsidRPr="00882C83">
        <w:rPr>
          <w:rFonts w:asciiTheme="majorBidi" w:hAnsiTheme="majorBidi" w:cstheme="majorBidi"/>
          <w:sz w:val="24"/>
          <w:szCs w:val="24"/>
        </w:rPr>
        <w:t>yaitu memelihara agama, jiwa, akal, keturunan, dan harta serta menolak kerusakan dan hal-hal yang merugikan manusia. Sehingga setiap hal yang meniadakan</w:t>
      </w:r>
      <w:r>
        <w:rPr>
          <w:rFonts w:asciiTheme="majorBidi" w:hAnsiTheme="majorBidi" w:cstheme="majorBidi"/>
          <w:sz w:val="24"/>
          <w:szCs w:val="24"/>
        </w:rPr>
        <w:t xml:space="preserve"> lima</w:t>
      </w:r>
      <w:r w:rsidRPr="00882C83">
        <w:rPr>
          <w:rFonts w:asciiTheme="majorBidi" w:hAnsiTheme="majorBidi" w:cstheme="majorBidi"/>
          <w:sz w:val="24"/>
          <w:szCs w:val="24"/>
        </w:rPr>
        <w:t xml:space="preserve"> hal itu disebut mafsadat dan menolaknya disebut </w:t>
      </w:r>
      <w:r w:rsidRPr="00D814C3">
        <w:rPr>
          <w:rFonts w:asciiTheme="majorBidi" w:hAnsiTheme="majorBidi" w:cstheme="majorBidi"/>
          <w:i/>
          <w:iCs/>
          <w:sz w:val="24"/>
          <w:szCs w:val="24"/>
        </w:rPr>
        <w:t>masla</w:t>
      </w:r>
      <w:r w:rsidRPr="00D814C3">
        <w:rPr>
          <w:rFonts w:ascii="Times New Roman" w:hAnsi="Times New Roman" w:cs="Times New Roman"/>
          <w:i/>
          <w:iCs/>
          <w:sz w:val="24"/>
          <w:szCs w:val="24"/>
          <w:u w:val="single"/>
          <w:lang w:val="id-ID"/>
        </w:rPr>
        <w:t>h</w:t>
      </w:r>
      <w:r w:rsidRPr="00D814C3">
        <w:rPr>
          <w:rFonts w:asciiTheme="majorBidi" w:hAnsiTheme="majorBidi" w:cstheme="majorBidi"/>
          <w:i/>
          <w:iCs/>
          <w:sz w:val="24"/>
          <w:szCs w:val="24"/>
        </w:rPr>
        <w:t>ah</w:t>
      </w:r>
      <w:r>
        <w:rPr>
          <w:rFonts w:asciiTheme="majorBidi" w:hAnsiTheme="majorBidi" w:cstheme="majorBidi"/>
          <w:sz w:val="24"/>
          <w:szCs w:val="24"/>
        </w:rPr>
        <w:t xml:space="preserve">. </w:t>
      </w:r>
    </w:p>
    <w:p w:rsidR="00343B61" w:rsidRPr="0053098C" w:rsidRDefault="00343B61" w:rsidP="00343B61">
      <w:pPr>
        <w:pStyle w:val="ListParagraph"/>
        <w:autoSpaceDE w:val="0"/>
        <w:autoSpaceDN w:val="0"/>
        <w:adjustRightInd w:val="0"/>
        <w:spacing w:after="0" w:line="360" w:lineRule="auto"/>
        <w:ind w:left="90" w:firstLine="630"/>
        <w:jc w:val="both"/>
        <w:rPr>
          <w:rFonts w:asciiTheme="majorBidi" w:hAnsiTheme="majorBidi" w:cstheme="majorBidi"/>
          <w:i/>
          <w:iCs/>
          <w:sz w:val="24"/>
          <w:szCs w:val="24"/>
        </w:rPr>
      </w:pPr>
      <w:r>
        <w:rPr>
          <w:rFonts w:asciiTheme="majorBidi" w:hAnsiTheme="majorBidi" w:cstheme="majorBidi"/>
          <w:sz w:val="24"/>
          <w:szCs w:val="24"/>
        </w:rPr>
        <w:lastRenderedPageBreak/>
        <w:t xml:space="preserve">Dengan demikian, kedudukan </w:t>
      </w:r>
      <w:r w:rsidRPr="008B4FA9">
        <w:rPr>
          <w:rFonts w:asciiTheme="majorBidi" w:hAnsiTheme="majorBidi" w:cstheme="majorBidi"/>
          <w:i/>
          <w:iCs/>
          <w:sz w:val="24"/>
          <w:szCs w:val="24"/>
        </w:rPr>
        <w:t>siy</w:t>
      </w:r>
      <w:r w:rsidRPr="008B4FA9">
        <w:rPr>
          <w:rFonts w:asciiTheme="majorBidi" w:hAnsiTheme="majorBidi" w:cstheme="majorBidi"/>
          <w:i/>
          <w:iCs/>
        </w:rPr>
        <w:t>ā</w:t>
      </w:r>
      <w:r w:rsidRPr="008B4FA9">
        <w:rPr>
          <w:rFonts w:asciiTheme="majorBidi" w:hAnsiTheme="majorBidi" w:cstheme="majorBidi"/>
          <w:i/>
          <w:iCs/>
          <w:sz w:val="24"/>
          <w:szCs w:val="24"/>
        </w:rPr>
        <w:t>sah</w:t>
      </w:r>
      <w:r w:rsidRPr="00882C83">
        <w:rPr>
          <w:rFonts w:asciiTheme="majorBidi" w:hAnsiTheme="majorBidi" w:cstheme="majorBidi"/>
          <w:sz w:val="24"/>
          <w:szCs w:val="24"/>
        </w:rPr>
        <w:t xml:space="preserve"> </w:t>
      </w:r>
      <w:r w:rsidRPr="002961CA">
        <w:rPr>
          <w:rFonts w:asciiTheme="majorBidi" w:hAnsiTheme="majorBidi" w:cstheme="majorBidi"/>
          <w:i/>
          <w:iCs/>
          <w:sz w:val="24"/>
          <w:szCs w:val="24"/>
        </w:rPr>
        <w:t>syar</w:t>
      </w:r>
      <w:r>
        <w:t>‘</w:t>
      </w:r>
      <w:r w:rsidRPr="002961CA">
        <w:rPr>
          <w:rFonts w:asciiTheme="majorBidi" w:hAnsiTheme="majorBidi" w:cstheme="majorBidi"/>
          <w:i/>
          <w:iCs/>
          <w:sz w:val="24"/>
          <w:szCs w:val="24"/>
        </w:rPr>
        <w:t>i</w:t>
      </w:r>
      <w:r>
        <w:rPr>
          <w:rFonts w:asciiTheme="majorBidi" w:hAnsiTheme="majorBidi" w:cstheme="majorBidi"/>
          <w:i/>
          <w:iCs/>
          <w:sz w:val="24"/>
          <w:szCs w:val="24"/>
        </w:rPr>
        <w:t>y</w:t>
      </w:r>
      <w:r w:rsidRPr="002961CA">
        <w:rPr>
          <w:rFonts w:asciiTheme="majorBidi" w:hAnsiTheme="majorBidi" w:cstheme="majorBidi"/>
          <w:i/>
          <w:iCs/>
          <w:sz w:val="24"/>
          <w:szCs w:val="24"/>
        </w:rPr>
        <w:t>yah</w:t>
      </w:r>
      <w:r w:rsidRPr="00882C83">
        <w:rPr>
          <w:rFonts w:asciiTheme="majorBidi" w:hAnsiTheme="majorBidi" w:cstheme="majorBidi"/>
          <w:sz w:val="24"/>
          <w:szCs w:val="24"/>
        </w:rPr>
        <w:t xml:space="preserve"> sebagai sebuah metode penetapan </w:t>
      </w:r>
      <w:r>
        <w:rPr>
          <w:rFonts w:asciiTheme="majorBidi" w:hAnsiTheme="majorBidi" w:cstheme="majorBidi"/>
          <w:sz w:val="24"/>
          <w:szCs w:val="24"/>
        </w:rPr>
        <w:t xml:space="preserve">hukum sangat diperhatikan </w:t>
      </w:r>
      <w:r w:rsidRPr="00882C83">
        <w:rPr>
          <w:rFonts w:asciiTheme="majorBidi" w:hAnsiTheme="majorBidi" w:cstheme="majorBidi"/>
          <w:sz w:val="24"/>
          <w:szCs w:val="24"/>
        </w:rPr>
        <w:t>oleh MUI</w:t>
      </w:r>
      <w:r>
        <w:rPr>
          <w:rFonts w:asciiTheme="majorBidi" w:hAnsiTheme="majorBidi" w:cstheme="majorBidi"/>
          <w:sz w:val="24"/>
          <w:szCs w:val="24"/>
        </w:rPr>
        <w:t xml:space="preserve"> setiap akan mengeluarkan fatwa, sebab </w:t>
      </w:r>
      <w:r w:rsidRPr="008B4FA9">
        <w:rPr>
          <w:rFonts w:asciiTheme="majorBidi" w:hAnsiTheme="majorBidi" w:cstheme="majorBidi"/>
          <w:i/>
          <w:iCs/>
          <w:sz w:val="24"/>
          <w:szCs w:val="24"/>
        </w:rPr>
        <w:t>siy</w:t>
      </w:r>
      <w:r w:rsidRPr="008B4FA9">
        <w:rPr>
          <w:rFonts w:asciiTheme="majorBidi" w:hAnsiTheme="majorBidi" w:cstheme="majorBidi"/>
          <w:i/>
          <w:iCs/>
        </w:rPr>
        <w:t>ā</w:t>
      </w:r>
      <w:r w:rsidRPr="008B4FA9">
        <w:rPr>
          <w:rFonts w:asciiTheme="majorBidi" w:hAnsiTheme="majorBidi" w:cstheme="majorBidi"/>
          <w:i/>
          <w:iCs/>
          <w:sz w:val="24"/>
          <w:szCs w:val="24"/>
        </w:rPr>
        <w:t>sah</w:t>
      </w:r>
      <w:r>
        <w:rPr>
          <w:rFonts w:asciiTheme="majorBidi" w:hAnsiTheme="majorBidi" w:cstheme="majorBidi"/>
          <w:sz w:val="24"/>
          <w:szCs w:val="24"/>
        </w:rPr>
        <w:t xml:space="preserve"> </w:t>
      </w:r>
      <w:r w:rsidRPr="002961CA">
        <w:rPr>
          <w:rFonts w:asciiTheme="majorBidi" w:hAnsiTheme="majorBidi" w:cstheme="majorBidi"/>
          <w:i/>
          <w:iCs/>
          <w:sz w:val="24"/>
          <w:szCs w:val="24"/>
        </w:rPr>
        <w:t>syar</w:t>
      </w:r>
      <w:r>
        <w:t>‘</w:t>
      </w:r>
      <w:r w:rsidRPr="002961CA">
        <w:rPr>
          <w:rFonts w:asciiTheme="majorBidi" w:hAnsiTheme="majorBidi" w:cstheme="majorBidi"/>
          <w:i/>
          <w:iCs/>
          <w:sz w:val="24"/>
          <w:szCs w:val="24"/>
        </w:rPr>
        <w:t>i</w:t>
      </w:r>
      <w:r>
        <w:rPr>
          <w:rFonts w:asciiTheme="majorBidi" w:hAnsiTheme="majorBidi" w:cstheme="majorBidi"/>
          <w:i/>
          <w:iCs/>
          <w:sz w:val="24"/>
          <w:szCs w:val="24"/>
        </w:rPr>
        <w:t>y</w:t>
      </w:r>
      <w:r w:rsidRPr="002961CA">
        <w:rPr>
          <w:rFonts w:asciiTheme="majorBidi" w:hAnsiTheme="majorBidi" w:cstheme="majorBidi"/>
          <w:i/>
          <w:iCs/>
          <w:sz w:val="24"/>
          <w:szCs w:val="24"/>
        </w:rPr>
        <w:t>yah</w:t>
      </w:r>
      <w:r w:rsidRPr="00882C83">
        <w:rPr>
          <w:rFonts w:asciiTheme="majorBidi" w:hAnsiTheme="majorBidi" w:cstheme="majorBidi"/>
          <w:sz w:val="24"/>
          <w:szCs w:val="24"/>
        </w:rPr>
        <w:t xml:space="preserve"> </w:t>
      </w:r>
      <w:r>
        <w:rPr>
          <w:rFonts w:asciiTheme="majorBidi" w:hAnsiTheme="majorBidi" w:cstheme="majorBidi"/>
          <w:sz w:val="24"/>
          <w:szCs w:val="24"/>
        </w:rPr>
        <w:t xml:space="preserve">merupakan bagian dari upaya </w:t>
      </w:r>
      <w:r w:rsidRPr="00882C83">
        <w:rPr>
          <w:rFonts w:asciiTheme="majorBidi" w:hAnsiTheme="majorBidi" w:cstheme="majorBidi"/>
          <w:sz w:val="24"/>
          <w:szCs w:val="24"/>
        </w:rPr>
        <w:t xml:space="preserve">menentukan kemashlahatan, </w:t>
      </w:r>
      <w:r>
        <w:rPr>
          <w:rFonts w:asciiTheme="majorBidi" w:hAnsiTheme="majorBidi" w:cstheme="majorBidi"/>
          <w:sz w:val="24"/>
          <w:szCs w:val="24"/>
        </w:rPr>
        <w:t xml:space="preserve">dengan memperhatikan </w:t>
      </w:r>
      <w:r w:rsidRPr="008B4FA9">
        <w:rPr>
          <w:rFonts w:asciiTheme="majorBidi" w:hAnsiTheme="majorBidi" w:cstheme="majorBidi"/>
          <w:i/>
          <w:iCs/>
          <w:sz w:val="24"/>
          <w:szCs w:val="24"/>
        </w:rPr>
        <w:t>siy</w:t>
      </w:r>
      <w:r w:rsidRPr="008B4FA9">
        <w:rPr>
          <w:rFonts w:asciiTheme="majorBidi" w:hAnsiTheme="majorBidi" w:cstheme="majorBidi"/>
          <w:i/>
          <w:iCs/>
        </w:rPr>
        <w:t>ā</w:t>
      </w:r>
      <w:r w:rsidRPr="008B4FA9">
        <w:rPr>
          <w:rFonts w:asciiTheme="majorBidi" w:hAnsiTheme="majorBidi" w:cstheme="majorBidi"/>
          <w:i/>
          <w:iCs/>
          <w:sz w:val="24"/>
          <w:szCs w:val="24"/>
        </w:rPr>
        <w:t>sah</w:t>
      </w:r>
      <w:r w:rsidRPr="00882C83">
        <w:rPr>
          <w:rFonts w:asciiTheme="majorBidi" w:hAnsiTheme="majorBidi" w:cstheme="majorBidi"/>
          <w:sz w:val="24"/>
          <w:szCs w:val="24"/>
        </w:rPr>
        <w:t xml:space="preserve"> </w:t>
      </w:r>
      <w:r w:rsidRPr="002961CA">
        <w:rPr>
          <w:rFonts w:asciiTheme="majorBidi" w:hAnsiTheme="majorBidi" w:cstheme="majorBidi"/>
          <w:i/>
          <w:iCs/>
          <w:sz w:val="24"/>
          <w:szCs w:val="24"/>
        </w:rPr>
        <w:t>syar</w:t>
      </w:r>
      <w:r>
        <w:t>‘</w:t>
      </w:r>
      <w:r w:rsidRPr="002961CA">
        <w:rPr>
          <w:rFonts w:asciiTheme="majorBidi" w:hAnsiTheme="majorBidi" w:cstheme="majorBidi"/>
          <w:i/>
          <w:iCs/>
          <w:sz w:val="24"/>
          <w:szCs w:val="24"/>
        </w:rPr>
        <w:t>i</w:t>
      </w:r>
      <w:r>
        <w:rPr>
          <w:rFonts w:asciiTheme="majorBidi" w:hAnsiTheme="majorBidi" w:cstheme="majorBidi"/>
          <w:i/>
          <w:iCs/>
          <w:sz w:val="24"/>
          <w:szCs w:val="24"/>
        </w:rPr>
        <w:t>y</w:t>
      </w:r>
      <w:r w:rsidRPr="002961CA">
        <w:rPr>
          <w:rFonts w:asciiTheme="majorBidi" w:hAnsiTheme="majorBidi" w:cstheme="majorBidi"/>
          <w:i/>
          <w:iCs/>
          <w:sz w:val="24"/>
          <w:szCs w:val="24"/>
        </w:rPr>
        <w:t>yah</w:t>
      </w:r>
      <w:r w:rsidRPr="00882C83">
        <w:rPr>
          <w:rFonts w:asciiTheme="majorBidi" w:hAnsiTheme="majorBidi" w:cstheme="majorBidi"/>
          <w:sz w:val="24"/>
          <w:szCs w:val="24"/>
        </w:rPr>
        <w:t xml:space="preserve"> </w:t>
      </w:r>
      <w:r>
        <w:rPr>
          <w:rFonts w:asciiTheme="majorBidi" w:hAnsiTheme="majorBidi" w:cstheme="majorBidi"/>
          <w:sz w:val="24"/>
          <w:szCs w:val="24"/>
        </w:rPr>
        <w:t xml:space="preserve">tersebut diharapakan </w:t>
      </w:r>
      <w:r w:rsidRPr="00882C83">
        <w:rPr>
          <w:rFonts w:asciiTheme="majorBidi" w:hAnsiTheme="majorBidi" w:cstheme="majorBidi"/>
          <w:sz w:val="24"/>
          <w:szCs w:val="24"/>
        </w:rPr>
        <w:t>setiap fatwa MUI dapat mewujudkan kemaslahatan tersebut, baik yang bersifat</w:t>
      </w:r>
      <w:r w:rsidRPr="0053098C">
        <w:rPr>
          <w:rFonts w:asciiTheme="majorBidi" w:hAnsiTheme="majorBidi" w:cstheme="majorBidi"/>
          <w:i/>
          <w:iCs/>
          <w:sz w:val="24"/>
          <w:szCs w:val="24"/>
        </w:rPr>
        <w:t xml:space="preserve"> </w:t>
      </w:r>
      <w:r w:rsidRPr="00882C83">
        <w:rPr>
          <w:rFonts w:asciiTheme="majorBidi" w:hAnsiTheme="majorBidi" w:cstheme="majorBidi"/>
          <w:i/>
          <w:iCs/>
          <w:sz w:val="24"/>
          <w:szCs w:val="24"/>
        </w:rPr>
        <w:t>dunyawiyah</w:t>
      </w:r>
      <w:r w:rsidRPr="0053098C">
        <w:rPr>
          <w:rFonts w:asciiTheme="majorBidi" w:hAnsiTheme="majorBidi" w:cstheme="majorBidi"/>
          <w:sz w:val="24"/>
          <w:szCs w:val="24"/>
        </w:rPr>
        <w:t xml:space="preserve"> maupun</w:t>
      </w:r>
      <w:r w:rsidRPr="0053098C">
        <w:rPr>
          <w:rFonts w:asciiTheme="majorBidi" w:hAnsiTheme="majorBidi" w:cstheme="majorBidi"/>
          <w:i/>
          <w:iCs/>
          <w:sz w:val="24"/>
          <w:szCs w:val="24"/>
        </w:rPr>
        <w:t xml:space="preserve"> ukhr</w:t>
      </w:r>
      <w:r w:rsidRPr="004810BF">
        <w:rPr>
          <w:rFonts w:asciiTheme="majorBidi" w:hAnsiTheme="majorBidi" w:cstheme="majorBidi"/>
          <w:i/>
          <w:iCs/>
          <w:sz w:val="24"/>
          <w:szCs w:val="24"/>
        </w:rPr>
        <w:t>ā</w:t>
      </w:r>
      <w:r w:rsidRPr="0053098C">
        <w:rPr>
          <w:rFonts w:asciiTheme="majorBidi" w:hAnsiTheme="majorBidi" w:cstheme="majorBidi"/>
          <w:i/>
          <w:iCs/>
          <w:sz w:val="24"/>
          <w:szCs w:val="24"/>
        </w:rPr>
        <w:t>wiyah</w:t>
      </w:r>
      <w:r>
        <w:rPr>
          <w:rFonts w:asciiTheme="majorBidi" w:hAnsiTheme="majorBidi" w:cstheme="majorBidi"/>
          <w:sz w:val="24"/>
          <w:szCs w:val="24"/>
        </w:rPr>
        <w:t>.</w:t>
      </w:r>
    </w:p>
    <w:p w:rsidR="00343B61" w:rsidRPr="00FF5DAC" w:rsidRDefault="00343B61" w:rsidP="00343B61">
      <w:pPr>
        <w:autoSpaceDE w:val="0"/>
        <w:autoSpaceDN w:val="0"/>
        <w:adjustRightInd w:val="0"/>
        <w:spacing w:after="0" w:line="360" w:lineRule="auto"/>
        <w:ind w:left="270" w:hanging="270"/>
        <w:jc w:val="both"/>
        <w:rPr>
          <w:rFonts w:asciiTheme="majorBidi" w:hAnsiTheme="majorBidi" w:cstheme="majorBidi"/>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343B61" w:rsidRPr="00580B62" w:rsidRDefault="00343B61" w:rsidP="00343B61">
      <w:pPr>
        <w:spacing w:line="360" w:lineRule="auto"/>
        <w:jc w:val="center"/>
        <w:rPr>
          <w:rFonts w:asciiTheme="majorBidi" w:hAnsiTheme="majorBidi" w:cstheme="majorBidi"/>
          <w:sz w:val="24"/>
          <w:szCs w:val="24"/>
        </w:rPr>
      </w:pPr>
      <w:r>
        <w:rPr>
          <w:rFonts w:asciiTheme="majorBidi" w:hAnsiTheme="majorBidi" w:cstheme="majorBidi"/>
          <w:sz w:val="24"/>
          <w:szCs w:val="24"/>
        </w:rPr>
        <w:t>BAB IV</w:t>
      </w:r>
      <w:r w:rsidRPr="00580B62">
        <w:rPr>
          <w:rFonts w:asciiTheme="majorBidi" w:hAnsiTheme="majorBidi" w:cstheme="majorBidi"/>
          <w:sz w:val="24"/>
          <w:szCs w:val="24"/>
        </w:rPr>
        <w:t xml:space="preserve"> </w:t>
      </w:r>
      <w:r w:rsidRPr="00580B62">
        <w:rPr>
          <w:rFonts w:asciiTheme="majorBidi" w:hAnsiTheme="majorBidi" w:cstheme="majorBidi"/>
          <w:sz w:val="24"/>
          <w:szCs w:val="24"/>
        </w:rPr>
        <w:tab/>
      </w:r>
    </w:p>
    <w:p w:rsidR="00343B61" w:rsidRPr="00FC79D0" w:rsidRDefault="00343B61" w:rsidP="00343B61">
      <w:pPr>
        <w:pStyle w:val="ListParagraph"/>
        <w:tabs>
          <w:tab w:val="left" w:pos="1620"/>
        </w:tabs>
        <w:spacing w:line="360" w:lineRule="auto"/>
        <w:ind w:left="0"/>
        <w:jc w:val="center"/>
        <w:rPr>
          <w:rFonts w:asciiTheme="majorBidi" w:hAnsiTheme="majorBidi" w:cstheme="majorBidi"/>
          <w:sz w:val="24"/>
          <w:szCs w:val="24"/>
        </w:rPr>
      </w:pPr>
      <w:r w:rsidRPr="0033472F">
        <w:rPr>
          <w:rFonts w:asciiTheme="majorBidi" w:hAnsiTheme="majorBidi" w:cstheme="majorBidi"/>
          <w:sz w:val="24"/>
          <w:szCs w:val="24"/>
          <w:lang w:val="sv-SE"/>
        </w:rPr>
        <w:t xml:space="preserve">FATWA-FATWA </w:t>
      </w:r>
      <w:r w:rsidRPr="0033472F">
        <w:rPr>
          <w:rFonts w:asciiTheme="majorBidi" w:hAnsiTheme="majorBidi" w:cstheme="majorBidi"/>
          <w:sz w:val="24"/>
          <w:szCs w:val="24"/>
        </w:rPr>
        <w:t>MAJELIS ULAMA INDONESIA</w:t>
      </w:r>
      <w:r>
        <w:rPr>
          <w:rFonts w:asciiTheme="majorBidi" w:hAnsiTheme="majorBidi" w:cstheme="majorBidi"/>
          <w:sz w:val="24"/>
          <w:szCs w:val="24"/>
        </w:rPr>
        <w:t xml:space="preserve"> </w:t>
      </w:r>
      <w:r>
        <w:rPr>
          <w:rFonts w:asciiTheme="majorBidi" w:hAnsiTheme="majorBidi" w:cstheme="majorBidi"/>
          <w:sz w:val="24"/>
          <w:szCs w:val="24"/>
          <w:lang w:val="sv-SE"/>
        </w:rPr>
        <w:t xml:space="preserve">TENTANG HUKUM KELUARGA KONTEKS DAN </w:t>
      </w:r>
      <w:r w:rsidRPr="0033472F">
        <w:rPr>
          <w:rFonts w:asciiTheme="majorBidi" w:hAnsiTheme="majorBidi" w:cstheme="majorBidi"/>
          <w:sz w:val="24"/>
          <w:szCs w:val="24"/>
          <w:lang w:val="sv-SE"/>
        </w:rPr>
        <w:t>ARGUMENTASINYA</w:t>
      </w:r>
    </w:p>
    <w:p w:rsidR="00343B61" w:rsidRDefault="00343B61" w:rsidP="00343B61">
      <w:pPr>
        <w:tabs>
          <w:tab w:val="left" w:pos="1800"/>
        </w:tabs>
        <w:spacing w:line="360" w:lineRule="auto"/>
        <w:ind w:firstLine="540"/>
        <w:jc w:val="both"/>
        <w:rPr>
          <w:rFonts w:asciiTheme="majorBidi" w:hAnsiTheme="majorBidi" w:cstheme="majorBidi"/>
          <w:sz w:val="24"/>
          <w:szCs w:val="24"/>
          <w:lang w:val="sv-SE"/>
        </w:rPr>
      </w:pPr>
      <w:r>
        <w:rPr>
          <w:rFonts w:asciiTheme="majorBidi" w:hAnsiTheme="majorBidi" w:cstheme="majorBidi"/>
          <w:sz w:val="24"/>
          <w:szCs w:val="24"/>
          <w:lang w:val="sv-SE"/>
        </w:rPr>
        <w:t xml:space="preserve">Pada bab ini akan dikaji fatwa-fatwa Majelis Ulama Indonesia (MUI) yang masuk dalam rumpun kajian Hukum Keluarga.  Dalam hal ini </w:t>
      </w:r>
      <w:r w:rsidRPr="00F63DAC">
        <w:rPr>
          <w:rFonts w:asciiTheme="majorBidi" w:hAnsiTheme="majorBidi" w:cstheme="majorBidi"/>
          <w:sz w:val="24"/>
          <w:szCs w:val="24"/>
          <w:lang w:val="sv-SE"/>
        </w:rPr>
        <w:t xml:space="preserve">pengertian Hukum Keluarga adalah hukum tentang hubungan manusia dengan keluarganya, yang dimulai dari perkawinan sampai berakhir pada pembagian warisan karena ada </w:t>
      </w:r>
      <w:r w:rsidRPr="00F63DAC">
        <w:rPr>
          <w:rFonts w:asciiTheme="majorBidi" w:hAnsiTheme="majorBidi" w:cstheme="majorBidi"/>
          <w:sz w:val="24"/>
          <w:szCs w:val="24"/>
          <w:lang w:val="sv-SE"/>
        </w:rPr>
        <w:lastRenderedPageBreak/>
        <w:t>anggota keluarga yang meninggal dunia</w:t>
      </w:r>
      <w:r>
        <w:rPr>
          <w:rStyle w:val="FootnoteReference"/>
          <w:rFonts w:asciiTheme="majorBidi" w:hAnsiTheme="majorBidi" w:cstheme="majorBidi"/>
          <w:sz w:val="24"/>
          <w:szCs w:val="24"/>
        </w:rPr>
        <w:footnoteReference w:id="610"/>
      </w:r>
      <w:r>
        <w:rPr>
          <w:rFonts w:asciiTheme="majorBidi" w:hAnsiTheme="majorBidi" w:cstheme="majorBidi"/>
          <w:sz w:val="24"/>
          <w:szCs w:val="24"/>
          <w:lang w:val="sv-SE"/>
        </w:rPr>
        <w:t xml:space="preserve">. </w:t>
      </w:r>
      <w:r w:rsidRPr="001E6FEC">
        <w:rPr>
          <w:rFonts w:asciiTheme="majorBidi" w:hAnsiTheme="majorBidi" w:cstheme="majorBidi"/>
          <w:sz w:val="24"/>
          <w:szCs w:val="24"/>
          <w:lang w:val="sv-SE"/>
        </w:rPr>
        <w:t xml:space="preserve">Secara umum cakupan dari hukum keluarga berdasarkan definisi ini terdiri atas tiga aspek pokok, yakni: 1). </w:t>
      </w:r>
      <w:r>
        <w:rPr>
          <w:rFonts w:asciiTheme="majorBidi" w:hAnsiTheme="majorBidi" w:cstheme="majorBidi"/>
          <w:sz w:val="24"/>
          <w:szCs w:val="24"/>
        </w:rPr>
        <w:t>Hukum Keluarga (</w:t>
      </w:r>
      <w:r w:rsidRPr="003F7FDA">
        <w:rPr>
          <w:rFonts w:asciiTheme="majorBidi" w:hAnsiTheme="majorBidi" w:cstheme="majorBidi"/>
          <w:i/>
          <w:iCs/>
          <w:sz w:val="24"/>
          <w:szCs w:val="24"/>
        </w:rPr>
        <w:t>usrah</w:t>
      </w:r>
      <w:r>
        <w:rPr>
          <w:rFonts w:asciiTheme="majorBidi" w:hAnsiTheme="majorBidi" w:cstheme="majorBidi"/>
          <w:sz w:val="24"/>
          <w:szCs w:val="24"/>
        </w:rPr>
        <w:t>) yang dimulai dari peminangan sampai perpisahan, baik karena ada yang wafat ataupun karena terjadi perceraian. 2) Hukum kekayaan keluarga (</w:t>
      </w:r>
      <w:r w:rsidRPr="00DA1B2C">
        <w:rPr>
          <w:rFonts w:asciiTheme="majorBidi" w:hAnsiTheme="majorBidi" w:cstheme="majorBidi"/>
          <w:i/>
          <w:iCs/>
          <w:sz w:val="24"/>
          <w:szCs w:val="24"/>
        </w:rPr>
        <w:t>amwāl</w:t>
      </w:r>
      <w:r>
        <w:rPr>
          <w:rFonts w:asciiTheme="majorBidi" w:hAnsiTheme="majorBidi" w:cstheme="majorBidi"/>
          <w:sz w:val="24"/>
          <w:szCs w:val="24"/>
        </w:rPr>
        <w:t>) yang mencakup waris, wasiat, wakaf, dan sejenisnya. 3) Hukum perwalian terhadap anak yang belum dewasa.</w:t>
      </w:r>
      <w:r>
        <w:rPr>
          <w:rStyle w:val="FootnoteReference"/>
          <w:rFonts w:asciiTheme="majorBidi" w:hAnsiTheme="majorBidi" w:cstheme="majorBidi"/>
          <w:sz w:val="24"/>
          <w:szCs w:val="24"/>
        </w:rPr>
        <w:footnoteReference w:id="611"/>
      </w:r>
      <w:r>
        <w:rPr>
          <w:rFonts w:asciiTheme="majorBidi" w:hAnsiTheme="majorBidi" w:cstheme="majorBidi"/>
          <w:sz w:val="24"/>
          <w:szCs w:val="24"/>
        </w:rPr>
        <w:t xml:space="preserve"> Karena Hukum Keluarga begitu luas, dan fatwa-fatwa MUI tentang Hukum keluarga sangat banyak,</w:t>
      </w:r>
      <w:r>
        <w:rPr>
          <w:rStyle w:val="FootnoteReference"/>
          <w:rFonts w:asciiTheme="majorBidi" w:hAnsiTheme="majorBidi" w:cstheme="majorBidi"/>
          <w:sz w:val="24"/>
          <w:szCs w:val="24"/>
        </w:rPr>
        <w:footnoteReference w:id="612"/>
      </w:r>
      <w:r>
        <w:rPr>
          <w:rFonts w:asciiTheme="majorBidi" w:hAnsiTheme="majorBidi" w:cstheme="majorBidi"/>
          <w:sz w:val="24"/>
          <w:szCs w:val="24"/>
        </w:rPr>
        <w:t xml:space="preserve"> agar pembahasan mendalam, maka penulis hanya membahas enam buah fatwa </w:t>
      </w:r>
      <w:r>
        <w:rPr>
          <w:rFonts w:asciiTheme="majorBidi" w:hAnsiTheme="majorBidi" w:cstheme="majorBidi"/>
          <w:sz w:val="24"/>
          <w:szCs w:val="24"/>
          <w:lang w:val="sv-SE"/>
        </w:rPr>
        <w:t xml:space="preserve">yaitu; fatwa tentang perkawinan beda agama, fatwa nikah tidak tercatat, fatwa talak diluar pengadilan, fatwa waris beda agama, fatwa status </w:t>
      </w:r>
      <w:r w:rsidRPr="002A6DCA">
        <w:rPr>
          <w:rFonts w:asciiTheme="majorBidi" w:hAnsiTheme="majorBidi" w:cstheme="majorBidi"/>
          <w:sz w:val="24"/>
          <w:szCs w:val="24"/>
          <w:lang w:val="sv-SE"/>
        </w:rPr>
        <w:t xml:space="preserve">anak luar nikah </w:t>
      </w:r>
      <w:r>
        <w:rPr>
          <w:rFonts w:asciiTheme="majorBidi" w:hAnsiTheme="majorBidi" w:cstheme="majorBidi"/>
          <w:sz w:val="24"/>
          <w:szCs w:val="24"/>
          <w:lang w:val="sv-SE"/>
        </w:rPr>
        <w:t>dan fatwa tentang hak asuh anak bagi orang tua yang bercerai karena berbeda agama.</w:t>
      </w:r>
    </w:p>
    <w:p w:rsidR="00343B61" w:rsidRPr="00F63DAC" w:rsidRDefault="00343B61" w:rsidP="00343B61">
      <w:pPr>
        <w:tabs>
          <w:tab w:val="left" w:pos="1800"/>
        </w:tabs>
        <w:spacing w:line="360" w:lineRule="auto"/>
        <w:ind w:firstLine="540"/>
        <w:jc w:val="both"/>
        <w:rPr>
          <w:rFonts w:asciiTheme="majorBidi" w:hAnsiTheme="majorBidi" w:cstheme="majorBidi"/>
          <w:sz w:val="24"/>
          <w:szCs w:val="24"/>
        </w:rPr>
      </w:pPr>
    </w:p>
    <w:p w:rsidR="00343B61" w:rsidRPr="001E7FFB" w:rsidRDefault="00343B61" w:rsidP="00343B61">
      <w:pPr>
        <w:tabs>
          <w:tab w:val="left" w:pos="1800"/>
        </w:tabs>
        <w:spacing w:line="360" w:lineRule="auto"/>
        <w:ind w:left="360" w:hanging="360"/>
        <w:jc w:val="both"/>
        <w:rPr>
          <w:rFonts w:asciiTheme="majorBidi" w:hAnsiTheme="majorBidi" w:cstheme="majorBidi"/>
          <w:sz w:val="24"/>
          <w:szCs w:val="24"/>
          <w:lang w:val="sv-SE"/>
        </w:rPr>
      </w:pPr>
      <w:r>
        <w:rPr>
          <w:rFonts w:asciiTheme="majorBidi" w:hAnsiTheme="majorBidi" w:cstheme="majorBidi"/>
          <w:sz w:val="24"/>
          <w:szCs w:val="24"/>
          <w:lang w:val="sv-SE"/>
        </w:rPr>
        <w:t xml:space="preserve">A. </w:t>
      </w:r>
      <w:r w:rsidRPr="001E7FFB">
        <w:rPr>
          <w:rFonts w:asciiTheme="majorBidi" w:hAnsiTheme="majorBidi" w:cstheme="majorBidi"/>
          <w:sz w:val="24"/>
          <w:szCs w:val="24"/>
          <w:lang w:val="sv-SE"/>
        </w:rPr>
        <w:t>Fatwa Perkawinan Beda Agama</w:t>
      </w:r>
    </w:p>
    <w:p w:rsidR="00343B61" w:rsidRPr="001E7FFB" w:rsidRDefault="00343B61" w:rsidP="002C0A33">
      <w:pPr>
        <w:pStyle w:val="ListParagraph"/>
        <w:numPr>
          <w:ilvl w:val="0"/>
          <w:numId w:val="50"/>
        </w:numPr>
        <w:tabs>
          <w:tab w:val="left" w:pos="360"/>
        </w:tabs>
        <w:autoSpaceDE w:val="0"/>
        <w:autoSpaceDN w:val="0"/>
        <w:adjustRightInd w:val="0"/>
        <w:spacing w:after="0" w:line="360" w:lineRule="auto"/>
        <w:rPr>
          <w:rFonts w:asciiTheme="majorBidi" w:hAnsiTheme="majorBidi" w:cstheme="majorBidi"/>
          <w:color w:val="000000"/>
          <w:sz w:val="24"/>
          <w:szCs w:val="24"/>
        </w:rPr>
      </w:pPr>
      <w:r w:rsidRPr="001E7FFB">
        <w:rPr>
          <w:rFonts w:asciiTheme="majorBidi" w:hAnsiTheme="majorBidi" w:cstheme="majorBidi"/>
          <w:color w:val="000000"/>
          <w:sz w:val="24"/>
          <w:szCs w:val="24"/>
        </w:rPr>
        <w:t xml:space="preserve">Pengertian dan Pandangan Ulama Tentang Perkawinan Beda Agama </w:t>
      </w:r>
    </w:p>
    <w:p w:rsidR="00343B61" w:rsidRDefault="00343B61" w:rsidP="00343B61">
      <w:pPr>
        <w:pStyle w:val="ListParagraph"/>
        <w:autoSpaceDE w:val="0"/>
        <w:autoSpaceDN w:val="0"/>
        <w:adjustRightInd w:val="0"/>
        <w:spacing w:after="0" w:line="360" w:lineRule="auto"/>
        <w:ind w:left="90" w:firstLine="720"/>
        <w:jc w:val="both"/>
        <w:rPr>
          <w:rFonts w:asciiTheme="majorBidi" w:hAnsiTheme="majorBidi" w:cstheme="majorBidi"/>
          <w:color w:val="000000"/>
          <w:sz w:val="24"/>
          <w:szCs w:val="24"/>
        </w:rPr>
      </w:pPr>
      <w:r>
        <w:rPr>
          <w:rFonts w:asciiTheme="majorBidi" w:hAnsiTheme="majorBidi" w:cstheme="majorBidi"/>
          <w:color w:val="000000"/>
          <w:sz w:val="24"/>
          <w:szCs w:val="24"/>
        </w:rPr>
        <w:t>Dalam li</w:t>
      </w:r>
      <w:r w:rsidRPr="007B3553">
        <w:rPr>
          <w:rFonts w:asciiTheme="majorBidi" w:hAnsiTheme="majorBidi" w:cstheme="majorBidi"/>
          <w:color w:val="000000"/>
          <w:sz w:val="24"/>
          <w:szCs w:val="24"/>
        </w:rPr>
        <w:t xml:space="preserve">teratur klasik tidak dikenal </w:t>
      </w:r>
      <w:r>
        <w:rPr>
          <w:rFonts w:asciiTheme="majorBidi" w:hAnsiTheme="majorBidi" w:cstheme="majorBidi"/>
          <w:color w:val="000000"/>
          <w:sz w:val="24"/>
          <w:szCs w:val="24"/>
        </w:rPr>
        <w:t>istilah</w:t>
      </w:r>
      <w:r w:rsidRPr="007B3553">
        <w:rPr>
          <w:rFonts w:asciiTheme="majorBidi" w:hAnsiTheme="majorBidi" w:cstheme="majorBidi"/>
          <w:color w:val="000000"/>
          <w:sz w:val="24"/>
          <w:szCs w:val="24"/>
        </w:rPr>
        <w:t xml:space="preserve"> perkawinan beda agama, namun pembahasan yang berkaitan dengan masalah tersebut dimasukkan pada bagian pembahasan mengenai perempuan yang haram dinikahi atau pernikahan yang diharamkan, yang antara lain disebut sebagai </w:t>
      </w:r>
      <w:r w:rsidRPr="00F61CCE">
        <w:rPr>
          <w:rFonts w:asciiTheme="majorBidi" w:hAnsiTheme="majorBidi" w:cstheme="majorBidi"/>
          <w:i/>
          <w:iCs/>
          <w:color w:val="000000"/>
          <w:sz w:val="24"/>
          <w:szCs w:val="24"/>
        </w:rPr>
        <w:t>az-zaw</w:t>
      </w:r>
      <w:r w:rsidRPr="0094142F">
        <w:rPr>
          <w:rFonts w:asciiTheme="majorBidi" w:hAnsiTheme="majorBidi" w:cstheme="majorBidi"/>
          <w:i/>
          <w:iCs/>
        </w:rPr>
        <w:t>ā</w:t>
      </w:r>
      <w:r w:rsidRPr="00F61CCE">
        <w:rPr>
          <w:rFonts w:asciiTheme="majorBidi" w:hAnsiTheme="majorBidi" w:cstheme="majorBidi"/>
          <w:i/>
          <w:iCs/>
          <w:color w:val="000000"/>
          <w:sz w:val="24"/>
          <w:szCs w:val="24"/>
        </w:rPr>
        <w:t>j bi al-kitabiy</w:t>
      </w:r>
      <w:r w:rsidRPr="0094142F">
        <w:rPr>
          <w:rFonts w:asciiTheme="majorBidi" w:hAnsiTheme="majorBidi" w:cstheme="majorBidi"/>
          <w:i/>
          <w:iCs/>
        </w:rPr>
        <w:t>ā</w:t>
      </w:r>
      <w:r w:rsidRPr="00F61CCE">
        <w:rPr>
          <w:rFonts w:asciiTheme="majorBidi" w:hAnsiTheme="majorBidi" w:cstheme="majorBidi"/>
          <w:i/>
          <w:iCs/>
          <w:color w:val="000000"/>
          <w:sz w:val="24"/>
          <w:szCs w:val="24"/>
        </w:rPr>
        <w:t>t</w:t>
      </w:r>
      <w:r w:rsidRPr="007B3553">
        <w:rPr>
          <w:rFonts w:asciiTheme="majorBidi" w:hAnsiTheme="majorBidi" w:cstheme="majorBidi"/>
          <w:color w:val="000000"/>
          <w:sz w:val="24"/>
          <w:szCs w:val="24"/>
        </w:rPr>
        <w:t xml:space="preserve">, </w:t>
      </w:r>
      <w:r w:rsidRPr="00F61CCE">
        <w:rPr>
          <w:rFonts w:asciiTheme="majorBidi" w:hAnsiTheme="majorBidi" w:cstheme="majorBidi"/>
          <w:i/>
          <w:iCs/>
          <w:color w:val="000000"/>
          <w:sz w:val="24"/>
          <w:szCs w:val="24"/>
        </w:rPr>
        <w:t>az-zaw</w:t>
      </w:r>
      <w:r w:rsidRPr="0094142F">
        <w:rPr>
          <w:rFonts w:asciiTheme="majorBidi" w:hAnsiTheme="majorBidi" w:cstheme="majorBidi"/>
          <w:i/>
          <w:iCs/>
        </w:rPr>
        <w:t>ā</w:t>
      </w:r>
      <w:r w:rsidRPr="00F61CCE">
        <w:rPr>
          <w:rFonts w:asciiTheme="majorBidi" w:hAnsiTheme="majorBidi" w:cstheme="majorBidi"/>
          <w:i/>
          <w:iCs/>
          <w:color w:val="000000"/>
          <w:sz w:val="24"/>
          <w:szCs w:val="24"/>
        </w:rPr>
        <w:t>j bi al-musyrik</w:t>
      </w:r>
      <w:r w:rsidRPr="0094142F">
        <w:rPr>
          <w:rFonts w:asciiTheme="majorBidi" w:hAnsiTheme="majorBidi" w:cstheme="majorBidi"/>
          <w:i/>
          <w:iCs/>
        </w:rPr>
        <w:t>ā</w:t>
      </w:r>
      <w:r w:rsidRPr="00F61CCE">
        <w:rPr>
          <w:rFonts w:asciiTheme="majorBidi" w:hAnsiTheme="majorBidi" w:cstheme="majorBidi"/>
          <w:i/>
          <w:iCs/>
          <w:color w:val="000000"/>
          <w:sz w:val="24"/>
          <w:szCs w:val="24"/>
        </w:rPr>
        <w:t>t</w:t>
      </w:r>
      <w:r w:rsidRPr="007B3553">
        <w:rPr>
          <w:rFonts w:asciiTheme="majorBidi" w:hAnsiTheme="majorBidi" w:cstheme="majorBidi"/>
          <w:color w:val="000000"/>
          <w:sz w:val="24"/>
          <w:szCs w:val="24"/>
        </w:rPr>
        <w:t xml:space="preserve"> atau </w:t>
      </w:r>
      <w:r w:rsidRPr="00F61CCE">
        <w:rPr>
          <w:rFonts w:asciiTheme="majorBidi" w:hAnsiTheme="majorBidi" w:cstheme="majorBidi"/>
          <w:i/>
          <w:iCs/>
          <w:color w:val="000000"/>
          <w:sz w:val="24"/>
          <w:szCs w:val="24"/>
        </w:rPr>
        <w:t>az-zaw</w:t>
      </w:r>
      <w:r w:rsidRPr="0094142F">
        <w:rPr>
          <w:rFonts w:asciiTheme="majorBidi" w:hAnsiTheme="majorBidi" w:cstheme="majorBidi"/>
          <w:i/>
          <w:iCs/>
        </w:rPr>
        <w:t>ā</w:t>
      </w:r>
      <w:r w:rsidRPr="00F61CCE">
        <w:rPr>
          <w:rFonts w:asciiTheme="majorBidi" w:hAnsiTheme="majorBidi" w:cstheme="majorBidi"/>
          <w:i/>
          <w:iCs/>
          <w:color w:val="000000"/>
          <w:sz w:val="24"/>
          <w:szCs w:val="24"/>
        </w:rPr>
        <w:t>j bi ghaer al-muslimah</w:t>
      </w:r>
      <w:r w:rsidRPr="007B3553">
        <w:rPr>
          <w:rFonts w:asciiTheme="majorBidi" w:hAnsiTheme="majorBidi" w:cstheme="majorBidi"/>
          <w:color w:val="000000"/>
          <w:sz w:val="24"/>
          <w:szCs w:val="24"/>
        </w:rPr>
        <w:t xml:space="preserve"> (perkawinan dengan </w:t>
      </w:r>
      <w:r w:rsidRPr="007B3553">
        <w:rPr>
          <w:rFonts w:asciiTheme="majorBidi" w:hAnsiTheme="majorBidi" w:cstheme="majorBidi"/>
          <w:color w:val="000000"/>
          <w:sz w:val="24"/>
          <w:szCs w:val="24"/>
        </w:rPr>
        <w:lastRenderedPageBreak/>
        <w:t>wanita-wanita ahli Kitab (baca: Yahudi dan Nashrani), perkawinan dengan wanita-wanita musyrik (orang-orang musyrik) dan perkawinan dengan non muslim.</w:t>
      </w:r>
      <w:r>
        <w:rPr>
          <w:rStyle w:val="FootnoteReference"/>
          <w:rFonts w:asciiTheme="majorBidi" w:hAnsiTheme="majorBidi" w:cstheme="majorBidi"/>
          <w:color w:val="000000"/>
          <w:sz w:val="24"/>
          <w:szCs w:val="24"/>
        </w:rPr>
        <w:footnoteReference w:id="613"/>
      </w:r>
    </w:p>
    <w:p w:rsidR="00343B61" w:rsidRPr="00EA563C" w:rsidRDefault="00343B61" w:rsidP="00343B61">
      <w:pPr>
        <w:autoSpaceDE w:val="0"/>
        <w:autoSpaceDN w:val="0"/>
        <w:adjustRightInd w:val="0"/>
        <w:spacing w:after="0" w:line="360" w:lineRule="auto"/>
        <w:ind w:left="90" w:firstLine="720"/>
        <w:jc w:val="both"/>
        <w:rPr>
          <w:rFonts w:ascii="Times New Roman" w:hAnsi="Times New Roman" w:cs="Times New Roman"/>
          <w:i/>
          <w:iCs/>
          <w:sz w:val="24"/>
          <w:szCs w:val="24"/>
        </w:rPr>
      </w:pPr>
      <w:r w:rsidRPr="00EA563C">
        <w:rPr>
          <w:rFonts w:ascii="Times New Roman" w:hAnsi="Times New Roman" w:cs="Times New Roman"/>
          <w:sz w:val="24"/>
          <w:szCs w:val="24"/>
        </w:rPr>
        <w:t xml:space="preserve">Pernikahan beda agama yang dimaksudkan disini adalah pernikahan antara seseorang yang beragama Islam (muslim) dan orang yang bukan Islam (non-muslim). </w:t>
      </w:r>
      <w:r w:rsidRPr="00B37181">
        <w:rPr>
          <w:rFonts w:asciiTheme="majorBidi" w:hAnsiTheme="majorBidi" w:cstheme="majorBidi"/>
          <w:sz w:val="24"/>
          <w:szCs w:val="24"/>
        </w:rPr>
        <w:t>Al-Qur’ān</w:t>
      </w:r>
      <w:r w:rsidRPr="00EA563C">
        <w:rPr>
          <w:rFonts w:ascii="Times New Roman" w:hAnsi="Times New Roman" w:cs="Times New Roman"/>
          <w:sz w:val="24"/>
          <w:szCs w:val="24"/>
        </w:rPr>
        <w:t xml:space="preserve"> membagi kelompok non-muslim dalam perbincangan ini ke dalam tiga kategori, yakni kelompok musyrik, kafir, dan kelompok </w:t>
      </w:r>
      <w:r w:rsidRPr="00EA563C">
        <w:rPr>
          <w:rFonts w:ascii="Times New Roman" w:hAnsi="Times New Roman" w:cs="Times New Roman"/>
          <w:i/>
          <w:iCs/>
          <w:sz w:val="24"/>
          <w:szCs w:val="24"/>
        </w:rPr>
        <w:t>ahlul</w:t>
      </w:r>
      <w:r w:rsidRPr="00EA563C">
        <w:rPr>
          <w:rFonts w:ascii="Times New Roman" w:hAnsi="Times New Roman" w:cs="Times New Roman"/>
          <w:sz w:val="24"/>
          <w:szCs w:val="24"/>
        </w:rPr>
        <w:t xml:space="preserve"> </w:t>
      </w:r>
      <w:r w:rsidRPr="00EA563C">
        <w:rPr>
          <w:rFonts w:ascii="Times New Roman" w:hAnsi="Times New Roman" w:cs="Times New Roman"/>
          <w:i/>
          <w:iCs/>
          <w:sz w:val="24"/>
          <w:szCs w:val="24"/>
        </w:rPr>
        <w:t>kitab.</w:t>
      </w:r>
      <w:r w:rsidRPr="00EA563C">
        <w:rPr>
          <w:rStyle w:val="FootnoteReference"/>
          <w:rFonts w:ascii="Times New Roman" w:hAnsi="Times New Roman" w:cs="Times New Roman"/>
          <w:i/>
          <w:iCs/>
          <w:sz w:val="24"/>
          <w:szCs w:val="24"/>
        </w:rPr>
        <w:footnoteReference w:id="614"/>
      </w:r>
      <w:r w:rsidRPr="00EA563C">
        <w:rPr>
          <w:rFonts w:ascii="Times New Roman" w:hAnsi="Times New Roman" w:cs="Times New Roman"/>
          <w:i/>
          <w:iCs/>
          <w:sz w:val="24"/>
          <w:szCs w:val="24"/>
        </w:rPr>
        <w:t xml:space="preserve"> </w:t>
      </w:r>
      <w:r>
        <w:rPr>
          <w:rFonts w:ascii="Times New Roman" w:hAnsi="Times New Roman" w:cs="Times New Roman"/>
          <w:sz w:val="24"/>
          <w:szCs w:val="24"/>
        </w:rPr>
        <w:t xml:space="preserve">Pada umumnya, pengertian Musyrik dilekatkan pada </w:t>
      </w:r>
      <w:r w:rsidRPr="00EA563C">
        <w:rPr>
          <w:rFonts w:ascii="Times New Roman" w:hAnsi="Times New Roman" w:cs="Times New Roman"/>
          <w:sz w:val="24"/>
          <w:szCs w:val="24"/>
        </w:rPr>
        <w:t>kelompok yang menyekutukan Tuhan atau mengakui ada</w:t>
      </w:r>
      <w:r>
        <w:rPr>
          <w:rFonts w:ascii="Times New Roman" w:hAnsi="Times New Roman" w:cs="Times New Roman"/>
          <w:sz w:val="24"/>
          <w:szCs w:val="24"/>
        </w:rPr>
        <w:t>nya</w:t>
      </w:r>
      <w:r w:rsidRPr="00EA563C">
        <w:rPr>
          <w:rFonts w:ascii="Times New Roman" w:hAnsi="Times New Roman" w:cs="Times New Roman"/>
          <w:sz w:val="24"/>
          <w:szCs w:val="24"/>
        </w:rPr>
        <w:t xml:space="preserve"> Tuhan selain Allah SWT, seperti para penyembah berhala, penyembah api, dan sebagainya. Lalu kafir pada umumnya dimaknai semua orang yang bukan muslim. Sementara </w:t>
      </w:r>
      <w:r w:rsidRPr="00EA563C">
        <w:rPr>
          <w:rFonts w:ascii="Times New Roman" w:hAnsi="Times New Roman" w:cs="Times New Roman"/>
          <w:i/>
          <w:iCs/>
          <w:sz w:val="24"/>
          <w:szCs w:val="24"/>
        </w:rPr>
        <w:t xml:space="preserve">ahlul kitab </w:t>
      </w:r>
      <w:r w:rsidRPr="00EA563C">
        <w:rPr>
          <w:rFonts w:ascii="Times New Roman" w:hAnsi="Times New Roman" w:cs="Times New Roman"/>
          <w:sz w:val="24"/>
          <w:szCs w:val="24"/>
        </w:rPr>
        <w:t xml:space="preserve">adalah kelompok penganut </w:t>
      </w:r>
      <w:r>
        <w:rPr>
          <w:rFonts w:ascii="Times New Roman" w:hAnsi="Times New Roman" w:cs="Times New Roman"/>
          <w:sz w:val="24"/>
          <w:szCs w:val="24"/>
        </w:rPr>
        <w:t>a</w:t>
      </w:r>
      <w:r w:rsidRPr="00EA563C">
        <w:rPr>
          <w:rFonts w:ascii="Times New Roman" w:hAnsi="Times New Roman" w:cs="Times New Roman"/>
          <w:sz w:val="24"/>
          <w:szCs w:val="24"/>
        </w:rPr>
        <w:t>gama yang memiliki kitab suci atau penganut agama-agama samawi, seperti Yahudi dan Nasrani</w:t>
      </w:r>
      <w:r w:rsidRPr="00EA563C">
        <w:rPr>
          <w:rStyle w:val="FootnoteReference"/>
          <w:rFonts w:ascii="Times New Roman" w:hAnsi="Times New Roman" w:cs="Times New Roman"/>
          <w:sz w:val="24"/>
          <w:szCs w:val="24"/>
        </w:rPr>
        <w:footnoteReference w:id="615"/>
      </w:r>
      <w:r w:rsidRPr="00EA563C">
        <w:rPr>
          <w:rFonts w:ascii="Times New Roman" w:hAnsi="Times New Roman" w:cs="Times New Roman"/>
          <w:sz w:val="24"/>
          <w:szCs w:val="24"/>
        </w:rPr>
        <w:t>.</w:t>
      </w:r>
    </w:p>
    <w:p w:rsidR="00343B61" w:rsidRPr="00AE37A8" w:rsidRDefault="00343B61" w:rsidP="00343B61">
      <w:pPr>
        <w:pStyle w:val="ListParagraph"/>
        <w:spacing w:after="0" w:line="360" w:lineRule="auto"/>
        <w:ind w:left="0" w:firstLine="810"/>
        <w:jc w:val="both"/>
        <w:rPr>
          <w:rFonts w:asciiTheme="majorBidi" w:hAnsiTheme="majorBidi" w:cstheme="majorBidi"/>
          <w:i/>
          <w:iCs/>
          <w:lang w:val="sv-SE"/>
        </w:rPr>
      </w:pPr>
      <w:r w:rsidRPr="00452E51">
        <w:rPr>
          <w:rFonts w:asciiTheme="majorBidi" w:hAnsiTheme="majorBidi" w:cstheme="majorBidi"/>
          <w:sz w:val="24"/>
          <w:szCs w:val="24"/>
          <w:lang w:val="sv-SE"/>
        </w:rPr>
        <w:t>Selain istilah Ahl Al-Kitab,</w:t>
      </w:r>
      <w:r>
        <w:rPr>
          <w:rFonts w:asciiTheme="majorBidi" w:hAnsiTheme="majorBidi" w:cstheme="majorBidi"/>
          <w:sz w:val="24"/>
          <w:szCs w:val="24"/>
        </w:rPr>
        <w:t xml:space="preserve"> pa</w:t>
      </w:r>
      <w:r w:rsidRPr="00452E51">
        <w:rPr>
          <w:rFonts w:asciiTheme="majorBidi" w:hAnsiTheme="majorBidi" w:cstheme="majorBidi"/>
          <w:sz w:val="24"/>
          <w:szCs w:val="24"/>
        </w:rPr>
        <w:t xml:space="preserve">nggailan yang dipakai oleh </w:t>
      </w:r>
      <w:r w:rsidRPr="00452E51">
        <w:rPr>
          <w:rFonts w:asciiTheme="majorBidi" w:hAnsiTheme="majorBidi" w:cstheme="majorBidi"/>
          <w:sz w:val="24"/>
          <w:szCs w:val="24"/>
          <w:lang w:val="sv-SE"/>
        </w:rPr>
        <w:t xml:space="preserve">Al-Qur’ān </w:t>
      </w:r>
      <w:r w:rsidRPr="00452E51">
        <w:rPr>
          <w:rFonts w:asciiTheme="majorBidi" w:hAnsiTheme="majorBidi" w:cstheme="majorBidi"/>
          <w:sz w:val="24"/>
          <w:szCs w:val="24"/>
        </w:rPr>
        <w:t>terhadap orang-orang Yahudi dan Nasrani</w:t>
      </w:r>
      <w:r w:rsidRPr="00452E51">
        <w:rPr>
          <w:rFonts w:asciiTheme="majorBidi" w:hAnsiTheme="majorBidi" w:cstheme="majorBidi"/>
          <w:sz w:val="24"/>
          <w:szCs w:val="24"/>
          <w:lang w:val="sv-SE"/>
        </w:rPr>
        <w:t xml:space="preserve"> adalah menggunakan istilah </w:t>
      </w:r>
      <w:r w:rsidRPr="00452E51">
        <w:rPr>
          <w:rFonts w:asciiTheme="majorBidi" w:hAnsiTheme="majorBidi" w:cstheme="majorBidi"/>
          <w:i/>
          <w:iCs/>
          <w:sz w:val="24"/>
          <w:szCs w:val="24"/>
        </w:rPr>
        <w:t>u</w:t>
      </w:r>
      <w:r w:rsidRPr="00452E51">
        <w:rPr>
          <w:rFonts w:asciiTheme="majorBidi" w:hAnsiTheme="majorBidi" w:cstheme="majorBidi"/>
          <w:i/>
          <w:iCs/>
          <w:sz w:val="24"/>
          <w:szCs w:val="24"/>
          <w:lang w:val="sv-SE"/>
        </w:rPr>
        <w:t>t</w:t>
      </w:r>
      <w:r w:rsidRPr="00452E51">
        <w:rPr>
          <w:rFonts w:asciiTheme="majorBidi" w:hAnsiTheme="majorBidi" w:cstheme="majorBidi"/>
          <w:i/>
          <w:iCs/>
          <w:sz w:val="24"/>
          <w:szCs w:val="24"/>
        </w:rPr>
        <w:t>û</w:t>
      </w:r>
      <w:r w:rsidRPr="00452E51">
        <w:rPr>
          <w:rFonts w:asciiTheme="majorBidi" w:hAnsiTheme="majorBidi" w:cstheme="majorBidi"/>
          <w:i/>
          <w:iCs/>
          <w:sz w:val="24"/>
          <w:szCs w:val="24"/>
          <w:lang w:val="sv-SE"/>
        </w:rPr>
        <w:t xml:space="preserve"> al-Kitab</w:t>
      </w:r>
      <w:r w:rsidRPr="00452E51">
        <w:rPr>
          <w:rFonts w:asciiTheme="majorBidi" w:hAnsiTheme="majorBidi" w:cstheme="majorBidi"/>
          <w:sz w:val="24"/>
          <w:szCs w:val="24"/>
          <w:lang w:val="sv-SE"/>
        </w:rPr>
        <w:t xml:space="preserve">, </w:t>
      </w:r>
      <w:r w:rsidRPr="00452E51">
        <w:rPr>
          <w:rFonts w:asciiTheme="majorBidi" w:hAnsiTheme="majorBidi" w:cstheme="majorBidi"/>
          <w:i/>
          <w:iCs/>
          <w:sz w:val="24"/>
          <w:szCs w:val="24"/>
        </w:rPr>
        <w:t>u</w:t>
      </w:r>
      <w:r w:rsidRPr="00452E51">
        <w:rPr>
          <w:rFonts w:asciiTheme="majorBidi" w:hAnsiTheme="majorBidi" w:cstheme="majorBidi"/>
          <w:i/>
          <w:iCs/>
          <w:sz w:val="24"/>
          <w:szCs w:val="24"/>
          <w:lang w:val="sv-SE"/>
        </w:rPr>
        <w:t>t</w:t>
      </w:r>
      <w:r w:rsidRPr="00A654D4">
        <w:rPr>
          <w:rFonts w:asciiTheme="majorBidi" w:hAnsiTheme="majorBidi" w:cstheme="majorBidi"/>
          <w:i/>
          <w:iCs/>
          <w:sz w:val="24"/>
          <w:szCs w:val="24"/>
        </w:rPr>
        <w:t>ū</w:t>
      </w:r>
      <w:r w:rsidRPr="00452E51">
        <w:rPr>
          <w:rFonts w:asciiTheme="majorBidi" w:hAnsiTheme="majorBidi" w:cstheme="majorBidi"/>
          <w:i/>
          <w:iCs/>
          <w:sz w:val="24"/>
          <w:szCs w:val="24"/>
          <w:lang w:val="sv-SE"/>
        </w:rPr>
        <w:t xml:space="preserve"> nashiban min</w:t>
      </w:r>
      <w:r>
        <w:rPr>
          <w:rFonts w:asciiTheme="majorBidi" w:hAnsiTheme="majorBidi" w:cstheme="majorBidi"/>
          <w:i/>
          <w:iCs/>
          <w:sz w:val="24"/>
          <w:szCs w:val="24"/>
          <w:lang w:val="sv-SE"/>
        </w:rPr>
        <w:t xml:space="preserve"> al-</w:t>
      </w:r>
      <w:r w:rsidRPr="00452E51">
        <w:rPr>
          <w:rFonts w:asciiTheme="majorBidi" w:hAnsiTheme="majorBidi" w:cstheme="majorBidi"/>
          <w:i/>
          <w:iCs/>
          <w:sz w:val="24"/>
          <w:szCs w:val="24"/>
          <w:lang w:val="sv-SE"/>
        </w:rPr>
        <w:t>kit</w:t>
      </w:r>
      <w:r w:rsidRPr="00294C3D">
        <w:rPr>
          <w:rFonts w:asciiTheme="majorBidi" w:hAnsiTheme="majorBidi" w:cstheme="majorBidi"/>
          <w:i/>
          <w:iCs/>
        </w:rPr>
        <w:t>ā</w:t>
      </w:r>
      <w:r w:rsidRPr="00452E51">
        <w:rPr>
          <w:rFonts w:asciiTheme="majorBidi" w:hAnsiTheme="majorBidi" w:cstheme="majorBidi"/>
          <w:i/>
          <w:iCs/>
          <w:sz w:val="24"/>
          <w:szCs w:val="24"/>
          <w:lang w:val="sv-SE"/>
        </w:rPr>
        <w:t>b</w:t>
      </w:r>
      <w:r w:rsidRPr="00452E51">
        <w:rPr>
          <w:rFonts w:asciiTheme="majorBidi" w:hAnsiTheme="majorBidi" w:cstheme="majorBidi"/>
          <w:sz w:val="24"/>
          <w:szCs w:val="24"/>
          <w:lang w:val="sv-SE"/>
        </w:rPr>
        <w:t xml:space="preserve">, </w:t>
      </w:r>
      <w:r w:rsidRPr="00452E51">
        <w:rPr>
          <w:rFonts w:asciiTheme="majorBidi" w:hAnsiTheme="majorBidi" w:cstheme="majorBidi"/>
          <w:i/>
          <w:iCs/>
          <w:sz w:val="24"/>
          <w:szCs w:val="24"/>
          <w:lang w:val="sv-SE"/>
        </w:rPr>
        <w:t>Al-Yah</w:t>
      </w:r>
      <w:r w:rsidRPr="00A654D4">
        <w:rPr>
          <w:rFonts w:asciiTheme="majorBidi" w:hAnsiTheme="majorBidi" w:cstheme="majorBidi"/>
          <w:i/>
          <w:iCs/>
          <w:sz w:val="24"/>
          <w:szCs w:val="24"/>
        </w:rPr>
        <w:t>ū</w:t>
      </w:r>
      <w:r w:rsidRPr="00452E51">
        <w:rPr>
          <w:rFonts w:asciiTheme="majorBidi" w:hAnsiTheme="majorBidi" w:cstheme="majorBidi"/>
          <w:i/>
          <w:iCs/>
          <w:sz w:val="24"/>
          <w:szCs w:val="24"/>
          <w:lang w:val="sv-SE"/>
        </w:rPr>
        <w:t>d</w:t>
      </w:r>
      <w:r w:rsidRPr="00452E51">
        <w:rPr>
          <w:rFonts w:asciiTheme="majorBidi" w:hAnsiTheme="majorBidi" w:cstheme="majorBidi"/>
          <w:sz w:val="24"/>
          <w:szCs w:val="24"/>
          <w:lang w:val="sv-SE"/>
        </w:rPr>
        <w:t xml:space="preserve">, </w:t>
      </w:r>
      <w:r w:rsidRPr="00452E51">
        <w:rPr>
          <w:rFonts w:asciiTheme="majorBidi" w:hAnsiTheme="majorBidi" w:cstheme="majorBidi"/>
          <w:i/>
          <w:iCs/>
          <w:sz w:val="24"/>
          <w:szCs w:val="24"/>
          <w:lang w:val="sv-SE"/>
        </w:rPr>
        <w:t>Al-Ladzina H</w:t>
      </w:r>
      <w:r w:rsidRPr="00294C3D">
        <w:rPr>
          <w:rFonts w:asciiTheme="majorBidi" w:hAnsiTheme="majorBidi" w:cstheme="majorBidi"/>
          <w:i/>
          <w:iCs/>
        </w:rPr>
        <w:t>ā</w:t>
      </w:r>
      <w:r w:rsidRPr="00452E51">
        <w:rPr>
          <w:rFonts w:asciiTheme="majorBidi" w:hAnsiTheme="majorBidi" w:cstheme="majorBidi"/>
          <w:i/>
          <w:iCs/>
          <w:sz w:val="24"/>
          <w:szCs w:val="24"/>
          <w:lang w:val="sv-SE"/>
        </w:rPr>
        <w:t>d</w:t>
      </w:r>
      <w:r w:rsidRPr="00A654D4">
        <w:rPr>
          <w:rFonts w:asciiTheme="majorBidi" w:hAnsiTheme="majorBidi" w:cstheme="majorBidi"/>
          <w:i/>
          <w:iCs/>
          <w:sz w:val="24"/>
          <w:szCs w:val="24"/>
        </w:rPr>
        <w:t>ū</w:t>
      </w:r>
      <w:r w:rsidRPr="00452E51">
        <w:rPr>
          <w:rFonts w:asciiTheme="majorBidi" w:hAnsiTheme="majorBidi" w:cstheme="majorBidi"/>
          <w:i/>
          <w:iCs/>
          <w:sz w:val="24"/>
          <w:szCs w:val="24"/>
          <w:lang w:val="sv-SE"/>
        </w:rPr>
        <w:t>, Bani Isr</w:t>
      </w:r>
      <w:r w:rsidRPr="00452E51">
        <w:rPr>
          <w:rFonts w:asciiTheme="majorBidi" w:hAnsiTheme="majorBidi" w:cstheme="majorBidi"/>
          <w:i/>
          <w:iCs/>
          <w:sz w:val="24"/>
          <w:szCs w:val="24"/>
        </w:rPr>
        <w:t>â</w:t>
      </w:r>
      <w:r w:rsidRPr="00452E51">
        <w:rPr>
          <w:rFonts w:asciiTheme="majorBidi" w:hAnsiTheme="majorBidi" w:cstheme="majorBidi"/>
          <w:i/>
          <w:iCs/>
          <w:sz w:val="24"/>
          <w:szCs w:val="24"/>
          <w:lang w:val="sv-SE"/>
        </w:rPr>
        <w:t>il</w:t>
      </w:r>
      <w:r w:rsidRPr="00452E51">
        <w:rPr>
          <w:rFonts w:asciiTheme="majorBidi" w:hAnsiTheme="majorBidi" w:cstheme="majorBidi"/>
          <w:sz w:val="24"/>
          <w:szCs w:val="24"/>
          <w:lang w:val="sv-SE"/>
        </w:rPr>
        <w:t>, An Na</w:t>
      </w:r>
      <w:r w:rsidRPr="00452E51">
        <w:rPr>
          <w:rFonts w:asciiTheme="majorBidi" w:hAnsiTheme="majorBidi" w:cstheme="majorBidi"/>
          <w:sz w:val="24"/>
          <w:szCs w:val="24"/>
        </w:rPr>
        <w:t>sh</w:t>
      </w:r>
      <w:r w:rsidRPr="00D234F1">
        <w:rPr>
          <w:rFonts w:asciiTheme="majorBidi" w:hAnsiTheme="majorBidi" w:cstheme="majorBidi"/>
        </w:rPr>
        <w:t>ā</w:t>
      </w:r>
      <w:r w:rsidRPr="00452E51">
        <w:rPr>
          <w:rFonts w:asciiTheme="majorBidi" w:hAnsiTheme="majorBidi" w:cstheme="majorBidi"/>
          <w:sz w:val="24"/>
          <w:szCs w:val="24"/>
          <w:lang w:val="sv-SE"/>
        </w:rPr>
        <w:t xml:space="preserve">ra, dan istilah lainnya. Kata </w:t>
      </w:r>
      <w:r>
        <w:rPr>
          <w:rFonts w:asciiTheme="majorBidi" w:hAnsiTheme="majorBidi" w:cstheme="majorBidi"/>
          <w:i/>
          <w:iCs/>
          <w:sz w:val="24"/>
          <w:szCs w:val="24"/>
          <w:lang w:val="sv-SE"/>
        </w:rPr>
        <w:t xml:space="preserve">Ahl al-kitab </w:t>
      </w:r>
      <w:r w:rsidRPr="00452E51">
        <w:rPr>
          <w:rFonts w:asciiTheme="majorBidi" w:hAnsiTheme="majorBidi" w:cstheme="majorBidi"/>
          <w:sz w:val="24"/>
          <w:szCs w:val="24"/>
          <w:lang w:val="sv-SE"/>
        </w:rPr>
        <w:t xml:space="preserve">terulang di dalam Al-Qur’ān sebanyak tiga puluh satu kali, </w:t>
      </w:r>
      <w:r w:rsidRPr="00452E51">
        <w:rPr>
          <w:rFonts w:asciiTheme="majorBidi" w:hAnsiTheme="majorBidi" w:cstheme="majorBidi"/>
          <w:i/>
          <w:iCs/>
          <w:sz w:val="24"/>
          <w:szCs w:val="24"/>
          <w:lang w:val="sv-SE"/>
        </w:rPr>
        <w:t>ut</w:t>
      </w:r>
      <w:r w:rsidRPr="00A654D4">
        <w:rPr>
          <w:rFonts w:asciiTheme="majorBidi" w:hAnsiTheme="majorBidi" w:cstheme="majorBidi"/>
          <w:i/>
          <w:iCs/>
          <w:sz w:val="24"/>
          <w:szCs w:val="24"/>
          <w:lang w:val="sv-SE"/>
        </w:rPr>
        <w:t>ū</w:t>
      </w:r>
      <w:r w:rsidRPr="00452E51">
        <w:rPr>
          <w:rFonts w:asciiTheme="majorBidi" w:hAnsiTheme="majorBidi" w:cstheme="majorBidi"/>
          <w:i/>
          <w:iCs/>
          <w:sz w:val="24"/>
          <w:szCs w:val="24"/>
          <w:lang w:val="sv-SE"/>
        </w:rPr>
        <w:t xml:space="preserve"> Al-Kitab</w:t>
      </w:r>
      <w:r w:rsidRPr="00452E51">
        <w:rPr>
          <w:rFonts w:asciiTheme="majorBidi" w:hAnsiTheme="majorBidi" w:cstheme="majorBidi"/>
          <w:sz w:val="24"/>
          <w:szCs w:val="24"/>
          <w:lang w:val="sv-SE"/>
        </w:rPr>
        <w:t xml:space="preserve"> delapan belas kali, </w:t>
      </w:r>
      <w:r w:rsidRPr="00452E51">
        <w:rPr>
          <w:rFonts w:asciiTheme="majorBidi" w:hAnsiTheme="majorBidi" w:cstheme="majorBidi"/>
          <w:i/>
          <w:iCs/>
          <w:sz w:val="24"/>
          <w:szCs w:val="24"/>
          <w:lang w:val="sv-SE"/>
        </w:rPr>
        <w:t>Ut</w:t>
      </w:r>
      <w:r w:rsidRPr="00A654D4">
        <w:rPr>
          <w:rFonts w:asciiTheme="majorBidi" w:hAnsiTheme="majorBidi" w:cstheme="majorBidi"/>
          <w:i/>
          <w:iCs/>
          <w:sz w:val="24"/>
          <w:szCs w:val="24"/>
          <w:lang w:val="sv-SE"/>
        </w:rPr>
        <w:t>ū</w:t>
      </w:r>
      <w:r w:rsidRPr="00452E51">
        <w:rPr>
          <w:rFonts w:asciiTheme="majorBidi" w:hAnsiTheme="majorBidi" w:cstheme="majorBidi"/>
          <w:i/>
          <w:iCs/>
          <w:sz w:val="24"/>
          <w:szCs w:val="24"/>
          <w:lang w:val="sv-SE"/>
        </w:rPr>
        <w:t xml:space="preserve"> nashiban min </w:t>
      </w:r>
      <w:r>
        <w:rPr>
          <w:rFonts w:asciiTheme="majorBidi" w:hAnsiTheme="majorBidi" w:cstheme="majorBidi"/>
          <w:i/>
          <w:iCs/>
          <w:sz w:val="24"/>
          <w:szCs w:val="24"/>
          <w:lang w:val="sv-SE"/>
        </w:rPr>
        <w:t>al-</w:t>
      </w:r>
      <w:r w:rsidRPr="00452E51">
        <w:rPr>
          <w:rFonts w:asciiTheme="majorBidi" w:hAnsiTheme="majorBidi" w:cstheme="majorBidi"/>
          <w:i/>
          <w:iCs/>
          <w:sz w:val="24"/>
          <w:szCs w:val="24"/>
          <w:lang w:val="sv-SE"/>
        </w:rPr>
        <w:t>kit</w:t>
      </w:r>
      <w:r w:rsidRPr="00D234F1">
        <w:rPr>
          <w:rFonts w:asciiTheme="majorBidi" w:hAnsiTheme="majorBidi" w:cstheme="majorBidi"/>
          <w:i/>
          <w:iCs/>
          <w:sz w:val="24"/>
          <w:szCs w:val="24"/>
          <w:lang w:val="sv-SE"/>
        </w:rPr>
        <w:t>ā</w:t>
      </w:r>
      <w:r w:rsidRPr="00452E51">
        <w:rPr>
          <w:rFonts w:asciiTheme="majorBidi" w:hAnsiTheme="majorBidi" w:cstheme="majorBidi"/>
          <w:i/>
          <w:iCs/>
          <w:sz w:val="24"/>
          <w:szCs w:val="24"/>
          <w:lang w:val="sv-SE"/>
        </w:rPr>
        <w:t>b</w:t>
      </w:r>
      <w:r w:rsidRPr="00452E51">
        <w:rPr>
          <w:rFonts w:asciiTheme="majorBidi" w:hAnsiTheme="majorBidi" w:cstheme="majorBidi"/>
          <w:sz w:val="24"/>
          <w:szCs w:val="24"/>
          <w:lang w:val="sv-SE"/>
        </w:rPr>
        <w:t xml:space="preserve"> tiga kali, Al-Yahud delapan kali, </w:t>
      </w:r>
      <w:r w:rsidRPr="00452E51">
        <w:rPr>
          <w:rFonts w:asciiTheme="majorBidi" w:hAnsiTheme="majorBidi" w:cstheme="majorBidi"/>
          <w:i/>
          <w:iCs/>
          <w:sz w:val="24"/>
          <w:szCs w:val="24"/>
          <w:lang w:val="sv-SE"/>
        </w:rPr>
        <w:t>Al-Ladzina H</w:t>
      </w:r>
      <w:r w:rsidRPr="00A654D4">
        <w:rPr>
          <w:rFonts w:asciiTheme="majorBidi" w:hAnsiTheme="majorBidi" w:cstheme="majorBidi"/>
          <w:i/>
          <w:iCs/>
          <w:sz w:val="24"/>
          <w:szCs w:val="24"/>
          <w:lang w:val="sv-SE"/>
        </w:rPr>
        <w:t>ādū</w:t>
      </w:r>
      <w:r w:rsidRPr="00A654D4">
        <w:rPr>
          <w:rFonts w:asciiTheme="majorBidi" w:hAnsiTheme="majorBidi" w:cstheme="majorBidi"/>
          <w:sz w:val="24"/>
          <w:szCs w:val="24"/>
          <w:lang w:val="sv-SE"/>
        </w:rPr>
        <w:t xml:space="preserve"> sepuluh kali, An </w:t>
      </w:r>
      <w:r w:rsidRPr="00D234F1">
        <w:rPr>
          <w:rFonts w:asciiTheme="majorBidi" w:hAnsiTheme="majorBidi" w:cstheme="majorBidi"/>
          <w:sz w:val="24"/>
          <w:szCs w:val="24"/>
          <w:lang w:val="sv-SE"/>
        </w:rPr>
        <w:t>Nashāra</w:t>
      </w:r>
      <w:r w:rsidRPr="00A654D4">
        <w:rPr>
          <w:rFonts w:asciiTheme="majorBidi" w:hAnsiTheme="majorBidi" w:cstheme="majorBidi"/>
          <w:sz w:val="24"/>
          <w:szCs w:val="24"/>
          <w:lang w:val="sv-SE"/>
        </w:rPr>
        <w:t xml:space="preserve"> empat belas kali, dan Bani/</w:t>
      </w:r>
      <w:r>
        <w:rPr>
          <w:rFonts w:asciiTheme="majorBidi" w:hAnsiTheme="majorBidi" w:cstheme="majorBidi"/>
          <w:sz w:val="24"/>
          <w:szCs w:val="24"/>
          <w:lang w:val="sv-SE"/>
        </w:rPr>
        <w:t xml:space="preserve"> </w:t>
      </w:r>
      <w:r w:rsidRPr="00A654D4">
        <w:rPr>
          <w:rFonts w:asciiTheme="majorBidi" w:hAnsiTheme="majorBidi" w:cstheme="majorBidi"/>
          <w:sz w:val="24"/>
          <w:szCs w:val="24"/>
          <w:lang w:val="sv-SE"/>
        </w:rPr>
        <w:t>Banu Isr</w:t>
      </w:r>
      <w:r w:rsidRPr="00D234F1">
        <w:rPr>
          <w:rFonts w:asciiTheme="majorBidi" w:hAnsiTheme="majorBidi" w:cstheme="majorBidi"/>
          <w:sz w:val="24"/>
          <w:szCs w:val="24"/>
          <w:lang w:val="sv-SE"/>
        </w:rPr>
        <w:t>ā</w:t>
      </w:r>
      <w:r w:rsidRPr="00A654D4">
        <w:rPr>
          <w:rFonts w:asciiTheme="majorBidi" w:hAnsiTheme="majorBidi" w:cstheme="majorBidi"/>
          <w:sz w:val="24"/>
          <w:szCs w:val="24"/>
          <w:lang w:val="sv-SE"/>
        </w:rPr>
        <w:t>'il empat puluh satu kali.</w:t>
      </w:r>
      <w:r w:rsidRPr="00452E51">
        <w:rPr>
          <w:rStyle w:val="FootnoteReference"/>
          <w:rFonts w:asciiTheme="majorBidi" w:hAnsiTheme="majorBidi" w:cstheme="majorBidi"/>
          <w:sz w:val="24"/>
          <w:szCs w:val="24"/>
          <w:lang w:val="sv-SE"/>
        </w:rPr>
        <w:footnoteReference w:id="616"/>
      </w:r>
    </w:p>
    <w:p w:rsidR="00343B61" w:rsidRPr="00452E51" w:rsidRDefault="00343B61" w:rsidP="00343B61">
      <w:pPr>
        <w:autoSpaceDE w:val="0"/>
        <w:autoSpaceDN w:val="0"/>
        <w:adjustRightInd w:val="0"/>
        <w:spacing w:after="0" w:line="360" w:lineRule="auto"/>
        <w:ind w:left="90" w:firstLine="720"/>
        <w:jc w:val="both"/>
        <w:rPr>
          <w:rFonts w:asciiTheme="majorBidi" w:hAnsiTheme="majorBidi" w:cstheme="majorBidi"/>
          <w:sz w:val="24"/>
          <w:szCs w:val="24"/>
        </w:rPr>
      </w:pPr>
      <w:r w:rsidRPr="00452E51">
        <w:rPr>
          <w:rFonts w:asciiTheme="majorBidi" w:hAnsiTheme="majorBidi" w:cstheme="majorBidi"/>
          <w:sz w:val="24"/>
          <w:szCs w:val="24"/>
        </w:rPr>
        <w:t xml:space="preserve">Pernikahan beda agama telah lama menjadi isu kontroversi dalam sejarah Islam. Pandangan para ulama mengenai hal ini bisa dikelompokkan menjadi tiga pendapat. </w:t>
      </w:r>
      <w:r w:rsidRPr="00452E51">
        <w:rPr>
          <w:rFonts w:asciiTheme="majorBidi" w:hAnsiTheme="majorBidi" w:cstheme="majorBidi"/>
          <w:i/>
          <w:iCs/>
          <w:sz w:val="24"/>
          <w:szCs w:val="24"/>
        </w:rPr>
        <w:t xml:space="preserve">Pertama, </w:t>
      </w:r>
      <w:r w:rsidRPr="00452E51">
        <w:rPr>
          <w:rFonts w:asciiTheme="majorBidi" w:hAnsiTheme="majorBidi" w:cstheme="majorBidi"/>
          <w:sz w:val="24"/>
          <w:szCs w:val="24"/>
        </w:rPr>
        <w:t xml:space="preserve">melarang secara mutlak, baik yang dikategorikan musyrik maupun </w:t>
      </w:r>
      <w:r w:rsidRPr="00452E51">
        <w:rPr>
          <w:rFonts w:asciiTheme="majorBidi" w:hAnsiTheme="majorBidi" w:cstheme="majorBidi"/>
          <w:i/>
          <w:iCs/>
          <w:sz w:val="24"/>
          <w:szCs w:val="24"/>
        </w:rPr>
        <w:t>ahlul kitab</w:t>
      </w:r>
      <w:r w:rsidRPr="00452E51">
        <w:rPr>
          <w:rFonts w:asciiTheme="majorBidi" w:hAnsiTheme="majorBidi" w:cstheme="majorBidi"/>
          <w:sz w:val="24"/>
          <w:szCs w:val="24"/>
        </w:rPr>
        <w:t xml:space="preserve">. Larangan itu berlaku, baik bagi perempuan muslim maupun laki-laki muslim. </w:t>
      </w:r>
      <w:r w:rsidRPr="00452E51">
        <w:rPr>
          <w:rFonts w:asciiTheme="majorBidi" w:hAnsiTheme="majorBidi" w:cstheme="majorBidi"/>
          <w:i/>
          <w:iCs/>
          <w:sz w:val="24"/>
          <w:szCs w:val="24"/>
        </w:rPr>
        <w:t xml:space="preserve">Kedua, </w:t>
      </w:r>
      <w:r w:rsidRPr="00452E51">
        <w:rPr>
          <w:rFonts w:asciiTheme="majorBidi" w:hAnsiTheme="majorBidi" w:cstheme="majorBidi"/>
          <w:sz w:val="24"/>
          <w:szCs w:val="24"/>
        </w:rPr>
        <w:t xml:space="preserve">membolehkan secara bersyarat. Sejumlah ulama </w:t>
      </w:r>
      <w:r w:rsidRPr="00452E51">
        <w:rPr>
          <w:rFonts w:asciiTheme="majorBidi" w:hAnsiTheme="majorBidi" w:cstheme="majorBidi"/>
          <w:sz w:val="24"/>
          <w:szCs w:val="24"/>
        </w:rPr>
        <w:lastRenderedPageBreak/>
        <w:t xml:space="preserve">membolehkan pernikahan laki-laki muslim dan perempuan non-muslim dengan syarat perempuan non-muslim itu dari kelompok </w:t>
      </w:r>
      <w:r w:rsidRPr="00452E51">
        <w:rPr>
          <w:rFonts w:asciiTheme="majorBidi" w:hAnsiTheme="majorBidi" w:cstheme="majorBidi"/>
          <w:i/>
          <w:iCs/>
          <w:sz w:val="24"/>
          <w:szCs w:val="24"/>
        </w:rPr>
        <w:t>ahlul kitab</w:t>
      </w:r>
      <w:r w:rsidRPr="00452E51">
        <w:rPr>
          <w:rFonts w:asciiTheme="majorBidi" w:hAnsiTheme="majorBidi" w:cstheme="majorBidi"/>
          <w:sz w:val="24"/>
          <w:szCs w:val="24"/>
        </w:rPr>
        <w:t xml:space="preserve">, tetapi tidak sebaliknya. </w:t>
      </w:r>
      <w:r w:rsidRPr="00452E51">
        <w:rPr>
          <w:rFonts w:asciiTheme="majorBidi" w:hAnsiTheme="majorBidi" w:cstheme="majorBidi"/>
          <w:i/>
          <w:iCs/>
          <w:sz w:val="24"/>
          <w:szCs w:val="24"/>
        </w:rPr>
        <w:t xml:space="preserve">Ketiga, </w:t>
      </w:r>
      <w:r w:rsidRPr="00452E51">
        <w:rPr>
          <w:rFonts w:asciiTheme="majorBidi" w:hAnsiTheme="majorBidi" w:cstheme="majorBidi"/>
          <w:sz w:val="24"/>
          <w:szCs w:val="24"/>
        </w:rPr>
        <w:t>sebagian ulama lainnya membolehkan pernikahan antara muslim dan non-muslim, dan kebolehan itu berlaku untuk laki-laki dan perempuan.</w:t>
      </w:r>
      <w:r w:rsidRPr="00452E51">
        <w:rPr>
          <w:rStyle w:val="FootnoteReference"/>
          <w:rFonts w:asciiTheme="majorBidi" w:hAnsiTheme="majorBidi" w:cstheme="majorBidi"/>
          <w:sz w:val="24"/>
          <w:szCs w:val="24"/>
        </w:rPr>
        <w:footnoteReference w:id="617"/>
      </w:r>
    </w:p>
    <w:p w:rsidR="00343B61" w:rsidRPr="00452E51" w:rsidRDefault="00343B61" w:rsidP="00343B61">
      <w:pPr>
        <w:pStyle w:val="ListParagraph"/>
        <w:tabs>
          <w:tab w:val="left" w:pos="0"/>
          <w:tab w:val="right" w:pos="5687"/>
        </w:tabs>
        <w:spacing w:line="360" w:lineRule="auto"/>
        <w:ind w:left="90" w:firstLine="720"/>
        <w:jc w:val="both"/>
        <w:rPr>
          <w:rFonts w:asciiTheme="majorBidi" w:hAnsiTheme="majorBidi" w:cstheme="majorBidi"/>
          <w:sz w:val="24"/>
          <w:szCs w:val="24"/>
        </w:rPr>
      </w:pPr>
      <w:r w:rsidRPr="00452E51">
        <w:rPr>
          <w:rFonts w:asciiTheme="majorBidi" w:hAnsiTheme="majorBidi" w:cstheme="majorBidi"/>
          <w:sz w:val="24"/>
          <w:szCs w:val="24"/>
        </w:rPr>
        <w:t>Adapun argumen kelompok pertama yaitu</w:t>
      </w:r>
      <w:r w:rsidRPr="00452E51">
        <w:rPr>
          <w:rFonts w:asciiTheme="majorBidi" w:hAnsiTheme="majorBidi" w:cstheme="majorBidi"/>
          <w:i/>
          <w:iCs/>
          <w:sz w:val="24"/>
          <w:szCs w:val="24"/>
        </w:rPr>
        <w:t xml:space="preserve"> </w:t>
      </w:r>
      <w:r w:rsidRPr="00452E51">
        <w:rPr>
          <w:rFonts w:asciiTheme="majorBidi" w:hAnsiTheme="majorBidi" w:cstheme="majorBidi"/>
          <w:sz w:val="24"/>
          <w:szCs w:val="24"/>
        </w:rPr>
        <w:t>yang</w:t>
      </w:r>
      <w:r w:rsidRPr="00452E51">
        <w:rPr>
          <w:rFonts w:asciiTheme="majorBidi" w:hAnsiTheme="majorBidi" w:cstheme="majorBidi"/>
          <w:i/>
          <w:iCs/>
          <w:sz w:val="24"/>
          <w:szCs w:val="24"/>
        </w:rPr>
        <w:t xml:space="preserve"> </w:t>
      </w:r>
      <w:r w:rsidRPr="00452E51">
        <w:rPr>
          <w:rFonts w:asciiTheme="majorBidi" w:hAnsiTheme="majorBidi" w:cstheme="majorBidi"/>
          <w:sz w:val="24"/>
          <w:szCs w:val="24"/>
        </w:rPr>
        <w:t xml:space="preserve">melarang pernikahan beda agama secara mutlak, baik bagi perempuan muslim maupun laki-laki muslim, baik yang dikategorikan musyrik maupun </w:t>
      </w:r>
      <w:r w:rsidRPr="00452E51">
        <w:rPr>
          <w:rFonts w:asciiTheme="majorBidi" w:hAnsiTheme="majorBidi" w:cstheme="majorBidi"/>
          <w:i/>
          <w:iCs/>
          <w:sz w:val="24"/>
          <w:szCs w:val="24"/>
        </w:rPr>
        <w:t>ahlul kitab</w:t>
      </w:r>
      <w:r w:rsidRPr="00452E51">
        <w:rPr>
          <w:rFonts w:asciiTheme="majorBidi" w:hAnsiTheme="majorBidi" w:cstheme="majorBidi"/>
          <w:sz w:val="24"/>
          <w:szCs w:val="24"/>
        </w:rPr>
        <w:t xml:space="preserve"> adalah :</w:t>
      </w:r>
    </w:p>
    <w:p w:rsidR="00343B61" w:rsidRDefault="00343B61" w:rsidP="002C0A33">
      <w:pPr>
        <w:pStyle w:val="ListParagraph"/>
        <w:numPr>
          <w:ilvl w:val="0"/>
          <w:numId w:val="51"/>
        </w:numPr>
        <w:tabs>
          <w:tab w:val="left" w:pos="0"/>
          <w:tab w:val="left" w:pos="630"/>
          <w:tab w:val="right" w:pos="5687"/>
        </w:tabs>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Firman Allah SWT dalam </w:t>
      </w:r>
      <w:r w:rsidRPr="007F45FF">
        <w:rPr>
          <w:rFonts w:asciiTheme="majorBidi" w:hAnsiTheme="majorBidi" w:cstheme="majorBidi"/>
          <w:sz w:val="24"/>
          <w:szCs w:val="24"/>
        </w:rPr>
        <w:t>Al-Qur’ān</w:t>
      </w:r>
      <w:r>
        <w:rPr>
          <w:rFonts w:asciiTheme="majorBidi" w:hAnsiTheme="majorBidi" w:cstheme="majorBidi"/>
          <w:sz w:val="24"/>
          <w:szCs w:val="24"/>
          <w:lang w:val="sv-SE"/>
        </w:rPr>
        <w:t xml:space="preserve"> Surat </w:t>
      </w:r>
      <w:r w:rsidRPr="00623549">
        <w:rPr>
          <w:rFonts w:asciiTheme="majorBidi" w:hAnsiTheme="majorBidi" w:cstheme="majorBidi"/>
          <w:sz w:val="24"/>
          <w:szCs w:val="24"/>
          <w:lang w:val="sv-SE"/>
        </w:rPr>
        <w:t>Al-Baqarah (2):</w:t>
      </w:r>
      <w:r>
        <w:rPr>
          <w:rFonts w:asciiTheme="majorBidi" w:hAnsiTheme="majorBidi" w:cstheme="majorBidi"/>
          <w:sz w:val="24"/>
          <w:szCs w:val="24"/>
          <w:lang w:val="sv-SE"/>
        </w:rPr>
        <w:t xml:space="preserve"> 221 yaitu:</w:t>
      </w:r>
    </w:p>
    <w:p w:rsidR="00343B61" w:rsidRPr="00DF303B" w:rsidRDefault="00343B61" w:rsidP="00343B61">
      <w:pPr>
        <w:bidi/>
        <w:spacing w:after="0" w:line="240" w:lineRule="auto"/>
        <w:jc w:val="both"/>
        <w:rPr>
          <w:rFonts w:ascii="Adobe نسخ Medium" w:hAnsi="Adobe نسخ Medium" w:cs="Traditional Arabic"/>
          <w:sz w:val="28"/>
          <w:szCs w:val="28"/>
          <w:rtl/>
        </w:rPr>
      </w:pPr>
      <w:r w:rsidRPr="00DF303B">
        <w:rPr>
          <w:rFonts w:cs="Traditional Arabic"/>
          <w:sz w:val="28"/>
          <w:szCs w:val="28"/>
        </w:rPr>
        <w:sym w:font="HQPB5" w:char="F09F"/>
      </w:r>
      <w:r w:rsidRPr="00DF303B">
        <w:rPr>
          <w:rFonts w:cs="Traditional Arabic"/>
          <w:sz w:val="28"/>
          <w:szCs w:val="28"/>
        </w:rPr>
        <w:sym w:font="HQPB2" w:char="F077"/>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5" w:char="F028"/>
      </w:r>
      <w:r w:rsidRPr="00DF303B">
        <w:rPr>
          <w:rFonts w:cs="Traditional Arabic"/>
          <w:sz w:val="28"/>
          <w:szCs w:val="28"/>
        </w:rPr>
        <w:sym w:font="HQPB1" w:char="F023"/>
      </w:r>
      <w:r w:rsidRPr="00DF303B">
        <w:rPr>
          <w:rFonts w:cs="Traditional Arabic"/>
          <w:sz w:val="28"/>
          <w:szCs w:val="28"/>
        </w:rPr>
        <w:sym w:font="HQPB2" w:char="F071"/>
      </w:r>
      <w:r w:rsidRPr="00DF303B">
        <w:rPr>
          <w:rFonts w:cs="Traditional Arabic"/>
          <w:sz w:val="28"/>
          <w:szCs w:val="28"/>
        </w:rPr>
        <w:sym w:font="HQPB4" w:char="F0DF"/>
      </w:r>
      <w:r w:rsidRPr="00DF303B">
        <w:rPr>
          <w:rFonts w:cs="Traditional Arabic"/>
          <w:sz w:val="28"/>
          <w:szCs w:val="28"/>
        </w:rPr>
        <w:sym w:font="HQPB1" w:char="F073"/>
      </w:r>
      <w:r w:rsidRPr="00DF303B">
        <w:rPr>
          <w:rFonts w:cs="Traditional Arabic"/>
          <w:sz w:val="28"/>
          <w:szCs w:val="28"/>
        </w:rPr>
        <w:sym w:font="HQPB4" w:char="F0C5"/>
      </w:r>
      <w:r w:rsidRPr="00DF303B">
        <w:rPr>
          <w:rFonts w:cs="Traditional Arabic"/>
          <w:sz w:val="28"/>
          <w:szCs w:val="28"/>
        </w:rPr>
        <w:sym w:font="HQPB2" w:char="F033"/>
      </w:r>
      <w:r w:rsidRPr="00DF303B">
        <w:rPr>
          <w:rFonts w:cs="Traditional Arabic"/>
          <w:sz w:val="28"/>
          <w:szCs w:val="28"/>
        </w:rPr>
        <w:sym w:font="HQPB2" w:char="F05A"/>
      </w:r>
      <w:r w:rsidRPr="00DF303B">
        <w:rPr>
          <w:rFonts w:cs="Traditional Arabic"/>
          <w:sz w:val="28"/>
          <w:szCs w:val="28"/>
        </w:rPr>
        <w:sym w:font="HQPB5" w:char="F073"/>
      </w:r>
      <w:r w:rsidRPr="00DF303B">
        <w:rPr>
          <w:rFonts w:cs="Traditional Arabic"/>
          <w:sz w:val="28"/>
          <w:szCs w:val="28"/>
        </w:rPr>
        <w:sym w:font="HQPB1" w:char="F03F"/>
      </w:r>
      <w:r w:rsidRPr="00DF303B">
        <w:rPr>
          <w:rFonts w:ascii="(normal text)" w:hAnsi="(normal text)" w:cs="Traditional Arabic"/>
          <w:sz w:val="28"/>
          <w:szCs w:val="28"/>
          <w:rtl/>
        </w:rPr>
        <w:t xml:space="preserve"> </w:t>
      </w:r>
      <w:r w:rsidRPr="00DF303B">
        <w:rPr>
          <w:rFonts w:cs="Traditional Arabic"/>
          <w:sz w:val="28"/>
          <w:szCs w:val="28"/>
        </w:rPr>
        <w:sym w:font="HQPB4" w:char="F0CF"/>
      </w:r>
      <w:r w:rsidRPr="00DF303B">
        <w:rPr>
          <w:rFonts w:cs="Traditional Arabic"/>
          <w:sz w:val="28"/>
          <w:szCs w:val="28"/>
        </w:rPr>
        <w:sym w:font="HQPB1" w:char="F04D"/>
      </w:r>
      <w:r w:rsidRPr="00DF303B">
        <w:rPr>
          <w:rFonts w:cs="Traditional Arabic"/>
          <w:sz w:val="28"/>
          <w:szCs w:val="28"/>
        </w:rPr>
        <w:sym w:font="HQPB2" w:char="F0BB"/>
      </w:r>
      <w:r w:rsidRPr="00DF303B">
        <w:rPr>
          <w:rFonts w:cs="Traditional Arabic"/>
          <w:sz w:val="28"/>
          <w:szCs w:val="28"/>
        </w:rPr>
        <w:sym w:font="HQPB5" w:char="F078"/>
      </w:r>
      <w:r w:rsidRPr="00DF303B">
        <w:rPr>
          <w:rFonts w:cs="Traditional Arabic"/>
          <w:sz w:val="28"/>
          <w:szCs w:val="28"/>
        </w:rPr>
        <w:sym w:font="HQPB2" w:char="F02E"/>
      </w:r>
      <w:r w:rsidRPr="00DF303B">
        <w:rPr>
          <w:rFonts w:cs="Traditional Arabic"/>
          <w:sz w:val="28"/>
          <w:szCs w:val="28"/>
        </w:rPr>
        <w:sym w:font="HQPB4" w:char="F0CE"/>
      </w:r>
      <w:r w:rsidRPr="00DF303B">
        <w:rPr>
          <w:rFonts w:cs="Traditional Arabic"/>
          <w:sz w:val="28"/>
          <w:szCs w:val="28"/>
        </w:rPr>
        <w:sym w:font="HQPB1" w:char="F08E"/>
      </w:r>
      <w:r w:rsidRPr="00DF303B">
        <w:rPr>
          <w:rFonts w:cs="Traditional Arabic"/>
          <w:sz w:val="28"/>
          <w:szCs w:val="28"/>
        </w:rPr>
        <w:sym w:font="HQPB4" w:char="F0F4"/>
      </w:r>
      <w:r w:rsidRPr="00DF303B">
        <w:rPr>
          <w:rFonts w:cs="Traditional Arabic"/>
          <w:sz w:val="28"/>
          <w:szCs w:val="28"/>
        </w:rPr>
        <w:sym w:font="HQPB1" w:char="F0B3"/>
      </w:r>
      <w:r w:rsidRPr="00DF303B">
        <w:rPr>
          <w:rFonts w:cs="Traditional Arabic"/>
          <w:sz w:val="28"/>
          <w:szCs w:val="28"/>
        </w:rPr>
        <w:sym w:font="HQPB4" w:char="F0DF"/>
      </w:r>
      <w:r w:rsidRPr="00DF303B">
        <w:rPr>
          <w:rFonts w:cs="Traditional Arabic"/>
          <w:sz w:val="28"/>
          <w:szCs w:val="28"/>
        </w:rPr>
        <w:sym w:font="HQPB2" w:char="F04A"/>
      </w:r>
      <w:r w:rsidRPr="00DF303B">
        <w:rPr>
          <w:rFonts w:cs="Traditional Arabic"/>
          <w:sz w:val="28"/>
          <w:szCs w:val="28"/>
        </w:rPr>
        <w:sym w:font="HQPB4" w:char="F0F8"/>
      </w:r>
      <w:r w:rsidRPr="00DF303B">
        <w:rPr>
          <w:rFonts w:cs="Traditional Arabic"/>
          <w:sz w:val="28"/>
          <w:szCs w:val="28"/>
        </w:rPr>
        <w:sym w:font="HQPB2" w:char="F039"/>
      </w:r>
      <w:r w:rsidRPr="00DF303B">
        <w:rPr>
          <w:rFonts w:cs="Traditional Arabic"/>
          <w:sz w:val="28"/>
          <w:szCs w:val="28"/>
        </w:rPr>
        <w:sym w:font="HQPB5" w:char="F024"/>
      </w:r>
      <w:r w:rsidRPr="00DF303B">
        <w:rPr>
          <w:rFonts w:cs="Traditional Arabic"/>
          <w:sz w:val="28"/>
          <w:szCs w:val="28"/>
        </w:rPr>
        <w:sym w:font="HQPB1" w:char="F023"/>
      </w:r>
      <w:r w:rsidRPr="00DF303B">
        <w:rPr>
          <w:rFonts w:ascii="(normal text)" w:hAnsi="(normal text)" w:cs="Traditional Arabic"/>
          <w:sz w:val="28"/>
          <w:szCs w:val="28"/>
          <w:rtl/>
        </w:rPr>
        <w:t xml:space="preserve"> </w:t>
      </w:r>
      <w:r w:rsidRPr="00DF303B">
        <w:rPr>
          <w:rFonts w:cs="Traditional Arabic"/>
          <w:sz w:val="28"/>
          <w:szCs w:val="28"/>
        </w:rPr>
        <w:sym w:font="HQPB5" w:char="F034"/>
      </w:r>
      <w:r w:rsidRPr="00DF303B">
        <w:rPr>
          <w:rFonts w:cs="Traditional Arabic"/>
          <w:sz w:val="28"/>
          <w:szCs w:val="28"/>
        </w:rPr>
        <w:sym w:font="HQPB2" w:char="F0D3"/>
      </w:r>
      <w:r w:rsidRPr="00DF303B">
        <w:rPr>
          <w:rFonts w:cs="Traditional Arabic"/>
          <w:sz w:val="28"/>
          <w:szCs w:val="28"/>
        </w:rPr>
        <w:sym w:font="HQPB4" w:char="F0AE"/>
      </w:r>
      <w:r w:rsidRPr="00DF303B">
        <w:rPr>
          <w:rFonts w:cs="Traditional Arabic"/>
          <w:sz w:val="28"/>
          <w:szCs w:val="28"/>
        </w:rPr>
        <w:sym w:font="HQPB1" w:char="F04C"/>
      </w:r>
      <w:r w:rsidRPr="00DF303B">
        <w:rPr>
          <w:rFonts w:cs="Traditional Arabic"/>
          <w:sz w:val="28"/>
          <w:szCs w:val="28"/>
        </w:rPr>
        <w:sym w:font="HQPB5" w:char="F079"/>
      </w:r>
      <w:r w:rsidRPr="00DF303B">
        <w:rPr>
          <w:rFonts w:cs="Traditional Arabic"/>
          <w:sz w:val="28"/>
          <w:szCs w:val="28"/>
        </w:rPr>
        <w:sym w:font="HQPB1" w:char="F06D"/>
      </w:r>
      <w:r w:rsidRPr="00DF303B">
        <w:rPr>
          <w:rFonts w:ascii="(normal text)" w:hAnsi="(normal text)" w:cs="Traditional Arabic"/>
          <w:sz w:val="28"/>
          <w:szCs w:val="28"/>
          <w:rtl/>
        </w:rPr>
        <w:t xml:space="preserve"> </w:t>
      </w:r>
      <w:r w:rsidRPr="00DF303B">
        <w:rPr>
          <w:rFonts w:cs="Traditional Arabic"/>
          <w:sz w:val="28"/>
          <w:szCs w:val="28"/>
        </w:rPr>
        <w:sym w:font="HQPB4" w:char="F0A3"/>
      </w:r>
      <w:r w:rsidRPr="00DF303B">
        <w:rPr>
          <w:rFonts w:cs="Traditional Arabic"/>
          <w:sz w:val="28"/>
          <w:szCs w:val="28"/>
        </w:rPr>
        <w:sym w:font="HQPB2" w:char="F060"/>
      </w:r>
      <w:r w:rsidRPr="00DF303B">
        <w:rPr>
          <w:rFonts w:cs="Traditional Arabic"/>
          <w:sz w:val="28"/>
          <w:szCs w:val="28"/>
        </w:rPr>
        <w:sym w:font="HQPB4" w:char="F0CF"/>
      </w:r>
      <w:r w:rsidRPr="00DF303B">
        <w:rPr>
          <w:rFonts w:cs="Traditional Arabic"/>
          <w:sz w:val="28"/>
          <w:szCs w:val="28"/>
        </w:rPr>
        <w:sym w:font="HQPB2" w:char="F042"/>
      </w:r>
      <w:r w:rsidRPr="00DF303B">
        <w:rPr>
          <w:rFonts w:cs="Traditional Arabic"/>
          <w:sz w:val="28"/>
          <w:szCs w:val="28"/>
        </w:rPr>
        <w:sym w:font="HQPB4" w:char="F0F7"/>
      </w:r>
      <w:r w:rsidRPr="00DF303B">
        <w:rPr>
          <w:rFonts w:cs="Traditional Arabic"/>
          <w:sz w:val="28"/>
          <w:szCs w:val="28"/>
        </w:rPr>
        <w:sym w:font="HQPB2" w:char="F073"/>
      </w:r>
      <w:r w:rsidRPr="00DF303B">
        <w:rPr>
          <w:rFonts w:cs="Traditional Arabic"/>
          <w:sz w:val="28"/>
          <w:szCs w:val="28"/>
        </w:rPr>
        <w:sym w:font="HQPB4" w:char="F0E3"/>
      </w:r>
      <w:r w:rsidRPr="00DF303B">
        <w:rPr>
          <w:rFonts w:cs="Traditional Arabic"/>
          <w:sz w:val="28"/>
          <w:szCs w:val="28"/>
        </w:rPr>
        <w:sym w:font="HQPB2" w:char="F083"/>
      </w:r>
      <w:r w:rsidRPr="00DF303B">
        <w:rPr>
          <w:rFonts w:ascii="(normal text)" w:hAnsi="(normal text)" w:cs="Traditional Arabic"/>
          <w:sz w:val="28"/>
          <w:szCs w:val="28"/>
          <w:rtl/>
        </w:rPr>
        <w:t xml:space="preserve"> </w:t>
      </w:r>
      <w:r w:rsidRPr="00DF303B">
        <w:rPr>
          <w:rFonts w:cs="Traditional Arabic"/>
          <w:sz w:val="28"/>
          <w:szCs w:val="28"/>
        </w:rPr>
        <w:sym w:font="HQPB4" w:char="F034"/>
      </w:r>
      <w:r w:rsidRPr="00DF303B">
        <w:rPr>
          <w:rFonts w:ascii="(normal text)" w:hAnsi="(normal text)" w:cs="Traditional Arabic"/>
          <w:sz w:val="28"/>
          <w:szCs w:val="28"/>
          <w:rtl/>
        </w:rPr>
        <w:t xml:space="preserve"> </w:t>
      </w:r>
      <w:r w:rsidRPr="00DF303B">
        <w:rPr>
          <w:rFonts w:cs="Traditional Arabic"/>
          <w:sz w:val="28"/>
          <w:szCs w:val="28"/>
        </w:rPr>
        <w:sym w:font="HQPB4" w:char="F0D7"/>
      </w:r>
      <w:r w:rsidRPr="00DF303B">
        <w:rPr>
          <w:rFonts w:cs="Traditional Arabic"/>
          <w:sz w:val="28"/>
          <w:szCs w:val="28"/>
        </w:rPr>
        <w:sym w:font="HQPB2" w:char="F070"/>
      </w:r>
      <w:r w:rsidRPr="00DF303B">
        <w:rPr>
          <w:rFonts w:cs="Traditional Arabic"/>
          <w:sz w:val="28"/>
          <w:szCs w:val="28"/>
        </w:rPr>
        <w:sym w:font="HQPB5" w:char="F074"/>
      </w:r>
      <w:r w:rsidRPr="00DF303B">
        <w:rPr>
          <w:rFonts w:cs="Traditional Arabic"/>
          <w:sz w:val="28"/>
          <w:szCs w:val="28"/>
        </w:rPr>
        <w:sym w:font="HQPB2" w:char="F042"/>
      </w:r>
      <w:r w:rsidRPr="00DF303B">
        <w:rPr>
          <w:rFonts w:cs="Traditional Arabic"/>
          <w:sz w:val="28"/>
          <w:szCs w:val="28"/>
        </w:rPr>
        <w:sym w:font="HQPB5" w:char="F056"/>
      </w:r>
      <w:r w:rsidRPr="00DF303B">
        <w:rPr>
          <w:rFonts w:cs="Traditional Arabic"/>
          <w:sz w:val="28"/>
          <w:szCs w:val="28"/>
        </w:rPr>
        <w:sym w:font="HQPB2" w:char="F07B"/>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4" w:char="F0EE"/>
      </w:r>
      <w:r w:rsidRPr="00DF303B">
        <w:rPr>
          <w:rFonts w:cs="Traditional Arabic"/>
          <w:sz w:val="28"/>
          <w:szCs w:val="28"/>
        </w:rPr>
        <w:sym w:font="HQPB2" w:char="F070"/>
      </w:r>
      <w:r w:rsidRPr="00DF303B">
        <w:rPr>
          <w:rFonts w:cs="Traditional Arabic"/>
          <w:sz w:val="28"/>
          <w:szCs w:val="28"/>
        </w:rPr>
        <w:sym w:font="HQPB5" w:char="F06F"/>
      </w:r>
      <w:r w:rsidRPr="00DF303B">
        <w:rPr>
          <w:rFonts w:cs="Traditional Arabic"/>
          <w:sz w:val="28"/>
          <w:szCs w:val="28"/>
        </w:rPr>
        <w:sym w:font="HQPB2" w:char="F059"/>
      </w:r>
      <w:r w:rsidRPr="00DF303B">
        <w:rPr>
          <w:rFonts w:cs="Traditional Arabic"/>
          <w:sz w:val="28"/>
          <w:szCs w:val="28"/>
        </w:rPr>
        <w:sym w:font="HQPB4" w:char="F0CF"/>
      </w:r>
      <w:r w:rsidRPr="00DF303B">
        <w:rPr>
          <w:rFonts w:cs="Traditional Arabic"/>
          <w:sz w:val="28"/>
          <w:szCs w:val="28"/>
        </w:rPr>
        <w:sym w:font="HQPB2" w:char="F042"/>
      </w:r>
      <w:r w:rsidRPr="00DF303B">
        <w:rPr>
          <w:rFonts w:cs="Traditional Arabic"/>
          <w:sz w:val="28"/>
          <w:szCs w:val="28"/>
        </w:rPr>
        <w:sym w:font="HQPB4" w:char="F0F7"/>
      </w:r>
      <w:r w:rsidRPr="00DF303B">
        <w:rPr>
          <w:rFonts w:cs="Traditional Arabic"/>
          <w:sz w:val="28"/>
          <w:szCs w:val="28"/>
        </w:rPr>
        <w:sym w:font="HQPB2" w:char="F073"/>
      </w:r>
      <w:r w:rsidRPr="00DF303B">
        <w:rPr>
          <w:rFonts w:cs="Traditional Arabic"/>
          <w:sz w:val="28"/>
          <w:szCs w:val="28"/>
        </w:rPr>
        <w:sym w:font="HQPB4" w:char="F095"/>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D7"/>
      </w:r>
      <w:r w:rsidRPr="00DF303B">
        <w:rPr>
          <w:rFonts w:cs="Traditional Arabic"/>
          <w:sz w:val="28"/>
          <w:szCs w:val="28"/>
        </w:rPr>
        <w:sym w:font="HQPB1" w:char="F08E"/>
      </w:r>
      <w:r w:rsidRPr="00DF303B">
        <w:rPr>
          <w:rFonts w:cs="Traditional Arabic"/>
          <w:sz w:val="28"/>
          <w:szCs w:val="28"/>
        </w:rPr>
        <w:sym w:font="HQPB4" w:char="F0F6"/>
      </w:r>
      <w:r w:rsidRPr="00DF303B">
        <w:rPr>
          <w:rFonts w:cs="Traditional Arabic"/>
          <w:sz w:val="28"/>
          <w:szCs w:val="28"/>
        </w:rPr>
        <w:sym w:font="HQPB2" w:char="F08D"/>
      </w:r>
      <w:r w:rsidRPr="00DF303B">
        <w:rPr>
          <w:rFonts w:cs="Traditional Arabic"/>
          <w:sz w:val="28"/>
          <w:szCs w:val="28"/>
        </w:rPr>
        <w:sym w:font="HQPB5" w:char="F079"/>
      </w:r>
      <w:r w:rsidRPr="00DF303B">
        <w:rPr>
          <w:rFonts w:cs="Traditional Arabic"/>
          <w:sz w:val="28"/>
          <w:szCs w:val="28"/>
        </w:rPr>
        <w:sym w:font="HQPB1" w:char="F07A"/>
      </w:r>
      <w:r w:rsidRPr="00DF303B">
        <w:rPr>
          <w:rFonts w:ascii="(normal text)" w:hAnsi="(normal text)" w:cs="Traditional Arabic"/>
          <w:sz w:val="28"/>
          <w:szCs w:val="28"/>
          <w:rtl/>
        </w:rPr>
        <w:t xml:space="preserve"> </w:t>
      </w:r>
      <w:r w:rsidRPr="00DF303B">
        <w:rPr>
          <w:rFonts w:cs="Traditional Arabic"/>
          <w:sz w:val="28"/>
          <w:szCs w:val="28"/>
        </w:rPr>
        <w:sym w:font="HQPB2" w:char="F060"/>
      </w:r>
      <w:r w:rsidRPr="00DF303B">
        <w:rPr>
          <w:rFonts w:cs="Traditional Arabic"/>
          <w:sz w:val="28"/>
          <w:szCs w:val="28"/>
        </w:rPr>
        <w:sym w:font="HQPB4" w:char="F0CF"/>
      </w:r>
      <w:r w:rsidRPr="00DF303B">
        <w:rPr>
          <w:rFonts w:cs="Traditional Arabic"/>
          <w:sz w:val="28"/>
          <w:szCs w:val="28"/>
        </w:rPr>
        <w:sym w:font="HQPB4" w:char="F069"/>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37"/>
      </w:r>
      <w:r w:rsidRPr="00DF303B">
        <w:rPr>
          <w:rFonts w:cs="Traditional Arabic"/>
          <w:sz w:val="28"/>
          <w:szCs w:val="28"/>
        </w:rPr>
        <w:sym w:font="HQPB2" w:char="F070"/>
      </w:r>
      <w:r w:rsidRPr="00DF303B">
        <w:rPr>
          <w:rFonts w:cs="Traditional Arabic"/>
          <w:sz w:val="28"/>
          <w:szCs w:val="28"/>
        </w:rPr>
        <w:sym w:font="HQPB5" w:char="F078"/>
      </w:r>
      <w:r w:rsidRPr="00DF303B">
        <w:rPr>
          <w:rFonts w:cs="Traditional Arabic"/>
          <w:sz w:val="28"/>
          <w:szCs w:val="28"/>
        </w:rPr>
        <w:sym w:font="HQPB2" w:char="F02E"/>
      </w:r>
      <w:r w:rsidRPr="00DF303B">
        <w:rPr>
          <w:rFonts w:cs="Traditional Arabic"/>
          <w:sz w:val="28"/>
          <w:szCs w:val="28"/>
        </w:rPr>
        <w:sym w:font="HQPB4" w:char="F0CE"/>
      </w:r>
      <w:r w:rsidRPr="00DF303B">
        <w:rPr>
          <w:rFonts w:cs="Traditional Arabic"/>
          <w:sz w:val="28"/>
          <w:szCs w:val="28"/>
        </w:rPr>
        <w:sym w:font="HQPB1" w:char="F08E"/>
      </w:r>
      <w:r w:rsidRPr="00DF303B">
        <w:rPr>
          <w:rFonts w:cs="Traditional Arabic"/>
          <w:sz w:val="28"/>
          <w:szCs w:val="28"/>
        </w:rPr>
        <w:sym w:font="HQPB4" w:char="F0F4"/>
      </w:r>
      <w:r w:rsidRPr="00DF303B">
        <w:rPr>
          <w:rFonts w:cs="Traditional Arabic"/>
          <w:sz w:val="28"/>
          <w:szCs w:val="28"/>
        </w:rPr>
        <w:sym w:font="HQPB1" w:char="F0B3"/>
      </w:r>
      <w:r w:rsidRPr="00DF303B">
        <w:rPr>
          <w:rFonts w:cs="Traditional Arabic"/>
          <w:sz w:val="28"/>
          <w:szCs w:val="28"/>
        </w:rPr>
        <w:sym w:font="HQPB4" w:char="F095"/>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F6"/>
      </w:r>
      <w:r w:rsidRPr="00DF303B">
        <w:rPr>
          <w:rFonts w:cs="Traditional Arabic"/>
          <w:sz w:val="28"/>
          <w:szCs w:val="28"/>
        </w:rPr>
        <w:sym w:font="HQPB2" w:char="F071"/>
      </w:r>
      <w:r w:rsidRPr="00DF303B">
        <w:rPr>
          <w:rFonts w:cs="Traditional Arabic"/>
          <w:sz w:val="28"/>
          <w:szCs w:val="28"/>
        </w:rPr>
        <w:sym w:font="HQPB5" w:char="F073"/>
      </w:r>
      <w:r w:rsidRPr="00DF303B">
        <w:rPr>
          <w:rFonts w:cs="Traditional Arabic"/>
          <w:sz w:val="28"/>
          <w:szCs w:val="28"/>
        </w:rPr>
        <w:sym w:font="HQPB2" w:char="F039"/>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4" w:char="F0F6"/>
      </w:r>
      <w:r w:rsidRPr="00DF303B">
        <w:rPr>
          <w:rFonts w:cs="Traditional Arabic"/>
          <w:sz w:val="28"/>
          <w:szCs w:val="28"/>
        </w:rPr>
        <w:sym w:font="HQPB2" w:char="F04E"/>
      </w:r>
      <w:r w:rsidRPr="00DF303B">
        <w:rPr>
          <w:rFonts w:cs="Traditional Arabic"/>
          <w:sz w:val="28"/>
          <w:szCs w:val="28"/>
        </w:rPr>
        <w:sym w:font="HQPB4" w:char="F0E4"/>
      </w:r>
      <w:r w:rsidRPr="00DF303B">
        <w:rPr>
          <w:rFonts w:cs="Traditional Arabic"/>
          <w:sz w:val="28"/>
          <w:szCs w:val="28"/>
        </w:rPr>
        <w:sym w:font="HQPB2" w:char="F033"/>
      </w:r>
      <w:r w:rsidRPr="00DF303B">
        <w:rPr>
          <w:rFonts w:cs="Traditional Arabic"/>
          <w:sz w:val="28"/>
          <w:szCs w:val="28"/>
        </w:rPr>
        <w:sym w:font="HQPB4" w:char="F0F7"/>
      </w:r>
      <w:r w:rsidRPr="00DF303B">
        <w:rPr>
          <w:rFonts w:cs="Traditional Arabic"/>
          <w:sz w:val="28"/>
          <w:szCs w:val="28"/>
        </w:rPr>
        <w:sym w:font="HQPB1" w:char="F047"/>
      </w:r>
      <w:r w:rsidRPr="00DF303B">
        <w:rPr>
          <w:rFonts w:cs="Traditional Arabic"/>
          <w:sz w:val="28"/>
          <w:szCs w:val="28"/>
        </w:rPr>
        <w:sym w:font="HQPB5" w:char="F074"/>
      </w:r>
      <w:r w:rsidRPr="00DF303B">
        <w:rPr>
          <w:rFonts w:cs="Traditional Arabic"/>
          <w:sz w:val="28"/>
          <w:szCs w:val="28"/>
        </w:rPr>
        <w:sym w:font="HQPB1" w:char="F036"/>
      </w:r>
      <w:r w:rsidRPr="00DF303B">
        <w:rPr>
          <w:rFonts w:cs="Traditional Arabic"/>
          <w:sz w:val="28"/>
          <w:szCs w:val="28"/>
        </w:rPr>
        <w:sym w:font="HQPB5" w:char="F079"/>
      </w:r>
      <w:r w:rsidRPr="00DF303B">
        <w:rPr>
          <w:rFonts w:cs="Traditional Arabic"/>
          <w:sz w:val="28"/>
          <w:szCs w:val="28"/>
        </w:rPr>
        <w:sym w:font="HQPB1" w:char="F066"/>
      </w:r>
      <w:r w:rsidRPr="00DF303B">
        <w:rPr>
          <w:rFonts w:cs="Traditional Arabic"/>
          <w:sz w:val="28"/>
          <w:szCs w:val="28"/>
        </w:rPr>
        <w:sym w:font="HQPB4" w:char="F0F4"/>
      </w:r>
      <w:r w:rsidRPr="00DF303B">
        <w:rPr>
          <w:rFonts w:cs="Traditional Arabic"/>
          <w:sz w:val="28"/>
          <w:szCs w:val="28"/>
        </w:rPr>
        <w:sym w:font="HQPB1" w:char="F0E3"/>
      </w:r>
      <w:r w:rsidRPr="00DF303B">
        <w:rPr>
          <w:rFonts w:cs="Traditional Arabic"/>
          <w:sz w:val="28"/>
          <w:szCs w:val="28"/>
        </w:rPr>
        <w:sym w:font="HQPB5" w:char="F072"/>
      </w:r>
      <w:r w:rsidRPr="00DF303B">
        <w:rPr>
          <w:rFonts w:cs="Traditional Arabic"/>
          <w:sz w:val="28"/>
          <w:szCs w:val="28"/>
        </w:rPr>
        <w:sym w:font="HQPB1" w:char="F026"/>
      </w:r>
      <w:r w:rsidRPr="00DF303B">
        <w:rPr>
          <w:rFonts w:ascii="(normal text)" w:hAnsi="(normal text)" w:cs="Traditional Arabic"/>
          <w:sz w:val="28"/>
          <w:szCs w:val="28"/>
          <w:rtl/>
        </w:rPr>
        <w:t xml:space="preserve"> </w:t>
      </w:r>
      <w:r w:rsidRPr="00DF303B">
        <w:rPr>
          <w:rFonts w:cs="Traditional Arabic"/>
          <w:sz w:val="28"/>
          <w:szCs w:val="28"/>
        </w:rPr>
        <w:sym w:font="HQPB4" w:char="F033"/>
      </w:r>
      <w:r w:rsidRPr="00DF303B">
        <w:rPr>
          <w:rFonts w:ascii="(normal text)" w:hAnsi="(normal text)" w:cs="Traditional Arabic"/>
          <w:sz w:val="28"/>
          <w:szCs w:val="28"/>
          <w:rtl/>
        </w:rPr>
        <w:t xml:space="preserve"> </w:t>
      </w:r>
      <w:r w:rsidRPr="00DF303B">
        <w:rPr>
          <w:rFonts w:cs="Traditional Arabic"/>
          <w:sz w:val="28"/>
          <w:szCs w:val="28"/>
        </w:rPr>
        <w:sym w:font="HQPB5" w:char="F09F"/>
      </w:r>
      <w:r w:rsidRPr="00DF303B">
        <w:rPr>
          <w:rFonts w:cs="Traditional Arabic"/>
          <w:sz w:val="28"/>
          <w:szCs w:val="28"/>
        </w:rPr>
        <w:sym w:font="HQPB2" w:char="F077"/>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5" w:char="F028"/>
      </w:r>
      <w:r w:rsidRPr="00DF303B">
        <w:rPr>
          <w:rFonts w:cs="Traditional Arabic"/>
          <w:sz w:val="28"/>
          <w:szCs w:val="28"/>
        </w:rPr>
        <w:sym w:font="HQPB1" w:char="F023"/>
      </w:r>
      <w:r w:rsidRPr="00DF303B">
        <w:rPr>
          <w:rFonts w:cs="Traditional Arabic"/>
          <w:sz w:val="28"/>
          <w:szCs w:val="28"/>
        </w:rPr>
        <w:sym w:font="HQPB2" w:char="F071"/>
      </w:r>
      <w:r w:rsidRPr="00DF303B">
        <w:rPr>
          <w:rFonts w:cs="Traditional Arabic"/>
          <w:sz w:val="28"/>
          <w:szCs w:val="28"/>
        </w:rPr>
        <w:sym w:font="HQPB4" w:char="F0DF"/>
      </w:r>
      <w:r w:rsidRPr="00DF303B">
        <w:rPr>
          <w:rFonts w:cs="Traditional Arabic"/>
          <w:sz w:val="28"/>
          <w:szCs w:val="28"/>
        </w:rPr>
        <w:sym w:font="HQPB1" w:char="F073"/>
      </w:r>
      <w:r w:rsidRPr="00DF303B">
        <w:rPr>
          <w:rFonts w:cs="Traditional Arabic"/>
          <w:sz w:val="28"/>
          <w:szCs w:val="28"/>
        </w:rPr>
        <w:sym w:font="HQPB4" w:char="F0C5"/>
      </w:r>
      <w:r w:rsidRPr="00DF303B">
        <w:rPr>
          <w:rFonts w:cs="Traditional Arabic"/>
          <w:sz w:val="28"/>
          <w:szCs w:val="28"/>
        </w:rPr>
        <w:sym w:font="HQPB2" w:char="F033"/>
      </w:r>
      <w:r w:rsidRPr="00DF303B">
        <w:rPr>
          <w:rFonts w:cs="Traditional Arabic"/>
          <w:sz w:val="28"/>
          <w:szCs w:val="28"/>
        </w:rPr>
        <w:sym w:font="HQPB2" w:char="F05A"/>
      </w:r>
      <w:r w:rsidRPr="00DF303B">
        <w:rPr>
          <w:rFonts w:cs="Traditional Arabic"/>
          <w:sz w:val="28"/>
          <w:szCs w:val="28"/>
        </w:rPr>
        <w:sym w:font="HQPB4" w:char="F0E8"/>
      </w:r>
      <w:r w:rsidRPr="00DF303B">
        <w:rPr>
          <w:rFonts w:cs="Traditional Arabic"/>
          <w:sz w:val="28"/>
          <w:szCs w:val="28"/>
        </w:rPr>
        <w:sym w:font="HQPB1" w:char="F03F"/>
      </w:r>
      <w:r w:rsidRPr="00DF303B">
        <w:rPr>
          <w:rFonts w:ascii="(normal text)" w:hAnsi="(normal text)" w:cs="Traditional Arabic"/>
          <w:sz w:val="28"/>
          <w:szCs w:val="28"/>
          <w:rtl/>
        </w:rPr>
        <w:t xml:space="preserve"> </w:t>
      </w:r>
      <w:r w:rsidRPr="00DF303B">
        <w:rPr>
          <w:rFonts w:cs="Traditional Arabic"/>
          <w:sz w:val="28"/>
          <w:szCs w:val="28"/>
        </w:rPr>
        <w:sym w:font="HQPB5" w:char="F074"/>
      </w:r>
      <w:r w:rsidRPr="00DF303B">
        <w:rPr>
          <w:rFonts w:cs="Traditional Arabic"/>
          <w:sz w:val="28"/>
          <w:szCs w:val="28"/>
        </w:rPr>
        <w:sym w:font="HQPB2" w:char="F0FB"/>
      </w:r>
      <w:r w:rsidRPr="00DF303B">
        <w:rPr>
          <w:rFonts w:cs="Traditional Arabic"/>
          <w:sz w:val="28"/>
          <w:szCs w:val="28"/>
        </w:rPr>
        <w:sym w:font="HQPB2" w:char="F0FC"/>
      </w:r>
      <w:r w:rsidRPr="00DF303B">
        <w:rPr>
          <w:rFonts w:cs="Traditional Arabic"/>
          <w:sz w:val="28"/>
          <w:szCs w:val="28"/>
        </w:rPr>
        <w:sym w:font="HQPB4" w:char="F0CF"/>
      </w:r>
      <w:r w:rsidRPr="00DF303B">
        <w:rPr>
          <w:rFonts w:cs="Traditional Arabic"/>
          <w:sz w:val="28"/>
          <w:szCs w:val="28"/>
        </w:rPr>
        <w:sym w:font="HQPB2" w:char="F02E"/>
      </w:r>
      <w:r w:rsidRPr="00DF303B">
        <w:rPr>
          <w:rFonts w:cs="Traditional Arabic"/>
          <w:sz w:val="28"/>
          <w:szCs w:val="28"/>
        </w:rPr>
        <w:sym w:font="HQPB4" w:char="F0CE"/>
      </w:r>
      <w:r w:rsidRPr="00DF303B">
        <w:rPr>
          <w:rFonts w:cs="Traditional Arabic"/>
          <w:sz w:val="28"/>
          <w:szCs w:val="28"/>
        </w:rPr>
        <w:sym w:font="HQPB1" w:char="F08E"/>
      </w:r>
      <w:r w:rsidRPr="00DF303B">
        <w:rPr>
          <w:rFonts w:cs="Traditional Arabic"/>
          <w:sz w:val="28"/>
          <w:szCs w:val="28"/>
        </w:rPr>
        <w:sym w:font="HQPB4" w:char="F0F4"/>
      </w:r>
      <w:r w:rsidRPr="00DF303B">
        <w:rPr>
          <w:rFonts w:cs="Traditional Arabic"/>
          <w:sz w:val="28"/>
          <w:szCs w:val="28"/>
        </w:rPr>
        <w:sym w:font="HQPB1" w:char="F0B3"/>
      </w:r>
      <w:r w:rsidRPr="00DF303B">
        <w:rPr>
          <w:rFonts w:cs="Traditional Arabic"/>
          <w:sz w:val="28"/>
          <w:szCs w:val="28"/>
        </w:rPr>
        <w:sym w:font="HQPB4" w:char="F0DF"/>
      </w:r>
      <w:r w:rsidRPr="00DF303B">
        <w:rPr>
          <w:rFonts w:cs="Traditional Arabic"/>
          <w:sz w:val="28"/>
          <w:szCs w:val="28"/>
        </w:rPr>
        <w:sym w:font="HQPB2" w:char="F04A"/>
      </w:r>
      <w:r w:rsidRPr="00DF303B">
        <w:rPr>
          <w:rFonts w:cs="Traditional Arabic"/>
          <w:sz w:val="28"/>
          <w:szCs w:val="28"/>
        </w:rPr>
        <w:sym w:font="HQPB4" w:char="F0F8"/>
      </w:r>
      <w:r w:rsidRPr="00DF303B">
        <w:rPr>
          <w:rFonts w:cs="Traditional Arabic"/>
          <w:sz w:val="28"/>
          <w:szCs w:val="28"/>
        </w:rPr>
        <w:sym w:font="HQPB2" w:char="F039"/>
      </w:r>
      <w:r w:rsidRPr="00DF303B">
        <w:rPr>
          <w:rFonts w:cs="Traditional Arabic"/>
          <w:sz w:val="28"/>
          <w:szCs w:val="28"/>
        </w:rPr>
        <w:sym w:font="HQPB5" w:char="F024"/>
      </w:r>
      <w:r w:rsidRPr="00DF303B">
        <w:rPr>
          <w:rFonts w:cs="Traditional Arabic"/>
          <w:sz w:val="28"/>
          <w:szCs w:val="28"/>
        </w:rPr>
        <w:sym w:font="HQPB1" w:char="F023"/>
      </w:r>
      <w:r w:rsidRPr="00DF303B">
        <w:rPr>
          <w:rFonts w:ascii="(normal text)" w:hAnsi="(normal text)" w:cs="Traditional Arabic"/>
          <w:sz w:val="28"/>
          <w:szCs w:val="28"/>
          <w:rtl/>
        </w:rPr>
        <w:t xml:space="preserve"> </w:t>
      </w:r>
      <w:r w:rsidRPr="00DF303B">
        <w:rPr>
          <w:rFonts w:cs="Traditional Arabic"/>
          <w:sz w:val="28"/>
          <w:szCs w:val="28"/>
        </w:rPr>
        <w:sym w:font="HQPB5" w:char="F034"/>
      </w:r>
      <w:r w:rsidRPr="00DF303B">
        <w:rPr>
          <w:rFonts w:cs="Traditional Arabic"/>
          <w:sz w:val="28"/>
          <w:szCs w:val="28"/>
        </w:rPr>
        <w:sym w:font="HQPB2" w:char="F0D3"/>
      </w:r>
      <w:r w:rsidRPr="00DF303B">
        <w:rPr>
          <w:rFonts w:cs="Traditional Arabic"/>
          <w:sz w:val="28"/>
          <w:szCs w:val="28"/>
        </w:rPr>
        <w:sym w:font="HQPB4" w:char="F0AE"/>
      </w:r>
      <w:r w:rsidRPr="00DF303B">
        <w:rPr>
          <w:rFonts w:cs="Traditional Arabic"/>
          <w:sz w:val="28"/>
          <w:szCs w:val="28"/>
        </w:rPr>
        <w:sym w:font="HQPB1" w:char="F04C"/>
      </w:r>
      <w:r w:rsidRPr="00DF303B">
        <w:rPr>
          <w:rFonts w:cs="Traditional Arabic"/>
          <w:sz w:val="28"/>
          <w:szCs w:val="28"/>
        </w:rPr>
        <w:sym w:font="HQPB5" w:char="F079"/>
      </w:r>
      <w:r w:rsidRPr="00DF303B">
        <w:rPr>
          <w:rFonts w:cs="Traditional Arabic"/>
          <w:sz w:val="28"/>
          <w:szCs w:val="28"/>
        </w:rPr>
        <w:sym w:font="HQPB1" w:char="F06D"/>
      </w:r>
      <w:r w:rsidRPr="00DF303B">
        <w:rPr>
          <w:rFonts w:ascii="(normal text)" w:hAnsi="(normal text)" w:cs="Traditional Arabic"/>
          <w:sz w:val="28"/>
          <w:szCs w:val="28"/>
          <w:rtl/>
        </w:rPr>
        <w:t xml:space="preserve"> </w:t>
      </w:r>
      <w:r w:rsidRPr="00DF303B">
        <w:rPr>
          <w:rFonts w:cs="Traditional Arabic"/>
          <w:sz w:val="28"/>
          <w:szCs w:val="28"/>
        </w:rPr>
        <w:sym w:font="HQPB5" w:char="F028"/>
      </w:r>
      <w:r w:rsidRPr="00DF303B">
        <w:rPr>
          <w:rFonts w:cs="Traditional Arabic"/>
          <w:sz w:val="28"/>
          <w:szCs w:val="28"/>
        </w:rPr>
        <w:sym w:font="HQPB1" w:char="F023"/>
      </w:r>
      <w:r w:rsidRPr="00DF303B">
        <w:rPr>
          <w:rFonts w:cs="Traditional Arabic"/>
          <w:sz w:val="28"/>
          <w:szCs w:val="28"/>
        </w:rPr>
        <w:sym w:font="HQPB2" w:char="F071"/>
      </w:r>
      <w:r w:rsidRPr="00DF303B">
        <w:rPr>
          <w:rFonts w:cs="Traditional Arabic"/>
          <w:sz w:val="28"/>
          <w:szCs w:val="28"/>
        </w:rPr>
        <w:sym w:font="HQPB4" w:char="F0E3"/>
      </w:r>
      <w:r w:rsidRPr="00DF303B">
        <w:rPr>
          <w:rFonts w:cs="Traditional Arabic"/>
          <w:sz w:val="28"/>
          <w:szCs w:val="28"/>
        </w:rPr>
        <w:sym w:font="HQPB2" w:char="F05A"/>
      </w:r>
      <w:r w:rsidRPr="00DF303B">
        <w:rPr>
          <w:rFonts w:cs="Traditional Arabic"/>
          <w:sz w:val="28"/>
          <w:szCs w:val="28"/>
        </w:rPr>
        <w:sym w:font="HQPB4" w:char="F0CF"/>
      </w:r>
      <w:r w:rsidRPr="00DF303B">
        <w:rPr>
          <w:rFonts w:cs="Traditional Arabic"/>
          <w:sz w:val="28"/>
          <w:szCs w:val="28"/>
        </w:rPr>
        <w:sym w:font="HQPB2" w:char="F042"/>
      </w:r>
      <w:r w:rsidRPr="00DF303B">
        <w:rPr>
          <w:rFonts w:cs="Traditional Arabic"/>
          <w:sz w:val="28"/>
          <w:szCs w:val="28"/>
        </w:rPr>
        <w:sym w:font="HQPB4" w:char="F0F7"/>
      </w:r>
      <w:r w:rsidRPr="00DF303B">
        <w:rPr>
          <w:rFonts w:cs="Traditional Arabic"/>
          <w:sz w:val="28"/>
          <w:szCs w:val="28"/>
        </w:rPr>
        <w:sym w:font="HQPB2" w:char="F073"/>
      </w:r>
      <w:r w:rsidRPr="00DF303B">
        <w:rPr>
          <w:rFonts w:cs="Traditional Arabic"/>
          <w:sz w:val="28"/>
          <w:szCs w:val="28"/>
        </w:rPr>
        <w:sym w:font="HQPB4" w:char="F0E3"/>
      </w:r>
      <w:r w:rsidRPr="00DF303B">
        <w:rPr>
          <w:rFonts w:cs="Traditional Arabic"/>
          <w:sz w:val="28"/>
          <w:szCs w:val="28"/>
        </w:rPr>
        <w:sym w:font="HQPB2" w:char="F083"/>
      </w:r>
      <w:r w:rsidRPr="00DF303B">
        <w:rPr>
          <w:rFonts w:ascii="(normal text)" w:hAnsi="(normal text)" w:cs="Traditional Arabic"/>
          <w:sz w:val="28"/>
          <w:szCs w:val="28"/>
          <w:rtl/>
        </w:rPr>
        <w:t xml:space="preserve"> </w:t>
      </w:r>
      <w:r w:rsidRPr="00DF303B">
        <w:rPr>
          <w:rFonts w:cs="Traditional Arabic"/>
          <w:sz w:val="28"/>
          <w:szCs w:val="28"/>
        </w:rPr>
        <w:sym w:font="HQPB4" w:char="F034"/>
      </w:r>
      <w:r w:rsidRPr="00DF303B">
        <w:rPr>
          <w:rFonts w:ascii="(normal text)" w:hAnsi="(normal text)" w:cs="Traditional Arabic"/>
          <w:sz w:val="28"/>
          <w:szCs w:val="28"/>
          <w:rtl/>
        </w:rPr>
        <w:t xml:space="preserve"> </w:t>
      </w:r>
      <w:r w:rsidRPr="00DF303B">
        <w:rPr>
          <w:rFonts w:cs="Traditional Arabic"/>
          <w:sz w:val="28"/>
          <w:szCs w:val="28"/>
        </w:rPr>
        <w:sym w:font="HQPB4" w:char="F0D3"/>
      </w:r>
      <w:r w:rsidRPr="00DF303B">
        <w:rPr>
          <w:rFonts w:cs="Traditional Arabic"/>
          <w:sz w:val="28"/>
          <w:szCs w:val="28"/>
        </w:rPr>
        <w:sym w:font="HQPB1" w:char="F089"/>
      </w:r>
      <w:r w:rsidRPr="00DF303B">
        <w:rPr>
          <w:rFonts w:cs="Traditional Arabic"/>
          <w:sz w:val="28"/>
          <w:szCs w:val="28"/>
        </w:rPr>
        <w:sym w:font="HQPB4" w:char="F0F6"/>
      </w:r>
      <w:r w:rsidRPr="00DF303B">
        <w:rPr>
          <w:rFonts w:cs="Traditional Arabic"/>
          <w:sz w:val="28"/>
          <w:szCs w:val="28"/>
        </w:rPr>
        <w:sym w:font="HQPB1" w:char="F037"/>
      </w:r>
      <w:r w:rsidRPr="00DF303B">
        <w:rPr>
          <w:rFonts w:cs="Traditional Arabic"/>
          <w:sz w:val="28"/>
          <w:szCs w:val="28"/>
        </w:rPr>
        <w:sym w:font="HQPB5" w:char="F079"/>
      </w:r>
      <w:r w:rsidRPr="00DF303B">
        <w:rPr>
          <w:rFonts w:cs="Traditional Arabic"/>
          <w:sz w:val="28"/>
          <w:szCs w:val="28"/>
        </w:rPr>
        <w:sym w:font="HQPB1" w:char="F0E8"/>
      </w:r>
      <w:r w:rsidRPr="00DF303B">
        <w:rPr>
          <w:rFonts w:cs="Traditional Arabic"/>
          <w:sz w:val="28"/>
          <w:szCs w:val="28"/>
        </w:rPr>
        <w:sym w:font="HQPB5" w:char="F073"/>
      </w:r>
      <w:r w:rsidRPr="00DF303B">
        <w:rPr>
          <w:rFonts w:cs="Traditional Arabic"/>
          <w:sz w:val="28"/>
          <w:szCs w:val="28"/>
        </w:rPr>
        <w:sym w:font="HQPB2" w:char="F039"/>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4" w:char="F0ED"/>
      </w:r>
      <w:r w:rsidRPr="00DF303B">
        <w:rPr>
          <w:rFonts w:cs="Traditional Arabic"/>
          <w:sz w:val="28"/>
          <w:szCs w:val="28"/>
        </w:rPr>
        <w:sym w:font="HQPB2" w:char="F060"/>
      </w:r>
      <w:r w:rsidRPr="00DF303B">
        <w:rPr>
          <w:rFonts w:cs="Traditional Arabic"/>
          <w:sz w:val="28"/>
          <w:szCs w:val="28"/>
        </w:rPr>
        <w:sym w:font="HQPB4" w:char="F0CF"/>
      </w:r>
      <w:r w:rsidRPr="00DF303B">
        <w:rPr>
          <w:rFonts w:cs="Traditional Arabic"/>
          <w:sz w:val="28"/>
          <w:szCs w:val="28"/>
        </w:rPr>
        <w:sym w:font="HQPB2" w:char="F042"/>
      </w:r>
      <w:r w:rsidRPr="00DF303B">
        <w:rPr>
          <w:rFonts w:cs="Traditional Arabic"/>
          <w:sz w:val="28"/>
          <w:szCs w:val="28"/>
        </w:rPr>
        <w:sym w:font="HQPB4" w:char="F0F7"/>
      </w:r>
      <w:r w:rsidRPr="00DF303B">
        <w:rPr>
          <w:rFonts w:cs="Traditional Arabic"/>
          <w:sz w:val="28"/>
          <w:szCs w:val="28"/>
        </w:rPr>
        <w:sym w:font="HQPB2" w:char="F073"/>
      </w:r>
      <w:r w:rsidRPr="00DF303B">
        <w:rPr>
          <w:rFonts w:cs="Traditional Arabic"/>
          <w:sz w:val="28"/>
          <w:szCs w:val="28"/>
        </w:rPr>
        <w:sym w:font="HQPB4" w:char="F095"/>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D7"/>
      </w:r>
      <w:r w:rsidRPr="00DF303B">
        <w:rPr>
          <w:rFonts w:cs="Traditional Arabic"/>
          <w:sz w:val="28"/>
          <w:szCs w:val="28"/>
        </w:rPr>
        <w:sym w:font="HQPB1" w:char="F08E"/>
      </w:r>
      <w:r w:rsidRPr="00DF303B">
        <w:rPr>
          <w:rFonts w:cs="Traditional Arabic"/>
          <w:sz w:val="28"/>
          <w:szCs w:val="28"/>
        </w:rPr>
        <w:sym w:font="HQPB4" w:char="F0F6"/>
      </w:r>
      <w:r w:rsidRPr="00DF303B">
        <w:rPr>
          <w:rFonts w:cs="Traditional Arabic"/>
          <w:sz w:val="28"/>
          <w:szCs w:val="28"/>
        </w:rPr>
        <w:sym w:font="HQPB2" w:char="F08D"/>
      </w:r>
      <w:r w:rsidRPr="00DF303B">
        <w:rPr>
          <w:rFonts w:cs="Traditional Arabic"/>
          <w:sz w:val="28"/>
          <w:szCs w:val="28"/>
        </w:rPr>
        <w:sym w:font="HQPB5" w:char="F079"/>
      </w:r>
      <w:r w:rsidRPr="00DF303B">
        <w:rPr>
          <w:rFonts w:cs="Traditional Arabic"/>
          <w:sz w:val="28"/>
          <w:szCs w:val="28"/>
        </w:rPr>
        <w:sym w:font="HQPB1" w:char="F07A"/>
      </w:r>
      <w:r w:rsidRPr="00DF303B">
        <w:rPr>
          <w:rFonts w:ascii="(normal text)" w:hAnsi="(normal text)" w:cs="Traditional Arabic"/>
          <w:sz w:val="28"/>
          <w:szCs w:val="28"/>
          <w:rtl/>
        </w:rPr>
        <w:t xml:space="preserve"> </w:t>
      </w:r>
      <w:r w:rsidRPr="00DF303B">
        <w:rPr>
          <w:rFonts w:cs="Traditional Arabic"/>
          <w:sz w:val="28"/>
          <w:szCs w:val="28"/>
        </w:rPr>
        <w:sym w:font="HQPB2" w:char="F060"/>
      </w:r>
      <w:r w:rsidRPr="00DF303B">
        <w:rPr>
          <w:rFonts w:cs="Traditional Arabic"/>
          <w:sz w:val="28"/>
          <w:szCs w:val="28"/>
        </w:rPr>
        <w:sym w:font="HQPB4" w:char="F0CF"/>
      </w:r>
      <w:r w:rsidRPr="00DF303B">
        <w:rPr>
          <w:rFonts w:cs="Traditional Arabic"/>
          <w:sz w:val="28"/>
          <w:szCs w:val="28"/>
        </w:rPr>
        <w:sym w:font="HQPB4" w:char="F069"/>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37"/>
      </w:r>
      <w:r w:rsidRPr="00DF303B">
        <w:rPr>
          <w:rFonts w:cs="Traditional Arabic"/>
          <w:sz w:val="28"/>
          <w:szCs w:val="28"/>
        </w:rPr>
        <w:sym w:font="HQPB2" w:char="F038"/>
      </w:r>
      <w:r w:rsidRPr="00DF303B">
        <w:rPr>
          <w:rFonts w:cs="Traditional Arabic"/>
          <w:sz w:val="28"/>
          <w:szCs w:val="28"/>
        </w:rPr>
        <w:sym w:font="HQPB4" w:char="F0CE"/>
      </w:r>
      <w:r w:rsidRPr="00DF303B">
        <w:rPr>
          <w:rFonts w:cs="Traditional Arabic"/>
          <w:sz w:val="28"/>
          <w:szCs w:val="28"/>
        </w:rPr>
        <w:sym w:font="HQPB1" w:char="F08E"/>
      </w:r>
      <w:r w:rsidRPr="00DF303B">
        <w:rPr>
          <w:rFonts w:cs="Traditional Arabic"/>
          <w:sz w:val="28"/>
          <w:szCs w:val="28"/>
        </w:rPr>
        <w:sym w:font="HQPB4" w:char="F0F4"/>
      </w:r>
      <w:r w:rsidRPr="00DF303B">
        <w:rPr>
          <w:rFonts w:cs="Traditional Arabic"/>
          <w:sz w:val="28"/>
          <w:szCs w:val="28"/>
        </w:rPr>
        <w:sym w:font="HQPB1" w:char="F0B3"/>
      </w:r>
      <w:r w:rsidRPr="00DF303B">
        <w:rPr>
          <w:rFonts w:cs="Traditional Arabic"/>
          <w:sz w:val="28"/>
          <w:szCs w:val="28"/>
        </w:rPr>
        <w:sym w:font="HQPB4" w:char="F095"/>
      </w:r>
      <w:r w:rsidRPr="00DF303B">
        <w:rPr>
          <w:rFonts w:cs="Traditional Arabic"/>
          <w:sz w:val="28"/>
          <w:szCs w:val="28"/>
        </w:rPr>
        <w:sym w:font="HQPB2" w:char="F042"/>
      </w:r>
      <w:r w:rsidRPr="00DF303B">
        <w:rPr>
          <w:rFonts w:ascii="(normal text)" w:hAnsi="(normal text)" w:cs="Traditional Arabic"/>
          <w:sz w:val="28"/>
          <w:szCs w:val="28"/>
          <w:rtl/>
        </w:rPr>
        <w:t xml:space="preserve"> </w:t>
      </w:r>
      <w:r w:rsidRPr="00DF303B">
        <w:rPr>
          <w:rFonts w:cs="Traditional Arabic"/>
          <w:sz w:val="28"/>
          <w:szCs w:val="28"/>
        </w:rPr>
        <w:sym w:font="HQPB4" w:char="F0F6"/>
      </w:r>
      <w:r w:rsidRPr="00DF303B">
        <w:rPr>
          <w:rFonts w:cs="Traditional Arabic"/>
          <w:sz w:val="28"/>
          <w:szCs w:val="28"/>
        </w:rPr>
        <w:sym w:font="HQPB2" w:char="F071"/>
      </w:r>
      <w:r w:rsidRPr="00DF303B">
        <w:rPr>
          <w:rFonts w:cs="Traditional Arabic"/>
          <w:sz w:val="28"/>
          <w:szCs w:val="28"/>
        </w:rPr>
        <w:sym w:font="HQPB5" w:char="F073"/>
      </w:r>
      <w:r w:rsidRPr="00DF303B">
        <w:rPr>
          <w:rFonts w:cs="Traditional Arabic"/>
          <w:sz w:val="28"/>
          <w:szCs w:val="28"/>
        </w:rPr>
        <w:sym w:font="HQPB2" w:char="F039"/>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4" w:char="F0F6"/>
      </w:r>
      <w:r w:rsidRPr="00DF303B">
        <w:rPr>
          <w:rFonts w:cs="Traditional Arabic"/>
          <w:sz w:val="28"/>
          <w:szCs w:val="28"/>
        </w:rPr>
        <w:sym w:font="HQPB2" w:char="F04E"/>
      </w:r>
      <w:r w:rsidRPr="00DF303B">
        <w:rPr>
          <w:rFonts w:cs="Traditional Arabic"/>
          <w:sz w:val="28"/>
          <w:szCs w:val="28"/>
        </w:rPr>
        <w:sym w:font="HQPB4" w:char="F0E4"/>
      </w:r>
      <w:r w:rsidRPr="00DF303B">
        <w:rPr>
          <w:rFonts w:cs="Traditional Arabic"/>
          <w:sz w:val="28"/>
          <w:szCs w:val="28"/>
        </w:rPr>
        <w:sym w:font="HQPB2" w:char="F033"/>
      </w:r>
      <w:r w:rsidRPr="00DF303B">
        <w:rPr>
          <w:rFonts w:cs="Traditional Arabic"/>
          <w:sz w:val="28"/>
          <w:szCs w:val="28"/>
        </w:rPr>
        <w:sym w:font="HQPB5" w:char="F074"/>
      </w:r>
      <w:r w:rsidRPr="00DF303B">
        <w:rPr>
          <w:rFonts w:cs="Traditional Arabic"/>
          <w:sz w:val="28"/>
          <w:szCs w:val="28"/>
        </w:rPr>
        <w:sym w:font="HQPB1" w:char="F036"/>
      </w:r>
      <w:r w:rsidRPr="00DF303B">
        <w:rPr>
          <w:rFonts w:cs="Traditional Arabic"/>
          <w:sz w:val="28"/>
          <w:szCs w:val="28"/>
        </w:rPr>
        <w:sym w:font="HQPB5" w:char="F079"/>
      </w:r>
      <w:r w:rsidRPr="00DF303B">
        <w:rPr>
          <w:rFonts w:cs="Traditional Arabic"/>
          <w:sz w:val="28"/>
          <w:szCs w:val="28"/>
        </w:rPr>
        <w:sym w:font="HQPB1" w:char="F066"/>
      </w:r>
      <w:r w:rsidRPr="00DF303B">
        <w:rPr>
          <w:rFonts w:cs="Traditional Arabic"/>
          <w:sz w:val="28"/>
          <w:szCs w:val="28"/>
        </w:rPr>
        <w:sym w:font="HQPB4" w:char="F0F4"/>
      </w:r>
      <w:r w:rsidRPr="00DF303B">
        <w:rPr>
          <w:rFonts w:cs="Traditional Arabic"/>
          <w:sz w:val="28"/>
          <w:szCs w:val="28"/>
        </w:rPr>
        <w:sym w:font="HQPB1" w:char="F0E3"/>
      </w:r>
      <w:r w:rsidRPr="00DF303B">
        <w:rPr>
          <w:rFonts w:cs="Traditional Arabic"/>
          <w:sz w:val="28"/>
          <w:szCs w:val="28"/>
        </w:rPr>
        <w:sym w:font="HQPB5" w:char="F072"/>
      </w:r>
      <w:r w:rsidRPr="00DF303B">
        <w:rPr>
          <w:rFonts w:cs="Traditional Arabic"/>
          <w:sz w:val="28"/>
          <w:szCs w:val="28"/>
        </w:rPr>
        <w:sym w:font="HQPB1" w:char="F026"/>
      </w:r>
      <w:r w:rsidRPr="00DF303B">
        <w:rPr>
          <w:rFonts w:ascii="(normal text)" w:hAnsi="(normal text)" w:cs="Traditional Arabic"/>
          <w:sz w:val="28"/>
          <w:szCs w:val="28"/>
          <w:rtl/>
        </w:rPr>
        <w:t xml:space="preserve"> </w:t>
      </w:r>
      <w:r w:rsidRPr="00DF303B">
        <w:rPr>
          <w:rFonts w:cs="Traditional Arabic"/>
          <w:sz w:val="28"/>
          <w:szCs w:val="28"/>
        </w:rPr>
        <w:sym w:font="HQPB4" w:char="F033"/>
      </w:r>
      <w:r w:rsidRPr="00DF303B">
        <w:rPr>
          <w:rFonts w:ascii="(normal text)" w:hAnsi="(normal text)" w:cs="Traditional Arabic"/>
          <w:sz w:val="28"/>
          <w:szCs w:val="28"/>
          <w:rtl/>
        </w:rPr>
        <w:t xml:space="preserve"> </w:t>
      </w:r>
      <w:r w:rsidRPr="00DF303B">
        <w:rPr>
          <w:rFonts w:cs="Traditional Arabic"/>
          <w:sz w:val="28"/>
          <w:szCs w:val="28"/>
        </w:rPr>
        <w:sym w:font="HQPB5" w:char="F079"/>
      </w:r>
      <w:r w:rsidRPr="00DF303B">
        <w:rPr>
          <w:rFonts w:cs="Traditional Arabic"/>
          <w:sz w:val="28"/>
          <w:szCs w:val="28"/>
        </w:rPr>
        <w:sym w:font="HQPB2" w:char="F037"/>
      </w:r>
      <w:r w:rsidRPr="00DF303B">
        <w:rPr>
          <w:rFonts w:cs="Traditional Arabic"/>
          <w:sz w:val="28"/>
          <w:szCs w:val="28"/>
        </w:rPr>
        <w:sym w:font="HQPB4" w:char="F0CD"/>
      </w:r>
      <w:r w:rsidRPr="00DF303B">
        <w:rPr>
          <w:rFonts w:cs="Traditional Arabic"/>
          <w:sz w:val="28"/>
          <w:szCs w:val="28"/>
        </w:rPr>
        <w:sym w:font="HQPB2" w:char="F0B4"/>
      </w:r>
      <w:r w:rsidRPr="00DF303B">
        <w:rPr>
          <w:rFonts w:cs="Traditional Arabic"/>
          <w:sz w:val="28"/>
          <w:szCs w:val="28"/>
        </w:rPr>
        <w:sym w:font="HQPB5" w:char="F0AF"/>
      </w:r>
      <w:r w:rsidRPr="00DF303B">
        <w:rPr>
          <w:rFonts w:cs="Traditional Arabic"/>
          <w:sz w:val="28"/>
          <w:szCs w:val="28"/>
        </w:rPr>
        <w:sym w:font="HQPB2" w:char="F0BB"/>
      </w:r>
      <w:r w:rsidRPr="00DF303B">
        <w:rPr>
          <w:rFonts w:cs="Traditional Arabic"/>
          <w:sz w:val="28"/>
          <w:szCs w:val="28"/>
        </w:rPr>
        <w:sym w:font="HQPB5" w:char="F073"/>
      </w:r>
      <w:r w:rsidRPr="00DF303B">
        <w:rPr>
          <w:rFonts w:cs="Traditional Arabic"/>
          <w:sz w:val="28"/>
          <w:szCs w:val="28"/>
        </w:rPr>
        <w:sym w:font="HQPB2" w:char="F039"/>
      </w:r>
      <w:r w:rsidRPr="00DF303B">
        <w:rPr>
          <w:rFonts w:cs="Traditional Arabic"/>
          <w:sz w:val="28"/>
          <w:szCs w:val="28"/>
        </w:rPr>
        <w:sym w:font="HQPB5" w:char="F027"/>
      </w:r>
      <w:r w:rsidRPr="00DF303B">
        <w:rPr>
          <w:rFonts w:cs="Traditional Arabic"/>
          <w:sz w:val="28"/>
          <w:szCs w:val="28"/>
        </w:rPr>
        <w:sym w:font="HQPB2" w:char="F072"/>
      </w:r>
      <w:r w:rsidRPr="00DF303B">
        <w:rPr>
          <w:rFonts w:cs="Traditional Arabic"/>
          <w:sz w:val="28"/>
          <w:szCs w:val="28"/>
        </w:rPr>
        <w:sym w:font="HQPB4" w:char="F0E9"/>
      </w:r>
      <w:r w:rsidRPr="00DF303B">
        <w:rPr>
          <w:rFonts w:cs="Traditional Arabic"/>
          <w:sz w:val="28"/>
          <w:szCs w:val="28"/>
        </w:rPr>
        <w:sym w:font="HQPB1" w:char="F026"/>
      </w:r>
      <w:r w:rsidRPr="00DF303B">
        <w:rPr>
          <w:rFonts w:ascii="(normal text)" w:hAnsi="(normal text)" w:cs="Traditional Arabic"/>
          <w:sz w:val="28"/>
          <w:szCs w:val="28"/>
          <w:rtl/>
        </w:rPr>
        <w:t xml:space="preserve"> </w:t>
      </w:r>
      <w:r w:rsidRPr="00DF303B">
        <w:rPr>
          <w:rFonts w:cs="Traditional Arabic"/>
          <w:sz w:val="28"/>
          <w:szCs w:val="28"/>
        </w:rPr>
        <w:sym w:font="HQPB5" w:char="F074"/>
      </w:r>
      <w:r w:rsidRPr="00DF303B">
        <w:rPr>
          <w:rFonts w:cs="Traditional Arabic"/>
          <w:sz w:val="28"/>
          <w:szCs w:val="28"/>
        </w:rPr>
        <w:sym w:font="HQPB2" w:char="F062"/>
      </w:r>
      <w:r w:rsidRPr="00DF303B">
        <w:rPr>
          <w:rFonts w:cs="Traditional Arabic"/>
          <w:sz w:val="28"/>
          <w:szCs w:val="28"/>
        </w:rPr>
        <w:sym w:font="HQPB2" w:char="F071"/>
      </w:r>
      <w:r w:rsidRPr="00DF303B">
        <w:rPr>
          <w:rFonts w:cs="Traditional Arabic"/>
          <w:sz w:val="28"/>
          <w:szCs w:val="28"/>
        </w:rPr>
        <w:sym w:font="HQPB4" w:char="F0E3"/>
      </w:r>
      <w:r w:rsidRPr="00DF303B">
        <w:rPr>
          <w:rFonts w:cs="Traditional Arabic"/>
          <w:sz w:val="28"/>
          <w:szCs w:val="28"/>
        </w:rPr>
        <w:sym w:font="HQPB1" w:char="F0E3"/>
      </w:r>
      <w:r w:rsidRPr="00DF303B">
        <w:rPr>
          <w:rFonts w:cs="Traditional Arabic"/>
          <w:sz w:val="28"/>
          <w:szCs w:val="28"/>
        </w:rPr>
        <w:sym w:font="HQPB4" w:char="F0F4"/>
      </w:r>
      <w:r w:rsidRPr="00DF303B">
        <w:rPr>
          <w:rFonts w:cs="Traditional Arabic"/>
          <w:sz w:val="28"/>
          <w:szCs w:val="28"/>
        </w:rPr>
        <w:sym w:font="HQPB1" w:char="F089"/>
      </w:r>
      <w:r w:rsidRPr="00DF303B">
        <w:rPr>
          <w:rFonts w:cs="Traditional Arabic"/>
          <w:sz w:val="28"/>
          <w:szCs w:val="28"/>
        </w:rPr>
        <w:sym w:font="HQPB5" w:char="F074"/>
      </w:r>
      <w:r w:rsidRPr="00DF303B">
        <w:rPr>
          <w:rFonts w:cs="Traditional Arabic"/>
          <w:sz w:val="28"/>
          <w:szCs w:val="28"/>
        </w:rPr>
        <w:sym w:font="HQPB2" w:char="F083"/>
      </w:r>
      <w:r w:rsidRPr="00DF303B">
        <w:rPr>
          <w:rFonts w:ascii="(normal text)" w:hAnsi="(normal text)" w:cs="Traditional Arabic"/>
          <w:sz w:val="28"/>
          <w:szCs w:val="28"/>
          <w:rtl/>
        </w:rPr>
        <w:t xml:space="preserve"> </w:t>
      </w:r>
      <w:r w:rsidRPr="00DF303B">
        <w:rPr>
          <w:rFonts w:cs="Traditional Arabic"/>
          <w:sz w:val="28"/>
          <w:szCs w:val="28"/>
        </w:rPr>
        <w:sym w:font="HQPB2" w:char="F092"/>
      </w:r>
      <w:r w:rsidRPr="00DF303B">
        <w:rPr>
          <w:rFonts w:cs="Traditional Arabic"/>
          <w:sz w:val="28"/>
          <w:szCs w:val="28"/>
        </w:rPr>
        <w:sym w:font="HQPB5" w:char="F06E"/>
      </w:r>
      <w:r w:rsidRPr="00DF303B">
        <w:rPr>
          <w:rFonts w:cs="Traditional Arabic"/>
          <w:sz w:val="28"/>
          <w:szCs w:val="28"/>
        </w:rPr>
        <w:sym w:font="HQPB2" w:char="F03C"/>
      </w:r>
      <w:r w:rsidRPr="00DF303B">
        <w:rPr>
          <w:rFonts w:cs="Traditional Arabic"/>
          <w:sz w:val="28"/>
          <w:szCs w:val="28"/>
        </w:rPr>
        <w:sym w:font="HQPB4" w:char="F0CE"/>
      </w:r>
      <w:r w:rsidRPr="00DF303B">
        <w:rPr>
          <w:rFonts w:cs="Traditional Arabic"/>
          <w:sz w:val="28"/>
          <w:szCs w:val="28"/>
        </w:rPr>
        <w:sym w:font="HQPB1" w:char="F029"/>
      </w:r>
      <w:r w:rsidRPr="00DF303B">
        <w:rPr>
          <w:rFonts w:ascii="(normal text)" w:hAnsi="(normal text)" w:cs="Traditional Arabic"/>
          <w:sz w:val="28"/>
          <w:szCs w:val="28"/>
          <w:rtl/>
        </w:rPr>
        <w:t xml:space="preserve"> </w:t>
      </w:r>
      <w:r w:rsidRPr="00DF303B">
        <w:rPr>
          <w:rFonts w:cs="Traditional Arabic"/>
          <w:sz w:val="28"/>
          <w:szCs w:val="28"/>
        </w:rPr>
        <w:sym w:font="HQPB4" w:char="F0CD"/>
      </w:r>
      <w:r w:rsidRPr="00DF303B">
        <w:rPr>
          <w:rFonts w:cs="Traditional Arabic"/>
          <w:sz w:val="28"/>
          <w:szCs w:val="28"/>
        </w:rPr>
        <w:sym w:font="HQPB1" w:char="F091"/>
      </w:r>
      <w:r w:rsidRPr="00DF303B">
        <w:rPr>
          <w:rFonts w:cs="Traditional Arabic"/>
          <w:sz w:val="28"/>
          <w:szCs w:val="28"/>
        </w:rPr>
        <w:sym w:font="HQPB1" w:char="F024"/>
      </w:r>
      <w:r w:rsidRPr="00DF303B">
        <w:rPr>
          <w:rFonts w:cs="Traditional Arabic"/>
          <w:sz w:val="28"/>
          <w:szCs w:val="28"/>
        </w:rPr>
        <w:sym w:font="HQPB4" w:char="F0A8"/>
      </w:r>
      <w:r w:rsidRPr="00DF303B">
        <w:rPr>
          <w:rFonts w:cs="Traditional Arabic"/>
          <w:sz w:val="28"/>
          <w:szCs w:val="28"/>
        </w:rPr>
        <w:sym w:font="HQPB2" w:char="F05A"/>
      </w:r>
      <w:r w:rsidRPr="00DF303B">
        <w:rPr>
          <w:rFonts w:cs="Traditional Arabic"/>
          <w:sz w:val="28"/>
          <w:szCs w:val="28"/>
        </w:rPr>
        <w:sym w:font="HQPB2" w:char="F039"/>
      </w:r>
      <w:r w:rsidRPr="00DF303B">
        <w:rPr>
          <w:rFonts w:cs="Traditional Arabic"/>
          <w:sz w:val="28"/>
          <w:szCs w:val="28"/>
        </w:rPr>
        <w:sym w:font="HQPB5" w:char="F024"/>
      </w:r>
      <w:r w:rsidRPr="00DF303B">
        <w:rPr>
          <w:rFonts w:cs="Traditional Arabic"/>
          <w:sz w:val="28"/>
          <w:szCs w:val="28"/>
        </w:rPr>
        <w:sym w:font="HQPB1" w:char="F023"/>
      </w:r>
      <w:r w:rsidRPr="00DF303B">
        <w:rPr>
          <w:rFonts w:ascii="(normal text)" w:hAnsi="(normal text)" w:cs="Traditional Arabic"/>
          <w:sz w:val="28"/>
          <w:szCs w:val="28"/>
          <w:rtl/>
        </w:rPr>
        <w:t xml:space="preserve"> </w:t>
      </w:r>
      <w:r w:rsidRPr="00DF303B">
        <w:rPr>
          <w:rFonts w:cs="Traditional Arabic"/>
          <w:sz w:val="28"/>
          <w:szCs w:val="28"/>
        </w:rPr>
        <w:sym w:font="HQPB4" w:char="F028"/>
      </w:r>
      <w:r w:rsidRPr="00DF303B">
        <w:rPr>
          <w:rFonts w:ascii="(normal text)" w:hAnsi="(normal text)" w:cs="Traditional Arabic"/>
          <w:sz w:val="28"/>
          <w:szCs w:val="28"/>
          <w:rtl/>
        </w:rPr>
        <w:t xml:space="preserve"> </w:t>
      </w:r>
      <w:r w:rsidRPr="00DF303B">
        <w:rPr>
          <w:rFonts w:cs="Traditional Arabic"/>
          <w:sz w:val="28"/>
          <w:szCs w:val="28"/>
        </w:rPr>
        <w:sym w:font="HQPB5" w:char="F0AA"/>
      </w:r>
      <w:r w:rsidRPr="00DF303B">
        <w:rPr>
          <w:rFonts w:cs="Traditional Arabic" w:hint="cs"/>
          <w:sz w:val="28"/>
          <w:szCs w:val="28"/>
          <w:rtl/>
        </w:rPr>
        <w:t xml:space="preserve"> </w:t>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ascii="Adobe نسخ Medium" w:hAnsi="Adobe نسخ Medium" w:cs="Traditional Arabic"/>
          <w:sz w:val="40"/>
          <w:szCs w:val="40"/>
          <w:rtl/>
        </w:rPr>
        <w:t>اللهُ</w:t>
      </w:r>
      <w:r w:rsidRPr="00DF303B">
        <w:rPr>
          <w:rFonts w:ascii="Adobe نسخ Medium" w:hAnsi="Adobe نسخ Medium" w:cs="Traditional Arabic" w:hint="cs"/>
          <w:sz w:val="28"/>
          <w:szCs w:val="28"/>
          <w:rtl/>
        </w:rPr>
        <w:t xml:space="preserve"> </w:t>
      </w:r>
      <w:r w:rsidRPr="00DF303B">
        <w:rPr>
          <w:rFonts w:cs="Traditional Arabic"/>
          <w:sz w:val="28"/>
          <w:szCs w:val="28"/>
        </w:rPr>
        <w:sym w:font="HQPB5" w:char="F028"/>
      </w:r>
      <w:r w:rsidRPr="00DF303B">
        <w:rPr>
          <w:rFonts w:cs="Traditional Arabic"/>
          <w:sz w:val="28"/>
          <w:szCs w:val="28"/>
        </w:rPr>
        <w:sym w:font="HQPB1" w:char="F023"/>
      </w:r>
      <w:r w:rsidRPr="00DF303B">
        <w:rPr>
          <w:rFonts w:cs="Traditional Arabic"/>
          <w:sz w:val="28"/>
          <w:szCs w:val="28"/>
        </w:rPr>
        <w:sym w:font="HQPB4" w:char="F0FE"/>
      </w:r>
      <w:r w:rsidRPr="00DF303B">
        <w:rPr>
          <w:rFonts w:cs="Traditional Arabic"/>
          <w:sz w:val="28"/>
          <w:szCs w:val="28"/>
        </w:rPr>
        <w:sym w:font="HQPB2" w:char="F071"/>
      </w:r>
      <w:r w:rsidRPr="00DF303B">
        <w:rPr>
          <w:rFonts w:cs="Traditional Arabic"/>
          <w:sz w:val="28"/>
          <w:szCs w:val="28"/>
        </w:rPr>
        <w:sym w:font="HQPB4" w:char="F0E3"/>
      </w:r>
      <w:r w:rsidRPr="00DF303B">
        <w:rPr>
          <w:rFonts w:cs="Traditional Arabic"/>
          <w:sz w:val="28"/>
          <w:szCs w:val="28"/>
        </w:rPr>
        <w:sym w:font="HQPB1" w:char="F0E3"/>
      </w:r>
      <w:r w:rsidRPr="00DF303B">
        <w:rPr>
          <w:rFonts w:cs="Traditional Arabic"/>
          <w:sz w:val="28"/>
          <w:szCs w:val="28"/>
        </w:rPr>
        <w:sym w:font="HQPB4" w:char="F0F4"/>
      </w:r>
      <w:r w:rsidRPr="00DF303B">
        <w:rPr>
          <w:rFonts w:cs="Traditional Arabic"/>
          <w:sz w:val="28"/>
          <w:szCs w:val="28"/>
        </w:rPr>
        <w:sym w:font="HQPB1" w:char="F089"/>
      </w:r>
      <w:r w:rsidRPr="00DF303B">
        <w:rPr>
          <w:rFonts w:cs="Traditional Arabic"/>
          <w:sz w:val="28"/>
          <w:szCs w:val="28"/>
        </w:rPr>
        <w:sym w:font="HQPB5" w:char="F074"/>
      </w:r>
      <w:r w:rsidRPr="00DF303B">
        <w:rPr>
          <w:rFonts w:cs="Traditional Arabic"/>
          <w:sz w:val="28"/>
          <w:szCs w:val="28"/>
        </w:rPr>
        <w:sym w:font="HQPB2" w:char="F083"/>
      </w:r>
      <w:r w:rsidRPr="00DF303B">
        <w:rPr>
          <w:rFonts w:ascii="(normal text)" w:hAnsi="(normal text)" w:cs="Traditional Arabic"/>
          <w:sz w:val="28"/>
          <w:szCs w:val="28"/>
          <w:rtl/>
        </w:rPr>
        <w:t xml:space="preserve"> </w:t>
      </w:r>
      <w:r w:rsidRPr="00DF303B">
        <w:rPr>
          <w:rFonts w:cs="Traditional Arabic"/>
          <w:sz w:val="28"/>
          <w:szCs w:val="28"/>
        </w:rPr>
        <w:sym w:font="HQPB2" w:char="F092"/>
      </w:r>
      <w:r w:rsidRPr="00DF303B">
        <w:rPr>
          <w:rFonts w:cs="Traditional Arabic"/>
          <w:sz w:val="28"/>
          <w:szCs w:val="28"/>
        </w:rPr>
        <w:sym w:font="HQPB5" w:char="F06E"/>
      </w:r>
      <w:r w:rsidRPr="00DF303B">
        <w:rPr>
          <w:rFonts w:cs="Traditional Arabic"/>
          <w:sz w:val="28"/>
          <w:szCs w:val="28"/>
        </w:rPr>
        <w:sym w:font="HQPB2" w:char="F03C"/>
      </w:r>
      <w:r w:rsidRPr="00DF303B">
        <w:rPr>
          <w:rFonts w:cs="Traditional Arabic"/>
          <w:sz w:val="28"/>
          <w:szCs w:val="28"/>
        </w:rPr>
        <w:sym w:font="HQPB4" w:char="F0CE"/>
      </w:r>
      <w:r w:rsidRPr="00DF303B">
        <w:rPr>
          <w:rFonts w:cs="Traditional Arabic"/>
          <w:sz w:val="28"/>
          <w:szCs w:val="28"/>
        </w:rPr>
        <w:sym w:font="HQPB1" w:char="F029"/>
      </w:r>
      <w:r w:rsidRPr="00DF303B">
        <w:rPr>
          <w:rFonts w:ascii="(normal text)" w:hAnsi="(normal text)" w:cs="Traditional Arabic"/>
          <w:sz w:val="28"/>
          <w:szCs w:val="28"/>
          <w:rtl/>
        </w:rPr>
        <w:t xml:space="preserve"> </w:t>
      </w:r>
      <w:r w:rsidRPr="00DF303B">
        <w:rPr>
          <w:rFonts w:cs="Traditional Arabic"/>
          <w:sz w:val="28"/>
          <w:szCs w:val="28"/>
        </w:rPr>
        <w:sym w:font="HQPB4" w:char="F0CF"/>
      </w:r>
      <w:r w:rsidRPr="00DF303B">
        <w:rPr>
          <w:rFonts w:cs="Traditional Arabic"/>
          <w:sz w:val="28"/>
          <w:szCs w:val="28"/>
        </w:rPr>
        <w:sym w:font="HQPB2" w:char="F070"/>
      </w:r>
      <w:r w:rsidRPr="00DF303B">
        <w:rPr>
          <w:rFonts w:cs="Traditional Arabic"/>
          <w:sz w:val="28"/>
          <w:szCs w:val="28"/>
        </w:rPr>
        <w:sym w:font="HQPB4" w:char="F0A8"/>
      </w:r>
      <w:r w:rsidRPr="00DF303B">
        <w:rPr>
          <w:rFonts w:cs="Traditional Arabic"/>
          <w:sz w:val="28"/>
          <w:szCs w:val="28"/>
        </w:rPr>
        <w:sym w:font="HQPB2" w:char="F059"/>
      </w:r>
      <w:r w:rsidRPr="00DF303B">
        <w:rPr>
          <w:rFonts w:cs="Traditional Arabic"/>
          <w:sz w:val="28"/>
          <w:szCs w:val="28"/>
        </w:rPr>
        <w:sym w:font="HQPB5" w:char="F079"/>
      </w:r>
      <w:r w:rsidRPr="00DF303B">
        <w:rPr>
          <w:rFonts w:cs="Traditional Arabic"/>
          <w:sz w:val="28"/>
          <w:szCs w:val="28"/>
        </w:rPr>
        <w:sym w:font="HQPB1" w:char="F066"/>
      </w:r>
      <w:r w:rsidRPr="00DF303B">
        <w:rPr>
          <w:rFonts w:cs="Traditional Arabic"/>
          <w:sz w:val="28"/>
          <w:szCs w:val="28"/>
        </w:rPr>
        <w:sym w:font="HQPB4" w:char="F0F8"/>
      </w:r>
      <w:r w:rsidRPr="00DF303B">
        <w:rPr>
          <w:rFonts w:cs="Traditional Arabic"/>
          <w:sz w:val="28"/>
          <w:szCs w:val="28"/>
        </w:rPr>
        <w:sym w:font="HQPB2" w:char="F039"/>
      </w:r>
      <w:r w:rsidRPr="00DF303B">
        <w:rPr>
          <w:rFonts w:cs="Traditional Arabic"/>
          <w:sz w:val="28"/>
          <w:szCs w:val="28"/>
        </w:rPr>
        <w:sym w:font="HQPB5" w:char="F024"/>
      </w:r>
      <w:r w:rsidRPr="00DF303B">
        <w:rPr>
          <w:rFonts w:cs="Traditional Arabic"/>
          <w:sz w:val="28"/>
          <w:szCs w:val="28"/>
        </w:rPr>
        <w:sym w:font="HQPB1" w:char="F023"/>
      </w:r>
      <w:r w:rsidRPr="00DF303B">
        <w:rPr>
          <w:rFonts w:ascii="(normal text)" w:hAnsi="(normal text)" w:cs="Traditional Arabic"/>
          <w:sz w:val="28"/>
          <w:szCs w:val="28"/>
          <w:rtl/>
        </w:rPr>
        <w:t xml:space="preserve"> </w:t>
      </w:r>
      <w:r w:rsidRPr="00DF303B">
        <w:rPr>
          <w:rFonts w:cs="Traditional Arabic"/>
          <w:sz w:val="28"/>
          <w:szCs w:val="28"/>
        </w:rPr>
        <w:sym w:font="HQPB4" w:char="F0CD"/>
      </w:r>
      <w:r w:rsidRPr="00DF303B">
        <w:rPr>
          <w:rFonts w:cs="Traditional Arabic"/>
          <w:sz w:val="28"/>
          <w:szCs w:val="28"/>
        </w:rPr>
        <w:sym w:font="HQPB2" w:char="F06F"/>
      </w:r>
      <w:r w:rsidRPr="00DF303B">
        <w:rPr>
          <w:rFonts w:cs="Traditional Arabic"/>
          <w:sz w:val="28"/>
          <w:szCs w:val="28"/>
        </w:rPr>
        <w:sym w:font="HQPB5" w:char="F074"/>
      </w:r>
      <w:r w:rsidRPr="00DF303B">
        <w:rPr>
          <w:rFonts w:cs="Traditional Arabic"/>
          <w:sz w:val="28"/>
          <w:szCs w:val="28"/>
        </w:rPr>
        <w:sym w:font="HQPB1" w:char="F08D"/>
      </w:r>
      <w:r w:rsidRPr="00DF303B">
        <w:rPr>
          <w:rFonts w:cs="Traditional Arabic"/>
          <w:sz w:val="28"/>
          <w:szCs w:val="28"/>
        </w:rPr>
        <w:sym w:font="HQPB4" w:char="F0CF"/>
      </w:r>
      <w:r w:rsidRPr="00DF303B">
        <w:rPr>
          <w:rFonts w:cs="Traditional Arabic"/>
          <w:sz w:val="28"/>
          <w:szCs w:val="28"/>
        </w:rPr>
        <w:sym w:font="HQPB1" w:char="F0FF"/>
      </w:r>
      <w:r w:rsidRPr="00DF303B">
        <w:rPr>
          <w:rFonts w:cs="Traditional Arabic"/>
          <w:sz w:val="28"/>
          <w:szCs w:val="28"/>
        </w:rPr>
        <w:sym w:font="HQPB4" w:char="F0F8"/>
      </w:r>
      <w:r w:rsidRPr="00DF303B">
        <w:rPr>
          <w:rFonts w:cs="Traditional Arabic"/>
          <w:sz w:val="28"/>
          <w:szCs w:val="28"/>
        </w:rPr>
        <w:sym w:font="HQPB1" w:char="F0F3"/>
      </w:r>
      <w:r w:rsidRPr="00DF303B">
        <w:rPr>
          <w:rFonts w:cs="Traditional Arabic"/>
          <w:sz w:val="28"/>
          <w:szCs w:val="28"/>
        </w:rPr>
        <w:sym w:font="HQPB5" w:char="F079"/>
      </w:r>
      <w:r w:rsidRPr="00DF303B">
        <w:rPr>
          <w:rFonts w:cs="Traditional Arabic"/>
          <w:sz w:val="28"/>
          <w:szCs w:val="28"/>
        </w:rPr>
        <w:sym w:font="HQPB2" w:char="F04A"/>
      </w:r>
      <w:r w:rsidRPr="00DF303B">
        <w:rPr>
          <w:rFonts w:cs="Traditional Arabic"/>
          <w:sz w:val="28"/>
          <w:szCs w:val="28"/>
        </w:rPr>
        <w:sym w:font="HQPB4" w:char="F0F8"/>
      </w:r>
      <w:r w:rsidRPr="00DF303B">
        <w:rPr>
          <w:rFonts w:cs="Traditional Arabic"/>
          <w:sz w:val="28"/>
          <w:szCs w:val="28"/>
        </w:rPr>
        <w:sym w:font="HQPB2" w:char="F039"/>
      </w:r>
      <w:r w:rsidRPr="00DF303B">
        <w:rPr>
          <w:rFonts w:cs="Traditional Arabic"/>
          <w:sz w:val="28"/>
          <w:szCs w:val="28"/>
        </w:rPr>
        <w:sym w:font="HQPB5" w:char="F024"/>
      </w:r>
      <w:r w:rsidRPr="00DF303B">
        <w:rPr>
          <w:rFonts w:cs="Traditional Arabic"/>
          <w:sz w:val="28"/>
          <w:szCs w:val="28"/>
        </w:rPr>
        <w:sym w:font="HQPB1" w:char="F023"/>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2" w:char="F0BE"/>
      </w:r>
      <w:r w:rsidRPr="00DF303B">
        <w:rPr>
          <w:rFonts w:cs="Traditional Arabic"/>
          <w:sz w:val="28"/>
          <w:szCs w:val="28"/>
        </w:rPr>
        <w:sym w:font="HQPB4" w:char="F0CF"/>
      </w:r>
      <w:r w:rsidRPr="00DF303B">
        <w:rPr>
          <w:rFonts w:cs="Traditional Arabic"/>
          <w:sz w:val="28"/>
          <w:szCs w:val="28"/>
        </w:rPr>
        <w:sym w:font="HQPB2" w:char="F06D"/>
      </w:r>
      <w:r w:rsidRPr="00DF303B">
        <w:rPr>
          <w:rFonts w:cs="Traditional Arabic"/>
          <w:sz w:val="28"/>
          <w:szCs w:val="28"/>
        </w:rPr>
        <w:sym w:font="HQPB4" w:char="F0CF"/>
      </w:r>
      <w:r w:rsidRPr="00DF303B">
        <w:rPr>
          <w:rFonts w:cs="Traditional Arabic"/>
          <w:sz w:val="28"/>
          <w:szCs w:val="28"/>
        </w:rPr>
        <w:sym w:font="HQPB2" w:char="F052"/>
      </w:r>
      <w:r w:rsidRPr="00DF303B">
        <w:rPr>
          <w:rFonts w:cs="Traditional Arabic"/>
          <w:sz w:val="28"/>
          <w:szCs w:val="28"/>
        </w:rPr>
        <w:sym w:font="HQPB4" w:char="F0F8"/>
      </w:r>
      <w:r w:rsidRPr="00DF303B">
        <w:rPr>
          <w:rFonts w:cs="Traditional Arabic"/>
          <w:sz w:val="28"/>
          <w:szCs w:val="28"/>
        </w:rPr>
        <w:sym w:font="HQPB1" w:char="F08C"/>
      </w:r>
      <w:r w:rsidRPr="00DF303B">
        <w:rPr>
          <w:rFonts w:cs="Traditional Arabic"/>
          <w:sz w:val="28"/>
          <w:szCs w:val="28"/>
        </w:rPr>
        <w:sym w:font="HQPB4" w:char="F0CE"/>
      </w:r>
      <w:r w:rsidRPr="00DF303B">
        <w:rPr>
          <w:rFonts w:cs="Traditional Arabic"/>
          <w:sz w:val="28"/>
          <w:szCs w:val="28"/>
        </w:rPr>
        <w:sym w:font="HQPB1" w:char="F02A"/>
      </w:r>
      <w:r w:rsidRPr="00DF303B">
        <w:rPr>
          <w:rFonts w:cs="Traditional Arabic"/>
          <w:sz w:val="28"/>
          <w:szCs w:val="28"/>
        </w:rPr>
        <w:sym w:font="HQPB4" w:char="F0CE"/>
      </w:r>
      <w:r w:rsidRPr="00DF303B">
        <w:rPr>
          <w:rFonts w:cs="Traditional Arabic"/>
          <w:sz w:val="28"/>
          <w:szCs w:val="28"/>
        </w:rPr>
        <w:sym w:font="HQPB1" w:char="F02F"/>
      </w:r>
      <w:r w:rsidRPr="00DF303B">
        <w:rPr>
          <w:rFonts w:ascii="(normal text)" w:hAnsi="(normal text)" w:cs="Traditional Arabic"/>
          <w:sz w:val="28"/>
          <w:szCs w:val="28"/>
          <w:rtl/>
        </w:rPr>
        <w:t xml:space="preserve"> </w:t>
      </w:r>
      <w:r w:rsidRPr="00DF303B">
        <w:rPr>
          <w:rFonts w:cs="Traditional Arabic"/>
          <w:sz w:val="28"/>
          <w:szCs w:val="28"/>
        </w:rPr>
        <w:sym w:font="HQPB4" w:char="F028"/>
      </w:r>
      <w:r w:rsidRPr="00DF303B">
        <w:rPr>
          <w:rFonts w:ascii="(normal text)" w:hAnsi="(normal text)" w:cs="Traditional Arabic"/>
          <w:sz w:val="28"/>
          <w:szCs w:val="28"/>
          <w:rtl/>
        </w:rPr>
        <w:t xml:space="preserve"> </w:t>
      </w:r>
      <w:r w:rsidRPr="00DF303B">
        <w:rPr>
          <w:rFonts w:cs="Traditional Arabic"/>
          <w:sz w:val="28"/>
          <w:szCs w:val="28"/>
        </w:rPr>
        <w:sym w:font="HQPB4" w:char="F0DF"/>
      </w:r>
      <w:r w:rsidRPr="00DF303B">
        <w:rPr>
          <w:rFonts w:cs="Traditional Arabic"/>
          <w:sz w:val="28"/>
          <w:szCs w:val="28"/>
        </w:rPr>
        <w:sym w:font="HQPB2" w:char="F0FB"/>
      </w:r>
      <w:r w:rsidRPr="00DF303B">
        <w:rPr>
          <w:rFonts w:cs="Traditional Arabic"/>
          <w:sz w:val="28"/>
          <w:szCs w:val="28"/>
        </w:rPr>
        <w:sym w:font="HQPB4" w:char="F0CE"/>
      </w:r>
      <w:r w:rsidRPr="00DF303B">
        <w:rPr>
          <w:rFonts w:cs="Traditional Arabic"/>
          <w:sz w:val="28"/>
          <w:szCs w:val="28"/>
        </w:rPr>
        <w:sym w:font="HQPB4" w:char="F069"/>
      </w:r>
      <w:r w:rsidRPr="00DF303B">
        <w:rPr>
          <w:rFonts w:cs="Traditional Arabic"/>
          <w:sz w:val="28"/>
          <w:szCs w:val="28"/>
        </w:rPr>
        <w:sym w:font="HQPB2" w:char="F0FC"/>
      </w:r>
      <w:r w:rsidRPr="00DF303B">
        <w:rPr>
          <w:rFonts w:cs="Traditional Arabic"/>
          <w:sz w:val="28"/>
          <w:szCs w:val="28"/>
        </w:rPr>
        <w:sym w:font="HQPB5" w:char="F074"/>
      </w:r>
      <w:r w:rsidRPr="00DF303B">
        <w:rPr>
          <w:rFonts w:cs="Traditional Arabic"/>
          <w:sz w:val="28"/>
          <w:szCs w:val="28"/>
        </w:rPr>
        <w:sym w:font="HQPB1" w:char="F037"/>
      </w:r>
      <w:r w:rsidRPr="00DF303B">
        <w:rPr>
          <w:rFonts w:cs="Traditional Arabic"/>
          <w:sz w:val="28"/>
          <w:szCs w:val="28"/>
        </w:rPr>
        <w:sym w:font="HQPB4" w:char="F0E3"/>
      </w:r>
      <w:r w:rsidRPr="00DF303B">
        <w:rPr>
          <w:rFonts w:cs="Traditional Arabic"/>
          <w:sz w:val="28"/>
          <w:szCs w:val="28"/>
        </w:rPr>
        <w:sym w:font="HQPB2" w:char="F083"/>
      </w:r>
      <w:r w:rsidRPr="00DF303B">
        <w:rPr>
          <w:rFonts w:cs="Traditional Arabic"/>
          <w:sz w:val="28"/>
          <w:szCs w:val="28"/>
        </w:rPr>
        <w:sym w:font="HQPB5" w:char="F075"/>
      </w:r>
      <w:r w:rsidRPr="00DF303B">
        <w:rPr>
          <w:rFonts w:cs="Traditional Arabic"/>
          <w:sz w:val="28"/>
          <w:szCs w:val="28"/>
        </w:rPr>
        <w:sym w:font="HQPB2" w:char="F072"/>
      </w:r>
      <w:r w:rsidRPr="00DF303B">
        <w:rPr>
          <w:rFonts w:ascii="(normal text)" w:hAnsi="(normal text)" w:cs="Traditional Arabic"/>
          <w:sz w:val="28"/>
          <w:szCs w:val="28"/>
          <w:rtl/>
        </w:rPr>
        <w:t xml:space="preserve"> </w:t>
      </w:r>
      <w:r w:rsidRPr="00DF303B">
        <w:rPr>
          <w:rFonts w:cs="Traditional Arabic"/>
          <w:sz w:val="28"/>
          <w:szCs w:val="28"/>
        </w:rPr>
        <w:sym w:font="HQPB2" w:char="F0BE"/>
      </w:r>
      <w:r w:rsidRPr="00DF303B">
        <w:rPr>
          <w:rFonts w:cs="Traditional Arabic"/>
          <w:sz w:val="28"/>
          <w:szCs w:val="28"/>
        </w:rPr>
        <w:sym w:font="HQPB4" w:char="F0CF"/>
      </w:r>
      <w:r w:rsidRPr="00DF303B">
        <w:rPr>
          <w:rFonts w:cs="Traditional Arabic"/>
          <w:sz w:val="28"/>
          <w:szCs w:val="28"/>
        </w:rPr>
        <w:sym w:font="HQPB2" w:char="F06D"/>
      </w:r>
      <w:r w:rsidRPr="00DF303B">
        <w:rPr>
          <w:rFonts w:cs="Traditional Arabic"/>
          <w:sz w:val="28"/>
          <w:szCs w:val="28"/>
        </w:rPr>
        <w:sym w:font="HQPB4" w:char="F0CF"/>
      </w:r>
      <w:r w:rsidRPr="00DF303B">
        <w:rPr>
          <w:rFonts w:cs="Traditional Arabic"/>
          <w:sz w:val="28"/>
          <w:szCs w:val="28"/>
        </w:rPr>
        <w:sym w:font="HQPB1" w:char="F047"/>
      </w:r>
      <w:r w:rsidRPr="00DF303B">
        <w:rPr>
          <w:rFonts w:cs="Traditional Arabic"/>
          <w:sz w:val="28"/>
          <w:szCs w:val="28"/>
        </w:rPr>
        <w:sym w:font="HQPB2" w:char="F0BB"/>
      </w:r>
      <w:r w:rsidRPr="00DF303B">
        <w:rPr>
          <w:rFonts w:cs="Traditional Arabic"/>
          <w:sz w:val="28"/>
          <w:szCs w:val="28"/>
        </w:rPr>
        <w:sym w:font="HQPB5" w:char="F074"/>
      </w:r>
      <w:r w:rsidRPr="00DF303B">
        <w:rPr>
          <w:rFonts w:cs="Traditional Arabic"/>
          <w:sz w:val="28"/>
          <w:szCs w:val="28"/>
        </w:rPr>
        <w:sym w:font="HQPB2" w:char="F083"/>
      </w:r>
      <w:r w:rsidRPr="00DF303B">
        <w:rPr>
          <w:rFonts w:cs="Traditional Arabic"/>
          <w:sz w:val="28"/>
          <w:szCs w:val="28"/>
        </w:rPr>
        <w:sym w:font="HQPB1" w:char="F023"/>
      </w:r>
      <w:r w:rsidRPr="00DF303B">
        <w:rPr>
          <w:rFonts w:cs="Traditional Arabic"/>
          <w:sz w:val="28"/>
          <w:szCs w:val="28"/>
        </w:rPr>
        <w:sym w:font="HQPB5" w:char="F075"/>
      </w:r>
      <w:r w:rsidRPr="00DF303B">
        <w:rPr>
          <w:rFonts w:cs="Traditional Arabic"/>
          <w:sz w:val="28"/>
          <w:szCs w:val="28"/>
        </w:rPr>
        <w:sym w:font="HQPB2" w:char="F0E4"/>
      </w:r>
      <w:r w:rsidRPr="00DF303B">
        <w:rPr>
          <w:rFonts w:ascii="(normal text)" w:hAnsi="(normal text)" w:cs="Traditional Arabic"/>
          <w:sz w:val="28"/>
          <w:szCs w:val="28"/>
          <w:rtl/>
        </w:rPr>
        <w:t xml:space="preserve"> </w:t>
      </w:r>
      <w:r w:rsidRPr="00DF303B">
        <w:rPr>
          <w:rFonts w:cs="Traditional Arabic"/>
          <w:sz w:val="28"/>
          <w:szCs w:val="28"/>
        </w:rPr>
        <w:sym w:font="HQPB4" w:char="F0C4"/>
      </w:r>
      <w:r w:rsidRPr="00DF303B">
        <w:rPr>
          <w:rFonts w:cs="Traditional Arabic"/>
          <w:sz w:val="28"/>
          <w:szCs w:val="28"/>
        </w:rPr>
        <w:sym w:font="HQPB1" w:char="F0A8"/>
      </w:r>
      <w:r w:rsidRPr="00DF303B">
        <w:rPr>
          <w:rFonts w:cs="Traditional Arabic"/>
          <w:sz w:val="28"/>
          <w:szCs w:val="28"/>
        </w:rPr>
        <w:sym w:font="HQPB1" w:char="F024"/>
      </w:r>
      <w:r w:rsidRPr="00DF303B">
        <w:rPr>
          <w:rFonts w:cs="Traditional Arabic"/>
          <w:sz w:val="28"/>
          <w:szCs w:val="28"/>
        </w:rPr>
        <w:sym w:font="HQPB4" w:char="F0A8"/>
      </w:r>
      <w:r w:rsidRPr="00DF303B">
        <w:rPr>
          <w:rFonts w:cs="Traditional Arabic"/>
          <w:sz w:val="28"/>
          <w:szCs w:val="28"/>
        </w:rPr>
        <w:sym w:font="HQPB2" w:char="F059"/>
      </w:r>
      <w:r w:rsidRPr="00DF303B">
        <w:rPr>
          <w:rFonts w:cs="Traditional Arabic"/>
          <w:sz w:val="28"/>
          <w:szCs w:val="28"/>
        </w:rPr>
        <w:sym w:font="HQPB2" w:char="F03D"/>
      </w:r>
      <w:r w:rsidRPr="00DF303B">
        <w:rPr>
          <w:rFonts w:cs="Traditional Arabic"/>
          <w:sz w:val="28"/>
          <w:szCs w:val="28"/>
        </w:rPr>
        <w:sym w:font="HQPB4" w:char="F0CF"/>
      </w:r>
      <w:r w:rsidRPr="00DF303B">
        <w:rPr>
          <w:rFonts w:cs="Traditional Arabic"/>
          <w:sz w:val="28"/>
          <w:szCs w:val="28"/>
        </w:rPr>
        <w:sym w:font="HQPB2" w:char="F039"/>
      </w:r>
      <w:r w:rsidRPr="00DF303B">
        <w:rPr>
          <w:rFonts w:ascii="(normal text)" w:hAnsi="(normal text)" w:cs="Traditional Arabic"/>
          <w:sz w:val="28"/>
          <w:szCs w:val="28"/>
          <w:rtl/>
        </w:rPr>
        <w:t xml:space="preserve"> </w:t>
      </w:r>
      <w:r w:rsidRPr="00DF303B">
        <w:rPr>
          <w:rFonts w:cs="Traditional Arabic"/>
          <w:sz w:val="28"/>
          <w:szCs w:val="28"/>
        </w:rPr>
        <w:sym w:font="HQPB4" w:char="F0F6"/>
      </w:r>
      <w:r w:rsidRPr="00DF303B">
        <w:rPr>
          <w:rFonts w:cs="Traditional Arabic"/>
          <w:sz w:val="28"/>
          <w:szCs w:val="28"/>
        </w:rPr>
        <w:sym w:font="HQPB2" w:char="F04E"/>
      </w:r>
      <w:r w:rsidRPr="00DF303B">
        <w:rPr>
          <w:rFonts w:cs="Traditional Arabic"/>
          <w:sz w:val="28"/>
          <w:szCs w:val="28"/>
        </w:rPr>
        <w:sym w:font="HQPB4" w:char="F0DF"/>
      </w:r>
      <w:r w:rsidRPr="00DF303B">
        <w:rPr>
          <w:rFonts w:cs="Traditional Arabic"/>
          <w:sz w:val="28"/>
          <w:szCs w:val="28"/>
        </w:rPr>
        <w:sym w:font="HQPB2" w:char="F067"/>
      </w:r>
      <w:r w:rsidRPr="00DF303B">
        <w:rPr>
          <w:rFonts w:cs="Traditional Arabic"/>
          <w:sz w:val="28"/>
          <w:szCs w:val="28"/>
        </w:rPr>
        <w:sym w:font="HQPB4" w:char="F0AF"/>
      </w:r>
      <w:r w:rsidRPr="00DF303B">
        <w:rPr>
          <w:rFonts w:cs="Traditional Arabic"/>
          <w:sz w:val="28"/>
          <w:szCs w:val="28"/>
        </w:rPr>
        <w:sym w:font="HQPB2" w:char="F03D"/>
      </w:r>
      <w:r w:rsidRPr="00DF303B">
        <w:rPr>
          <w:rFonts w:cs="Traditional Arabic"/>
          <w:sz w:val="28"/>
          <w:szCs w:val="28"/>
        </w:rPr>
        <w:sym w:font="HQPB5" w:char="F079"/>
      </w:r>
      <w:r w:rsidRPr="00DF303B">
        <w:rPr>
          <w:rFonts w:cs="Traditional Arabic"/>
          <w:sz w:val="28"/>
          <w:szCs w:val="28"/>
        </w:rPr>
        <w:sym w:font="HQPB1" w:char="F0E8"/>
      </w:r>
      <w:r w:rsidRPr="00DF303B">
        <w:rPr>
          <w:rFonts w:cs="Traditional Arabic"/>
          <w:sz w:val="28"/>
          <w:szCs w:val="28"/>
        </w:rPr>
        <w:sym w:font="HQPB5" w:char="F073"/>
      </w:r>
      <w:r w:rsidRPr="00DF303B">
        <w:rPr>
          <w:rFonts w:cs="Traditional Arabic"/>
          <w:sz w:val="28"/>
          <w:szCs w:val="28"/>
        </w:rPr>
        <w:sym w:font="HQPB2" w:char="F039"/>
      </w:r>
      <w:r w:rsidRPr="00DF303B">
        <w:rPr>
          <w:rFonts w:ascii="(normal text)" w:hAnsi="(normal text)" w:cs="Traditional Arabic"/>
          <w:sz w:val="28"/>
          <w:szCs w:val="28"/>
          <w:rtl/>
        </w:rPr>
        <w:t xml:space="preserve"> </w:t>
      </w:r>
      <w:r w:rsidRPr="00DF303B">
        <w:rPr>
          <w:rFonts w:cs="Traditional Arabic"/>
          <w:sz w:val="28"/>
          <w:szCs w:val="28"/>
        </w:rPr>
        <w:sym w:font="HQPB5" w:char="F074"/>
      </w:r>
      <w:r w:rsidRPr="00DF303B">
        <w:rPr>
          <w:rFonts w:cs="Traditional Arabic"/>
          <w:sz w:val="28"/>
          <w:szCs w:val="28"/>
        </w:rPr>
        <w:sym w:font="HQPB2" w:char="F062"/>
      </w:r>
      <w:r w:rsidRPr="00DF303B">
        <w:rPr>
          <w:rFonts w:cs="Traditional Arabic"/>
          <w:sz w:val="28"/>
          <w:szCs w:val="28"/>
        </w:rPr>
        <w:sym w:font="HQPB2" w:char="F072"/>
      </w:r>
      <w:r w:rsidRPr="00DF303B">
        <w:rPr>
          <w:rFonts w:cs="Traditional Arabic"/>
          <w:sz w:val="28"/>
          <w:szCs w:val="28"/>
        </w:rPr>
        <w:sym w:font="HQPB4" w:char="F0E3"/>
      </w:r>
      <w:r w:rsidRPr="00DF303B">
        <w:rPr>
          <w:rFonts w:cs="Traditional Arabic"/>
          <w:sz w:val="28"/>
          <w:szCs w:val="28"/>
        </w:rPr>
        <w:sym w:font="HQPB1" w:char="F08D"/>
      </w:r>
      <w:r w:rsidRPr="00DF303B">
        <w:rPr>
          <w:rFonts w:cs="Traditional Arabic"/>
          <w:sz w:val="28"/>
          <w:szCs w:val="28"/>
        </w:rPr>
        <w:sym w:font="HQPB4" w:char="F0A9"/>
      </w:r>
      <w:r w:rsidRPr="00DF303B">
        <w:rPr>
          <w:rFonts w:cs="Traditional Arabic"/>
          <w:sz w:val="28"/>
          <w:szCs w:val="28"/>
        </w:rPr>
        <w:sym w:font="HQPB2" w:char="F02E"/>
      </w:r>
      <w:r w:rsidRPr="00DF303B">
        <w:rPr>
          <w:rFonts w:cs="Traditional Arabic"/>
          <w:sz w:val="28"/>
          <w:szCs w:val="28"/>
        </w:rPr>
        <w:sym w:font="HQPB5" w:char="F078"/>
      </w:r>
      <w:r w:rsidRPr="00DF303B">
        <w:rPr>
          <w:rFonts w:cs="Traditional Arabic"/>
          <w:sz w:val="28"/>
          <w:szCs w:val="28"/>
        </w:rPr>
        <w:sym w:font="HQPB1" w:char="F08B"/>
      </w:r>
      <w:r w:rsidRPr="00DF303B">
        <w:rPr>
          <w:rFonts w:cs="Traditional Arabic"/>
          <w:sz w:val="28"/>
          <w:szCs w:val="28"/>
        </w:rPr>
        <w:sym w:font="HQPB5" w:char="F074"/>
      </w:r>
      <w:r w:rsidRPr="00DF303B">
        <w:rPr>
          <w:rFonts w:cs="Traditional Arabic"/>
          <w:sz w:val="28"/>
          <w:szCs w:val="28"/>
        </w:rPr>
        <w:sym w:font="HQPB1" w:char="F047"/>
      </w:r>
      <w:r w:rsidRPr="00DF303B">
        <w:rPr>
          <w:rFonts w:cs="Traditional Arabic"/>
          <w:sz w:val="28"/>
          <w:szCs w:val="28"/>
        </w:rPr>
        <w:sym w:font="HQPB5" w:char="F074"/>
      </w:r>
      <w:r w:rsidRPr="00DF303B">
        <w:rPr>
          <w:rFonts w:cs="Traditional Arabic"/>
          <w:sz w:val="28"/>
          <w:szCs w:val="28"/>
        </w:rPr>
        <w:sym w:font="HQPB2" w:char="F083"/>
      </w:r>
      <w:r w:rsidRPr="00DF303B">
        <w:rPr>
          <w:rFonts w:ascii="(normal text)" w:hAnsi="(normal text)" w:cs="Traditional Arabic"/>
          <w:sz w:val="28"/>
          <w:szCs w:val="28"/>
          <w:rtl/>
        </w:rPr>
        <w:t xml:space="preserve"> </w:t>
      </w:r>
      <w:r w:rsidRPr="00DF303B">
        <w:rPr>
          <w:rFonts w:cs="Traditional Arabic"/>
          <w:sz w:val="28"/>
          <w:szCs w:val="28"/>
        </w:rPr>
        <w:sym w:font="HQPB2" w:char="F0C7"/>
      </w:r>
      <w:r w:rsidRPr="00DF303B">
        <w:rPr>
          <w:rFonts w:cs="Traditional Arabic"/>
          <w:sz w:val="28"/>
          <w:szCs w:val="28"/>
        </w:rPr>
        <w:sym w:font="HQPB2" w:char="F0CB"/>
      </w:r>
      <w:r w:rsidRPr="00DF303B">
        <w:rPr>
          <w:rFonts w:cs="Traditional Arabic"/>
          <w:sz w:val="28"/>
          <w:szCs w:val="28"/>
        </w:rPr>
        <w:sym w:font="HQPB2" w:char="F0CB"/>
      </w:r>
      <w:r w:rsidRPr="00DF303B">
        <w:rPr>
          <w:rFonts w:cs="Traditional Arabic"/>
          <w:sz w:val="28"/>
          <w:szCs w:val="28"/>
        </w:rPr>
        <w:sym w:font="HQPB2" w:char="F0CA"/>
      </w:r>
      <w:r w:rsidRPr="00DF303B">
        <w:rPr>
          <w:rFonts w:cs="Traditional Arabic"/>
          <w:sz w:val="28"/>
          <w:szCs w:val="28"/>
        </w:rPr>
        <w:sym w:font="HQPB2" w:char="F0C8"/>
      </w:r>
      <w:r w:rsidRPr="00DF303B">
        <w:rPr>
          <w:rFonts w:ascii="(normal text)" w:hAnsi="(normal text)" w:cs="Traditional Arabic"/>
          <w:sz w:val="28"/>
          <w:szCs w:val="28"/>
          <w:rtl/>
        </w:rPr>
        <w:t xml:space="preserve">   </w:t>
      </w:r>
    </w:p>
    <w:p w:rsidR="00343B61" w:rsidRDefault="00343B61" w:rsidP="00343B61">
      <w:pPr>
        <w:pStyle w:val="ListParagraph"/>
        <w:tabs>
          <w:tab w:val="left" w:pos="0"/>
          <w:tab w:val="left" w:pos="900"/>
          <w:tab w:val="right" w:pos="5687"/>
        </w:tabs>
        <w:spacing w:after="0" w:line="240" w:lineRule="auto"/>
        <w:ind w:left="900" w:hanging="900"/>
        <w:jc w:val="both"/>
        <w:rPr>
          <w:rFonts w:asciiTheme="majorBidi" w:hAnsiTheme="majorBidi" w:cstheme="majorBidi"/>
          <w:sz w:val="24"/>
          <w:szCs w:val="24"/>
          <w:lang w:val="sv-SE"/>
        </w:rPr>
      </w:pPr>
      <w:r>
        <w:rPr>
          <w:rFonts w:ascii="(normal text)" w:hAnsi="(normal text)"/>
          <w:sz w:val="24"/>
          <w:szCs w:val="24"/>
          <w:lang w:val="sv-SE"/>
        </w:rPr>
        <w:tab/>
      </w:r>
      <w:r w:rsidRPr="00B13CD9">
        <w:rPr>
          <w:rFonts w:ascii="(normal text)" w:hAnsi="(normal text)"/>
          <w:sz w:val="24"/>
          <w:szCs w:val="24"/>
          <w:lang w:val="sv-SE"/>
        </w:rPr>
        <w:t>Artinya: “</w:t>
      </w:r>
      <w:r w:rsidRPr="00B13CD9">
        <w:rPr>
          <w:rFonts w:ascii="(normal text)" w:hAnsi="(normal text)"/>
          <w:i/>
          <w:iCs/>
          <w:sz w:val="24"/>
          <w:szCs w:val="24"/>
          <w:lang w:val="sv-SE"/>
        </w:rPr>
        <w:t>dan janganlah kamu menikahi wanita-wanita musyrik, sebelum mereka beriman. Sesungguhnya wanita budak yang mukmin lebih baik dari wanita musyrik, walaupun Dia menarik hatimu. dan janganlah kamu menikahkan orang-orang musyrik (dengan wanita-wanita mukmin) sebelum mereka beriman. Sesungguhnya budak yang mukmin lebih baik dari orang musyrik, walaupun Dia menarik hatimu. mereka mengajak ke neraka, sedang Allah mengajak ke surga dan ampunan dengan izin-Nya. dan Allah menerangkan ayat-ayat-Nya (perintah-perintah-Nya) kepada manusia supaya mereka mengambil pelajaran</w:t>
      </w:r>
      <w:r w:rsidRPr="00B13CD9">
        <w:rPr>
          <w:rFonts w:ascii="(normal text)" w:hAnsi="(normal text)"/>
          <w:sz w:val="24"/>
          <w:szCs w:val="24"/>
          <w:lang w:val="sv-SE"/>
        </w:rPr>
        <w:t xml:space="preserve">”. ( QS. </w:t>
      </w:r>
      <w:r w:rsidRPr="00623549">
        <w:rPr>
          <w:rFonts w:asciiTheme="majorBidi" w:hAnsiTheme="majorBidi" w:cstheme="majorBidi"/>
          <w:sz w:val="24"/>
          <w:szCs w:val="24"/>
          <w:lang w:val="sv-SE"/>
        </w:rPr>
        <w:t>Al-Baqarah (2):</w:t>
      </w:r>
      <w:r>
        <w:rPr>
          <w:rFonts w:asciiTheme="majorBidi" w:hAnsiTheme="majorBidi" w:cstheme="majorBidi"/>
          <w:sz w:val="24"/>
          <w:szCs w:val="24"/>
          <w:lang w:val="sv-SE"/>
        </w:rPr>
        <w:t xml:space="preserve"> 221) </w:t>
      </w:r>
      <w:r>
        <w:rPr>
          <w:rStyle w:val="FootnoteReference"/>
          <w:rFonts w:asciiTheme="majorBidi" w:hAnsiTheme="majorBidi" w:cstheme="majorBidi"/>
          <w:sz w:val="24"/>
          <w:szCs w:val="24"/>
          <w:lang w:val="sv-SE"/>
        </w:rPr>
        <w:footnoteReference w:id="618"/>
      </w:r>
    </w:p>
    <w:p w:rsidR="00343B61" w:rsidRPr="007F78C7" w:rsidRDefault="00343B61" w:rsidP="00343B61">
      <w:pPr>
        <w:pStyle w:val="ListParagraph"/>
        <w:tabs>
          <w:tab w:val="left" w:pos="0"/>
          <w:tab w:val="left" w:pos="900"/>
          <w:tab w:val="right" w:pos="5687"/>
        </w:tabs>
        <w:spacing w:after="0" w:line="240" w:lineRule="auto"/>
        <w:ind w:left="900" w:hanging="900"/>
        <w:jc w:val="both"/>
        <w:rPr>
          <w:rFonts w:asciiTheme="majorBidi" w:hAnsiTheme="majorBidi" w:cstheme="majorBidi"/>
          <w:sz w:val="24"/>
          <w:szCs w:val="24"/>
          <w:lang w:val="sv-SE"/>
        </w:rPr>
      </w:pPr>
    </w:p>
    <w:p w:rsidR="00343B61" w:rsidRPr="005C6C07" w:rsidRDefault="00343B61" w:rsidP="00343B61">
      <w:pPr>
        <w:autoSpaceDE w:val="0"/>
        <w:autoSpaceDN w:val="0"/>
        <w:adjustRightInd w:val="0"/>
        <w:spacing w:after="0" w:line="360" w:lineRule="auto"/>
        <w:ind w:firstLine="720"/>
        <w:jc w:val="both"/>
        <w:rPr>
          <w:rFonts w:ascii="TimesNewRoman,Bold" w:hAnsi="Times New Roman" w:cs="TimesNewRoman,Bold"/>
          <w:b/>
          <w:bCs/>
          <w:sz w:val="24"/>
          <w:szCs w:val="24"/>
          <w:lang w:val="sv-SE"/>
        </w:rPr>
      </w:pPr>
      <w:r>
        <w:rPr>
          <w:rFonts w:ascii="Times New Roman" w:hAnsi="Times New Roman" w:cs="Times New Roman"/>
          <w:sz w:val="24"/>
          <w:szCs w:val="24"/>
          <w:lang w:val="sv-SE"/>
        </w:rPr>
        <w:t xml:space="preserve">Adapun sebab turunya ayat ini sebagaimana </w:t>
      </w:r>
      <w:r w:rsidRPr="007F78C7">
        <w:rPr>
          <w:rFonts w:ascii="Times New Roman" w:hAnsi="Times New Roman" w:cs="Times New Roman"/>
          <w:sz w:val="24"/>
          <w:szCs w:val="24"/>
          <w:lang w:val="sv-SE"/>
        </w:rPr>
        <w:t xml:space="preserve">diriwayatkan oleh Ibn Munzir, Ibn Abi Hatim dan al-Wahidi dari Maqatil mengkatakan: </w:t>
      </w:r>
      <w:r w:rsidRPr="007F78C7">
        <w:rPr>
          <w:rFonts w:ascii="TimesNewRoman" w:hAnsi="Times New Roman" w:cs="TimesNewRoman" w:hint="cs"/>
          <w:sz w:val="24"/>
          <w:szCs w:val="24"/>
          <w:lang w:val="sv-SE"/>
        </w:rPr>
        <w:t>“</w:t>
      </w:r>
      <w:r>
        <w:rPr>
          <w:rFonts w:ascii="Times New Roman" w:hAnsi="Times New Roman" w:cs="Times New Roman"/>
          <w:sz w:val="24"/>
          <w:szCs w:val="24"/>
          <w:lang w:val="sv-SE"/>
        </w:rPr>
        <w:t xml:space="preserve">Turunnya ayat ini </w:t>
      </w:r>
      <w:r>
        <w:rPr>
          <w:rFonts w:ascii="Times New Roman" w:hAnsi="Times New Roman" w:cs="Times New Roman"/>
          <w:sz w:val="24"/>
          <w:szCs w:val="24"/>
          <w:lang w:val="sv-SE"/>
        </w:rPr>
        <w:lastRenderedPageBreak/>
        <w:t>berkaitan</w:t>
      </w:r>
      <w:r w:rsidRPr="007F78C7">
        <w:rPr>
          <w:rFonts w:ascii="Times New Roman" w:hAnsi="Times New Roman" w:cs="Times New Roman"/>
          <w:sz w:val="24"/>
          <w:szCs w:val="24"/>
          <w:lang w:val="sv-SE"/>
        </w:rPr>
        <w:t xml:space="preserve"> </w:t>
      </w:r>
      <w:r>
        <w:rPr>
          <w:rFonts w:ascii="Times New Roman" w:hAnsi="Times New Roman" w:cs="Times New Roman"/>
          <w:sz w:val="24"/>
          <w:szCs w:val="24"/>
          <w:lang w:val="sv-SE"/>
        </w:rPr>
        <w:t>dengan</w:t>
      </w:r>
      <w:r w:rsidRPr="007F78C7">
        <w:rPr>
          <w:rFonts w:ascii="Times New Roman" w:hAnsi="Times New Roman" w:cs="Times New Roman"/>
          <w:sz w:val="24"/>
          <w:szCs w:val="24"/>
          <w:lang w:val="sv-SE"/>
        </w:rPr>
        <w:t xml:space="preserve"> Ibn Abi Mursy</w:t>
      </w:r>
      <w:r>
        <w:rPr>
          <w:rFonts w:ascii="Times New Roman" w:hAnsi="Times New Roman" w:cs="Times New Roman"/>
          <w:sz w:val="24"/>
          <w:szCs w:val="24"/>
          <w:lang w:val="sv-SE"/>
        </w:rPr>
        <w:t>i</w:t>
      </w:r>
      <w:r w:rsidRPr="007F78C7">
        <w:rPr>
          <w:rFonts w:ascii="Times New Roman" w:hAnsi="Times New Roman" w:cs="Times New Roman"/>
          <w:sz w:val="24"/>
          <w:szCs w:val="24"/>
          <w:lang w:val="sv-SE"/>
        </w:rPr>
        <w:t>d al</w:t>
      </w:r>
      <w:r>
        <w:rPr>
          <w:rFonts w:ascii="Times New Roman" w:hAnsi="Times New Roman" w:cs="Times New Roman"/>
          <w:sz w:val="24"/>
          <w:szCs w:val="24"/>
          <w:lang w:val="sv-SE"/>
        </w:rPr>
        <w:t xml:space="preserve"> </w:t>
      </w:r>
      <w:r w:rsidRPr="007F78C7">
        <w:rPr>
          <w:rFonts w:ascii="Times New Roman" w:hAnsi="Times New Roman" w:cs="Times New Roman"/>
          <w:sz w:val="24"/>
          <w:szCs w:val="24"/>
          <w:lang w:val="sv-SE"/>
        </w:rPr>
        <w:t>Ghanawi</w:t>
      </w:r>
      <w:r>
        <w:rPr>
          <w:rFonts w:ascii="Times New Roman" w:hAnsi="Times New Roman" w:cs="Times New Roman"/>
          <w:sz w:val="24"/>
          <w:szCs w:val="24"/>
          <w:lang w:val="sv-SE"/>
        </w:rPr>
        <w:t xml:space="preserve"> </w:t>
      </w:r>
      <w:r w:rsidRPr="007F78C7">
        <w:rPr>
          <w:rFonts w:ascii="Times New Roman" w:hAnsi="Times New Roman" w:cs="Times New Roman"/>
          <w:sz w:val="15"/>
          <w:szCs w:val="15"/>
          <w:lang w:val="sv-SE"/>
        </w:rPr>
        <w:t xml:space="preserve"> </w:t>
      </w:r>
      <w:r>
        <w:rPr>
          <w:rFonts w:ascii="Times New Roman" w:hAnsi="Times New Roman" w:cs="Times New Roman"/>
          <w:sz w:val="24"/>
          <w:szCs w:val="24"/>
          <w:lang w:val="sv-SE"/>
        </w:rPr>
        <w:t>yang minta iz</w:t>
      </w:r>
      <w:r w:rsidRPr="007F78C7">
        <w:rPr>
          <w:rFonts w:ascii="Times New Roman" w:hAnsi="Times New Roman" w:cs="Times New Roman"/>
          <w:sz w:val="24"/>
          <w:szCs w:val="24"/>
          <w:lang w:val="sv-SE"/>
        </w:rPr>
        <w:t>in kepada Nabi SAW</w:t>
      </w:r>
      <w:r>
        <w:rPr>
          <w:rFonts w:ascii="Times New Roman" w:hAnsi="Times New Roman" w:cs="Times New Roman"/>
          <w:sz w:val="24"/>
          <w:szCs w:val="24"/>
          <w:lang w:val="sv-SE"/>
        </w:rPr>
        <w:t xml:space="preserve"> </w:t>
      </w:r>
      <w:r w:rsidRPr="007F78C7">
        <w:rPr>
          <w:rFonts w:ascii="Times New Roman" w:hAnsi="Times New Roman" w:cs="Times New Roman"/>
          <w:sz w:val="24"/>
          <w:szCs w:val="24"/>
          <w:lang w:val="sv-SE"/>
        </w:rPr>
        <w:t>untuk mengawini `Inaq</w:t>
      </w:r>
      <w:r>
        <w:rPr>
          <w:rFonts w:ascii="Times New Roman" w:hAnsi="Times New Roman" w:cs="Times New Roman"/>
          <w:sz w:val="24"/>
          <w:szCs w:val="24"/>
          <w:lang w:val="sv-SE"/>
        </w:rPr>
        <w:t xml:space="preserve">, </w:t>
      </w:r>
      <w:r w:rsidRPr="007F78C7">
        <w:rPr>
          <w:rFonts w:ascii="Times New Roman" w:hAnsi="Times New Roman" w:cs="Times New Roman"/>
          <w:sz w:val="24"/>
          <w:szCs w:val="24"/>
          <w:lang w:val="sv-SE"/>
        </w:rPr>
        <w:t>sedangkan dia adalah wanita musyrik yang cantik lagi kaya</w:t>
      </w:r>
      <w:r>
        <w:rPr>
          <w:rFonts w:ascii="Times New Roman" w:hAnsi="Times New Roman" w:cs="Times New Roman"/>
          <w:sz w:val="24"/>
          <w:szCs w:val="24"/>
          <w:lang w:val="sv-SE"/>
        </w:rPr>
        <w:t>,</w:t>
      </w:r>
      <w:r w:rsidRPr="007F78C7">
        <w:rPr>
          <w:rFonts w:ascii="Times New Roman" w:hAnsi="Times New Roman" w:cs="Times New Roman"/>
          <w:sz w:val="15"/>
          <w:szCs w:val="15"/>
          <w:lang w:val="sv-SE"/>
        </w:rPr>
        <w:t xml:space="preserve"> </w:t>
      </w:r>
      <w:r w:rsidRPr="007F78C7">
        <w:rPr>
          <w:rFonts w:ascii="Times New Roman" w:hAnsi="Times New Roman" w:cs="Times New Roman"/>
          <w:sz w:val="24"/>
          <w:szCs w:val="24"/>
          <w:lang w:val="sv-SE"/>
        </w:rPr>
        <w:t>maka turunlah</w:t>
      </w:r>
      <w:r>
        <w:rPr>
          <w:rFonts w:ascii="Times New Roman" w:hAnsi="Times New Roman" w:cs="Times New Roman"/>
          <w:sz w:val="24"/>
          <w:szCs w:val="24"/>
          <w:lang w:val="sv-SE"/>
        </w:rPr>
        <w:t xml:space="preserve"> </w:t>
      </w:r>
      <w:r w:rsidRPr="007F78C7">
        <w:rPr>
          <w:rFonts w:ascii="Times New Roman" w:hAnsi="Times New Roman" w:cs="Times New Roman"/>
          <w:sz w:val="24"/>
          <w:szCs w:val="24"/>
          <w:lang w:val="sv-SE"/>
        </w:rPr>
        <w:t>ayat in</w:t>
      </w:r>
      <w:r>
        <w:rPr>
          <w:rFonts w:ascii="Times New Roman" w:hAnsi="Times New Roman" w:cs="Times New Roman"/>
          <w:sz w:val="24"/>
          <w:szCs w:val="24"/>
          <w:lang w:val="sv-SE"/>
        </w:rPr>
        <w:t>i.</w:t>
      </w:r>
      <w:r>
        <w:rPr>
          <w:rStyle w:val="FootnoteReference"/>
          <w:rFonts w:ascii="Times New Roman" w:hAnsi="Times New Roman" w:cs="Times New Roman"/>
          <w:sz w:val="24"/>
          <w:szCs w:val="24"/>
          <w:lang w:val="sv-SE"/>
        </w:rPr>
        <w:footnoteReference w:id="619"/>
      </w:r>
      <w:r>
        <w:rPr>
          <w:rFonts w:ascii="TimesNewRoman,Bold" w:hAnsi="Times New Roman" w:cs="TimesNewRoman,Bold"/>
          <w:b/>
          <w:bCs/>
          <w:sz w:val="24"/>
          <w:szCs w:val="24"/>
          <w:lang w:val="sv-SE"/>
        </w:rPr>
        <w:t xml:space="preserve"> </w:t>
      </w:r>
      <w:r w:rsidRPr="00955543">
        <w:rPr>
          <w:rFonts w:ascii="Times New Roman" w:hAnsi="Times New Roman" w:cs="Times New Roman"/>
          <w:sz w:val="24"/>
          <w:szCs w:val="24"/>
          <w:lang w:val="sv-SE"/>
        </w:rPr>
        <w:t xml:space="preserve">Penganut pendapat ini tidak membedakan antara musyrik dan </w:t>
      </w:r>
      <w:r w:rsidRPr="00955543">
        <w:rPr>
          <w:rFonts w:ascii="Times New Roman" w:hAnsi="Times New Roman" w:cs="Times New Roman"/>
          <w:i/>
          <w:iCs/>
          <w:sz w:val="24"/>
          <w:szCs w:val="24"/>
          <w:lang w:val="sv-SE"/>
        </w:rPr>
        <w:t xml:space="preserve">ahlul kitab </w:t>
      </w:r>
      <w:r w:rsidRPr="00955543">
        <w:rPr>
          <w:rFonts w:ascii="Times New Roman" w:hAnsi="Times New Roman" w:cs="Times New Roman"/>
          <w:sz w:val="24"/>
          <w:szCs w:val="24"/>
          <w:lang w:val="sv-SE"/>
        </w:rPr>
        <w:t>karena kedua kelompok tersebut dalam realitasnya sama saja, seperti</w:t>
      </w:r>
      <w:r w:rsidRPr="00955543">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pernyataan sahabat Nabi SAW</w:t>
      </w:r>
      <w:r w:rsidRPr="00955543">
        <w:rPr>
          <w:rFonts w:ascii="Times New Roman" w:hAnsi="Times New Roman" w:cs="Times New Roman"/>
          <w:sz w:val="24"/>
          <w:szCs w:val="24"/>
          <w:lang w:val="sv-SE"/>
        </w:rPr>
        <w:t xml:space="preserve"> `Abdullah ibn 'Umar: </w:t>
      </w:r>
    </w:p>
    <w:p w:rsidR="00343B61" w:rsidRPr="006D0C90" w:rsidRDefault="00343B61" w:rsidP="00343B61">
      <w:pPr>
        <w:autoSpaceDE w:val="0"/>
        <w:autoSpaceDN w:val="0"/>
        <w:bidi/>
        <w:adjustRightInd w:val="0"/>
        <w:spacing w:after="0" w:line="240" w:lineRule="auto"/>
        <w:ind w:firstLine="17"/>
        <w:jc w:val="both"/>
        <w:rPr>
          <w:rFonts w:ascii="Arial" w:hAnsi="Arial" w:cs="Traditional Arabic"/>
          <w:sz w:val="32"/>
          <w:szCs w:val="32"/>
        </w:rPr>
      </w:pPr>
      <w:r w:rsidRPr="003B4CA7">
        <w:rPr>
          <w:rFonts w:ascii="Arial" w:hAnsi="Arial" w:cs="Traditional Arabic"/>
          <w:sz w:val="32"/>
          <w:szCs w:val="32"/>
          <w:rtl/>
        </w:rPr>
        <w:t>لا أعلم شركاً أعظم من قولها : إن ربها عيسى</w:t>
      </w:r>
      <w:r w:rsidRPr="006D0C90">
        <w:rPr>
          <w:rFonts w:ascii="Arial" w:hAnsi="Arial" w:cs="Traditional Arabic" w:hint="cs"/>
          <w:sz w:val="32"/>
          <w:szCs w:val="32"/>
          <w:rtl/>
        </w:rPr>
        <w:t xml:space="preserve"> </w:t>
      </w:r>
      <w:r w:rsidRPr="006D0C90">
        <w:rPr>
          <w:rStyle w:val="FootnoteReference"/>
          <w:rFonts w:ascii="Arial" w:hAnsi="Arial" w:cs="Traditional Arabic"/>
          <w:sz w:val="32"/>
          <w:szCs w:val="32"/>
          <w:rtl/>
        </w:rPr>
        <w:footnoteReference w:id="620"/>
      </w:r>
    </w:p>
    <w:p w:rsidR="00343B61" w:rsidRDefault="00343B61" w:rsidP="00343B61">
      <w:pPr>
        <w:autoSpaceDE w:val="0"/>
        <w:autoSpaceDN w:val="0"/>
        <w:adjustRightInd w:val="0"/>
        <w:spacing w:after="0" w:line="24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Artinya: </w:t>
      </w:r>
      <w:r w:rsidRPr="008935D6">
        <w:rPr>
          <w:rFonts w:ascii="Times New Roman" w:hAnsi="Times New Roman" w:cs="Times New Roman"/>
          <w:i/>
          <w:iCs/>
          <w:sz w:val="24"/>
          <w:szCs w:val="24"/>
          <w:lang w:val="sv-SE"/>
        </w:rPr>
        <w:t>"Saya tidak mengetahui kemusyrikan yang lebih besar daripada kemusyrikan orang yang menyatakan bahwa Tuhannya adalah Isa”.</w:t>
      </w:r>
    </w:p>
    <w:p w:rsidR="00343B61" w:rsidRPr="006D0C90" w:rsidRDefault="00343B61" w:rsidP="00343B61">
      <w:pPr>
        <w:autoSpaceDE w:val="0"/>
        <w:autoSpaceDN w:val="0"/>
        <w:adjustRightInd w:val="0"/>
        <w:spacing w:after="0" w:line="240" w:lineRule="auto"/>
        <w:ind w:left="720"/>
        <w:jc w:val="both"/>
        <w:rPr>
          <w:rFonts w:ascii="Times New Roman" w:hAnsi="Times New Roman" w:cs="Times New Roman"/>
          <w:sz w:val="24"/>
          <w:szCs w:val="24"/>
          <w:lang w:val="sv-SE"/>
        </w:rPr>
      </w:pPr>
    </w:p>
    <w:p w:rsidR="00343B61" w:rsidRPr="005C6C07"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5C6C07">
        <w:rPr>
          <w:rFonts w:ascii="Times New Roman" w:hAnsi="Times New Roman" w:cs="Times New Roman"/>
          <w:sz w:val="24"/>
          <w:szCs w:val="24"/>
          <w:lang w:val="sv-SE"/>
        </w:rPr>
        <w:t xml:space="preserve">Dengan demikian, menurut kelompok ini, orang Nasrani dan Yahudi termasuk golongan musyrik, bukan ahlul kitab karena dalam </w:t>
      </w:r>
      <w:r>
        <w:rPr>
          <w:rFonts w:ascii="Times New Roman" w:hAnsi="Times New Roman" w:cs="Times New Roman"/>
          <w:sz w:val="24"/>
          <w:szCs w:val="24"/>
          <w:lang w:val="sv-SE"/>
        </w:rPr>
        <w:t>praktekn</w:t>
      </w:r>
      <w:r w:rsidRPr="005C6C07">
        <w:rPr>
          <w:rFonts w:ascii="Times New Roman" w:hAnsi="Times New Roman" w:cs="Times New Roman"/>
          <w:sz w:val="24"/>
          <w:szCs w:val="24"/>
          <w:lang w:val="sv-SE"/>
        </w:rPr>
        <w:t>ya mereka telah menyembah kepada selain Allah dalam arti berbuat Syirik. Orang Nasrani mempertuhankan Isa, sedang orang Yahudi mempertuhankan Uzair.</w:t>
      </w:r>
      <w:r w:rsidRPr="005C6C07">
        <w:rPr>
          <w:rStyle w:val="FootnoteReference"/>
          <w:rFonts w:ascii="Times New Roman" w:hAnsi="Times New Roman" w:cs="Times New Roman"/>
          <w:sz w:val="24"/>
          <w:szCs w:val="24"/>
          <w:lang w:val="sv-SE"/>
        </w:rPr>
        <w:footnoteReference w:id="621"/>
      </w:r>
    </w:p>
    <w:p w:rsidR="00343B61" w:rsidRDefault="00343B61" w:rsidP="002C0A33">
      <w:pPr>
        <w:pStyle w:val="ListParagraph"/>
        <w:numPr>
          <w:ilvl w:val="0"/>
          <w:numId w:val="41"/>
        </w:numPr>
        <w:tabs>
          <w:tab w:val="left" w:pos="0"/>
          <w:tab w:val="right" w:pos="5687"/>
        </w:tabs>
        <w:spacing w:line="360" w:lineRule="auto"/>
        <w:ind w:left="360"/>
        <w:jc w:val="both"/>
        <w:rPr>
          <w:rFonts w:asciiTheme="majorBidi" w:hAnsiTheme="majorBidi" w:cstheme="majorBidi"/>
          <w:sz w:val="24"/>
          <w:szCs w:val="24"/>
          <w:lang w:val="sv-SE"/>
        </w:rPr>
      </w:pPr>
      <w:r>
        <w:rPr>
          <w:rFonts w:asciiTheme="majorBidi" w:hAnsiTheme="majorBidi" w:cstheme="majorBidi"/>
          <w:sz w:val="24"/>
          <w:szCs w:val="24"/>
          <w:lang w:val="sv-SE"/>
        </w:rPr>
        <w:t xml:space="preserve">Firman Allah SWT dalam </w:t>
      </w:r>
      <w:r w:rsidRPr="007F45FF">
        <w:rPr>
          <w:rFonts w:asciiTheme="majorBidi" w:hAnsiTheme="majorBidi" w:cstheme="majorBidi"/>
          <w:sz w:val="24"/>
          <w:szCs w:val="24"/>
        </w:rPr>
        <w:t>Al-Qur’ān</w:t>
      </w:r>
      <w:r>
        <w:rPr>
          <w:rFonts w:asciiTheme="majorBidi" w:hAnsiTheme="majorBidi" w:cstheme="majorBidi"/>
          <w:sz w:val="24"/>
          <w:szCs w:val="24"/>
          <w:lang w:val="sv-SE"/>
        </w:rPr>
        <w:t xml:space="preserve"> Surat </w:t>
      </w:r>
      <w:r w:rsidRPr="00230218">
        <w:rPr>
          <w:rFonts w:asciiTheme="majorBidi" w:hAnsiTheme="majorBidi" w:cstheme="majorBidi"/>
          <w:sz w:val="24"/>
          <w:szCs w:val="24"/>
          <w:lang w:val="sv-SE"/>
        </w:rPr>
        <w:t>Al-Mumtahanah</w:t>
      </w:r>
      <w:r>
        <w:rPr>
          <w:rFonts w:asciiTheme="majorBidi" w:hAnsiTheme="majorBidi" w:cstheme="majorBidi"/>
          <w:sz w:val="24"/>
          <w:szCs w:val="24"/>
          <w:lang w:val="sv-SE"/>
        </w:rPr>
        <w:t xml:space="preserve"> (60): 10 </w:t>
      </w:r>
      <w:r w:rsidRPr="00230218">
        <w:rPr>
          <w:rFonts w:asciiTheme="majorBidi" w:hAnsiTheme="majorBidi" w:cstheme="majorBidi"/>
          <w:sz w:val="24"/>
          <w:szCs w:val="24"/>
          <w:lang w:val="sv-SE"/>
        </w:rPr>
        <w:t>yaitu:</w:t>
      </w:r>
    </w:p>
    <w:p w:rsidR="00343B61" w:rsidRDefault="00343B61" w:rsidP="00343B61">
      <w:pPr>
        <w:pStyle w:val="ListParagraph"/>
        <w:tabs>
          <w:tab w:val="left" w:pos="0"/>
          <w:tab w:val="right" w:pos="5687"/>
        </w:tabs>
        <w:bidi/>
        <w:spacing w:line="240" w:lineRule="auto"/>
        <w:ind w:left="17"/>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0"/>
      </w:r>
      <w:r>
        <w:rPr>
          <w:sz w:val="28"/>
          <w:szCs w:val="28"/>
        </w:rPr>
        <w:sym w:font="HQPB2" w:char="F032"/>
      </w:r>
      <w:r>
        <w:rPr>
          <w:sz w:val="28"/>
          <w:szCs w:val="28"/>
        </w:rPr>
        <w:sym w:font="HQPB5" w:char="F075"/>
      </w:r>
      <w:r>
        <w:rPr>
          <w:sz w:val="28"/>
          <w:szCs w:val="28"/>
        </w:rPr>
        <w:sym w:font="HQPB2" w:char="F0E4"/>
      </w:r>
      <w:r>
        <w:rPr>
          <w:sz w:val="28"/>
          <w:szCs w:val="28"/>
        </w:rPr>
        <w:sym w:font="HQPB5" w:char="F021"/>
      </w:r>
      <w:r>
        <w:rPr>
          <w:sz w:val="28"/>
          <w:szCs w:val="28"/>
        </w:rPr>
        <w:sym w:font="HQPB1" w:char="F025"/>
      </w:r>
      <w:r>
        <w:rPr>
          <w:sz w:val="28"/>
          <w:szCs w:val="28"/>
        </w:rPr>
        <w:sym w:font="HQPB5" w:char="F079"/>
      </w:r>
      <w:r>
        <w:rPr>
          <w:sz w:val="28"/>
          <w:szCs w:val="28"/>
        </w:rPr>
        <w:sym w:font="HQPB1" w:char="F060"/>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B"/>
      </w:r>
      <w:r>
        <w:rPr>
          <w:sz w:val="28"/>
          <w:szCs w:val="28"/>
        </w:rPr>
        <w:sym w:font="HQPB1" w:char="F04E"/>
      </w:r>
      <w:r>
        <w:rPr>
          <w:sz w:val="28"/>
          <w:szCs w:val="28"/>
        </w:rPr>
        <w:sym w:font="HQPB2" w:char="F0BA"/>
      </w:r>
      <w:r>
        <w:rPr>
          <w:sz w:val="28"/>
          <w:szCs w:val="28"/>
        </w:rPr>
        <w:sym w:font="HQPB5" w:char="F074"/>
      </w:r>
      <w:r>
        <w:rPr>
          <w:sz w:val="28"/>
          <w:szCs w:val="28"/>
        </w:rPr>
        <w:sym w:font="HQPB1" w:char="F08D"/>
      </w:r>
      <w:r>
        <w:rPr>
          <w:sz w:val="28"/>
          <w:szCs w:val="28"/>
        </w:rPr>
        <w:sym w:font="HQPB4" w:char="F0C9"/>
      </w:r>
      <w:r>
        <w:rPr>
          <w:sz w:val="28"/>
          <w:szCs w:val="28"/>
        </w:rPr>
        <w:sym w:font="HQPB1" w:char="F066"/>
      </w:r>
      <w:r>
        <w:rPr>
          <w:sz w:val="28"/>
          <w:szCs w:val="28"/>
        </w:rPr>
        <w:sym w:font="HQPB2" w:char="F0BB"/>
      </w:r>
      <w:r>
        <w:rPr>
          <w:sz w:val="28"/>
          <w:szCs w:val="28"/>
        </w:rPr>
        <w:sym w:font="HQPB5" w:char="F079"/>
      </w:r>
      <w:r>
        <w:rPr>
          <w:sz w:val="28"/>
          <w:szCs w:val="28"/>
        </w:rPr>
        <w:sym w:font="HQPB2" w:char="F06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2" w:char="F05A"/>
      </w:r>
      <w:r>
        <w:rPr>
          <w:sz w:val="28"/>
          <w:szCs w:val="28"/>
        </w:rPr>
        <w:sym w:font="HQPB4" w:char="F0C5"/>
      </w:r>
      <w:r>
        <w:rPr>
          <w:sz w:val="28"/>
          <w:szCs w:val="28"/>
        </w:rPr>
        <w:sym w:font="HQPB1" w:char="F073"/>
      </w:r>
      <w:r>
        <w:rPr>
          <w:sz w:val="28"/>
          <w:szCs w:val="28"/>
        </w:rPr>
        <w:sym w:font="HQPB5" w:char="F074"/>
      </w:r>
      <w:r>
        <w:rPr>
          <w:sz w:val="28"/>
          <w:szCs w:val="28"/>
        </w:rPr>
        <w:sym w:font="HQPB1" w:char="F047"/>
      </w:r>
      <w:r>
        <w:rPr>
          <w:sz w:val="28"/>
          <w:szCs w:val="28"/>
        </w:rPr>
        <w:sym w:font="HQPB4" w:char="F0F8"/>
      </w:r>
      <w:r>
        <w:rPr>
          <w:sz w:val="28"/>
          <w:szCs w:val="28"/>
        </w:rPr>
        <w:sym w:font="HQPB2" w:char="F042"/>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AA"/>
      </w:r>
      <w:r w:rsidRPr="003B4CA7">
        <w:rPr>
          <w:rFonts w:ascii="Adobe نسخ Medium" w:hAnsi="Adobe نسخ Medium" w:cs="Traditional Arabic"/>
          <w:sz w:val="40"/>
          <w:szCs w:val="40"/>
          <w:rtl/>
        </w:rPr>
        <w:t xml:space="preserve"> </w:t>
      </w:r>
      <w:r w:rsidRPr="00DF303B">
        <w:rPr>
          <w:rFonts w:ascii="Adobe نسخ Medium" w:hAnsi="Adobe نسخ Medium" w:cs="Traditional Arabic"/>
          <w:sz w:val="40"/>
          <w:szCs w:val="40"/>
          <w:rtl/>
        </w:rPr>
        <w:t>اللهُ</w:t>
      </w:r>
      <w:r>
        <w:rPr>
          <w:rFonts w:ascii="(normal text)" w:hAnsi="(normal text)"/>
          <w:rtl/>
        </w:rPr>
        <w:t xml:space="preserve"> </w:t>
      </w:r>
      <w:r>
        <w:rPr>
          <w:sz w:val="28"/>
          <w:szCs w:val="28"/>
        </w:rPr>
        <w:sym w:font="HQPB4" w:char="F0E3"/>
      </w:r>
      <w:r>
        <w:rPr>
          <w:sz w:val="28"/>
          <w:szCs w:val="28"/>
        </w:rPr>
        <w:sym w:font="HQPB2" w:char="F04E"/>
      </w:r>
      <w:r>
        <w:rPr>
          <w:sz w:val="28"/>
          <w:szCs w:val="28"/>
        </w:rPr>
        <w:sym w:font="HQPB5" w:char="F06E"/>
      </w:r>
      <w:r>
        <w:rPr>
          <w:sz w:val="28"/>
          <w:szCs w:val="28"/>
        </w:rPr>
        <w:sym w:font="HQPB2" w:char="F03D"/>
      </w:r>
      <w:r>
        <w:rPr>
          <w:sz w:val="28"/>
          <w:szCs w:val="28"/>
        </w:rPr>
        <w:sym w:font="HQPB4" w:char="F0F7"/>
      </w:r>
      <w:r>
        <w:rPr>
          <w:sz w:val="28"/>
          <w:szCs w:val="28"/>
        </w:rPr>
        <w:sym w:font="HQPB1" w:char="F0E6"/>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D"/>
      </w:r>
      <w:r>
        <w:rPr>
          <w:sz w:val="28"/>
          <w:szCs w:val="28"/>
        </w:rPr>
        <w:sym w:font="HQPB2" w:char="F06B"/>
      </w:r>
      <w:r>
        <w:rPr>
          <w:sz w:val="28"/>
          <w:szCs w:val="28"/>
        </w:rPr>
        <w:sym w:font="HQPB4" w:char="F0C8"/>
      </w:r>
      <w:r>
        <w:rPr>
          <w:sz w:val="28"/>
          <w:szCs w:val="28"/>
        </w:rPr>
        <w:sym w:font="HQPB2" w:char="F05D"/>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7"/>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4"/>
      </w:r>
      <w:r>
        <w:rPr>
          <w:sz w:val="28"/>
          <w:szCs w:val="28"/>
        </w:rPr>
        <w:sym w:font="HQPB2" w:char="F04A"/>
      </w:r>
      <w:r>
        <w:rPr>
          <w:sz w:val="28"/>
          <w:szCs w:val="28"/>
        </w:rPr>
        <w:sym w:font="HQPB4" w:char="F0C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5"/>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8"/>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1" w:char="F0E8"/>
      </w:r>
      <w:r>
        <w:rPr>
          <w:sz w:val="28"/>
          <w:szCs w:val="28"/>
        </w:rPr>
        <w:sym w:font="HQPB4" w:char="F0C5"/>
      </w:r>
      <w:r>
        <w:rPr>
          <w:sz w:val="28"/>
          <w:szCs w:val="28"/>
        </w:rPr>
        <w:sym w:font="HQPB1" w:char="F05F"/>
      </w:r>
      <w:r>
        <w:rPr>
          <w:sz w:val="28"/>
          <w:szCs w:val="28"/>
        </w:rPr>
        <w:sym w:font="HQPB4" w:char="F0F6"/>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4" w:char="F0A4"/>
      </w:r>
      <w:r>
        <w:rPr>
          <w:sz w:val="28"/>
          <w:szCs w:val="28"/>
        </w:rPr>
        <w:sym w:font="HQPB1" w:char="F0FF"/>
      </w:r>
      <w:r>
        <w:rPr>
          <w:sz w:val="28"/>
          <w:szCs w:val="28"/>
        </w:rPr>
        <w:sym w:font="HQPB4" w:char="F0E4"/>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4" w:char="F0B0"/>
      </w:r>
      <w:r>
        <w:rPr>
          <w:sz w:val="28"/>
          <w:szCs w:val="28"/>
        </w:rPr>
        <w:sym w:font="HQPB2" w:char="F03B"/>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9D"/>
      </w:r>
      <w:r>
        <w:rPr>
          <w:sz w:val="28"/>
          <w:szCs w:val="28"/>
        </w:rPr>
        <w:sym w:font="HQPB2" w:char="F03D"/>
      </w:r>
      <w:r>
        <w:rPr>
          <w:sz w:val="28"/>
          <w:szCs w:val="28"/>
        </w:rPr>
        <w:sym w:font="HQPB4" w:char="F0CF"/>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E"/>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1" w:char="F03F"/>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1" w:char="F079"/>
      </w:r>
      <w:r>
        <w:rPr>
          <w:sz w:val="28"/>
          <w:szCs w:val="28"/>
        </w:rPr>
        <w:sym w:font="HQPB1" w:char="F024"/>
      </w:r>
      <w:r>
        <w:rPr>
          <w:sz w:val="28"/>
          <w:szCs w:val="28"/>
        </w:rPr>
        <w:sym w:font="HQPB5" w:char="F06F"/>
      </w:r>
      <w:r>
        <w:rPr>
          <w:sz w:val="28"/>
          <w:szCs w:val="28"/>
        </w:rPr>
        <w:sym w:font="HQPB2" w:char="F059"/>
      </w:r>
      <w:r>
        <w:rPr>
          <w:sz w:val="28"/>
          <w:szCs w:val="28"/>
        </w:rPr>
        <w:sym w:font="HQPB4" w:char="F0E3"/>
      </w:r>
      <w:r>
        <w:rPr>
          <w:sz w:val="28"/>
          <w:szCs w:val="28"/>
        </w:rPr>
        <w:sym w:font="HQPB1" w:char="F05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A"/>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7"/>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3"/>
      </w:r>
      <w:r>
        <w:rPr>
          <w:sz w:val="28"/>
          <w:szCs w:val="28"/>
        </w:rPr>
        <w:sym w:font="HQPB4" w:char="F0C5"/>
      </w:r>
      <w:r>
        <w:rPr>
          <w:sz w:val="28"/>
          <w:szCs w:val="28"/>
        </w:rPr>
        <w:sym w:font="HQPB1" w:char="F0A1"/>
      </w:r>
      <w:r>
        <w:rPr>
          <w:sz w:val="28"/>
          <w:szCs w:val="28"/>
        </w:rPr>
        <w:sym w:font="HQPB4" w:char="F0F4"/>
      </w:r>
      <w:r>
        <w:rPr>
          <w:sz w:val="28"/>
          <w:szCs w:val="28"/>
        </w:rPr>
        <w:sym w:font="HQPB2" w:char="F04A"/>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C4"/>
      </w:r>
      <w:r>
        <w:rPr>
          <w:sz w:val="28"/>
          <w:szCs w:val="28"/>
        </w:rPr>
        <w:sym w:font="HQPB2" w:char="F04E"/>
      </w:r>
      <w:r>
        <w:rPr>
          <w:sz w:val="28"/>
          <w:szCs w:val="28"/>
        </w:rPr>
        <w:sym w:font="HQPB5" w:char="F07C"/>
      </w:r>
      <w:r>
        <w:rPr>
          <w:sz w:val="28"/>
          <w:szCs w:val="28"/>
        </w:rPr>
        <w:sym w:font="HQPB1" w:char="F0C1"/>
      </w:r>
      <w:r>
        <w:rPr>
          <w:sz w:val="28"/>
          <w:szCs w:val="28"/>
        </w:rPr>
        <w:sym w:font="HQPB4" w:char="F0CF"/>
      </w:r>
      <w:r>
        <w:rPr>
          <w:sz w:val="28"/>
          <w:szCs w:val="28"/>
        </w:rPr>
        <w:sym w:font="HQPB1" w:char="F0E8"/>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CF"/>
      </w:r>
      <w:r>
        <w:rPr>
          <w:sz w:val="28"/>
          <w:szCs w:val="28"/>
        </w:rPr>
        <w:sym w:font="HQPB1" w:char="F0F9"/>
      </w:r>
      <w:r>
        <w:rPr>
          <w:sz w:val="28"/>
          <w:szCs w:val="28"/>
        </w:rPr>
        <w:sym w:font="HQPB1" w:char="F023"/>
      </w:r>
      <w:r>
        <w:rPr>
          <w:sz w:val="28"/>
          <w:szCs w:val="28"/>
        </w:rPr>
        <w:sym w:font="HQPB5" w:char="F075"/>
      </w:r>
      <w:r>
        <w:rPr>
          <w:sz w:val="28"/>
          <w:szCs w:val="28"/>
        </w:rPr>
        <w:sym w:font="HQPB2" w:char="F071"/>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9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7"/>
      </w:r>
      <w:r>
        <w:rPr>
          <w:sz w:val="28"/>
          <w:szCs w:val="28"/>
        </w:rPr>
        <w:sym w:font="HQPB2" w:char="F04C"/>
      </w:r>
      <w:r>
        <w:rPr>
          <w:sz w:val="28"/>
          <w:szCs w:val="28"/>
        </w:rPr>
        <w:sym w:font="HQPB4" w:char="F0E4"/>
      </w:r>
      <w:r>
        <w:rPr>
          <w:sz w:val="28"/>
          <w:szCs w:val="28"/>
        </w:rPr>
        <w:sym w:font="HQPB2" w:char="F0EA"/>
      </w:r>
      <w:r>
        <w:rPr>
          <w:sz w:val="28"/>
          <w:szCs w:val="28"/>
        </w:rPr>
        <w:sym w:font="HQPB4" w:char="F0F8"/>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A1"/>
      </w:r>
      <w:r>
        <w:rPr>
          <w:sz w:val="28"/>
          <w:szCs w:val="28"/>
        </w:rPr>
        <w:sym w:font="HQPB5" w:char="F075"/>
      </w:r>
      <w:r>
        <w:rPr>
          <w:sz w:val="28"/>
          <w:szCs w:val="28"/>
        </w:rPr>
        <w:sym w:font="HQPB2" w:char="F08A"/>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F5"/>
      </w:r>
      <w:r>
        <w:rPr>
          <w:sz w:val="28"/>
          <w:szCs w:val="28"/>
        </w:rPr>
        <w:sym w:font="HQPB2" w:char="F033"/>
      </w:r>
      <w:r>
        <w:rPr>
          <w:sz w:val="28"/>
          <w:szCs w:val="28"/>
        </w:rPr>
        <w:sym w:font="HQPB4" w:char="F0E3"/>
      </w:r>
      <w:r>
        <w:rPr>
          <w:sz w:val="28"/>
          <w:szCs w:val="28"/>
        </w:rPr>
        <w:sym w:font="HQPB1" w:char="F06D"/>
      </w:r>
      <w:r>
        <w:rPr>
          <w:rFonts w:ascii="(normal text)" w:hAnsi="(normal text)"/>
          <w:rtl/>
        </w:rPr>
        <w:t xml:space="preserve"> </w:t>
      </w:r>
      <w:r>
        <w:rPr>
          <w:sz w:val="28"/>
          <w:szCs w:val="28"/>
        </w:rPr>
        <w:sym w:font="HQPB5" w:char="F0AB"/>
      </w:r>
      <w:r w:rsidRPr="003B4CA7">
        <w:rPr>
          <w:rFonts w:ascii="Adobe نسخ Medium" w:hAnsi="Adobe نسخ Medium" w:cs="Traditional Arabic"/>
          <w:sz w:val="40"/>
          <w:szCs w:val="40"/>
          <w:rtl/>
        </w:rPr>
        <w:t xml:space="preserve"> </w:t>
      </w:r>
      <w:r w:rsidRPr="00DF303B">
        <w:rPr>
          <w:rFonts w:ascii="Adobe نسخ Medium" w:hAnsi="Adobe نسخ Medium" w:cs="Traditional Arabic"/>
          <w:sz w:val="40"/>
          <w:szCs w:val="40"/>
          <w:rtl/>
        </w:rPr>
        <w:t>اللهُ</w:t>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6F"/>
      </w:r>
      <w:r>
        <w:rPr>
          <w:sz w:val="28"/>
          <w:szCs w:val="28"/>
        </w:rPr>
        <w:sym w:font="HQPB2" w:char="F059"/>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72"/>
      </w:r>
      <w:r>
        <w:rPr>
          <w:rFonts w:hint="cs"/>
          <w:sz w:val="28"/>
          <w:szCs w:val="28"/>
          <w:rtl/>
        </w:rPr>
        <w:t xml:space="preserve"> </w:t>
      </w:r>
      <w:r w:rsidRPr="00DF303B">
        <w:rPr>
          <w:rFonts w:ascii="Adobe نسخ Medium" w:hAnsi="Adobe نسخ Medium" w:cs="Traditional Arabic"/>
          <w:sz w:val="40"/>
          <w:szCs w:val="40"/>
          <w:rtl/>
        </w:rPr>
        <w:t>اللهُ</w:t>
      </w:r>
      <w:r w:rsidRPr="00B13CD9">
        <w:rPr>
          <w:sz w:val="28"/>
          <w:szCs w:val="28"/>
          <w:lang w:val="sv-SE"/>
        </w:rPr>
        <w:t xml:space="preserve"> </w:t>
      </w:r>
      <w:r>
        <w:rPr>
          <w:rFonts w:ascii="(normal text)" w:hAnsi="(normal text)"/>
          <w:rtl/>
        </w:rPr>
        <w:t xml:space="preserve"> </w:t>
      </w:r>
      <w:r>
        <w:rPr>
          <w:sz w:val="28"/>
          <w:szCs w:val="28"/>
        </w:rPr>
        <w:sym w:font="HQPB4" w:char="F0EE"/>
      </w:r>
      <w:r>
        <w:rPr>
          <w:sz w:val="28"/>
          <w:szCs w:val="28"/>
        </w:rPr>
        <w:sym w:font="HQPB2" w:char="F04C"/>
      </w:r>
      <w:r>
        <w:rPr>
          <w:sz w:val="28"/>
          <w:szCs w:val="28"/>
        </w:rPr>
        <w:sym w:font="HQPB2" w:char="F0EC"/>
      </w:r>
      <w:r>
        <w:rPr>
          <w:sz w:val="28"/>
          <w:szCs w:val="28"/>
        </w:rPr>
        <w:sym w:font="HQPB4" w:char="F0C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5"/>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8"/>
      </w:r>
      <w:r>
        <w:rPr>
          <w:rFonts w:ascii="(normal text)" w:hAnsi="(normal text)"/>
          <w:rtl/>
        </w:rPr>
        <w:t xml:space="preserve">   </w:t>
      </w:r>
    </w:p>
    <w:p w:rsidR="00343B61" w:rsidRPr="00D234F1" w:rsidRDefault="00343B61" w:rsidP="00343B61">
      <w:pPr>
        <w:pStyle w:val="ListParagraph"/>
        <w:tabs>
          <w:tab w:val="left" w:pos="0"/>
          <w:tab w:val="right" w:pos="5687"/>
        </w:tabs>
        <w:spacing w:line="240" w:lineRule="auto"/>
        <w:ind w:left="990"/>
        <w:jc w:val="both"/>
        <w:rPr>
          <w:rFonts w:asciiTheme="majorBidi" w:hAnsiTheme="majorBidi" w:cstheme="majorBidi"/>
          <w:sz w:val="24"/>
          <w:szCs w:val="24"/>
          <w:lang w:val="sv-SE"/>
        </w:rPr>
      </w:pPr>
      <w:r w:rsidRPr="003B4CA7">
        <w:rPr>
          <w:rFonts w:asciiTheme="majorBidi" w:hAnsiTheme="majorBidi" w:cstheme="majorBidi"/>
          <w:sz w:val="24"/>
          <w:szCs w:val="24"/>
          <w:lang w:val="sv-SE"/>
        </w:rPr>
        <w:t xml:space="preserve">Artinya: </w:t>
      </w:r>
      <w:r w:rsidRPr="003B4CA7">
        <w:rPr>
          <w:rFonts w:asciiTheme="majorBidi" w:hAnsiTheme="majorBidi" w:cstheme="majorBidi"/>
          <w:i/>
          <w:iCs/>
          <w:sz w:val="24"/>
          <w:szCs w:val="24"/>
          <w:lang w:val="sv-SE"/>
        </w:rPr>
        <w:t xml:space="preserve">“ Hai orang-orang yang beriman, apabila datang berhijrah kepadamu perempuan-perempuan yang beriman, Maka hendaklah kamu uji (keimanan) mereka. </w:t>
      </w:r>
      <w:r w:rsidRPr="00B13CD9">
        <w:rPr>
          <w:rFonts w:asciiTheme="majorBidi" w:hAnsiTheme="majorBidi" w:cstheme="majorBidi"/>
          <w:i/>
          <w:iCs/>
          <w:sz w:val="24"/>
          <w:szCs w:val="24"/>
          <w:lang w:val="sv-SE"/>
        </w:rPr>
        <w:t xml:space="preserve">Allah lebih mengetahui tentang keimanan mereka;maka jika kamu telah mengetahui bahwa mereka (benar-benar) beriman Maka janganlah kamu kembalikan mereka kepada (suami-suami mereka) orang-orang kafir. mereka tiada halal bagi orang-orang </w:t>
      </w:r>
      <w:r w:rsidRPr="00B13CD9">
        <w:rPr>
          <w:rFonts w:asciiTheme="majorBidi" w:hAnsiTheme="majorBidi" w:cstheme="majorBidi"/>
          <w:i/>
          <w:iCs/>
          <w:sz w:val="24"/>
          <w:szCs w:val="24"/>
          <w:lang w:val="sv-SE"/>
        </w:rPr>
        <w:lastRenderedPageBreak/>
        <w:t xml:space="preserve">kafir itu dan orang-orang kafir itu tiada halal pula bagi mereka. dan berikanlah kepada (suami suami) mereka, mahar yang telah mereka bayar. dan tiada dosa atasmu mengawini mereka apabila kamu bayar kepada mereka maharnya. dan janganlah kamu tetap berpegang pada tali (perkawinan) dengan perempuan-perempuan kafir; dan hendaklah kamu minta mahar yang telah kamu bayar; dan hendaklah mereka meminta mahar yang telah mereka bayar. Demikianlah hukum Allah yang ditetapkanNya di antara kamu. dan Allah Maha mengetahui lagi Maha Bijaksana”. </w:t>
      </w:r>
      <w:r w:rsidRPr="00B13CD9">
        <w:rPr>
          <w:rFonts w:asciiTheme="majorBidi" w:hAnsiTheme="majorBidi" w:cstheme="majorBidi"/>
          <w:sz w:val="24"/>
          <w:szCs w:val="24"/>
          <w:lang w:val="sv-SE"/>
        </w:rPr>
        <w:t xml:space="preserve">( QS. </w:t>
      </w:r>
      <w:r w:rsidRPr="00230218">
        <w:rPr>
          <w:rFonts w:asciiTheme="majorBidi" w:hAnsiTheme="majorBidi" w:cstheme="majorBidi"/>
          <w:sz w:val="24"/>
          <w:szCs w:val="24"/>
          <w:lang w:val="sv-SE"/>
        </w:rPr>
        <w:t>Al-Mumtahanah</w:t>
      </w:r>
      <w:r>
        <w:rPr>
          <w:rFonts w:asciiTheme="majorBidi" w:hAnsiTheme="majorBidi" w:cstheme="majorBidi"/>
          <w:sz w:val="24"/>
          <w:szCs w:val="24"/>
          <w:lang w:val="sv-SE"/>
        </w:rPr>
        <w:t xml:space="preserve"> (60): 10).</w:t>
      </w:r>
      <w:r>
        <w:rPr>
          <w:rStyle w:val="FootnoteReference"/>
          <w:rFonts w:asciiTheme="majorBidi" w:hAnsiTheme="majorBidi" w:cstheme="majorBidi"/>
          <w:sz w:val="24"/>
          <w:szCs w:val="24"/>
          <w:lang w:val="sv-SE"/>
        </w:rPr>
        <w:footnoteReference w:id="622"/>
      </w:r>
    </w:p>
    <w:p w:rsidR="00343B61" w:rsidRPr="00D234F1" w:rsidRDefault="00343B61" w:rsidP="00343B61">
      <w:pPr>
        <w:spacing w:after="0" w:line="360" w:lineRule="auto"/>
        <w:ind w:firstLine="720"/>
        <w:jc w:val="both"/>
        <w:rPr>
          <w:rFonts w:ascii="Times New Roman" w:hAnsi="Times New Roman" w:cs="Times New Roman"/>
          <w:sz w:val="24"/>
          <w:szCs w:val="24"/>
          <w:lang w:val="sv-SE"/>
        </w:rPr>
      </w:pPr>
      <w:r w:rsidRPr="005C6C07">
        <w:rPr>
          <w:rFonts w:asciiTheme="majorBidi" w:hAnsiTheme="majorBidi" w:cstheme="majorBidi"/>
          <w:sz w:val="24"/>
          <w:szCs w:val="24"/>
          <w:lang w:val="sv-SE"/>
        </w:rPr>
        <w:t xml:space="preserve">Menurut </w:t>
      </w:r>
      <w:r w:rsidRPr="00D234F1">
        <w:rPr>
          <w:rFonts w:ascii="Times New Roman" w:hAnsi="Times New Roman" w:cs="Times New Roman"/>
          <w:sz w:val="24"/>
          <w:szCs w:val="24"/>
          <w:lang w:val="sv-SE"/>
        </w:rPr>
        <w:t>Muhammad Abduh</w:t>
      </w:r>
      <w:r>
        <w:rPr>
          <w:rFonts w:ascii="Times New Roman" w:hAnsi="Times New Roman" w:cs="Times New Roman"/>
          <w:sz w:val="24"/>
          <w:szCs w:val="24"/>
          <w:lang w:val="sv-SE"/>
        </w:rPr>
        <w:t>(</w:t>
      </w:r>
      <w:r w:rsidRPr="00D234F1">
        <w:rPr>
          <w:rFonts w:ascii="Times New Roman" w:hAnsi="Times New Roman" w:cs="Times New Roman"/>
          <w:sz w:val="24"/>
          <w:szCs w:val="24"/>
          <w:lang w:val="sv-SE"/>
        </w:rPr>
        <w:t>1849-1905M)</w:t>
      </w:r>
      <w:r w:rsidRPr="005C6C07">
        <w:rPr>
          <w:rFonts w:asciiTheme="majorBidi" w:hAnsiTheme="majorBidi" w:cstheme="majorBidi"/>
          <w:sz w:val="24"/>
          <w:szCs w:val="24"/>
          <w:lang w:val="sv-SE"/>
        </w:rPr>
        <w:t>, diantara alasan tidak bolehnya seorang Muslim menikah dengan orang musyrik adalah karena mereka seolah-olah langsung menutup telinga begitu mendengar ajakan Islam, hati mereka keras dan</w:t>
      </w:r>
      <w:r>
        <w:rPr>
          <w:rFonts w:asciiTheme="majorBidi" w:hAnsiTheme="majorBidi" w:cstheme="majorBidi"/>
          <w:sz w:val="24"/>
          <w:szCs w:val="24"/>
          <w:lang w:val="sv-SE"/>
        </w:rPr>
        <w:t xml:space="preserve"> </w:t>
      </w:r>
      <w:r w:rsidRPr="005C6C07">
        <w:rPr>
          <w:rFonts w:asciiTheme="majorBidi" w:hAnsiTheme="majorBidi" w:cstheme="majorBidi"/>
          <w:sz w:val="24"/>
          <w:szCs w:val="24"/>
          <w:lang w:val="sv-SE"/>
        </w:rPr>
        <w:t>langsung memalingkan diri, tidak mau tahu dengan ajaran Islam, karena memang akal</w:t>
      </w:r>
      <w:r>
        <w:rPr>
          <w:rFonts w:asciiTheme="majorBidi" w:hAnsiTheme="majorBidi" w:cstheme="majorBidi"/>
          <w:sz w:val="24"/>
          <w:szCs w:val="24"/>
          <w:lang w:val="sv-SE"/>
        </w:rPr>
        <w:t xml:space="preserve"> </w:t>
      </w:r>
      <w:r w:rsidRPr="005C6C07">
        <w:rPr>
          <w:rFonts w:asciiTheme="majorBidi" w:hAnsiTheme="majorBidi" w:cstheme="majorBidi"/>
          <w:sz w:val="24"/>
          <w:szCs w:val="24"/>
          <w:lang w:val="sv-SE"/>
        </w:rPr>
        <w:t>mereka sudah jumud, hatinya tertutup dan kalau seandainya mereka menikah dengan</w:t>
      </w:r>
      <w:r>
        <w:rPr>
          <w:rFonts w:asciiTheme="majorBidi" w:hAnsiTheme="majorBidi" w:cstheme="majorBidi"/>
          <w:sz w:val="24"/>
          <w:szCs w:val="24"/>
          <w:lang w:val="sv-SE"/>
        </w:rPr>
        <w:t xml:space="preserve"> </w:t>
      </w:r>
      <w:r w:rsidRPr="005C6C07">
        <w:rPr>
          <w:rFonts w:asciiTheme="majorBidi" w:hAnsiTheme="majorBidi" w:cstheme="majorBidi"/>
          <w:sz w:val="24"/>
          <w:szCs w:val="24"/>
          <w:lang w:val="sv-SE"/>
        </w:rPr>
        <w:t>lelaki Muslim maka kemungkinan besar dia tidak setia,tidak menepati janji dan akan</w:t>
      </w:r>
      <w:r>
        <w:rPr>
          <w:rFonts w:asciiTheme="majorBidi" w:hAnsiTheme="majorBidi" w:cstheme="majorBidi"/>
          <w:sz w:val="24"/>
          <w:szCs w:val="24"/>
          <w:lang w:val="sv-SE"/>
        </w:rPr>
        <w:t xml:space="preserve"> </w:t>
      </w:r>
      <w:r w:rsidRPr="005C6C07">
        <w:rPr>
          <w:rFonts w:asciiTheme="majorBidi" w:hAnsiTheme="majorBidi" w:cstheme="majorBidi"/>
          <w:sz w:val="24"/>
          <w:szCs w:val="24"/>
          <w:lang w:val="sv-SE"/>
        </w:rPr>
        <w:t>mengkhianati suaminya dan hartanya, dia juga tidak segan-segan akan berbuat keji</w:t>
      </w:r>
      <w:r>
        <w:rPr>
          <w:rFonts w:asciiTheme="majorBidi" w:hAnsiTheme="majorBidi" w:cstheme="majorBidi"/>
          <w:sz w:val="24"/>
          <w:szCs w:val="24"/>
          <w:lang w:val="sv-SE"/>
        </w:rPr>
        <w:t xml:space="preserve"> </w:t>
      </w:r>
      <w:r w:rsidRPr="005C6C07">
        <w:rPr>
          <w:rFonts w:asciiTheme="majorBidi" w:hAnsiTheme="majorBidi" w:cstheme="majorBidi"/>
          <w:sz w:val="24"/>
          <w:szCs w:val="24"/>
          <w:lang w:val="sv-SE"/>
        </w:rPr>
        <w:t>dan melakukan apa saja yang dia kehendaki makanya dilarang menikah dengan</w:t>
      </w:r>
      <w:r>
        <w:rPr>
          <w:rFonts w:asciiTheme="majorBidi" w:hAnsiTheme="majorBidi" w:cstheme="majorBidi"/>
          <w:sz w:val="24"/>
          <w:szCs w:val="24"/>
          <w:lang w:val="sv-SE"/>
        </w:rPr>
        <w:t xml:space="preserve"> perempuan yang musyrik.</w:t>
      </w:r>
      <w:r>
        <w:rPr>
          <w:rStyle w:val="FootnoteReference"/>
          <w:rFonts w:asciiTheme="majorBidi" w:hAnsiTheme="majorBidi" w:cstheme="majorBidi"/>
          <w:sz w:val="24"/>
          <w:szCs w:val="24"/>
          <w:lang w:val="sv-SE"/>
        </w:rPr>
        <w:footnoteReference w:id="623"/>
      </w:r>
    </w:p>
    <w:p w:rsidR="00343B61" w:rsidRPr="0058438E"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Alasan lain larangan perkawinan dengan non Muslim adalah perbedaan iman, perkawinan dimaksudkan agar terjalin hubungan yang harmonis, minimal antara pasangan suami istri dan anak-anak-Nya. Bagaimana mungkin keharmonisan tercapai jika nilai-nilai yang dianut oleh suami dan istri berbeda, apalagi saling bertentangan dengan nilai-nilai yang dianut oleh suami isteri? Nilai-nilai mewarnai pikiran dan tingkah laku seseorang. Dalam pandangan Islam, nilai Ketuhanan Yang Maha Esa adalah nilai yang tertinggi, yang bagaimanapun tidak boleh dikorbankan. Ia harus dilestarikan dan diteruskan ke anak cucu. Kalau nilai ini tidak dipercayai oleh salah satu pasangan, maka bagaimana ia dapat diteruskan kepada anak cucu? Di sisi lain, kalau pandangan hidup ini tidak diwujudkan dalam kehidupan nyata, maka apakah masih ada nilai lain yang akan diwujudkan dan dipraktekkan? Dapatkah seseorang mentoleransi inti kepercayaan atau bahkan </w:t>
      </w:r>
      <w:r>
        <w:rPr>
          <w:rFonts w:ascii="Times New Roman" w:hAnsi="Times New Roman" w:cs="Times New Roman"/>
          <w:sz w:val="24"/>
          <w:szCs w:val="24"/>
        </w:rPr>
        <w:lastRenderedPageBreak/>
        <w:t xml:space="preserve">mengorbankannya atas nama cinta, atau karena kekaguman pada kecantikan atau ketampanan, harta dan status sosial? Semua yang dikagumi itu tidak langgeng. Sedang perkawinan diharapkan langgeng. Yang langgeng dan dibawa mati adalah keyakinan, karena itu untuk langgengnya perkawinan, maka sesuatu yang langgeng harus menjadi landasannya. Itu pula sebabnya ayat diatas berpesan: Wanita yang status sosialnya rendah, tetapi beriman, lebih baik dari pada wanita yang status sosialnya tinggi, cantik dan kaya, tetapi tanpa iman. Pernyataan ini Allah sampaikan dengan redaksi pengukuhan </w:t>
      </w:r>
      <w:r w:rsidRPr="0058438E">
        <w:rPr>
          <w:rFonts w:ascii="TimesNewRoman" w:hAnsi="Times New Roman" w:cs="TimesNewRoman" w:hint="cs"/>
          <w:sz w:val="24"/>
          <w:szCs w:val="24"/>
        </w:rPr>
        <w:t>“</w:t>
      </w:r>
      <w:r w:rsidRPr="0058438E">
        <w:rPr>
          <w:rFonts w:ascii="Times New Roman" w:hAnsi="Times New Roman" w:cs="Times New Roman"/>
          <w:sz w:val="24"/>
          <w:szCs w:val="24"/>
        </w:rPr>
        <w:t>sesungguhnya.</w:t>
      </w:r>
      <w:r>
        <w:rPr>
          <w:rStyle w:val="FootnoteReference"/>
          <w:rFonts w:ascii="Times New Roman" w:hAnsi="Times New Roman" w:cs="Times New Roman"/>
          <w:sz w:val="24"/>
          <w:szCs w:val="24"/>
        </w:rPr>
        <w:footnoteReference w:id="624"/>
      </w:r>
    </w:p>
    <w:p w:rsidR="00343B61" w:rsidRPr="00F04753"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F04753">
        <w:rPr>
          <w:rFonts w:ascii="Times New Roman" w:hAnsi="Times New Roman" w:cs="Times New Roman"/>
          <w:sz w:val="24"/>
          <w:szCs w:val="24"/>
        </w:rPr>
        <w:t xml:space="preserve">Kelompok kedua yang membolehkan pernikahan laki-laki muslim dengan perempuan non-muslim dari kalangan </w:t>
      </w:r>
      <w:r>
        <w:rPr>
          <w:rFonts w:ascii="Times New Roman" w:hAnsi="Times New Roman" w:cs="Times New Roman"/>
          <w:i/>
          <w:iCs/>
          <w:sz w:val="24"/>
          <w:szCs w:val="24"/>
        </w:rPr>
        <w:t>ahl a</w:t>
      </w:r>
      <w:r w:rsidRPr="00F04753">
        <w:rPr>
          <w:rFonts w:ascii="Times New Roman" w:hAnsi="Times New Roman" w:cs="Times New Roman"/>
          <w:i/>
          <w:iCs/>
          <w:sz w:val="24"/>
          <w:szCs w:val="24"/>
        </w:rPr>
        <w:t>l</w:t>
      </w:r>
      <w:r>
        <w:rPr>
          <w:rFonts w:ascii="Times New Roman" w:hAnsi="Times New Roman" w:cs="Times New Roman"/>
          <w:i/>
          <w:iCs/>
          <w:sz w:val="24"/>
          <w:szCs w:val="24"/>
        </w:rPr>
        <w:t>-</w:t>
      </w:r>
      <w:r w:rsidRPr="00F04753">
        <w:rPr>
          <w:rFonts w:ascii="Times New Roman" w:hAnsi="Times New Roman" w:cs="Times New Roman"/>
          <w:i/>
          <w:iCs/>
          <w:sz w:val="24"/>
          <w:szCs w:val="24"/>
        </w:rPr>
        <w:t xml:space="preserve">kitab </w:t>
      </w:r>
      <w:r w:rsidRPr="00F04753">
        <w:rPr>
          <w:rFonts w:ascii="Times New Roman" w:hAnsi="Times New Roman" w:cs="Times New Roman"/>
          <w:sz w:val="24"/>
          <w:szCs w:val="24"/>
        </w:rPr>
        <w:t xml:space="preserve">dengan berargumen pada QS Al-Ma'idah (5) ayat 5 yaitu : </w:t>
      </w:r>
    </w:p>
    <w:p w:rsidR="00343B61" w:rsidRDefault="00343B61" w:rsidP="00343B61">
      <w:pPr>
        <w:autoSpaceDE w:val="0"/>
        <w:autoSpaceDN w:val="0"/>
        <w:bidi/>
        <w:adjustRightInd w:val="0"/>
        <w:spacing w:after="0" w:line="240" w:lineRule="auto"/>
        <w:ind w:firstLine="17"/>
        <w:jc w:val="both"/>
        <w:rPr>
          <w:rFonts w:ascii="(normal text)" w:hAnsi="(normal text)"/>
          <w:rtl/>
        </w:rPr>
      </w:pP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8"/>
      </w:r>
      <w:r>
        <w:rPr>
          <w:sz w:val="28"/>
          <w:szCs w:val="28"/>
        </w:rPr>
        <w:sym w:font="HQPB2" w:char="F040"/>
      </w:r>
      <w:r>
        <w:rPr>
          <w:sz w:val="28"/>
          <w:szCs w:val="28"/>
        </w:rPr>
        <w:sym w:font="HQPB4" w:char="F0CF"/>
      </w:r>
      <w:r>
        <w:rPr>
          <w:sz w:val="28"/>
          <w:szCs w:val="28"/>
        </w:rPr>
        <w:sym w:font="HQPB1" w:char="F06D"/>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4"/>
      </w:r>
      <w:r>
        <w:rPr>
          <w:sz w:val="28"/>
          <w:szCs w:val="28"/>
        </w:rPr>
        <w:sym w:font="HQPB1" w:char="F036"/>
      </w:r>
      <w:r>
        <w:rPr>
          <w:sz w:val="28"/>
          <w:szCs w:val="28"/>
        </w:rPr>
        <w:sym w:font="HQPB4" w:char="F0CD"/>
      </w:r>
      <w:r>
        <w:rPr>
          <w:sz w:val="28"/>
          <w:szCs w:val="28"/>
        </w:rPr>
        <w:sym w:font="HQPB4" w:char="F068"/>
      </w:r>
      <w:r>
        <w:rPr>
          <w:sz w:val="28"/>
          <w:szCs w:val="28"/>
        </w:rPr>
        <w:sym w:font="HQPB2" w:char="F08B"/>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3"/>
      </w:r>
      <w:r>
        <w:rPr>
          <w:sz w:val="28"/>
          <w:szCs w:val="28"/>
        </w:rPr>
        <w:sym w:font="HQPB2" w:char="F050"/>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DB"/>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A9"/>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42"/>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DB"/>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4" w:char="F0B0"/>
      </w:r>
      <w:r>
        <w:rPr>
          <w:sz w:val="28"/>
          <w:szCs w:val="28"/>
        </w:rPr>
        <w:sym w:font="HQPB2" w:char="F03B"/>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E"/>
      </w:r>
      <w:r>
        <w:rPr>
          <w:sz w:val="28"/>
          <w:szCs w:val="28"/>
        </w:rPr>
        <w:sym w:font="HQPB2" w:char="F03D"/>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9"/>
      </w:r>
      <w:r>
        <w:rPr>
          <w:sz w:val="28"/>
          <w:szCs w:val="28"/>
        </w:rPr>
        <w:sym w:font="HQPB4" w:char="F0C5"/>
      </w:r>
      <w:r>
        <w:rPr>
          <w:sz w:val="28"/>
          <w:szCs w:val="28"/>
        </w:rPr>
        <w:sym w:font="HQPB1" w:char="F0C1"/>
      </w:r>
      <w:r>
        <w:rPr>
          <w:sz w:val="28"/>
          <w:szCs w:val="28"/>
        </w:rPr>
        <w:sym w:font="HQPB4" w:char="F0F8"/>
      </w:r>
      <w:r>
        <w:rPr>
          <w:sz w:val="28"/>
          <w:szCs w:val="28"/>
        </w:rPr>
        <w:sym w:font="HQPB1" w:char="F074"/>
      </w:r>
      <w:r>
        <w:rPr>
          <w:sz w:val="28"/>
          <w:szCs w:val="28"/>
        </w:rPr>
        <w:sym w:font="HQPB4" w:char="F0E8"/>
      </w:r>
      <w:r>
        <w:rPr>
          <w:sz w:val="28"/>
          <w:szCs w:val="28"/>
        </w:rPr>
        <w:sym w:font="HQPB2" w:char="F043"/>
      </w:r>
      <w:r>
        <w:rPr>
          <w:rFonts w:ascii="(normal text)" w:hAnsi="(normal text)"/>
          <w:rtl/>
        </w:rPr>
        <w:t xml:space="preserve"> </w:t>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8"/>
      </w:r>
      <w:r>
        <w:rPr>
          <w:sz w:val="28"/>
          <w:szCs w:val="28"/>
        </w:rPr>
        <w:sym w:font="HQPB1" w:char="F0EE"/>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5"/>
      </w:r>
      <w:r>
        <w:rPr>
          <w:sz w:val="28"/>
          <w:szCs w:val="28"/>
        </w:rPr>
        <w:sym w:font="HQPB1" w:char="F073"/>
      </w:r>
      <w:r>
        <w:rPr>
          <w:sz w:val="28"/>
          <w:szCs w:val="28"/>
        </w:rPr>
        <w:sym w:font="HQPB4" w:char="F0CF"/>
      </w:r>
      <w:r>
        <w:rPr>
          <w:sz w:val="28"/>
          <w:szCs w:val="28"/>
        </w:rPr>
        <w:sym w:font="HQPB1" w:char="F0FF"/>
      </w:r>
      <w:r>
        <w:rPr>
          <w:sz w:val="28"/>
          <w:szCs w:val="28"/>
        </w:rPr>
        <w:sym w:font="HQPB2" w:char="F0BB"/>
      </w:r>
      <w:r>
        <w:rPr>
          <w:sz w:val="28"/>
          <w:szCs w:val="28"/>
        </w:rPr>
        <w:sym w:font="HQPB5" w:char="F07C"/>
      </w:r>
      <w:r>
        <w:rPr>
          <w:sz w:val="28"/>
          <w:szCs w:val="28"/>
        </w:rPr>
        <w:sym w:font="HQPB1" w:char="F0A1"/>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C"/>
      </w:r>
      <w:r>
        <w:rPr>
          <w:sz w:val="28"/>
          <w:szCs w:val="28"/>
        </w:rPr>
        <w:sym w:font="HQPB2" w:char="F093"/>
      </w:r>
      <w:r>
        <w:rPr>
          <w:sz w:val="28"/>
          <w:szCs w:val="28"/>
        </w:rPr>
        <w:sym w:font="HQPB4" w:char="F0C9"/>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35"/>
      </w:r>
      <w:r>
        <w:rPr>
          <w:sz w:val="28"/>
          <w:szCs w:val="28"/>
        </w:rPr>
        <w:sym w:font="HQPB2" w:char="F062"/>
      </w:r>
      <w:r>
        <w:rPr>
          <w:sz w:val="28"/>
          <w:szCs w:val="28"/>
        </w:rPr>
        <w:sym w:font="HQPB1" w:char="F023"/>
      </w:r>
      <w:r>
        <w:rPr>
          <w:sz w:val="28"/>
          <w:szCs w:val="28"/>
        </w:rPr>
        <w:sym w:font="HQPB5" w:char="F079"/>
      </w:r>
      <w:r>
        <w:rPr>
          <w:sz w:val="28"/>
          <w:szCs w:val="28"/>
        </w:rPr>
        <w:sym w:font="HQPB1" w:char="F089"/>
      </w:r>
      <w:r>
        <w:rPr>
          <w:sz w:val="28"/>
          <w:szCs w:val="28"/>
        </w:rPr>
        <w:sym w:font="HQPB4" w:char="F0F7"/>
      </w:r>
      <w:r>
        <w:rPr>
          <w:sz w:val="28"/>
          <w:szCs w:val="28"/>
        </w:rPr>
        <w:sym w:font="HQPB1" w:char="F07B"/>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E0"/>
      </w:r>
      <w:r>
        <w:rPr>
          <w:sz w:val="28"/>
          <w:szCs w:val="28"/>
        </w:rPr>
        <w:sym w:font="HQPB1" w:char="F0FF"/>
      </w:r>
      <w:r>
        <w:rPr>
          <w:sz w:val="28"/>
          <w:szCs w:val="28"/>
        </w:rPr>
        <w:sym w:font="HQPB4" w:char="F0F5"/>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B"/>
      </w:r>
      <w:r>
        <w:rPr>
          <w:sz w:val="28"/>
          <w:szCs w:val="28"/>
        </w:rPr>
        <w:sym w:font="HQPB2" w:char="F083"/>
      </w:r>
      <w:r>
        <w:rPr>
          <w:sz w:val="28"/>
          <w:szCs w:val="28"/>
        </w:rPr>
        <w:sym w:font="HQPB5" w:char="F04D"/>
      </w:r>
      <w:r>
        <w:rPr>
          <w:sz w:val="28"/>
          <w:szCs w:val="28"/>
        </w:rPr>
        <w:sym w:font="HQPB2" w:char="F07D"/>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8"/>
      </w:r>
      <w:r>
        <w:rPr>
          <w:sz w:val="28"/>
          <w:szCs w:val="28"/>
        </w:rPr>
        <w:sym w:font="HQPB1" w:char="F0DD"/>
      </w:r>
      <w:r>
        <w:rPr>
          <w:sz w:val="28"/>
          <w:szCs w:val="28"/>
        </w:rPr>
        <w:sym w:font="HQPB4" w:char="F0CE"/>
      </w:r>
      <w:r>
        <w:rPr>
          <w:sz w:val="28"/>
          <w:szCs w:val="28"/>
        </w:rPr>
        <w:sym w:font="HQPB1" w:char="F036"/>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BC"/>
      </w:r>
      <w:r>
        <w:rPr>
          <w:sz w:val="28"/>
          <w:szCs w:val="28"/>
        </w:rPr>
        <w:sym w:font="HQPB4" w:char="F0E3"/>
      </w:r>
      <w:r>
        <w:rPr>
          <w:sz w:val="28"/>
          <w:szCs w:val="28"/>
        </w:rPr>
        <w:sym w:font="HQPB3" w:char="F026"/>
      </w:r>
      <w:r>
        <w:rPr>
          <w:sz w:val="28"/>
          <w:szCs w:val="28"/>
        </w:rPr>
        <w:sym w:font="HQPB4" w:char="F0E9"/>
      </w:r>
      <w:r>
        <w:rPr>
          <w:sz w:val="28"/>
          <w:szCs w:val="28"/>
        </w:rPr>
        <w:sym w:font="HQPB3" w:char="F023"/>
      </w:r>
      <w:r>
        <w:rPr>
          <w:sz w:val="28"/>
          <w:szCs w:val="28"/>
        </w:rPr>
        <w:sym w:font="HQPB5" w:char="F079"/>
      </w:r>
      <w:r>
        <w:rPr>
          <w:sz w:val="28"/>
          <w:szCs w:val="28"/>
        </w:rPr>
        <w:sym w:font="HQPB2" w:char="F04A"/>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83"/>
      </w:r>
      <w:r>
        <w:rPr>
          <w:sz w:val="28"/>
          <w:szCs w:val="28"/>
        </w:rPr>
        <w:sym w:font="HQPB4" w:char="F0CE"/>
      </w:r>
      <w:r>
        <w:rPr>
          <w:sz w:val="28"/>
          <w:szCs w:val="28"/>
        </w:rPr>
        <w:sym w:font="HQPB1" w:char="F08E"/>
      </w:r>
      <w:r>
        <w:rPr>
          <w:sz w:val="28"/>
          <w:szCs w:val="28"/>
        </w:rPr>
        <w:sym w:font="HQPB4" w:char="F0C5"/>
      </w:r>
      <w:r>
        <w:rPr>
          <w:sz w:val="28"/>
          <w:szCs w:val="28"/>
        </w:rPr>
        <w:sym w:font="HQPB1" w:char="F0A3"/>
      </w:r>
      <w:r>
        <w:rPr>
          <w:sz w:val="28"/>
          <w:szCs w:val="28"/>
        </w:rPr>
        <w:sym w:font="HQPB2" w:char="F0BB"/>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900"/>
        <w:jc w:val="both"/>
        <w:rPr>
          <w:rFonts w:ascii="Times New Roman" w:hAnsi="Times New Roman" w:cs="Times New Roman"/>
          <w:sz w:val="23"/>
          <w:szCs w:val="23"/>
        </w:rPr>
      </w:pPr>
      <w:r w:rsidRPr="00832DBA">
        <w:rPr>
          <w:rFonts w:ascii="(normal text)" w:hAnsi="(normal text)"/>
          <w:sz w:val="24"/>
          <w:szCs w:val="24"/>
        </w:rPr>
        <w:t>Artinya</w:t>
      </w:r>
      <w:r>
        <w:rPr>
          <w:rFonts w:ascii="(normal text)" w:hAnsi="(normal text)"/>
          <w:i/>
          <w:iCs/>
          <w:sz w:val="24"/>
          <w:szCs w:val="24"/>
        </w:rPr>
        <w:t>:</w:t>
      </w:r>
      <w:r w:rsidRPr="00832DBA">
        <w:rPr>
          <w:rFonts w:ascii="(normal text)" w:hAnsi="(normal text)"/>
          <w:i/>
          <w:iCs/>
          <w:sz w:val="24"/>
          <w:szCs w:val="24"/>
        </w:rPr>
        <w:t>“P</w:t>
      </w:r>
      <w:r>
        <w:rPr>
          <w:rFonts w:ascii="(normal text)" w:hAnsi="(normal text)"/>
          <w:i/>
          <w:iCs/>
          <w:sz w:val="24"/>
          <w:szCs w:val="24"/>
        </w:rPr>
        <w:t>ada hari ini d</w:t>
      </w:r>
      <w:r w:rsidRPr="00832DBA">
        <w:rPr>
          <w:rFonts w:ascii="(normal text)" w:hAnsi="(normal text)"/>
          <w:i/>
          <w:iCs/>
          <w:sz w:val="24"/>
          <w:szCs w:val="24"/>
        </w:rPr>
        <w:t>ihalalkan bagimu yang baik-baik. makanan (sembelihan) orang-orang yang diberi Al kitab itu halal bagimu, dan makanan kamu halal (pula) bagi mereka. (dan Dihalalkan mangawini) wani</w:t>
      </w:r>
      <w:r>
        <w:rPr>
          <w:rFonts w:ascii="(normal text)" w:hAnsi="(normal text)"/>
          <w:i/>
          <w:iCs/>
          <w:sz w:val="24"/>
          <w:szCs w:val="24"/>
        </w:rPr>
        <w:t xml:space="preserve">ta yang menjaga kehormatan </w:t>
      </w:r>
      <w:r w:rsidRPr="00832DBA">
        <w:rPr>
          <w:rFonts w:ascii="(normal text)" w:hAnsi="(normal text)"/>
          <w:i/>
          <w:iCs/>
          <w:sz w:val="24"/>
          <w:szCs w:val="24"/>
        </w:rPr>
        <w:t>diantara wanita-wanita yang beriman dan wanita-wanita yang menjaga kehormatan di antara orang-orang yang diberi Al kitab sebelum kamu, bila kamu telah membayar mas kawin mereka dengan maksud menikahinya, tidak dengan maksud berzina dan tidak (pula) menjadikannya gundik-gundik. Barangsiapa yang kafir sesudah beriman (tidak menerima hukum-hukum Islam) Maka hapuslah amalannya dan ia di hari kiamat Termasuk orang-orang merugi.</w:t>
      </w:r>
      <w:r>
        <w:rPr>
          <w:rFonts w:ascii="(normal text)" w:hAnsi="(normal text)"/>
          <w:sz w:val="24"/>
          <w:szCs w:val="24"/>
        </w:rPr>
        <w:t xml:space="preserve"> ( </w:t>
      </w:r>
      <w:r>
        <w:rPr>
          <w:rFonts w:ascii="Times New Roman" w:hAnsi="Times New Roman" w:cs="Times New Roman"/>
          <w:sz w:val="23"/>
          <w:szCs w:val="23"/>
        </w:rPr>
        <w:t>QS AL-Ma'idah (5) :</w:t>
      </w:r>
      <w:r w:rsidRPr="00BD5C1F">
        <w:rPr>
          <w:rFonts w:ascii="Times New Roman" w:hAnsi="Times New Roman" w:cs="Times New Roman"/>
          <w:sz w:val="23"/>
          <w:szCs w:val="23"/>
        </w:rPr>
        <w:t xml:space="preserve"> 5</w:t>
      </w:r>
      <w:r>
        <w:rPr>
          <w:rFonts w:ascii="Times New Roman" w:hAnsi="Times New Roman" w:cs="Times New Roman"/>
          <w:sz w:val="23"/>
          <w:szCs w:val="23"/>
        </w:rPr>
        <w:t xml:space="preserve">). </w:t>
      </w:r>
      <w:r>
        <w:rPr>
          <w:rStyle w:val="FootnoteReference"/>
          <w:rFonts w:ascii="Times New Roman" w:hAnsi="Times New Roman" w:cs="Times New Roman"/>
          <w:sz w:val="23"/>
          <w:szCs w:val="23"/>
        </w:rPr>
        <w:footnoteReference w:id="625"/>
      </w:r>
      <w:r>
        <w:rPr>
          <w:rFonts w:ascii="Times New Roman" w:hAnsi="Times New Roman" w:cs="Times New Roman"/>
          <w:sz w:val="23"/>
          <w:szCs w:val="23"/>
        </w:rPr>
        <w:t xml:space="preserve"> </w:t>
      </w:r>
    </w:p>
    <w:p w:rsidR="00343B61" w:rsidRDefault="00343B61" w:rsidP="00343B61">
      <w:pPr>
        <w:autoSpaceDE w:val="0"/>
        <w:autoSpaceDN w:val="0"/>
        <w:adjustRightInd w:val="0"/>
        <w:spacing w:after="0" w:line="360" w:lineRule="auto"/>
        <w:jc w:val="both"/>
        <w:rPr>
          <w:rFonts w:ascii="(normal text)" w:hAnsi="(normal text)"/>
          <w:sz w:val="20"/>
        </w:rPr>
      </w:pP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heme="majorBidi" w:hAnsiTheme="majorBidi" w:cstheme="majorBidi"/>
          <w:sz w:val="24"/>
          <w:szCs w:val="24"/>
        </w:rPr>
        <w:lastRenderedPageBreak/>
        <w:t xml:space="preserve">Ali al-Shabuni berkata:“ </w:t>
      </w:r>
      <w:r w:rsidRPr="00607742">
        <w:rPr>
          <w:rFonts w:asciiTheme="majorBidi" w:hAnsiTheme="majorBidi" w:cstheme="majorBidi"/>
          <w:sz w:val="24"/>
          <w:szCs w:val="24"/>
        </w:rPr>
        <w:t>ayat di</w:t>
      </w:r>
      <w:r>
        <w:rPr>
          <w:rFonts w:asciiTheme="majorBidi" w:hAnsiTheme="majorBidi" w:cstheme="majorBidi"/>
          <w:sz w:val="24"/>
          <w:szCs w:val="24"/>
        </w:rPr>
        <w:t xml:space="preserve"> </w:t>
      </w:r>
      <w:r w:rsidRPr="00607742">
        <w:rPr>
          <w:rFonts w:asciiTheme="majorBidi" w:hAnsiTheme="majorBidi" w:cstheme="majorBidi"/>
          <w:sz w:val="24"/>
          <w:szCs w:val="24"/>
        </w:rPr>
        <w:t xml:space="preserve">atas secara tegas </w:t>
      </w:r>
      <w:r w:rsidRPr="00607742">
        <w:rPr>
          <w:rFonts w:ascii="Times New Roman" w:hAnsi="Times New Roman" w:cs="Times New Roman"/>
          <w:sz w:val="24"/>
          <w:szCs w:val="24"/>
        </w:rPr>
        <w:t xml:space="preserve">berbicara bolehnya laki-laki Muslim </w:t>
      </w:r>
      <w:r>
        <w:rPr>
          <w:rFonts w:ascii="Times New Roman" w:hAnsi="Times New Roman" w:cs="Times New Roman"/>
          <w:sz w:val="24"/>
          <w:szCs w:val="24"/>
        </w:rPr>
        <w:t>menikah dengan wanita</w:t>
      </w:r>
      <w:r w:rsidRPr="00607742">
        <w:rPr>
          <w:rFonts w:ascii="Times New Roman" w:hAnsi="Times New Roman" w:cs="Times New Roman"/>
          <w:sz w:val="24"/>
          <w:szCs w:val="24"/>
        </w:rPr>
        <w:t xml:space="preserve"> </w:t>
      </w:r>
      <w:r w:rsidRPr="00607742">
        <w:rPr>
          <w:rFonts w:ascii="Times New Roman" w:hAnsi="Times New Roman" w:cs="Times New Roman"/>
          <w:i/>
          <w:iCs/>
          <w:sz w:val="24"/>
          <w:szCs w:val="24"/>
        </w:rPr>
        <w:t>ahl</w:t>
      </w:r>
      <w:r>
        <w:rPr>
          <w:rFonts w:ascii="Times New Roman" w:hAnsi="Times New Roman" w:cs="Times New Roman"/>
          <w:i/>
          <w:iCs/>
          <w:sz w:val="24"/>
          <w:szCs w:val="24"/>
        </w:rPr>
        <w:t xml:space="preserve"> al-</w:t>
      </w:r>
      <w:r w:rsidRPr="00607742">
        <w:rPr>
          <w:rFonts w:ascii="Times New Roman" w:hAnsi="Times New Roman" w:cs="Times New Roman"/>
          <w:i/>
          <w:iCs/>
          <w:sz w:val="24"/>
          <w:szCs w:val="24"/>
        </w:rPr>
        <w:t>kitab</w:t>
      </w:r>
      <w:r>
        <w:rPr>
          <w:rFonts w:ascii="Times New Roman" w:hAnsi="Times New Roman" w:cs="Times New Roman"/>
          <w:i/>
          <w:iCs/>
          <w:sz w:val="24"/>
          <w:szCs w:val="24"/>
        </w:rPr>
        <w:t>,</w:t>
      </w:r>
      <w:r>
        <w:rPr>
          <w:rFonts w:ascii="Times New Roman" w:hAnsi="Times New Roman" w:cs="Times New Roman"/>
          <w:sz w:val="24"/>
          <w:szCs w:val="24"/>
        </w:rPr>
        <w:t xml:space="preserve"> dan ayat ini merupakan dalil yang dipegangi oleh jumhur ulama.”</w:t>
      </w:r>
      <w:r>
        <w:rPr>
          <w:rStyle w:val="FootnoteReference"/>
          <w:rFonts w:ascii="Times New Roman" w:hAnsi="Times New Roman" w:cs="Times New Roman"/>
          <w:sz w:val="24"/>
          <w:szCs w:val="24"/>
        </w:rPr>
        <w:footnoteReference w:id="626"/>
      </w:r>
      <w:r>
        <w:rPr>
          <w:rFonts w:ascii="Times New Roman" w:hAnsi="Times New Roman" w:cs="Times New Roman"/>
          <w:sz w:val="24"/>
          <w:szCs w:val="24"/>
        </w:rPr>
        <w:t xml:space="preserve"> Senada dengan itu, </w:t>
      </w:r>
      <w:r w:rsidRPr="00522A3B">
        <w:rPr>
          <w:rFonts w:asciiTheme="majorBidi" w:hAnsiTheme="majorBidi" w:cstheme="majorBidi"/>
          <w:sz w:val="24"/>
          <w:szCs w:val="24"/>
        </w:rPr>
        <w:t>Muhammad ‘Ali al-Sayis</w:t>
      </w:r>
      <w:r>
        <w:rPr>
          <w:rFonts w:ascii="Times New Roman" w:hAnsi="Times New Roman" w:cs="Times New Roman"/>
          <w:sz w:val="24"/>
          <w:szCs w:val="24"/>
        </w:rPr>
        <w:t xml:space="preserve"> berkata dalam tafsirnya </w:t>
      </w:r>
      <w:r w:rsidRPr="006F1468">
        <w:rPr>
          <w:rFonts w:ascii="Times New Roman" w:hAnsi="Times New Roman" w:cs="Times New Roman"/>
          <w:i/>
          <w:iCs/>
          <w:sz w:val="24"/>
          <w:szCs w:val="24"/>
        </w:rPr>
        <w:t>Ayat al-Ahk</w:t>
      </w:r>
      <w:r w:rsidRPr="0094142F">
        <w:rPr>
          <w:rFonts w:asciiTheme="majorBidi" w:hAnsiTheme="majorBidi" w:cstheme="majorBidi"/>
          <w:i/>
          <w:iCs/>
          <w:sz w:val="24"/>
          <w:szCs w:val="24"/>
        </w:rPr>
        <w:t>ā</w:t>
      </w:r>
      <w:r w:rsidRPr="006F1468">
        <w:rPr>
          <w:rFonts w:ascii="Times New Roman" w:hAnsi="Times New Roman" w:cs="Times New Roman"/>
          <w:i/>
          <w:iCs/>
          <w:sz w:val="24"/>
          <w:szCs w:val="24"/>
        </w:rPr>
        <w:t>m</w:t>
      </w:r>
      <w:r>
        <w:rPr>
          <w:rFonts w:ascii="Times New Roman" w:hAnsi="Times New Roman" w:cs="Times New Roman"/>
          <w:sz w:val="24"/>
          <w:szCs w:val="24"/>
        </w:rPr>
        <w:t>:</w:t>
      </w:r>
    </w:p>
    <w:p w:rsidR="00343B61" w:rsidRPr="005E47A9" w:rsidRDefault="00343B61" w:rsidP="00343B61">
      <w:pPr>
        <w:autoSpaceDE w:val="0"/>
        <w:autoSpaceDN w:val="0"/>
        <w:bidi/>
        <w:adjustRightInd w:val="0"/>
        <w:spacing w:after="0" w:line="240" w:lineRule="auto"/>
        <w:ind w:firstLine="17"/>
        <w:jc w:val="both"/>
        <w:rPr>
          <w:rFonts w:asciiTheme="majorBidi" w:hAnsiTheme="majorBidi" w:cstheme="majorBidi"/>
          <w:color w:val="000000"/>
          <w:sz w:val="28"/>
          <w:szCs w:val="28"/>
          <w:rtl/>
        </w:rPr>
      </w:pPr>
      <w:r w:rsidRPr="00C80103">
        <w:rPr>
          <w:rFonts w:ascii="Arial" w:hAnsi="Arial" w:cs="Traditional Arabic"/>
          <w:color w:val="000000"/>
          <w:sz w:val="32"/>
          <w:szCs w:val="32"/>
          <w:rtl/>
        </w:rPr>
        <w:t>إباحة نكاح المحصنات المؤمنات والمحصنات الكتابيات</w:t>
      </w:r>
      <w:r>
        <w:rPr>
          <w:rFonts w:ascii="Traditional Arabic" w:hAnsi="Times New Roman" w:cs="Traditional Arabic"/>
          <w:b/>
          <w:bCs/>
          <w:color w:val="000000"/>
          <w:sz w:val="52"/>
          <w:szCs w:val="52"/>
          <w:rtl/>
        </w:rPr>
        <w:t>.</w:t>
      </w:r>
      <w:r w:rsidRPr="00140F96">
        <w:rPr>
          <w:rStyle w:val="FootnoteReference"/>
          <w:rFonts w:ascii="Traditional Arabic" w:hAnsi="Times New Roman" w:cs="Traditional Arabic"/>
          <w:color w:val="000000"/>
          <w:sz w:val="24"/>
          <w:szCs w:val="24"/>
          <w:rtl/>
        </w:rPr>
        <w:footnoteReference w:id="627"/>
      </w:r>
    </w:p>
    <w:p w:rsidR="00343B61" w:rsidRDefault="00343B61" w:rsidP="00343B61">
      <w:pPr>
        <w:autoSpaceDE w:val="0"/>
        <w:autoSpaceDN w:val="0"/>
        <w:adjustRightInd w:val="0"/>
        <w:spacing w:after="0" w:line="240" w:lineRule="auto"/>
        <w:ind w:left="810"/>
        <w:jc w:val="both"/>
        <w:rPr>
          <w:rFonts w:asciiTheme="majorBidi" w:hAnsiTheme="majorBidi" w:cstheme="majorBidi"/>
          <w:color w:val="000000"/>
          <w:sz w:val="24"/>
          <w:szCs w:val="24"/>
        </w:rPr>
      </w:pPr>
      <w:r>
        <w:rPr>
          <w:rFonts w:asciiTheme="majorBidi" w:hAnsiTheme="majorBidi" w:cstheme="majorBidi"/>
          <w:color w:val="000000"/>
          <w:sz w:val="24"/>
          <w:szCs w:val="24"/>
        </w:rPr>
        <w:t>Artinya: “(</w:t>
      </w:r>
      <w:r w:rsidRPr="00522A3B">
        <w:rPr>
          <w:rFonts w:asciiTheme="majorBidi" w:hAnsiTheme="majorBidi" w:cstheme="majorBidi"/>
          <w:i/>
          <w:iCs/>
          <w:color w:val="000000"/>
          <w:sz w:val="24"/>
          <w:szCs w:val="24"/>
        </w:rPr>
        <w:t>Ayat ini menjelaskan</w:t>
      </w:r>
      <w:r>
        <w:rPr>
          <w:rFonts w:asciiTheme="majorBidi" w:hAnsiTheme="majorBidi" w:cstheme="majorBidi"/>
          <w:i/>
          <w:iCs/>
          <w:color w:val="000000"/>
          <w:sz w:val="24"/>
          <w:szCs w:val="24"/>
        </w:rPr>
        <w:t>)</w:t>
      </w:r>
      <w:r w:rsidRPr="005E47A9">
        <w:rPr>
          <w:rFonts w:asciiTheme="majorBidi" w:hAnsiTheme="majorBidi" w:cstheme="majorBidi"/>
          <w:i/>
          <w:iCs/>
          <w:color w:val="000000"/>
          <w:sz w:val="24"/>
          <w:szCs w:val="24"/>
        </w:rPr>
        <w:t xml:space="preserve"> kebolehan menikahi </w:t>
      </w:r>
      <w:r w:rsidRPr="005E47A9">
        <w:rPr>
          <w:rFonts w:ascii="(normal text)" w:hAnsi="(normal text)"/>
          <w:i/>
          <w:iCs/>
          <w:sz w:val="24"/>
          <w:szCs w:val="24"/>
        </w:rPr>
        <w:t xml:space="preserve">wanita </w:t>
      </w:r>
      <w:r>
        <w:rPr>
          <w:rFonts w:ascii="(normal text)" w:hAnsi="(normal text)"/>
          <w:i/>
          <w:iCs/>
          <w:sz w:val="24"/>
          <w:szCs w:val="24"/>
        </w:rPr>
        <w:t xml:space="preserve">Mukmin </w:t>
      </w:r>
      <w:r w:rsidRPr="005E47A9">
        <w:rPr>
          <w:rFonts w:ascii="(normal text)" w:hAnsi="(normal text)"/>
          <w:i/>
          <w:iCs/>
          <w:sz w:val="24"/>
          <w:szCs w:val="24"/>
        </w:rPr>
        <w:t>yang menjaga kehormatan</w:t>
      </w:r>
      <w:r>
        <w:rPr>
          <w:rFonts w:ascii="(normal text)" w:hAnsi="(normal text)"/>
          <w:i/>
          <w:iCs/>
          <w:sz w:val="24"/>
          <w:szCs w:val="24"/>
        </w:rPr>
        <w:t>nya</w:t>
      </w:r>
      <w:r w:rsidRPr="005E47A9">
        <w:rPr>
          <w:rFonts w:ascii="(normal text)" w:hAnsi="(normal text)"/>
          <w:i/>
          <w:iCs/>
          <w:sz w:val="24"/>
          <w:szCs w:val="24"/>
        </w:rPr>
        <w:t xml:space="preserve"> dan </w:t>
      </w:r>
      <w:r>
        <w:rPr>
          <w:rFonts w:ascii="(normal text)" w:hAnsi="(normal text)"/>
          <w:i/>
          <w:iCs/>
          <w:sz w:val="24"/>
          <w:szCs w:val="24"/>
        </w:rPr>
        <w:t>kebolehan mengawini wanita a</w:t>
      </w:r>
      <w:r w:rsidRPr="005E47A9">
        <w:rPr>
          <w:rFonts w:ascii="(normal text)" w:hAnsi="(normal text)"/>
          <w:i/>
          <w:iCs/>
          <w:sz w:val="24"/>
          <w:szCs w:val="24"/>
        </w:rPr>
        <w:t>hli kitab yang menjaga kehormatan”</w:t>
      </w:r>
    </w:p>
    <w:p w:rsidR="00343B61" w:rsidRPr="009F2004" w:rsidRDefault="00343B61" w:rsidP="00343B61">
      <w:pPr>
        <w:autoSpaceDE w:val="0"/>
        <w:autoSpaceDN w:val="0"/>
        <w:adjustRightInd w:val="0"/>
        <w:spacing w:after="0" w:line="240" w:lineRule="auto"/>
        <w:ind w:left="810"/>
        <w:jc w:val="both"/>
        <w:rPr>
          <w:rFonts w:asciiTheme="majorBidi" w:hAnsiTheme="majorBidi" w:cstheme="majorBidi"/>
          <w:color w:val="000000"/>
          <w:sz w:val="24"/>
          <w:szCs w:val="24"/>
        </w:rPr>
      </w:pPr>
    </w:p>
    <w:p w:rsidR="00343B61" w:rsidRPr="008935D6"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605B8C">
        <w:rPr>
          <w:rFonts w:ascii="Times New Roman" w:hAnsi="Times New Roman" w:cs="Times New Roman"/>
          <w:sz w:val="24"/>
          <w:szCs w:val="24"/>
        </w:rPr>
        <w:t>Sementara</w:t>
      </w:r>
      <w:r>
        <w:rPr>
          <w:rFonts w:ascii="Times New Roman" w:hAnsi="Times New Roman" w:cs="Times New Roman"/>
          <w:sz w:val="24"/>
          <w:szCs w:val="24"/>
        </w:rPr>
        <w:t xml:space="preserve"> untuk pernikahan perempuan muslim dengan laki-laki ahlul kitab </w:t>
      </w:r>
      <w:r w:rsidRPr="00605B8C">
        <w:rPr>
          <w:rFonts w:ascii="Times New Roman" w:hAnsi="Times New Roman" w:cs="Times New Roman"/>
          <w:sz w:val="24"/>
          <w:szCs w:val="24"/>
        </w:rPr>
        <w:t>tidak</w:t>
      </w:r>
      <w:r>
        <w:rPr>
          <w:rFonts w:ascii="Times New Roman" w:hAnsi="Times New Roman" w:cs="Times New Roman"/>
          <w:sz w:val="24"/>
          <w:szCs w:val="24"/>
        </w:rPr>
        <w:t xml:space="preserve"> </w:t>
      </w:r>
      <w:r w:rsidRPr="00605B8C">
        <w:rPr>
          <w:rFonts w:ascii="Times New Roman" w:hAnsi="Times New Roman" w:cs="Times New Roman"/>
          <w:sz w:val="24"/>
          <w:szCs w:val="24"/>
        </w:rPr>
        <w:t>dinyatakan secara eksplisit</w:t>
      </w:r>
      <w:r>
        <w:rPr>
          <w:rFonts w:ascii="Times New Roman" w:hAnsi="Times New Roman" w:cs="Times New Roman"/>
          <w:sz w:val="24"/>
          <w:szCs w:val="24"/>
        </w:rPr>
        <w:t xml:space="preserve"> dalam ayat ini</w:t>
      </w:r>
      <w:r w:rsidRPr="00605B8C">
        <w:rPr>
          <w:rFonts w:ascii="Times New Roman" w:hAnsi="Times New Roman" w:cs="Times New Roman"/>
          <w:sz w:val="24"/>
          <w:szCs w:val="24"/>
        </w:rPr>
        <w:t>. Hal itu menyimpulkan bahwa pernikahan perempuan</w:t>
      </w:r>
      <w:r>
        <w:rPr>
          <w:rFonts w:ascii="Times New Roman" w:hAnsi="Times New Roman" w:cs="Times New Roman"/>
          <w:sz w:val="24"/>
          <w:szCs w:val="24"/>
        </w:rPr>
        <w:t xml:space="preserve"> </w:t>
      </w:r>
      <w:r w:rsidRPr="00605B8C">
        <w:rPr>
          <w:rFonts w:ascii="Times New Roman" w:hAnsi="Times New Roman" w:cs="Times New Roman"/>
          <w:sz w:val="24"/>
          <w:szCs w:val="24"/>
        </w:rPr>
        <w:t>muslim dan laki-laki ahlul kitab dilarang. Andaikata dibolehkan tentu dinyatakan</w:t>
      </w:r>
      <w:r>
        <w:rPr>
          <w:rFonts w:ascii="Times New Roman" w:hAnsi="Times New Roman" w:cs="Times New Roman"/>
          <w:sz w:val="24"/>
          <w:szCs w:val="24"/>
        </w:rPr>
        <w:t xml:space="preserve"> </w:t>
      </w:r>
      <w:r w:rsidRPr="00605B8C">
        <w:rPr>
          <w:rFonts w:ascii="Times New Roman" w:hAnsi="Times New Roman" w:cs="Times New Roman"/>
          <w:sz w:val="24"/>
          <w:szCs w:val="24"/>
        </w:rPr>
        <w:t>dengan tegas dalam ayat tersebut.</w:t>
      </w:r>
      <w:r>
        <w:rPr>
          <w:rStyle w:val="FootnoteReference"/>
          <w:rFonts w:ascii="Times New Roman" w:hAnsi="Times New Roman" w:cs="Times New Roman"/>
          <w:sz w:val="24"/>
          <w:szCs w:val="24"/>
        </w:rPr>
        <w:footnoteReference w:id="628"/>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F65E33">
        <w:rPr>
          <w:rFonts w:ascii="Times New Roman" w:hAnsi="Times New Roman" w:cs="Times New Roman"/>
          <w:sz w:val="24"/>
          <w:szCs w:val="24"/>
          <w:lang w:val="sv-SE"/>
        </w:rPr>
        <w:t xml:space="preserve">Para ulama yang membolehkan pernikahan laki-laki muslim dengan perempuan </w:t>
      </w:r>
      <w:r>
        <w:rPr>
          <w:rFonts w:ascii="Times New Roman" w:hAnsi="Times New Roman" w:cs="Times New Roman"/>
          <w:i/>
          <w:iCs/>
          <w:sz w:val="24"/>
          <w:szCs w:val="24"/>
          <w:lang w:val="sv-SE"/>
        </w:rPr>
        <w:t>ahl a</w:t>
      </w:r>
      <w:r w:rsidRPr="00F65E33">
        <w:rPr>
          <w:rFonts w:ascii="Times New Roman" w:hAnsi="Times New Roman" w:cs="Times New Roman"/>
          <w:i/>
          <w:iCs/>
          <w:sz w:val="24"/>
          <w:szCs w:val="24"/>
          <w:lang w:val="sv-SE"/>
        </w:rPr>
        <w:t>l</w:t>
      </w:r>
      <w:r>
        <w:rPr>
          <w:rFonts w:ascii="Times New Roman" w:hAnsi="Times New Roman" w:cs="Times New Roman"/>
          <w:i/>
          <w:iCs/>
          <w:sz w:val="24"/>
          <w:szCs w:val="24"/>
          <w:lang w:val="sv-SE"/>
        </w:rPr>
        <w:t>-</w:t>
      </w:r>
      <w:r w:rsidRPr="00F65E33">
        <w:rPr>
          <w:rFonts w:ascii="Times New Roman" w:hAnsi="Times New Roman" w:cs="Times New Roman"/>
          <w:i/>
          <w:iCs/>
          <w:sz w:val="24"/>
          <w:szCs w:val="24"/>
          <w:lang w:val="sv-SE"/>
        </w:rPr>
        <w:t>kitab</w:t>
      </w:r>
      <w:r w:rsidRPr="00F65E33">
        <w:rPr>
          <w:rFonts w:ascii="Times New Roman" w:hAnsi="Times New Roman" w:cs="Times New Roman"/>
          <w:sz w:val="24"/>
          <w:szCs w:val="24"/>
          <w:lang w:val="sv-SE"/>
        </w:rPr>
        <w:t xml:space="preserve"> masih berbeda pendapat tentang siapa yang dimaksud dengan </w:t>
      </w:r>
      <w:r>
        <w:rPr>
          <w:rFonts w:ascii="Times New Roman" w:hAnsi="Times New Roman" w:cs="Times New Roman"/>
          <w:i/>
          <w:iCs/>
          <w:sz w:val="24"/>
          <w:szCs w:val="24"/>
          <w:lang w:val="sv-SE"/>
        </w:rPr>
        <w:t>ahl a</w:t>
      </w:r>
      <w:r w:rsidRPr="00F65E33">
        <w:rPr>
          <w:rFonts w:ascii="Times New Roman" w:hAnsi="Times New Roman" w:cs="Times New Roman"/>
          <w:i/>
          <w:iCs/>
          <w:sz w:val="24"/>
          <w:szCs w:val="24"/>
          <w:lang w:val="sv-SE"/>
        </w:rPr>
        <w:t>l</w:t>
      </w:r>
      <w:r>
        <w:rPr>
          <w:rFonts w:ascii="Times New Roman" w:hAnsi="Times New Roman" w:cs="Times New Roman"/>
          <w:i/>
          <w:iCs/>
          <w:sz w:val="24"/>
          <w:szCs w:val="24"/>
          <w:lang w:val="sv-SE"/>
        </w:rPr>
        <w:t>-</w:t>
      </w:r>
      <w:r w:rsidRPr="00F65E33">
        <w:rPr>
          <w:rFonts w:ascii="Times New Roman" w:hAnsi="Times New Roman" w:cs="Times New Roman"/>
          <w:i/>
          <w:iCs/>
          <w:sz w:val="24"/>
          <w:szCs w:val="24"/>
          <w:lang w:val="sv-SE"/>
        </w:rPr>
        <w:t>kitab</w:t>
      </w:r>
      <w:r w:rsidRPr="00F65E33">
        <w:rPr>
          <w:rFonts w:ascii="Times New Roman" w:hAnsi="Times New Roman" w:cs="Times New Roman"/>
          <w:sz w:val="24"/>
          <w:szCs w:val="24"/>
          <w:lang w:val="sv-SE"/>
        </w:rPr>
        <w:t xml:space="preserve"> pada ayat tersebut. </w:t>
      </w:r>
      <w:r>
        <w:rPr>
          <w:rFonts w:ascii="Times New Roman" w:hAnsi="Times New Roman" w:cs="Times New Roman"/>
          <w:sz w:val="24"/>
          <w:szCs w:val="24"/>
          <w:lang w:val="sv-SE"/>
        </w:rPr>
        <w:t xml:space="preserve">Imam Syafi’i memilih istilah </w:t>
      </w:r>
      <w:r>
        <w:rPr>
          <w:rFonts w:ascii="Times New Roman" w:hAnsi="Times New Roman" w:cs="Times New Roman"/>
          <w:i/>
          <w:iCs/>
          <w:sz w:val="24"/>
          <w:szCs w:val="24"/>
          <w:lang w:val="sv-SE"/>
        </w:rPr>
        <w:t>ahl a</w:t>
      </w:r>
      <w:r w:rsidRPr="00F65E33">
        <w:rPr>
          <w:rFonts w:ascii="Times New Roman" w:hAnsi="Times New Roman" w:cs="Times New Roman"/>
          <w:i/>
          <w:iCs/>
          <w:sz w:val="24"/>
          <w:szCs w:val="24"/>
          <w:lang w:val="sv-SE"/>
        </w:rPr>
        <w:t>l</w:t>
      </w:r>
      <w:r>
        <w:rPr>
          <w:rFonts w:ascii="Times New Roman" w:hAnsi="Times New Roman" w:cs="Times New Roman"/>
          <w:i/>
          <w:iCs/>
          <w:sz w:val="24"/>
          <w:szCs w:val="24"/>
          <w:lang w:val="sv-SE"/>
        </w:rPr>
        <w:t>-</w:t>
      </w:r>
      <w:r w:rsidRPr="00F65E33">
        <w:rPr>
          <w:rFonts w:ascii="Times New Roman" w:hAnsi="Times New Roman" w:cs="Times New Roman"/>
          <w:i/>
          <w:iCs/>
          <w:sz w:val="24"/>
          <w:szCs w:val="24"/>
          <w:lang w:val="sv-SE"/>
        </w:rPr>
        <w:t>kitab</w:t>
      </w:r>
      <w:r w:rsidRPr="00F65E33">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sebagai orang-orang Yahudi dan Nasrani keturunan orang-orang Israel, tidak termasuk bangsa-bangsa lain yang menganut agama Yahudi dan Nasrani. Alasan beliau antara lain bahwa Nabi Musa dan Isa, hanya diutus kepada mereka bukan kepada bangsa-bangsa lain. juga karena ada redaksi </w:t>
      </w:r>
      <w:r w:rsidRPr="00A41FFE">
        <w:rPr>
          <w:rFonts w:ascii="Times New Roman" w:hAnsi="Times New Roman" w:cs="Times New Roman"/>
          <w:i/>
          <w:iCs/>
          <w:sz w:val="24"/>
          <w:szCs w:val="24"/>
          <w:lang w:val="sv-SE"/>
        </w:rPr>
        <w:t>min qablikum</w:t>
      </w:r>
      <w:r>
        <w:rPr>
          <w:rFonts w:ascii="Times New Roman" w:hAnsi="Times New Roman" w:cs="Times New Roman"/>
          <w:sz w:val="24"/>
          <w:szCs w:val="24"/>
          <w:lang w:val="sv-SE"/>
        </w:rPr>
        <w:t xml:space="preserve"> ( sebelum kamu) pada ayat yang membolehkan perkawinan itu.</w:t>
      </w:r>
      <w:r>
        <w:rPr>
          <w:rStyle w:val="FootnoteReference"/>
          <w:rFonts w:ascii="Times New Roman" w:hAnsi="Times New Roman" w:cs="Times New Roman"/>
          <w:sz w:val="24"/>
          <w:szCs w:val="24"/>
          <w:lang w:val="sv-SE"/>
        </w:rPr>
        <w:footnoteReference w:id="629"/>
      </w:r>
      <w:r>
        <w:rPr>
          <w:rFonts w:ascii="Times New Roman" w:hAnsi="Times New Roman" w:cs="Times New Roman"/>
          <w:sz w:val="24"/>
          <w:szCs w:val="24"/>
          <w:lang w:val="sv-SE"/>
        </w:rPr>
        <w:t xml:space="preserve"> Pendapat Imam Syafi’i itu berbeda dengan pendapat Imam Abu Hanifah dan mayoritas pakar-pakar hukum yang menyatakan bahwa siapapun yang mempercayai salah seorang Nabi atau kitab yang pernah diturunkan Allah, maka ia termasuk ahli kitab.</w:t>
      </w:r>
      <w:r>
        <w:rPr>
          <w:rStyle w:val="FootnoteReference"/>
          <w:rFonts w:ascii="Times New Roman" w:hAnsi="Times New Roman" w:cs="Times New Roman"/>
          <w:sz w:val="24"/>
          <w:szCs w:val="24"/>
          <w:lang w:val="sv-SE"/>
        </w:rPr>
        <w:footnoteReference w:id="630"/>
      </w:r>
      <w:r>
        <w:rPr>
          <w:rFonts w:ascii="Times New Roman" w:hAnsi="Times New Roman" w:cs="Times New Roman"/>
          <w:sz w:val="24"/>
          <w:szCs w:val="24"/>
          <w:lang w:val="sv-SE"/>
        </w:rPr>
        <w:t xml:space="preserve"> Dengan </w:t>
      </w:r>
      <w:r>
        <w:rPr>
          <w:rFonts w:ascii="Times New Roman" w:hAnsi="Times New Roman" w:cs="Times New Roman"/>
          <w:sz w:val="24"/>
          <w:szCs w:val="24"/>
          <w:lang w:val="sv-SE"/>
        </w:rPr>
        <w:lastRenderedPageBreak/>
        <w:t xml:space="preserve">demikian, </w:t>
      </w:r>
      <w:r>
        <w:rPr>
          <w:rFonts w:ascii="Times New Roman" w:hAnsi="Times New Roman" w:cs="Times New Roman"/>
          <w:i/>
          <w:iCs/>
          <w:sz w:val="24"/>
          <w:szCs w:val="24"/>
          <w:lang w:val="sv-SE"/>
        </w:rPr>
        <w:t>ahl a</w:t>
      </w:r>
      <w:r w:rsidRPr="00F65E33">
        <w:rPr>
          <w:rFonts w:ascii="Times New Roman" w:hAnsi="Times New Roman" w:cs="Times New Roman"/>
          <w:i/>
          <w:iCs/>
          <w:sz w:val="24"/>
          <w:szCs w:val="24"/>
          <w:lang w:val="sv-SE"/>
        </w:rPr>
        <w:t>l</w:t>
      </w:r>
      <w:r>
        <w:rPr>
          <w:rFonts w:ascii="Times New Roman" w:hAnsi="Times New Roman" w:cs="Times New Roman"/>
          <w:i/>
          <w:iCs/>
          <w:sz w:val="24"/>
          <w:szCs w:val="24"/>
          <w:lang w:val="sv-SE"/>
        </w:rPr>
        <w:t>-</w:t>
      </w:r>
      <w:r w:rsidRPr="00F65E33">
        <w:rPr>
          <w:rFonts w:ascii="Times New Roman" w:hAnsi="Times New Roman" w:cs="Times New Roman"/>
          <w:i/>
          <w:iCs/>
          <w:sz w:val="24"/>
          <w:szCs w:val="24"/>
          <w:lang w:val="sv-SE"/>
        </w:rPr>
        <w:t>kitab</w:t>
      </w:r>
      <w:r w:rsidRPr="00F65E33">
        <w:rPr>
          <w:rFonts w:ascii="Times New Roman" w:hAnsi="Times New Roman" w:cs="Times New Roman"/>
          <w:sz w:val="24"/>
          <w:szCs w:val="24"/>
          <w:lang w:val="sv-SE"/>
        </w:rPr>
        <w:t xml:space="preserve"> </w:t>
      </w:r>
      <w:r>
        <w:rPr>
          <w:rFonts w:ascii="Times New Roman" w:hAnsi="Times New Roman" w:cs="Times New Roman"/>
          <w:sz w:val="24"/>
          <w:szCs w:val="24"/>
          <w:lang w:val="sv-SE"/>
        </w:rPr>
        <w:t>tidak terbatas pada kelompok penganut agama Yahudi atau Nasrani.</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Muhammad Rasyid Ridho ketika menafsirkan QS. Al-Maidah ayat 5, beliau menguraikan panjang lebar masalah hukum menikahi wanita </w:t>
      </w:r>
      <w:r>
        <w:rPr>
          <w:rFonts w:ascii="Times New Roman" w:hAnsi="Times New Roman" w:cs="Times New Roman"/>
          <w:i/>
          <w:iCs/>
          <w:sz w:val="24"/>
          <w:szCs w:val="24"/>
          <w:lang w:val="sv-SE"/>
        </w:rPr>
        <w:t>ahl al-</w:t>
      </w:r>
      <w:r w:rsidRPr="00E27EF9">
        <w:rPr>
          <w:rFonts w:ascii="Times New Roman" w:hAnsi="Times New Roman" w:cs="Times New Roman"/>
          <w:i/>
          <w:iCs/>
          <w:sz w:val="24"/>
          <w:szCs w:val="24"/>
          <w:lang w:val="sv-SE"/>
        </w:rPr>
        <w:t xml:space="preserve"> kitab</w:t>
      </w:r>
      <w:r>
        <w:rPr>
          <w:rFonts w:ascii="Times New Roman" w:hAnsi="Times New Roman" w:cs="Times New Roman"/>
          <w:sz w:val="24"/>
          <w:szCs w:val="24"/>
          <w:lang w:val="sv-SE"/>
        </w:rPr>
        <w:t xml:space="preserve">. Setelah merinci dan menilai secara penjang lebar riwayat-riwayat yang dikemukakan oleh para sahabat Nabi dan tabi’in, kaidah-kaidah </w:t>
      </w:r>
      <w:r w:rsidRPr="00E27EF9">
        <w:rPr>
          <w:rFonts w:ascii="Times New Roman" w:hAnsi="Times New Roman" w:cs="Times New Roman"/>
          <w:i/>
          <w:iCs/>
          <w:sz w:val="24"/>
          <w:szCs w:val="24"/>
          <w:lang w:val="sv-SE"/>
        </w:rPr>
        <w:t>ushul</w:t>
      </w:r>
      <w:r>
        <w:rPr>
          <w:rFonts w:ascii="Times New Roman" w:hAnsi="Times New Roman" w:cs="Times New Roman"/>
          <w:sz w:val="24"/>
          <w:szCs w:val="24"/>
          <w:lang w:val="sv-SE"/>
        </w:rPr>
        <w:t xml:space="preserve"> dan kebahasaan, serta menyimak dan menimbang pendapat para ulama sebelumnya, beliau mengeluarkan fatwa sebagai berikut: </w:t>
      </w:r>
    </w:p>
    <w:p w:rsidR="00343B61" w:rsidRPr="005C0803" w:rsidRDefault="00343B61" w:rsidP="00343B61">
      <w:pPr>
        <w:autoSpaceDE w:val="0"/>
        <w:autoSpaceDN w:val="0"/>
        <w:bidi/>
        <w:adjustRightInd w:val="0"/>
        <w:spacing w:after="0" w:line="240" w:lineRule="auto"/>
        <w:ind w:firstLine="107"/>
        <w:jc w:val="both"/>
        <w:rPr>
          <w:rFonts w:ascii="Arial" w:hAnsi="Arial"/>
          <w:b/>
          <w:bCs/>
          <w:sz w:val="32"/>
          <w:szCs w:val="32"/>
          <w:lang w:val="sv-SE"/>
        </w:rPr>
      </w:pPr>
      <w:r w:rsidRPr="005C0803">
        <w:rPr>
          <w:rFonts w:ascii="Arial" w:hAnsi="Arial" w:cs="Traditional Arabic"/>
          <w:sz w:val="32"/>
          <w:szCs w:val="32"/>
          <w:rtl/>
        </w:rPr>
        <w:t>مُلَخَّصُ هَذِهِ الْفَتْوَى: أَنَّ الْمُشْرِكَاتِ اللَّاتِي حَرَّمَ اللهُ نِكَاحَهُنَّ فِي آيَةِ الْبَقَرَةِ هُنَّ مُشْرِكَاتُ الْعَرَبِ، وَهُوَ الْمُخْتَارُ الَّذِي رَجَّحَهُ شَيْخُ الْمُفَسِّرِينَ ابْنُ جَرِيرٍ الطَّبَرِيُّ، وَأَنَّ الْمَجُوسَ وَالصَّابِئِينَ وَوَثَنِيِّي الْهِنْدِ وَالصِّينِ، وَأَمْثَالِهِمْ كَالْيَابَانِيِّينَ - أَهْلُ كُتُبٍ مُشْتَمِلَةٍ عَلَى التَّوْحِيدِ إِلَى الْآنِ</w:t>
      </w:r>
      <w:r w:rsidRPr="005C0803">
        <w:rPr>
          <w:rFonts w:ascii="Arial" w:hAnsi="Arial" w:cs="Traditional Arabic" w:hint="cs"/>
          <w:sz w:val="32"/>
          <w:szCs w:val="32"/>
          <w:rtl/>
        </w:rPr>
        <w:t xml:space="preserve"> (</w:t>
      </w:r>
      <w:r w:rsidRPr="005C0803">
        <w:rPr>
          <w:rFonts w:ascii="Traditional Arabic" w:hAnsi="Times New Roman" w:cs="Traditional Arabic" w:hint="eastAsia"/>
          <w:color w:val="000000"/>
          <w:sz w:val="32"/>
          <w:szCs w:val="32"/>
          <w:rtl/>
        </w:rPr>
        <w:t>تفسير</w:t>
      </w:r>
      <w:r w:rsidRPr="005C0803">
        <w:rPr>
          <w:rFonts w:ascii="Traditional Arabic" w:hAnsi="Times New Roman" w:cs="Traditional Arabic"/>
          <w:color w:val="000000"/>
          <w:sz w:val="32"/>
          <w:szCs w:val="32"/>
          <w:rtl/>
        </w:rPr>
        <w:t xml:space="preserve"> </w:t>
      </w:r>
      <w:r w:rsidRPr="005C0803">
        <w:rPr>
          <w:rFonts w:ascii="Traditional Arabic" w:hAnsi="Times New Roman" w:cs="Traditional Arabic" w:hint="eastAsia"/>
          <w:color w:val="000000"/>
          <w:sz w:val="32"/>
          <w:szCs w:val="32"/>
          <w:rtl/>
        </w:rPr>
        <w:t>المنار</w:t>
      </w:r>
      <w:r w:rsidRPr="005C0803">
        <w:rPr>
          <w:rFonts w:ascii="Traditional Arabic" w:hAnsi="Times New Roman" w:cs="Traditional Arabic" w:hint="cs"/>
          <w:color w:val="000000"/>
          <w:sz w:val="32"/>
          <w:szCs w:val="32"/>
          <w:rtl/>
        </w:rPr>
        <w:t xml:space="preserve"> المجلد السادس , ص 160</w:t>
      </w:r>
      <w:r w:rsidRPr="005C0803">
        <w:rPr>
          <w:rFonts w:ascii="Traditional Arabic" w:hAnsi="Times New Roman" w:cs="Traditional Arabic" w:hint="cs"/>
          <w:b/>
          <w:bCs/>
          <w:color w:val="000000"/>
          <w:sz w:val="32"/>
          <w:szCs w:val="32"/>
          <w:rtl/>
        </w:rPr>
        <w:t>)</w:t>
      </w:r>
      <w:r w:rsidRPr="005C0803">
        <w:rPr>
          <w:rStyle w:val="FootnoteReference"/>
          <w:rFonts w:ascii="Traditional Arabic" w:hAnsi="Times New Roman" w:cs="Traditional Arabic"/>
          <w:b/>
          <w:bCs/>
          <w:color w:val="000000"/>
          <w:sz w:val="32"/>
          <w:szCs w:val="32"/>
          <w:rtl/>
        </w:rPr>
        <w:footnoteReference w:id="631"/>
      </w:r>
    </w:p>
    <w:p w:rsidR="00343B61" w:rsidRDefault="00343B61" w:rsidP="00343B61">
      <w:pPr>
        <w:autoSpaceDE w:val="0"/>
        <w:autoSpaceDN w:val="0"/>
        <w:adjustRightInd w:val="0"/>
        <w:spacing w:after="0" w:line="240"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Artinya: ” </w:t>
      </w:r>
      <w:r w:rsidRPr="00B362AB">
        <w:rPr>
          <w:rFonts w:ascii="Times New Roman" w:hAnsi="Times New Roman" w:cs="Times New Roman"/>
          <w:i/>
          <w:iCs/>
          <w:sz w:val="24"/>
          <w:szCs w:val="24"/>
          <w:lang w:val="sv-SE"/>
        </w:rPr>
        <w:t xml:space="preserve">Kesimpulan fatwa ini adalah bahwa </w:t>
      </w:r>
      <w:r>
        <w:rPr>
          <w:rFonts w:ascii="Times New Roman" w:hAnsi="Times New Roman" w:cs="Times New Roman"/>
          <w:i/>
          <w:iCs/>
          <w:sz w:val="24"/>
          <w:szCs w:val="24"/>
          <w:lang w:val="sv-SE"/>
        </w:rPr>
        <w:t>wanita</w:t>
      </w:r>
      <w:r w:rsidRPr="00B362AB">
        <w:rPr>
          <w:rFonts w:ascii="Times New Roman" w:hAnsi="Times New Roman" w:cs="Times New Roman"/>
          <w:i/>
          <w:iCs/>
          <w:sz w:val="24"/>
          <w:szCs w:val="24"/>
          <w:lang w:val="sv-SE"/>
        </w:rPr>
        <w:t xml:space="preserve"> m</w:t>
      </w:r>
      <w:r>
        <w:rPr>
          <w:rFonts w:ascii="Times New Roman" w:hAnsi="Times New Roman" w:cs="Times New Roman"/>
          <w:i/>
          <w:iCs/>
          <w:sz w:val="24"/>
          <w:szCs w:val="24"/>
          <w:lang w:val="sv-SE"/>
        </w:rPr>
        <w:t>usyrik</w:t>
      </w:r>
      <w:r w:rsidRPr="00B362AB">
        <w:rPr>
          <w:rFonts w:ascii="Times New Roman" w:hAnsi="Times New Roman" w:cs="Times New Roman"/>
          <w:i/>
          <w:iCs/>
          <w:sz w:val="24"/>
          <w:szCs w:val="24"/>
          <w:lang w:val="sv-SE"/>
        </w:rPr>
        <w:t xml:space="preserve"> yang diharamkan oleh Allah menikah</w:t>
      </w:r>
      <w:r>
        <w:rPr>
          <w:rFonts w:ascii="Times New Roman" w:hAnsi="Times New Roman" w:cs="Times New Roman"/>
          <w:i/>
          <w:iCs/>
          <w:sz w:val="24"/>
          <w:szCs w:val="24"/>
          <w:lang w:val="sv-SE"/>
        </w:rPr>
        <w:t>nya</w:t>
      </w:r>
      <w:r w:rsidRPr="00B362AB">
        <w:rPr>
          <w:rFonts w:ascii="Times New Roman" w:hAnsi="Times New Roman" w:cs="Times New Roman"/>
          <w:i/>
          <w:iCs/>
          <w:sz w:val="24"/>
          <w:szCs w:val="24"/>
          <w:lang w:val="sv-SE"/>
        </w:rPr>
        <w:t xml:space="preserve"> dalam Surat Al-Baqarah ayat 221 adalah wanita-wanita musyrik Arab. Itulah pi</w:t>
      </w:r>
      <w:r>
        <w:rPr>
          <w:rFonts w:ascii="Times New Roman" w:hAnsi="Times New Roman" w:cs="Times New Roman"/>
          <w:i/>
          <w:iCs/>
          <w:sz w:val="24"/>
          <w:szCs w:val="24"/>
          <w:lang w:val="sv-SE"/>
        </w:rPr>
        <w:t>lihan yang dikuatkan oleh maha g</w:t>
      </w:r>
      <w:r w:rsidRPr="00B362AB">
        <w:rPr>
          <w:rFonts w:ascii="Times New Roman" w:hAnsi="Times New Roman" w:cs="Times New Roman"/>
          <w:i/>
          <w:iCs/>
          <w:sz w:val="24"/>
          <w:szCs w:val="24"/>
          <w:lang w:val="sv-SE"/>
        </w:rPr>
        <w:t xml:space="preserve">uru para mufassir Ibnu Jarir Ath-Thabari, dan bahwa orang Majusi, Ash-Shabiin, penyembah berhala di India, Cina dan yang semacam mereka seperti orang-orang jepang adalah </w:t>
      </w:r>
      <w:r>
        <w:rPr>
          <w:rFonts w:ascii="Times New Roman" w:hAnsi="Times New Roman" w:cs="Times New Roman"/>
          <w:i/>
          <w:iCs/>
          <w:sz w:val="24"/>
          <w:szCs w:val="24"/>
          <w:lang w:val="sv-SE"/>
        </w:rPr>
        <w:t>Ahlul kitab</w:t>
      </w:r>
      <w:r w:rsidRPr="00B362AB">
        <w:rPr>
          <w:rFonts w:ascii="Times New Roman" w:hAnsi="Times New Roman" w:cs="Times New Roman"/>
          <w:i/>
          <w:iCs/>
          <w:sz w:val="24"/>
          <w:szCs w:val="24"/>
          <w:lang w:val="sv-SE"/>
        </w:rPr>
        <w:t>yang ( kitab mereka) mengandung ajaran tauhid sampai sekarang”</w:t>
      </w:r>
      <w:r w:rsidRPr="00E3032D">
        <w:rPr>
          <w:rFonts w:ascii="Times New Roman" w:hAnsi="Times New Roman" w:cs="Times New Roman"/>
          <w:sz w:val="24"/>
          <w:szCs w:val="24"/>
          <w:lang w:val="sv-SE"/>
        </w:rPr>
        <w:t xml:space="preserve"> </w:t>
      </w:r>
    </w:p>
    <w:p w:rsidR="00343B61" w:rsidRDefault="00343B61" w:rsidP="00343B61">
      <w:pPr>
        <w:autoSpaceDE w:val="0"/>
        <w:autoSpaceDN w:val="0"/>
        <w:adjustRightInd w:val="0"/>
        <w:spacing w:after="0" w:line="360" w:lineRule="auto"/>
        <w:ind w:left="990" w:hanging="990"/>
        <w:jc w:val="both"/>
        <w:rPr>
          <w:rFonts w:ascii="Times New Roman" w:hAnsi="Times New Roman" w:cs="Times New Roman"/>
          <w:sz w:val="24"/>
          <w:szCs w:val="24"/>
          <w:lang w:val="sv-SE"/>
        </w:rPr>
      </w:pPr>
    </w:p>
    <w:p w:rsidR="00343B61" w:rsidRPr="001A1BB2"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70037F">
        <w:rPr>
          <w:rFonts w:asciiTheme="majorBidi" w:hAnsiTheme="majorBidi" w:cstheme="majorBidi"/>
          <w:sz w:val="24"/>
          <w:szCs w:val="24"/>
          <w:lang w:val="sv-SE"/>
        </w:rPr>
        <w:t>Al-Qasimī</w:t>
      </w:r>
      <w:r w:rsidRPr="001A1BB2">
        <w:rPr>
          <w:rFonts w:ascii="Times New Roman" w:hAnsi="Times New Roman" w:cs="Times New Roman"/>
          <w:sz w:val="24"/>
          <w:szCs w:val="24"/>
          <w:lang w:val="sv-SE"/>
        </w:rPr>
        <w:t xml:space="preserve"> ketika menafsi</w:t>
      </w:r>
      <w:r>
        <w:rPr>
          <w:rFonts w:ascii="Times New Roman" w:hAnsi="Times New Roman" w:cs="Times New Roman"/>
          <w:sz w:val="24"/>
          <w:szCs w:val="24"/>
          <w:lang w:val="sv-SE"/>
        </w:rPr>
        <w:t>rk</w:t>
      </w:r>
      <w:r w:rsidRPr="001A1BB2">
        <w:rPr>
          <w:rFonts w:ascii="Times New Roman" w:hAnsi="Times New Roman" w:cs="Times New Roman"/>
          <w:sz w:val="24"/>
          <w:szCs w:val="24"/>
          <w:lang w:val="sv-SE"/>
        </w:rPr>
        <w:t>an surat Al-T</w:t>
      </w:r>
      <w:r w:rsidRPr="0070037F">
        <w:rPr>
          <w:rFonts w:asciiTheme="majorBidi" w:hAnsiTheme="majorBidi" w:cstheme="majorBidi"/>
          <w:sz w:val="24"/>
          <w:szCs w:val="24"/>
          <w:lang w:val="sv-SE"/>
        </w:rPr>
        <w:t>ī</w:t>
      </w:r>
      <w:r w:rsidRPr="001A1BB2">
        <w:rPr>
          <w:rFonts w:ascii="Times New Roman" w:hAnsi="Times New Roman" w:cs="Times New Roman"/>
          <w:sz w:val="24"/>
          <w:szCs w:val="24"/>
          <w:lang w:val="sv-SE"/>
        </w:rPr>
        <w:t xml:space="preserve">n, beliau menjelaskan bahwa sementara pakar pada masanya memahami kata  Al-Tin sebagai pohon ( </w:t>
      </w:r>
      <w:r>
        <w:rPr>
          <w:rFonts w:ascii="Times New Roman" w:hAnsi="Times New Roman" w:cs="Times New Roman"/>
          <w:sz w:val="24"/>
          <w:szCs w:val="24"/>
          <w:lang w:val="sv-SE"/>
        </w:rPr>
        <w:t>di mana) pendiri agama Buddha (</w:t>
      </w:r>
      <w:r w:rsidRPr="001A1BB2">
        <w:rPr>
          <w:rFonts w:ascii="Times New Roman" w:hAnsi="Times New Roman" w:cs="Times New Roman"/>
          <w:sz w:val="24"/>
          <w:szCs w:val="24"/>
          <w:lang w:val="sv-SE"/>
        </w:rPr>
        <w:t>memperoleh wahyu-wahyu ilahi), kemudian beliau menegaskan bahwa :</w:t>
      </w:r>
    </w:p>
    <w:p w:rsidR="00343B61" w:rsidRPr="00C83FEB" w:rsidRDefault="00343B61" w:rsidP="00343B61">
      <w:pPr>
        <w:autoSpaceDE w:val="0"/>
        <w:autoSpaceDN w:val="0"/>
        <w:bidi/>
        <w:adjustRightInd w:val="0"/>
        <w:spacing w:after="0" w:line="240" w:lineRule="auto"/>
        <w:ind w:firstLine="17"/>
        <w:jc w:val="both"/>
        <w:rPr>
          <w:rFonts w:ascii="Times New Roman" w:hAnsi="Times New Roman" w:cs="Times New Roman"/>
          <w:sz w:val="28"/>
          <w:szCs w:val="28"/>
          <w:lang w:val="sv-SE"/>
        </w:rPr>
      </w:pPr>
      <w:r w:rsidRPr="00E50D08">
        <w:rPr>
          <w:rFonts w:ascii="Arial" w:hAnsi="Arial" w:cs="Traditional Arabic"/>
          <w:sz w:val="32"/>
          <w:szCs w:val="32"/>
          <w:rtl/>
          <w:lang w:val="sv-SE"/>
        </w:rPr>
        <w:t>والراجح عندنا بل المحقق</w:t>
      </w:r>
      <w:r w:rsidRPr="00E50D08">
        <w:rPr>
          <w:rFonts w:ascii="Arial" w:hAnsi="Arial" w:cs="Traditional Arabic"/>
          <w:sz w:val="32"/>
          <w:szCs w:val="32"/>
          <w:lang w:val="sv-SE"/>
        </w:rPr>
        <w:t xml:space="preserve">  </w:t>
      </w:r>
      <w:r w:rsidRPr="00E50D08">
        <w:rPr>
          <w:rFonts w:ascii="Arial" w:hAnsi="Arial" w:cs="Traditional Arabic"/>
          <w:sz w:val="32"/>
          <w:szCs w:val="32"/>
          <w:rtl/>
          <w:lang w:val="sv-SE"/>
        </w:rPr>
        <w:t>ا</w:t>
      </w:r>
      <w:r w:rsidRPr="00E50D08">
        <w:rPr>
          <w:rFonts w:ascii="Arial" w:hAnsi="Arial" w:cs="Traditional Arabic"/>
          <w:color w:val="000000"/>
          <w:sz w:val="32"/>
          <w:szCs w:val="32"/>
          <w:rtl/>
        </w:rPr>
        <w:t>ذ</w:t>
      </w:r>
      <w:r w:rsidRPr="00E50D08">
        <w:rPr>
          <w:rFonts w:ascii="Arial" w:hAnsi="Arial" w:cs="Traditional Arabic"/>
          <w:sz w:val="32"/>
          <w:szCs w:val="32"/>
          <w:rtl/>
          <w:lang w:val="sv-SE"/>
        </w:rPr>
        <w:t>ا صح تفسيرنا له</w:t>
      </w:r>
      <w:r w:rsidRPr="00E50D08">
        <w:rPr>
          <w:rFonts w:ascii="Arial" w:hAnsi="Arial" w:cs="Traditional Arabic"/>
          <w:color w:val="000000"/>
          <w:sz w:val="32"/>
          <w:szCs w:val="32"/>
          <w:rtl/>
        </w:rPr>
        <w:t>ذ</w:t>
      </w:r>
      <w:r w:rsidRPr="00E50D08">
        <w:rPr>
          <w:rFonts w:ascii="Arial" w:hAnsi="Arial" w:cs="Traditional Arabic"/>
          <w:sz w:val="32"/>
          <w:szCs w:val="32"/>
          <w:rtl/>
          <w:lang w:val="sv-SE"/>
        </w:rPr>
        <w:t>ا الأية أنه ( أي بو</w:t>
      </w:r>
      <w:r w:rsidRPr="00E50D08">
        <w:rPr>
          <w:rFonts w:ascii="Arial" w:hAnsi="Arial" w:cs="Traditional Arabic"/>
          <w:color w:val="000000"/>
          <w:sz w:val="32"/>
          <w:szCs w:val="32"/>
          <w:rtl/>
        </w:rPr>
        <w:t>ذ</w:t>
      </w:r>
      <w:r w:rsidRPr="00E50D08">
        <w:rPr>
          <w:rFonts w:ascii="Arial" w:hAnsi="Arial" w:cs="Traditional Arabic"/>
          <w:sz w:val="32"/>
          <w:szCs w:val="32"/>
          <w:rtl/>
          <w:lang w:val="sv-SE"/>
        </w:rPr>
        <w:t>ا ) كان نبيا صادقا</w:t>
      </w:r>
      <w:r w:rsidRPr="001A1BB2">
        <w:rPr>
          <w:rFonts w:ascii="Times New Roman" w:hAnsi="Times New Roman" w:cs="Times New Roman" w:hint="cs"/>
          <w:sz w:val="28"/>
          <w:szCs w:val="28"/>
          <w:rtl/>
          <w:lang w:val="sv-SE"/>
        </w:rPr>
        <w:t xml:space="preserve"> </w:t>
      </w:r>
      <w:r>
        <w:rPr>
          <w:rStyle w:val="FootnoteReference"/>
          <w:rFonts w:ascii="Times New Roman" w:hAnsi="Times New Roman" w:cs="Times New Roman"/>
          <w:sz w:val="28"/>
          <w:szCs w:val="28"/>
          <w:rtl/>
          <w:lang w:val="sv-SE"/>
        </w:rPr>
        <w:footnoteReference w:id="632"/>
      </w:r>
    </w:p>
    <w:p w:rsidR="00343B61" w:rsidRDefault="00343B61" w:rsidP="00343B61">
      <w:pPr>
        <w:autoSpaceDE w:val="0"/>
        <w:autoSpaceDN w:val="0"/>
        <w:adjustRightInd w:val="0"/>
        <w:spacing w:after="0" w:line="240" w:lineRule="auto"/>
        <w:ind w:left="810"/>
        <w:jc w:val="both"/>
        <w:rPr>
          <w:rFonts w:ascii="Times New Roman" w:hAnsi="Times New Roman" w:cs="Times New Roman"/>
          <w:sz w:val="24"/>
          <w:szCs w:val="24"/>
          <w:lang w:val="sv-SE"/>
        </w:rPr>
      </w:pPr>
      <w:r>
        <w:rPr>
          <w:rFonts w:ascii="Times New Roman" w:hAnsi="Times New Roman" w:cs="Times New Roman"/>
          <w:sz w:val="24"/>
          <w:szCs w:val="24"/>
          <w:lang w:val="sv-SE"/>
        </w:rPr>
        <w:t>Artinya: ”</w:t>
      </w:r>
      <w:r w:rsidRPr="00B362AB">
        <w:rPr>
          <w:rFonts w:ascii="Times New Roman" w:hAnsi="Times New Roman" w:cs="Times New Roman"/>
          <w:i/>
          <w:iCs/>
          <w:sz w:val="24"/>
          <w:szCs w:val="24"/>
          <w:lang w:val="sv-SE"/>
        </w:rPr>
        <w:t>Dan Yang lebih kuat menurut pandangan kami bahkan yang pasti, bila tafsir kami ini benar, bahwa dia ( Budha) adalah seorang Nabi yang benar</w:t>
      </w:r>
      <w:r>
        <w:rPr>
          <w:rFonts w:ascii="Times New Roman" w:hAnsi="Times New Roman" w:cs="Times New Roman"/>
          <w:sz w:val="24"/>
          <w:szCs w:val="24"/>
          <w:lang w:val="sv-SE"/>
        </w:rPr>
        <w:t>”</w:t>
      </w:r>
    </w:p>
    <w:p w:rsidR="00343B61" w:rsidRPr="00F65E33" w:rsidRDefault="00343B61" w:rsidP="00343B61">
      <w:pPr>
        <w:autoSpaceDE w:val="0"/>
        <w:autoSpaceDN w:val="0"/>
        <w:adjustRightInd w:val="0"/>
        <w:spacing w:after="0" w:line="360" w:lineRule="auto"/>
        <w:ind w:left="810"/>
        <w:jc w:val="both"/>
        <w:rPr>
          <w:rFonts w:ascii="Times New Roman" w:hAnsi="Times New Roman" w:cs="Times New Roman"/>
          <w:sz w:val="24"/>
          <w:szCs w:val="24"/>
          <w:lang w:val="sv-SE"/>
        </w:rPr>
      </w:pPr>
    </w:p>
    <w:p w:rsidR="00343B61" w:rsidRDefault="00343B61" w:rsidP="00343B61">
      <w:pPr>
        <w:pStyle w:val="ListParagraph"/>
        <w:tabs>
          <w:tab w:val="left" w:pos="0"/>
          <w:tab w:val="right" w:pos="5687"/>
        </w:tabs>
        <w:spacing w:line="360" w:lineRule="auto"/>
        <w:ind w:left="0" w:firstLine="720"/>
        <w:jc w:val="both"/>
        <w:rPr>
          <w:rFonts w:ascii="(normal text)" w:hAnsi="(normal text)"/>
          <w:sz w:val="24"/>
          <w:szCs w:val="24"/>
          <w:lang w:val="sv-SE"/>
        </w:rPr>
      </w:pPr>
      <w:r>
        <w:rPr>
          <w:rFonts w:ascii="(normal text)" w:hAnsi="(normal text)"/>
          <w:sz w:val="24"/>
          <w:szCs w:val="24"/>
          <w:lang w:val="sv-SE"/>
        </w:rPr>
        <w:lastRenderedPageBreak/>
        <w:t>Sementara Mahmud Syalthut berpendapat bahwa</w:t>
      </w:r>
      <w:r w:rsidRPr="00B62E63">
        <w:rPr>
          <w:rFonts w:ascii="(normal text)" w:hAnsi="(normal text)"/>
          <w:sz w:val="24"/>
          <w:szCs w:val="24"/>
          <w:lang w:val="sv-SE"/>
        </w:rPr>
        <w:t xml:space="preserve"> pernikahan laki-laki muslim dengan</w:t>
      </w:r>
      <w:r>
        <w:rPr>
          <w:rFonts w:ascii="(normal text)" w:hAnsi="(normal text)"/>
          <w:sz w:val="24"/>
          <w:szCs w:val="24"/>
          <w:lang w:val="sv-SE"/>
        </w:rPr>
        <w:t xml:space="preserve"> </w:t>
      </w:r>
      <w:r w:rsidRPr="00B62E63">
        <w:rPr>
          <w:rFonts w:ascii="(normal text)" w:hAnsi="(normal text)"/>
          <w:sz w:val="24"/>
          <w:szCs w:val="24"/>
          <w:lang w:val="sv-SE"/>
        </w:rPr>
        <w:t xml:space="preserve">perempuan </w:t>
      </w:r>
      <w:r>
        <w:rPr>
          <w:rFonts w:ascii="Times New Roman" w:hAnsi="Times New Roman" w:cs="Times New Roman"/>
          <w:i/>
          <w:iCs/>
          <w:sz w:val="24"/>
          <w:szCs w:val="24"/>
          <w:lang w:val="sv-SE"/>
        </w:rPr>
        <w:t>ahl a</w:t>
      </w:r>
      <w:r w:rsidRPr="00F65E33">
        <w:rPr>
          <w:rFonts w:ascii="Times New Roman" w:hAnsi="Times New Roman" w:cs="Times New Roman"/>
          <w:i/>
          <w:iCs/>
          <w:sz w:val="24"/>
          <w:szCs w:val="24"/>
          <w:lang w:val="sv-SE"/>
        </w:rPr>
        <w:t>l</w:t>
      </w:r>
      <w:r>
        <w:rPr>
          <w:rFonts w:ascii="Times New Roman" w:hAnsi="Times New Roman" w:cs="Times New Roman"/>
          <w:i/>
          <w:iCs/>
          <w:sz w:val="24"/>
          <w:szCs w:val="24"/>
          <w:lang w:val="sv-SE"/>
        </w:rPr>
        <w:t>-</w:t>
      </w:r>
      <w:r w:rsidRPr="00F65E33">
        <w:rPr>
          <w:rFonts w:ascii="Times New Roman" w:hAnsi="Times New Roman" w:cs="Times New Roman"/>
          <w:i/>
          <w:iCs/>
          <w:sz w:val="24"/>
          <w:szCs w:val="24"/>
          <w:lang w:val="sv-SE"/>
        </w:rPr>
        <w:t>kitab</w:t>
      </w:r>
      <w:r w:rsidRPr="00F65E33">
        <w:rPr>
          <w:rFonts w:ascii="Times New Roman" w:hAnsi="Times New Roman" w:cs="Times New Roman"/>
          <w:sz w:val="24"/>
          <w:szCs w:val="24"/>
          <w:lang w:val="sv-SE"/>
        </w:rPr>
        <w:t xml:space="preserve"> </w:t>
      </w:r>
      <w:r w:rsidRPr="00B62E63">
        <w:rPr>
          <w:rFonts w:ascii="(normal text)" w:hAnsi="(normal text)"/>
          <w:sz w:val="24"/>
          <w:szCs w:val="24"/>
          <w:lang w:val="sv-SE"/>
        </w:rPr>
        <w:t>dibolehkan sebagai salah satu strategi dakwah. Dalam</w:t>
      </w:r>
      <w:r>
        <w:rPr>
          <w:rFonts w:ascii="(normal text)" w:hAnsi="(normal text)"/>
          <w:sz w:val="24"/>
          <w:szCs w:val="24"/>
          <w:lang w:val="sv-SE"/>
        </w:rPr>
        <w:t xml:space="preserve"> </w:t>
      </w:r>
      <w:r w:rsidRPr="00B62E63">
        <w:rPr>
          <w:rFonts w:ascii="(normal text)" w:hAnsi="(normal text)"/>
          <w:sz w:val="24"/>
          <w:szCs w:val="24"/>
          <w:lang w:val="sv-SE"/>
        </w:rPr>
        <w:t>posisi sebagai suami, laki-laki memiliki hak untuk mendidik keluarga, isteri, dan</w:t>
      </w:r>
      <w:r>
        <w:rPr>
          <w:rFonts w:ascii="(normal text)" w:hAnsi="(normal text)"/>
          <w:sz w:val="24"/>
          <w:szCs w:val="24"/>
          <w:lang w:val="sv-SE"/>
        </w:rPr>
        <w:t xml:space="preserve"> </w:t>
      </w:r>
      <w:r w:rsidRPr="00B62E63">
        <w:rPr>
          <w:rFonts w:ascii="(normal text)" w:hAnsi="(normal text)"/>
          <w:sz w:val="24"/>
          <w:szCs w:val="24"/>
          <w:lang w:val="sv-SE"/>
        </w:rPr>
        <w:t>anak-anak mereka dengan akhlak Islam. Pernikahan itu diharapkan untuk</w:t>
      </w:r>
      <w:r>
        <w:rPr>
          <w:rFonts w:ascii="(normal text)" w:hAnsi="(normal text)"/>
          <w:sz w:val="24"/>
          <w:szCs w:val="24"/>
          <w:lang w:val="sv-SE"/>
        </w:rPr>
        <w:t xml:space="preserve"> </w:t>
      </w:r>
      <w:r w:rsidRPr="00B62E63">
        <w:rPr>
          <w:rFonts w:ascii="(normal text)" w:hAnsi="(normal text)"/>
          <w:sz w:val="24"/>
          <w:szCs w:val="24"/>
          <w:lang w:val="sv-SE"/>
        </w:rPr>
        <w:t>mengeliminir kebencian dan dendam orang-orang non-Muslim terhadap Islam,</w:t>
      </w:r>
      <w:r>
        <w:rPr>
          <w:rFonts w:ascii="(normal text)" w:hAnsi="(normal text)"/>
          <w:sz w:val="24"/>
          <w:szCs w:val="24"/>
          <w:lang w:val="sv-SE"/>
        </w:rPr>
        <w:t xml:space="preserve"> </w:t>
      </w:r>
      <w:r w:rsidRPr="00B62E63">
        <w:rPr>
          <w:rFonts w:ascii="(normal text)" w:hAnsi="(normal text)"/>
          <w:sz w:val="24"/>
          <w:szCs w:val="24"/>
          <w:lang w:val="sv-SE"/>
        </w:rPr>
        <w:t>terutama di hati isteri. Demikian juga, isteri dengan perlakuan suaminya yang baik</w:t>
      </w:r>
      <w:r>
        <w:rPr>
          <w:rFonts w:ascii="(normal text)" w:hAnsi="(normal text)"/>
          <w:sz w:val="24"/>
          <w:szCs w:val="24"/>
          <w:lang w:val="sv-SE"/>
        </w:rPr>
        <w:t xml:space="preserve"> </w:t>
      </w:r>
      <w:r w:rsidRPr="00B62E63">
        <w:rPr>
          <w:rFonts w:ascii="(normal text)" w:hAnsi="(normal text)"/>
          <w:sz w:val="24"/>
          <w:szCs w:val="24"/>
          <w:lang w:val="sv-SE"/>
        </w:rPr>
        <w:t>terhadapnya diharapkan akan mengenal keindahan dan kebaikan Islam, dan bahwa</w:t>
      </w:r>
      <w:r>
        <w:rPr>
          <w:rFonts w:ascii="(normal text)" w:hAnsi="(normal text)"/>
          <w:sz w:val="24"/>
          <w:szCs w:val="24"/>
          <w:lang w:val="sv-SE"/>
        </w:rPr>
        <w:t xml:space="preserve"> </w:t>
      </w:r>
      <w:r w:rsidRPr="00B62E63">
        <w:rPr>
          <w:rFonts w:ascii="(normal text)" w:hAnsi="(normal text)"/>
          <w:sz w:val="24"/>
          <w:szCs w:val="24"/>
          <w:lang w:val="sv-SE"/>
        </w:rPr>
        <w:t>Islam memberikan hak-hak yang sempurna kepada isteri. Akan tetapi, kalau</w:t>
      </w:r>
      <w:r>
        <w:rPr>
          <w:rFonts w:ascii="(normal text)" w:hAnsi="(normal text)"/>
          <w:sz w:val="24"/>
          <w:szCs w:val="24"/>
          <w:lang w:val="sv-SE"/>
        </w:rPr>
        <w:t xml:space="preserve"> </w:t>
      </w:r>
      <w:r w:rsidRPr="00B62E63">
        <w:rPr>
          <w:rFonts w:ascii="(normal text)" w:hAnsi="(normal text)"/>
          <w:sz w:val="24"/>
          <w:szCs w:val="24"/>
          <w:lang w:val="sv-SE"/>
        </w:rPr>
        <w:t>harapan itu tidak dapat diwujudkan, sebaiknya pernikahan tersebut dilarang.</w:t>
      </w:r>
      <w:r>
        <w:rPr>
          <w:rStyle w:val="FootnoteReference"/>
          <w:rFonts w:ascii="(normal text)" w:hAnsi="(normal text)"/>
          <w:sz w:val="24"/>
          <w:szCs w:val="24"/>
          <w:lang w:val="sv-SE"/>
        </w:rPr>
        <w:footnoteReference w:id="633"/>
      </w:r>
    </w:p>
    <w:p w:rsidR="00343B61" w:rsidRPr="002D27CE"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27CE">
        <w:rPr>
          <w:rFonts w:asciiTheme="majorBidi" w:hAnsiTheme="majorBidi" w:cstheme="majorBidi"/>
          <w:sz w:val="24"/>
          <w:szCs w:val="24"/>
        </w:rPr>
        <w:t xml:space="preserve">Ada alasan lain yang bisa diungkapkan, seperti yang diungkapkan Maulana Muhammad Ali. Menurutnya, meskipun tidak disebutkan secara tegas dalam wahyu IIahi, dalam praktiknya mayoritas umat Islam tidak menyetujui pernikahan perempuan muslim dengan laki-laki non-Muslim sejak dulu. Ketidaksetujuan itu semata-mata didasarkan pada ijtihad bahwa seorang perempuan muslim yang menikah dengan laki-laki non-Muslim akan merasa susah jika dalam keluarga non-muslim karena akan kehilangan hak yang </w:t>
      </w:r>
      <w:r w:rsidRPr="002D27CE">
        <w:rPr>
          <w:rFonts w:asciiTheme="majorBidi" w:hAnsiTheme="majorBidi" w:cstheme="majorBidi"/>
          <w:sz w:val="24"/>
          <w:szCs w:val="24"/>
          <w:lang w:val="sv-SE"/>
        </w:rPr>
        <w:t>sebelumnya mereka nikmati jika berada dalam lingkungan keluarga. Seorang</w:t>
      </w:r>
      <w:r w:rsidRPr="002D27CE">
        <w:rPr>
          <w:rFonts w:asciiTheme="majorBidi" w:hAnsiTheme="majorBidi" w:cstheme="majorBidi"/>
          <w:sz w:val="24"/>
          <w:szCs w:val="24"/>
        </w:rPr>
        <w:t xml:space="preserve"> </w:t>
      </w:r>
      <w:r w:rsidRPr="002D27CE">
        <w:rPr>
          <w:rFonts w:asciiTheme="majorBidi" w:hAnsiTheme="majorBidi" w:cstheme="majorBidi"/>
          <w:sz w:val="24"/>
          <w:szCs w:val="24"/>
          <w:lang w:val="sv-SE"/>
        </w:rPr>
        <w:t>isteri akan mengikuti tradisi suaminya dan suami akan mem</w:t>
      </w:r>
      <w:r>
        <w:rPr>
          <w:rFonts w:asciiTheme="majorBidi" w:hAnsiTheme="majorBidi" w:cstheme="majorBidi"/>
          <w:sz w:val="24"/>
          <w:szCs w:val="24"/>
          <w:lang w:val="sv-SE"/>
        </w:rPr>
        <w:t>p</w:t>
      </w:r>
      <w:r w:rsidRPr="002D27CE">
        <w:rPr>
          <w:rFonts w:asciiTheme="majorBidi" w:hAnsiTheme="majorBidi" w:cstheme="majorBidi"/>
          <w:sz w:val="24"/>
          <w:szCs w:val="24"/>
          <w:lang w:val="sv-SE"/>
        </w:rPr>
        <w:t>engaruhi statusnya</w:t>
      </w:r>
      <w:r w:rsidRPr="002D27CE">
        <w:rPr>
          <w:rFonts w:asciiTheme="majorBidi" w:hAnsiTheme="majorBidi" w:cstheme="majorBidi"/>
          <w:sz w:val="24"/>
          <w:szCs w:val="24"/>
        </w:rPr>
        <w:t xml:space="preserve"> </w:t>
      </w:r>
      <w:r w:rsidRPr="002D27CE">
        <w:rPr>
          <w:rFonts w:asciiTheme="majorBidi" w:hAnsiTheme="majorBidi" w:cstheme="majorBidi"/>
          <w:sz w:val="24"/>
          <w:szCs w:val="24"/>
          <w:lang w:val="sv-SE"/>
        </w:rPr>
        <w:t>sebagai perempuan muslim.</w:t>
      </w:r>
      <w:r w:rsidRPr="002D27CE">
        <w:rPr>
          <w:rStyle w:val="FootnoteReference"/>
          <w:rFonts w:asciiTheme="majorBidi" w:hAnsiTheme="majorBidi" w:cstheme="majorBidi"/>
          <w:sz w:val="24"/>
          <w:szCs w:val="24"/>
          <w:lang w:val="sv-SE"/>
        </w:rPr>
        <w:footnoteReference w:id="634"/>
      </w:r>
    </w:p>
    <w:p w:rsidR="00343B61" w:rsidRPr="006F17E4"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DF17B6">
        <w:rPr>
          <w:rFonts w:ascii="Times New Roman" w:hAnsi="Times New Roman" w:cs="Times New Roman"/>
          <w:sz w:val="24"/>
          <w:szCs w:val="24"/>
        </w:rPr>
        <w:t xml:space="preserve">Pendapat </w:t>
      </w:r>
      <w:r w:rsidRPr="00DF17B6">
        <w:rPr>
          <w:rFonts w:ascii="Times New Roman" w:hAnsi="Times New Roman" w:cs="Times New Roman"/>
          <w:i/>
          <w:iCs/>
          <w:sz w:val="24"/>
          <w:szCs w:val="24"/>
        </w:rPr>
        <w:t>ketiga</w:t>
      </w:r>
      <w:r>
        <w:rPr>
          <w:rFonts w:ascii="Times New Roman" w:hAnsi="Times New Roman" w:cs="Times New Roman"/>
          <w:sz w:val="24"/>
          <w:szCs w:val="24"/>
        </w:rPr>
        <w:t>,</w:t>
      </w:r>
      <w:r w:rsidRPr="00DF17B6">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DF17B6">
        <w:rPr>
          <w:rFonts w:ascii="Times New Roman" w:hAnsi="Times New Roman" w:cs="Times New Roman"/>
          <w:sz w:val="24"/>
          <w:szCs w:val="24"/>
        </w:rPr>
        <w:t>yang membo</w:t>
      </w:r>
      <w:r>
        <w:rPr>
          <w:rFonts w:ascii="Times New Roman" w:hAnsi="Times New Roman" w:cs="Times New Roman"/>
          <w:sz w:val="24"/>
          <w:szCs w:val="24"/>
        </w:rPr>
        <w:t>lehkan pernikahan muslim dengan non</w:t>
      </w:r>
      <w:r w:rsidRPr="00DF17B6">
        <w:rPr>
          <w:rFonts w:ascii="Times New Roman" w:hAnsi="Times New Roman" w:cs="Times New Roman"/>
          <w:sz w:val="24"/>
          <w:szCs w:val="24"/>
        </w:rPr>
        <w:t xml:space="preserve"> Muslim, tidak terbatas bagi laki-laki </w:t>
      </w:r>
      <w:r>
        <w:rPr>
          <w:rFonts w:ascii="Times New Roman" w:hAnsi="Times New Roman" w:cs="Times New Roman"/>
          <w:sz w:val="24"/>
          <w:szCs w:val="24"/>
        </w:rPr>
        <w:t>saja, melainkan juga bagi perem</w:t>
      </w:r>
      <w:r w:rsidRPr="00DF17B6">
        <w:rPr>
          <w:rFonts w:ascii="Times New Roman" w:hAnsi="Times New Roman" w:cs="Times New Roman"/>
          <w:sz w:val="24"/>
          <w:szCs w:val="24"/>
        </w:rPr>
        <w:t xml:space="preserve">puan. Kelompok ini juga berdalil pada ketiga ayat yang telah dipakai oleh kedua kelompok sebelumnya, yakni QS Al-Baqarah (2): 221; Al-Mumtahanah (60): </w:t>
      </w:r>
      <w:r>
        <w:rPr>
          <w:rFonts w:ascii="Times New Roman" w:hAnsi="Times New Roman" w:cs="Times New Roman"/>
          <w:sz w:val="24"/>
          <w:szCs w:val="24"/>
        </w:rPr>
        <w:t>10; dan Al-M</w:t>
      </w:r>
      <w:r w:rsidRPr="00DF17B6">
        <w:rPr>
          <w:rFonts w:ascii="Times New Roman" w:hAnsi="Times New Roman" w:cs="Times New Roman"/>
          <w:sz w:val="24"/>
          <w:szCs w:val="24"/>
        </w:rPr>
        <w:t>a'idah (5):</w:t>
      </w:r>
      <w:r>
        <w:rPr>
          <w:rFonts w:ascii="Times New Roman" w:hAnsi="Times New Roman" w:cs="Times New Roman"/>
          <w:sz w:val="24"/>
          <w:szCs w:val="24"/>
        </w:rPr>
        <w:t xml:space="preserve"> ayat</w:t>
      </w:r>
      <w:r w:rsidRPr="00DF17B6">
        <w:rPr>
          <w:rFonts w:ascii="Times New Roman" w:hAnsi="Times New Roman" w:cs="Times New Roman"/>
          <w:sz w:val="24"/>
          <w:szCs w:val="24"/>
        </w:rPr>
        <w:t xml:space="preserve"> 5. Yang berbeda adalah cara penafsirannya.</w:t>
      </w:r>
      <w:r>
        <w:rPr>
          <w:rFonts w:ascii="Times New Roman" w:hAnsi="Times New Roman" w:cs="Times New Roman"/>
          <w:sz w:val="24"/>
          <w:szCs w:val="24"/>
        </w:rPr>
        <w:t xml:space="preserve"> </w:t>
      </w:r>
      <w:r w:rsidRPr="00DF17B6">
        <w:rPr>
          <w:rFonts w:ascii="Times New Roman" w:hAnsi="Times New Roman" w:cs="Times New Roman"/>
          <w:sz w:val="24"/>
          <w:szCs w:val="24"/>
        </w:rPr>
        <w:t xml:space="preserve">Sejumlah argumentasi dikemukakan oleh kelompok ini. </w:t>
      </w:r>
      <w:r w:rsidRPr="00DF17B6">
        <w:rPr>
          <w:rFonts w:ascii="Times New Roman" w:hAnsi="Times New Roman" w:cs="Times New Roman"/>
          <w:i/>
          <w:iCs/>
          <w:sz w:val="24"/>
          <w:szCs w:val="24"/>
        </w:rPr>
        <w:t>Pertama</w:t>
      </w:r>
      <w:r w:rsidRPr="00DF17B6">
        <w:rPr>
          <w:rFonts w:ascii="Times New Roman" w:hAnsi="Times New Roman" w:cs="Times New Roman"/>
          <w:sz w:val="24"/>
          <w:szCs w:val="24"/>
        </w:rPr>
        <w:t xml:space="preserve">, surah Al-Baqarah (2): 221 hanya melarang pernikahan seorang Muslim dengan Musyrik. Muhammad </w:t>
      </w:r>
      <w:r w:rsidRPr="00DF17B6">
        <w:rPr>
          <w:rFonts w:ascii="Times New Roman" w:hAnsi="Times New Roman" w:cs="Times New Roman"/>
          <w:sz w:val="24"/>
          <w:szCs w:val="24"/>
        </w:rPr>
        <w:lastRenderedPageBreak/>
        <w:t>`Abduh dan Rasyid Ridha menjelaskan bahwa yang dimaksudkan dengan perempuan-perempuan musyrik dalam Al-Baqarah (2): 221, terbatas pada perempuan musyrik Arab pada masa Nabi. Indikasinya bahwa dalam teks ayat itu di samping disebutkan larangan menikah dengan orang musyrik juga diikuti anjuran menikah dengan budak. Jelas konteksnya adalah orang-orang musyrik pada masa Nabi, dan mereka sudah tidak ada lagi sekarang, sebaga</w:t>
      </w:r>
      <w:r>
        <w:rPr>
          <w:rFonts w:ascii="Times New Roman" w:hAnsi="Times New Roman" w:cs="Times New Roman"/>
          <w:sz w:val="24"/>
          <w:szCs w:val="24"/>
        </w:rPr>
        <w:t>imana halnya kelompok budak. Pan</w:t>
      </w:r>
      <w:r w:rsidRPr="00DF17B6">
        <w:rPr>
          <w:rFonts w:ascii="Times New Roman" w:hAnsi="Times New Roman" w:cs="Times New Roman"/>
          <w:sz w:val="24"/>
          <w:szCs w:val="24"/>
        </w:rPr>
        <w:t>dangan lain menyangkut Surah Al-Baqarah (2): 221 bahwa itu telah di-naskh (dibatalkan) oleh Surah Al-Ma'idah (5): 5. Surah yang disebutkan pertama itu diturunkan lebih awal.</w:t>
      </w:r>
      <w:r w:rsidRPr="00DF17B6">
        <w:rPr>
          <w:rStyle w:val="FootnoteReference"/>
          <w:rFonts w:ascii="Times New Roman" w:hAnsi="Times New Roman" w:cs="Times New Roman"/>
          <w:sz w:val="24"/>
          <w:szCs w:val="24"/>
        </w:rPr>
        <w:footnoteReference w:id="635"/>
      </w:r>
    </w:p>
    <w:p w:rsidR="00343B61" w:rsidRPr="006F17E4" w:rsidRDefault="00343B61" w:rsidP="00343B61">
      <w:pPr>
        <w:autoSpaceDE w:val="0"/>
        <w:autoSpaceDN w:val="0"/>
        <w:adjustRightInd w:val="0"/>
        <w:spacing w:after="0" w:line="360" w:lineRule="auto"/>
        <w:ind w:firstLine="720"/>
        <w:jc w:val="both"/>
        <w:rPr>
          <w:rFonts w:ascii="Times New Roman" w:hAnsi="Times New Roman" w:cs="Times New Roman"/>
          <w:i/>
          <w:iCs/>
          <w:sz w:val="24"/>
          <w:szCs w:val="24"/>
          <w:lang w:val="sv-SE"/>
        </w:rPr>
      </w:pPr>
      <w:r w:rsidRPr="006F17E4">
        <w:rPr>
          <w:rFonts w:ascii="Times New Roman" w:hAnsi="Times New Roman" w:cs="Times New Roman"/>
          <w:i/>
          <w:iCs/>
          <w:sz w:val="24"/>
          <w:szCs w:val="24"/>
          <w:lang w:val="sv-SE"/>
        </w:rPr>
        <w:t xml:space="preserve">Kedua, </w:t>
      </w:r>
      <w:r w:rsidRPr="006F17E4">
        <w:rPr>
          <w:rFonts w:ascii="Times New Roman" w:hAnsi="Times New Roman" w:cs="Times New Roman"/>
          <w:sz w:val="24"/>
          <w:szCs w:val="24"/>
          <w:lang w:val="sv-SE"/>
        </w:rPr>
        <w:t xml:space="preserve">Surah Al-Ma'idah (5): 5 justru membolehkan laki-laki muslim menikahi perempuan </w:t>
      </w:r>
      <w:r w:rsidRPr="006F17E4">
        <w:rPr>
          <w:rFonts w:ascii="Times New Roman" w:hAnsi="Times New Roman" w:cs="Times New Roman"/>
          <w:i/>
          <w:iCs/>
          <w:sz w:val="24"/>
          <w:szCs w:val="24"/>
          <w:lang w:val="sv-SE"/>
        </w:rPr>
        <w:t xml:space="preserve">ahlul kitab </w:t>
      </w:r>
      <w:r w:rsidRPr="006F17E4">
        <w:rPr>
          <w:rFonts w:ascii="Times New Roman" w:hAnsi="Times New Roman" w:cs="Times New Roman"/>
          <w:sz w:val="24"/>
          <w:szCs w:val="24"/>
          <w:lang w:val="sv-SE"/>
        </w:rPr>
        <w:t xml:space="preserve">dan kebolehan itu tentu saja dipahami dapat berlaku untuk sebaliknya. Dalam bahasa Arab dikenal gaya bahasa yang lazim disebut </w:t>
      </w:r>
      <w:r w:rsidRPr="006F17E4">
        <w:rPr>
          <w:rFonts w:ascii="Times New Roman" w:hAnsi="Times New Roman" w:cs="Times New Roman"/>
          <w:i/>
          <w:iCs/>
          <w:sz w:val="24"/>
          <w:szCs w:val="24"/>
          <w:lang w:val="sv-SE"/>
        </w:rPr>
        <w:t>al-iktifa</w:t>
      </w:r>
      <w:r w:rsidRPr="006F17E4">
        <w:rPr>
          <w:rFonts w:ascii="Times New Roman" w:hAnsi="Times New Roman" w:cs="Times New Roman"/>
          <w:sz w:val="24"/>
          <w:szCs w:val="24"/>
          <w:lang w:val="sv-SE"/>
        </w:rPr>
        <w:t xml:space="preserve">; yakni cukup menyebutkan sebagian saja dan dari situ dipahami bagian lainnya. Misalnya, dalam ayat tersebut dinyatakan laki-laki muslim boleh menikahi perempuan </w:t>
      </w:r>
      <w:r w:rsidRPr="006F17E4">
        <w:rPr>
          <w:rFonts w:ascii="Times New Roman" w:hAnsi="Times New Roman" w:cs="Times New Roman"/>
          <w:i/>
          <w:iCs/>
          <w:sz w:val="24"/>
          <w:szCs w:val="24"/>
          <w:lang w:val="sv-SE"/>
        </w:rPr>
        <w:t>ahlul kitab</w:t>
      </w:r>
      <w:r w:rsidRPr="006F17E4">
        <w:rPr>
          <w:rFonts w:ascii="Times New Roman" w:hAnsi="Times New Roman" w:cs="Times New Roman"/>
          <w:sz w:val="24"/>
          <w:szCs w:val="24"/>
          <w:lang w:val="sv-SE"/>
        </w:rPr>
        <w:t xml:space="preserve">, maka mafhum </w:t>
      </w:r>
      <w:r w:rsidRPr="006F17E4">
        <w:rPr>
          <w:rFonts w:ascii="Times New Roman" w:hAnsi="Times New Roman" w:cs="Times New Roman"/>
          <w:i/>
          <w:iCs/>
          <w:sz w:val="24"/>
          <w:szCs w:val="24"/>
          <w:lang w:val="sv-SE"/>
        </w:rPr>
        <w:t>mukhalafah-nya</w:t>
      </w:r>
      <w:r w:rsidRPr="006F17E4">
        <w:rPr>
          <w:rFonts w:ascii="Times New Roman" w:hAnsi="Times New Roman" w:cs="Times New Roman"/>
          <w:sz w:val="24"/>
          <w:szCs w:val="24"/>
          <w:lang w:val="sv-SE"/>
        </w:rPr>
        <w:t xml:space="preserve"> perempuan Muslim pun tidak terhalang menikahi laki-laki </w:t>
      </w:r>
      <w:r w:rsidRPr="006F17E4">
        <w:rPr>
          <w:rFonts w:ascii="Times New Roman" w:hAnsi="Times New Roman" w:cs="Times New Roman"/>
          <w:i/>
          <w:iCs/>
          <w:sz w:val="24"/>
          <w:szCs w:val="24"/>
          <w:lang w:val="sv-SE"/>
        </w:rPr>
        <w:t>ahlul kitab.</w:t>
      </w:r>
      <w:r w:rsidRPr="006F17E4">
        <w:rPr>
          <w:rStyle w:val="FootnoteReference"/>
          <w:rFonts w:ascii="Times New Roman" w:hAnsi="Times New Roman" w:cs="Times New Roman"/>
          <w:i/>
          <w:iCs/>
          <w:sz w:val="24"/>
          <w:szCs w:val="24"/>
          <w:lang w:val="sv-SE"/>
        </w:rPr>
        <w:footnoteReference w:id="636"/>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sidRPr="006F17E4">
        <w:rPr>
          <w:rFonts w:ascii="Times New Roman" w:hAnsi="Times New Roman" w:cs="Times New Roman"/>
          <w:i/>
          <w:iCs/>
          <w:sz w:val="24"/>
          <w:szCs w:val="24"/>
        </w:rPr>
        <w:t>Ketiga</w:t>
      </w:r>
      <w:r w:rsidRPr="006F17E4">
        <w:rPr>
          <w:rFonts w:ascii="Times New Roman" w:hAnsi="Times New Roman" w:cs="Times New Roman"/>
          <w:sz w:val="24"/>
          <w:szCs w:val="24"/>
        </w:rPr>
        <w:t>, Surah Al-Mumtahanah (60): 10 hanya menjelaskan secara eksplisit larangan melanggengkan hubungan pernikahan dengan perempuan</w:t>
      </w:r>
      <w:r>
        <w:rPr>
          <w:rFonts w:ascii="Times New Roman" w:hAnsi="Times New Roman" w:cs="Times New Roman"/>
          <w:sz w:val="24"/>
          <w:szCs w:val="24"/>
        </w:rPr>
        <w:t>-</w:t>
      </w:r>
      <w:r w:rsidRPr="006F17E4">
        <w:rPr>
          <w:rFonts w:ascii="Times New Roman" w:hAnsi="Times New Roman" w:cs="Times New Roman"/>
          <w:sz w:val="24"/>
          <w:szCs w:val="24"/>
        </w:rPr>
        <w:t>perempuan kafir. Jika kita memahami konteks waktu turunnya ayat itu, larangan ini sangat wajar mengingat kaum kafir Quraisy sangat memusuhi Nabi dan pengikutnya. Waktu itu konteksnya adalah peperangan antara kaum Mukmin dan kaum Kafir. Larangan melanggengkan hubungan dimaksudkan agar dapat diidentifikasi secara jelas mana musuh dan mana kawan. Karena itu, ayat ini harus dipahami secara kontekstual. Jika kondisi peperangan itu tidak ada lagi, maka larangan dimak</w:t>
      </w:r>
      <w:r>
        <w:rPr>
          <w:rFonts w:ascii="Times New Roman" w:hAnsi="Times New Roman" w:cs="Times New Roman"/>
          <w:sz w:val="24"/>
          <w:szCs w:val="24"/>
        </w:rPr>
        <w:t xml:space="preserve">sud tercabut dengan sendirinya. </w:t>
      </w:r>
      <w:r w:rsidRPr="006F17E4">
        <w:rPr>
          <w:rFonts w:ascii="Times New Roman" w:hAnsi="Times New Roman" w:cs="Times New Roman"/>
          <w:sz w:val="24"/>
          <w:szCs w:val="24"/>
        </w:rPr>
        <w:t>Argume</w:t>
      </w:r>
      <w:r>
        <w:rPr>
          <w:rFonts w:ascii="Times New Roman" w:hAnsi="Times New Roman" w:cs="Times New Roman"/>
          <w:sz w:val="24"/>
          <w:szCs w:val="24"/>
        </w:rPr>
        <w:t>n lain berkaitan dengan Surah Al</w:t>
      </w:r>
      <w:r w:rsidRPr="006F17E4">
        <w:rPr>
          <w:rFonts w:ascii="Times New Roman" w:hAnsi="Times New Roman" w:cs="Times New Roman"/>
          <w:sz w:val="24"/>
          <w:szCs w:val="24"/>
        </w:rPr>
        <w:t>-Mumtahanah (60): 10 bahwa itu telah di-nasakh oleh Al-M'a'idah (5): 5.</w:t>
      </w:r>
      <w:r w:rsidRPr="006F17E4">
        <w:rPr>
          <w:rStyle w:val="FootnoteReference"/>
          <w:rFonts w:ascii="Times New Roman" w:hAnsi="Times New Roman" w:cs="Times New Roman"/>
          <w:sz w:val="24"/>
          <w:szCs w:val="24"/>
        </w:rPr>
        <w:footnoteReference w:id="637"/>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p>
    <w:p w:rsidR="00343B61" w:rsidRPr="006F17E4"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p>
    <w:p w:rsidR="00343B61" w:rsidRPr="00F61CCE" w:rsidRDefault="00343B61" w:rsidP="002C0A33">
      <w:pPr>
        <w:pStyle w:val="ListParagraph"/>
        <w:numPr>
          <w:ilvl w:val="0"/>
          <w:numId w:val="41"/>
        </w:numPr>
        <w:autoSpaceDE w:val="0"/>
        <w:autoSpaceDN w:val="0"/>
        <w:adjustRightInd w:val="0"/>
        <w:spacing w:after="0" w:line="360" w:lineRule="auto"/>
        <w:ind w:left="810"/>
        <w:jc w:val="both"/>
        <w:rPr>
          <w:rFonts w:asciiTheme="majorBidi" w:hAnsiTheme="majorBidi" w:cstheme="majorBidi"/>
          <w:sz w:val="24"/>
          <w:szCs w:val="24"/>
        </w:rPr>
      </w:pPr>
      <w:r>
        <w:rPr>
          <w:rFonts w:asciiTheme="majorBidi" w:hAnsiTheme="majorBidi" w:cstheme="majorBidi"/>
          <w:sz w:val="24"/>
          <w:szCs w:val="24"/>
        </w:rPr>
        <w:t>Putusan Fatwa MUI Tentang Perkawinan Beda Agama</w:t>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F17316">
        <w:rPr>
          <w:rFonts w:asciiTheme="majorBidi" w:hAnsiTheme="majorBidi" w:cstheme="majorBidi"/>
          <w:sz w:val="24"/>
          <w:szCs w:val="24"/>
          <w:lang w:val="sv-SE"/>
        </w:rPr>
        <w:t xml:space="preserve">Dalam MUNAS MUI yang ke VII </w:t>
      </w:r>
      <w:r>
        <w:rPr>
          <w:rFonts w:asciiTheme="majorBidi" w:hAnsiTheme="majorBidi" w:cstheme="majorBidi"/>
          <w:sz w:val="24"/>
          <w:szCs w:val="24"/>
          <w:lang w:val="sv-SE"/>
        </w:rPr>
        <w:t xml:space="preserve">yang berlangsung </w:t>
      </w:r>
      <w:r w:rsidRPr="00F17316">
        <w:rPr>
          <w:rFonts w:asciiTheme="majorBidi" w:hAnsiTheme="majorBidi" w:cstheme="majorBidi"/>
          <w:sz w:val="24"/>
          <w:szCs w:val="24"/>
          <w:lang w:val="sv-SE"/>
        </w:rPr>
        <w:t>pada tanggal 19-22 Jumadil Ak</w:t>
      </w:r>
      <w:r>
        <w:rPr>
          <w:rFonts w:asciiTheme="majorBidi" w:hAnsiTheme="majorBidi" w:cstheme="majorBidi"/>
          <w:sz w:val="24"/>
          <w:szCs w:val="24"/>
          <w:lang w:val="sv-SE"/>
        </w:rPr>
        <w:t xml:space="preserve">hir 1426 H. / 26-29 Juli 2005M </w:t>
      </w:r>
      <w:r w:rsidRPr="00F17316">
        <w:rPr>
          <w:rFonts w:asciiTheme="majorBidi" w:hAnsiTheme="majorBidi" w:cstheme="majorBidi"/>
          <w:sz w:val="24"/>
          <w:szCs w:val="24"/>
          <w:lang w:val="sv-SE"/>
        </w:rPr>
        <w:t>Tahun 2005 di Jakarta, MUI mengeluarkan 11 fatwa, salah satun</w:t>
      </w:r>
      <w:r>
        <w:rPr>
          <w:rFonts w:asciiTheme="majorBidi" w:hAnsiTheme="majorBidi" w:cstheme="majorBidi"/>
          <w:sz w:val="24"/>
          <w:szCs w:val="24"/>
          <w:lang w:val="sv-SE"/>
        </w:rPr>
        <w:t>ya adalah fatwa tentang Perkawin</w:t>
      </w:r>
      <w:r w:rsidRPr="00F17316">
        <w:rPr>
          <w:rFonts w:asciiTheme="majorBidi" w:hAnsiTheme="majorBidi" w:cstheme="majorBidi"/>
          <w:sz w:val="24"/>
          <w:szCs w:val="24"/>
          <w:lang w:val="sv-SE"/>
        </w:rPr>
        <w:t xml:space="preserve">an Beda Agama. Fatwa Majelis Ulama Indonesia Nomor: 4/Munas VII/MUI/8/2005 Tentang </w:t>
      </w:r>
      <w:r>
        <w:rPr>
          <w:rFonts w:asciiTheme="majorBidi" w:hAnsiTheme="majorBidi" w:cstheme="majorBidi"/>
          <w:sz w:val="24"/>
          <w:szCs w:val="24"/>
          <w:lang w:val="sv-SE"/>
        </w:rPr>
        <w:t>perkawin</w:t>
      </w:r>
      <w:r w:rsidRPr="00F17316">
        <w:rPr>
          <w:rFonts w:asciiTheme="majorBidi" w:hAnsiTheme="majorBidi" w:cstheme="majorBidi"/>
          <w:sz w:val="24"/>
          <w:szCs w:val="24"/>
          <w:lang w:val="sv-SE"/>
        </w:rPr>
        <w:t>an</w:t>
      </w:r>
      <w:r>
        <w:rPr>
          <w:rFonts w:asciiTheme="majorBidi" w:hAnsiTheme="majorBidi" w:cstheme="majorBidi"/>
          <w:sz w:val="24"/>
          <w:szCs w:val="24"/>
          <w:lang w:val="sv-SE"/>
        </w:rPr>
        <w:t xml:space="preserve"> Beda Agama ini </w:t>
      </w:r>
      <w:r w:rsidRPr="00BA37D7">
        <w:rPr>
          <w:rFonts w:asciiTheme="majorBidi" w:hAnsiTheme="majorBidi" w:cstheme="majorBidi"/>
          <w:sz w:val="24"/>
          <w:szCs w:val="24"/>
          <w:lang w:val="sv-SE"/>
        </w:rPr>
        <w:t xml:space="preserve">menetapkan </w:t>
      </w:r>
      <w:r>
        <w:rPr>
          <w:rFonts w:asciiTheme="majorBidi" w:hAnsiTheme="majorBidi" w:cstheme="majorBidi"/>
          <w:sz w:val="24"/>
          <w:szCs w:val="24"/>
          <w:lang w:val="sv-SE"/>
        </w:rPr>
        <w:t>dua hal</w:t>
      </w:r>
      <w:r w:rsidRPr="00BA37D7">
        <w:rPr>
          <w:rFonts w:asciiTheme="majorBidi" w:hAnsiTheme="majorBidi" w:cstheme="majorBidi"/>
          <w:sz w:val="24"/>
          <w:szCs w:val="24"/>
          <w:lang w:val="sv-SE"/>
        </w:rPr>
        <w:t>:</w:t>
      </w:r>
      <w:r>
        <w:rPr>
          <w:rFonts w:asciiTheme="majorBidi" w:hAnsiTheme="majorBidi" w:cstheme="majorBidi"/>
          <w:sz w:val="24"/>
          <w:szCs w:val="24"/>
          <w:lang w:val="sv-SE"/>
        </w:rPr>
        <w:t xml:space="preserve"> 1). </w:t>
      </w:r>
      <w:r w:rsidRPr="00BA37D7">
        <w:rPr>
          <w:rFonts w:asciiTheme="majorBidi" w:hAnsiTheme="majorBidi" w:cstheme="majorBidi"/>
          <w:sz w:val="24"/>
          <w:szCs w:val="24"/>
          <w:lang w:val="sv-SE"/>
        </w:rPr>
        <w:t>Perkawinan beda agama adalah haram dan tidak sah</w:t>
      </w:r>
      <w:r>
        <w:rPr>
          <w:rFonts w:asciiTheme="majorBidi" w:hAnsiTheme="majorBidi" w:cstheme="majorBidi"/>
          <w:sz w:val="24"/>
          <w:szCs w:val="24"/>
          <w:lang w:val="sv-SE"/>
        </w:rPr>
        <w:t xml:space="preserve">. 2). </w:t>
      </w:r>
      <w:r w:rsidRPr="00BA37D7">
        <w:rPr>
          <w:rFonts w:asciiTheme="majorBidi" w:hAnsiTheme="majorBidi" w:cstheme="majorBidi"/>
          <w:sz w:val="24"/>
          <w:szCs w:val="24"/>
          <w:lang w:val="sv-SE"/>
        </w:rPr>
        <w:t>Perkawin</w:t>
      </w:r>
      <w:r>
        <w:rPr>
          <w:rFonts w:asciiTheme="majorBidi" w:hAnsiTheme="majorBidi" w:cstheme="majorBidi"/>
          <w:sz w:val="24"/>
          <w:szCs w:val="24"/>
          <w:lang w:val="sv-SE"/>
        </w:rPr>
        <w:t>an laki-laki muslim dengan wanit</w:t>
      </w:r>
      <w:r w:rsidRPr="00BA37D7">
        <w:rPr>
          <w:rFonts w:asciiTheme="majorBidi" w:hAnsiTheme="majorBidi" w:cstheme="majorBidi"/>
          <w:sz w:val="24"/>
          <w:szCs w:val="24"/>
          <w:lang w:val="sv-SE"/>
        </w:rPr>
        <w:t xml:space="preserve">a </w:t>
      </w:r>
      <w:r>
        <w:rPr>
          <w:rFonts w:asciiTheme="majorBidi" w:hAnsiTheme="majorBidi" w:cstheme="majorBidi"/>
          <w:i/>
          <w:iCs/>
          <w:sz w:val="24"/>
          <w:szCs w:val="24"/>
          <w:lang w:val="sv-SE"/>
        </w:rPr>
        <w:t>Ahl</w:t>
      </w:r>
      <w:r w:rsidRPr="00BA37D7">
        <w:rPr>
          <w:rFonts w:asciiTheme="majorBidi" w:hAnsiTheme="majorBidi" w:cstheme="majorBidi"/>
          <w:i/>
          <w:iCs/>
          <w:sz w:val="24"/>
          <w:szCs w:val="24"/>
          <w:lang w:val="sv-SE"/>
        </w:rPr>
        <w:t xml:space="preserve"> </w:t>
      </w:r>
      <w:r>
        <w:rPr>
          <w:rFonts w:asciiTheme="majorBidi" w:hAnsiTheme="majorBidi" w:cstheme="majorBidi"/>
          <w:i/>
          <w:iCs/>
          <w:sz w:val="24"/>
          <w:szCs w:val="24"/>
          <w:lang w:val="sv-SE"/>
        </w:rPr>
        <w:t xml:space="preserve">Al- </w:t>
      </w:r>
      <w:r w:rsidRPr="00BA37D7">
        <w:rPr>
          <w:rFonts w:asciiTheme="majorBidi" w:hAnsiTheme="majorBidi" w:cstheme="majorBidi"/>
          <w:i/>
          <w:iCs/>
          <w:sz w:val="24"/>
          <w:szCs w:val="24"/>
          <w:lang w:val="sv-SE"/>
        </w:rPr>
        <w:t>kitab</w:t>
      </w:r>
      <w:r w:rsidRPr="00BA37D7">
        <w:rPr>
          <w:rFonts w:asciiTheme="majorBidi" w:hAnsiTheme="majorBidi" w:cstheme="majorBidi"/>
          <w:sz w:val="24"/>
          <w:szCs w:val="24"/>
          <w:lang w:val="sv-SE"/>
        </w:rPr>
        <w:t xml:space="preserve">, menurut </w:t>
      </w:r>
      <w:r w:rsidRPr="00BA37D7">
        <w:rPr>
          <w:rFonts w:asciiTheme="majorBidi" w:hAnsiTheme="majorBidi" w:cstheme="majorBidi"/>
          <w:i/>
          <w:iCs/>
          <w:sz w:val="24"/>
          <w:szCs w:val="24"/>
          <w:lang w:val="sv-SE"/>
        </w:rPr>
        <w:t>qaul mu’tamad</w:t>
      </w:r>
      <w:r w:rsidRPr="00BA37D7">
        <w:rPr>
          <w:rFonts w:asciiTheme="majorBidi" w:hAnsiTheme="majorBidi" w:cstheme="majorBidi"/>
          <w:sz w:val="24"/>
          <w:szCs w:val="24"/>
          <w:lang w:val="sv-SE"/>
        </w:rPr>
        <w:t xml:space="preserve"> adalah haram dan tidak sah</w:t>
      </w:r>
      <w:r>
        <w:rPr>
          <w:rFonts w:asciiTheme="majorBidi" w:hAnsiTheme="majorBidi" w:cstheme="majorBidi"/>
          <w:sz w:val="24"/>
          <w:szCs w:val="24"/>
          <w:lang w:val="sv-SE"/>
        </w:rPr>
        <w:t>.</w:t>
      </w:r>
      <w:r>
        <w:rPr>
          <w:rStyle w:val="FootnoteReference"/>
          <w:rFonts w:asciiTheme="majorBidi" w:hAnsiTheme="majorBidi" w:cstheme="majorBidi"/>
          <w:sz w:val="24"/>
          <w:szCs w:val="24"/>
          <w:lang w:val="sv-SE"/>
        </w:rPr>
        <w:footnoteReference w:id="638"/>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537C00">
        <w:rPr>
          <w:rFonts w:asciiTheme="majorBidi" w:hAnsiTheme="majorBidi" w:cstheme="majorBidi"/>
          <w:sz w:val="24"/>
          <w:szCs w:val="24"/>
          <w:lang w:val="sv-SE"/>
        </w:rPr>
        <w:t>Yang menjadi bahan pertimbangan MUI untuk mengeluarkan fatwa ini ada empat hal ; 1). Bahwa belakangan ini disinyalir banyak terjadi perkawinan beda agama;  2). bahwa perkawinan beda agama ini buka</w:t>
      </w:r>
      <w:r>
        <w:rPr>
          <w:rFonts w:asciiTheme="majorBidi" w:hAnsiTheme="majorBidi" w:cstheme="majorBidi"/>
          <w:sz w:val="24"/>
          <w:szCs w:val="24"/>
          <w:lang w:val="sv-SE"/>
        </w:rPr>
        <w:t>n</w:t>
      </w:r>
      <w:r w:rsidRPr="00537C00">
        <w:rPr>
          <w:rFonts w:asciiTheme="majorBidi" w:hAnsiTheme="majorBidi" w:cstheme="majorBidi"/>
          <w:sz w:val="24"/>
          <w:szCs w:val="24"/>
          <w:lang w:val="sv-SE"/>
        </w:rPr>
        <w:t xml:space="preserve"> saja mengandung perbedaan di antara sesama umat Islam,</w:t>
      </w:r>
      <w:r>
        <w:rPr>
          <w:rFonts w:asciiTheme="majorBidi" w:hAnsiTheme="majorBidi" w:cstheme="majorBidi"/>
          <w:sz w:val="24"/>
          <w:szCs w:val="24"/>
          <w:lang w:val="sv-SE"/>
        </w:rPr>
        <w:t xml:space="preserve"> </w:t>
      </w:r>
      <w:r w:rsidRPr="00537C00">
        <w:rPr>
          <w:rFonts w:asciiTheme="majorBidi" w:hAnsiTheme="majorBidi" w:cstheme="majorBidi"/>
          <w:sz w:val="24"/>
          <w:szCs w:val="24"/>
          <w:lang w:val="sv-SE"/>
        </w:rPr>
        <w:t>akan tetapi juga sering mengundang keresahan di tengah-tengah masyarakat.</w:t>
      </w:r>
      <w:r>
        <w:rPr>
          <w:rFonts w:asciiTheme="majorBidi" w:hAnsiTheme="majorBidi" w:cstheme="majorBidi"/>
          <w:sz w:val="24"/>
          <w:szCs w:val="24"/>
          <w:lang w:val="sv-SE"/>
        </w:rPr>
        <w:t xml:space="preserve"> </w:t>
      </w:r>
      <w:r w:rsidRPr="00537C00">
        <w:rPr>
          <w:rFonts w:asciiTheme="majorBidi" w:hAnsiTheme="majorBidi" w:cstheme="majorBidi"/>
          <w:sz w:val="24"/>
          <w:szCs w:val="24"/>
          <w:lang w:val="sv-SE"/>
        </w:rPr>
        <w:t>3).</w:t>
      </w:r>
      <w:r w:rsidRPr="00537C00">
        <w:rPr>
          <w:rFonts w:asciiTheme="majorBidi" w:hAnsiTheme="majorBidi" w:cstheme="majorBidi"/>
          <w:sz w:val="24"/>
          <w:szCs w:val="24"/>
          <w:lang w:val="sv-SE"/>
        </w:rPr>
        <w:tab/>
        <w:t>bahwa di tengah-tengah masyarakat telah muncul pemikiran yaang membenarkan perkawinan beda agama dengan dalih hak asasi manusia dan kemaslahatan. 4). Bahwa untuk mewujudkan dan memelihara ketentuan kehidupan berumah tangga, MUI memandang perlu menetapkan fatwa tentang perkawinan beda agama untuk dijadikan pedoman</w:t>
      </w:r>
      <w:r>
        <w:rPr>
          <w:rStyle w:val="FootnoteReference"/>
          <w:rFonts w:asciiTheme="majorBidi" w:hAnsiTheme="majorBidi" w:cstheme="majorBidi"/>
          <w:sz w:val="24"/>
          <w:szCs w:val="24"/>
          <w:lang w:val="sv-SE"/>
        </w:rPr>
        <w:footnoteReference w:id="639"/>
      </w:r>
      <w:r w:rsidRPr="00537C00">
        <w:rPr>
          <w:rFonts w:asciiTheme="majorBidi" w:hAnsiTheme="majorBidi" w:cstheme="majorBidi"/>
          <w:sz w:val="24"/>
          <w:szCs w:val="24"/>
          <w:lang w:val="sv-SE"/>
        </w:rPr>
        <w:t>.</w:t>
      </w:r>
    </w:p>
    <w:p w:rsidR="00343B61" w:rsidRPr="00A27F14"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Pr>
          <w:rFonts w:asciiTheme="majorBidi" w:hAnsiTheme="majorBidi" w:cstheme="majorBidi"/>
          <w:sz w:val="24"/>
          <w:szCs w:val="24"/>
          <w:lang w:val="sv-SE"/>
        </w:rPr>
        <w:t xml:space="preserve">Adapun konsideran hukum yang dijadikan </w:t>
      </w:r>
      <w:r w:rsidRPr="00A27F14">
        <w:rPr>
          <w:rFonts w:asciiTheme="majorBidi" w:hAnsiTheme="majorBidi" w:cstheme="majorBidi"/>
          <w:sz w:val="24"/>
          <w:szCs w:val="24"/>
          <w:lang w:val="sv-SE"/>
        </w:rPr>
        <w:t xml:space="preserve">MUI sebagai landasan dalam memutuskan fatwa ini berupa tujuh ayat suci Al-Quran, satu hadis Nabi Saw dan satu </w:t>
      </w:r>
      <w:r w:rsidRPr="00872FC6">
        <w:rPr>
          <w:rFonts w:asciiTheme="majorBidi" w:hAnsiTheme="majorBidi" w:cstheme="majorBidi"/>
          <w:i/>
          <w:iCs/>
          <w:sz w:val="24"/>
          <w:szCs w:val="24"/>
          <w:lang w:val="sv-SE"/>
        </w:rPr>
        <w:t>Qaidah fiqhiyah</w:t>
      </w:r>
      <w:r w:rsidRPr="00A27F14">
        <w:rPr>
          <w:rFonts w:asciiTheme="majorBidi" w:hAnsiTheme="majorBidi" w:cstheme="majorBidi"/>
          <w:sz w:val="24"/>
          <w:szCs w:val="24"/>
          <w:lang w:val="sv-SE"/>
        </w:rPr>
        <w:t xml:space="preserve">, </w:t>
      </w:r>
      <w:r w:rsidRPr="007F050D">
        <w:rPr>
          <w:rFonts w:asciiTheme="majorBidi" w:hAnsiTheme="majorBidi" w:cstheme="majorBidi"/>
          <w:sz w:val="24"/>
          <w:szCs w:val="24"/>
          <w:lang w:val="sv-SE"/>
        </w:rPr>
        <w:t xml:space="preserve">serta  memperhatikan </w:t>
      </w:r>
      <w:r>
        <w:rPr>
          <w:rFonts w:asciiTheme="majorBidi" w:hAnsiTheme="majorBidi" w:cstheme="majorBidi"/>
          <w:sz w:val="24"/>
          <w:szCs w:val="24"/>
          <w:lang w:val="sv-SE"/>
        </w:rPr>
        <w:t xml:space="preserve">keputusan </w:t>
      </w:r>
      <w:r w:rsidRPr="007F050D">
        <w:rPr>
          <w:rFonts w:asciiTheme="majorBidi" w:hAnsiTheme="majorBidi" w:cstheme="majorBidi"/>
          <w:sz w:val="24"/>
          <w:szCs w:val="24"/>
          <w:lang w:val="sv-SE"/>
        </w:rPr>
        <w:t>fatwa MUI dalam munas II tahun 1400/1980 tentang perkawinan campuran</w:t>
      </w:r>
      <w:r>
        <w:rPr>
          <w:rFonts w:asciiTheme="majorBidi" w:hAnsiTheme="majorBidi" w:cstheme="majorBidi"/>
          <w:sz w:val="24"/>
          <w:szCs w:val="24"/>
          <w:lang w:val="sv-SE"/>
        </w:rPr>
        <w:t>,</w:t>
      </w:r>
      <w:r>
        <w:rPr>
          <w:rStyle w:val="FootnoteReference"/>
          <w:rFonts w:asciiTheme="majorBidi" w:hAnsiTheme="majorBidi" w:cstheme="majorBidi"/>
          <w:sz w:val="24"/>
          <w:szCs w:val="24"/>
          <w:lang w:val="sv-SE"/>
        </w:rPr>
        <w:footnoteReference w:id="640"/>
      </w:r>
      <w:r w:rsidRPr="007F050D">
        <w:rPr>
          <w:rFonts w:asciiTheme="majorBidi" w:hAnsiTheme="majorBidi" w:cstheme="majorBidi"/>
          <w:sz w:val="24"/>
          <w:szCs w:val="24"/>
          <w:lang w:val="sv-SE"/>
        </w:rPr>
        <w:t xml:space="preserve"> dan pendapat sidang komisi C bidang fatwa pada Munas VII MUI 2005. </w:t>
      </w:r>
      <w:r>
        <w:rPr>
          <w:rFonts w:asciiTheme="majorBidi" w:hAnsiTheme="majorBidi" w:cstheme="majorBidi"/>
          <w:sz w:val="24"/>
          <w:szCs w:val="24"/>
          <w:lang w:val="sv-SE"/>
        </w:rPr>
        <w:t xml:space="preserve">Adapun ayat-ayat tersebut </w:t>
      </w:r>
      <w:r w:rsidRPr="00A27F14">
        <w:rPr>
          <w:rFonts w:asciiTheme="majorBidi" w:hAnsiTheme="majorBidi" w:cstheme="majorBidi"/>
          <w:sz w:val="24"/>
          <w:szCs w:val="24"/>
          <w:lang w:val="sv-SE"/>
        </w:rPr>
        <w:t xml:space="preserve">yaitu: </w:t>
      </w:r>
    </w:p>
    <w:p w:rsidR="00343B61" w:rsidRPr="00B82394" w:rsidRDefault="00343B61" w:rsidP="002C0A33">
      <w:pPr>
        <w:pStyle w:val="ListParagraph"/>
        <w:numPr>
          <w:ilvl w:val="0"/>
          <w:numId w:val="52"/>
        </w:numPr>
        <w:tabs>
          <w:tab w:val="left" w:pos="540"/>
        </w:tabs>
        <w:spacing w:line="360" w:lineRule="auto"/>
        <w:ind w:left="1080" w:hanging="360"/>
        <w:jc w:val="both"/>
        <w:rPr>
          <w:rFonts w:asciiTheme="majorBidi" w:hAnsiTheme="majorBidi" w:cstheme="majorBidi"/>
          <w:sz w:val="24"/>
          <w:szCs w:val="24"/>
          <w:lang w:val="sv-SE"/>
        </w:rPr>
      </w:pPr>
      <w:r w:rsidRPr="00B82394">
        <w:rPr>
          <w:rFonts w:asciiTheme="majorBidi" w:hAnsiTheme="majorBidi" w:cstheme="majorBidi"/>
          <w:sz w:val="24"/>
          <w:szCs w:val="24"/>
          <w:lang w:val="sv-SE"/>
        </w:rPr>
        <w:lastRenderedPageBreak/>
        <w:t>Firman Allah SWT (QS. Al-Nisa [4]: 3)</w:t>
      </w:r>
    </w:p>
    <w:p w:rsidR="00343B61" w:rsidRDefault="00343B61" w:rsidP="00343B61">
      <w:pPr>
        <w:pStyle w:val="ListParagraph"/>
        <w:tabs>
          <w:tab w:val="left" w:pos="17"/>
          <w:tab w:val="right" w:pos="7217"/>
        </w:tabs>
        <w:bidi/>
        <w:spacing w:line="240" w:lineRule="auto"/>
        <w:ind w:left="17" w:right="720"/>
        <w:jc w:val="both"/>
        <w:rPr>
          <w:rFonts w:ascii="(normal text)" w:hAnsi="(normal text)"/>
          <w:rtl/>
        </w:rPr>
      </w:pPr>
      <w:r>
        <w:rPr>
          <w:sz w:val="28"/>
          <w:szCs w:val="28"/>
        </w:rPr>
        <w:sym w:font="HQPB4" w:char="F0F7"/>
      </w: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7"/>
      </w:r>
      <w:r>
        <w:rPr>
          <w:sz w:val="28"/>
          <w:szCs w:val="28"/>
        </w:rPr>
        <w:sym w:font="HQPB2" w:char="F04C"/>
      </w:r>
      <w:r>
        <w:rPr>
          <w:sz w:val="28"/>
          <w:szCs w:val="28"/>
        </w:rPr>
        <w:sym w:font="HQPB4" w:char="F0E4"/>
      </w:r>
      <w:r>
        <w:rPr>
          <w:sz w:val="28"/>
          <w:szCs w:val="28"/>
        </w:rPr>
        <w:sym w:font="HQPB2" w:char="F0EA"/>
      </w:r>
      <w:r>
        <w:rPr>
          <w:sz w:val="28"/>
          <w:szCs w:val="28"/>
        </w:rPr>
        <w:sym w:font="HQPB4" w:char="F0F8"/>
      </w:r>
      <w:r>
        <w:rPr>
          <w:sz w:val="28"/>
          <w:szCs w:val="28"/>
        </w:rPr>
        <w:sym w:font="HQPB1" w:char="F0FF"/>
      </w:r>
      <w:r>
        <w:rPr>
          <w:sz w:val="28"/>
          <w:szCs w:val="28"/>
        </w:rPr>
        <w:sym w:font="HQPB4" w:char="F0C5"/>
      </w:r>
      <w:r>
        <w:rPr>
          <w:sz w:val="28"/>
          <w:szCs w:val="28"/>
        </w:rPr>
        <w:sym w:font="HQPB1" w:char="F07A"/>
      </w:r>
      <w:r>
        <w:rPr>
          <w:rFonts w:ascii="(normal text)" w:hAnsi="(normal text)"/>
          <w:rtl/>
        </w:rPr>
        <w:t xml:space="preserve"> </w:t>
      </w:r>
      <w:r>
        <w:rPr>
          <w:sz w:val="28"/>
          <w:szCs w:val="28"/>
        </w:rPr>
        <w:sym w:font="HQPB5" w:char="F09E"/>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1" w:char="F0DC"/>
      </w:r>
      <w:r>
        <w:rPr>
          <w:sz w:val="28"/>
          <w:szCs w:val="28"/>
        </w:rPr>
        <w:sym w:font="HQPB4" w:char="F0C5"/>
      </w:r>
      <w:r>
        <w:rPr>
          <w:sz w:val="28"/>
          <w:szCs w:val="28"/>
        </w:rPr>
        <w:sym w:font="HQPB1" w:char="F0A1"/>
      </w:r>
      <w:r>
        <w:rPr>
          <w:sz w:val="28"/>
          <w:szCs w:val="28"/>
        </w:rPr>
        <w:sym w:font="HQPB4" w:char="F0F8"/>
      </w:r>
      <w:r>
        <w:rPr>
          <w:sz w:val="28"/>
          <w:szCs w:val="28"/>
        </w:rPr>
        <w:sym w:font="HQPB2" w:char="F029"/>
      </w:r>
      <w:r>
        <w:rPr>
          <w:sz w:val="28"/>
          <w:szCs w:val="28"/>
        </w:rPr>
        <w:sym w:font="HQPB4" w:char="F0E8"/>
      </w:r>
      <w:r>
        <w:rPr>
          <w:sz w:val="28"/>
          <w:szCs w:val="28"/>
        </w:rPr>
        <w:sym w:font="HQPB1" w:char="F03F"/>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5" w:char="F034"/>
      </w:r>
      <w:r>
        <w:rPr>
          <w:sz w:val="28"/>
          <w:szCs w:val="28"/>
        </w:rPr>
        <w:sym w:font="HQPB2" w:char="F091"/>
      </w:r>
      <w:r>
        <w:rPr>
          <w:sz w:val="28"/>
          <w:szCs w:val="28"/>
        </w:rPr>
        <w:sym w:font="HQPB5" w:char="F075"/>
      </w:r>
      <w:r>
        <w:rPr>
          <w:sz w:val="28"/>
          <w:szCs w:val="28"/>
        </w:rPr>
        <w:sym w:font="HQPB2" w:char="F04B"/>
      </w:r>
      <w:r>
        <w:rPr>
          <w:sz w:val="28"/>
          <w:szCs w:val="28"/>
        </w:rPr>
        <w:sym w:font="HQPB2" w:char="F0BB"/>
      </w:r>
      <w:r>
        <w:rPr>
          <w:sz w:val="28"/>
          <w:szCs w:val="28"/>
        </w:rPr>
        <w:sym w:font="HQPB5" w:char="F074"/>
      </w:r>
      <w:r>
        <w:rPr>
          <w:sz w:val="28"/>
          <w:szCs w:val="28"/>
        </w:rPr>
        <w:sym w:font="HQPB1" w:char="F047"/>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2"/>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A"/>
      </w:r>
      <w:r>
        <w:rPr>
          <w:sz w:val="28"/>
          <w:szCs w:val="28"/>
        </w:rPr>
        <w:sym w:font="HQPB1" w:char="F03E"/>
      </w:r>
      <w:r>
        <w:rPr>
          <w:sz w:val="28"/>
          <w:szCs w:val="28"/>
        </w:rPr>
        <w:sym w:font="HQPB1" w:char="F024"/>
      </w:r>
      <w:r>
        <w:rPr>
          <w:sz w:val="28"/>
          <w:szCs w:val="28"/>
        </w:rPr>
        <w:sym w:font="HQPB5" w:char="F073"/>
      </w:r>
      <w:r>
        <w:rPr>
          <w:sz w:val="28"/>
          <w:szCs w:val="28"/>
        </w:rPr>
        <w:sym w:font="HQPB1" w:char="F0DB"/>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D3"/>
      </w:r>
      <w:r>
        <w:rPr>
          <w:sz w:val="28"/>
          <w:szCs w:val="28"/>
        </w:rPr>
        <w:sym w:font="HQPB5" w:char="F06F"/>
      </w:r>
      <w:r>
        <w:rPr>
          <w:sz w:val="28"/>
          <w:szCs w:val="28"/>
        </w:rPr>
        <w:sym w:font="HQPB2" w:char="F05F"/>
      </w:r>
      <w:r>
        <w:rPr>
          <w:sz w:val="28"/>
          <w:szCs w:val="28"/>
        </w:rPr>
        <w:sym w:font="HQPB4" w:char="F0F7"/>
      </w:r>
      <w:r>
        <w:rPr>
          <w:sz w:val="28"/>
          <w:szCs w:val="28"/>
        </w:rPr>
        <w:sym w:font="HQPB1" w:char="F057"/>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9"/>
      </w:r>
      <w:r>
        <w:rPr>
          <w:sz w:val="28"/>
          <w:szCs w:val="28"/>
        </w:rPr>
        <w:sym w:font="HQPB1" w:char="F05D"/>
      </w:r>
      <w:r>
        <w:rPr>
          <w:sz w:val="28"/>
          <w:szCs w:val="28"/>
        </w:rPr>
        <w:sym w:font="HQPB2" w:char="F0BB"/>
      </w:r>
      <w:r>
        <w:rPr>
          <w:sz w:val="28"/>
          <w:szCs w:val="28"/>
        </w:rPr>
        <w:sym w:font="HQPB5" w:char="F06E"/>
      </w:r>
      <w:r>
        <w:rPr>
          <w:sz w:val="28"/>
          <w:szCs w:val="28"/>
        </w:rPr>
        <w:sym w:font="HQPB2" w:char="F03D"/>
      </w:r>
      <w:r>
        <w:rPr>
          <w:sz w:val="28"/>
          <w:szCs w:val="28"/>
        </w:rPr>
        <w:sym w:font="HQPB4" w:char="F0E8"/>
      </w:r>
      <w:r>
        <w:rPr>
          <w:sz w:val="28"/>
          <w:szCs w:val="28"/>
        </w:rPr>
        <w:sym w:font="HQPB1" w:char="F04F"/>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1" w:char="F0EC"/>
      </w:r>
      <w:r>
        <w:rPr>
          <w:sz w:val="28"/>
          <w:szCs w:val="28"/>
        </w:rPr>
        <w:sym w:font="HQPB2" w:char="F0BB"/>
      </w:r>
      <w:r>
        <w:rPr>
          <w:sz w:val="28"/>
          <w:szCs w:val="28"/>
        </w:rPr>
        <w:sym w:font="HQPB5" w:char="F074"/>
      </w:r>
      <w:r>
        <w:rPr>
          <w:sz w:val="28"/>
          <w:szCs w:val="28"/>
        </w:rPr>
        <w:sym w:font="HQPB1" w:char="F02F"/>
      </w:r>
      <w:r>
        <w:rPr>
          <w:sz w:val="28"/>
          <w:szCs w:val="28"/>
        </w:rPr>
        <w:sym w:font="HQPB4" w:char="F0E2"/>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7"/>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7"/>
      </w:r>
      <w:r>
        <w:rPr>
          <w:sz w:val="28"/>
          <w:szCs w:val="28"/>
        </w:rPr>
        <w:sym w:font="HQPB1" w:char="F046"/>
      </w:r>
      <w:r>
        <w:rPr>
          <w:sz w:val="28"/>
          <w:szCs w:val="28"/>
        </w:rPr>
        <w:sym w:font="HQPB4" w:char="F0F8"/>
      </w:r>
      <w:r>
        <w:rPr>
          <w:sz w:val="28"/>
          <w:szCs w:val="28"/>
        </w:rPr>
        <w:sym w:font="HQPB1" w:char="F0FF"/>
      </w:r>
      <w:r>
        <w:rPr>
          <w:sz w:val="28"/>
          <w:szCs w:val="28"/>
        </w:rPr>
        <w:sym w:font="HQPB4" w:char="F0C5"/>
      </w:r>
      <w:r>
        <w:rPr>
          <w:sz w:val="28"/>
          <w:szCs w:val="28"/>
        </w:rPr>
        <w:sym w:font="HQPB1" w:char="F07A"/>
      </w:r>
      <w:r>
        <w:rPr>
          <w:rFonts w:ascii="(normal text)" w:hAnsi="(normal text)"/>
          <w:rtl/>
        </w:rPr>
        <w:t xml:space="preserve"> </w:t>
      </w:r>
      <w:r>
        <w:rPr>
          <w:sz w:val="28"/>
          <w:szCs w:val="28"/>
        </w:rPr>
        <w:sym w:font="HQPB5" w:char="F09E"/>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4" w:char="F0CF"/>
      </w:r>
      <w:r>
        <w:rPr>
          <w:sz w:val="28"/>
          <w:szCs w:val="28"/>
        </w:rPr>
        <w:sym w:font="HQPB1" w:char="F089"/>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B8"/>
      </w:r>
      <w:r>
        <w:rPr>
          <w:sz w:val="28"/>
          <w:szCs w:val="28"/>
        </w:rPr>
        <w:sym w:font="HQPB2" w:char="F06F"/>
      </w:r>
      <w:r>
        <w:rPr>
          <w:sz w:val="28"/>
          <w:szCs w:val="28"/>
        </w:rPr>
        <w:sym w:font="HQPB5" w:char="F079"/>
      </w:r>
      <w:r>
        <w:rPr>
          <w:sz w:val="28"/>
          <w:szCs w:val="28"/>
        </w:rPr>
        <w:sym w:font="HQPB1" w:char="F089"/>
      </w:r>
      <w:r>
        <w:rPr>
          <w:sz w:val="28"/>
          <w:szCs w:val="28"/>
        </w:rPr>
        <w:sym w:font="HQPB4" w:char="F0CF"/>
      </w:r>
      <w:r>
        <w:rPr>
          <w:sz w:val="28"/>
          <w:szCs w:val="28"/>
        </w:rPr>
        <w:sym w:font="HQPB1" w:char="F06E"/>
      </w:r>
      <w:r>
        <w:rPr>
          <w:sz w:val="28"/>
          <w:szCs w:val="28"/>
        </w:rPr>
        <w:sym w:font="HQPB2" w:char="F0BA"/>
      </w:r>
      <w:r>
        <w:rPr>
          <w:sz w:val="28"/>
          <w:szCs w:val="28"/>
        </w:rPr>
        <w:sym w:font="HQPB5" w:char="F075"/>
      </w:r>
      <w:r>
        <w:rPr>
          <w:sz w:val="28"/>
          <w:szCs w:val="28"/>
        </w:rPr>
        <w:sym w:font="HQPB2" w:char="F071"/>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3"/>
      </w:r>
      <w:r>
        <w:rPr>
          <w:sz w:val="28"/>
          <w:szCs w:val="28"/>
        </w:rPr>
        <w:sym w:font="HQPB2" w:char="F033"/>
      </w:r>
      <w:r>
        <w:rPr>
          <w:sz w:val="28"/>
          <w:szCs w:val="28"/>
        </w:rPr>
        <w:sym w:font="HQPB5" w:char="F06E"/>
      </w:r>
      <w:r>
        <w:rPr>
          <w:sz w:val="28"/>
          <w:szCs w:val="28"/>
        </w:rPr>
        <w:sym w:font="HQPB2" w:char="F03D"/>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59"/>
      </w:r>
      <w:r>
        <w:rPr>
          <w:sz w:val="28"/>
          <w:szCs w:val="28"/>
        </w:rPr>
        <w:sym w:font="HQPB2" w:char="F0BB"/>
      </w:r>
      <w:r>
        <w:rPr>
          <w:sz w:val="28"/>
          <w:szCs w:val="28"/>
        </w:rPr>
        <w:sym w:font="HQPB5" w:char="F079"/>
      </w:r>
      <w:r>
        <w:rPr>
          <w:sz w:val="28"/>
          <w:szCs w:val="28"/>
        </w:rPr>
        <w:sym w:font="HQPB2" w:char="F04A"/>
      </w:r>
      <w:r>
        <w:rPr>
          <w:sz w:val="28"/>
          <w:szCs w:val="28"/>
        </w:rPr>
        <w:sym w:font="HQPB4" w:char="F0F7"/>
      </w:r>
      <w:r>
        <w:rPr>
          <w:sz w:val="28"/>
          <w:szCs w:val="28"/>
        </w:rPr>
        <w:sym w:font="HQPB2" w:char="F083"/>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F"/>
      </w:r>
      <w:r>
        <w:rPr>
          <w:sz w:val="28"/>
          <w:szCs w:val="28"/>
        </w:rPr>
        <w:sym w:font="HQPB2" w:char="F054"/>
      </w:r>
      <w:r>
        <w:rPr>
          <w:sz w:val="28"/>
          <w:szCs w:val="28"/>
        </w:rPr>
        <w:sym w:font="HQPB4" w:char="F0F7"/>
      </w:r>
      <w:r>
        <w:rPr>
          <w:sz w:val="28"/>
          <w:szCs w:val="28"/>
        </w:rPr>
        <w:sym w:font="HQPB1" w:char="F08A"/>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9E"/>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2" w:char="F071"/>
      </w:r>
      <w:r>
        <w:rPr>
          <w:sz w:val="28"/>
          <w:szCs w:val="28"/>
        </w:rPr>
        <w:sym w:font="HQPB4" w:char="F0E3"/>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FD3A5D">
        <w:rPr>
          <w:rFonts w:asciiTheme="majorBidi" w:hAnsiTheme="majorBidi" w:cstheme="majorBidi"/>
          <w:i/>
          <w:iCs/>
          <w:sz w:val="24"/>
          <w:szCs w:val="24"/>
          <w:lang w:val="sv-SE"/>
        </w:rPr>
        <w:t>” dan jika kamu takut tidak akan dapat Berlaku adil terhadap (hak-hak) perempuan yang yatim (bilamana kamu mengawininya), Maka kawinilah wanita-wanita (lain) yang kamu senangi : dua, tiga atau empat. kemudian jika kamu takut tidak akan dapat Berlaku adil, Maka (kawinilah) seorang saja, atau budak-budak yang kamu miliki. yang demikian itu adalah lebih dekat kepada tidak berbuat aniaya.”</w:t>
      </w:r>
      <w:r w:rsidRPr="00FD3A5D">
        <w:rPr>
          <w:rFonts w:asciiTheme="majorBidi" w:hAnsiTheme="majorBidi" w:cstheme="majorBidi"/>
          <w:sz w:val="24"/>
          <w:szCs w:val="24"/>
          <w:lang w:val="sv-SE"/>
        </w:rPr>
        <w:t>(QS. Al-Nisa [4]: 3)</w:t>
      </w:r>
      <w:r>
        <w:rPr>
          <w:rFonts w:asciiTheme="majorBidi" w:hAnsiTheme="majorBidi" w:cstheme="majorBidi"/>
          <w:sz w:val="24"/>
          <w:szCs w:val="24"/>
          <w:lang w:val="sv-SE"/>
        </w:rPr>
        <w:t xml:space="preserve"> </w:t>
      </w:r>
      <w:r>
        <w:rPr>
          <w:rStyle w:val="FootnoteReference"/>
          <w:rFonts w:asciiTheme="majorBidi" w:hAnsiTheme="majorBidi" w:cstheme="majorBidi"/>
          <w:sz w:val="24"/>
          <w:szCs w:val="24"/>
          <w:lang w:val="sv-SE"/>
        </w:rPr>
        <w:footnoteReference w:id="641"/>
      </w:r>
    </w:p>
    <w:p w:rsidR="00343B61" w:rsidRPr="00D234F1" w:rsidRDefault="00343B61" w:rsidP="00343B61">
      <w:pPr>
        <w:pStyle w:val="ListParagraph"/>
        <w:tabs>
          <w:tab w:val="left" w:pos="1800"/>
        </w:tabs>
        <w:spacing w:line="240" w:lineRule="auto"/>
        <w:jc w:val="both"/>
        <w:rPr>
          <w:rFonts w:asciiTheme="majorBidi" w:hAnsiTheme="majorBidi" w:cstheme="majorBidi"/>
          <w:sz w:val="24"/>
          <w:szCs w:val="24"/>
          <w:lang w:val="sv-SE"/>
        </w:rPr>
      </w:pPr>
    </w:p>
    <w:p w:rsidR="00343B61" w:rsidRPr="00FD3A5D" w:rsidRDefault="00343B61" w:rsidP="002C0A33">
      <w:pPr>
        <w:pStyle w:val="ListParagraph"/>
        <w:numPr>
          <w:ilvl w:val="0"/>
          <w:numId w:val="52"/>
        </w:numPr>
        <w:tabs>
          <w:tab w:val="left" w:pos="1800"/>
        </w:tabs>
        <w:spacing w:line="360" w:lineRule="auto"/>
        <w:ind w:left="900" w:hanging="270"/>
        <w:jc w:val="both"/>
        <w:rPr>
          <w:rFonts w:asciiTheme="majorBidi" w:hAnsiTheme="majorBidi" w:cstheme="majorBidi"/>
          <w:sz w:val="24"/>
          <w:szCs w:val="24"/>
          <w:lang w:val="sv-SE"/>
        </w:rPr>
      </w:pPr>
      <w:r w:rsidRPr="00FD3A5D">
        <w:rPr>
          <w:rFonts w:asciiTheme="majorBidi" w:hAnsiTheme="majorBidi" w:cstheme="majorBidi"/>
          <w:sz w:val="24"/>
          <w:szCs w:val="24"/>
        </w:rPr>
        <w:t>Firman Allah dalam QS.</w:t>
      </w:r>
      <w:r>
        <w:rPr>
          <w:rFonts w:asciiTheme="majorBidi" w:hAnsiTheme="majorBidi" w:cstheme="majorBidi"/>
          <w:sz w:val="24"/>
          <w:szCs w:val="24"/>
        </w:rPr>
        <w:t xml:space="preserve"> </w:t>
      </w:r>
      <w:r w:rsidRPr="0015276F">
        <w:rPr>
          <w:rFonts w:ascii="(normal text)" w:hAnsi="(normal text)"/>
          <w:sz w:val="24"/>
          <w:szCs w:val="24"/>
          <w:lang w:val="sv-SE"/>
        </w:rPr>
        <w:t>Ar-Rum</w:t>
      </w:r>
      <w:r w:rsidRPr="00FD3A5D">
        <w:rPr>
          <w:rFonts w:asciiTheme="majorBidi" w:hAnsiTheme="majorBidi" w:cstheme="majorBidi"/>
          <w:sz w:val="24"/>
          <w:szCs w:val="24"/>
        </w:rPr>
        <w:t xml:space="preserve"> </w:t>
      </w:r>
      <w:r w:rsidRPr="0015276F">
        <w:rPr>
          <w:rFonts w:ascii="(normal text)" w:hAnsi="(normal text)"/>
          <w:sz w:val="24"/>
          <w:szCs w:val="24"/>
          <w:lang w:val="sv-SE"/>
        </w:rPr>
        <w:t>[30]: 21)</w:t>
      </w:r>
    </w:p>
    <w:p w:rsidR="00343B61" w:rsidRDefault="00343B61" w:rsidP="00343B61">
      <w:pPr>
        <w:pStyle w:val="ListParagraph"/>
        <w:tabs>
          <w:tab w:val="left" w:pos="1800"/>
          <w:tab w:val="right" w:pos="7217"/>
        </w:tabs>
        <w:bidi/>
        <w:spacing w:line="240" w:lineRule="auto"/>
        <w:ind w:left="17" w:right="720"/>
        <w:jc w:val="both"/>
        <w:rPr>
          <w:rFonts w:ascii="(normal text)" w:hAnsi="(normal text)"/>
          <w:rtl/>
        </w:rPr>
      </w:pPr>
      <w:r>
        <w:rPr>
          <w:sz w:val="28"/>
          <w:szCs w:val="28"/>
        </w:rPr>
        <w:sym w:font="HQPB4" w:char="F0F4"/>
      </w:r>
      <w:r>
        <w:rPr>
          <w:sz w:val="28"/>
          <w:szCs w:val="28"/>
        </w:rPr>
        <w:sym w:font="HQPB2" w:char="F060"/>
      </w:r>
      <w:r>
        <w:rPr>
          <w:sz w:val="28"/>
          <w:szCs w:val="28"/>
        </w:rPr>
        <w:sym w:font="HQPB4" w:char="F0CF"/>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F"/>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7"/>
      </w:r>
      <w:r>
        <w:rPr>
          <w:sz w:val="28"/>
          <w:szCs w:val="28"/>
        </w:rPr>
        <w:sym w:font="HQPB2" w:char="F0BB"/>
      </w:r>
      <w:r>
        <w:rPr>
          <w:sz w:val="28"/>
          <w:szCs w:val="28"/>
        </w:rPr>
        <w:sym w:font="HQPB5" w:char="F074"/>
      </w:r>
      <w:r>
        <w:rPr>
          <w:sz w:val="28"/>
          <w:szCs w:val="28"/>
        </w:rPr>
        <w:sym w:font="HQPB2" w:char="F083"/>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7"/>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5"/>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5"/>
      </w:r>
      <w:r>
        <w:rPr>
          <w:sz w:val="28"/>
          <w:szCs w:val="28"/>
        </w:rPr>
        <w:sym w:font="HQPB4" w:char="F05B"/>
      </w:r>
      <w:r>
        <w:rPr>
          <w:sz w:val="28"/>
          <w:szCs w:val="28"/>
        </w:rPr>
        <w:sym w:font="HQPB1" w:char="F060"/>
      </w:r>
      <w:r>
        <w:rPr>
          <w:sz w:val="28"/>
          <w:szCs w:val="28"/>
        </w:rPr>
        <w:sym w:font="HQPB2" w:char="F0BA"/>
      </w:r>
      <w:r>
        <w:rPr>
          <w:sz w:val="28"/>
          <w:szCs w:val="28"/>
        </w:rPr>
        <w:sym w:font="HQPB5" w:char="F075"/>
      </w:r>
      <w:r>
        <w:rPr>
          <w:sz w:val="28"/>
          <w:szCs w:val="28"/>
        </w:rPr>
        <w:sym w:font="HQPB2" w:char="F072"/>
      </w:r>
      <w:r>
        <w:rPr>
          <w:sz w:val="28"/>
          <w:szCs w:val="28"/>
        </w:rPr>
        <w:sym w:font="HQPB4" w:char="F0F8"/>
      </w:r>
      <w:r>
        <w:rPr>
          <w:sz w:val="28"/>
          <w:szCs w:val="28"/>
        </w:rPr>
        <w:sym w:font="HQPB1" w:char="F09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4" w:char="F0E4"/>
      </w:r>
      <w:r>
        <w:rPr>
          <w:sz w:val="28"/>
          <w:szCs w:val="28"/>
        </w:rPr>
        <w:sym w:font="HQPB2" w:char="F033"/>
      </w:r>
      <w:r>
        <w:rPr>
          <w:sz w:val="28"/>
          <w:szCs w:val="28"/>
        </w:rPr>
        <w:sym w:font="HQPB4" w:char="F0F3"/>
      </w:r>
      <w:r>
        <w:rPr>
          <w:sz w:val="28"/>
          <w:szCs w:val="28"/>
        </w:rPr>
        <w:sym w:font="HQPB1" w:char="F0A1"/>
      </w:r>
      <w:r>
        <w:rPr>
          <w:sz w:val="28"/>
          <w:szCs w:val="28"/>
        </w:rPr>
        <w:sym w:font="HQPB5" w:char="F074"/>
      </w:r>
      <w:r>
        <w:rPr>
          <w:sz w:val="28"/>
          <w:szCs w:val="28"/>
        </w:rPr>
        <w:sym w:font="HQPB1" w:char="F046"/>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4" w:char="F0F8"/>
      </w:r>
      <w:r>
        <w:rPr>
          <w:sz w:val="28"/>
          <w:szCs w:val="28"/>
        </w:rPr>
        <w:sym w:font="HQPB2" w:char="F08A"/>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4E"/>
      </w:r>
      <w:r>
        <w:rPr>
          <w:sz w:val="28"/>
          <w:szCs w:val="28"/>
        </w:rPr>
        <w:sym w:font="HQPB4" w:char="F0E0"/>
      </w:r>
      <w:r>
        <w:rPr>
          <w:sz w:val="28"/>
          <w:szCs w:val="28"/>
        </w:rPr>
        <w:sym w:font="HQPB2" w:char="F036"/>
      </w:r>
      <w:r>
        <w:rPr>
          <w:sz w:val="28"/>
          <w:szCs w:val="28"/>
        </w:rPr>
        <w:sym w:font="HQPB5" w:char="F075"/>
      </w:r>
      <w:r>
        <w:rPr>
          <w:sz w:val="28"/>
          <w:szCs w:val="28"/>
        </w:rPr>
        <w:sym w:font="HQPB2" w:char="F05A"/>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5A"/>
      </w:r>
      <w:r>
        <w:rPr>
          <w:sz w:val="28"/>
          <w:szCs w:val="28"/>
        </w:rPr>
        <w:sym w:font="HQPB2" w:char="F06F"/>
      </w:r>
      <w:r>
        <w:rPr>
          <w:sz w:val="28"/>
          <w:szCs w:val="28"/>
        </w:rPr>
        <w:sym w:font="HQPB4" w:char="F0A8"/>
      </w:r>
      <w:r>
        <w:rPr>
          <w:sz w:val="28"/>
          <w:szCs w:val="28"/>
        </w:rPr>
        <w:sym w:font="HQPB1" w:char="F08A"/>
      </w:r>
      <w:r>
        <w:rPr>
          <w:sz w:val="28"/>
          <w:szCs w:val="28"/>
        </w:rPr>
        <w:sym w:font="HQPB5" w:char="F075"/>
      </w:r>
      <w:r>
        <w:rPr>
          <w:sz w:val="28"/>
          <w:szCs w:val="28"/>
        </w:rPr>
        <w:sym w:font="HQPB2" w:char="F071"/>
      </w:r>
      <w:r>
        <w:rPr>
          <w:sz w:val="28"/>
          <w:szCs w:val="28"/>
        </w:rPr>
        <w:sym w:font="HQPB4" w:char="F0A8"/>
      </w:r>
      <w:r>
        <w:rPr>
          <w:sz w:val="28"/>
          <w:szCs w:val="28"/>
        </w:rPr>
        <w:sym w:font="HQPB2" w:char="F042"/>
      </w:r>
      <w:r>
        <w:rPr>
          <w:rFonts w:ascii="(normal text)" w:hAnsi="(normal text)"/>
          <w:rtl/>
        </w:rPr>
        <w:t xml:space="preserve"> </w:t>
      </w:r>
      <w:r>
        <w:rPr>
          <w:sz w:val="28"/>
          <w:szCs w:val="28"/>
        </w:rPr>
        <w:sym w:font="HQPB4" w:char="F0BA"/>
      </w:r>
      <w:r>
        <w:rPr>
          <w:sz w:val="28"/>
          <w:szCs w:val="28"/>
        </w:rPr>
        <w:sym w:font="HQPB2" w:char="F070"/>
      </w:r>
      <w:r>
        <w:rPr>
          <w:sz w:val="28"/>
          <w:szCs w:val="28"/>
        </w:rPr>
        <w:sym w:font="HQPB5" w:char="F079"/>
      </w:r>
      <w:r>
        <w:rPr>
          <w:sz w:val="28"/>
          <w:szCs w:val="28"/>
        </w:rPr>
        <w:sym w:font="HQPB2" w:char="F04A"/>
      </w:r>
      <w:r>
        <w:rPr>
          <w:sz w:val="28"/>
          <w:szCs w:val="28"/>
        </w:rPr>
        <w:sym w:font="HQPB4" w:char="F0F4"/>
      </w:r>
      <w:r>
        <w:rPr>
          <w:sz w:val="28"/>
          <w:szCs w:val="28"/>
        </w:rPr>
        <w:sym w:font="HQPB1" w:char="F06D"/>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4"/>
      </w:r>
      <w:r>
        <w:rPr>
          <w:sz w:val="28"/>
          <w:szCs w:val="28"/>
        </w:rPr>
        <w:sym w:font="HQPB2" w:char="F083"/>
      </w:r>
      <w:r>
        <w:rPr>
          <w:sz w:val="28"/>
          <w:szCs w:val="28"/>
        </w:rPr>
        <w:sym w:font="HQPB5" w:char="F055"/>
      </w:r>
      <w:r>
        <w:rPr>
          <w:sz w:val="28"/>
          <w:szCs w:val="28"/>
        </w:rPr>
        <w:sym w:font="HQPB2" w:char="F079"/>
      </w:r>
      <w:r>
        <w:rPr>
          <w:rFonts w:ascii="(normal text)" w:hAnsi="(normal text)"/>
          <w:rtl/>
        </w:rPr>
        <w:t xml:space="preserve"> </w:t>
      </w:r>
      <w:r>
        <w:rPr>
          <w:sz w:val="28"/>
          <w:szCs w:val="28"/>
        </w:rPr>
        <w:sym w:font="HQPB4" w:char="F035"/>
      </w:r>
      <w:r>
        <w:rPr>
          <w:sz w:val="28"/>
          <w:szCs w:val="28"/>
        </w:rPr>
        <w:sym w:font="HQPB2" w:char="F051"/>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A9"/>
      </w:r>
      <w:r>
        <w:rPr>
          <w:sz w:val="28"/>
          <w:szCs w:val="28"/>
        </w:rPr>
        <w:sym w:font="HQPB2" w:char="F033"/>
      </w:r>
      <w:r>
        <w:rPr>
          <w:sz w:val="28"/>
          <w:szCs w:val="28"/>
        </w:rPr>
        <w:sym w:font="HQPB5" w:char="F078"/>
      </w:r>
      <w:r>
        <w:rPr>
          <w:sz w:val="28"/>
          <w:szCs w:val="28"/>
        </w:rPr>
        <w:sym w:font="HQPB1" w:char="F0FF"/>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A"/>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normal text)" w:hAnsi="(normal text)"/>
          <w:sz w:val="24"/>
          <w:szCs w:val="24"/>
          <w:lang w:val="sv-SE"/>
        </w:rPr>
      </w:pPr>
      <w:r>
        <w:rPr>
          <w:rFonts w:asciiTheme="majorBidi" w:hAnsiTheme="majorBidi" w:cstheme="majorBidi"/>
          <w:sz w:val="24"/>
          <w:szCs w:val="24"/>
          <w:lang w:val="sv-SE"/>
        </w:rPr>
        <w:t>Artinya:</w:t>
      </w:r>
      <w:r>
        <w:rPr>
          <w:rFonts w:ascii="(normal text)" w:hAnsi="(normal text)"/>
          <w:i/>
          <w:iCs/>
          <w:sz w:val="24"/>
          <w:szCs w:val="24"/>
          <w:lang w:val="sv-SE"/>
        </w:rPr>
        <w:t>”</w:t>
      </w:r>
      <w:r w:rsidRPr="0015276F">
        <w:rPr>
          <w:rFonts w:ascii="(normal text)" w:hAnsi="(normal text)"/>
          <w:i/>
          <w:iCs/>
          <w:sz w:val="24"/>
          <w:szCs w:val="24"/>
          <w:lang w:val="sv-SE"/>
        </w:rPr>
        <w:t xml:space="preserve">dan di antara tanda-tanda kekuasaan-Nya ialah Dia menciptakan untukmu isteri-isteri dari jenismu sendiri, supaya kamu cenderung dan merasa tenteram kepadanya, dan dijadikan-Nya diantaramu rasa kasih dan sayang. </w:t>
      </w:r>
      <w:r w:rsidRPr="0015276F">
        <w:rPr>
          <w:rFonts w:ascii="(normal text)" w:hAnsi="(normal text)"/>
          <w:i/>
          <w:iCs/>
          <w:sz w:val="24"/>
          <w:szCs w:val="24"/>
        </w:rPr>
        <w:t>Sesungguhnya pada yang demikian itu benar-benar terdapat tanda-tanda bagi kaum yang berfikir.”</w:t>
      </w:r>
      <w:r w:rsidRPr="0015276F">
        <w:rPr>
          <w:rFonts w:ascii="(normal text)" w:hAnsi="(normal text)"/>
          <w:i/>
          <w:iCs/>
          <w:sz w:val="24"/>
          <w:szCs w:val="24"/>
          <w:lang w:val="sv-SE"/>
        </w:rPr>
        <w:t xml:space="preserve"> </w:t>
      </w:r>
      <w:r w:rsidRPr="0015276F">
        <w:rPr>
          <w:rFonts w:ascii="(normal text)" w:hAnsi="(normal text)"/>
          <w:sz w:val="24"/>
          <w:szCs w:val="24"/>
          <w:lang w:val="sv-SE"/>
        </w:rPr>
        <w:t>(QS. Ar-Rum [30]: 21)</w:t>
      </w:r>
      <w:r>
        <w:rPr>
          <w:rFonts w:ascii="(normal text)" w:hAnsi="(normal text)"/>
          <w:sz w:val="24"/>
          <w:szCs w:val="24"/>
          <w:lang w:val="sv-SE"/>
        </w:rPr>
        <w:t xml:space="preserve"> </w:t>
      </w:r>
      <w:r>
        <w:rPr>
          <w:rStyle w:val="FootnoteReference"/>
          <w:rFonts w:ascii="(normal text)" w:hAnsi="(normal text)"/>
          <w:sz w:val="24"/>
          <w:szCs w:val="24"/>
          <w:lang w:val="sv-SE"/>
        </w:rPr>
        <w:footnoteReference w:id="642"/>
      </w:r>
    </w:p>
    <w:p w:rsidR="00343B61" w:rsidRPr="00D234F1" w:rsidRDefault="00343B61" w:rsidP="00343B61">
      <w:pPr>
        <w:pStyle w:val="ListParagraph"/>
        <w:tabs>
          <w:tab w:val="left" w:pos="1800"/>
        </w:tabs>
        <w:spacing w:line="240" w:lineRule="auto"/>
        <w:jc w:val="both"/>
        <w:rPr>
          <w:rFonts w:ascii="(normal text)" w:hAnsi="(normal text)"/>
          <w:sz w:val="24"/>
          <w:szCs w:val="24"/>
          <w:lang w:val="sv-SE"/>
        </w:rPr>
      </w:pPr>
    </w:p>
    <w:p w:rsidR="00343B61" w:rsidRDefault="00343B61" w:rsidP="002C0A33">
      <w:pPr>
        <w:pStyle w:val="ListParagraph"/>
        <w:numPr>
          <w:ilvl w:val="0"/>
          <w:numId w:val="52"/>
        </w:numPr>
        <w:tabs>
          <w:tab w:val="left" w:pos="1800"/>
        </w:tabs>
        <w:spacing w:after="0" w:line="360" w:lineRule="auto"/>
        <w:ind w:left="990" w:hanging="450"/>
        <w:jc w:val="both"/>
        <w:rPr>
          <w:rFonts w:ascii="(normal text)" w:hAnsi="(normal text)"/>
          <w:sz w:val="24"/>
          <w:szCs w:val="24"/>
          <w:lang w:val="sv-SE"/>
        </w:rPr>
      </w:pPr>
      <w:r w:rsidRPr="00E938DF">
        <w:rPr>
          <w:rFonts w:asciiTheme="majorBidi" w:hAnsiTheme="majorBidi" w:cstheme="majorBidi"/>
          <w:sz w:val="24"/>
          <w:szCs w:val="24"/>
          <w:lang w:val="sv-SE"/>
        </w:rPr>
        <w:t xml:space="preserve">Firman Allah dalam </w:t>
      </w:r>
      <w:r>
        <w:rPr>
          <w:rFonts w:ascii="(normal text)" w:hAnsi="(normal text)"/>
          <w:sz w:val="24"/>
          <w:szCs w:val="24"/>
          <w:lang w:val="sv-SE"/>
        </w:rPr>
        <w:t>QS. At-Tahrim [66]: 6</w:t>
      </w:r>
    </w:p>
    <w:p w:rsidR="00343B61" w:rsidRPr="00343B61" w:rsidRDefault="00343B61" w:rsidP="00343B61">
      <w:pPr>
        <w:bidi/>
        <w:spacing w:after="0" w:line="240" w:lineRule="auto"/>
        <w:rPr>
          <w:rFonts w:ascii="(normal text)" w:hAnsi="(normal text)" w:cs="Traditional Arabic"/>
          <w:sz w:val="28"/>
          <w:szCs w:val="28"/>
          <w:lang w:val="sv-SE"/>
        </w:rPr>
      </w:pPr>
      <w:r w:rsidRPr="00673B81">
        <w:rPr>
          <w:rFonts w:cs="Traditional Arabic"/>
          <w:sz w:val="28"/>
          <w:szCs w:val="28"/>
        </w:rPr>
        <w:lastRenderedPageBreak/>
        <w:sym w:font="HQPB1" w:char="F024"/>
      </w:r>
      <w:r w:rsidRPr="00673B81">
        <w:rPr>
          <w:rFonts w:cs="Traditional Arabic"/>
          <w:sz w:val="28"/>
          <w:szCs w:val="28"/>
        </w:rPr>
        <w:sym w:font="HQPB5" w:char="F070"/>
      </w:r>
      <w:r w:rsidRPr="00673B81">
        <w:rPr>
          <w:rFonts w:cs="Traditional Arabic"/>
          <w:sz w:val="28"/>
          <w:szCs w:val="28"/>
        </w:rPr>
        <w:sym w:font="HQPB2" w:char="F06B"/>
      </w:r>
      <w:r w:rsidRPr="00673B81">
        <w:rPr>
          <w:rFonts w:cs="Traditional Arabic"/>
          <w:sz w:val="28"/>
          <w:szCs w:val="28"/>
        </w:rPr>
        <w:sym w:font="HQPB4" w:char="F09A"/>
      </w:r>
      <w:r w:rsidRPr="00673B81">
        <w:rPr>
          <w:rFonts w:cs="Traditional Arabic"/>
          <w:sz w:val="28"/>
          <w:szCs w:val="28"/>
        </w:rPr>
        <w:sym w:font="HQPB2" w:char="F089"/>
      </w:r>
      <w:r w:rsidRPr="00673B81">
        <w:rPr>
          <w:rFonts w:cs="Traditional Arabic"/>
          <w:sz w:val="28"/>
          <w:szCs w:val="28"/>
        </w:rPr>
        <w:sym w:font="HQPB5" w:char="F072"/>
      </w:r>
      <w:r w:rsidRPr="00673B81">
        <w:rPr>
          <w:rFonts w:cs="Traditional Arabic"/>
          <w:sz w:val="28"/>
          <w:szCs w:val="28"/>
        </w:rPr>
        <w:sym w:font="HQPB1" w:char="F027"/>
      </w:r>
      <w:r w:rsidRPr="00673B81">
        <w:rPr>
          <w:rFonts w:cs="Traditional Arabic"/>
          <w:sz w:val="28"/>
          <w:szCs w:val="28"/>
        </w:rPr>
        <w:sym w:font="HQPB5" w:char="F0AF"/>
      </w:r>
      <w:r w:rsidRPr="00673B81">
        <w:rPr>
          <w:rFonts w:cs="Traditional Arabic"/>
          <w:sz w:val="28"/>
          <w:szCs w:val="28"/>
        </w:rPr>
        <w:sym w:font="HQPB2" w:char="F0BB"/>
      </w:r>
      <w:r w:rsidRPr="00673B81">
        <w:rPr>
          <w:rFonts w:cs="Traditional Arabic"/>
          <w:sz w:val="28"/>
          <w:szCs w:val="28"/>
        </w:rPr>
        <w:sym w:font="HQPB5" w:char="F074"/>
      </w:r>
      <w:r w:rsidRPr="00673B81">
        <w:rPr>
          <w:rFonts w:cs="Traditional Arabic"/>
          <w:sz w:val="28"/>
          <w:szCs w:val="28"/>
        </w:rPr>
        <w:sym w:font="HQPB2" w:char="F083"/>
      </w:r>
      <w:r w:rsidRPr="00673B81">
        <w:rPr>
          <w:rFonts w:ascii="(normal text)" w:hAnsi="(normal text)" w:cs="Traditional Arabic"/>
          <w:sz w:val="28"/>
          <w:szCs w:val="28"/>
          <w:rtl/>
        </w:rPr>
        <w:t xml:space="preserve"> </w:t>
      </w:r>
      <w:r w:rsidRPr="00673B81">
        <w:rPr>
          <w:rFonts w:cs="Traditional Arabic"/>
          <w:sz w:val="28"/>
          <w:szCs w:val="28"/>
        </w:rPr>
        <w:sym w:font="HQPB5" w:char="F074"/>
      </w:r>
      <w:r w:rsidRPr="00673B81">
        <w:rPr>
          <w:rFonts w:cs="Traditional Arabic"/>
          <w:sz w:val="28"/>
          <w:szCs w:val="28"/>
        </w:rPr>
        <w:sym w:font="HQPB2" w:char="F0FB"/>
      </w:r>
      <w:r w:rsidRPr="00673B81">
        <w:rPr>
          <w:rFonts w:cs="Traditional Arabic"/>
          <w:sz w:val="28"/>
          <w:szCs w:val="28"/>
        </w:rPr>
        <w:sym w:font="HQPB2" w:char="F0EF"/>
      </w:r>
      <w:r w:rsidRPr="00673B81">
        <w:rPr>
          <w:rFonts w:cs="Traditional Arabic"/>
          <w:sz w:val="28"/>
          <w:szCs w:val="28"/>
        </w:rPr>
        <w:sym w:font="HQPB4" w:char="F0CF"/>
      </w:r>
      <w:r w:rsidRPr="00673B81">
        <w:rPr>
          <w:rFonts w:cs="Traditional Arabic"/>
          <w:sz w:val="28"/>
          <w:szCs w:val="28"/>
        </w:rPr>
        <w:sym w:font="HQPB3" w:char="F025"/>
      </w:r>
      <w:r w:rsidRPr="00673B81">
        <w:rPr>
          <w:rFonts w:cs="Traditional Arabic"/>
          <w:sz w:val="28"/>
          <w:szCs w:val="28"/>
        </w:rPr>
        <w:sym w:font="HQPB4" w:char="F0A9"/>
      </w:r>
      <w:r w:rsidRPr="00673B81">
        <w:rPr>
          <w:rFonts w:cs="Traditional Arabic"/>
          <w:sz w:val="28"/>
          <w:szCs w:val="28"/>
        </w:rPr>
        <w:sym w:font="HQPB3" w:char="F021"/>
      </w:r>
      <w:r w:rsidRPr="00673B81">
        <w:rPr>
          <w:rFonts w:cs="Traditional Arabic"/>
          <w:sz w:val="28"/>
          <w:szCs w:val="28"/>
        </w:rPr>
        <w:sym w:font="HQPB5" w:char="F024"/>
      </w:r>
      <w:r w:rsidRPr="00673B81">
        <w:rPr>
          <w:rFonts w:cs="Traditional Arabic"/>
          <w:sz w:val="28"/>
          <w:szCs w:val="28"/>
        </w:rPr>
        <w:sym w:font="HQPB1" w:char="F023"/>
      </w:r>
      <w:r w:rsidRPr="00673B81">
        <w:rPr>
          <w:rFonts w:ascii="(normal text)" w:hAnsi="(normal text)" w:cs="Traditional Arabic"/>
          <w:sz w:val="28"/>
          <w:szCs w:val="28"/>
          <w:rtl/>
        </w:rPr>
        <w:t xml:space="preserve"> </w:t>
      </w:r>
      <w:r w:rsidRPr="00673B81">
        <w:rPr>
          <w:rFonts w:cs="Traditional Arabic"/>
          <w:sz w:val="28"/>
          <w:szCs w:val="28"/>
        </w:rPr>
        <w:sym w:font="HQPB5" w:char="F028"/>
      </w:r>
      <w:r w:rsidRPr="00673B81">
        <w:rPr>
          <w:rFonts w:cs="Traditional Arabic"/>
          <w:sz w:val="28"/>
          <w:szCs w:val="28"/>
        </w:rPr>
        <w:sym w:font="HQPB1" w:char="F023"/>
      </w:r>
      <w:r w:rsidRPr="00673B81">
        <w:rPr>
          <w:rFonts w:cs="Traditional Arabic"/>
          <w:sz w:val="28"/>
          <w:szCs w:val="28"/>
        </w:rPr>
        <w:sym w:font="HQPB2" w:char="F071"/>
      </w:r>
      <w:r w:rsidRPr="00673B81">
        <w:rPr>
          <w:rFonts w:cs="Traditional Arabic"/>
          <w:sz w:val="28"/>
          <w:szCs w:val="28"/>
        </w:rPr>
        <w:sym w:font="HQPB4" w:char="F0E3"/>
      </w:r>
      <w:r w:rsidRPr="00673B81">
        <w:rPr>
          <w:rFonts w:cs="Traditional Arabic"/>
          <w:sz w:val="28"/>
          <w:szCs w:val="28"/>
        </w:rPr>
        <w:sym w:font="HQPB2" w:char="F05A"/>
      </w:r>
      <w:r w:rsidRPr="00673B81">
        <w:rPr>
          <w:rFonts w:cs="Traditional Arabic"/>
          <w:sz w:val="28"/>
          <w:szCs w:val="28"/>
        </w:rPr>
        <w:sym w:font="HQPB5" w:char="F074"/>
      </w:r>
      <w:r w:rsidRPr="00673B81">
        <w:rPr>
          <w:rFonts w:cs="Traditional Arabic"/>
          <w:sz w:val="28"/>
          <w:szCs w:val="28"/>
        </w:rPr>
        <w:sym w:font="HQPB2" w:char="F042"/>
      </w:r>
      <w:r w:rsidRPr="00673B81">
        <w:rPr>
          <w:rFonts w:cs="Traditional Arabic"/>
          <w:sz w:val="28"/>
          <w:szCs w:val="28"/>
        </w:rPr>
        <w:sym w:font="HQPB1" w:char="F023"/>
      </w:r>
      <w:r w:rsidRPr="00673B81">
        <w:rPr>
          <w:rFonts w:cs="Traditional Arabic"/>
          <w:sz w:val="28"/>
          <w:szCs w:val="28"/>
        </w:rPr>
        <w:sym w:font="HQPB5" w:char="F075"/>
      </w:r>
      <w:r w:rsidRPr="00673B81">
        <w:rPr>
          <w:rFonts w:cs="Traditional Arabic"/>
          <w:sz w:val="28"/>
          <w:szCs w:val="28"/>
        </w:rPr>
        <w:sym w:font="HQPB2" w:char="F0E4"/>
      </w:r>
      <w:r w:rsidRPr="00673B81">
        <w:rPr>
          <w:rFonts w:ascii="(normal text)" w:hAnsi="(normal text)" w:cs="Traditional Arabic"/>
          <w:sz w:val="28"/>
          <w:szCs w:val="28"/>
          <w:rtl/>
        </w:rPr>
        <w:t xml:space="preserve"> </w:t>
      </w:r>
      <w:r w:rsidRPr="00673B81">
        <w:rPr>
          <w:rFonts w:cs="Traditional Arabic"/>
          <w:sz w:val="28"/>
          <w:szCs w:val="28"/>
        </w:rPr>
        <w:sym w:font="HQPB5" w:char="F028"/>
      </w:r>
      <w:r w:rsidRPr="00673B81">
        <w:rPr>
          <w:rFonts w:cs="Traditional Arabic"/>
          <w:sz w:val="28"/>
          <w:szCs w:val="28"/>
        </w:rPr>
        <w:sym w:font="HQPB1" w:char="F023"/>
      </w:r>
      <w:r w:rsidRPr="00673B81">
        <w:rPr>
          <w:rFonts w:cs="Traditional Arabic"/>
          <w:sz w:val="28"/>
          <w:szCs w:val="28"/>
        </w:rPr>
        <w:sym w:font="HQPB4" w:char="F0FE"/>
      </w:r>
      <w:r w:rsidRPr="00673B81">
        <w:rPr>
          <w:rFonts w:cs="Traditional Arabic"/>
          <w:sz w:val="28"/>
          <w:szCs w:val="28"/>
        </w:rPr>
        <w:sym w:font="HQPB2" w:char="F071"/>
      </w:r>
      <w:r w:rsidRPr="00673B81">
        <w:rPr>
          <w:rFonts w:cs="Traditional Arabic"/>
          <w:sz w:val="28"/>
          <w:szCs w:val="28"/>
        </w:rPr>
        <w:sym w:font="HQPB4" w:char="F0E8"/>
      </w:r>
      <w:r w:rsidRPr="00673B81">
        <w:rPr>
          <w:rFonts w:cs="Traditional Arabic"/>
          <w:sz w:val="28"/>
          <w:szCs w:val="28"/>
        </w:rPr>
        <w:sym w:font="HQPB2" w:char="F025"/>
      </w:r>
      <w:r w:rsidRPr="00673B81">
        <w:rPr>
          <w:rFonts w:ascii="(normal text)" w:hAnsi="(normal text)" w:cs="Traditional Arabic"/>
          <w:sz w:val="28"/>
          <w:szCs w:val="28"/>
          <w:rtl/>
        </w:rPr>
        <w:t xml:space="preserve"> </w:t>
      </w:r>
      <w:r w:rsidRPr="00673B81">
        <w:rPr>
          <w:rFonts w:cs="Traditional Arabic"/>
          <w:sz w:val="28"/>
          <w:szCs w:val="28"/>
        </w:rPr>
        <w:sym w:font="HQPB4" w:char="F0F6"/>
      </w:r>
      <w:r w:rsidRPr="00673B81">
        <w:rPr>
          <w:rFonts w:cs="Traditional Arabic"/>
          <w:sz w:val="28"/>
          <w:szCs w:val="28"/>
        </w:rPr>
        <w:sym w:font="HQPB3" w:char="F02F"/>
      </w:r>
      <w:r w:rsidRPr="00673B81">
        <w:rPr>
          <w:rFonts w:cs="Traditional Arabic"/>
          <w:sz w:val="28"/>
          <w:szCs w:val="28"/>
        </w:rPr>
        <w:sym w:font="HQPB4" w:char="F0E4"/>
      </w:r>
      <w:r w:rsidRPr="00673B81">
        <w:rPr>
          <w:rFonts w:cs="Traditional Arabic"/>
          <w:sz w:val="28"/>
          <w:szCs w:val="28"/>
        </w:rPr>
        <w:sym w:font="HQPB2" w:char="F033"/>
      </w:r>
      <w:r w:rsidRPr="00673B81">
        <w:rPr>
          <w:rFonts w:cs="Traditional Arabic"/>
          <w:sz w:val="28"/>
          <w:szCs w:val="28"/>
        </w:rPr>
        <w:sym w:font="HQPB5" w:char="F07C"/>
      </w:r>
      <w:r w:rsidRPr="00673B81">
        <w:rPr>
          <w:rFonts w:cs="Traditional Arabic"/>
          <w:sz w:val="28"/>
          <w:szCs w:val="28"/>
        </w:rPr>
        <w:sym w:font="HQPB1" w:char="F0A1"/>
      </w:r>
      <w:r w:rsidRPr="00673B81">
        <w:rPr>
          <w:rFonts w:cs="Traditional Arabic"/>
          <w:sz w:val="28"/>
          <w:szCs w:val="28"/>
        </w:rPr>
        <w:sym w:font="HQPB4" w:char="F0E0"/>
      </w:r>
      <w:r w:rsidRPr="00673B81">
        <w:rPr>
          <w:rFonts w:cs="Traditional Arabic"/>
          <w:sz w:val="28"/>
          <w:szCs w:val="28"/>
        </w:rPr>
        <w:sym w:font="HQPB1" w:char="F0FF"/>
      </w:r>
      <w:r w:rsidRPr="00673B81">
        <w:rPr>
          <w:rFonts w:cs="Traditional Arabic"/>
          <w:sz w:val="28"/>
          <w:szCs w:val="28"/>
        </w:rPr>
        <w:sym w:font="HQPB2" w:char="F052"/>
      </w:r>
      <w:r w:rsidRPr="00673B81">
        <w:rPr>
          <w:rFonts w:cs="Traditional Arabic"/>
          <w:sz w:val="28"/>
          <w:szCs w:val="28"/>
        </w:rPr>
        <w:sym w:font="HQPB5" w:char="F072"/>
      </w:r>
      <w:r w:rsidRPr="00673B81">
        <w:rPr>
          <w:rFonts w:cs="Traditional Arabic"/>
          <w:sz w:val="28"/>
          <w:szCs w:val="28"/>
        </w:rPr>
        <w:sym w:font="HQPB1" w:char="F026"/>
      </w:r>
      <w:r w:rsidRPr="00673B81">
        <w:rPr>
          <w:rFonts w:ascii="(normal text)" w:hAnsi="(normal text)" w:cs="Traditional Arabic"/>
          <w:sz w:val="28"/>
          <w:szCs w:val="28"/>
          <w:rtl/>
        </w:rPr>
        <w:t xml:space="preserve"> </w:t>
      </w:r>
      <w:r w:rsidRPr="00673B81">
        <w:rPr>
          <w:rFonts w:cs="Traditional Arabic"/>
          <w:sz w:val="28"/>
          <w:szCs w:val="28"/>
        </w:rPr>
        <w:sym w:font="HQPB4" w:char="F0F6"/>
      </w:r>
      <w:r w:rsidRPr="00673B81">
        <w:rPr>
          <w:rFonts w:cs="Traditional Arabic"/>
          <w:sz w:val="28"/>
          <w:szCs w:val="28"/>
        </w:rPr>
        <w:sym w:font="HQPB3" w:char="F02F"/>
      </w:r>
      <w:r w:rsidRPr="00673B81">
        <w:rPr>
          <w:rFonts w:cs="Traditional Arabic"/>
          <w:sz w:val="28"/>
          <w:szCs w:val="28"/>
        </w:rPr>
        <w:sym w:font="HQPB4" w:char="F0E4"/>
      </w:r>
      <w:r w:rsidRPr="00673B81">
        <w:rPr>
          <w:rFonts w:cs="Traditional Arabic"/>
          <w:sz w:val="28"/>
          <w:szCs w:val="28"/>
        </w:rPr>
        <w:sym w:font="HQPB2" w:char="F033"/>
      </w:r>
      <w:r w:rsidRPr="00673B81">
        <w:rPr>
          <w:rFonts w:cs="Traditional Arabic"/>
          <w:sz w:val="28"/>
          <w:szCs w:val="28"/>
        </w:rPr>
        <w:sym w:font="HQPB2" w:char="F08B"/>
      </w:r>
      <w:r w:rsidRPr="00673B81">
        <w:rPr>
          <w:rFonts w:cs="Traditional Arabic"/>
          <w:sz w:val="28"/>
          <w:szCs w:val="28"/>
        </w:rPr>
        <w:sym w:font="HQPB4" w:char="F0CE"/>
      </w:r>
      <w:r w:rsidRPr="00673B81">
        <w:rPr>
          <w:rFonts w:cs="Traditional Arabic"/>
          <w:sz w:val="28"/>
          <w:szCs w:val="28"/>
        </w:rPr>
        <w:sym w:font="HQPB2" w:char="F03D"/>
      </w:r>
      <w:r w:rsidRPr="00673B81">
        <w:rPr>
          <w:rFonts w:cs="Traditional Arabic"/>
          <w:sz w:val="28"/>
          <w:szCs w:val="28"/>
        </w:rPr>
        <w:sym w:font="HQPB4" w:char="F0F7"/>
      </w:r>
      <w:r w:rsidRPr="00673B81">
        <w:rPr>
          <w:rFonts w:cs="Traditional Arabic"/>
          <w:sz w:val="28"/>
          <w:szCs w:val="28"/>
        </w:rPr>
        <w:sym w:font="HQPB2" w:char="F064"/>
      </w:r>
      <w:r w:rsidRPr="00673B81">
        <w:rPr>
          <w:rFonts w:cs="Traditional Arabic"/>
          <w:sz w:val="28"/>
          <w:szCs w:val="28"/>
        </w:rPr>
        <w:sym w:font="HQPB5" w:char="F072"/>
      </w:r>
      <w:r w:rsidRPr="00673B81">
        <w:rPr>
          <w:rFonts w:cs="Traditional Arabic"/>
          <w:sz w:val="28"/>
          <w:szCs w:val="28"/>
        </w:rPr>
        <w:sym w:font="HQPB1" w:char="F026"/>
      </w:r>
      <w:r w:rsidRPr="00673B81">
        <w:rPr>
          <w:rFonts w:cs="Traditional Arabic"/>
          <w:sz w:val="28"/>
          <w:szCs w:val="28"/>
        </w:rPr>
        <w:sym w:font="HQPB5" w:char="F075"/>
      </w:r>
      <w:r w:rsidRPr="00673B81">
        <w:rPr>
          <w:rFonts w:cs="Traditional Arabic"/>
          <w:sz w:val="28"/>
          <w:szCs w:val="28"/>
        </w:rPr>
        <w:sym w:font="HQPB2" w:char="F072"/>
      </w:r>
      <w:r w:rsidRPr="00673B81">
        <w:rPr>
          <w:rFonts w:ascii="(normal text)" w:hAnsi="(normal text)" w:cs="Traditional Arabic"/>
          <w:sz w:val="28"/>
          <w:szCs w:val="28"/>
          <w:rtl/>
        </w:rPr>
        <w:t xml:space="preserve"> </w:t>
      </w:r>
      <w:r w:rsidRPr="00673B81">
        <w:rPr>
          <w:rFonts w:cs="Traditional Arabic"/>
          <w:sz w:val="28"/>
          <w:szCs w:val="28"/>
        </w:rPr>
        <w:sym w:font="HQPB1" w:char="F023"/>
      </w:r>
      <w:r w:rsidRPr="00673B81">
        <w:rPr>
          <w:rFonts w:cs="Traditional Arabic"/>
          <w:sz w:val="28"/>
          <w:szCs w:val="28"/>
        </w:rPr>
        <w:sym w:font="HQPB4" w:char="F059"/>
      </w:r>
      <w:r w:rsidRPr="00673B81">
        <w:rPr>
          <w:rFonts w:cs="Traditional Arabic"/>
          <w:sz w:val="28"/>
          <w:szCs w:val="28"/>
        </w:rPr>
        <w:sym w:font="HQPB1" w:char="F091"/>
      </w:r>
      <w:r w:rsidRPr="00673B81">
        <w:rPr>
          <w:rFonts w:cs="Traditional Arabic"/>
          <w:sz w:val="28"/>
          <w:szCs w:val="28"/>
        </w:rPr>
        <w:sym w:font="HQPB1" w:char="F024"/>
      </w:r>
      <w:r w:rsidRPr="00673B81">
        <w:rPr>
          <w:rFonts w:cs="Traditional Arabic"/>
          <w:sz w:val="28"/>
          <w:szCs w:val="28"/>
        </w:rPr>
        <w:sym w:font="HQPB5" w:char="F074"/>
      </w:r>
      <w:r w:rsidRPr="00673B81">
        <w:rPr>
          <w:rFonts w:cs="Traditional Arabic"/>
          <w:sz w:val="28"/>
          <w:szCs w:val="28"/>
        </w:rPr>
        <w:sym w:font="HQPB2" w:char="F052"/>
      </w:r>
      <w:r w:rsidRPr="00673B81">
        <w:rPr>
          <w:rFonts w:ascii="(normal text)" w:hAnsi="(normal text)" w:cs="Traditional Arabic"/>
          <w:sz w:val="28"/>
          <w:szCs w:val="28"/>
          <w:rtl/>
        </w:rPr>
        <w:t xml:space="preserve"> </w:t>
      </w:r>
      <w:r w:rsidRPr="00673B81">
        <w:rPr>
          <w:rFonts w:cs="Traditional Arabic"/>
          <w:sz w:val="28"/>
          <w:szCs w:val="28"/>
        </w:rPr>
        <w:sym w:font="HQPB1" w:char="F024"/>
      </w:r>
      <w:r w:rsidRPr="00673B81">
        <w:rPr>
          <w:rFonts w:cs="Traditional Arabic"/>
          <w:sz w:val="28"/>
          <w:szCs w:val="28"/>
        </w:rPr>
        <w:sym w:font="HQPB5" w:char="F079"/>
      </w:r>
      <w:r w:rsidRPr="00673B81">
        <w:rPr>
          <w:rFonts w:cs="Traditional Arabic"/>
          <w:sz w:val="28"/>
          <w:szCs w:val="28"/>
        </w:rPr>
        <w:sym w:font="HQPB2" w:char="F064"/>
      </w:r>
      <w:r w:rsidRPr="00673B81">
        <w:rPr>
          <w:rFonts w:cs="Traditional Arabic"/>
          <w:sz w:val="28"/>
          <w:szCs w:val="28"/>
        </w:rPr>
        <w:sym w:font="HQPB4" w:char="F0DF"/>
      </w:r>
      <w:r w:rsidRPr="00673B81">
        <w:rPr>
          <w:rFonts w:cs="Traditional Arabic"/>
          <w:sz w:val="28"/>
          <w:szCs w:val="28"/>
        </w:rPr>
        <w:sym w:font="HQPB1" w:char="F08A"/>
      </w:r>
      <w:r w:rsidRPr="00673B81">
        <w:rPr>
          <w:rFonts w:cs="Traditional Arabic"/>
          <w:sz w:val="28"/>
          <w:szCs w:val="28"/>
        </w:rPr>
        <w:sym w:font="HQPB2" w:char="F071"/>
      </w:r>
      <w:r w:rsidRPr="00673B81">
        <w:rPr>
          <w:rFonts w:cs="Traditional Arabic"/>
          <w:sz w:val="28"/>
          <w:szCs w:val="28"/>
        </w:rPr>
        <w:sym w:font="HQPB4" w:char="F0E8"/>
      </w:r>
      <w:r w:rsidRPr="00673B81">
        <w:rPr>
          <w:rFonts w:cs="Traditional Arabic"/>
          <w:sz w:val="28"/>
          <w:szCs w:val="28"/>
        </w:rPr>
        <w:sym w:font="HQPB2" w:char="F025"/>
      </w:r>
      <w:r w:rsidRPr="00673B81">
        <w:rPr>
          <w:rFonts w:cs="Traditional Arabic"/>
          <w:sz w:val="28"/>
          <w:szCs w:val="28"/>
        </w:rPr>
        <w:sym w:font="HQPB5" w:char="F075"/>
      </w:r>
      <w:r w:rsidRPr="00673B81">
        <w:rPr>
          <w:rFonts w:cs="Traditional Arabic"/>
          <w:sz w:val="28"/>
          <w:szCs w:val="28"/>
        </w:rPr>
        <w:sym w:font="HQPB2" w:char="F072"/>
      </w:r>
      <w:r w:rsidRPr="00673B81">
        <w:rPr>
          <w:rFonts w:ascii="(normal text)" w:hAnsi="(normal text)" w:cs="Traditional Arabic"/>
          <w:sz w:val="28"/>
          <w:szCs w:val="28"/>
          <w:rtl/>
        </w:rPr>
        <w:t xml:space="preserve"> </w:t>
      </w:r>
      <w:r w:rsidRPr="00673B81">
        <w:rPr>
          <w:rFonts w:cs="Traditional Arabic"/>
          <w:sz w:val="28"/>
          <w:szCs w:val="28"/>
        </w:rPr>
        <w:sym w:font="HQPB4" w:char="F0E2"/>
      </w:r>
      <w:r w:rsidRPr="00673B81">
        <w:rPr>
          <w:rFonts w:cs="Traditional Arabic"/>
          <w:sz w:val="28"/>
          <w:szCs w:val="28"/>
        </w:rPr>
        <w:sym w:font="HQPB1" w:char="F0A8"/>
      </w:r>
      <w:r w:rsidRPr="00673B81">
        <w:rPr>
          <w:rFonts w:cs="Traditional Arabic"/>
          <w:sz w:val="28"/>
          <w:szCs w:val="28"/>
        </w:rPr>
        <w:sym w:font="HQPB1" w:char="F024"/>
      </w:r>
      <w:r w:rsidRPr="00673B81">
        <w:rPr>
          <w:rFonts w:cs="Traditional Arabic"/>
          <w:sz w:val="28"/>
          <w:szCs w:val="28"/>
        </w:rPr>
        <w:sym w:font="HQPB4" w:char="F0A8"/>
      </w:r>
      <w:r w:rsidRPr="00673B81">
        <w:rPr>
          <w:rFonts w:cs="Traditional Arabic"/>
          <w:sz w:val="28"/>
          <w:szCs w:val="28"/>
        </w:rPr>
        <w:sym w:font="HQPB2" w:char="F05A"/>
      </w:r>
      <w:r w:rsidRPr="00673B81">
        <w:rPr>
          <w:rFonts w:cs="Traditional Arabic"/>
          <w:sz w:val="28"/>
          <w:szCs w:val="28"/>
        </w:rPr>
        <w:sym w:font="HQPB2" w:char="F039"/>
      </w:r>
      <w:r w:rsidRPr="00673B81">
        <w:rPr>
          <w:rFonts w:cs="Traditional Arabic"/>
          <w:sz w:val="28"/>
          <w:szCs w:val="28"/>
        </w:rPr>
        <w:sym w:font="HQPB5" w:char="F024"/>
      </w:r>
      <w:r w:rsidRPr="00673B81">
        <w:rPr>
          <w:rFonts w:cs="Traditional Arabic"/>
          <w:sz w:val="28"/>
          <w:szCs w:val="28"/>
        </w:rPr>
        <w:sym w:font="HQPB1" w:char="F023"/>
      </w:r>
      <w:r w:rsidRPr="00673B81">
        <w:rPr>
          <w:rFonts w:ascii="(normal text)" w:hAnsi="(normal text)" w:cs="Traditional Arabic"/>
          <w:sz w:val="28"/>
          <w:szCs w:val="28"/>
          <w:rtl/>
        </w:rPr>
        <w:t xml:space="preserve"> </w:t>
      </w:r>
      <w:r w:rsidRPr="00673B81">
        <w:rPr>
          <w:rFonts w:cs="Traditional Arabic"/>
          <w:sz w:val="28"/>
          <w:szCs w:val="28"/>
        </w:rPr>
        <w:sym w:font="HQPB4" w:char="F0E4"/>
      </w:r>
      <w:r w:rsidRPr="00673B81">
        <w:rPr>
          <w:rFonts w:cs="Traditional Arabic"/>
          <w:sz w:val="28"/>
          <w:szCs w:val="28"/>
        </w:rPr>
        <w:sym w:font="HQPB2" w:char="F06F"/>
      </w:r>
      <w:r w:rsidRPr="00673B81">
        <w:rPr>
          <w:rFonts w:cs="Traditional Arabic"/>
          <w:sz w:val="28"/>
          <w:szCs w:val="28"/>
        </w:rPr>
        <w:sym w:font="HQPB5" w:char="F075"/>
      </w:r>
      <w:r w:rsidRPr="00673B81">
        <w:rPr>
          <w:rFonts w:cs="Traditional Arabic"/>
          <w:sz w:val="28"/>
          <w:szCs w:val="28"/>
        </w:rPr>
        <w:sym w:font="HQPB1" w:char="F091"/>
      </w:r>
      <w:r w:rsidRPr="00673B81">
        <w:rPr>
          <w:rFonts w:cs="Traditional Arabic"/>
          <w:sz w:val="28"/>
          <w:szCs w:val="28"/>
        </w:rPr>
        <w:sym w:font="HQPB1" w:char="F024"/>
      </w:r>
      <w:r w:rsidRPr="00673B81">
        <w:rPr>
          <w:rFonts w:cs="Traditional Arabic"/>
          <w:sz w:val="28"/>
          <w:szCs w:val="28"/>
        </w:rPr>
        <w:sym w:font="HQPB5" w:char="F079"/>
      </w:r>
      <w:r w:rsidRPr="00673B81">
        <w:rPr>
          <w:rFonts w:cs="Traditional Arabic"/>
          <w:sz w:val="28"/>
          <w:szCs w:val="28"/>
        </w:rPr>
        <w:sym w:font="HQPB1" w:char="F066"/>
      </w:r>
      <w:r w:rsidRPr="00673B81">
        <w:rPr>
          <w:rFonts w:cs="Traditional Arabic"/>
          <w:sz w:val="28"/>
          <w:szCs w:val="28"/>
        </w:rPr>
        <w:sym w:font="HQPB4" w:char="F0CF"/>
      </w:r>
      <w:r w:rsidRPr="00673B81">
        <w:rPr>
          <w:rFonts w:cs="Traditional Arabic"/>
          <w:sz w:val="28"/>
          <w:szCs w:val="28"/>
        </w:rPr>
        <w:sym w:font="HQPB1" w:char="F074"/>
      </w:r>
      <w:r w:rsidRPr="00673B81">
        <w:rPr>
          <w:rFonts w:cs="Traditional Arabic"/>
          <w:sz w:val="28"/>
          <w:szCs w:val="28"/>
        </w:rPr>
        <w:sym w:font="HQPB4" w:char="F0F8"/>
      </w:r>
      <w:r w:rsidRPr="00673B81">
        <w:rPr>
          <w:rFonts w:cs="Traditional Arabic"/>
          <w:sz w:val="28"/>
          <w:szCs w:val="28"/>
        </w:rPr>
        <w:sym w:font="HQPB2" w:char="F03A"/>
      </w:r>
      <w:r w:rsidRPr="00673B81">
        <w:rPr>
          <w:rFonts w:cs="Traditional Arabic"/>
          <w:sz w:val="28"/>
          <w:szCs w:val="28"/>
        </w:rPr>
        <w:sym w:font="HQPB5" w:char="F024"/>
      </w:r>
      <w:r w:rsidRPr="00673B81">
        <w:rPr>
          <w:rFonts w:cs="Traditional Arabic"/>
          <w:sz w:val="28"/>
          <w:szCs w:val="28"/>
        </w:rPr>
        <w:sym w:font="HQPB1" w:char="F023"/>
      </w:r>
      <w:r w:rsidRPr="00673B81">
        <w:rPr>
          <w:rFonts w:cs="Traditional Arabic"/>
          <w:sz w:val="28"/>
          <w:szCs w:val="28"/>
        </w:rPr>
        <w:sym w:font="HQPB5" w:char="F075"/>
      </w:r>
      <w:r w:rsidRPr="00673B81">
        <w:rPr>
          <w:rFonts w:cs="Traditional Arabic"/>
          <w:sz w:val="28"/>
          <w:szCs w:val="28"/>
        </w:rPr>
        <w:sym w:font="HQPB2" w:char="F072"/>
      </w:r>
      <w:r w:rsidRPr="00673B81">
        <w:rPr>
          <w:rFonts w:ascii="(normal text)" w:hAnsi="(normal text)" w:cs="Traditional Arabic"/>
          <w:sz w:val="28"/>
          <w:szCs w:val="28"/>
          <w:rtl/>
        </w:rPr>
        <w:t xml:space="preserve"> </w:t>
      </w:r>
      <w:r w:rsidRPr="00673B81">
        <w:rPr>
          <w:rFonts w:cs="Traditional Arabic"/>
          <w:sz w:val="28"/>
          <w:szCs w:val="28"/>
        </w:rPr>
        <w:sym w:font="HQPB1" w:char="F024"/>
      </w:r>
      <w:r w:rsidRPr="00673B81">
        <w:rPr>
          <w:rFonts w:cs="Traditional Arabic"/>
          <w:sz w:val="28"/>
          <w:szCs w:val="28"/>
        </w:rPr>
        <w:sym w:font="HQPB5" w:char="F070"/>
      </w:r>
      <w:r w:rsidRPr="00673B81">
        <w:rPr>
          <w:rFonts w:cs="Traditional Arabic"/>
          <w:sz w:val="28"/>
          <w:szCs w:val="28"/>
        </w:rPr>
        <w:sym w:font="HQPB2" w:char="F06B"/>
      </w:r>
      <w:r w:rsidRPr="00673B81">
        <w:rPr>
          <w:rFonts w:cs="Traditional Arabic"/>
          <w:sz w:val="28"/>
          <w:szCs w:val="28"/>
        </w:rPr>
        <w:sym w:font="HQPB4" w:char="F0F6"/>
      </w:r>
      <w:r w:rsidRPr="00673B81">
        <w:rPr>
          <w:rFonts w:cs="Traditional Arabic"/>
          <w:sz w:val="28"/>
          <w:szCs w:val="28"/>
        </w:rPr>
        <w:sym w:font="HQPB2" w:char="F08E"/>
      </w:r>
      <w:r w:rsidRPr="00673B81">
        <w:rPr>
          <w:rFonts w:cs="Traditional Arabic"/>
          <w:sz w:val="28"/>
          <w:szCs w:val="28"/>
        </w:rPr>
        <w:sym w:font="HQPB5" w:char="F06E"/>
      </w:r>
      <w:r w:rsidRPr="00673B81">
        <w:rPr>
          <w:rFonts w:cs="Traditional Arabic"/>
          <w:sz w:val="28"/>
          <w:szCs w:val="28"/>
        </w:rPr>
        <w:sym w:font="HQPB2" w:char="F03D"/>
      </w:r>
      <w:r w:rsidRPr="00673B81">
        <w:rPr>
          <w:rFonts w:cs="Traditional Arabic"/>
          <w:sz w:val="28"/>
          <w:szCs w:val="28"/>
        </w:rPr>
        <w:sym w:font="HQPB5" w:char="F074"/>
      </w:r>
      <w:r w:rsidRPr="00673B81">
        <w:rPr>
          <w:rFonts w:cs="Traditional Arabic"/>
          <w:sz w:val="28"/>
          <w:szCs w:val="28"/>
        </w:rPr>
        <w:sym w:font="HQPB1" w:char="F0E6"/>
      </w:r>
      <w:r w:rsidRPr="00673B81">
        <w:rPr>
          <w:rFonts w:ascii="(normal text)" w:hAnsi="(normal text)" w:cs="Traditional Arabic"/>
          <w:sz w:val="28"/>
          <w:szCs w:val="28"/>
          <w:rtl/>
        </w:rPr>
        <w:t xml:space="preserve"> </w:t>
      </w:r>
      <w:r w:rsidRPr="00673B81">
        <w:rPr>
          <w:rFonts w:cs="Traditional Arabic"/>
          <w:sz w:val="28"/>
          <w:szCs w:val="28"/>
        </w:rPr>
        <w:sym w:font="HQPB4" w:char="F0EE"/>
      </w:r>
      <w:r w:rsidRPr="00673B81">
        <w:rPr>
          <w:rFonts w:cs="Traditional Arabic"/>
          <w:sz w:val="28"/>
          <w:szCs w:val="28"/>
        </w:rPr>
        <w:sym w:font="HQPB2" w:char="F070"/>
      </w:r>
      <w:r w:rsidRPr="00673B81">
        <w:rPr>
          <w:rFonts w:cs="Traditional Arabic"/>
          <w:sz w:val="28"/>
          <w:szCs w:val="28"/>
        </w:rPr>
        <w:sym w:font="HQPB5" w:char="F073"/>
      </w:r>
      <w:r w:rsidRPr="00673B81">
        <w:rPr>
          <w:rFonts w:cs="Traditional Arabic"/>
          <w:sz w:val="28"/>
          <w:szCs w:val="28"/>
        </w:rPr>
        <w:sym w:font="HQPB2" w:char="F033"/>
      </w:r>
      <w:r w:rsidRPr="00673B81">
        <w:rPr>
          <w:rFonts w:cs="Traditional Arabic"/>
          <w:sz w:val="28"/>
          <w:szCs w:val="28"/>
        </w:rPr>
        <w:sym w:font="HQPB4" w:char="F0CD"/>
      </w:r>
      <w:r w:rsidRPr="00673B81">
        <w:rPr>
          <w:rFonts w:cs="Traditional Arabic"/>
          <w:sz w:val="28"/>
          <w:szCs w:val="28"/>
        </w:rPr>
        <w:sym w:font="HQPB2" w:char="F0B4"/>
      </w:r>
      <w:r w:rsidRPr="00673B81">
        <w:rPr>
          <w:rFonts w:cs="Traditional Arabic"/>
          <w:sz w:val="28"/>
          <w:szCs w:val="28"/>
        </w:rPr>
        <w:sym w:font="HQPB5" w:char="F0AF"/>
      </w:r>
      <w:r w:rsidRPr="00673B81">
        <w:rPr>
          <w:rFonts w:cs="Traditional Arabic"/>
          <w:sz w:val="28"/>
          <w:szCs w:val="28"/>
        </w:rPr>
        <w:sym w:font="HQPB2" w:char="F0BB"/>
      </w:r>
      <w:r w:rsidRPr="00673B81">
        <w:rPr>
          <w:rFonts w:cs="Traditional Arabic"/>
          <w:sz w:val="28"/>
          <w:szCs w:val="28"/>
        </w:rPr>
        <w:sym w:font="HQPB5" w:char="F06E"/>
      </w:r>
      <w:r w:rsidRPr="00673B81">
        <w:rPr>
          <w:rFonts w:cs="Traditional Arabic"/>
          <w:sz w:val="28"/>
          <w:szCs w:val="28"/>
        </w:rPr>
        <w:sym w:font="HQPB2" w:char="F03D"/>
      </w:r>
      <w:r w:rsidRPr="00673B81">
        <w:rPr>
          <w:rFonts w:cs="Traditional Arabic"/>
          <w:sz w:val="28"/>
          <w:szCs w:val="28"/>
        </w:rPr>
        <w:sym w:font="HQPB5" w:char="F074"/>
      </w:r>
      <w:r w:rsidRPr="00673B81">
        <w:rPr>
          <w:rFonts w:cs="Traditional Arabic"/>
          <w:sz w:val="28"/>
          <w:szCs w:val="28"/>
        </w:rPr>
        <w:sym w:font="HQPB2" w:char="F042"/>
      </w:r>
      <w:r w:rsidRPr="00673B81">
        <w:rPr>
          <w:rFonts w:ascii="(normal text)" w:hAnsi="(normal text)" w:cs="Traditional Arabic"/>
          <w:sz w:val="28"/>
          <w:szCs w:val="28"/>
          <w:rtl/>
        </w:rPr>
        <w:t xml:space="preserve"> </w:t>
      </w:r>
      <w:r w:rsidRPr="00673B81">
        <w:rPr>
          <w:rFonts w:cs="Traditional Arabic"/>
          <w:sz w:val="28"/>
          <w:szCs w:val="28"/>
        </w:rPr>
        <w:sym w:font="HQPB4" w:char="F0D4"/>
      </w:r>
      <w:r w:rsidRPr="00673B81">
        <w:rPr>
          <w:rFonts w:cs="Traditional Arabic"/>
          <w:sz w:val="28"/>
          <w:szCs w:val="28"/>
        </w:rPr>
        <w:sym w:font="HQPB1" w:char="F0E2"/>
      </w:r>
      <w:r w:rsidRPr="00673B81">
        <w:rPr>
          <w:rFonts w:cs="Traditional Arabic"/>
          <w:sz w:val="28"/>
          <w:szCs w:val="28"/>
        </w:rPr>
        <w:sym w:font="HQPB5" w:char="F09F"/>
      </w:r>
      <w:r w:rsidRPr="00673B81">
        <w:rPr>
          <w:rFonts w:cs="Traditional Arabic"/>
          <w:sz w:val="28"/>
          <w:szCs w:val="28"/>
        </w:rPr>
        <w:sym w:font="HQPB2" w:char="F078"/>
      </w:r>
      <w:r w:rsidRPr="00673B81">
        <w:rPr>
          <w:rFonts w:cs="Traditional Arabic"/>
          <w:sz w:val="28"/>
          <w:szCs w:val="28"/>
        </w:rPr>
        <w:sym w:font="HQPB4" w:char="F0CF"/>
      </w:r>
      <w:r w:rsidRPr="00673B81">
        <w:rPr>
          <w:rFonts w:cs="Traditional Arabic"/>
          <w:sz w:val="28"/>
          <w:szCs w:val="28"/>
        </w:rPr>
        <w:sym w:font="HQPB1" w:char="F0EE"/>
      </w:r>
      <w:r w:rsidRPr="00673B81">
        <w:rPr>
          <w:rFonts w:ascii="(normal text)" w:hAnsi="(normal text)" w:cs="Traditional Arabic"/>
          <w:sz w:val="28"/>
          <w:szCs w:val="28"/>
          <w:rtl/>
        </w:rPr>
        <w:t xml:space="preserve"> </w:t>
      </w:r>
      <w:r w:rsidRPr="00673B81">
        <w:rPr>
          <w:rFonts w:cs="Traditional Arabic"/>
          <w:sz w:val="28"/>
          <w:szCs w:val="28"/>
        </w:rPr>
        <w:sym w:font="HQPB4" w:char="F0D7"/>
      </w:r>
      <w:r w:rsidRPr="00673B81">
        <w:rPr>
          <w:rFonts w:cs="Traditional Arabic"/>
          <w:sz w:val="28"/>
          <w:szCs w:val="28"/>
        </w:rPr>
        <w:sym w:font="HQPB1" w:char="F08A"/>
      </w:r>
      <w:r w:rsidRPr="00673B81">
        <w:rPr>
          <w:rFonts w:cs="Traditional Arabic"/>
          <w:sz w:val="28"/>
          <w:szCs w:val="28"/>
        </w:rPr>
        <w:sym w:font="HQPB1" w:char="F023"/>
      </w:r>
      <w:r w:rsidRPr="00673B81">
        <w:rPr>
          <w:rFonts w:cs="Traditional Arabic"/>
          <w:sz w:val="28"/>
          <w:szCs w:val="28"/>
        </w:rPr>
        <w:sym w:font="HQPB5" w:char="F079"/>
      </w:r>
      <w:r w:rsidRPr="00673B81">
        <w:rPr>
          <w:rFonts w:cs="Traditional Arabic"/>
          <w:sz w:val="28"/>
          <w:szCs w:val="28"/>
        </w:rPr>
        <w:sym w:font="HQPB1" w:char="F089"/>
      </w:r>
      <w:r w:rsidRPr="00673B81">
        <w:rPr>
          <w:rFonts w:cs="Traditional Arabic"/>
          <w:sz w:val="28"/>
          <w:szCs w:val="28"/>
        </w:rPr>
        <w:sym w:font="HQPB4" w:char="F0CF"/>
      </w:r>
      <w:r w:rsidRPr="00673B81">
        <w:rPr>
          <w:rFonts w:cs="Traditional Arabic"/>
          <w:sz w:val="28"/>
          <w:szCs w:val="28"/>
        </w:rPr>
        <w:sym w:font="HQPB1" w:char="F0A9"/>
      </w:r>
      <w:r w:rsidRPr="00673B81">
        <w:rPr>
          <w:rFonts w:ascii="(normal text)" w:hAnsi="(normal text)" w:cs="Traditional Arabic"/>
          <w:sz w:val="28"/>
          <w:szCs w:val="28"/>
          <w:rtl/>
        </w:rPr>
        <w:t xml:space="preserve"> </w:t>
      </w:r>
      <w:r w:rsidRPr="00673B81">
        <w:rPr>
          <w:rFonts w:cs="Traditional Arabic"/>
          <w:sz w:val="28"/>
          <w:szCs w:val="28"/>
        </w:rPr>
        <w:sym w:font="HQPB5" w:char="F09E"/>
      </w:r>
      <w:r w:rsidRPr="00673B81">
        <w:rPr>
          <w:rFonts w:cs="Traditional Arabic"/>
          <w:sz w:val="28"/>
          <w:szCs w:val="28"/>
        </w:rPr>
        <w:sym w:font="HQPB2" w:char="F077"/>
      </w:r>
      <w:r w:rsidRPr="00673B81">
        <w:rPr>
          <w:rFonts w:ascii="(normal text)" w:hAnsi="(normal text)" w:cs="Traditional Arabic"/>
          <w:sz w:val="28"/>
          <w:szCs w:val="28"/>
          <w:rtl/>
        </w:rPr>
        <w:t xml:space="preserve"> </w:t>
      </w:r>
      <w:r w:rsidRPr="00673B81">
        <w:rPr>
          <w:rFonts w:cs="Traditional Arabic"/>
          <w:sz w:val="28"/>
          <w:szCs w:val="28"/>
        </w:rPr>
        <w:sym w:font="HQPB5" w:char="F074"/>
      </w:r>
      <w:r w:rsidRPr="00673B81">
        <w:rPr>
          <w:rFonts w:cs="Traditional Arabic"/>
          <w:sz w:val="28"/>
          <w:szCs w:val="28"/>
        </w:rPr>
        <w:sym w:font="HQPB2" w:char="F062"/>
      </w:r>
      <w:r w:rsidRPr="00673B81">
        <w:rPr>
          <w:rFonts w:cs="Traditional Arabic"/>
          <w:sz w:val="28"/>
          <w:szCs w:val="28"/>
        </w:rPr>
        <w:sym w:font="HQPB2" w:char="F071"/>
      </w:r>
      <w:r w:rsidRPr="00673B81">
        <w:rPr>
          <w:rFonts w:cs="Traditional Arabic"/>
          <w:sz w:val="28"/>
          <w:szCs w:val="28"/>
        </w:rPr>
        <w:sym w:font="HQPB4" w:char="F0DD"/>
      </w:r>
      <w:r w:rsidRPr="00673B81">
        <w:rPr>
          <w:rFonts w:cs="Traditional Arabic"/>
          <w:sz w:val="28"/>
          <w:szCs w:val="28"/>
        </w:rPr>
        <w:sym w:font="HQPB1" w:char="F0C1"/>
      </w:r>
      <w:r w:rsidRPr="00673B81">
        <w:rPr>
          <w:rFonts w:cs="Traditional Arabic"/>
          <w:sz w:val="28"/>
          <w:szCs w:val="28"/>
        </w:rPr>
        <w:sym w:font="HQPB4" w:char="F0F7"/>
      </w:r>
      <w:r w:rsidRPr="00673B81">
        <w:rPr>
          <w:rFonts w:cs="Traditional Arabic"/>
          <w:sz w:val="28"/>
          <w:szCs w:val="28"/>
        </w:rPr>
        <w:sym w:font="HQPB1" w:char="F0E8"/>
      </w:r>
      <w:r w:rsidRPr="00673B81">
        <w:rPr>
          <w:rFonts w:cs="Traditional Arabic"/>
          <w:sz w:val="28"/>
          <w:szCs w:val="28"/>
        </w:rPr>
        <w:sym w:font="HQPB5" w:char="F074"/>
      </w:r>
      <w:r w:rsidRPr="00673B81">
        <w:rPr>
          <w:rFonts w:cs="Traditional Arabic"/>
          <w:sz w:val="28"/>
          <w:szCs w:val="28"/>
        </w:rPr>
        <w:sym w:font="HQPB2" w:char="F083"/>
      </w:r>
      <w:r w:rsidRPr="00673B81">
        <w:rPr>
          <w:rFonts w:ascii="(normal text)" w:hAnsi="(normal text)" w:cs="Traditional Arabic"/>
          <w:sz w:val="28"/>
          <w:szCs w:val="28"/>
          <w:rtl/>
        </w:rPr>
        <w:t xml:space="preserve"> </w:t>
      </w:r>
      <w:r w:rsidRPr="00673B81">
        <w:rPr>
          <w:rFonts w:ascii="Adobe نسخ Medium" w:hAnsi="Adobe نسخ Medium" w:cs="Traditional Arabic"/>
          <w:sz w:val="28"/>
          <w:szCs w:val="28"/>
          <w:rtl/>
        </w:rPr>
        <w:t>الله</w:t>
      </w:r>
      <w:r w:rsidRPr="00673B81">
        <w:rPr>
          <w:rFonts w:ascii="Adobe نسخ Medium" w:hAnsi="Adobe نسخ Medium" w:cs="Traditional Arabic" w:hint="cs"/>
          <w:sz w:val="28"/>
          <w:szCs w:val="28"/>
          <w:rtl/>
        </w:rPr>
        <w:t>َ</w:t>
      </w:r>
      <w:r w:rsidRPr="00673B81">
        <w:rPr>
          <w:rFonts w:ascii="(normal text)" w:hAnsi="(normal text)" w:cs="Traditional Arabic"/>
          <w:sz w:val="28"/>
          <w:szCs w:val="28"/>
          <w:rtl/>
        </w:rPr>
        <w:t xml:space="preserve"> </w:t>
      </w:r>
      <w:r w:rsidRPr="00673B81">
        <w:rPr>
          <w:rFonts w:cs="Traditional Arabic"/>
          <w:sz w:val="28"/>
          <w:szCs w:val="28"/>
        </w:rPr>
        <w:sym w:font="HQPB5" w:char="F021"/>
      </w:r>
      <w:r w:rsidRPr="00673B81">
        <w:rPr>
          <w:rFonts w:cs="Traditional Arabic"/>
          <w:sz w:val="28"/>
          <w:szCs w:val="28"/>
        </w:rPr>
        <w:sym w:font="HQPB1" w:char="F024"/>
      </w:r>
      <w:r w:rsidRPr="00673B81">
        <w:rPr>
          <w:rFonts w:cs="Traditional Arabic"/>
          <w:sz w:val="28"/>
          <w:szCs w:val="28"/>
        </w:rPr>
        <w:sym w:font="HQPB5" w:char="F074"/>
      </w:r>
      <w:r w:rsidRPr="00673B81">
        <w:rPr>
          <w:rFonts w:cs="Traditional Arabic"/>
          <w:sz w:val="28"/>
          <w:szCs w:val="28"/>
        </w:rPr>
        <w:sym w:font="HQPB2" w:char="F042"/>
      </w:r>
      <w:r w:rsidRPr="00673B81">
        <w:rPr>
          <w:rFonts w:ascii="(normal text)" w:hAnsi="(normal text)" w:cs="Traditional Arabic"/>
          <w:sz w:val="28"/>
          <w:szCs w:val="28"/>
          <w:rtl/>
        </w:rPr>
        <w:t xml:space="preserve"> </w:t>
      </w:r>
      <w:r w:rsidRPr="00673B81">
        <w:rPr>
          <w:rFonts w:cs="Traditional Arabic"/>
          <w:sz w:val="28"/>
          <w:szCs w:val="28"/>
        </w:rPr>
        <w:sym w:font="HQPB4" w:char="F0F6"/>
      </w:r>
      <w:r w:rsidRPr="00673B81">
        <w:rPr>
          <w:rFonts w:cs="Traditional Arabic"/>
          <w:sz w:val="28"/>
          <w:szCs w:val="28"/>
        </w:rPr>
        <w:sym w:font="HQPB2" w:char="F04E"/>
      </w:r>
      <w:r w:rsidRPr="00673B81">
        <w:rPr>
          <w:rFonts w:cs="Traditional Arabic"/>
          <w:sz w:val="28"/>
          <w:szCs w:val="28"/>
        </w:rPr>
        <w:sym w:font="HQPB4" w:char="F0E8"/>
      </w:r>
      <w:r w:rsidRPr="00673B81">
        <w:rPr>
          <w:rFonts w:cs="Traditional Arabic"/>
          <w:sz w:val="28"/>
          <w:szCs w:val="28"/>
        </w:rPr>
        <w:sym w:font="HQPB2" w:char="F064"/>
      </w:r>
      <w:r w:rsidRPr="00673B81">
        <w:rPr>
          <w:rFonts w:cs="Traditional Arabic"/>
          <w:sz w:val="28"/>
          <w:szCs w:val="28"/>
        </w:rPr>
        <w:sym w:font="HQPB5" w:char="F074"/>
      </w:r>
      <w:r w:rsidRPr="00673B81">
        <w:rPr>
          <w:rFonts w:cs="Traditional Arabic"/>
          <w:sz w:val="28"/>
          <w:szCs w:val="28"/>
        </w:rPr>
        <w:sym w:font="HQPB1" w:char="F08D"/>
      </w:r>
      <w:r w:rsidRPr="00673B81">
        <w:rPr>
          <w:rFonts w:cs="Traditional Arabic"/>
          <w:sz w:val="28"/>
          <w:szCs w:val="28"/>
        </w:rPr>
        <w:sym w:font="HQPB5" w:char="F074"/>
      </w:r>
      <w:r w:rsidRPr="00673B81">
        <w:rPr>
          <w:rFonts w:cs="Traditional Arabic"/>
          <w:sz w:val="28"/>
          <w:szCs w:val="28"/>
        </w:rPr>
        <w:sym w:font="HQPB2" w:char="F042"/>
      </w:r>
      <w:r w:rsidRPr="00673B81">
        <w:rPr>
          <w:rFonts w:cs="Traditional Arabic"/>
          <w:sz w:val="28"/>
          <w:szCs w:val="28"/>
        </w:rPr>
        <w:sym w:font="HQPB5" w:char="F072"/>
      </w:r>
      <w:r w:rsidRPr="00673B81">
        <w:rPr>
          <w:rFonts w:cs="Traditional Arabic"/>
          <w:sz w:val="28"/>
          <w:szCs w:val="28"/>
        </w:rPr>
        <w:sym w:font="HQPB1" w:char="F026"/>
      </w:r>
      <w:r w:rsidRPr="00673B81">
        <w:rPr>
          <w:rFonts w:ascii="(normal text)" w:hAnsi="(normal text)" w:cs="Traditional Arabic"/>
          <w:sz w:val="28"/>
          <w:szCs w:val="28"/>
          <w:rtl/>
        </w:rPr>
        <w:t xml:space="preserve"> </w:t>
      </w:r>
      <w:r w:rsidRPr="00673B81">
        <w:rPr>
          <w:rFonts w:cs="Traditional Arabic"/>
          <w:sz w:val="28"/>
          <w:szCs w:val="28"/>
        </w:rPr>
        <w:sym w:font="HQPB5" w:char="F074"/>
      </w:r>
      <w:r w:rsidRPr="00673B81">
        <w:rPr>
          <w:rFonts w:cs="Traditional Arabic"/>
          <w:sz w:val="28"/>
          <w:szCs w:val="28"/>
        </w:rPr>
        <w:sym w:font="HQPB2" w:char="F062"/>
      </w:r>
      <w:r w:rsidRPr="00673B81">
        <w:rPr>
          <w:rFonts w:cs="Traditional Arabic"/>
          <w:sz w:val="28"/>
          <w:szCs w:val="28"/>
        </w:rPr>
        <w:sym w:font="HQPB2" w:char="F071"/>
      </w:r>
      <w:r w:rsidRPr="00673B81">
        <w:rPr>
          <w:rFonts w:cs="Traditional Arabic"/>
          <w:sz w:val="28"/>
          <w:szCs w:val="28"/>
        </w:rPr>
        <w:sym w:font="HQPB4" w:char="F0E8"/>
      </w:r>
      <w:r w:rsidRPr="00673B81">
        <w:rPr>
          <w:rFonts w:cs="Traditional Arabic"/>
          <w:sz w:val="28"/>
          <w:szCs w:val="28"/>
        </w:rPr>
        <w:sym w:font="HQPB2" w:char="F03D"/>
      </w:r>
      <w:r w:rsidRPr="00673B81">
        <w:rPr>
          <w:rFonts w:cs="Traditional Arabic"/>
          <w:sz w:val="28"/>
          <w:szCs w:val="28"/>
        </w:rPr>
        <w:sym w:font="HQPB5" w:char="F079"/>
      </w:r>
      <w:r w:rsidRPr="00673B81">
        <w:rPr>
          <w:rFonts w:cs="Traditional Arabic"/>
          <w:sz w:val="28"/>
          <w:szCs w:val="28"/>
        </w:rPr>
        <w:sym w:font="HQPB1" w:char="F0E8"/>
      </w:r>
      <w:r w:rsidRPr="00673B81">
        <w:rPr>
          <w:rFonts w:cs="Traditional Arabic"/>
          <w:sz w:val="28"/>
          <w:szCs w:val="28"/>
        </w:rPr>
        <w:sym w:font="HQPB4" w:char="F0F8"/>
      </w:r>
      <w:r w:rsidRPr="00673B81">
        <w:rPr>
          <w:rFonts w:cs="Traditional Arabic"/>
          <w:sz w:val="28"/>
          <w:szCs w:val="28"/>
        </w:rPr>
        <w:sym w:font="HQPB1" w:char="F0FF"/>
      </w:r>
      <w:r w:rsidRPr="00673B81">
        <w:rPr>
          <w:rFonts w:cs="Traditional Arabic"/>
          <w:sz w:val="28"/>
          <w:szCs w:val="28"/>
        </w:rPr>
        <w:sym w:font="HQPB5" w:char="F074"/>
      </w:r>
      <w:r w:rsidRPr="00673B81">
        <w:rPr>
          <w:rFonts w:cs="Traditional Arabic"/>
          <w:sz w:val="28"/>
          <w:szCs w:val="28"/>
        </w:rPr>
        <w:sym w:font="HQPB2" w:char="F083"/>
      </w:r>
      <w:r w:rsidRPr="00673B81">
        <w:rPr>
          <w:rFonts w:cs="Traditional Arabic"/>
          <w:sz w:val="28"/>
          <w:szCs w:val="28"/>
        </w:rPr>
        <w:sym w:font="HQPB5" w:char="F075"/>
      </w:r>
      <w:r w:rsidRPr="00673B81">
        <w:rPr>
          <w:rFonts w:cs="Traditional Arabic"/>
          <w:sz w:val="28"/>
          <w:szCs w:val="28"/>
        </w:rPr>
        <w:sym w:font="HQPB2" w:char="F072"/>
      </w:r>
      <w:r w:rsidRPr="00673B81">
        <w:rPr>
          <w:rFonts w:ascii="(normal text)" w:hAnsi="(normal text)" w:cs="Traditional Arabic"/>
          <w:sz w:val="28"/>
          <w:szCs w:val="28"/>
          <w:rtl/>
        </w:rPr>
        <w:t xml:space="preserve"> </w:t>
      </w:r>
      <w:r w:rsidRPr="00673B81">
        <w:rPr>
          <w:rFonts w:cs="Traditional Arabic"/>
          <w:sz w:val="28"/>
          <w:szCs w:val="28"/>
        </w:rPr>
        <w:sym w:font="HQPB1" w:char="F024"/>
      </w:r>
      <w:r w:rsidRPr="00673B81">
        <w:rPr>
          <w:rFonts w:cs="Traditional Arabic"/>
          <w:sz w:val="28"/>
          <w:szCs w:val="28"/>
        </w:rPr>
        <w:sym w:font="HQPB5" w:char="F074"/>
      </w:r>
      <w:r w:rsidRPr="00673B81">
        <w:rPr>
          <w:rFonts w:cs="Traditional Arabic"/>
          <w:sz w:val="28"/>
          <w:szCs w:val="28"/>
        </w:rPr>
        <w:sym w:font="HQPB2" w:char="F042"/>
      </w:r>
      <w:r w:rsidRPr="00673B81">
        <w:rPr>
          <w:rFonts w:ascii="(normal text)" w:hAnsi="(normal text)" w:cs="Traditional Arabic"/>
          <w:sz w:val="28"/>
          <w:szCs w:val="28"/>
          <w:rtl/>
        </w:rPr>
        <w:t xml:space="preserve"> </w:t>
      </w:r>
      <w:r w:rsidRPr="00673B81">
        <w:rPr>
          <w:rFonts w:cs="Traditional Arabic"/>
          <w:sz w:val="28"/>
          <w:szCs w:val="28"/>
        </w:rPr>
        <w:sym w:font="HQPB5" w:char="F074"/>
      </w:r>
      <w:r w:rsidRPr="00673B81">
        <w:rPr>
          <w:rFonts w:cs="Traditional Arabic"/>
          <w:sz w:val="28"/>
          <w:szCs w:val="28"/>
        </w:rPr>
        <w:sym w:font="HQPB2" w:char="F062"/>
      </w:r>
      <w:r w:rsidRPr="00673B81">
        <w:rPr>
          <w:rFonts w:cs="Traditional Arabic"/>
          <w:sz w:val="28"/>
          <w:szCs w:val="28"/>
        </w:rPr>
        <w:sym w:font="HQPB2" w:char="F072"/>
      </w:r>
      <w:r w:rsidRPr="00673B81">
        <w:rPr>
          <w:rFonts w:cs="Traditional Arabic"/>
          <w:sz w:val="28"/>
          <w:szCs w:val="28"/>
        </w:rPr>
        <w:sym w:font="HQPB4" w:char="F0E2"/>
      </w:r>
      <w:r w:rsidRPr="00673B81">
        <w:rPr>
          <w:rFonts w:cs="Traditional Arabic"/>
          <w:sz w:val="28"/>
          <w:szCs w:val="28"/>
        </w:rPr>
        <w:sym w:font="HQPB1" w:char="F090"/>
      </w:r>
      <w:r w:rsidRPr="00673B81">
        <w:rPr>
          <w:rFonts w:cs="Traditional Arabic"/>
          <w:sz w:val="28"/>
          <w:szCs w:val="28"/>
        </w:rPr>
        <w:sym w:font="HQPB5" w:char="F073"/>
      </w:r>
      <w:r w:rsidRPr="00673B81">
        <w:rPr>
          <w:rFonts w:cs="Traditional Arabic"/>
          <w:sz w:val="28"/>
          <w:szCs w:val="28"/>
        </w:rPr>
        <w:sym w:font="HQPB2" w:char="F044"/>
      </w:r>
      <w:r w:rsidRPr="00673B81">
        <w:rPr>
          <w:rFonts w:cs="Traditional Arabic"/>
          <w:sz w:val="28"/>
          <w:szCs w:val="28"/>
        </w:rPr>
        <w:sym w:font="HQPB4" w:char="F0F7"/>
      </w:r>
      <w:r w:rsidRPr="00673B81">
        <w:rPr>
          <w:rFonts w:cs="Traditional Arabic"/>
          <w:sz w:val="28"/>
          <w:szCs w:val="28"/>
        </w:rPr>
        <w:sym w:font="HQPB2" w:char="F073"/>
      </w:r>
      <w:r w:rsidRPr="00673B81">
        <w:rPr>
          <w:rFonts w:cs="Traditional Arabic"/>
          <w:sz w:val="28"/>
          <w:szCs w:val="28"/>
        </w:rPr>
        <w:sym w:font="HQPB4" w:char="F0E3"/>
      </w:r>
      <w:r w:rsidRPr="00673B81">
        <w:rPr>
          <w:rFonts w:cs="Traditional Arabic"/>
          <w:sz w:val="28"/>
          <w:szCs w:val="28"/>
        </w:rPr>
        <w:sym w:font="HQPB2" w:char="F083"/>
      </w:r>
      <w:r w:rsidRPr="00673B81">
        <w:rPr>
          <w:rFonts w:ascii="(normal text)" w:hAnsi="(normal text)" w:cs="Traditional Arabic"/>
          <w:sz w:val="28"/>
          <w:szCs w:val="28"/>
          <w:rtl/>
        </w:rPr>
        <w:t xml:space="preserve"> </w:t>
      </w:r>
      <w:r w:rsidRPr="00673B81">
        <w:rPr>
          <w:rFonts w:cs="Traditional Arabic"/>
          <w:sz w:val="28"/>
          <w:szCs w:val="28"/>
        </w:rPr>
        <w:sym w:font="HQPB2" w:char="F0C7"/>
      </w:r>
      <w:r w:rsidRPr="00673B81">
        <w:rPr>
          <w:rFonts w:cs="Traditional Arabic"/>
          <w:sz w:val="28"/>
          <w:szCs w:val="28"/>
        </w:rPr>
        <w:sym w:font="HQPB2" w:char="F0CF"/>
      </w:r>
      <w:r w:rsidRPr="00673B81">
        <w:rPr>
          <w:rFonts w:cs="Traditional Arabic"/>
          <w:sz w:val="28"/>
          <w:szCs w:val="28"/>
        </w:rPr>
        <w:sym w:font="HQPB2" w:char="F0C8"/>
      </w:r>
      <w:r w:rsidRPr="00673B81">
        <w:rPr>
          <w:rFonts w:ascii="(normal text)" w:hAnsi="(normal text)" w:cs="Traditional Arabic"/>
          <w:sz w:val="28"/>
          <w:szCs w:val="28"/>
          <w:rtl/>
        </w:rPr>
        <w:t xml:space="preserve">   </w:t>
      </w:r>
    </w:p>
    <w:p w:rsidR="00343B61" w:rsidRPr="00673B81" w:rsidRDefault="00343B61" w:rsidP="00343B61">
      <w:pPr>
        <w:bidi/>
        <w:spacing w:after="0" w:line="240" w:lineRule="auto"/>
        <w:rPr>
          <w:rFonts w:ascii="Adobe نسخ Medium" w:hAnsi="Adobe نسخ Medium" w:cs="Traditional Arabic"/>
          <w:sz w:val="28"/>
          <w:szCs w:val="28"/>
          <w:rtl/>
        </w:rPr>
      </w:pPr>
    </w:p>
    <w:p w:rsidR="00343B61" w:rsidRPr="00126E3F" w:rsidRDefault="00343B61" w:rsidP="00343B61">
      <w:pPr>
        <w:tabs>
          <w:tab w:val="left" w:pos="1800"/>
        </w:tabs>
        <w:spacing w:after="0" w:line="240" w:lineRule="auto"/>
        <w:ind w:left="720"/>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E938DF">
        <w:rPr>
          <w:rFonts w:asciiTheme="majorBidi" w:hAnsiTheme="majorBidi" w:cstheme="majorBidi"/>
          <w:i/>
          <w:iCs/>
          <w:sz w:val="24"/>
          <w:szCs w:val="24"/>
          <w:lang w:val="sv-SE"/>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 .” </w:t>
      </w:r>
      <w:r w:rsidRPr="00E938DF">
        <w:rPr>
          <w:rFonts w:asciiTheme="majorBidi" w:hAnsiTheme="majorBidi" w:cstheme="majorBidi"/>
          <w:sz w:val="24"/>
          <w:szCs w:val="24"/>
          <w:lang w:val="sv-SE"/>
        </w:rPr>
        <w:t>(QS. At-Tahrim [66]: 6)</w:t>
      </w:r>
      <w:r w:rsidRPr="00A27F14">
        <w:rPr>
          <w:rStyle w:val="FootnoteReference"/>
          <w:rFonts w:asciiTheme="majorBidi" w:hAnsiTheme="majorBidi" w:cstheme="majorBidi"/>
          <w:sz w:val="24"/>
          <w:szCs w:val="24"/>
          <w:lang w:val="sv-SE"/>
        </w:rPr>
        <w:footnoteReference w:id="643"/>
      </w:r>
    </w:p>
    <w:p w:rsidR="00343B61" w:rsidRPr="00126E3F" w:rsidRDefault="00343B61" w:rsidP="002C0A33">
      <w:pPr>
        <w:pStyle w:val="ListParagraph"/>
        <w:numPr>
          <w:ilvl w:val="0"/>
          <w:numId w:val="52"/>
        </w:numPr>
        <w:tabs>
          <w:tab w:val="left" w:pos="1800"/>
        </w:tabs>
        <w:spacing w:after="0" w:line="360" w:lineRule="auto"/>
        <w:ind w:left="900" w:hanging="360"/>
        <w:jc w:val="both"/>
        <w:rPr>
          <w:rFonts w:asciiTheme="majorBidi" w:hAnsiTheme="majorBidi" w:cstheme="majorBidi"/>
          <w:sz w:val="24"/>
          <w:szCs w:val="24"/>
          <w:lang w:val="sv-SE"/>
        </w:rPr>
      </w:pPr>
      <w:r w:rsidRPr="00E938DF">
        <w:rPr>
          <w:rFonts w:asciiTheme="majorBidi" w:hAnsiTheme="majorBidi" w:cstheme="majorBidi"/>
          <w:sz w:val="24"/>
          <w:szCs w:val="24"/>
          <w:lang w:val="sv-SE"/>
        </w:rPr>
        <w:t xml:space="preserve">Firman Allah dalam </w:t>
      </w:r>
      <w:r>
        <w:rPr>
          <w:rFonts w:asciiTheme="majorBidi" w:hAnsiTheme="majorBidi" w:cstheme="majorBidi"/>
          <w:sz w:val="24"/>
          <w:szCs w:val="24"/>
          <w:lang w:val="sv-SE"/>
        </w:rPr>
        <w:t>QS. Al-Maidah [5]: 5</w:t>
      </w:r>
    </w:p>
    <w:p w:rsidR="00343B61" w:rsidRDefault="00343B61" w:rsidP="00343B61">
      <w:pPr>
        <w:pStyle w:val="ListParagraph"/>
        <w:tabs>
          <w:tab w:val="left" w:pos="1800"/>
          <w:tab w:val="right" w:pos="7217"/>
        </w:tabs>
        <w:bidi/>
        <w:spacing w:line="240" w:lineRule="auto"/>
        <w:ind w:left="17" w:right="720"/>
        <w:jc w:val="both"/>
        <w:rPr>
          <w:rFonts w:ascii="(normal text)" w:hAnsi="(normal text)"/>
          <w:rtl/>
        </w:rPr>
      </w:pP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8"/>
      </w:r>
      <w:r>
        <w:rPr>
          <w:sz w:val="28"/>
          <w:szCs w:val="28"/>
        </w:rPr>
        <w:sym w:font="HQPB2" w:char="F040"/>
      </w:r>
      <w:r>
        <w:rPr>
          <w:sz w:val="28"/>
          <w:szCs w:val="28"/>
        </w:rPr>
        <w:sym w:font="HQPB4" w:char="F0CF"/>
      </w:r>
      <w:r>
        <w:rPr>
          <w:sz w:val="28"/>
          <w:szCs w:val="28"/>
        </w:rPr>
        <w:sym w:font="HQPB1" w:char="F06D"/>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4"/>
      </w:r>
      <w:r>
        <w:rPr>
          <w:sz w:val="28"/>
          <w:szCs w:val="28"/>
        </w:rPr>
        <w:sym w:font="HQPB1" w:char="F036"/>
      </w:r>
      <w:r>
        <w:rPr>
          <w:sz w:val="28"/>
          <w:szCs w:val="28"/>
        </w:rPr>
        <w:sym w:font="HQPB4" w:char="F0CD"/>
      </w:r>
      <w:r>
        <w:rPr>
          <w:sz w:val="28"/>
          <w:szCs w:val="28"/>
        </w:rPr>
        <w:sym w:font="HQPB4" w:char="F068"/>
      </w:r>
      <w:r>
        <w:rPr>
          <w:sz w:val="28"/>
          <w:szCs w:val="28"/>
        </w:rPr>
        <w:sym w:font="HQPB2" w:char="F08B"/>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3"/>
      </w:r>
      <w:r>
        <w:rPr>
          <w:sz w:val="28"/>
          <w:szCs w:val="28"/>
        </w:rPr>
        <w:sym w:font="HQPB2" w:char="F050"/>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DB"/>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A9"/>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42"/>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DB"/>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4" w:char="F0B0"/>
      </w:r>
      <w:r>
        <w:rPr>
          <w:sz w:val="28"/>
          <w:szCs w:val="28"/>
        </w:rPr>
        <w:sym w:font="HQPB2" w:char="F03B"/>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E"/>
      </w:r>
      <w:r>
        <w:rPr>
          <w:sz w:val="28"/>
          <w:szCs w:val="28"/>
        </w:rPr>
        <w:sym w:font="HQPB2" w:char="F03D"/>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9"/>
      </w:r>
      <w:r>
        <w:rPr>
          <w:sz w:val="28"/>
          <w:szCs w:val="28"/>
        </w:rPr>
        <w:sym w:font="HQPB4" w:char="F0C5"/>
      </w:r>
      <w:r>
        <w:rPr>
          <w:sz w:val="28"/>
          <w:szCs w:val="28"/>
        </w:rPr>
        <w:sym w:font="HQPB1" w:char="F0C1"/>
      </w:r>
      <w:r>
        <w:rPr>
          <w:sz w:val="28"/>
          <w:szCs w:val="28"/>
        </w:rPr>
        <w:sym w:font="HQPB4" w:char="F0F8"/>
      </w:r>
      <w:r>
        <w:rPr>
          <w:sz w:val="28"/>
          <w:szCs w:val="28"/>
        </w:rPr>
        <w:sym w:font="HQPB1" w:char="F074"/>
      </w:r>
      <w:r>
        <w:rPr>
          <w:sz w:val="28"/>
          <w:szCs w:val="28"/>
        </w:rPr>
        <w:sym w:font="HQPB4" w:char="F0E8"/>
      </w:r>
      <w:r>
        <w:rPr>
          <w:sz w:val="28"/>
          <w:szCs w:val="28"/>
        </w:rPr>
        <w:sym w:font="HQPB2" w:char="F043"/>
      </w:r>
      <w:r>
        <w:rPr>
          <w:rFonts w:ascii="(normal text)" w:hAnsi="(normal text)"/>
          <w:rtl/>
        </w:rPr>
        <w:t xml:space="preserve"> </w:t>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8"/>
      </w:r>
      <w:r>
        <w:rPr>
          <w:sz w:val="28"/>
          <w:szCs w:val="28"/>
        </w:rPr>
        <w:sym w:font="HQPB1" w:char="F0EE"/>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5"/>
      </w:r>
      <w:r>
        <w:rPr>
          <w:sz w:val="28"/>
          <w:szCs w:val="28"/>
        </w:rPr>
        <w:sym w:font="HQPB1" w:char="F073"/>
      </w:r>
      <w:r>
        <w:rPr>
          <w:sz w:val="28"/>
          <w:szCs w:val="28"/>
        </w:rPr>
        <w:sym w:font="HQPB4" w:char="F0CF"/>
      </w:r>
      <w:r>
        <w:rPr>
          <w:sz w:val="28"/>
          <w:szCs w:val="28"/>
        </w:rPr>
        <w:sym w:font="HQPB1" w:char="F0FF"/>
      </w:r>
      <w:r>
        <w:rPr>
          <w:sz w:val="28"/>
          <w:szCs w:val="28"/>
        </w:rPr>
        <w:sym w:font="HQPB2" w:char="F0BB"/>
      </w:r>
      <w:r>
        <w:rPr>
          <w:sz w:val="28"/>
          <w:szCs w:val="28"/>
        </w:rPr>
        <w:sym w:font="HQPB5" w:char="F07C"/>
      </w:r>
      <w:r>
        <w:rPr>
          <w:sz w:val="28"/>
          <w:szCs w:val="28"/>
        </w:rPr>
        <w:sym w:font="HQPB1" w:char="F0A1"/>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C"/>
      </w:r>
      <w:r>
        <w:rPr>
          <w:sz w:val="28"/>
          <w:szCs w:val="28"/>
        </w:rPr>
        <w:sym w:font="HQPB2" w:char="F093"/>
      </w:r>
      <w:r>
        <w:rPr>
          <w:sz w:val="28"/>
          <w:szCs w:val="28"/>
        </w:rPr>
        <w:sym w:font="HQPB4" w:char="F0C9"/>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35"/>
      </w:r>
      <w:r>
        <w:rPr>
          <w:sz w:val="28"/>
          <w:szCs w:val="28"/>
        </w:rPr>
        <w:sym w:font="HQPB2" w:char="F062"/>
      </w:r>
      <w:r>
        <w:rPr>
          <w:sz w:val="28"/>
          <w:szCs w:val="28"/>
        </w:rPr>
        <w:sym w:font="HQPB1" w:char="F023"/>
      </w:r>
      <w:r>
        <w:rPr>
          <w:sz w:val="28"/>
          <w:szCs w:val="28"/>
        </w:rPr>
        <w:sym w:font="HQPB5" w:char="F079"/>
      </w:r>
      <w:r>
        <w:rPr>
          <w:sz w:val="28"/>
          <w:szCs w:val="28"/>
        </w:rPr>
        <w:sym w:font="HQPB1" w:char="F089"/>
      </w:r>
      <w:r>
        <w:rPr>
          <w:sz w:val="28"/>
          <w:szCs w:val="28"/>
        </w:rPr>
        <w:sym w:font="HQPB4" w:char="F0F7"/>
      </w:r>
      <w:r>
        <w:rPr>
          <w:sz w:val="28"/>
          <w:szCs w:val="28"/>
        </w:rPr>
        <w:sym w:font="HQPB1" w:char="F07B"/>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E0"/>
      </w:r>
      <w:r>
        <w:rPr>
          <w:sz w:val="28"/>
          <w:szCs w:val="28"/>
        </w:rPr>
        <w:sym w:font="HQPB1" w:char="F0FF"/>
      </w:r>
      <w:r>
        <w:rPr>
          <w:sz w:val="28"/>
          <w:szCs w:val="28"/>
        </w:rPr>
        <w:sym w:font="HQPB4" w:char="F0F5"/>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B"/>
      </w:r>
      <w:r>
        <w:rPr>
          <w:sz w:val="28"/>
          <w:szCs w:val="28"/>
        </w:rPr>
        <w:sym w:font="HQPB2" w:char="F083"/>
      </w:r>
      <w:r>
        <w:rPr>
          <w:sz w:val="28"/>
          <w:szCs w:val="28"/>
        </w:rPr>
        <w:sym w:font="HQPB5" w:char="F04D"/>
      </w:r>
      <w:r>
        <w:rPr>
          <w:sz w:val="28"/>
          <w:szCs w:val="28"/>
        </w:rPr>
        <w:sym w:font="HQPB2" w:char="F07D"/>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8"/>
      </w:r>
      <w:r>
        <w:rPr>
          <w:sz w:val="28"/>
          <w:szCs w:val="28"/>
        </w:rPr>
        <w:sym w:font="HQPB1" w:char="F0DD"/>
      </w:r>
      <w:r>
        <w:rPr>
          <w:sz w:val="28"/>
          <w:szCs w:val="28"/>
        </w:rPr>
        <w:sym w:font="HQPB4" w:char="F0CE"/>
      </w:r>
      <w:r>
        <w:rPr>
          <w:sz w:val="28"/>
          <w:szCs w:val="28"/>
        </w:rPr>
        <w:sym w:font="HQPB1" w:char="F036"/>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BC"/>
      </w:r>
      <w:r>
        <w:rPr>
          <w:sz w:val="28"/>
          <w:szCs w:val="28"/>
        </w:rPr>
        <w:sym w:font="HQPB4" w:char="F0E3"/>
      </w:r>
      <w:r>
        <w:rPr>
          <w:sz w:val="28"/>
          <w:szCs w:val="28"/>
        </w:rPr>
        <w:sym w:font="HQPB3" w:char="F026"/>
      </w:r>
      <w:r>
        <w:rPr>
          <w:sz w:val="28"/>
          <w:szCs w:val="28"/>
        </w:rPr>
        <w:sym w:font="HQPB4" w:char="F0E9"/>
      </w:r>
      <w:r>
        <w:rPr>
          <w:sz w:val="28"/>
          <w:szCs w:val="28"/>
        </w:rPr>
        <w:sym w:font="HQPB3" w:char="F023"/>
      </w:r>
      <w:r>
        <w:rPr>
          <w:sz w:val="28"/>
          <w:szCs w:val="28"/>
        </w:rPr>
        <w:sym w:font="HQPB5" w:char="F079"/>
      </w:r>
      <w:r>
        <w:rPr>
          <w:sz w:val="28"/>
          <w:szCs w:val="28"/>
        </w:rPr>
        <w:sym w:font="HQPB2" w:char="F04A"/>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83"/>
      </w:r>
      <w:r>
        <w:rPr>
          <w:sz w:val="28"/>
          <w:szCs w:val="28"/>
        </w:rPr>
        <w:sym w:font="HQPB4" w:char="F0CE"/>
      </w:r>
      <w:r>
        <w:rPr>
          <w:sz w:val="28"/>
          <w:szCs w:val="28"/>
        </w:rPr>
        <w:sym w:font="HQPB1" w:char="F08E"/>
      </w:r>
      <w:r>
        <w:rPr>
          <w:sz w:val="28"/>
          <w:szCs w:val="28"/>
        </w:rPr>
        <w:sym w:font="HQPB4" w:char="F0C5"/>
      </w:r>
      <w:r>
        <w:rPr>
          <w:sz w:val="28"/>
          <w:szCs w:val="28"/>
        </w:rPr>
        <w:sym w:font="HQPB1" w:char="F0A3"/>
      </w:r>
      <w:r>
        <w:rPr>
          <w:sz w:val="28"/>
          <w:szCs w:val="28"/>
        </w:rPr>
        <w:sym w:font="HQPB2" w:char="F0BB"/>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114CA1">
        <w:rPr>
          <w:rFonts w:asciiTheme="majorBidi" w:hAnsiTheme="majorBidi" w:cstheme="majorBidi"/>
          <w:i/>
          <w:iCs/>
          <w:sz w:val="24"/>
          <w:szCs w:val="24"/>
        </w:rPr>
        <w:t xml:space="preserve"> “Pada hari ini Dihalalkan bagimu yang baik-baik. makanan (sembelihan) orang-orang yang diberi Al kitab itu halal bagimu, dan makanan kamu halal (pula) bagi mereka. (dan Dihalalkan mangawini) wanita yang menjaga </w:t>
      </w:r>
      <w:r>
        <w:rPr>
          <w:rFonts w:asciiTheme="majorBidi" w:hAnsiTheme="majorBidi" w:cstheme="majorBidi"/>
          <w:i/>
          <w:iCs/>
          <w:sz w:val="24"/>
          <w:szCs w:val="24"/>
        </w:rPr>
        <w:t>kehormatan</w:t>
      </w:r>
      <w:r w:rsidRPr="00114CA1">
        <w:rPr>
          <w:rFonts w:asciiTheme="majorBidi" w:hAnsiTheme="majorBidi" w:cstheme="majorBidi"/>
          <w:i/>
          <w:iCs/>
          <w:sz w:val="24"/>
          <w:szCs w:val="24"/>
        </w:rPr>
        <w:t xml:space="preserve"> diantara wanita-wanita yang beriman dan wanita-wanita yang menjaga kehormatan di antara orang-orang yang diberi Al kitab sebelum kamu, bila kamu telah membayar mas kawin mereka dengan maksud menikahinya, tidak dengan maksud berzina dan tidak (pula) menjadikannya gundik-gundik. Barangsiapa yang kafir sesudah beriman (tidak menerima hukum-hukum Islam) Maka hapuslah amalannya dan ia di hari kiamat Termasuk orang-orang merugi.</w:t>
      </w:r>
      <w:r w:rsidRPr="00114CA1">
        <w:rPr>
          <w:rFonts w:asciiTheme="majorBidi" w:hAnsiTheme="majorBidi" w:cstheme="majorBidi"/>
          <w:i/>
          <w:iCs/>
          <w:sz w:val="24"/>
          <w:szCs w:val="24"/>
          <w:lang w:val="sv-SE"/>
        </w:rPr>
        <w:t xml:space="preserve"> </w:t>
      </w:r>
      <w:r w:rsidRPr="00114CA1">
        <w:rPr>
          <w:rFonts w:asciiTheme="majorBidi" w:hAnsiTheme="majorBidi" w:cstheme="majorBidi"/>
          <w:sz w:val="24"/>
          <w:szCs w:val="24"/>
          <w:lang w:val="sv-SE"/>
        </w:rPr>
        <w:t>(QS. Al-Maidah [5]: 5)</w:t>
      </w:r>
      <w:r>
        <w:rPr>
          <w:rFonts w:asciiTheme="majorBidi" w:hAnsiTheme="majorBidi" w:cstheme="majorBidi"/>
          <w:sz w:val="24"/>
          <w:szCs w:val="24"/>
          <w:lang w:val="sv-SE"/>
        </w:rPr>
        <w:t xml:space="preserve">. </w:t>
      </w:r>
      <w:r>
        <w:rPr>
          <w:rStyle w:val="FootnoteReference"/>
          <w:rFonts w:asciiTheme="majorBidi" w:hAnsiTheme="majorBidi" w:cstheme="majorBidi"/>
          <w:sz w:val="24"/>
          <w:szCs w:val="24"/>
          <w:lang w:val="sv-SE"/>
        </w:rPr>
        <w:footnoteReference w:id="644"/>
      </w:r>
    </w:p>
    <w:p w:rsidR="00343B61" w:rsidRDefault="00343B61" w:rsidP="00343B61">
      <w:pPr>
        <w:pStyle w:val="ListParagraph"/>
        <w:tabs>
          <w:tab w:val="left" w:pos="1800"/>
        </w:tabs>
        <w:spacing w:line="360" w:lineRule="auto"/>
        <w:jc w:val="both"/>
        <w:rPr>
          <w:rFonts w:asciiTheme="majorBidi" w:hAnsiTheme="majorBidi" w:cstheme="majorBidi"/>
          <w:sz w:val="24"/>
          <w:szCs w:val="24"/>
          <w:lang w:val="sv-SE"/>
        </w:rPr>
      </w:pPr>
    </w:p>
    <w:p w:rsidR="00343B61" w:rsidRPr="00D234F1" w:rsidRDefault="00343B61" w:rsidP="00343B61">
      <w:pPr>
        <w:pStyle w:val="ListParagraph"/>
        <w:tabs>
          <w:tab w:val="left" w:pos="1800"/>
        </w:tabs>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v.</w:t>
      </w:r>
      <w:r w:rsidRPr="00B13CD9">
        <w:rPr>
          <w:rFonts w:asciiTheme="majorBidi" w:hAnsiTheme="majorBidi" w:cstheme="majorBidi"/>
          <w:sz w:val="24"/>
          <w:szCs w:val="24"/>
          <w:lang w:val="sv-SE"/>
        </w:rPr>
        <w:t xml:space="preserve"> Firman Allah dalam </w:t>
      </w:r>
      <w:r w:rsidRPr="00114CA1">
        <w:rPr>
          <w:rFonts w:asciiTheme="majorBidi" w:hAnsiTheme="majorBidi" w:cstheme="majorBidi"/>
          <w:sz w:val="24"/>
          <w:szCs w:val="24"/>
          <w:lang w:val="sv-SE"/>
        </w:rPr>
        <w:t xml:space="preserve">QS. </w:t>
      </w:r>
      <w:r>
        <w:rPr>
          <w:rFonts w:asciiTheme="majorBidi" w:hAnsiTheme="majorBidi" w:cstheme="majorBidi"/>
          <w:sz w:val="24"/>
          <w:szCs w:val="24"/>
          <w:lang w:val="sv-SE"/>
        </w:rPr>
        <w:t>Al-Baqarah [2]: 221</w:t>
      </w:r>
    </w:p>
    <w:p w:rsidR="00343B61" w:rsidRDefault="00343B61" w:rsidP="00343B61">
      <w:pPr>
        <w:pStyle w:val="ListParagraph"/>
        <w:tabs>
          <w:tab w:val="left" w:pos="1800"/>
          <w:tab w:val="right" w:pos="7217"/>
        </w:tabs>
        <w:bidi/>
        <w:spacing w:line="240" w:lineRule="auto"/>
        <w:ind w:left="17" w:right="720"/>
        <w:jc w:val="both"/>
        <w:rPr>
          <w:rFonts w:ascii="(normal text)" w:hAnsi="(normal text)"/>
          <w:rtl/>
        </w:rPr>
      </w:pPr>
      <w:r>
        <w:rPr>
          <w:sz w:val="28"/>
          <w:szCs w:val="28"/>
        </w:rPr>
        <w:lastRenderedPageBreak/>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A"/>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8"/>
      </w:r>
      <w:r>
        <w:rPr>
          <w:sz w:val="28"/>
          <w:szCs w:val="28"/>
        </w:rPr>
        <w:sym w:font="HQPB2" w:char="F02E"/>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4"/>
      </w:r>
      <w:r>
        <w:rPr>
          <w:sz w:val="28"/>
          <w:szCs w:val="28"/>
        </w:rPr>
        <w:sym w:font="HQPB2" w:char="F042"/>
      </w:r>
      <w:r>
        <w:rPr>
          <w:sz w:val="28"/>
          <w:szCs w:val="28"/>
        </w:rPr>
        <w:sym w:font="HQPB5" w:char="F056"/>
      </w:r>
      <w:r>
        <w:rPr>
          <w:sz w:val="28"/>
          <w:szCs w:val="28"/>
        </w:rPr>
        <w:sym w:font="HQPB2" w:char="F07B"/>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E"/>
      </w:r>
      <w:r>
        <w:rPr>
          <w:sz w:val="28"/>
          <w:szCs w:val="28"/>
        </w:rPr>
        <w:sym w:font="HQPB2" w:char="F070"/>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8"/>
      </w:r>
      <w:r>
        <w:rPr>
          <w:sz w:val="28"/>
          <w:szCs w:val="28"/>
        </w:rPr>
        <w:sym w:font="HQPB2" w:char="F02E"/>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F7"/>
      </w:r>
      <w:r>
        <w:rPr>
          <w:sz w:val="28"/>
          <w:szCs w:val="28"/>
        </w:rPr>
        <w:sym w:font="HQPB1" w:char="F047"/>
      </w:r>
      <w:r>
        <w:rPr>
          <w:sz w:val="28"/>
          <w:szCs w:val="28"/>
        </w:rPr>
        <w:sym w:font="HQPB5" w:char="F074"/>
      </w:r>
      <w:r>
        <w:rPr>
          <w:sz w:val="28"/>
          <w:szCs w:val="28"/>
        </w:rPr>
        <w:sym w:font="HQPB1" w:char="F036"/>
      </w:r>
      <w:r>
        <w:rPr>
          <w:sz w:val="28"/>
          <w:szCs w:val="28"/>
        </w:rPr>
        <w:sym w:font="HQPB5" w:char="F079"/>
      </w:r>
      <w:r>
        <w:rPr>
          <w:sz w:val="28"/>
          <w:szCs w:val="28"/>
        </w:rPr>
        <w:sym w:font="HQPB1" w:char="F066"/>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A"/>
      </w:r>
      <w:r>
        <w:rPr>
          <w:sz w:val="28"/>
          <w:szCs w:val="28"/>
        </w:rPr>
        <w:sym w:font="HQPB4" w:char="F0E8"/>
      </w:r>
      <w:r>
        <w:rPr>
          <w:sz w:val="28"/>
          <w:szCs w:val="28"/>
        </w:rPr>
        <w:sym w:font="HQPB1" w:char="F03F"/>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2E"/>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D3"/>
      </w:r>
      <w:r>
        <w:rPr>
          <w:sz w:val="28"/>
          <w:szCs w:val="28"/>
        </w:rPr>
        <w:sym w:font="HQPB1" w:char="F089"/>
      </w:r>
      <w:r>
        <w:rPr>
          <w:sz w:val="28"/>
          <w:szCs w:val="28"/>
        </w:rPr>
        <w:sym w:font="HQPB4" w:char="F0F6"/>
      </w:r>
      <w:r>
        <w:rPr>
          <w:sz w:val="28"/>
          <w:szCs w:val="28"/>
        </w:rPr>
        <w:sym w:font="HQPB1" w:char="F037"/>
      </w:r>
      <w:r>
        <w:rPr>
          <w:sz w:val="28"/>
          <w:szCs w:val="28"/>
        </w:rPr>
        <w:sym w:font="HQPB5" w:char="F079"/>
      </w:r>
      <w:r>
        <w:rPr>
          <w:sz w:val="28"/>
          <w:szCs w:val="28"/>
        </w:rPr>
        <w:sym w:font="HQPB1" w:char="F0E8"/>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D"/>
      </w:r>
      <w:r>
        <w:rPr>
          <w:sz w:val="28"/>
          <w:szCs w:val="28"/>
        </w:rPr>
        <w:sym w:font="HQPB2" w:char="F060"/>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37"/>
      </w:r>
      <w:r>
        <w:rPr>
          <w:sz w:val="28"/>
          <w:szCs w:val="28"/>
        </w:rPr>
        <w:sym w:font="HQPB2" w:char="F038"/>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4"/>
      </w:r>
      <w:r>
        <w:rPr>
          <w:sz w:val="28"/>
          <w:szCs w:val="28"/>
        </w:rPr>
        <w:sym w:font="HQPB1" w:char="F036"/>
      </w:r>
      <w:r>
        <w:rPr>
          <w:sz w:val="28"/>
          <w:szCs w:val="28"/>
        </w:rPr>
        <w:sym w:font="HQPB5" w:char="F079"/>
      </w:r>
      <w:r>
        <w:rPr>
          <w:sz w:val="28"/>
          <w:szCs w:val="28"/>
        </w:rPr>
        <w:sym w:font="HQPB1" w:char="F066"/>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rFonts w:hint="cs"/>
          <w:sz w:val="28"/>
          <w:szCs w:val="28"/>
          <w:rtl/>
        </w:rPr>
        <w:t xml:space="preserve"> </w:t>
      </w:r>
      <w:r>
        <w:rPr>
          <w:sz w:val="28"/>
          <w:szCs w:val="28"/>
        </w:rPr>
        <w:sym w:font="HQPB5" w:char="F075"/>
      </w:r>
      <w:r>
        <w:rPr>
          <w:sz w:val="28"/>
          <w:szCs w:val="28"/>
        </w:rPr>
        <w:sym w:font="HQPB2" w:char="F072"/>
      </w:r>
      <w:r>
        <w:rPr>
          <w:rFonts w:ascii="(normal text)" w:hAnsi="(normal text)"/>
          <w:rtl/>
        </w:rPr>
        <w:t xml:space="preserve"> </w:t>
      </w:r>
      <w:r w:rsidRPr="00767B5A">
        <w:rPr>
          <w:rFonts w:ascii="Adobe نسخ Medium" w:hAnsi="Adobe نسخ Medium" w:cs="Adobe نسخ Medium"/>
          <w:sz w:val="32"/>
          <w:szCs w:val="32"/>
          <w:rtl/>
        </w:rPr>
        <w:t>الله</w:t>
      </w:r>
      <w:r>
        <w:rPr>
          <w:rFonts w:ascii="Adobe نسخ Medium" w:hAnsi="Adobe نسخ Medium" w:cs="Adobe نسخ Medium" w:hint="cs"/>
          <w:sz w:val="32"/>
          <w:szCs w:val="32"/>
          <w:rtl/>
        </w:rPr>
        <w:t xml:space="preserve">ُ </w:t>
      </w:r>
      <w:r w:rsidRPr="00B13CD9">
        <w:rPr>
          <w:sz w:val="28"/>
          <w:szCs w:val="28"/>
          <w:lang w:val="sv-SE"/>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F"/>
      </w:r>
      <w:r>
        <w:rPr>
          <w:sz w:val="28"/>
          <w:szCs w:val="28"/>
        </w:rPr>
        <w:sym w:font="HQPB2" w:char="F070"/>
      </w:r>
      <w:r>
        <w:rPr>
          <w:sz w:val="28"/>
          <w:szCs w:val="28"/>
        </w:rPr>
        <w:sym w:font="HQPB4" w:char="F0A8"/>
      </w:r>
      <w:r>
        <w:rPr>
          <w:sz w:val="28"/>
          <w:szCs w:val="28"/>
        </w:rPr>
        <w:sym w:font="HQPB2" w:char="F059"/>
      </w:r>
      <w:r>
        <w:rPr>
          <w:sz w:val="28"/>
          <w:szCs w:val="28"/>
        </w:rPr>
        <w:sym w:font="HQPB5" w:char="F079"/>
      </w:r>
      <w:r>
        <w:rPr>
          <w:sz w:val="28"/>
          <w:szCs w:val="28"/>
        </w:rPr>
        <w:sym w:font="HQPB1" w:char="F06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74"/>
      </w:r>
      <w:r>
        <w:rPr>
          <w:sz w:val="28"/>
          <w:szCs w:val="28"/>
        </w:rPr>
        <w:sym w:font="HQPB1" w:char="F08D"/>
      </w:r>
      <w:r>
        <w:rPr>
          <w:sz w:val="28"/>
          <w:szCs w:val="28"/>
        </w:rPr>
        <w:sym w:font="HQPB4" w:char="F0CF"/>
      </w:r>
      <w:r>
        <w:rPr>
          <w:sz w:val="28"/>
          <w:szCs w:val="28"/>
        </w:rPr>
        <w:sym w:font="HQPB1" w:char="F0FF"/>
      </w:r>
      <w:r>
        <w:rPr>
          <w:sz w:val="28"/>
          <w:szCs w:val="28"/>
        </w:rPr>
        <w:sym w:font="HQPB4" w:char="F0F8"/>
      </w:r>
      <w:r>
        <w:rPr>
          <w:sz w:val="28"/>
          <w:szCs w:val="28"/>
        </w:rPr>
        <w:sym w:font="HQPB1" w:char="F0F3"/>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2" w:char="F052"/>
      </w:r>
      <w:r>
        <w:rPr>
          <w:sz w:val="28"/>
          <w:szCs w:val="28"/>
        </w:rPr>
        <w:sym w:font="HQPB4" w:char="F0F8"/>
      </w:r>
      <w:r>
        <w:rPr>
          <w:sz w:val="28"/>
          <w:szCs w:val="28"/>
        </w:rPr>
        <w:sym w:font="HQPB1" w:char="F08C"/>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DF"/>
      </w:r>
      <w:r>
        <w:rPr>
          <w:sz w:val="28"/>
          <w:szCs w:val="28"/>
        </w:rPr>
        <w:sym w:font="HQPB2" w:char="F0FB"/>
      </w:r>
      <w:r>
        <w:rPr>
          <w:sz w:val="28"/>
          <w:szCs w:val="28"/>
        </w:rPr>
        <w:sym w:font="HQPB4" w:char="F0CE"/>
      </w:r>
      <w:r>
        <w:rPr>
          <w:sz w:val="28"/>
          <w:szCs w:val="28"/>
        </w:rPr>
        <w:sym w:font="HQPB4" w:char="F069"/>
      </w:r>
      <w:r>
        <w:rPr>
          <w:sz w:val="28"/>
          <w:szCs w:val="28"/>
        </w:rPr>
        <w:sym w:font="HQPB2" w:char="F0FC"/>
      </w:r>
      <w:r>
        <w:rPr>
          <w:sz w:val="28"/>
          <w:szCs w:val="28"/>
        </w:rPr>
        <w:sym w:font="HQPB5" w:char="F074"/>
      </w:r>
      <w:r>
        <w:rPr>
          <w:sz w:val="28"/>
          <w:szCs w:val="28"/>
        </w:rPr>
        <w:sym w:font="HQPB1" w:char="F037"/>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7"/>
      </w:r>
      <w:r>
        <w:rPr>
          <w:sz w:val="28"/>
          <w:szCs w:val="28"/>
        </w:rPr>
        <w:sym w:font="HQPB2" w:char="F0BB"/>
      </w:r>
      <w:r>
        <w:rPr>
          <w:sz w:val="28"/>
          <w:szCs w:val="28"/>
        </w:rPr>
        <w:sym w:font="HQPB5" w:char="F074"/>
      </w:r>
      <w:r>
        <w:rPr>
          <w:sz w:val="28"/>
          <w:szCs w:val="28"/>
        </w:rPr>
        <w:sym w:font="HQPB2" w:char="F083"/>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C4"/>
      </w:r>
      <w:r>
        <w:rPr>
          <w:sz w:val="28"/>
          <w:szCs w:val="28"/>
        </w:rPr>
        <w:sym w:font="HQPB1" w:char="F0A8"/>
      </w:r>
      <w:r>
        <w:rPr>
          <w:sz w:val="28"/>
          <w:szCs w:val="28"/>
        </w:rPr>
        <w:sym w:font="HQPB1" w:char="F024"/>
      </w:r>
      <w:r>
        <w:rPr>
          <w:sz w:val="28"/>
          <w:szCs w:val="28"/>
        </w:rPr>
        <w:sym w:font="HQPB4" w:char="F0A8"/>
      </w:r>
      <w:r>
        <w:rPr>
          <w:sz w:val="28"/>
          <w:szCs w:val="28"/>
        </w:rPr>
        <w:sym w:font="HQPB2" w:char="F059"/>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4" w:char="F0AF"/>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A9"/>
      </w:r>
      <w:r>
        <w:rPr>
          <w:sz w:val="28"/>
          <w:szCs w:val="28"/>
        </w:rPr>
        <w:sym w:font="HQPB2" w:char="F02E"/>
      </w:r>
      <w:r>
        <w:rPr>
          <w:sz w:val="28"/>
          <w:szCs w:val="28"/>
        </w:rPr>
        <w:sym w:font="HQPB5" w:char="F078"/>
      </w:r>
      <w:r>
        <w:rPr>
          <w:sz w:val="28"/>
          <w:szCs w:val="28"/>
        </w:rPr>
        <w:sym w:font="HQPB1" w:char="F08B"/>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B"/>
      </w:r>
      <w:r>
        <w:rPr>
          <w:sz w:val="28"/>
          <w:szCs w:val="28"/>
        </w:rPr>
        <w:sym w:font="HQPB2" w:char="F0CA"/>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B13CD9">
        <w:rPr>
          <w:rFonts w:ascii="(normal text)" w:hAnsi="(normal text)"/>
          <w:i/>
          <w:iCs/>
          <w:sz w:val="24"/>
          <w:szCs w:val="24"/>
          <w:lang w:val="sv-SE"/>
        </w:rPr>
        <w:t xml:space="preserve"> “ dan janganlah kamu menikahi wanita-wanita musyrik, sebelum mereka beriman. Sesungguhnya wanita budak yang mukmin lebih baik dari wanita musyrik, walaupun Dia menarik hatimu. dan janganlah kamu menikahkan orang-orang musyrik (dengan wanita-wanita mukmin) sebelum mereka beriman. Sesungguhnya budak yang mukmin lebih baik dari orang musyrik, walaupun Dia menarik hatimu. mereka mengajak ke neraka, sedang Allah mengajak ke surga dan ampunan dengan izin-Nya. dan Allah menerangkan ayat-ayat-Nya (perintah-perintah-Nya) kepada manusia supaya mereka mengambil pelajaran.</w:t>
      </w:r>
      <w:r w:rsidRPr="00B13CD9">
        <w:rPr>
          <w:rFonts w:asciiTheme="majorBidi" w:hAnsiTheme="majorBidi" w:cstheme="majorBidi"/>
          <w:i/>
          <w:iCs/>
          <w:sz w:val="24"/>
          <w:szCs w:val="24"/>
          <w:lang w:val="sv-SE"/>
        </w:rPr>
        <w:t xml:space="preserve"> .</w:t>
      </w:r>
      <w:r w:rsidRPr="00114CA1">
        <w:rPr>
          <w:rFonts w:asciiTheme="majorBidi" w:hAnsiTheme="majorBidi" w:cstheme="majorBidi"/>
          <w:i/>
          <w:iCs/>
          <w:sz w:val="24"/>
          <w:szCs w:val="24"/>
          <w:lang w:val="sv-SE"/>
        </w:rPr>
        <w:t xml:space="preserve"> </w:t>
      </w:r>
      <w:r w:rsidRPr="00114CA1">
        <w:rPr>
          <w:rFonts w:asciiTheme="majorBidi" w:hAnsiTheme="majorBidi" w:cstheme="majorBidi"/>
          <w:sz w:val="24"/>
          <w:szCs w:val="24"/>
          <w:lang w:val="sv-SE"/>
        </w:rPr>
        <w:t xml:space="preserve">(QS. </w:t>
      </w:r>
      <w:r>
        <w:rPr>
          <w:rFonts w:asciiTheme="majorBidi" w:hAnsiTheme="majorBidi" w:cstheme="majorBidi"/>
          <w:sz w:val="24"/>
          <w:szCs w:val="24"/>
          <w:lang w:val="sv-SE"/>
        </w:rPr>
        <w:t>Al-Baqarah [2]: 221</w:t>
      </w:r>
      <w:r w:rsidRPr="00114CA1">
        <w:rPr>
          <w:rFonts w:asciiTheme="majorBidi" w:hAnsiTheme="majorBidi" w:cstheme="majorBidi"/>
          <w:sz w:val="24"/>
          <w:szCs w:val="24"/>
          <w:lang w:val="sv-SE"/>
        </w:rPr>
        <w:t>)</w:t>
      </w:r>
      <w:r>
        <w:rPr>
          <w:rStyle w:val="FootnoteReference"/>
          <w:rFonts w:asciiTheme="majorBidi" w:hAnsiTheme="majorBidi" w:cstheme="majorBidi"/>
          <w:sz w:val="24"/>
          <w:szCs w:val="24"/>
          <w:lang w:val="sv-SE"/>
        </w:rPr>
        <w:footnoteReference w:id="645"/>
      </w:r>
    </w:p>
    <w:p w:rsidR="00343B61" w:rsidRDefault="00343B61" w:rsidP="00343B61">
      <w:pPr>
        <w:pStyle w:val="ListParagraph"/>
        <w:tabs>
          <w:tab w:val="left" w:pos="1800"/>
        </w:tabs>
        <w:spacing w:line="360" w:lineRule="auto"/>
        <w:jc w:val="both"/>
        <w:rPr>
          <w:rFonts w:asciiTheme="majorBidi" w:hAnsiTheme="majorBidi" w:cstheme="majorBidi"/>
          <w:sz w:val="24"/>
          <w:szCs w:val="24"/>
          <w:lang w:val="sv-SE"/>
        </w:rPr>
      </w:pPr>
    </w:p>
    <w:p w:rsidR="00343B61" w:rsidRPr="00673B81" w:rsidRDefault="00343B61" w:rsidP="00343B61">
      <w:pPr>
        <w:pStyle w:val="ListParagraph"/>
        <w:tabs>
          <w:tab w:val="left" w:pos="1800"/>
        </w:tabs>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vi. </w:t>
      </w:r>
      <w:r w:rsidRPr="00872FC6">
        <w:rPr>
          <w:rFonts w:asciiTheme="majorBidi" w:hAnsiTheme="majorBidi" w:cstheme="majorBidi"/>
          <w:sz w:val="24"/>
          <w:szCs w:val="24"/>
          <w:lang w:val="sv-SE"/>
        </w:rPr>
        <w:t xml:space="preserve">Firman Allah dalam </w:t>
      </w:r>
      <w:r w:rsidRPr="00114CA1">
        <w:rPr>
          <w:rFonts w:asciiTheme="majorBidi" w:hAnsiTheme="majorBidi" w:cstheme="majorBidi"/>
          <w:sz w:val="24"/>
          <w:szCs w:val="24"/>
          <w:lang w:val="sv-SE"/>
        </w:rPr>
        <w:t xml:space="preserve">QS. </w:t>
      </w:r>
      <w:r>
        <w:rPr>
          <w:rFonts w:asciiTheme="majorBidi" w:hAnsiTheme="majorBidi" w:cstheme="majorBidi"/>
          <w:sz w:val="24"/>
          <w:szCs w:val="24"/>
          <w:lang w:val="sv-SE"/>
        </w:rPr>
        <w:t>Al-Mumtahanah [60]: 10</w:t>
      </w:r>
    </w:p>
    <w:p w:rsidR="00343B61" w:rsidRDefault="00343B61" w:rsidP="00343B61">
      <w:pPr>
        <w:pStyle w:val="ListParagraph"/>
        <w:tabs>
          <w:tab w:val="left" w:pos="1800"/>
          <w:tab w:val="right" w:pos="7217"/>
        </w:tabs>
        <w:bidi/>
        <w:spacing w:line="240" w:lineRule="auto"/>
        <w:ind w:left="17" w:right="720"/>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0"/>
      </w:r>
      <w:r>
        <w:rPr>
          <w:sz w:val="28"/>
          <w:szCs w:val="28"/>
        </w:rPr>
        <w:sym w:font="HQPB2" w:char="F032"/>
      </w:r>
      <w:r>
        <w:rPr>
          <w:sz w:val="28"/>
          <w:szCs w:val="28"/>
        </w:rPr>
        <w:sym w:font="HQPB5" w:char="F075"/>
      </w:r>
      <w:r>
        <w:rPr>
          <w:sz w:val="28"/>
          <w:szCs w:val="28"/>
        </w:rPr>
        <w:sym w:font="HQPB2" w:char="F0E4"/>
      </w:r>
      <w:r>
        <w:rPr>
          <w:sz w:val="28"/>
          <w:szCs w:val="28"/>
        </w:rPr>
        <w:sym w:font="HQPB5" w:char="F021"/>
      </w:r>
      <w:r>
        <w:rPr>
          <w:sz w:val="28"/>
          <w:szCs w:val="28"/>
        </w:rPr>
        <w:sym w:font="HQPB1" w:char="F025"/>
      </w:r>
      <w:r>
        <w:rPr>
          <w:sz w:val="28"/>
          <w:szCs w:val="28"/>
        </w:rPr>
        <w:sym w:font="HQPB5" w:char="F079"/>
      </w:r>
      <w:r>
        <w:rPr>
          <w:sz w:val="28"/>
          <w:szCs w:val="28"/>
        </w:rPr>
        <w:sym w:font="HQPB1" w:char="F060"/>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B"/>
      </w:r>
      <w:r>
        <w:rPr>
          <w:sz w:val="28"/>
          <w:szCs w:val="28"/>
        </w:rPr>
        <w:sym w:font="HQPB1" w:char="F04E"/>
      </w:r>
      <w:r>
        <w:rPr>
          <w:sz w:val="28"/>
          <w:szCs w:val="28"/>
        </w:rPr>
        <w:sym w:font="HQPB2" w:char="F0BA"/>
      </w:r>
      <w:r>
        <w:rPr>
          <w:sz w:val="28"/>
          <w:szCs w:val="28"/>
        </w:rPr>
        <w:sym w:font="HQPB5" w:char="F074"/>
      </w:r>
      <w:r>
        <w:rPr>
          <w:sz w:val="28"/>
          <w:szCs w:val="28"/>
        </w:rPr>
        <w:sym w:font="HQPB1" w:char="F08D"/>
      </w:r>
      <w:r>
        <w:rPr>
          <w:sz w:val="28"/>
          <w:szCs w:val="28"/>
        </w:rPr>
        <w:sym w:font="HQPB4" w:char="F0C9"/>
      </w:r>
      <w:r>
        <w:rPr>
          <w:sz w:val="28"/>
          <w:szCs w:val="28"/>
        </w:rPr>
        <w:sym w:font="HQPB1" w:char="F066"/>
      </w:r>
      <w:r>
        <w:rPr>
          <w:sz w:val="28"/>
          <w:szCs w:val="28"/>
        </w:rPr>
        <w:sym w:font="HQPB2" w:char="F0BB"/>
      </w:r>
      <w:r>
        <w:rPr>
          <w:sz w:val="28"/>
          <w:szCs w:val="28"/>
        </w:rPr>
        <w:sym w:font="HQPB5" w:char="F079"/>
      </w:r>
      <w:r>
        <w:rPr>
          <w:sz w:val="28"/>
          <w:szCs w:val="28"/>
        </w:rPr>
        <w:sym w:font="HQPB2" w:char="F06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2" w:char="F05A"/>
      </w:r>
      <w:r>
        <w:rPr>
          <w:sz w:val="28"/>
          <w:szCs w:val="28"/>
        </w:rPr>
        <w:sym w:font="HQPB4" w:char="F0C5"/>
      </w:r>
      <w:r>
        <w:rPr>
          <w:sz w:val="28"/>
          <w:szCs w:val="28"/>
        </w:rPr>
        <w:sym w:font="HQPB1" w:char="F073"/>
      </w:r>
      <w:r>
        <w:rPr>
          <w:sz w:val="28"/>
          <w:szCs w:val="28"/>
        </w:rPr>
        <w:sym w:font="HQPB5" w:char="F074"/>
      </w:r>
      <w:r>
        <w:rPr>
          <w:sz w:val="28"/>
          <w:szCs w:val="28"/>
        </w:rPr>
        <w:sym w:font="HQPB1" w:char="F047"/>
      </w:r>
      <w:r>
        <w:rPr>
          <w:sz w:val="28"/>
          <w:szCs w:val="28"/>
        </w:rPr>
        <w:sym w:font="HQPB4" w:char="F0F8"/>
      </w:r>
      <w:r>
        <w:rPr>
          <w:sz w:val="28"/>
          <w:szCs w:val="28"/>
        </w:rPr>
        <w:sym w:font="HQPB2" w:char="F042"/>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AA"/>
      </w:r>
      <w:r w:rsidRPr="00767B5A">
        <w:rPr>
          <w:rFonts w:ascii="Adobe نسخ Medium" w:hAnsi="Adobe نسخ Medium" w:cs="Adobe نسخ Medium"/>
          <w:sz w:val="32"/>
          <w:szCs w:val="32"/>
          <w:rtl/>
        </w:rPr>
        <w:t xml:space="preserve"> 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E3"/>
      </w:r>
      <w:r>
        <w:rPr>
          <w:sz w:val="28"/>
          <w:szCs w:val="28"/>
        </w:rPr>
        <w:sym w:font="HQPB2" w:char="F04E"/>
      </w:r>
      <w:r>
        <w:rPr>
          <w:sz w:val="28"/>
          <w:szCs w:val="28"/>
        </w:rPr>
        <w:sym w:font="HQPB5" w:char="F06E"/>
      </w:r>
      <w:r>
        <w:rPr>
          <w:sz w:val="28"/>
          <w:szCs w:val="28"/>
        </w:rPr>
        <w:sym w:font="HQPB2" w:char="F03D"/>
      </w:r>
      <w:r>
        <w:rPr>
          <w:sz w:val="28"/>
          <w:szCs w:val="28"/>
        </w:rPr>
        <w:sym w:font="HQPB4" w:char="F0F7"/>
      </w:r>
      <w:r>
        <w:rPr>
          <w:sz w:val="28"/>
          <w:szCs w:val="28"/>
        </w:rPr>
        <w:sym w:font="HQPB1" w:char="F0E6"/>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D"/>
      </w:r>
      <w:r>
        <w:rPr>
          <w:sz w:val="28"/>
          <w:szCs w:val="28"/>
        </w:rPr>
        <w:sym w:font="HQPB2" w:char="F06B"/>
      </w:r>
      <w:r>
        <w:rPr>
          <w:sz w:val="28"/>
          <w:szCs w:val="28"/>
        </w:rPr>
        <w:sym w:font="HQPB4" w:char="F0C8"/>
      </w:r>
      <w:r>
        <w:rPr>
          <w:sz w:val="28"/>
          <w:szCs w:val="28"/>
        </w:rPr>
        <w:sym w:font="HQPB2" w:char="F05D"/>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7"/>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6"/>
      </w:r>
      <w:r>
        <w:rPr>
          <w:sz w:val="28"/>
          <w:szCs w:val="28"/>
        </w:rPr>
        <w:sym w:font="HQPB4" w:char="F0F4"/>
      </w:r>
      <w:r>
        <w:rPr>
          <w:sz w:val="28"/>
          <w:szCs w:val="28"/>
        </w:rPr>
        <w:sym w:font="HQPB2" w:char="F04A"/>
      </w:r>
      <w:r>
        <w:rPr>
          <w:sz w:val="28"/>
          <w:szCs w:val="28"/>
        </w:rPr>
        <w:sym w:font="HQPB4" w:char="F0C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5"/>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8"/>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1" w:char="F0E8"/>
      </w:r>
      <w:r>
        <w:rPr>
          <w:sz w:val="28"/>
          <w:szCs w:val="28"/>
        </w:rPr>
        <w:sym w:font="HQPB4" w:char="F0C5"/>
      </w:r>
      <w:r>
        <w:rPr>
          <w:sz w:val="28"/>
          <w:szCs w:val="28"/>
        </w:rPr>
        <w:sym w:font="HQPB1" w:char="F05F"/>
      </w:r>
      <w:r>
        <w:rPr>
          <w:sz w:val="28"/>
          <w:szCs w:val="28"/>
        </w:rPr>
        <w:sym w:font="HQPB4" w:char="F0F6"/>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4" w:char="F0A4"/>
      </w:r>
      <w:r>
        <w:rPr>
          <w:sz w:val="28"/>
          <w:szCs w:val="28"/>
        </w:rPr>
        <w:sym w:font="HQPB1" w:char="F0FF"/>
      </w:r>
      <w:r>
        <w:rPr>
          <w:sz w:val="28"/>
          <w:szCs w:val="28"/>
        </w:rPr>
        <w:sym w:font="HQPB4" w:char="F0E4"/>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40"/>
      </w:r>
      <w:r>
        <w:rPr>
          <w:sz w:val="28"/>
          <w:szCs w:val="28"/>
        </w:rPr>
        <w:sym w:font="HQPB2" w:char="F040"/>
      </w:r>
      <w:r>
        <w:rPr>
          <w:sz w:val="28"/>
          <w:szCs w:val="28"/>
        </w:rPr>
        <w:sym w:font="HQPB4" w:char="F0CF"/>
      </w:r>
      <w:r>
        <w:rPr>
          <w:sz w:val="28"/>
          <w:szCs w:val="28"/>
        </w:rPr>
        <w:sym w:font="HQPB1" w:char="F06D"/>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4" w:char="F0B0"/>
      </w:r>
      <w:r>
        <w:rPr>
          <w:sz w:val="28"/>
          <w:szCs w:val="28"/>
        </w:rPr>
        <w:sym w:font="HQPB2" w:char="F03B"/>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9D"/>
      </w:r>
      <w:r>
        <w:rPr>
          <w:sz w:val="28"/>
          <w:szCs w:val="28"/>
        </w:rPr>
        <w:sym w:font="HQPB2" w:char="F03D"/>
      </w:r>
      <w:r>
        <w:rPr>
          <w:sz w:val="28"/>
          <w:szCs w:val="28"/>
        </w:rPr>
        <w:sym w:font="HQPB4" w:char="F0CF"/>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E"/>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1" w:char="F03F"/>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1" w:char="F079"/>
      </w:r>
      <w:r>
        <w:rPr>
          <w:sz w:val="28"/>
          <w:szCs w:val="28"/>
        </w:rPr>
        <w:sym w:font="HQPB1" w:char="F024"/>
      </w:r>
      <w:r>
        <w:rPr>
          <w:sz w:val="28"/>
          <w:szCs w:val="28"/>
        </w:rPr>
        <w:sym w:font="HQPB5" w:char="F06F"/>
      </w:r>
      <w:r>
        <w:rPr>
          <w:sz w:val="28"/>
          <w:szCs w:val="28"/>
        </w:rPr>
        <w:sym w:font="HQPB2" w:char="F059"/>
      </w:r>
      <w:r>
        <w:rPr>
          <w:sz w:val="28"/>
          <w:szCs w:val="28"/>
        </w:rPr>
        <w:sym w:font="HQPB4" w:char="F0E3"/>
      </w:r>
      <w:r>
        <w:rPr>
          <w:sz w:val="28"/>
          <w:szCs w:val="28"/>
        </w:rPr>
        <w:sym w:font="HQPB1" w:char="F05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A"/>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7"/>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3"/>
      </w:r>
      <w:r>
        <w:rPr>
          <w:sz w:val="28"/>
          <w:szCs w:val="28"/>
        </w:rPr>
        <w:sym w:font="HQPB4" w:char="F0C5"/>
      </w:r>
      <w:r>
        <w:rPr>
          <w:sz w:val="28"/>
          <w:szCs w:val="28"/>
        </w:rPr>
        <w:sym w:font="HQPB1" w:char="F0A1"/>
      </w:r>
      <w:r>
        <w:rPr>
          <w:sz w:val="28"/>
          <w:szCs w:val="28"/>
        </w:rPr>
        <w:sym w:font="HQPB4" w:char="F0F4"/>
      </w:r>
      <w:r>
        <w:rPr>
          <w:sz w:val="28"/>
          <w:szCs w:val="28"/>
        </w:rPr>
        <w:sym w:font="HQPB2" w:char="F04A"/>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C4"/>
      </w:r>
      <w:r>
        <w:rPr>
          <w:sz w:val="28"/>
          <w:szCs w:val="28"/>
        </w:rPr>
        <w:sym w:font="HQPB2" w:char="F04E"/>
      </w:r>
      <w:r>
        <w:rPr>
          <w:sz w:val="28"/>
          <w:szCs w:val="28"/>
        </w:rPr>
        <w:sym w:font="HQPB5" w:char="F07C"/>
      </w:r>
      <w:r>
        <w:rPr>
          <w:sz w:val="28"/>
          <w:szCs w:val="28"/>
        </w:rPr>
        <w:sym w:font="HQPB1" w:char="F0C1"/>
      </w:r>
      <w:r>
        <w:rPr>
          <w:sz w:val="28"/>
          <w:szCs w:val="28"/>
        </w:rPr>
        <w:sym w:font="HQPB4" w:char="F0CF"/>
      </w:r>
      <w:r>
        <w:rPr>
          <w:sz w:val="28"/>
          <w:szCs w:val="28"/>
        </w:rPr>
        <w:sym w:font="HQPB1" w:char="F0E8"/>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CF"/>
      </w:r>
      <w:r>
        <w:rPr>
          <w:sz w:val="28"/>
          <w:szCs w:val="28"/>
        </w:rPr>
        <w:sym w:font="HQPB1" w:char="F0F9"/>
      </w:r>
      <w:r>
        <w:rPr>
          <w:sz w:val="28"/>
          <w:szCs w:val="28"/>
        </w:rPr>
        <w:sym w:font="HQPB1" w:char="F023"/>
      </w:r>
      <w:r>
        <w:rPr>
          <w:sz w:val="28"/>
          <w:szCs w:val="28"/>
        </w:rPr>
        <w:sym w:font="HQPB5" w:char="F075"/>
      </w:r>
      <w:r>
        <w:rPr>
          <w:sz w:val="28"/>
          <w:szCs w:val="28"/>
        </w:rPr>
        <w:sym w:font="HQPB2" w:char="F071"/>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9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7"/>
      </w:r>
      <w:r>
        <w:rPr>
          <w:sz w:val="28"/>
          <w:szCs w:val="28"/>
        </w:rPr>
        <w:sym w:font="HQPB2" w:char="F04C"/>
      </w:r>
      <w:r>
        <w:rPr>
          <w:sz w:val="28"/>
          <w:szCs w:val="28"/>
        </w:rPr>
        <w:sym w:font="HQPB4" w:char="F0E4"/>
      </w:r>
      <w:r>
        <w:rPr>
          <w:sz w:val="28"/>
          <w:szCs w:val="28"/>
        </w:rPr>
        <w:sym w:font="HQPB2" w:char="F0EA"/>
      </w:r>
      <w:r>
        <w:rPr>
          <w:sz w:val="28"/>
          <w:szCs w:val="28"/>
        </w:rPr>
        <w:sym w:font="HQPB4" w:char="F0F8"/>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2" w:char="F0AB"/>
      </w:r>
      <w:r>
        <w:rPr>
          <w:sz w:val="28"/>
          <w:szCs w:val="28"/>
        </w:rPr>
        <w:sym w:font="HQPB4" w:char="F0F3"/>
      </w:r>
      <w:r>
        <w:rPr>
          <w:sz w:val="28"/>
          <w:szCs w:val="28"/>
        </w:rPr>
        <w:sym w:font="HQPB1" w:char="F0A1"/>
      </w:r>
      <w:r>
        <w:rPr>
          <w:sz w:val="28"/>
          <w:szCs w:val="28"/>
        </w:rPr>
        <w:sym w:font="HQPB5" w:char="F075"/>
      </w:r>
      <w:r>
        <w:rPr>
          <w:sz w:val="28"/>
          <w:szCs w:val="28"/>
        </w:rPr>
        <w:sym w:font="HQPB2" w:char="F08A"/>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5" w:char="F078"/>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F5"/>
      </w:r>
      <w:r>
        <w:rPr>
          <w:sz w:val="28"/>
          <w:szCs w:val="28"/>
        </w:rPr>
        <w:sym w:font="HQPB2" w:char="F033"/>
      </w:r>
      <w:r>
        <w:rPr>
          <w:sz w:val="28"/>
          <w:szCs w:val="28"/>
        </w:rPr>
        <w:sym w:font="HQPB4" w:char="F0E3"/>
      </w:r>
      <w:r>
        <w:rPr>
          <w:sz w:val="28"/>
          <w:szCs w:val="28"/>
        </w:rPr>
        <w:sym w:font="HQPB1" w:char="F06D"/>
      </w:r>
      <w:r>
        <w:rPr>
          <w:rFonts w:ascii="(normal text)" w:hAnsi="(normal text)"/>
          <w:rtl/>
        </w:rPr>
        <w:t xml:space="preserve"> </w:t>
      </w:r>
      <w:r>
        <w:rPr>
          <w:sz w:val="28"/>
          <w:szCs w:val="28"/>
        </w:rPr>
        <w:sym w:font="HQPB5" w:char="F0AB"/>
      </w:r>
      <w:r w:rsidRPr="00767B5A">
        <w:rPr>
          <w:rFonts w:ascii="Adobe نسخ Medium" w:hAnsi="Adobe نسخ Medium" w:cs="Adobe نسخ Medium"/>
          <w:sz w:val="32"/>
          <w:szCs w:val="32"/>
          <w:rtl/>
        </w:rPr>
        <w:t xml:space="preserve"> 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6F"/>
      </w:r>
      <w:r>
        <w:rPr>
          <w:sz w:val="28"/>
          <w:szCs w:val="28"/>
        </w:rPr>
        <w:sym w:font="HQPB2" w:char="F059"/>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34"/>
      </w:r>
      <w:r w:rsidRPr="00B13CD9">
        <w:rPr>
          <w:sz w:val="28"/>
          <w:szCs w:val="28"/>
          <w:lang w:val="sv-SE"/>
        </w:rPr>
        <w:t xml:space="preserve"> </w:t>
      </w:r>
      <w:r>
        <w:rPr>
          <w:sz w:val="28"/>
          <w:szCs w:val="28"/>
        </w:rPr>
        <w:sym w:font="HQPB5" w:char="F075"/>
      </w:r>
      <w:r>
        <w:rPr>
          <w:sz w:val="28"/>
          <w:szCs w:val="28"/>
        </w:rPr>
        <w:sym w:font="HQPB2" w:char="F072"/>
      </w:r>
      <w:r w:rsidRPr="00767B5A">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sz w:val="28"/>
          <w:szCs w:val="28"/>
        </w:rPr>
        <w:sym w:font="HQPB4" w:char="F0EE"/>
      </w:r>
      <w:r>
        <w:rPr>
          <w:sz w:val="28"/>
          <w:szCs w:val="28"/>
        </w:rPr>
        <w:sym w:font="HQPB2" w:char="F04C"/>
      </w:r>
      <w:r>
        <w:rPr>
          <w:sz w:val="28"/>
          <w:szCs w:val="28"/>
        </w:rPr>
        <w:sym w:font="HQPB2" w:char="F0EC"/>
      </w:r>
      <w:r>
        <w:rPr>
          <w:sz w:val="28"/>
          <w:szCs w:val="28"/>
        </w:rPr>
        <w:sym w:font="HQPB4" w:char="F0C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5"/>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872FC6">
        <w:rPr>
          <w:rFonts w:ascii="(normal text)" w:hAnsi="(normal text)"/>
          <w:i/>
          <w:iCs/>
          <w:sz w:val="24"/>
          <w:szCs w:val="24"/>
          <w:lang w:val="sv-SE"/>
        </w:rPr>
        <w:t xml:space="preserve">“Hai orang-orang yang beriman, apabila datang berhijrah kepadamu perempuan-perempuan yang beriman, Maka hendaklah kamu uji (keimanan) mereka. Allah lebih mengetahui tentang keimanan mereka;maka jika kamu telah mengetahui bahwa mereka (benar-benar) </w:t>
      </w:r>
      <w:r w:rsidRPr="00872FC6">
        <w:rPr>
          <w:rFonts w:ascii="(normal text)" w:hAnsi="(normal text)"/>
          <w:i/>
          <w:iCs/>
          <w:sz w:val="24"/>
          <w:szCs w:val="24"/>
          <w:lang w:val="sv-SE"/>
        </w:rPr>
        <w:lastRenderedPageBreak/>
        <w:t>beriman Maka janganlah kamu kembalikan mereka kepada (suami-suami mereka) orang-orang kafir. mereka tiada halal bagi orang-orang kafir itu dan orang-orang kafir itu tiada halal pula bagi mereka. dan berikanlah kepada (suami suami) mereka, mahar yang telah mereka bayar. dan tiada dosa atasmu mengawini mereka apabila kamu bayar kepada mereka maharnya. dan janganlah kamu tetap berpegang pada tali (perkawinan) dengan perempuan-perempuan kafir; dan hendaklah kamu minta mahar yang telah kamu bayar; dan hendaklah mereka meminta mahar yang telah mereka bayar. Demikianlah hukum Allah yang ditetapkanNya di antara kamu. dan Allah Maha mengetahui lagi Maha Bijaksana.</w:t>
      </w:r>
      <w:r w:rsidRPr="005634BE">
        <w:rPr>
          <w:rFonts w:asciiTheme="majorBidi" w:hAnsiTheme="majorBidi" w:cstheme="majorBidi"/>
          <w:sz w:val="24"/>
          <w:szCs w:val="24"/>
          <w:lang w:val="sv-SE"/>
        </w:rPr>
        <w:t xml:space="preserve"> </w:t>
      </w:r>
      <w:r w:rsidRPr="00114CA1">
        <w:rPr>
          <w:rFonts w:asciiTheme="majorBidi" w:hAnsiTheme="majorBidi" w:cstheme="majorBidi"/>
          <w:sz w:val="24"/>
          <w:szCs w:val="24"/>
          <w:lang w:val="sv-SE"/>
        </w:rPr>
        <w:t xml:space="preserve">(QS. </w:t>
      </w:r>
      <w:r>
        <w:rPr>
          <w:rFonts w:asciiTheme="majorBidi" w:hAnsiTheme="majorBidi" w:cstheme="majorBidi"/>
          <w:sz w:val="24"/>
          <w:szCs w:val="24"/>
          <w:lang w:val="sv-SE"/>
        </w:rPr>
        <w:t>Al-Mumtahanah [60]: 10</w:t>
      </w:r>
      <w:r w:rsidRPr="00114CA1">
        <w:rPr>
          <w:rFonts w:asciiTheme="majorBidi" w:hAnsiTheme="majorBidi" w:cstheme="majorBidi"/>
          <w:sz w:val="24"/>
          <w:szCs w:val="24"/>
          <w:lang w:val="sv-SE"/>
        </w:rPr>
        <w:t>)</w:t>
      </w:r>
      <w:r>
        <w:rPr>
          <w:rStyle w:val="FootnoteReference"/>
          <w:rFonts w:asciiTheme="majorBidi" w:hAnsiTheme="majorBidi" w:cstheme="majorBidi"/>
          <w:sz w:val="24"/>
          <w:szCs w:val="24"/>
          <w:lang w:val="sv-SE"/>
        </w:rPr>
        <w:footnoteReference w:id="646"/>
      </w:r>
    </w:p>
    <w:p w:rsidR="00343B61" w:rsidRDefault="00343B61" w:rsidP="00343B61">
      <w:pPr>
        <w:pStyle w:val="ListParagraph"/>
        <w:tabs>
          <w:tab w:val="left" w:pos="1800"/>
        </w:tabs>
        <w:spacing w:line="360" w:lineRule="auto"/>
        <w:jc w:val="both"/>
        <w:rPr>
          <w:rFonts w:asciiTheme="majorBidi" w:hAnsiTheme="majorBidi" w:cstheme="majorBidi"/>
          <w:sz w:val="24"/>
          <w:szCs w:val="24"/>
          <w:lang w:val="sv-SE"/>
        </w:rPr>
      </w:pPr>
    </w:p>
    <w:p w:rsidR="00343B61" w:rsidRPr="00AC573C" w:rsidRDefault="00343B61" w:rsidP="00343B61">
      <w:pPr>
        <w:pStyle w:val="ListParagraph"/>
        <w:tabs>
          <w:tab w:val="left" w:pos="1800"/>
        </w:tabs>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vii. </w:t>
      </w:r>
      <w:r w:rsidRPr="00872FC6">
        <w:rPr>
          <w:rFonts w:asciiTheme="majorBidi" w:hAnsiTheme="majorBidi" w:cstheme="majorBidi"/>
          <w:sz w:val="24"/>
          <w:szCs w:val="24"/>
          <w:lang w:val="sv-SE"/>
        </w:rPr>
        <w:t xml:space="preserve">Firman Allah dalam </w:t>
      </w:r>
      <w:r w:rsidRPr="00114CA1">
        <w:rPr>
          <w:rFonts w:asciiTheme="majorBidi" w:hAnsiTheme="majorBidi" w:cstheme="majorBidi"/>
          <w:sz w:val="24"/>
          <w:szCs w:val="24"/>
          <w:lang w:val="sv-SE"/>
        </w:rPr>
        <w:t xml:space="preserve">QS. </w:t>
      </w:r>
      <w:r>
        <w:rPr>
          <w:rFonts w:asciiTheme="majorBidi" w:hAnsiTheme="majorBidi" w:cstheme="majorBidi"/>
          <w:sz w:val="24"/>
          <w:szCs w:val="24"/>
          <w:lang w:val="sv-SE"/>
        </w:rPr>
        <w:t>Al-Nisa’ [4]: 25</w:t>
      </w:r>
    </w:p>
    <w:p w:rsidR="00343B61" w:rsidRPr="00673B81" w:rsidRDefault="00343B61" w:rsidP="00343B61">
      <w:pPr>
        <w:pStyle w:val="ListParagraph"/>
        <w:tabs>
          <w:tab w:val="left" w:pos="1800"/>
          <w:tab w:val="right" w:pos="7037"/>
          <w:tab w:val="right" w:pos="7217"/>
        </w:tabs>
        <w:bidi/>
        <w:spacing w:line="240" w:lineRule="auto"/>
        <w:ind w:left="17" w:right="720"/>
        <w:jc w:val="both"/>
        <w:rPr>
          <w:rFonts w:ascii="(normal text)" w:hAnsi="(normal text)"/>
          <w:rtl/>
          <w:lang w:val="sv-SE"/>
        </w:rPr>
      </w:pP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A9"/>
      </w:r>
      <w:r>
        <w:rPr>
          <w:sz w:val="28"/>
          <w:szCs w:val="28"/>
        </w:rPr>
        <w:sym w:font="HQPB2" w:char="F039"/>
      </w:r>
      <w:r>
        <w:rPr>
          <w:rFonts w:ascii="(normal text)" w:hAnsi="(normal text)"/>
          <w:rtl/>
        </w:rPr>
        <w:t xml:space="preserve"> </w:t>
      </w:r>
      <w:r>
        <w:rPr>
          <w:sz w:val="28"/>
          <w:szCs w:val="28"/>
        </w:rPr>
        <w:sym w:font="HQPB4" w:char="F0F4"/>
      </w:r>
      <w:r>
        <w:rPr>
          <w:sz w:val="28"/>
          <w:szCs w:val="28"/>
        </w:rPr>
        <w:sym w:font="HQPB1" w:char="F0EC"/>
      </w:r>
      <w:r>
        <w:rPr>
          <w:sz w:val="28"/>
          <w:szCs w:val="28"/>
        </w:rPr>
        <w:sym w:font="HQPB4" w:char="F0CF"/>
      </w:r>
      <w:r>
        <w:rPr>
          <w:sz w:val="28"/>
          <w:szCs w:val="28"/>
        </w:rPr>
        <w:sym w:font="HQPB1" w:char="F0DC"/>
      </w:r>
      <w:r>
        <w:rPr>
          <w:sz w:val="28"/>
          <w:szCs w:val="28"/>
        </w:rPr>
        <w:sym w:font="HQPB5" w:char="F074"/>
      </w:r>
      <w:r>
        <w:rPr>
          <w:sz w:val="28"/>
          <w:szCs w:val="28"/>
        </w:rPr>
        <w:sym w:font="HQPB1" w:char="F047"/>
      </w:r>
      <w:r>
        <w:rPr>
          <w:sz w:val="28"/>
          <w:szCs w:val="28"/>
        </w:rPr>
        <w:sym w:font="HQPB4" w:char="F0F3"/>
      </w:r>
      <w:r>
        <w:rPr>
          <w:sz w:val="28"/>
          <w:szCs w:val="28"/>
        </w:rPr>
        <w:sym w:font="HQPB1" w:char="F0A1"/>
      </w:r>
      <w:r>
        <w:rPr>
          <w:sz w:val="28"/>
          <w:szCs w:val="28"/>
        </w:rPr>
        <w:sym w:font="HQPB5" w:char="F06F"/>
      </w:r>
      <w:r>
        <w:rPr>
          <w:sz w:val="28"/>
          <w:szCs w:val="28"/>
        </w:rPr>
        <w:sym w:font="HQPB2" w:char="F08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BB"/>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1" w:char="F0DB"/>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9"/>
      </w:r>
      <w:r>
        <w:rPr>
          <w:sz w:val="28"/>
          <w:szCs w:val="28"/>
        </w:rPr>
        <w:sym w:font="HQPB1" w:char="F078"/>
      </w:r>
      <w:r>
        <w:rPr>
          <w:sz w:val="28"/>
          <w:szCs w:val="28"/>
        </w:rPr>
        <w:sym w:font="HQPB4" w:char="F0C5"/>
      </w:r>
      <w:r>
        <w:rPr>
          <w:sz w:val="28"/>
          <w:szCs w:val="28"/>
        </w:rPr>
        <w:sym w:font="HQPB2" w:char="F036"/>
      </w:r>
      <w:r>
        <w:rPr>
          <w:sz w:val="28"/>
          <w:szCs w:val="28"/>
        </w:rPr>
        <w:sym w:font="HQPB2" w:char="F05A"/>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A"/>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3"/>
      </w:r>
      <w:r>
        <w:rPr>
          <w:sz w:val="28"/>
          <w:szCs w:val="28"/>
        </w:rPr>
        <w:sym w:font="HQPB2" w:char="F033"/>
      </w:r>
      <w:r>
        <w:rPr>
          <w:sz w:val="28"/>
          <w:szCs w:val="28"/>
        </w:rPr>
        <w:sym w:font="HQPB5" w:char="F06E"/>
      </w:r>
      <w:r>
        <w:rPr>
          <w:sz w:val="28"/>
          <w:szCs w:val="28"/>
        </w:rPr>
        <w:sym w:font="HQPB2" w:char="F03D"/>
      </w:r>
      <w:r>
        <w:rPr>
          <w:sz w:val="28"/>
          <w:szCs w:val="28"/>
        </w:rPr>
        <w:sym w:font="HQPB5" w:char="F074"/>
      </w:r>
      <w:r>
        <w:rPr>
          <w:sz w:val="28"/>
          <w:szCs w:val="28"/>
        </w:rPr>
        <w:sym w:font="HQPB2" w:char="F042"/>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5A"/>
      </w:r>
      <w:r>
        <w:rPr>
          <w:sz w:val="28"/>
          <w:szCs w:val="28"/>
        </w:rPr>
        <w:sym w:font="HQPB2" w:char="F0BB"/>
      </w:r>
      <w:r>
        <w:rPr>
          <w:sz w:val="28"/>
          <w:szCs w:val="28"/>
        </w:rPr>
        <w:sym w:font="HQPB5" w:char="F079"/>
      </w:r>
      <w:r>
        <w:rPr>
          <w:sz w:val="28"/>
          <w:szCs w:val="28"/>
        </w:rPr>
        <w:sym w:font="HQPB2" w:char="F04A"/>
      </w:r>
      <w:r>
        <w:rPr>
          <w:sz w:val="28"/>
          <w:szCs w:val="28"/>
        </w:rPr>
        <w:sym w:font="HQPB4" w:char="F0F7"/>
      </w:r>
      <w:r>
        <w:rPr>
          <w:sz w:val="28"/>
          <w:szCs w:val="28"/>
        </w:rPr>
        <w:sym w:font="HQPB2" w:char="F08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1" w:char="F047"/>
      </w:r>
      <w:r>
        <w:rPr>
          <w:sz w:val="28"/>
          <w:szCs w:val="28"/>
        </w:rPr>
        <w:sym w:font="HQPB2" w:char="F0BB"/>
      </w:r>
      <w:r>
        <w:rPr>
          <w:sz w:val="28"/>
          <w:szCs w:val="28"/>
        </w:rPr>
        <w:sym w:font="HQPB5" w:char="F075"/>
      </w:r>
      <w:r>
        <w:rPr>
          <w:sz w:val="28"/>
          <w:szCs w:val="28"/>
        </w:rPr>
        <w:sym w:font="HQPB2" w:char="F08A"/>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rFonts w:hint="cs"/>
          <w:sz w:val="28"/>
          <w:szCs w:val="28"/>
          <w:rtl/>
        </w:rPr>
        <w:t>وَ</w:t>
      </w:r>
      <w:r w:rsidRPr="00767B5A">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E3"/>
      </w:r>
      <w:r>
        <w:rPr>
          <w:sz w:val="28"/>
          <w:szCs w:val="28"/>
        </w:rPr>
        <w:sym w:font="HQPB2" w:char="F04E"/>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5A"/>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E0"/>
      </w:r>
      <w:r>
        <w:rPr>
          <w:sz w:val="28"/>
          <w:szCs w:val="28"/>
        </w:rPr>
        <w:sym w:font="HQPB1" w:char="F0D2"/>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2E"/>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3C"/>
      </w:r>
      <w:r>
        <w:rPr>
          <w:sz w:val="28"/>
          <w:szCs w:val="28"/>
        </w:rPr>
        <w:sym w:font="HQPB1" w:char="F0D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2"/>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8"/>
      </w:r>
      <w:r>
        <w:rPr>
          <w:sz w:val="28"/>
          <w:szCs w:val="28"/>
        </w:rPr>
        <w:sym w:font="HQPB2" w:char="F062"/>
      </w:r>
      <w:r>
        <w:rPr>
          <w:sz w:val="28"/>
          <w:szCs w:val="28"/>
        </w:rPr>
        <w:sym w:font="HQPB4" w:char="F0F8"/>
      </w:r>
      <w:r>
        <w:rPr>
          <w:sz w:val="28"/>
          <w:szCs w:val="28"/>
        </w:rPr>
        <w:sym w:font="HQPB1" w:char="F08C"/>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E"/>
      </w:r>
      <w:r>
        <w:rPr>
          <w:sz w:val="28"/>
          <w:szCs w:val="28"/>
        </w:rPr>
        <w:sym w:font="HQPB2" w:char="F067"/>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1" w:char="F03F"/>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3"/>
      </w:r>
      <w:r>
        <w:rPr>
          <w:sz w:val="28"/>
          <w:szCs w:val="28"/>
        </w:rPr>
        <w:sym w:font="HQPB1" w:char="F05F"/>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1"/>
      </w:r>
      <w:r>
        <w:rPr>
          <w:sz w:val="28"/>
          <w:szCs w:val="28"/>
        </w:rPr>
        <w:sym w:font="HQPB1" w:char="F08F"/>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42"/>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8"/>
      </w:r>
      <w:r>
        <w:rPr>
          <w:sz w:val="28"/>
          <w:szCs w:val="28"/>
        </w:rPr>
        <w:sym w:font="HQPB1" w:char="F074"/>
      </w:r>
      <w:r>
        <w:rPr>
          <w:sz w:val="28"/>
          <w:szCs w:val="28"/>
        </w:rPr>
        <w:sym w:font="HQPB4" w:char="F0E8"/>
      </w:r>
      <w:r>
        <w:rPr>
          <w:sz w:val="28"/>
          <w:szCs w:val="28"/>
        </w:rPr>
        <w:sym w:font="HQPB2" w:char="F043"/>
      </w:r>
      <w:r>
        <w:rPr>
          <w:rFonts w:ascii="(normal text)" w:hAnsi="(normal text)"/>
          <w:rtl/>
        </w:rPr>
        <w:t xml:space="preserve"> </w:t>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9"/>
      </w:r>
      <w:r>
        <w:rPr>
          <w:sz w:val="28"/>
          <w:szCs w:val="28"/>
        </w:rPr>
        <w:sym w:font="HQPB1" w:char="F073"/>
      </w:r>
      <w:r>
        <w:rPr>
          <w:sz w:val="28"/>
          <w:szCs w:val="28"/>
        </w:rPr>
        <w:sym w:font="HQPB4" w:char="F0CF"/>
      </w:r>
      <w:r>
        <w:rPr>
          <w:sz w:val="28"/>
          <w:szCs w:val="28"/>
        </w:rPr>
        <w:sym w:font="HQPB1" w:char="F0FF"/>
      </w:r>
      <w:r>
        <w:rPr>
          <w:sz w:val="28"/>
          <w:szCs w:val="28"/>
        </w:rPr>
        <w:sym w:font="HQPB2" w:char="F0BB"/>
      </w:r>
      <w:r>
        <w:rPr>
          <w:sz w:val="28"/>
          <w:szCs w:val="28"/>
        </w:rPr>
        <w:sym w:font="HQPB5" w:char="F07C"/>
      </w:r>
      <w:r>
        <w:rPr>
          <w:sz w:val="28"/>
          <w:szCs w:val="28"/>
        </w:rPr>
        <w:sym w:font="HQPB1" w:char="F0A1"/>
      </w:r>
      <w:r>
        <w:rPr>
          <w:sz w:val="28"/>
          <w:szCs w:val="28"/>
        </w:rPr>
        <w:sym w:font="HQPB4" w:char="F0E3"/>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3" w:char="F056"/>
      </w:r>
      <w:r>
        <w:rPr>
          <w:sz w:val="28"/>
          <w:szCs w:val="28"/>
        </w:rPr>
        <w:sym w:font="HQPB2" w:char="F0BA"/>
      </w:r>
      <w:r>
        <w:rPr>
          <w:sz w:val="28"/>
          <w:szCs w:val="28"/>
        </w:rPr>
        <w:sym w:font="HQPB5" w:char="F078"/>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4" w:char="F0E3"/>
      </w:r>
      <w:r>
        <w:rPr>
          <w:sz w:val="28"/>
          <w:szCs w:val="28"/>
        </w:rPr>
        <w:sym w:font="HQPB2" w:char="F042"/>
      </w:r>
      <w:r>
        <w:rPr>
          <w:rFonts w:ascii="(normal text)" w:hAnsi="(normal text)"/>
          <w:rtl/>
        </w:rPr>
        <w:t xml:space="preserve"> </w:t>
      </w:r>
      <w:r>
        <w:rPr>
          <w:sz w:val="28"/>
          <w:szCs w:val="28"/>
        </w:rPr>
        <w:sym w:font="HQPB4" w:char="F035"/>
      </w:r>
      <w:r>
        <w:rPr>
          <w:sz w:val="28"/>
          <w:szCs w:val="28"/>
        </w:rPr>
        <w:sym w:font="HQPB2" w:char="F062"/>
      </w:r>
      <w:r>
        <w:rPr>
          <w:sz w:val="28"/>
          <w:szCs w:val="28"/>
        </w:rPr>
        <w:sym w:font="HQPB1" w:char="F023"/>
      </w:r>
      <w:r>
        <w:rPr>
          <w:sz w:val="28"/>
          <w:szCs w:val="28"/>
        </w:rPr>
        <w:sym w:font="HQPB5" w:char="F079"/>
      </w:r>
      <w:r>
        <w:rPr>
          <w:sz w:val="28"/>
          <w:szCs w:val="28"/>
        </w:rPr>
        <w:sym w:font="HQPB1" w:char="F089"/>
      </w:r>
      <w:r>
        <w:rPr>
          <w:sz w:val="28"/>
          <w:szCs w:val="28"/>
        </w:rPr>
        <w:sym w:font="HQPB4" w:char="F0F7"/>
      </w:r>
      <w:r>
        <w:rPr>
          <w:sz w:val="28"/>
          <w:szCs w:val="28"/>
        </w:rPr>
        <w:sym w:font="HQPB1" w:char="F07B"/>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5"/>
      </w:r>
      <w:r>
        <w:rPr>
          <w:sz w:val="28"/>
          <w:szCs w:val="28"/>
        </w:rPr>
        <w:sym w:font="HQPB1" w:char="F0C1"/>
      </w:r>
      <w:r>
        <w:rPr>
          <w:sz w:val="28"/>
          <w:szCs w:val="28"/>
        </w:rPr>
        <w:sym w:font="HQPB4" w:char="F0F4"/>
      </w:r>
      <w:r>
        <w:rPr>
          <w:sz w:val="28"/>
          <w:szCs w:val="28"/>
        </w:rPr>
        <w:sym w:font="HQPB1" w:char="F06D"/>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F7"/>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9A"/>
      </w:r>
      <w:r>
        <w:rPr>
          <w:sz w:val="28"/>
          <w:szCs w:val="28"/>
        </w:rPr>
        <w:sym w:font="HQPB2" w:char="F0FA"/>
      </w:r>
      <w:r>
        <w:rPr>
          <w:sz w:val="28"/>
          <w:szCs w:val="28"/>
        </w:rPr>
        <w:sym w:font="HQPB4" w:char="F0F7"/>
      </w:r>
      <w:r>
        <w:rPr>
          <w:sz w:val="28"/>
          <w:szCs w:val="28"/>
        </w:rPr>
        <w:sym w:font="HQPB2" w:char="F0FC"/>
      </w:r>
      <w:r>
        <w:rPr>
          <w:sz w:val="28"/>
          <w:szCs w:val="28"/>
        </w:rPr>
        <w:sym w:font="HQPB5" w:char="F073"/>
      </w:r>
      <w:r>
        <w:rPr>
          <w:sz w:val="28"/>
          <w:szCs w:val="28"/>
        </w:rPr>
        <w:sym w:font="HQPB1" w:char="F03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4"/>
      </w:r>
      <w:r>
        <w:rPr>
          <w:sz w:val="28"/>
          <w:szCs w:val="28"/>
        </w:rPr>
        <w:sym w:font="HQPB1" w:char="F0B1"/>
      </w:r>
      <w:r>
        <w:rPr>
          <w:sz w:val="28"/>
          <w:szCs w:val="28"/>
        </w:rPr>
        <w:sym w:font="HQPB4" w:char="F0C5"/>
      </w:r>
      <w:r>
        <w:rPr>
          <w:sz w:val="28"/>
          <w:szCs w:val="28"/>
        </w:rPr>
        <w:sym w:font="HQPB1" w:char="F073"/>
      </w:r>
      <w:r>
        <w:rPr>
          <w:sz w:val="28"/>
          <w:szCs w:val="28"/>
        </w:rPr>
        <w:sym w:font="HQPB2" w:char="F0BB"/>
      </w:r>
      <w:r>
        <w:rPr>
          <w:sz w:val="28"/>
          <w:szCs w:val="28"/>
        </w:rPr>
        <w:sym w:font="HQPB5" w:char="F078"/>
      </w:r>
      <w:r>
        <w:rPr>
          <w:sz w:val="28"/>
          <w:szCs w:val="28"/>
        </w:rPr>
        <w:sym w:font="HQPB1" w:char="F0FF"/>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DF"/>
      </w:r>
      <w:r>
        <w:rPr>
          <w:sz w:val="28"/>
          <w:szCs w:val="28"/>
        </w:rPr>
        <w:sym w:font="HQPB2" w:char="F023"/>
      </w:r>
      <w:r>
        <w:rPr>
          <w:sz w:val="28"/>
          <w:szCs w:val="28"/>
        </w:rPr>
        <w:sym w:font="HQPB4" w:char="F0F3"/>
      </w:r>
      <w:r>
        <w:rPr>
          <w:sz w:val="28"/>
          <w:szCs w:val="28"/>
        </w:rPr>
        <w:sym w:font="HQPB1" w:char="F0C1"/>
      </w:r>
      <w:r>
        <w:rPr>
          <w:sz w:val="28"/>
          <w:szCs w:val="28"/>
        </w:rPr>
        <w:sym w:font="HQPB4" w:char="F0CF"/>
      </w:r>
      <w:r>
        <w:rPr>
          <w:sz w:val="28"/>
          <w:szCs w:val="28"/>
        </w:rPr>
        <w:sym w:font="HQPB2" w:char="F052"/>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5" w:char="F07C"/>
      </w:r>
      <w:r>
        <w:rPr>
          <w:sz w:val="28"/>
          <w:szCs w:val="28"/>
        </w:rPr>
        <w:sym w:font="HQPB1" w:char="F0C1"/>
      </w:r>
      <w:r>
        <w:rPr>
          <w:sz w:val="28"/>
          <w:szCs w:val="28"/>
        </w:rPr>
        <w:sym w:font="HQPB4" w:char="F0F3"/>
      </w:r>
      <w:r>
        <w:rPr>
          <w:sz w:val="28"/>
          <w:szCs w:val="28"/>
        </w:rPr>
        <w:sym w:font="HQPB1"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C6"/>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9"/>
      </w:r>
      <w:r>
        <w:rPr>
          <w:sz w:val="28"/>
          <w:szCs w:val="28"/>
        </w:rPr>
        <w:sym w:font="HQPB1" w:char="F03E"/>
      </w:r>
      <w:r>
        <w:rPr>
          <w:sz w:val="28"/>
          <w:szCs w:val="28"/>
        </w:rPr>
        <w:sym w:font="HQPB1" w:char="F023"/>
      </w:r>
      <w:r>
        <w:rPr>
          <w:sz w:val="28"/>
          <w:szCs w:val="28"/>
        </w:rPr>
        <w:sym w:font="HQPB5" w:char="F078"/>
      </w:r>
      <w:r>
        <w:rPr>
          <w:sz w:val="28"/>
          <w:szCs w:val="28"/>
        </w:rPr>
        <w:sym w:font="HQPB1" w:char="F08B"/>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F4"/>
      </w:r>
      <w:r>
        <w:rPr>
          <w:sz w:val="28"/>
          <w:szCs w:val="28"/>
        </w:rPr>
        <w:sym w:font="HQPB2" w:char="F060"/>
      </w:r>
      <w:r>
        <w:rPr>
          <w:sz w:val="28"/>
          <w:szCs w:val="28"/>
        </w:rPr>
        <w:sym w:font="HQPB5" w:char="F079"/>
      </w:r>
      <w:r>
        <w:rPr>
          <w:sz w:val="28"/>
          <w:szCs w:val="28"/>
        </w:rPr>
        <w:sym w:font="HQPB2" w:char="F04A"/>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1" w:char="F0B1"/>
      </w:r>
      <w:r>
        <w:rPr>
          <w:sz w:val="28"/>
          <w:szCs w:val="28"/>
        </w:rPr>
        <w:sym w:font="HQPB5" w:char="F079"/>
      </w:r>
      <w:r>
        <w:rPr>
          <w:sz w:val="28"/>
          <w:szCs w:val="28"/>
        </w:rPr>
        <w:sym w:font="HQPB1" w:char="F07A"/>
      </w:r>
      <w:r>
        <w:rPr>
          <w:rFonts w:ascii="(normal text)" w:hAnsi="(normal text)"/>
          <w:rtl/>
        </w:rPr>
        <w:t xml:space="preserve"> </w:t>
      </w:r>
      <w:r>
        <w:rPr>
          <w:sz w:val="28"/>
          <w:szCs w:val="28"/>
        </w:rPr>
        <w:sym w:font="HQPB5" w:char="F07C"/>
      </w:r>
      <w:r>
        <w:rPr>
          <w:sz w:val="28"/>
          <w:szCs w:val="28"/>
        </w:rPr>
        <w:sym w:font="HQPB1" w:char="F04D"/>
      </w:r>
      <w:r>
        <w:rPr>
          <w:sz w:val="28"/>
          <w:szCs w:val="28"/>
        </w:rPr>
        <w:sym w:font="HQPB5" w:char="F075"/>
      </w:r>
      <w:r>
        <w:rPr>
          <w:sz w:val="28"/>
          <w:szCs w:val="28"/>
        </w:rPr>
        <w:sym w:font="HQPB2" w:char="F05A"/>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7"/>
      </w:r>
      <w:r>
        <w:rPr>
          <w:sz w:val="28"/>
          <w:szCs w:val="28"/>
        </w:rPr>
        <w:sym w:font="HQPB1" w:char="F08E"/>
      </w:r>
      <w:r>
        <w:rPr>
          <w:sz w:val="28"/>
          <w:szCs w:val="28"/>
        </w:rPr>
        <w:sym w:font="HQPB4" w:char="F0C9"/>
      </w:r>
      <w:r>
        <w:rPr>
          <w:sz w:val="28"/>
          <w:szCs w:val="28"/>
        </w:rPr>
        <w:sym w:font="HQPB1" w:char="F039"/>
      </w:r>
      <w:r>
        <w:rPr>
          <w:sz w:val="28"/>
          <w:szCs w:val="28"/>
        </w:rPr>
        <w:sym w:font="HQPB4" w:char="F0F3"/>
      </w:r>
      <w:r>
        <w:rPr>
          <w:sz w:val="28"/>
          <w:szCs w:val="28"/>
        </w:rPr>
        <w:sym w:font="HQPB1" w:char="F0C1"/>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A9"/>
      </w:r>
      <w:r>
        <w:rPr>
          <w:sz w:val="28"/>
          <w:szCs w:val="28"/>
        </w:rPr>
        <w:sym w:font="HQPB2" w:char="F039"/>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2" w:char="F072"/>
      </w:r>
      <w:r w:rsidRPr="00767B5A">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sz w:val="28"/>
          <w:szCs w:val="28"/>
        </w:rPr>
        <w:sym w:font="HQPB5" w:char="F075"/>
      </w:r>
      <w:r>
        <w:rPr>
          <w:rFonts w:ascii="(normal text)" w:hAnsi="(normal text)"/>
          <w:rtl/>
        </w:rPr>
        <w:t xml:space="preserve"> </w:t>
      </w:r>
      <w:r>
        <w:rPr>
          <w:sz w:val="28"/>
          <w:szCs w:val="28"/>
        </w:rPr>
        <w:sym w:font="HQPB4" w:char="F0D6"/>
      </w:r>
      <w:r>
        <w:rPr>
          <w:sz w:val="28"/>
          <w:szCs w:val="28"/>
        </w:rPr>
        <w:sym w:font="HQPB1" w:char="F091"/>
      </w:r>
      <w:r>
        <w:rPr>
          <w:sz w:val="28"/>
          <w:szCs w:val="28"/>
        </w:rPr>
        <w:sym w:font="HQPB2" w:char="F071"/>
      </w:r>
      <w:r>
        <w:rPr>
          <w:sz w:val="28"/>
          <w:szCs w:val="28"/>
        </w:rPr>
        <w:sym w:font="HQPB4" w:char="F0E0"/>
      </w:r>
      <w:r>
        <w:rPr>
          <w:sz w:val="28"/>
          <w:szCs w:val="28"/>
        </w:rPr>
        <w:sym w:font="HQPB1" w:char="F0FF"/>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B"/>
      </w:r>
      <w:r>
        <w:rPr>
          <w:sz w:val="28"/>
          <w:szCs w:val="28"/>
        </w:rPr>
        <w:sym w:font="HQPB4" w:char="F0CF"/>
      </w:r>
      <w:r>
        <w:rPr>
          <w:sz w:val="28"/>
          <w:szCs w:val="28"/>
        </w:rPr>
        <w:sym w:font="HQPB1" w:char="F06D"/>
      </w:r>
      <w:r>
        <w:rPr>
          <w:sz w:val="28"/>
          <w:szCs w:val="28"/>
        </w:rPr>
        <w:sym w:font="HQPB4" w:char="F0A7"/>
      </w:r>
      <w:r>
        <w:rPr>
          <w:sz w:val="28"/>
          <w:szCs w:val="28"/>
        </w:rPr>
        <w:sym w:font="HQPB1" w:char="F091"/>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E"/>
      </w:r>
      <w:r>
        <w:rPr>
          <w:sz w:val="28"/>
          <w:szCs w:val="28"/>
        </w:rPr>
        <w:sym w:font="HQPB2" w:char="F0C8"/>
      </w:r>
      <w:r>
        <w:rPr>
          <w:rFonts w:ascii="(normal text)" w:hAnsi="(normal text)"/>
          <w:rtl/>
        </w:rPr>
        <w:t xml:space="preserve">   </w:t>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sv-SE"/>
        </w:rPr>
        <w:t>Artinya:</w:t>
      </w:r>
      <w:r w:rsidRPr="00A27F14">
        <w:rPr>
          <w:rFonts w:ascii="(normal text)" w:hAnsi="(normal text)"/>
          <w:i/>
          <w:iCs/>
          <w:sz w:val="24"/>
          <w:szCs w:val="24"/>
          <w:lang w:val="sv-SE"/>
        </w:rPr>
        <w:t xml:space="preserve">”dan Barangsiapa diantara kamu (orang merdeka) yang tidak cukup perbelanjaannya untuk mengawini wanita merdeka lagi beriman, ia boleh mengawini wanita yang beriman, dari budak-budak yang kamu miliki. Allah mengetahui keimananmu; sebahagian kamu adalah dari sebahagian yang lain, karena itu kawinilah mereka dengan seizin tuan mereka, dan berilah maskawin mereka menurut yang patut, sedang merekapun wanita-wanita yang memelihara diri, bukan pezina dan bukan (pula) wanita yang mengambil laki-laki lain sebagai piaraannya; dan apabila mereka telah menjaga diri dengan kawin, kemudian mereka melakukan perbuatan yang keji (zina), Maka atas mereka separo hukuman dari hukuman wanita-wanita merdeka yang bersuami. (Kebolehan mengawini budak) itu, adalah bagi orang-orang yang takut kepada kemasyakatan menjaga diri (dari perbuatan zina) di antara kamu, dan </w:t>
      </w:r>
      <w:r w:rsidRPr="00A27F14">
        <w:rPr>
          <w:rFonts w:ascii="(normal text)" w:hAnsi="(normal text)"/>
          <w:i/>
          <w:iCs/>
          <w:sz w:val="24"/>
          <w:szCs w:val="24"/>
          <w:lang w:val="sv-SE"/>
        </w:rPr>
        <w:lastRenderedPageBreak/>
        <w:t>kesabaran itu lebih baik bagimu. dan Allah Maha Pengampun lagi Maha Penyayang</w:t>
      </w:r>
      <w:r w:rsidRPr="00A27F14">
        <w:rPr>
          <w:rFonts w:ascii="(normal text)" w:hAnsi="(normal text)"/>
          <w:sz w:val="24"/>
          <w:szCs w:val="24"/>
          <w:lang w:val="sv-SE"/>
        </w:rPr>
        <w:t>.</w:t>
      </w:r>
      <w:r w:rsidRPr="00A27F14">
        <w:rPr>
          <w:rFonts w:asciiTheme="majorBidi" w:hAnsiTheme="majorBidi" w:cstheme="majorBidi"/>
          <w:sz w:val="24"/>
          <w:szCs w:val="24"/>
          <w:lang w:val="sv-SE"/>
        </w:rPr>
        <w:t xml:space="preserve"> (QS. Al-Nisa’ [4]: 25)</w:t>
      </w:r>
      <w:r w:rsidRPr="00A27F14">
        <w:rPr>
          <w:rStyle w:val="FootnoteReference"/>
          <w:rFonts w:asciiTheme="majorBidi" w:hAnsiTheme="majorBidi" w:cstheme="majorBidi"/>
          <w:sz w:val="24"/>
          <w:szCs w:val="24"/>
          <w:lang w:val="sv-SE"/>
        </w:rPr>
        <w:footnoteReference w:id="647"/>
      </w: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p>
    <w:p w:rsidR="00343B61" w:rsidRDefault="00343B61" w:rsidP="00343B61">
      <w:pPr>
        <w:pStyle w:val="ListParagraph"/>
        <w:tabs>
          <w:tab w:val="left" w:pos="1800"/>
        </w:tabs>
        <w:spacing w:line="240" w:lineRule="auto"/>
        <w:jc w:val="both"/>
        <w:rPr>
          <w:rFonts w:asciiTheme="majorBidi" w:hAnsiTheme="majorBidi" w:cstheme="majorBidi"/>
          <w:sz w:val="24"/>
          <w:szCs w:val="24"/>
          <w:lang w:val="sv-SE"/>
        </w:rPr>
      </w:pPr>
    </w:p>
    <w:p w:rsidR="00343B61" w:rsidRPr="00A27F14" w:rsidRDefault="00343B61" w:rsidP="00343B61">
      <w:pPr>
        <w:pStyle w:val="ListParagraph"/>
        <w:tabs>
          <w:tab w:val="left" w:pos="1800"/>
        </w:tabs>
        <w:spacing w:line="240" w:lineRule="auto"/>
        <w:jc w:val="both"/>
        <w:rPr>
          <w:rFonts w:asciiTheme="majorBidi" w:hAnsiTheme="majorBidi" w:cstheme="majorBidi"/>
          <w:sz w:val="24"/>
          <w:szCs w:val="24"/>
          <w:lang w:val="sv-SE"/>
        </w:rPr>
      </w:pPr>
    </w:p>
    <w:p w:rsidR="00343B61" w:rsidRPr="00A27F14" w:rsidRDefault="00343B61" w:rsidP="00343B61">
      <w:pPr>
        <w:tabs>
          <w:tab w:val="left" w:pos="720"/>
        </w:tabs>
        <w:spacing w:line="360" w:lineRule="auto"/>
        <w:jc w:val="both"/>
        <w:rPr>
          <w:rFonts w:ascii="(normal text)" w:hAnsi="(normal text)"/>
          <w:sz w:val="24"/>
          <w:szCs w:val="24"/>
          <w:lang w:val="sv-SE"/>
        </w:rPr>
      </w:pPr>
      <w:r>
        <w:rPr>
          <w:rFonts w:ascii="(normal text)" w:hAnsi="(normal text)"/>
          <w:sz w:val="24"/>
          <w:szCs w:val="24"/>
          <w:lang w:val="sv-SE"/>
        </w:rPr>
        <w:tab/>
        <w:t>viii</w:t>
      </w:r>
      <w:r w:rsidRPr="00A27F14">
        <w:rPr>
          <w:rFonts w:ascii="(normal text)" w:hAnsi="(normal text)"/>
          <w:sz w:val="24"/>
          <w:szCs w:val="24"/>
          <w:lang w:val="sv-SE"/>
        </w:rPr>
        <w:t>. Hadis Rasul</w:t>
      </w:r>
      <w:r>
        <w:rPr>
          <w:rFonts w:ascii="(normal text)" w:hAnsi="(normal text)"/>
          <w:sz w:val="24"/>
          <w:szCs w:val="24"/>
          <w:lang w:val="sv-SE"/>
        </w:rPr>
        <w:t xml:space="preserve"> A</w:t>
      </w:r>
      <w:r w:rsidRPr="00A27F14">
        <w:rPr>
          <w:rFonts w:ascii="(normal text)" w:hAnsi="(normal text)"/>
          <w:sz w:val="24"/>
          <w:szCs w:val="24"/>
          <w:lang w:val="sv-SE"/>
        </w:rPr>
        <w:t>llah SAW antara lain:</w:t>
      </w:r>
    </w:p>
    <w:p w:rsidR="00343B61" w:rsidRPr="00AC573C" w:rsidRDefault="00343B61" w:rsidP="00343B61">
      <w:pPr>
        <w:tabs>
          <w:tab w:val="right" w:pos="5687"/>
          <w:tab w:val="right" w:pos="5867"/>
          <w:tab w:val="right" w:pos="7037"/>
          <w:tab w:val="right" w:pos="7217"/>
        </w:tabs>
        <w:bidi/>
        <w:spacing w:line="240" w:lineRule="auto"/>
        <w:ind w:left="17" w:right="720"/>
        <w:jc w:val="both"/>
        <w:rPr>
          <w:rFonts w:asciiTheme="majorBidi" w:hAnsiTheme="majorBidi" w:cs="Traditional Arabic"/>
          <w:i/>
          <w:iCs/>
          <w:color w:val="000000" w:themeColor="text1"/>
          <w:sz w:val="32"/>
          <w:szCs w:val="32"/>
          <w:lang w:val="sv-SE"/>
        </w:rPr>
      </w:pPr>
      <w:r w:rsidRPr="00AC573C">
        <w:rPr>
          <w:rFonts w:ascii="Arial" w:hAnsi="Arial" w:cs="Traditional Arabic"/>
          <w:color w:val="000000" w:themeColor="text1"/>
          <w:sz w:val="32"/>
          <w:szCs w:val="32"/>
          <w:rtl/>
        </w:rPr>
        <w:t>عَنْ أَبِي هُرَيْرَةَ ، عَنِ النَّبِيِّ صلى الله عليه وسلم قَالَ : تُنْكَحُ الْمَرْأَةُ لأَرْبَعَةٍ لِمَالِهَا وَلِحَسَبِهَا وَلِجَمَالِهَا وَلِدِينِهَا فَاظْفَرْ بِذَاتِ الدِّينِ تَرِبَتْ يَدَاكَ.</w:t>
      </w:r>
      <w:r w:rsidRPr="00AC573C">
        <w:rPr>
          <w:rStyle w:val="FootnoteReference"/>
          <w:rFonts w:ascii="Arial" w:hAnsi="Arial" w:cs="Traditional Arabic"/>
          <w:color w:val="000000" w:themeColor="text1"/>
          <w:sz w:val="32"/>
          <w:szCs w:val="32"/>
          <w:rtl/>
        </w:rPr>
        <w:footnoteReference w:id="648"/>
      </w:r>
    </w:p>
    <w:p w:rsidR="00343B61" w:rsidRPr="00A27F14" w:rsidRDefault="00343B61" w:rsidP="00343B61">
      <w:pPr>
        <w:tabs>
          <w:tab w:val="left" w:pos="720"/>
          <w:tab w:val="right" w:pos="5687"/>
        </w:tabs>
        <w:spacing w:line="240" w:lineRule="auto"/>
        <w:ind w:left="720"/>
        <w:jc w:val="both"/>
        <w:rPr>
          <w:rFonts w:asciiTheme="majorBidi" w:hAnsiTheme="majorBidi" w:cstheme="majorBidi"/>
          <w:i/>
          <w:iCs/>
          <w:sz w:val="24"/>
          <w:szCs w:val="24"/>
          <w:lang w:val="sv-SE"/>
        </w:rPr>
      </w:pPr>
      <w:r>
        <w:rPr>
          <w:rFonts w:asciiTheme="majorBidi" w:hAnsiTheme="majorBidi" w:cstheme="majorBidi"/>
          <w:sz w:val="24"/>
          <w:szCs w:val="24"/>
          <w:lang w:val="sv-SE"/>
        </w:rPr>
        <w:t>Artinya:</w:t>
      </w:r>
      <w:r w:rsidRPr="00A27F14">
        <w:rPr>
          <w:rFonts w:asciiTheme="majorBidi" w:hAnsiTheme="majorBidi" w:cstheme="majorBidi"/>
          <w:i/>
          <w:iCs/>
          <w:sz w:val="24"/>
          <w:szCs w:val="24"/>
          <w:lang w:val="sv-SE"/>
        </w:rPr>
        <w:t>”Wanita itu dinikahi karena empat hal: karena hartanya, karena asal usul keturunannya, karena kecantikannya, karena agamanya. Kama hendaklah kamu berpegang teguh (dengan perempuan) yang memeluk agama Islam;(jika tidak) akan binasalah kedua tanganmu.(HR. Mutafqun ’alaih)</w:t>
      </w:r>
    </w:p>
    <w:p w:rsidR="00343B61" w:rsidRPr="00A27F14" w:rsidRDefault="00343B61" w:rsidP="00343B61">
      <w:pPr>
        <w:tabs>
          <w:tab w:val="left" w:pos="720"/>
          <w:tab w:val="right" w:pos="5687"/>
        </w:tabs>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ab/>
        <w:t>ix</w:t>
      </w:r>
      <w:r w:rsidRPr="00A27F14">
        <w:rPr>
          <w:rFonts w:asciiTheme="majorBidi" w:hAnsiTheme="majorBidi" w:cstheme="majorBidi"/>
          <w:sz w:val="24"/>
          <w:szCs w:val="24"/>
          <w:lang w:val="sv-SE"/>
        </w:rPr>
        <w:t>. Qa’idah Sadd al-Dzari’ah</w:t>
      </w:r>
    </w:p>
    <w:p w:rsidR="00343B61" w:rsidRPr="00AC4013" w:rsidRDefault="00343B61" w:rsidP="00343B61">
      <w:pPr>
        <w:tabs>
          <w:tab w:val="left" w:pos="1980"/>
          <w:tab w:val="right" w:pos="5687"/>
        </w:tabs>
        <w:bidi/>
        <w:spacing w:after="0" w:line="240" w:lineRule="auto"/>
        <w:jc w:val="both"/>
        <w:rPr>
          <w:rFonts w:ascii="(normal text)" w:hAnsi="(normal text)"/>
          <w:sz w:val="32"/>
          <w:szCs w:val="32"/>
          <w:rtl/>
          <w:lang w:val="sv-SE"/>
        </w:rPr>
      </w:pPr>
      <w:r w:rsidRPr="00AC4013">
        <w:rPr>
          <w:rFonts w:ascii="Arial" w:hAnsi="Arial" w:cs="Traditional Arabic"/>
          <w:sz w:val="32"/>
          <w:szCs w:val="32"/>
          <w:rtl/>
        </w:rPr>
        <w:t>درأ المفاسد أولا من جلب المصالح</w:t>
      </w:r>
      <w:r w:rsidRPr="00AC4013">
        <w:rPr>
          <w:rStyle w:val="FootnoteReference"/>
          <w:rFonts w:ascii="(normal text)" w:hAnsi="(normal text)"/>
          <w:sz w:val="32"/>
          <w:szCs w:val="32"/>
          <w:rtl/>
          <w:lang w:val="sv-SE"/>
        </w:rPr>
        <w:footnoteReference w:id="649"/>
      </w:r>
    </w:p>
    <w:p w:rsidR="00343B61" w:rsidRPr="00AC4013" w:rsidRDefault="00343B61" w:rsidP="00343B61">
      <w:pPr>
        <w:autoSpaceDE w:val="0"/>
        <w:autoSpaceDN w:val="0"/>
        <w:adjustRightInd w:val="0"/>
        <w:spacing w:after="0" w:line="240" w:lineRule="auto"/>
        <w:ind w:left="720"/>
        <w:jc w:val="both"/>
        <w:rPr>
          <w:rFonts w:asciiTheme="majorBidi" w:hAnsiTheme="majorBidi" w:cstheme="majorBidi"/>
          <w:i/>
          <w:iCs/>
          <w:sz w:val="24"/>
          <w:szCs w:val="24"/>
        </w:rPr>
      </w:pPr>
      <w:r w:rsidRPr="00AC4013">
        <w:rPr>
          <w:rFonts w:asciiTheme="majorBidi" w:hAnsiTheme="majorBidi" w:cstheme="majorBidi"/>
          <w:sz w:val="24"/>
          <w:szCs w:val="24"/>
        </w:rPr>
        <w:t xml:space="preserve">Artinya : </w:t>
      </w:r>
      <w:r w:rsidRPr="00AC4013">
        <w:rPr>
          <w:rFonts w:asciiTheme="majorBidi" w:hAnsiTheme="majorBidi" w:cstheme="majorBidi"/>
          <w:i/>
          <w:iCs/>
          <w:sz w:val="24"/>
          <w:szCs w:val="24"/>
        </w:rPr>
        <w:t>“Mencegah kemafsadatan lebih didahulukan (diutamakan) daripada menarik kemaslahatan”</w:t>
      </w:r>
    </w:p>
    <w:p w:rsidR="00343B61" w:rsidRPr="007F050D" w:rsidRDefault="00343B61" w:rsidP="00343B61">
      <w:pPr>
        <w:autoSpaceDE w:val="0"/>
        <w:autoSpaceDN w:val="0"/>
        <w:adjustRightInd w:val="0"/>
        <w:spacing w:after="0" w:line="360" w:lineRule="auto"/>
        <w:jc w:val="both"/>
        <w:rPr>
          <w:rFonts w:asciiTheme="majorBidi" w:hAnsiTheme="majorBidi" w:cstheme="majorBidi"/>
          <w:i/>
          <w:iCs/>
          <w:sz w:val="24"/>
          <w:szCs w:val="24"/>
        </w:rPr>
      </w:pPr>
    </w:p>
    <w:p w:rsidR="00343B61" w:rsidRDefault="00343B61" w:rsidP="00343B61">
      <w:pPr>
        <w:tabs>
          <w:tab w:val="left" w:pos="720"/>
          <w:tab w:val="right" w:pos="5687"/>
        </w:tabs>
        <w:spacing w:after="0" w:line="360" w:lineRule="auto"/>
        <w:jc w:val="both"/>
        <w:rPr>
          <w:rFonts w:asciiTheme="majorBidi" w:hAnsiTheme="majorBidi" w:cstheme="majorBidi"/>
          <w:sz w:val="24"/>
          <w:szCs w:val="24"/>
          <w:lang w:val="sv-SE"/>
        </w:rPr>
      </w:pPr>
      <w:r w:rsidRPr="007F050D">
        <w:rPr>
          <w:rFonts w:asciiTheme="majorBidi" w:hAnsiTheme="majorBidi" w:cstheme="majorBidi"/>
          <w:sz w:val="24"/>
          <w:szCs w:val="24"/>
        </w:rPr>
        <w:tab/>
      </w:r>
      <w:r w:rsidRPr="007F050D">
        <w:rPr>
          <w:rFonts w:asciiTheme="majorBidi" w:hAnsiTheme="majorBidi" w:cstheme="majorBidi"/>
          <w:sz w:val="24"/>
          <w:szCs w:val="24"/>
          <w:lang w:val="sv-SE"/>
        </w:rPr>
        <w:t>Fatwa ini dibubuhi tanda tangan oleh pimpinan sidang komisi C Bida</w:t>
      </w:r>
      <w:r>
        <w:rPr>
          <w:rFonts w:asciiTheme="majorBidi" w:hAnsiTheme="majorBidi" w:cstheme="majorBidi"/>
          <w:sz w:val="24"/>
          <w:szCs w:val="24"/>
          <w:lang w:val="sv-SE"/>
        </w:rPr>
        <w:t>ng Fatwa.</w:t>
      </w:r>
      <w:r w:rsidRPr="007F050D">
        <w:rPr>
          <w:rFonts w:asciiTheme="majorBidi" w:hAnsiTheme="majorBidi" w:cstheme="majorBidi"/>
          <w:sz w:val="24"/>
          <w:szCs w:val="24"/>
          <w:lang w:val="sv-SE"/>
        </w:rPr>
        <w:t xml:space="preserve"> Ketua KH. Ma’ruf Amin, Sekretaris Drs. H. Hasanuddin, M.Ag.</w:t>
      </w:r>
      <w:r>
        <w:rPr>
          <w:rFonts w:asciiTheme="majorBidi" w:hAnsiTheme="majorBidi" w:cstheme="majorBidi"/>
          <w:sz w:val="24"/>
          <w:szCs w:val="24"/>
          <w:lang w:val="sv-SE"/>
        </w:rPr>
        <w:t xml:space="preserve"> dan Pimpinan Sidang Pleno Prof. Dr. H. Umar Shihab sebagai ketua dan Prof. Dr. H.M. Din Syamsuddin sebagai sekretaris.</w:t>
      </w:r>
      <w:r>
        <w:rPr>
          <w:rStyle w:val="FootnoteReference"/>
          <w:rFonts w:asciiTheme="majorBidi" w:hAnsiTheme="majorBidi" w:cstheme="majorBidi"/>
          <w:sz w:val="24"/>
          <w:szCs w:val="24"/>
          <w:lang w:val="sv-SE"/>
        </w:rPr>
        <w:footnoteReference w:id="650"/>
      </w:r>
    </w:p>
    <w:p w:rsidR="00343B61" w:rsidRPr="00A74C51" w:rsidRDefault="00343B61" w:rsidP="00343B61">
      <w:pPr>
        <w:spacing w:line="360" w:lineRule="auto"/>
        <w:jc w:val="both"/>
        <w:rPr>
          <w:rFonts w:asciiTheme="majorBidi" w:hAnsiTheme="majorBidi" w:cstheme="majorBidi"/>
          <w:i/>
          <w:iCs/>
          <w:sz w:val="24"/>
          <w:szCs w:val="24"/>
          <w:lang w:val="sv-SE"/>
        </w:rPr>
      </w:pPr>
      <w:r>
        <w:rPr>
          <w:rFonts w:asciiTheme="majorBidi" w:hAnsiTheme="majorBidi" w:cstheme="majorBidi"/>
          <w:sz w:val="24"/>
          <w:szCs w:val="24"/>
          <w:lang w:val="sv-SE"/>
        </w:rPr>
        <w:tab/>
        <w:t xml:space="preserve">Melihat putusan fatwa MUI di atas, dalam </w:t>
      </w:r>
      <w:r w:rsidRPr="00A74C51">
        <w:rPr>
          <w:rFonts w:asciiTheme="majorBidi" w:hAnsiTheme="majorBidi" w:cstheme="majorBidi"/>
          <w:i/>
          <w:iCs/>
          <w:sz w:val="24"/>
          <w:szCs w:val="24"/>
          <w:lang w:val="sv-SE"/>
        </w:rPr>
        <w:t>ijtihād intiqā</w:t>
      </w:r>
      <w:r w:rsidRPr="00A74C51">
        <w:rPr>
          <w:rFonts w:asciiTheme="majorBidi" w:hAnsiTheme="majorBidi" w:cstheme="majorBidi"/>
          <w:bCs/>
          <w:i/>
          <w:iCs/>
          <w:sz w:val="24"/>
          <w:szCs w:val="24"/>
          <w:lang w:val="sv-SE"/>
        </w:rPr>
        <w:t>ī</w:t>
      </w:r>
      <w:r w:rsidRPr="00A74C51">
        <w:rPr>
          <w:rFonts w:asciiTheme="majorBidi" w:hAnsiTheme="majorBidi" w:cstheme="majorBidi"/>
          <w:i/>
          <w:iCs/>
          <w:sz w:val="24"/>
          <w:szCs w:val="24"/>
          <w:lang w:val="sv-SE"/>
        </w:rPr>
        <w:t>y</w:t>
      </w:r>
      <w:r>
        <w:rPr>
          <w:rFonts w:asciiTheme="majorBidi" w:hAnsiTheme="majorBidi" w:cstheme="majorBidi"/>
          <w:i/>
          <w:iCs/>
          <w:sz w:val="24"/>
          <w:szCs w:val="24"/>
          <w:lang w:val="sv-SE"/>
        </w:rPr>
        <w:t xml:space="preserve"> </w:t>
      </w:r>
      <w:r>
        <w:rPr>
          <w:rFonts w:asciiTheme="majorBidi" w:hAnsiTheme="majorBidi" w:cstheme="majorBidi"/>
          <w:sz w:val="24"/>
          <w:szCs w:val="24"/>
          <w:lang w:val="sv-SE"/>
        </w:rPr>
        <w:t xml:space="preserve">MUI lebih memilih pendapat yang tidak membolehkan perkawinan beda Agama, baik antara laki-laki muslim dengan wanita </w:t>
      </w:r>
      <w:r>
        <w:rPr>
          <w:rFonts w:asciiTheme="majorBidi" w:hAnsiTheme="majorBidi" w:cstheme="majorBidi"/>
          <w:i/>
          <w:iCs/>
          <w:sz w:val="24"/>
          <w:szCs w:val="24"/>
          <w:lang w:val="sv-SE"/>
        </w:rPr>
        <w:t>ahl al-</w:t>
      </w:r>
      <w:r w:rsidRPr="005C4C9D">
        <w:rPr>
          <w:rFonts w:asciiTheme="majorBidi" w:hAnsiTheme="majorBidi" w:cstheme="majorBidi"/>
          <w:i/>
          <w:iCs/>
          <w:sz w:val="24"/>
          <w:szCs w:val="24"/>
          <w:lang w:val="sv-SE"/>
        </w:rPr>
        <w:t xml:space="preserve"> kitab</w:t>
      </w:r>
      <w:r>
        <w:rPr>
          <w:rFonts w:asciiTheme="majorBidi" w:hAnsiTheme="majorBidi" w:cstheme="majorBidi"/>
          <w:sz w:val="24"/>
          <w:szCs w:val="24"/>
          <w:lang w:val="sv-SE"/>
        </w:rPr>
        <w:t xml:space="preserve">, apalagi antara wanita muslimah dengan laki-laki </w:t>
      </w:r>
      <w:r>
        <w:rPr>
          <w:rFonts w:asciiTheme="majorBidi" w:hAnsiTheme="majorBidi" w:cstheme="majorBidi"/>
          <w:i/>
          <w:iCs/>
          <w:sz w:val="24"/>
          <w:szCs w:val="24"/>
          <w:lang w:val="sv-SE"/>
        </w:rPr>
        <w:t>ahl al-</w:t>
      </w:r>
      <w:r w:rsidRPr="00D770D4">
        <w:rPr>
          <w:rFonts w:asciiTheme="majorBidi" w:hAnsiTheme="majorBidi" w:cstheme="majorBidi"/>
          <w:i/>
          <w:iCs/>
          <w:sz w:val="24"/>
          <w:szCs w:val="24"/>
          <w:lang w:val="sv-SE"/>
        </w:rPr>
        <w:t>kitab</w:t>
      </w:r>
      <w:r>
        <w:rPr>
          <w:rFonts w:asciiTheme="majorBidi" w:hAnsiTheme="majorBidi" w:cstheme="majorBidi"/>
          <w:sz w:val="24"/>
          <w:szCs w:val="24"/>
          <w:lang w:val="sv-SE"/>
        </w:rPr>
        <w:t xml:space="preserve">. Ma’ruf Amin menjelaskan:” ketidakbolehan </w:t>
      </w:r>
      <w:r>
        <w:rPr>
          <w:rFonts w:asciiTheme="majorBidi" w:hAnsiTheme="majorBidi" w:cstheme="majorBidi"/>
          <w:sz w:val="24"/>
          <w:szCs w:val="24"/>
          <w:lang w:val="sv-SE"/>
        </w:rPr>
        <w:lastRenderedPageBreak/>
        <w:t>menikahi ahli kitab itu adalah karena Yahudi dan Nasrani yang sekarang sudah termasuk golongan penyembah berhala (</w:t>
      </w:r>
      <w:r w:rsidRPr="00C259C7">
        <w:rPr>
          <w:rFonts w:asciiTheme="majorBidi" w:hAnsiTheme="majorBidi" w:cstheme="majorBidi"/>
          <w:i/>
          <w:iCs/>
          <w:sz w:val="24"/>
          <w:szCs w:val="24"/>
          <w:lang w:val="sv-SE"/>
        </w:rPr>
        <w:t>watsani</w:t>
      </w:r>
      <w:r>
        <w:rPr>
          <w:rFonts w:asciiTheme="majorBidi" w:hAnsiTheme="majorBidi" w:cstheme="majorBidi"/>
          <w:sz w:val="24"/>
          <w:szCs w:val="24"/>
          <w:lang w:val="sv-SE"/>
        </w:rPr>
        <w:t xml:space="preserve">). Disamping itu juga melihat akibat mudharat yang ditimbulkan dari perkawinan itu sendiri, termasuk masa depan anak-anak, dikhawatirkan anak-anak mengikut kepada agama ibunya yang bukan muslim, seperti anak-anak Jamal Mirdad, maka demi menutup celah kerusakan ( </w:t>
      </w:r>
      <w:r w:rsidRPr="006C2D65">
        <w:rPr>
          <w:rFonts w:asciiTheme="majorBidi" w:hAnsiTheme="majorBidi" w:cstheme="majorBidi"/>
          <w:i/>
          <w:iCs/>
          <w:sz w:val="24"/>
          <w:szCs w:val="24"/>
          <w:lang w:val="sv-SE"/>
        </w:rPr>
        <w:t>Sadd li a</w:t>
      </w:r>
      <w:r>
        <w:rPr>
          <w:rFonts w:asciiTheme="majorBidi" w:hAnsiTheme="majorBidi" w:cstheme="majorBidi"/>
          <w:i/>
          <w:iCs/>
          <w:sz w:val="24"/>
          <w:szCs w:val="24"/>
          <w:lang w:val="sv-SE"/>
        </w:rPr>
        <w:t>d-</w:t>
      </w:r>
      <w:r w:rsidRPr="006C2D65">
        <w:rPr>
          <w:rFonts w:asciiTheme="majorBidi" w:hAnsiTheme="majorBidi" w:cstheme="majorBidi"/>
          <w:i/>
          <w:iCs/>
          <w:sz w:val="24"/>
          <w:szCs w:val="24"/>
          <w:lang w:val="sv-SE"/>
        </w:rPr>
        <w:t>dzari’ah</w:t>
      </w:r>
      <w:r>
        <w:rPr>
          <w:rFonts w:asciiTheme="majorBidi" w:hAnsiTheme="majorBidi" w:cstheme="majorBidi"/>
          <w:sz w:val="24"/>
          <w:szCs w:val="24"/>
          <w:lang w:val="sv-SE"/>
        </w:rPr>
        <w:t>), MUI memutuskan menurut pendapat yang mu’tamad nikah beda agama tidak diperbolehkan, tentunya dengan tidak mengesampingkan pendapat yang mebolehkan hal itu.”</w:t>
      </w:r>
      <w:r>
        <w:rPr>
          <w:rStyle w:val="FootnoteReference"/>
          <w:rFonts w:asciiTheme="majorBidi" w:hAnsiTheme="majorBidi" w:cstheme="majorBidi"/>
          <w:sz w:val="24"/>
          <w:szCs w:val="24"/>
          <w:lang w:val="sv-SE"/>
        </w:rPr>
        <w:footnoteReference w:id="651"/>
      </w:r>
    </w:p>
    <w:p w:rsidR="00343B61" w:rsidRDefault="00343B61" w:rsidP="00343B61">
      <w:pPr>
        <w:tabs>
          <w:tab w:val="left" w:pos="720"/>
          <w:tab w:val="right" w:pos="5687"/>
        </w:tabs>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ab/>
        <w:t xml:space="preserve">Penulis bisa memahami putusan fatwa MUI ini, bila dilihat dari perspektif siyasah syar’iyah tentu sesuatu itu tidak dilihat dari segi halal atau haramnya saja, boleh atau tidak boleh, tapi lebih dari itu adalah melihat sesuatu itu dari segi maslahat atau tidak maslahat. Tentu dalam hal perkawinan, tujuan dari perkawinan adalah menciptakan kehidupan rumah tangga yang harmonis penuh dengan sakinah mawaddah warohmah. Keharmonisan rumah tangga tidak mudah dapat terjalin apabila pasangan suami istri tidak sepaham dan tidak satu idiologi, tidak satu pandangan hidup dan agamanya. </w:t>
      </w:r>
    </w:p>
    <w:p w:rsidR="00343B61" w:rsidRDefault="00343B61" w:rsidP="00343B61">
      <w:pPr>
        <w:tabs>
          <w:tab w:val="left" w:pos="720"/>
          <w:tab w:val="right" w:pos="5687"/>
        </w:tabs>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ab/>
        <w:t xml:space="preserve">Maka menurut Muhammad Syaltut tujuan utama dibolehkannya perkawinan seorang muslim dengan wanita </w:t>
      </w:r>
      <w:r w:rsidRPr="00C0461E">
        <w:rPr>
          <w:rFonts w:asciiTheme="majorBidi" w:hAnsiTheme="majorBidi" w:cstheme="majorBidi"/>
          <w:i/>
          <w:iCs/>
          <w:sz w:val="24"/>
          <w:szCs w:val="24"/>
          <w:lang w:val="sv-SE"/>
        </w:rPr>
        <w:t xml:space="preserve">Ahl </w:t>
      </w:r>
      <w:r>
        <w:rPr>
          <w:rFonts w:asciiTheme="majorBidi" w:hAnsiTheme="majorBidi" w:cstheme="majorBidi"/>
          <w:i/>
          <w:iCs/>
          <w:sz w:val="24"/>
          <w:szCs w:val="24"/>
          <w:lang w:val="sv-SE"/>
        </w:rPr>
        <w:t>al-</w:t>
      </w:r>
      <w:r w:rsidRPr="00C0461E">
        <w:rPr>
          <w:rFonts w:asciiTheme="majorBidi" w:hAnsiTheme="majorBidi" w:cstheme="majorBidi"/>
          <w:i/>
          <w:iCs/>
          <w:sz w:val="24"/>
          <w:szCs w:val="24"/>
          <w:lang w:val="sv-SE"/>
        </w:rPr>
        <w:t>Kitab</w:t>
      </w:r>
      <w:r>
        <w:rPr>
          <w:rFonts w:asciiTheme="majorBidi" w:hAnsiTheme="majorBidi" w:cstheme="majorBidi"/>
          <w:sz w:val="24"/>
          <w:szCs w:val="24"/>
          <w:lang w:val="sv-SE"/>
        </w:rPr>
        <w:t xml:space="preserve"> adalah agar dengan  perkawinan tersebut terjadi semacam penghubung cinta dan kasih sayang, sehingga terkikis dari benak istrinya rasa tidak simpati terhadap Islam dengan sikap baik sang suami muslim yang berbeda agama itu, sehingga tercermin secara alamiyah keindahan dan keutamaan agama Islam.</w:t>
      </w:r>
    </w:p>
    <w:p w:rsidR="00343B61" w:rsidRDefault="00343B61" w:rsidP="00343B61">
      <w:pPr>
        <w:tabs>
          <w:tab w:val="left" w:pos="720"/>
          <w:tab w:val="right" w:pos="5687"/>
        </w:tabs>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ab/>
        <w:t>Adapun jika sang suami muslim terbawa oleh sang istri, atau anaknya terbawa kepadanya sehinggga mengalihkan mereka dari akidah Islam, maka ini bertentangan dengan tujuan dibolehkannya perkawinan, dan ketika itu perkawinan tersebut disepakati untuk di bubarkan.</w:t>
      </w:r>
      <w:r>
        <w:rPr>
          <w:rStyle w:val="FootnoteReference"/>
          <w:rFonts w:asciiTheme="majorBidi" w:hAnsiTheme="majorBidi" w:cstheme="majorBidi"/>
          <w:sz w:val="24"/>
          <w:szCs w:val="24"/>
          <w:lang w:val="sv-SE"/>
        </w:rPr>
        <w:footnoteReference w:id="652"/>
      </w:r>
    </w:p>
    <w:p w:rsidR="00343B61" w:rsidRPr="00D234F1" w:rsidRDefault="00343B61" w:rsidP="00343B61">
      <w:p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lastRenderedPageBreak/>
        <w:tab/>
      </w:r>
      <w:r>
        <w:rPr>
          <w:rFonts w:ascii="TimesNewRomanPSMT" w:hAnsi="TimesNewRomanPSMT" w:cs="TimesNewRomanPSMT"/>
          <w:sz w:val="24"/>
          <w:szCs w:val="24"/>
        </w:rPr>
        <w:t xml:space="preserve">Dalam </w:t>
      </w:r>
      <w:r>
        <w:rPr>
          <w:rFonts w:asciiTheme="majorBidi" w:hAnsiTheme="majorBidi" w:cstheme="majorBidi"/>
          <w:i/>
          <w:iCs/>
          <w:sz w:val="24"/>
          <w:szCs w:val="24"/>
          <w:lang w:val="id-ID"/>
        </w:rPr>
        <w:t>siyāsah</w:t>
      </w:r>
      <w:r>
        <w:rPr>
          <w:rFonts w:asciiTheme="majorBidi" w:hAnsiTheme="majorBidi" w:cstheme="majorBidi"/>
          <w:i/>
          <w:iCs/>
          <w:sz w:val="24"/>
          <w:szCs w:val="24"/>
        </w:rPr>
        <w:t xml:space="preserve"> </w:t>
      </w:r>
      <w:r>
        <w:rPr>
          <w:rFonts w:asciiTheme="majorBidi" w:hAnsiTheme="majorBidi" w:cstheme="majorBidi"/>
          <w:i/>
          <w:iCs/>
          <w:sz w:val="24"/>
          <w:szCs w:val="24"/>
          <w:lang w:val="id-ID"/>
        </w:rPr>
        <w:t>syar‘iyyah</w:t>
      </w:r>
      <w:r>
        <w:rPr>
          <w:rFonts w:asciiTheme="majorBidi" w:hAnsiTheme="majorBidi" w:cstheme="majorBidi"/>
          <w:i/>
          <w:iCs/>
          <w:sz w:val="24"/>
          <w:szCs w:val="24"/>
        </w:rPr>
        <w:t xml:space="preserve"> </w:t>
      </w:r>
      <w:r>
        <w:rPr>
          <w:rFonts w:ascii="TimesNewRomanPSMT" w:hAnsi="TimesNewRomanPSMT" w:cs="TimesNewRomanPSMT"/>
          <w:sz w:val="24"/>
          <w:szCs w:val="24"/>
        </w:rPr>
        <w:t xml:space="preserve">yang berlaku di Indonesia disebutkan bahwa perkawinan beda agama termaktub dalam UU Nomor 1 Tahun 1974 berasaskan agama. Artinya, sah tidaknya perkawinan seseorang ditentukan oleh hukum agamanya. Ini sesuai dengan cita hukum bangsa Indonesia, Pancasila dan Ketuhanan Yang Maha Esa yang disebut dalam pembukaan dan dirumuskan dalam Batang Tubuh Undang- Undang Dasar 1945 Pasal 29 ayat (1) Bab Agama. Pasal 2 ayat (1) Undang-Undang Perkawinan dengan tegas menyatakan bahwa ”perkawinan </w:t>
      </w:r>
      <w:r w:rsidRPr="00C06096">
        <w:rPr>
          <w:rFonts w:asciiTheme="majorBidi" w:hAnsiTheme="majorBidi" w:cstheme="majorBidi"/>
          <w:sz w:val="24"/>
          <w:szCs w:val="24"/>
          <w:lang w:val="sv-SE"/>
        </w:rPr>
        <w:t>adalah sah, apabila dilakukan menurut masing</w:t>
      </w:r>
      <w:r>
        <w:rPr>
          <w:rFonts w:asciiTheme="majorBidi" w:hAnsiTheme="majorBidi" w:cstheme="majorBidi"/>
          <w:sz w:val="24"/>
          <w:szCs w:val="24"/>
          <w:lang w:val="sv-SE"/>
        </w:rPr>
        <w:t>-</w:t>
      </w:r>
      <w:r w:rsidRPr="00C06096">
        <w:rPr>
          <w:rFonts w:asciiTheme="majorBidi" w:hAnsiTheme="majorBidi" w:cstheme="majorBidi"/>
          <w:sz w:val="24"/>
          <w:szCs w:val="24"/>
          <w:lang w:val="sv-SE"/>
        </w:rPr>
        <w:t>masing</w:t>
      </w:r>
      <w:r>
        <w:rPr>
          <w:rFonts w:ascii="TimesNewRomanPSMT" w:hAnsi="TimesNewRomanPSMT" w:cs="TimesNewRomanPSMT"/>
          <w:sz w:val="24"/>
          <w:szCs w:val="24"/>
        </w:rPr>
        <w:t xml:space="preserve"> </w:t>
      </w:r>
      <w:r w:rsidRPr="00C06096">
        <w:rPr>
          <w:rFonts w:asciiTheme="majorBidi" w:hAnsiTheme="majorBidi" w:cstheme="majorBidi"/>
          <w:sz w:val="24"/>
          <w:szCs w:val="24"/>
          <w:lang w:val="sv-SE"/>
        </w:rPr>
        <w:t>agamanya dan kepercayaannya itu”.</w:t>
      </w:r>
      <w:r>
        <w:rPr>
          <w:rStyle w:val="FootnoteReference"/>
          <w:rFonts w:asciiTheme="majorBidi" w:hAnsiTheme="majorBidi" w:cstheme="majorBidi"/>
          <w:sz w:val="24"/>
          <w:szCs w:val="24"/>
          <w:lang w:val="sv-SE"/>
        </w:rPr>
        <w:footnoteReference w:id="653"/>
      </w:r>
      <w:r>
        <w:rPr>
          <w:rFonts w:asciiTheme="majorBidi" w:hAnsiTheme="majorBidi" w:cstheme="majorBidi"/>
          <w:sz w:val="24"/>
          <w:szCs w:val="24"/>
          <w:lang w:val="sv-SE"/>
        </w:rPr>
        <w:t xml:space="preserve"> Dan putusan Fatwa MUI diatas sudah sejalan dengan </w:t>
      </w:r>
      <w:r w:rsidRPr="008E4847">
        <w:rPr>
          <w:rFonts w:asciiTheme="majorBidi" w:hAnsiTheme="majorBidi" w:cstheme="majorBidi"/>
          <w:sz w:val="24"/>
          <w:szCs w:val="24"/>
          <w:lang w:val="sv-SE"/>
        </w:rPr>
        <w:t>perundang-perundangan yang</w:t>
      </w:r>
      <w:r>
        <w:rPr>
          <w:rFonts w:asciiTheme="majorBidi" w:hAnsiTheme="majorBidi" w:cstheme="majorBidi"/>
          <w:sz w:val="24"/>
          <w:szCs w:val="24"/>
          <w:lang w:val="sv-SE"/>
        </w:rPr>
        <w:t xml:space="preserve"> berlaku di Indonesia</w:t>
      </w:r>
      <w:r w:rsidRPr="008E4847">
        <w:rPr>
          <w:rFonts w:asciiTheme="majorBidi" w:hAnsiTheme="majorBidi" w:cstheme="majorBidi"/>
          <w:sz w:val="24"/>
          <w:szCs w:val="24"/>
          <w:lang w:val="sv-SE"/>
        </w:rPr>
        <w:t>; Undang-undang nomor</w:t>
      </w:r>
      <w:r>
        <w:rPr>
          <w:rFonts w:asciiTheme="majorBidi" w:hAnsiTheme="majorBidi" w:cstheme="majorBidi"/>
          <w:sz w:val="24"/>
          <w:szCs w:val="24"/>
          <w:lang w:val="sv-SE"/>
        </w:rPr>
        <w:t xml:space="preserve"> </w:t>
      </w:r>
      <w:r w:rsidRPr="008E4847">
        <w:rPr>
          <w:rFonts w:asciiTheme="majorBidi" w:hAnsiTheme="majorBidi" w:cstheme="majorBidi"/>
          <w:sz w:val="24"/>
          <w:szCs w:val="24"/>
          <w:lang w:val="sv-SE"/>
        </w:rPr>
        <w:t>1 tahun 1974 tentang perkawinan dan PP. no 9</w:t>
      </w:r>
      <w:r>
        <w:rPr>
          <w:rFonts w:asciiTheme="majorBidi" w:hAnsiTheme="majorBidi" w:cstheme="majorBidi"/>
          <w:sz w:val="24"/>
          <w:szCs w:val="24"/>
          <w:lang w:val="sv-SE"/>
        </w:rPr>
        <w:t xml:space="preserve"> </w:t>
      </w:r>
      <w:r w:rsidRPr="008E4847">
        <w:rPr>
          <w:rFonts w:asciiTheme="majorBidi" w:hAnsiTheme="majorBidi" w:cstheme="majorBidi"/>
          <w:sz w:val="24"/>
          <w:szCs w:val="24"/>
          <w:lang w:val="sv-SE"/>
        </w:rPr>
        <w:t>tahun 1975 tentang Pelaksanaan UU No 1/1974</w:t>
      </w:r>
      <w:r>
        <w:rPr>
          <w:rFonts w:asciiTheme="majorBidi" w:hAnsiTheme="majorBidi" w:cstheme="majorBidi"/>
          <w:sz w:val="24"/>
          <w:szCs w:val="24"/>
          <w:lang w:val="sv-SE"/>
        </w:rPr>
        <w:t xml:space="preserve"> </w:t>
      </w:r>
      <w:r w:rsidRPr="008E4847">
        <w:rPr>
          <w:rFonts w:asciiTheme="majorBidi" w:hAnsiTheme="majorBidi" w:cstheme="majorBidi"/>
          <w:sz w:val="24"/>
          <w:szCs w:val="24"/>
          <w:lang w:val="sv-SE"/>
        </w:rPr>
        <w:t>tentang Perkawinan serta Instruksi Presiden no1 tahun 1991 tentang Kompilasi Hukum Islam</w:t>
      </w:r>
      <w:r>
        <w:rPr>
          <w:rFonts w:asciiTheme="majorBidi" w:hAnsiTheme="majorBidi" w:cstheme="majorBidi"/>
          <w:sz w:val="24"/>
          <w:szCs w:val="24"/>
          <w:lang w:val="sv-SE"/>
        </w:rPr>
        <w:t>.</w:t>
      </w:r>
    </w:p>
    <w:p w:rsidR="00343B61" w:rsidRPr="0029474D" w:rsidRDefault="00343B61" w:rsidP="002C0A33">
      <w:pPr>
        <w:pStyle w:val="ListParagraph"/>
        <w:numPr>
          <w:ilvl w:val="0"/>
          <w:numId w:val="53"/>
        </w:numPr>
        <w:tabs>
          <w:tab w:val="left" w:pos="1800"/>
        </w:tabs>
        <w:spacing w:after="0" w:line="360" w:lineRule="auto"/>
        <w:ind w:left="360"/>
        <w:jc w:val="both"/>
        <w:rPr>
          <w:rFonts w:asciiTheme="majorBidi" w:hAnsiTheme="majorBidi" w:cstheme="majorBidi"/>
          <w:sz w:val="24"/>
          <w:szCs w:val="24"/>
          <w:lang w:val="sv-SE"/>
        </w:rPr>
      </w:pPr>
      <w:r w:rsidRPr="0029474D">
        <w:rPr>
          <w:rFonts w:asciiTheme="majorBidi" w:hAnsiTheme="majorBidi" w:cstheme="majorBidi"/>
          <w:sz w:val="24"/>
          <w:szCs w:val="24"/>
          <w:lang w:val="sv-SE"/>
        </w:rPr>
        <w:t>Fatwa Nikah di Bawah Tangan</w:t>
      </w:r>
    </w:p>
    <w:p w:rsidR="00343B61" w:rsidRPr="0029474D" w:rsidRDefault="00343B61" w:rsidP="002C0A33">
      <w:pPr>
        <w:pStyle w:val="ListParagraph"/>
        <w:numPr>
          <w:ilvl w:val="0"/>
          <w:numId w:val="54"/>
        </w:numPr>
        <w:autoSpaceDE w:val="0"/>
        <w:autoSpaceDN w:val="0"/>
        <w:adjustRightInd w:val="0"/>
        <w:spacing w:after="0" w:line="360" w:lineRule="auto"/>
        <w:ind w:left="720"/>
        <w:rPr>
          <w:rFonts w:asciiTheme="majorBidi" w:hAnsiTheme="majorBidi" w:cstheme="majorBidi"/>
          <w:sz w:val="24"/>
          <w:szCs w:val="24"/>
        </w:rPr>
      </w:pPr>
      <w:r w:rsidRPr="0029474D">
        <w:rPr>
          <w:rFonts w:asciiTheme="majorBidi" w:hAnsiTheme="majorBidi" w:cstheme="majorBidi"/>
          <w:sz w:val="24"/>
          <w:szCs w:val="24"/>
        </w:rPr>
        <w:t xml:space="preserve">Pengertian Nikah Di Bawah Tangan </w:t>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Nikah di bawah tangan yang dimaksud dalam fatwa ini adalah “Pernikahan yang terpenuhi semua rukun dan syarat yang ditetapkan dalam fiqh (hukum Islam) namun tanpa pencatatan resmi di instansi berwenang sebagaimana diatur oleh peraturan perundang-undangan yang berlaku”.</w:t>
      </w:r>
      <w:r w:rsidRPr="0029474D">
        <w:rPr>
          <w:rStyle w:val="FootnoteReference"/>
          <w:rFonts w:asciiTheme="majorBidi" w:hAnsiTheme="majorBidi" w:cstheme="majorBidi"/>
          <w:sz w:val="24"/>
          <w:szCs w:val="24"/>
        </w:rPr>
        <w:footnoteReference w:id="654"/>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Perkawinan seperti itu dipandang tidak memenuhi ketentuan peraturan perundang-undangan dan seringkali menimbulkan dampak negatif (</w:t>
      </w:r>
      <w:r w:rsidRPr="00F96E29">
        <w:rPr>
          <w:rFonts w:asciiTheme="majorBidi" w:hAnsiTheme="majorBidi" w:cstheme="majorBidi"/>
          <w:i/>
          <w:iCs/>
          <w:sz w:val="24"/>
          <w:szCs w:val="24"/>
        </w:rPr>
        <w:t>madharat</w:t>
      </w:r>
      <w:r w:rsidRPr="0029474D">
        <w:rPr>
          <w:rFonts w:asciiTheme="majorBidi" w:hAnsiTheme="majorBidi" w:cstheme="majorBidi"/>
          <w:sz w:val="24"/>
          <w:szCs w:val="24"/>
        </w:rPr>
        <w:t>) terhadap istri dan atau anak yang dilahirkannya terkait dengan hak-hak mereka seperti nafkah, hak waris dan lain sebagainya. Tuntutan pemenuhan hak-hak tersebut manakala terjadi sengketa akan sulit dipenuhi akibat tidak adanya bukti catatan resmi perkawinan yang sah.</w:t>
      </w:r>
      <w:r w:rsidRPr="0029474D">
        <w:rPr>
          <w:rStyle w:val="FootnoteReference"/>
          <w:rFonts w:asciiTheme="majorBidi" w:hAnsiTheme="majorBidi" w:cstheme="majorBidi"/>
          <w:sz w:val="24"/>
          <w:szCs w:val="24"/>
        </w:rPr>
        <w:footnoteReference w:id="655"/>
      </w:r>
      <w:r w:rsidRPr="0029474D">
        <w:rPr>
          <w:rFonts w:asciiTheme="majorBidi" w:hAnsiTheme="majorBidi" w:cstheme="majorBidi"/>
          <w:sz w:val="24"/>
          <w:szCs w:val="24"/>
        </w:rPr>
        <w:t xml:space="preserve"> </w:t>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fi-FI"/>
        </w:rPr>
      </w:pPr>
      <w:r w:rsidRPr="0029474D">
        <w:rPr>
          <w:rFonts w:asciiTheme="majorBidi" w:hAnsiTheme="majorBidi" w:cstheme="majorBidi"/>
          <w:sz w:val="24"/>
          <w:szCs w:val="24"/>
          <w:lang w:val="fi-FI"/>
        </w:rPr>
        <w:lastRenderedPageBreak/>
        <w:t>Nikah di bawah tangan dipopulerkan oleh masyarakat dengan berbagai istilah, antara lain dengan, nikah tidak tercatat, nikah diam-diam, kawin rahasia, kawin lari, kawin</w:t>
      </w:r>
      <w:r w:rsidRPr="0029474D">
        <w:rPr>
          <w:rFonts w:asciiTheme="majorBidi" w:hAnsiTheme="majorBidi" w:cstheme="majorBidi"/>
          <w:i/>
          <w:iCs/>
          <w:sz w:val="24"/>
          <w:szCs w:val="24"/>
          <w:lang w:val="fi-FI"/>
        </w:rPr>
        <w:t xml:space="preserve"> sirri </w:t>
      </w:r>
      <w:r w:rsidRPr="0029474D">
        <w:rPr>
          <w:rFonts w:asciiTheme="majorBidi" w:hAnsiTheme="majorBidi" w:cstheme="majorBidi"/>
          <w:sz w:val="24"/>
          <w:szCs w:val="24"/>
          <w:lang w:val="fi-FI"/>
        </w:rPr>
        <w:t xml:space="preserve">atau </w:t>
      </w:r>
      <w:r w:rsidRPr="0029474D">
        <w:rPr>
          <w:rFonts w:asciiTheme="majorBidi" w:hAnsiTheme="majorBidi" w:cstheme="majorBidi"/>
          <w:i/>
          <w:iCs/>
          <w:sz w:val="24"/>
          <w:szCs w:val="24"/>
          <w:lang w:val="fi-FI"/>
        </w:rPr>
        <w:t>nikah sirri.</w:t>
      </w:r>
      <w:r w:rsidRPr="0029474D">
        <w:rPr>
          <w:rFonts w:asciiTheme="majorBidi" w:hAnsiTheme="majorBidi" w:cstheme="majorBidi"/>
          <w:sz w:val="24"/>
          <w:szCs w:val="24"/>
          <w:lang w:val="fi-FI"/>
        </w:rPr>
        <w:t xml:space="preserve"> </w:t>
      </w:r>
      <w:r w:rsidRPr="0029474D">
        <w:rPr>
          <w:rFonts w:asciiTheme="majorBidi" w:hAnsiTheme="majorBidi" w:cstheme="majorBidi"/>
          <w:sz w:val="24"/>
          <w:szCs w:val="24"/>
        </w:rPr>
        <w:t xml:space="preserve">Kata </w:t>
      </w:r>
      <w:r w:rsidRPr="0029474D">
        <w:rPr>
          <w:rFonts w:asciiTheme="majorBidi" w:hAnsiTheme="majorBidi" w:cstheme="majorBidi"/>
          <w:i/>
          <w:iCs/>
          <w:sz w:val="24"/>
          <w:szCs w:val="24"/>
        </w:rPr>
        <w:t xml:space="preserve">sirri </w:t>
      </w:r>
      <w:r w:rsidRPr="0029474D">
        <w:rPr>
          <w:rFonts w:asciiTheme="majorBidi" w:hAnsiTheme="majorBidi" w:cstheme="majorBidi"/>
          <w:sz w:val="24"/>
          <w:szCs w:val="24"/>
        </w:rPr>
        <w:t xml:space="preserve">(bahasa Arab), </w:t>
      </w:r>
      <w:r w:rsidRPr="0029474D">
        <w:rPr>
          <w:rFonts w:asciiTheme="majorBidi" w:hAnsiTheme="majorBidi" w:cstheme="majorBidi"/>
          <w:i/>
          <w:iCs/>
          <w:sz w:val="24"/>
          <w:szCs w:val="24"/>
        </w:rPr>
        <w:t xml:space="preserve">sirrun, israr, </w:t>
      </w:r>
      <w:r w:rsidRPr="0029474D">
        <w:rPr>
          <w:rFonts w:asciiTheme="majorBidi" w:hAnsiTheme="majorBidi" w:cstheme="majorBidi"/>
          <w:sz w:val="24"/>
          <w:szCs w:val="24"/>
        </w:rPr>
        <w:t>berarti rahasia atau diam-diam</w:t>
      </w:r>
      <w:r w:rsidRPr="0029474D">
        <w:rPr>
          <w:rStyle w:val="FootnoteReference"/>
          <w:rFonts w:asciiTheme="majorBidi" w:hAnsiTheme="majorBidi" w:cstheme="majorBidi"/>
          <w:sz w:val="24"/>
          <w:szCs w:val="24"/>
        </w:rPr>
        <w:footnoteReference w:id="656"/>
      </w:r>
      <w:r w:rsidRPr="0029474D">
        <w:rPr>
          <w:rFonts w:asciiTheme="majorBidi" w:hAnsiTheme="majorBidi" w:cstheme="majorBidi"/>
          <w:sz w:val="24"/>
          <w:szCs w:val="24"/>
        </w:rPr>
        <w:t xml:space="preserve">. Dari berbagai referensi yang ada, </w:t>
      </w:r>
      <w:r w:rsidRPr="0029474D">
        <w:rPr>
          <w:rFonts w:asciiTheme="majorBidi" w:hAnsiTheme="majorBidi" w:cstheme="majorBidi"/>
          <w:i/>
          <w:iCs/>
          <w:sz w:val="24"/>
          <w:szCs w:val="24"/>
        </w:rPr>
        <w:t>nikah sirri</w:t>
      </w:r>
      <w:r w:rsidRPr="0029474D">
        <w:rPr>
          <w:rFonts w:asciiTheme="majorBidi" w:hAnsiTheme="majorBidi" w:cstheme="majorBidi"/>
          <w:sz w:val="24"/>
          <w:szCs w:val="24"/>
        </w:rPr>
        <w:t xml:space="preserve"> dapat didefinisikan sebagai nikah yang dilakukan diam-diam atau rahasia, yaitu pernikahan yang dilakukan oleh wali pihak perempuan dengan seorang laki-laki, disaksikan oleh dua orang saksi, hanya memenuhi prosedur keagamaan atau hukum munakahat saja, tidak disaksikan oleh orang banyak, tidak ada publikasi, tidak dilaporkan atau dicatatkan di Kantor Urusan Agama atau Kantor Catatan Sipil, sehingga tidak ada surat-surat resmi atau akta perkawinan/nikah yang otentik yang menyatakan keduanya diikat oleh tali perkawinan.</w:t>
      </w:r>
      <w:r w:rsidRPr="0029474D">
        <w:rPr>
          <w:rStyle w:val="FootnoteReference"/>
          <w:rFonts w:asciiTheme="majorBidi" w:hAnsiTheme="majorBidi" w:cstheme="majorBidi"/>
          <w:sz w:val="24"/>
          <w:szCs w:val="24"/>
        </w:rPr>
        <w:footnoteReference w:id="657"/>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fi-FI"/>
        </w:rPr>
      </w:pPr>
      <w:r w:rsidRPr="0029474D">
        <w:rPr>
          <w:rFonts w:asciiTheme="majorBidi" w:hAnsiTheme="majorBidi" w:cstheme="majorBidi"/>
          <w:sz w:val="24"/>
          <w:szCs w:val="24"/>
        </w:rPr>
        <w:t xml:space="preserve">Ibnu ‘Arfah dari Mazhab Maliki </w:t>
      </w:r>
      <w:r>
        <w:rPr>
          <w:rFonts w:asciiTheme="majorBidi" w:hAnsiTheme="majorBidi" w:cstheme="majorBidi"/>
          <w:sz w:val="24"/>
          <w:szCs w:val="24"/>
        </w:rPr>
        <w:t>mendefinisikan nikah sirri (</w:t>
      </w:r>
      <w:r w:rsidRPr="0029474D">
        <w:rPr>
          <w:rFonts w:asciiTheme="majorBidi" w:hAnsiTheme="majorBidi" w:cstheme="majorBidi"/>
          <w:sz w:val="24"/>
          <w:szCs w:val="24"/>
        </w:rPr>
        <w:t>Nikah Di Bawah Tangan) dengan:</w:t>
      </w:r>
    </w:p>
    <w:p w:rsidR="00343B61" w:rsidRPr="00E0529D" w:rsidRDefault="00343B61" w:rsidP="00343B61">
      <w:pPr>
        <w:bidi/>
        <w:spacing w:after="0" w:line="240" w:lineRule="auto"/>
        <w:ind w:firstLine="18"/>
        <w:jc w:val="both"/>
        <w:rPr>
          <w:rFonts w:ascii="Arial" w:hAnsi="Arial" w:cs="Traditional Arabic"/>
          <w:sz w:val="32"/>
          <w:szCs w:val="32"/>
        </w:rPr>
      </w:pPr>
      <w:r w:rsidRPr="00E0529D">
        <w:rPr>
          <w:rFonts w:ascii="Arial" w:hAnsi="Arial" w:cs="Traditional Arabic"/>
          <w:sz w:val="32"/>
          <w:szCs w:val="32"/>
          <w:rtl/>
        </w:rPr>
        <w:t>أن نكاح السر هو ما أمر الشهود حين العقد بكتمه ولو كان الشهود ملء الجامع</w:t>
      </w:r>
    </w:p>
    <w:p w:rsidR="00343B61" w:rsidRDefault="00343B61" w:rsidP="00343B61">
      <w:pPr>
        <w:spacing w:after="0" w:line="240" w:lineRule="auto"/>
        <w:ind w:left="720"/>
        <w:jc w:val="both"/>
        <w:rPr>
          <w:rFonts w:asciiTheme="majorBidi" w:hAnsiTheme="majorBidi" w:cstheme="majorBidi"/>
          <w:i/>
          <w:iCs/>
          <w:sz w:val="24"/>
          <w:szCs w:val="24"/>
        </w:rPr>
      </w:pPr>
      <w:r>
        <w:rPr>
          <w:rFonts w:asciiTheme="majorBidi" w:hAnsiTheme="majorBidi" w:cstheme="majorBidi"/>
          <w:sz w:val="24"/>
          <w:szCs w:val="24"/>
        </w:rPr>
        <w:t xml:space="preserve">Artinta: </w:t>
      </w:r>
      <w:r w:rsidRPr="0029474D">
        <w:rPr>
          <w:rFonts w:asciiTheme="majorBidi" w:hAnsiTheme="majorBidi" w:cstheme="majorBidi"/>
          <w:i/>
          <w:iCs/>
          <w:sz w:val="24"/>
          <w:szCs w:val="24"/>
        </w:rPr>
        <w:t>“</w:t>
      </w:r>
      <w:r>
        <w:rPr>
          <w:rFonts w:asciiTheme="majorBidi" w:hAnsiTheme="majorBidi" w:cstheme="majorBidi"/>
          <w:i/>
          <w:iCs/>
          <w:sz w:val="24"/>
          <w:szCs w:val="24"/>
        </w:rPr>
        <w:t>Bahwa nikah Sirri (Rahasia</w:t>
      </w:r>
      <w:r w:rsidRPr="0029474D">
        <w:rPr>
          <w:rFonts w:asciiTheme="majorBidi" w:hAnsiTheme="majorBidi" w:cstheme="majorBidi"/>
          <w:i/>
          <w:iCs/>
          <w:sz w:val="24"/>
          <w:szCs w:val="24"/>
        </w:rPr>
        <w:t>/ Dibawah rangah) yaitu Nikah yang diminta kepada saksi untuk menyembunyikan peristiwa pernikahan tersebut, walaupun yang menyaksikan banyak orang”</w:t>
      </w:r>
      <w:r w:rsidRPr="0029474D">
        <w:rPr>
          <w:rStyle w:val="FootnoteReference"/>
          <w:rFonts w:asciiTheme="majorBidi" w:hAnsiTheme="majorBidi" w:cstheme="majorBidi"/>
          <w:i/>
          <w:iCs/>
          <w:sz w:val="24"/>
          <w:szCs w:val="24"/>
        </w:rPr>
        <w:footnoteReference w:id="658"/>
      </w:r>
      <w:r w:rsidRPr="0029474D">
        <w:rPr>
          <w:rFonts w:asciiTheme="majorBidi" w:hAnsiTheme="majorBidi" w:cstheme="majorBidi"/>
          <w:i/>
          <w:iCs/>
          <w:sz w:val="24"/>
          <w:szCs w:val="24"/>
        </w:rPr>
        <w:t xml:space="preserve"> </w:t>
      </w:r>
    </w:p>
    <w:p w:rsidR="00343B61" w:rsidRPr="0029474D" w:rsidRDefault="00343B61" w:rsidP="00343B61">
      <w:pPr>
        <w:spacing w:after="0" w:line="240" w:lineRule="auto"/>
        <w:ind w:left="720"/>
        <w:jc w:val="both"/>
        <w:rPr>
          <w:rFonts w:asciiTheme="majorBidi" w:hAnsiTheme="majorBidi" w:cstheme="majorBidi"/>
          <w:i/>
          <w:iCs/>
          <w:sz w:val="24"/>
          <w:szCs w:val="24"/>
        </w:rPr>
      </w:pPr>
    </w:p>
    <w:p w:rsidR="00343B61" w:rsidRPr="0029474D" w:rsidRDefault="00343B61" w:rsidP="00343B61">
      <w:pPr>
        <w:spacing w:after="0" w:line="360" w:lineRule="auto"/>
        <w:ind w:left="90" w:firstLine="630"/>
        <w:jc w:val="both"/>
        <w:rPr>
          <w:rFonts w:asciiTheme="majorBidi" w:hAnsiTheme="majorBidi" w:cstheme="majorBidi"/>
          <w:sz w:val="24"/>
          <w:szCs w:val="24"/>
        </w:rPr>
      </w:pPr>
      <w:r w:rsidRPr="0029474D">
        <w:rPr>
          <w:rFonts w:asciiTheme="majorBidi" w:hAnsiTheme="majorBidi" w:cstheme="majorBidi"/>
          <w:sz w:val="24"/>
          <w:szCs w:val="24"/>
        </w:rPr>
        <w:t xml:space="preserve">Ada juga yang menamakan nikah di bawah tangan ini dengan </w:t>
      </w:r>
      <w:r w:rsidRPr="0029474D">
        <w:rPr>
          <w:rFonts w:asciiTheme="majorBidi" w:hAnsiTheme="majorBidi" w:cstheme="majorBidi"/>
          <w:i/>
          <w:iCs/>
          <w:sz w:val="24"/>
          <w:szCs w:val="24"/>
        </w:rPr>
        <w:t xml:space="preserve">al-Zawaj al-‘urfiy. </w:t>
      </w:r>
      <w:r w:rsidRPr="0029474D">
        <w:rPr>
          <w:rFonts w:asciiTheme="majorBidi" w:hAnsiTheme="majorBidi" w:cstheme="majorBidi"/>
          <w:sz w:val="24"/>
          <w:szCs w:val="24"/>
        </w:rPr>
        <w:t>Syeikh Ja</w:t>
      </w:r>
      <w:r>
        <w:rPr>
          <w:rFonts w:asciiTheme="majorBidi" w:hAnsiTheme="majorBidi" w:cstheme="majorBidi"/>
          <w:sz w:val="24"/>
          <w:szCs w:val="24"/>
        </w:rPr>
        <w:t>ad al-Had Ali Jaad al-Haaq mende</w:t>
      </w:r>
      <w:r w:rsidRPr="0029474D">
        <w:rPr>
          <w:rFonts w:asciiTheme="majorBidi" w:hAnsiTheme="majorBidi" w:cstheme="majorBidi"/>
          <w:sz w:val="24"/>
          <w:szCs w:val="24"/>
        </w:rPr>
        <w:t xml:space="preserve">finisikan pernikahan </w:t>
      </w:r>
      <w:r w:rsidRPr="0029474D">
        <w:rPr>
          <w:rFonts w:asciiTheme="majorBidi" w:hAnsiTheme="majorBidi" w:cstheme="majorBidi"/>
          <w:i/>
          <w:iCs/>
          <w:sz w:val="24"/>
          <w:szCs w:val="24"/>
        </w:rPr>
        <w:t>al-urfy</w:t>
      </w:r>
      <w:r w:rsidRPr="0029474D">
        <w:rPr>
          <w:rFonts w:asciiTheme="majorBidi" w:hAnsiTheme="majorBidi" w:cstheme="majorBidi"/>
          <w:sz w:val="24"/>
          <w:szCs w:val="24"/>
        </w:rPr>
        <w:t xml:space="preserve"> adalah sebuah pernikahan yang tidak tercatat sebagaimana mestinya menurut peraturan perundang –undangan yang berlaku.</w:t>
      </w:r>
      <w:r w:rsidRPr="0029474D">
        <w:rPr>
          <w:rStyle w:val="FootnoteReference"/>
          <w:rFonts w:asciiTheme="majorBidi" w:hAnsiTheme="majorBidi" w:cstheme="majorBidi"/>
          <w:sz w:val="24"/>
          <w:szCs w:val="24"/>
        </w:rPr>
        <w:footnoteReference w:id="659"/>
      </w:r>
      <w:r w:rsidRPr="0029474D">
        <w:rPr>
          <w:rFonts w:asciiTheme="majorBidi" w:hAnsiTheme="majorBidi" w:cstheme="majorBidi"/>
          <w:sz w:val="24"/>
          <w:szCs w:val="24"/>
        </w:rPr>
        <w:t xml:space="preserve"> </w:t>
      </w:r>
    </w:p>
    <w:p w:rsidR="00343B61" w:rsidRPr="0029474D" w:rsidRDefault="00343B61" w:rsidP="00343B61">
      <w:pPr>
        <w:spacing w:before="100" w:beforeAutospacing="1" w:after="100" w:afterAutospacing="1" w:line="360" w:lineRule="auto"/>
        <w:ind w:firstLine="720"/>
        <w:jc w:val="both"/>
        <w:rPr>
          <w:rFonts w:asciiTheme="majorBidi" w:hAnsiTheme="majorBidi" w:cstheme="majorBidi"/>
          <w:sz w:val="24"/>
          <w:szCs w:val="24"/>
        </w:rPr>
      </w:pPr>
      <w:r w:rsidRPr="00C5438A">
        <w:rPr>
          <w:rFonts w:asciiTheme="majorBidi" w:hAnsiTheme="majorBidi" w:cstheme="majorBidi"/>
          <w:sz w:val="24"/>
          <w:szCs w:val="24"/>
        </w:rPr>
        <w:t>Al-Qur’ān</w:t>
      </w:r>
      <w:r w:rsidRPr="0029474D">
        <w:rPr>
          <w:rFonts w:asciiTheme="majorBidi" w:hAnsiTheme="majorBidi" w:cstheme="majorBidi"/>
          <w:sz w:val="24"/>
          <w:szCs w:val="24"/>
        </w:rPr>
        <w:t xml:space="preserve"> tidak meyebutkan secara langsung keharusan mencatat perkawinan. Menurut para ulama, keharusan mencatatkan perkawinan dan pembuatan akta nikah dalam hukum Islam, diqiyaskan kepada pencatatan</w:t>
      </w:r>
      <w:r w:rsidRPr="0029474D">
        <w:rPr>
          <w:rFonts w:asciiTheme="majorBidi" w:hAnsiTheme="majorBidi" w:cstheme="majorBidi"/>
          <w:i/>
          <w:iCs/>
          <w:sz w:val="24"/>
          <w:szCs w:val="24"/>
        </w:rPr>
        <w:t xml:space="preserve"> </w:t>
      </w:r>
      <w:r w:rsidRPr="0029474D">
        <w:rPr>
          <w:rFonts w:asciiTheme="majorBidi" w:hAnsiTheme="majorBidi" w:cstheme="majorBidi"/>
          <w:i/>
          <w:iCs/>
          <w:sz w:val="24"/>
          <w:szCs w:val="24"/>
        </w:rPr>
        <w:lastRenderedPageBreak/>
        <w:t xml:space="preserve">mudayanah </w:t>
      </w:r>
      <w:r w:rsidRPr="0029474D">
        <w:rPr>
          <w:rFonts w:asciiTheme="majorBidi" w:hAnsiTheme="majorBidi" w:cstheme="majorBidi"/>
          <w:sz w:val="24"/>
          <w:szCs w:val="24"/>
        </w:rPr>
        <w:t>(hutang piutang) yang dalam situasi tertentu diperintahkan untuk mencatatnya, seperti disebutkan dalam firman Allah surat al-Baqarah ayat 282:</w:t>
      </w:r>
    </w:p>
    <w:p w:rsidR="00343B61" w:rsidRPr="00914667" w:rsidRDefault="00343B61" w:rsidP="00343B61">
      <w:pPr>
        <w:bidi/>
        <w:spacing w:after="0" w:line="240" w:lineRule="auto"/>
        <w:jc w:val="both"/>
        <w:rPr>
          <w:rFonts w:ascii="Arial" w:hAnsi="Arial" w:cs="Traditional Arabic"/>
          <w:sz w:val="32"/>
          <w:szCs w:val="32"/>
        </w:rPr>
      </w:pPr>
      <w:r w:rsidRPr="00914667">
        <w:rPr>
          <w:rFonts w:ascii="Arial" w:hAnsi="Arial" w:cs="Traditional Arabic"/>
          <w:sz w:val="32"/>
          <w:szCs w:val="32"/>
          <w:rtl/>
        </w:rPr>
        <w:t>يَا أَيُّهَا الَّذِينَ آمَنُواْ إِذَا تَدَايَنتُم بِدَيْنٍ إِلَى أَجَلٍ مُّسَمًّى فَاكْتُبُوهُ</w:t>
      </w:r>
    </w:p>
    <w:p w:rsidR="00343B61" w:rsidRDefault="00343B61" w:rsidP="00343B61">
      <w:pPr>
        <w:spacing w:after="0" w:line="240" w:lineRule="auto"/>
        <w:ind w:left="720"/>
        <w:jc w:val="both"/>
        <w:rPr>
          <w:rFonts w:asciiTheme="majorBidi" w:hAnsiTheme="majorBidi" w:cstheme="majorBidi"/>
          <w:sz w:val="24"/>
          <w:szCs w:val="24"/>
        </w:rPr>
      </w:pPr>
      <w:r w:rsidRPr="0029474D">
        <w:rPr>
          <w:rFonts w:asciiTheme="majorBidi" w:hAnsiTheme="majorBidi" w:cstheme="majorBidi"/>
          <w:sz w:val="24"/>
          <w:szCs w:val="24"/>
        </w:rPr>
        <w:t xml:space="preserve">Artinya: </w:t>
      </w:r>
      <w:r w:rsidRPr="0029474D">
        <w:rPr>
          <w:rFonts w:asciiTheme="majorBidi" w:hAnsiTheme="majorBidi" w:cstheme="majorBidi"/>
          <w:i/>
          <w:iCs/>
          <w:sz w:val="24"/>
          <w:szCs w:val="24"/>
        </w:rPr>
        <w:t>Hai orang-orang yang beriman, apabila kamu bermu’amalah tidak secara tunai untuk waktu yang ditentukan, hendaklah kamu menuliskannya … .</w:t>
      </w:r>
      <w:r w:rsidRPr="0029474D">
        <w:rPr>
          <w:rFonts w:asciiTheme="majorBidi" w:hAnsiTheme="majorBidi" w:cstheme="majorBidi"/>
          <w:sz w:val="24"/>
          <w:szCs w:val="24"/>
        </w:rPr>
        <w:t>( QS. al-Baqarah ayat 282)</w:t>
      </w:r>
      <w:r w:rsidRPr="0029474D">
        <w:rPr>
          <w:rStyle w:val="FootnoteReference"/>
          <w:rFonts w:asciiTheme="majorBidi" w:hAnsiTheme="majorBidi" w:cstheme="majorBidi"/>
          <w:sz w:val="24"/>
          <w:szCs w:val="24"/>
        </w:rPr>
        <w:footnoteReference w:id="660"/>
      </w:r>
    </w:p>
    <w:p w:rsidR="00343B61" w:rsidRPr="0029474D" w:rsidRDefault="00343B61" w:rsidP="00343B61">
      <w:pPr>
        <w:spacing w:after="0" w:line="240" w:lineRule="auto"/>
        <w:ind w:left="720"/>
        <w:jc w:val="both"/>
        <w:rPr>
          <w:rFonts w:asciiTheme="majorBidi" w:hAnsiTheme="majorBidi" w:cstheme="majorBidi"/>
          <w:sz w:val="24"/>
          <w:szCs w:val="24"/>
        </w:rPr>
      </w:pPr>
    </w:p>
    <w:p w:rsidR="00343B61" w:rsidRPr="0029474D"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 xml:space="preserve">Akad nikah bukanlah muamalah biasa akan tetapi perjanjian yang sangat kuat </w:t>
      </w:r>
      <w:r w:rsidRPr="0029474D">
        <w:rPr>
          <w:rFonts w:asciiTheme="majorBidi" w:hAnsiTheme="majorBidi" w:cstheme="majorBidi"/>
          <w:i/>
          <w:iCs/>
          <w:sz w:val="24"/>
          <w:szCs w:val="24"/>
        </w:rPr>
        <w:t>(mitsaqon gholizho)</w:t>
      </w:r>
      <w:r w:rsidRPr="0029474D">
        <w:rPr>
          <w:rFonts w:asciiTheme="majorBidi" w:hAnsiTheme="majorBidi" w:cstheme="majorBidi"/>
          <w:sz w:val="24"/>
          <w:szCs w:val="24"/>
        </w:rPr>
        <w:t xml:space="preserve"> seperti yang disebutkan dalam al-Qur’an surat an-Nisa’ ayat 21: </w:t>
      </w:r>
    </w:p>
    <w:p w:rsidR="00343B61" w:rsidRPr="008E3D73" w:rsidRDefault="00343B61" w:rsidP="00343B61">
      <w:pPr>
        <w:bidi/>
        <w:spacing w:after="0" w:line="240" w:lineRule="auto"/>
        <w:ind w:firstLine="17"/>
        <w:jc w:val="both"/>
        <w:rPr>
          <w:rFonts w:asciiTheme="majorBidi" w:hAnsiTheme="majorBidi" w:cs="Traditional Arabic"/>
          <w:sz w:val="20"/>
          <w:szCs w:val="20"/>
        </w:rPr>
      </w:pPr>
      <w:r w:rsidRPr="008E3D73">
        <w:rPr>
          <w:rFonts w:asciiTheme="majorBidi" w:hAnsiTheme="majorBidi" w:cs="Traditional Arabic"/>
          <w:sz w:val="26"/>
          <w:szCs w:val="26"/>
        </w:rPr>
        <w:sym w:font="HQPB5" w:char="F079"/>
      </w:r>
      <w:r w:rsidRPr="008E3D73">
        <w:rPr>
          <w:rFonts w:asciiTheme="majorBidi" w:hAnsiTheme="majorBidi" w:cs="Traditional Arabic"/>
          <w:sz w:val="26"/>
          <w:szCs w:val="26"/>
        </w:rPr>
        <w:sym w:font="HQPB2" w:char="F023"/>
      </w:r>
      <w:r w:rsidRPr="008E3D73">
        <w:rPr>
          <w:rFonts w:asciiTheme="majorBidi" w:hAnsiTheme="majorBidi" w:cs="Traditional Arabic"/>
          <w:sz w:val="26"/>
          <w:szCs w:val="26"/>
        </w:rPr>
        <w:sym w:font="HQPB4" w:char="F0F8"/>
      </w:r>
      <w:r w:rsidRPr="008E3D73">
        <w:rPr>
          <w:rFonts w:asciiTheme="majorBidi" w:hAnsiTheme="majorBidi" w:cs="Traditional Arabic"/>
          <w:sz w:val="26"/>
          <w:szCs w:val="26"/>
        </w:rPr>
        <w:sym w:font="HQPB2" w:char="F08B"/>
      </w:r>
      <w:r w:rsidRPr="008E3D73">
        <w:rPr>
          <w:rFonts w:asciiTheme="majorBidi" w:hAnsiTheme="majorBidi" w:cs="Traditional Arabic"/>
          <w:sz w:val="26"/>
          <w:szCs w:val="26"/>
        </w:rPr>
        <w:sym w:font="HQPB5" w:char="F078"/>
      </w:r>
      <w:r w:rsidRPr="008E3D73">
        <w:rPr>
          <w:rFonts w:asciiTheme="majorBidi" w:hAnsiTheme="majorBidi" w:cs="Traditional Arabic"/>
          <w:sz w:val="26"/>
          <w:szCs w:val="26"/>
        </w:rPr>
        <w:sym w:font="HQPB2" w:char="F02E"/>
      </w:r>
      <w:r w:rsidRPr="008E3D73">
        <w:rPr>
          <w:rFonts w:asciiTheme="majorBidi" w:hAnsiTheme="majorBidi" w:cs="Traditional Arabic"/>
          <w:sz w:val="26"/>
          <w:szCs w:val="26"/>
        </w:rPr>
        <w:sym w:font="HQPB5" w:char="F075"/>
      </w:r>
      <w:r w:rsidRPr="008E3D73">
        <w:rPr>
          <w:rFonts w:asciiTheme="majorBidi" w:hAnsiTheme="majorBidi" w:cs="Traditional Arabic"/>
          <w:sz w:val="26"/>
          <w:szCs w:val="26"/>
        </w:rPr>
        <w:sym w:font="HQPB2" w:char="F072"/>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2" w:char="F0BC"/>
      </w:r>
      <w:r w:rsidRPr="008E3D73">
        <w:rPr>
          <w:rFonts w:asciiTheme="majorBidi" w:hAnsiTheme="majorBidi" w:cs="Traditional Arabic"/>
          <w:sz w:val="26"/>
          <w:szCs w:val="26"/>
        </w:rPr>
        <w:sym w:font="HQPB4" w:char="F0E7"/>
      </w:r>
      <w:r w:rsidRPr="008E3D73">
        <w:rPr>
          <w:rFonts w:asciiTheme="majorBidi" w:hAnsiTheme="majorBidi" w:cs="Traditional Arabic"/>
          <w:sz w:val="26"/>
          <w:szCs w:val="26"/>
        </w:rPr>
        <w:sym w:font="HQPB2" w:char="F06D"/>
      </w:r>
      <w:r w:rsidRPr="008E3D73">
        <w:rPr>
          <w:rFonts w:asciiTheme="majorBidi" w:hAnsiTheme="majorBidi" w:cs="Traditional Arabic"/>
          <w:sz w:val="26"/>
          <w:szCs w:val="26"/>
        </w:rPr>
        <w:sym w:font="HQPB5" w:char="F074"/>
      </w:r>
      <w:r w:rsidRPr="008E3D73">
        <w:rPr>
          <w:rFonts w:asciiTheme="majorBidi" w:hAnsiTheme="majorBidi" w:cs="Traditional Arabic"/>
          <w:sz w:val="26"/>
          <w:szCs w:val="26"/>
        </w:rPr>
        <w:sym w:font="HQPB2" w:char="F052"/>
      </w:r>
      <w:r w:rsidRPr="008E3D73">
        <w:rPr>
          <w:rFonts w:asciiTheme="majorBidi" w:hAnsiTheme="majorBidi" w:cs="Traditional Arabic"/>
          <w:sz w:val="26"/>
          <w:szCs w:val="26"/>
        </w:rPr>
        <w:sym w:font="HQPB2" w:char="F072"/>
      </w:r>
      <w:r w:rsidRPr="008E3D73">
        <w:rPr>
          <w:rFonts w:asciiTheme="majorBidi" w:hAnsiTheme="majorBidi" w:cs="Traditional Arabic"/>
          <w:sz w:val="26"/>
          <w:szCs w:val="26"/>
        </w:rPr>
        <w:sym w:font="HQPB4" w:char="F0E4"/>
      </w:r>
      <w:r w:rsidRPr="008E3D73">
        <w:rPr>
          <w:rFonts w:asciiTheme="majorBidi" w:hAnsiTheme="majorBidi" w:cs="Traditional Arabic"/>
          <w:sz w:val="26"/>
          <w:szCs w:val="26"/>
        </w:rPr>
        <w:sym w:font="HQPB1" w:char="F08B"/>
      </w:r>
      <w:r w:rsidRPr="008E3D73">
        <w:rPr>
          <w:rFonts w:asciiTheme="majorBidi" w:hAnsiTheme="majorBidi" w:cs="Traditional Arabic"/>
          <w:sz w:val="26"/>
          <w:szCs w:val="26"/>
        </w:rPr>
        <w:sym w:font="HQPB4" w:char="F0E8"/>
      </w:r>
      <w:r w:rsidRPr="008E3D73">
        <w:rPr>
          <w:rFonts w:asciiTheme="majorBidi" w:hAnsiTheme="majorBidi" w:cs="Traditional Arabic"/>
          <w:sz w:val="26"/>
          <w:szCs w:val="26"/>
        </w:rPr>
        <w:sym w:font="HQPB1" w:char="F07B"/>
      </w:r>
      <w:r w:rsidRPr="008E3D73">
        <w:rPr>
          <w:rFonts w:asciiTheme="majorBidi" w:hAnsiTheme="majorBidi" w:cs="Traditional Arabic"/>
          <w:sz w:val="26"/>
          <w:szCs w:val="26"/>
        </w:rPr>
        <w:sym w:font="HQPB4" w:char="F0F9"/>
      </w:r>
      <w:r w:rsidRPr="008E3D73">
        <w:rPr>
          <w:rFonts w:asciiTheme="majorBidi" w:hAnsiTheme="majorBidi" w:cs="Traditional Arabic"/>
          <w:sz w:val="26"/>
          <w:szCs w:val="26"/>
        </w:rPr>
        <w:sym w:font="HQPB1" w:char="F027"/>
      </w:r>
      <w:r w:rsidRPr="008E3D73">
        <w:rPr>
          <w:rFonts w:asciiTheme="majorBidi" w:hAnsiTheme="majorBidi" w:cs="Traditional Arabic"/>
          <w:sz w:val="26"/>
          <w:szCs w:val="26"/>
        </w:rPr>
        <w:sym w:font="HQPB5" w:char="F073"/>
      </w:r>
      <w:r w:rsidRPr="008E3D73">
        <w:rPr>
          <w:rFonts w:asciiTheme="majorBidi" w:hAnsiTheme="majorBidi" w:cs="Traditional Arabic"/>
          <w:sz w:val="26"/>
          <w:szCs w:val="26"/>
        </w:rPr>
        <w:sym w:font="HQPB1" w:char="F03F"/>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4" w:char="F0F4"/>
      </w:r>
      <w:r w:rsidRPr="008E3D73">
        <w:rPr>
          <w:rFonts w:asciiTheme="majorBidi" w:hAnsiTheme="majorBidi" w:cs="Traditional Arabic"/>
          <w:sz w:val="26"/>
          <w:szCs w:val="26"/>
        </w:rPr>
        <w:sym w:font="HQPB1" w:char="F089"/>
      </w:r>
      <w:r w:rsidRPr="008E3D73">
        <w:rPr>
          <w:rFonts w:asciiTheme="majorBidi" w:hAnsiTheme="majorBidi" w:cs="Traditional Arabic"/>
          <w:sz w:val="26"/>
          <w:szCs w:val="26"/>
        </w:rPr>
        <w:sym w:font="HQPB5" w:char="F073"/>
      </w:r>
      <w:r w:rsidRPr="008E3D73">
        <w:rPr>
          <w:rFonts w:asciiTheme="majorBidi" w:hAnsiTheme="majorBidi" w:cs="Traditional Arabic"/>
          <w:sz w:val="26"/>
          <w:szCs w:val="26"/>
        </w:rPr>
        <w:sym w:font="HQPB2" w:char="F025"/>
      </w:r>
      <w:r w:rsidRPr="008E3D73">
        <w:rPr>
          <w:rFonts w:asciiTheme="majorBidi" w:hAnsiTheme="majorBidi" w:cs="Traditional Arabic"/>
          <w:sz w:val="26"/>
          <w:szCs w:val="26"/>
        </w:rPr>
        <w:sym w:font="HQPB5" w:char="F075"/>
      </w:r>
      <w:r w:rsidRPr="008E3D73">
        <w:rPr>
          <w:rFonts w:asciiTheme="majorBidi" w:hAnsiTheme="majorBidi" w:cs="Traditional Arabic"/>
          <w:sz w:val="26"/>
          <w:szCs w:val="26"/>
        </w:rPr>
        <w:sym w:font="HQPB2" w:char="F072"/>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5" w:char="F034"/>
      </w:r>
      <w:r w:rsidRPr="008E3D73">
        <w:rPr>
          <w:rFonts w:asciiTheme="majorBidi" w:hAnsiTheme="majorBidi" w:cs="Traditional Arabic"/>
          <w:sz w:val="26"/>
          <w:szCs w:val="26"/>
        </w:rPr>
        <w:sym w:font="HQPB2" w:char="F0D3"/>
      </w:r>
      <w:r w:rsidRPr="008E3D73">
        <w:rPr>
          <w:rFonts w:asciiTheme="majorBidi" w:hAnsiTheme="majorBidi" w:cs="Traditional Arabic"/>
          <w:sz w:val="26"/>
          <w:szCs w:val="26"/>
        </w:rPr>
        <w:sym w:font="HQPB5" w:char="F07C"/>
      </w:r>
      <w:r w:rsidRPr="008E3D73">
        <w:rPr>
          <w:rFonts w:asciiTheme="majorBidi" w:hAnsiTheme="majorBidi" w:cs="Traditional Arabic"/>
          <w:sz w:val="26"/>
          <w:szCs w:val="26"/>
        </w:rPr>
        <w:sym w:font="HQPB1" w:char="F0D3"/>
      </w:r>
      <w:r w:rsidRPr="008E3D73">
        <w:rPr>
          <w:rFonts w:asciiTheme="majorBidi" w:hAnsiTheme="majorBidi" w:cs="Traditional Arabic"/>
          <w:sz w:val="26"/>
          <w:szCs w:val="26"/>
        </w:rPr>
        <w:sym w:font="HQPB4" w:char="F0F8"/>
      </w:r>
      <w:r w:rsidRPr="008E3D73">
        <w:rPr>
          <w:rFonts w:asciiTheme="majorBidi" w:hAnsiTheme="majorBidi" w:cs="Traditional Arabic"/>
          <w:sz w:val="26"/>
          <w:szCs w:val="26"/>
        </w:rPr>
        <w:sym w:font="HQPB1" w:char="F0F9"/>
      </w:r>
      <w:r w:rsidRPr="008E3D73">
        <w:rPr>
          <w:rFonts w:asciiTheme="majorBidi" w:hAnsiTheme="majorBidi" w:cs="Traditional Arabic"/>
          <w:sz w:val="26"/>
          <w:szCs w:val="26"/>
        </w:rPr>
        <w:sym w:font="HQPB5" w:char="F072"/>
      </w:r>
      <w:r w:rsidRPr="008E3D73">
        <w:rPr>
          <w:rFonts w:asciiTheme="majorBidi" w:hAnsiTheme="majorBidi" w:cs="Traditional Arabic"/>
          <w:sz w:val="26"/>
          <w:szCs w:val="26"/>
        </w:rPr>
        <w:sym w:font="HQPB1" w:char="F026"/>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4" w:char="F0F6"/>
      </w:r>
      <w:r w:rsidRPr="008E3D73">
        <w:rPr>
          <w:rFonts w:asciiTheme="majorBidi" w:hAnsiTheme="majorBidi" w:cs="Traditional Arabic"/>
          <w:sz w:val="26"/>
          <w:szCs w:val="26"/>
        </w:rPr>
        <w:sym w:font="HQPB2" w:char="F04E"/>
      </w:r>
      <w:r w:rsidRPr="008E3D73">
        <w:rPr>
          <w:rFonts w:asciiTheme="majorBidi" w:hAnsiTheme="majorBidi" w:cs="Traditional Arabic"/>
          <w:sz w:val="26"/>
          <w:szCs w:val="26"/>
        </w:rPr>
        <w:sym w:font="HQPB4" w:char="F0E0"/>
      </w:r>
      <w:r w:rsidRPr="008E3D73">
        <w:rPr>
          <w:rFonts w:asciiTheme="majorBidi" w:hAnsiTheme="majorBidi" w:cs="Traditional Arabic"/>
          <w:sz w:val="26"/>
          <w:szCs w:val="26"/>
        </w:rPr>
        <w:sym w:font="HQPB2" w:char="F036"/>
      </w:r>
      <w:r w:rsidRPr="008E3D73">
        <w:rPr>
          <w:rFonts w:asciiTheme="majorBidi" w:hAnsiTheme="majorBidi" w:cs="Traditional Arabic"/>
          <w:sz w:val="26"/>
          <w:szCs w:val="26"/>
        </w:rPr>
        <w:sym w:font="HQPB4" w:char="F0E0"/>
      </w:r>
      <w:r w:rsidRPr="008E3D73">
        <w:rPr>
          <w:rFonts w:asciiTheme="majorBidi" w:hAnsiTheme="majorBidi" w:cs="Traditional Arabic"/>
          <w:sz w:val="26"/>
          <w:szCs w:val="26"/>
        </w:rPr>
        <w:sym w:font="HQPB1" w:char="F0D2"/>
      </w:r>
      <w:r w:rsidRPr="008E3D73">
        <w:rPr>
          <w:rFonts w:asciiTheme="majorBidi" w:hAnsiTheme="majorBidi" w:cs="Traditional Arabic"/>
          <w:sz w:val="26"/>
          <w:szCs w:val="26"/>
        </w:rPr>
        <w:sym w:font="HQPB4" w:char="F0F7"/>
      </w:r>
      <w:r w:rsidRPr="008E3D73">
        <w:rPr>
          <w:rFonts w:asciiTheme="majorBidi" w:hAnsiTheme="majorBidi" w:cs="Traditional Arabic"/>
          <w:sz w:val="26"/>
          <w:szCs w:val="26"/>
        </w:rPr>
        <w:sym w:font="HQPB1" w:char="F0E8"/>
      </w:r>
      <w:r w:rsidRPr="008E3D73">
        <w:rPr>
          <w:rFonts w:asciiTheme="majorBidi" w:hAnsiTheme="majorBidi" w:cs="Traditional Arabic"/>
          <w:sz w:val="26"/>
          <w:szCs w:val="26"/>
        </w:rPr>
        <w:sym w:font="HQPB5" w:char="F074"/>
      </w:r>
      <w:r w:rsidRPr="008E3D73">
        <w:rPr>
          <w:rFonts w:asciiTheme="majorBidi" w:hAnsiTheme="majorBidi" w:cs="Traditional Arabic"/>
          <w:sz w:val="26"/>
          <w:szCs w:val="26"/>
        </w:rPr>
        <w:sym w:font="HQPB1" w:char="F02F"/>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5" w:char="F034"/>
      </w:r>
      <w:r w:rsidRPr="008E3D73">
        <w:rPr>
          <w:rFonts w:asciiTheme="majorBidi" w:hAnsiTheme="majorBidi" w:cs="Traditional Arabic"/>
          <w:sz w:val="26"/>
          <w:szCs w:val="26"/>
        </w:rPr>
        <w:sym w:font="HQPB2" w:char="F092"/>
      </w:r>
      <w:r w:rsidRPr="008E3D73">
        <w:rPr>
          <w:rFonts w:asciiTheme="majorBidi" w:hAnsiTheme="majorBidi" w:cs="Traditional Arabic"/>
          <w:sz w:val="26"/>
          <w:szCs w:val="26"/>
        </w:rPr>
        <w:sym w:font="HQPB5" w:char="F06E"/>
      </w:r>
      <w:r w:rsidRPr="008E3D73">
        <w:rPr>
          <w:rFonts w:asciiTheme="majorBidi" w:hAnsiTheme="majorBidi" w:cs="Traditional Arabic"/>
          <w:sz w:val="26"/>
          <w:szCs w:val="26"/>
        </w:rPr>
        <w:sym w:font="HQPB2" w:char="F03C"/>
      </w:r>
      <w:r w:rsidRPr="008E3D73">
        <w:rPr>
          <w:rFonts w:asciiTheme="majorBidi" w:hAnsiTheme="majorBidi" w:cs="Traditional Arabic"/>
          <w:sz w:val="26"/>
          <w:szCs w:val="26"/>
        </w:rPr>
        <w:sym w:font="HQPB4" w:char="F0CE"/>
      </w:r>
      <w:r w:rsidRPr="008E3D73">
        <w:rPr>
          <w:rFonts w:asciiTheme="majorBidi" w:hAnsiTheme="majorBidi" w:cs="Traditional Arabic"/>
          <w:sz w:val="26"/>
          <w:szCs w:val="26"/>
        </w:rPr>
        <w:sym w:font="HQPB1" w:char="F029"/>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4" w:char="F03C"/>
      </w:r>
      <w:r w:rsidRPr="008E3D73">
        <w:rPr>
          <w:rFonts w:asciiTheme="majorBidi" w:hAnsiTheme="majorBidi" w:cs="Traditional Arabic"/>
          <w:sz w:val="26"/>
          <w:szCs w:val="26"/>
        </w:rPr>
        <w:sym w:font="HQPB1" w:char="F0D9"/>
      </w:r>
      <w:r w:rsidRPr="008E3D73">
        <w:rPr>
          <w:rFonts w:asciiTheme="majorBidi" w:hAnsiTheme="majorBidi" w:cs="Traditional Arabic"/>
          <w:sz w:val="26"/>
          <w:szCs w:val="26"/>
        </w:rPr>
        <w:sym w:font="HQPB4" w:char="F0F7"/>
      </w:r>
      <w:r w:rsidRPr="008E3D73">
        <w:rPr>
          <w:rFonts w:asciiTheme="majorBidi" w:hAnsiTheme="majorBidi" w:cs="Traditional Arabic"/>
          <w:sz w:val="26"/>
          <w:szCs w:val="26"/>
        </w:rPr>
        <w:sym w:font="HQPB1" w:char="F0E8"/>
      </w:r>
      <w:r w:rsidRPr="008E3D73">
        <w:rPr>
          <w:rFonts w:asciiTheme="majorBidi" w:hAnsiTheme="majorBidi" w:cs="Traditional Arabic"/>
          <w:sz w:val="26"/>
          <w:szCs w:val="26"/>
        </w:rPr>
        <w:sym w:font="HQPB5" w:char="F074"/>
      </w:r>
      <w:r w:rsidRPr="008E3D73">
        <w:rPr>
          <w:rFonts w:asciiTheme="majorBidi" w:hAnsiTheme="majorBidi" w:cs="Traditional Arabic"/>
          <w:sz w:val="26"/>
          <w:szCs w:val="26"/>
        </w:rPr>
        <w:sym w:font="HQPB1" w:char="F02F"/>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5" w:char="F09A"/>
      </w:r>
      <w:r w:rsidRPr="008E3D73">
        <w:rPr>
          <w:rFonts w:asciiTheme="majorBidi" w:hAnsiTheme="majorBidi" w:cs="Traditional Arabic"/>
          <w:sz w:val="26"/>
          <w:szCs w:val="26"/>
        </w:rPr>
        <w:sym w:font="HQPB2" w:char="F063"/>
      </w:r>
      <w:r w:rsidRPr="008E3D73">
        <w:rPr>
          <w:rFonts w:asciiTheme="majorBidi" w:hAnsiTheme="majorBidi" w:cs="Traditional Arabic"/>
          <w:sz w:val="26"/>
          <w:szCs w:val="26"/>
        </w:rPr>
        <w:sym w:font="HQPB4" w:char="F0F5"/>
      </w:r>
      <w:r w:rsidRPr="008E3D73">
        <w:rPr>
          <w:rFonts w:asciiTheme="majorBidi" w:hAnsiTheme="majorBidi" w:cs="Traditional Arabic"/>
          <w:sz w:val="26"/>
          <w:szCs w:val="26"/>
        </w:rPr>
        <w:sym w:font="HQPB1" w:char="F08B"/>
      </w:r>
      <w:r w:rsidRPr="008E3D73">
        <w:rPr>
          <w:rFonts w:asciiTheme="majorBidi" w:hAnsiTheme="majorBidi" w:cs="Traditional Arabic"/>
          <w:sz w:val="26"/>
          <w:szCs w:val="26"/>
        </w:rPr>
        <w:sym w:font="HQPB5" w:char="F079"/>
      </w:r>
      <w:r w:rsidRPr="008E3D73">
        <w:rPr>
          <w:rFonts w:asciiTheme="majorBidi" w:hAnsiTheme="majorBidi" w:cs="Traditional Arabic"/>
          <w:sz w:val="26"/>
          <w:szCs w:val="26"/>
        </w:rPr>
        <w:sym w:font="HQPB1" w:char="F07A"/>
      </w:r>
      <w:r w:rsidRPr="008E3D73">
        <w:rPr>
          <w:rFonts w:asciiTheme="majorBidi" w:hAnsiTheme="majorBidi" w:cs="Traditional Arabic"/>
          <w:sz w:val="26"/>
          <w:szCs w:val="26"/>
        </w:rPr>
        <w:sym w:font="HQPB5" w:char="F072"/>
      </w:r>
      <w:r w:rsidRPr="008E3D73">
        <w:rPr>
          <w:rFonts w:asciiTheme="majorBidi" w:hAnsiTheme="majorBidi" w:cs="Traditional Arabic"/>
          <w:sz w:val="26"/>
          <w:szCs w:val="26"/>
        </w:rPr>
        <w:sym w:font="HQPB1" w:char="F026"/>
      </w:r>
      <w:r w:rsidRPr="008E3D73">
        <w:rPr>
          <w:rFonts w:asciiTheme="majorBidi" w:hAnsiTheme="majorBidi" w:cs="Traditional Arabic"/>
          <w:sz w:val="26"/>
          <w:szCs w:val="26"/>
        </w:rPr>
        <w:sym w:font="HQPB5" w:char="F075"/>
      </w:r>
      <w:r w:rsidRPr="008E3D73">
        <w:rPr>
          <w:rFonts w:asciiTheme="majorBidi" w:hAnsiTheme="majorBidi" w:cs="Traditional Arabic"/>
          <w:sz w:val="26"/>
          <w:szCs w:val="26"/>
        </w:rPr>
        <w:sym w:font="HQPB2" w:char="F072"/>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2" w:char="F04E"/>
      </w:r>
      <w:r w:rsidRPr="008E3D73">
        <w:rPr>
          <w:rFonts w:asciiTheme="majorBidi" w:hAnsiTheme="majorBidi" w:cs="Traditional Arabic"/>
          <w:sz w:val="26"/>
          <w:szCs w:val="26"/>
        </w:rPr>
        <w:sym w:font="HQPB4" w:char="F0E0"/>
      </w:r>
      <w:r w:rsidRPr="008E3D73">
        <w:rPr>
          <w:rFonts w:asciiTheme="majorBidi" w:hAnsiTheme="majorBidi" w:cs="Traditional Arabic"/>
          <w:sz w:val="26"/>
          <w:szCs w:val="26"/>
        </w:rPr>
        <w:sym w:font="HQPB2" w:char="F036"/>
      </w:r>
      <w:r w:rsidRPr="008E3D73">
        <w:rPr>
          <w:rFonts w:asciiTheme="majorBidi" w:hAnsiTheme="majorBidi" w:cs="Traditional Arabic"/>
          <w:sz w:val="26"/>
          <w:szCs w:val="26"/>
        </w:rPr>
        <w:sym w:font="HQPB2" w:char="F05A"/>
      </w:r>
      <w:r w:rsidRPr="008E3D73">
        <w:rPr>
          <w:rFonts w:asciiTheme="majorBidi" w:hAnsiTheme="majorBidi" w:cs="Traditional Arabic"/>
          <w:sz w:val="26"/>
          <w:szCs w:val="26"/>
        </w:rPr>
        <w:sym w:font="HQPB4" w:char="F0CF"/>
      </w:r>
      <w:r w:rsidRPr="008E3D73">
        <w:rPr>
          <w:rFonts w:asciiTheme="majorBidi" w:hAnsiTheme="majorBidi" w:cs="Traditional Arabic"/>
          <w:sz w:val="26"/>
          <w:szCs w:val="26"/>
        </w:rPr>
        <w:sym w:font="HQPB2" w:char="F042"/>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1" w:char="F024"/>
      </w:r>
      <w:r w:rsidRPr="008E3D73">
        <w:rPr>
          <w:rFonts w:asciiTheme="majorBidi" w:hAnsiTheme="majorBidi" w:cs="Traditional Arabic"/>
          <w:sz w:val="26"/>
          <w:szCs w:val="26"/>
        </w:rPr>
        <w:sym w:font="HQPB4" w:char="F0B8"/>
      </w:r>
      <w:r w:rsidRPr="008E3D73">
        <w:rPr>
          <w:rFonts w:asciiTheme="majorBidi" w:hAnsiTheme="majorBidi" w:cs="Traditional Arabic"/>
          <w:sz w:val="26"/>
          <w:szCs w:val="26"/>
        </w:rPr>
        <w:sym w:font="HQPB2" w:char="F029"/>
      </w:r>
      <w:r w:rsidRPr="008E3D73">
        <w:rPr>
          <w:rFonts w:asciiTheme="majorBidi" w:hAnsiTheme="majorBidi" w:cs="Traditional Arabic"/>
          <w:sz w:val="26"/>
          <w:szCs w:val="26"/>
        </w:rPr>
        <w:sym w:font="HQPB2" w:char="F0BB"/>
      </w:r>
      <w:r w:rsidRPr="008E3D73">
        <w:rPr>
          <w:rFonts w:asciiTheme="majorBidi" w:hAnsiTheme="majorBidi" w:cs="Traditional Arabic"/>
          <w:sz w:val="26"/>
          <w:szCs w:val="26"/>
        </w:rPr>
        <w:sym w:font="HQPB5" w:char="F073"/>
      </w:r>
      <w:r w:rsidRPr="008E3D73">
        <w:rPr>
          <w:rFonts w:asciiTheme="majorBidi" w:hAnsiTheme="majorBidi" w:cs="Traditional Arabic"/>
          <w:sz w:val="26"/>
          <w:szCs w:val="26"/>
        </w:rPr>
        <w:sym w:font="HQPB1" w:char="F056"/>
      </w:r>
      <w:r w:rsidRPr="008E3D73">
        <w:rPr>
          <w:rFonts w:asciiTheme="majorBidi" w:hAnsiTheme="majorBidi" w:cs="Traditional Arabic"/>
          <w:sz w:val="26"/>
          <w:szCs w:val="26"/>
        </w:rPr>
        <w:sym w:font="HQPB2" w:char="F08B"/>
      </w:r>
      <w:r w:rsidRPr="008E3D73">
        <w:rPr>
          <w:rFonts w:asciiTheme="majorBidi" w:hAnsiTheme="majorBidi" w:cs="Traditional Arabic"/>
          <w:sz w:val="26"/>
          <w:szCs w:val="26"/>
        </w:rPr>
        <w:sym w:font="HQPB4" w:char="F0CF"/>
      </w:r>
      <w:r w:rsidRPr="008E3D73">
        <w:rPr>
          <w:rFonts w:asciiTheme="majorBidi" w:hAnsiTheme="majorBidi" w:cs="Traditional Arabic"/>
          <w:sz w:val="26"/>
          <w:szCs w:val="26"/>
        </w:rPr>
        <w:sym w:font="HQPB4" w:char="F069"/>
      </w:r>
      <w:r w:rsidRPr="008E3D73">
        <w:rPr>
          <w:rFonts w:asciiTheme="majorBidi" w:hAnsiTheme="majorBidi" w:cs="Traditional Arabic"/>
          <w:sz w:val="26"/>
          <w:szCs w:val="26"/>
        </w:rPr>
        <w:sym w:font="HQPB2" w:char="F042"/>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1" w:char="F024"/>
      </w:r>
      <w:r w:rsidRPr="008E3D73">
        <w:rPr>
          <w:rFonts w:asciiTheme="majorBidi" w:hAnsiTheme="majorBidi" w:cs="Traditional Arabic"/>
          <w:sz w:val="26"/>
          <w:szCs w:val="26"/>
        </w:rPr>
        <w:sym w:font="HQPB4" w:char="F05A"/>
      </w:r>
      <w:r w:rsidRPr="008E3D73">
        <w:rPr>
          <w:rFonts w:asciiTheme="majorBidi" w:hAnsiTheme="majorBidi" w:cs="Traditional Arabic"/>
          <w:sz w:val="26"/>
          <w:szCs w:val="26"/>
        </w:rPr>
        <w:sym w:font="HQPB1" w:char="F0E0"/>
      </w:r>
      <w:r w:rsidRPr="008E3D73">
        <w:rPr>
          <w:rFonts w:asciiTheme="majorBidi" w:hAnsiTheme="majorBidi" w:cs="Traditional Arabic"/>
          <w:sz w:val="26"/>
          <w:szCs w:val="26"/>
        </w:rPr>
        <w:sym w:font="HQPB2" w:char="F08B"/>
      </w:r>
      <w:r w:rsidRPr="008E3D73">
        <w:rPr>
          <w:rFonts w:asciiTheme="majorBidi" w:hAnsiTheme="majorBidi" w:cs="Traditional Arabic"/>
          <w:sz w:val="26"/>
          <w:szCs w:val="26"/>
        </w:rPr>
        <w:sym w:font="HQPB4" w:char="F0CE"/>
      </w:r>
      <w:r w:rsidRPr="008E3D73">
        <w:rPr>
          <w:rFonts w:asciiTheme="majorBidi" w:hAnsiTheme="majorBidi" w:cs="Traditional Arabic"/>
          <w:sz w:val="26"/>
          <w:szCs w:val="26"/>
        </w:rPr>
        <w:sym w:font="HQPB2" w:char="F03D"/>
      </w:r>
      <w:r w:rsidRPr="008E3D73">
        <w:rPr>
          <w:rFonts w:asciiTheme="majorBidi" w:hAnsiTheme="majorBidi" w:cs="Traditional Arabic"/>
          <w:sz w:val="26"/>
          <w:szCs w:val="26"/>
        </w:rPr>
        <w:sym w:font="HQPB5" w:char="F078"/>
      </w:r>
      <w:r w:rsidRPr="008E3D73">
        <w:rPr>
          <w:rFonts w:asciiTheme="majorBidi" w:hAnsiTheme="majorBidi" w:cs="Traditional Arabic"/>
          <w:sz w:val="26"/>
          <w:szCs w:val="26"/>
        </w:rPr>
        <w:sym w:font="HQPB1" w:char="F0EE"/>
      </w:r>
      <w:r w:rsidRPr="008E3D73">
        <w:rPr>
          <w:rFonts w:asciiTheme="majorBidi" w:hAnsiTheme="majorBidi" w:cs="Traditional Arabic"/>
          <w:sz w:val="20"/>
          <w:szCs w:val="20"/>
          <w:rtl/>
        </w:rPr>
        <w:t xml:space="preserve"> </w:t>
      </w:r>
      <w:r w:rsidRPr="008E3D73">
        <w:rPr>
          <w:rFonts w:asciiTheme="majorBidi" w:hAnsiTheme="majorBidi" w:cs="Traditional Arabic"/>
          <w:sz w:val="26"/>
          <w:szCs w:val="26"/>
        </w:rPr>
        <w:sym w:font="HQPB2" w:char="F0C7"/>
      </w:r>
      <w:r w:rsidRPr="008E3D73">
        <w:rPr>
          <w:rFonts w:asciiTheme="majorBidi" w:hAnsiTheme="majorBidi" w:cs="Traditional Arabic"/>
          <w:sz w:val="26"/>
          <w:szCs w:val="26"/>
        </w:rPr>
        <w:sym w:font="HQPB2" w:char="F0CB"/>
      </w:r>
      <w:r w:rsidRPr="008E3D73">
        <w:rPr>
          <w:rFonts w:asciiTheme="majorBidi" w:hAnsiTheme="majorBidi" w:cs="Traditional Arabic"/>
          <w:sz w:val="26"/>
          <w:szCs w:val="26"/>
        </w:rPr>
        <w:sym w:font="HQPB2" w:char="F0CA"/>
      </w:r>
      <w:r w:rsidRPr="008E3D73">
        <w:rPr>
          <w:rFonts w:asciiTheme="majorBidi" w:hAnsiTheme="majorBidi" w:cs="Traditional Arabic"/>
          <w:sz w:val="26"/>
          <w:szCs w:val="26"/>
        </w:rPr>
        <w:sym w:font="HQPB2" w:char="F0C8"/>
      </w:r>
      <w:r w:rsidRPr="008E3D73">
        <w:rPr>
          <w:rFonts w:asciiTheme="majorBidi" w:hAnsiTheme="majorBidi" w:cs="Traditional Arabic"/>
          <w:sz w:val="20"/>
          <w:szCs w:val="20"/>
          <w:rtl/>
        </w:rPr>
        <w:t xml:space="preserve">   </w:t>
      </w:r>
    </w:p>
    <w:p w:rsidR="00343B61" w:rsidRDefault="00343B61" w:rsidP="00343B61">
      <w:pPr>
        <w:spacing w:after="0" w:line="240" w:lineRule="auto"/>
        <w:ind w:left="720"/>
        <w:jc w:val="both"/>
        <w:rPr>
          <w:rFonts w:asciiTheme="majorBidi" w:hAnsiTheme="majorBidi" w:cstheme="majorBidi"/>
          <w:sz w:val="24"/>
          <w:szCs w:val="24"/>
        </w:rPr>
      </w:pPr>
      <w:r w:rsidRPr="0029474D">
        <w:rPr>
          <w:rFonts w:asciiTheme="majorBidi" w:hAnsiTheme="majorBidi" w:cstheme="majorBidi"/>
          <w:sz w:val="24"/>
          <w:szCs w:val="24"/>
        </w:rPr>
        <w:t xml:space="preserve">Artinya: </w:t>
      </w:r>
      <w:r w:rsidRPr="0029474D">
        <w:rPr>
          <w:rFonts w:asciiTheme="majorBidi" w:hAnsiTheme="majorBidi" w:cstheme="majorBidi"/>
          <w:i/>
          <w:iCs/>
          <w:sz w:val="24"/>
          <w:szCs w:val="24"/>
        </w:rPr>
        <w:t xml:space="preserve">Bagaimana kamu akan mengambilnya kembali, padahal sebagian kamu telah bergaul (bercampur) dengan yang lain sebagai suami-isteri. dan mereka (isteri-isterimu) telah mengambil dari kamu perjanjian yang kuat. </w:t>
      </w:r>
      <w:r w:rsidRPr="0029474D">
        <w:rPr>
          <w:rFonts w:asciiTheme="majorBidi" w:hAnsiTheme="majorBidi" w:cstheme="majorBidi"/>
          <w:sz w:val="24"/>
          <w:szCs w:val="24"/>
        </w:rPr>
        <w:t>( QS. Al-Nisa:[ 4] 21)</w:t>
      </w:r>
      <w:r w:rsidRPr="0029474D">
        <w:rPr>
          <w:rStyle w:val="FootnoteReference"/>
          <w:rFonts w:asciiTheme="majorBidi" w:hAnsiTheme="majorBidi" w:cstheme="majorBidi"/>
          <w:sz w:val="24"/>
          <w:szCs w:val="24"/>
        </w:rPr>
        <w:footnoteReference w:id="661"/>
      </w:r>
    </w:p>
    <w:p w:rsidR="00343B61" w:rsidRPr="0029474D" w:rsidRDefault="00343B61" w:rsidP="00343B61">
      <w:pPr>
        <w:spacing w:after="0" w:line="240" w:lineRule="auto"/>
        <w:ind w:left="720"/>
        <w:jc w:val="both"/>
        <w:rPr>
          <w:rFonts w:asciiTheme="majorBidi" w:hAnsiTheme="majorBidi" w:cstheme="majorBidi"/>
          <w:sz w:val="24"/>
          <w:szCs w:val="24"/>
        </w:rPr>
      </w:pPr>
    </w:p>
    <w:p w:rsidR="00343B61" w:rsidRPr="0029474D" w:rsidRDefault="00343B61" w:rsidP="00343B61">
      <w:pPr>
        <w:spacing w:after="0" w:line="360" w:lineRule="auto"/>
        <w:ind w:firstLine="720"/>
        <w:jc w:val="both"/>
        <w:rPr>
          <w:rFonts w:asciiTheme="majorBidi" w:hAnsiTheme="majorBidi" w:cstheme="majorBidi"/>
          <w:i/>
          <w:iCs/>
          <w:sz w:val="24"/>
          <w:szCs w:val="24"/>
        </w:rPr>
      </w:pPr>
      <w:r w:rsidRPr="0029474D">
        <w:rPr>
          <w:rFonts w:asciiTheme="majorBidi" w:hAnsiTheme="majorBidi" w:cstheme="majorBidi"/>
          <w:sz w:val="24"/>
          <w:szCs w:val="24"/>
        </w:rPr>
        <w:t xml:space="preserve">Apabila akad hutang piutang atau hubungan kerja yang lain harus dicatatkan, mestinya akad nikah yang begitu luhur, agung, dan sakral lebih utama lagi untuk dicatatkan. Memang dimasa Rasul Allah SAW dan para sahabat pencatatan perkawinan belum dikenal. Dimasa itu hukum Islam belum mengatur pencatatan secara konkret. Perkawinan dianggap sah apabila telah memenuhi syarat-syarat dan rukun nikah saja. Tetapi ada satu hal yang dilakukan oleh Rasul Allah SAW, yaitu mengumumkan pernikahan itu kepada khalayak ramai yang diistilahkan dengan </w:t>
      </w:r>
      <w:r w:rsidRPr="0029474D">
        <w:rPr>
          <w:rFonts w:asciiTheme="majorBidi" w:hAnsiTheme="majorBidi" w:cstheme="majorBidi"/>
          <w:i/>
          <w:iCs/>
          <w:sz w:val="24"/>
          <w:szCs w:val="24"/>
        </w:rPr>
        <w:t>di i’lankan</w:t>
      </w:r>
      <w:r w:rsidRPr="0029474D">
        <w:rPr>
          <w:rFonts w:asciiTheme="majorBidi" w:hAnsiTheme="majorBidi" w:cstheme="majorBidi"/>
          <w:sz w:val="24"/>
          <w:szCs w:val="24"/>
        </w:rPr>
        <w:t xml:space="preserve"> dengan memakai media </w:t>
      </w:r>
      <w:r w:rsidRPr="0029474D">
        <w:rPr>
          <w:rFonts w:asciiTheme="majorBidi" w:hAnsiTheme="majorBidi" w:cstheme="majorBidi"/>
          <w:i/>
          <w:iCs/>
          <w:sz w:val="24"/>
          <w:szCs w:val="24"/>
        </w:rPr>
        <w:t xml:space="preserve">walimatul ‘ursy. </w:t>
      </w:r>
    </w:p>
    <w:p w:rsidR="00343B61" w:rsidRPr="0029474D" w:rsidRDefault="00343B61" w:rsidP="00343B61">
      <w:pPr>
        <w:spacing w:before="100" w:beforeAutospacing="1"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hal ini, </w:t>
      </w:r>
      <w:r w:rsidRPr="0029474D">
        <w:rPr>
          <w:rFonts w:asciiTheme="majorBidi" w:hAnsiTheme="majorBidi" w:cstheme="majorBidi"/>
          <w:sz w:val="24"/>
          <w:szCs w:val="24"/>
        </w:rPr>
        <w:t xml:space="preserve">Nabi SAW bersabda: </w:t>
      </w:r>
    </w:p>
    <w:p w:rsidR="00343B61" w:rsidRPr="003B2AB8" w:rsidRDefault="00343B61" w:rsidP="00343B61">
      <w:pPr>
        <w:bidi/>
        <w:spacing w:after="0" w:line="240" w:lineRule="auto"/>
        <w:ind w:firstLine="18"/>
        <w:jc w:val="both"/>
        <w:rPr>
          <w:rFonts w:asciiTheme="majorBidi" w:hAnsiTheme="majorBidi" w:cs="Traditional Arabic"/>
          <w:i/>
          <w:iCs/>
          <w:sz w:val="32"/>
          <w:szCs w:val="32"/>
        </w:rPr>
      </w:pPr>
      <w:r w:rsidRPr="008E3D73">
        <w:rPr>
          <w:rFonts w:asciiTheme="majorBidi" w:hAnsiTheme="majorBidi" w:cs="Traditional Arabic"/>
          <w:sz w:val="32"/>
          <w:szCs w:val="32"/>
          <w:rtl/>
        </w:rPr>
        <w:t>( أعلنوا هذا النكاح واضربوا عليه بالغربال )</w:t>
      </w:r>
      <w:r w:rsidRPr="003B2AB8">
        <w:rPr>
          <w:rStyle w:val="FootnoteReference"/>
          <w:rFonts w:asciiTheme="majorBidi" w:hAnsiTheme="majorBidi" w:cs="Traditional Arabic"/>
          <w:sz w:val="32"/>
          <w:szCs w:val="32"/>
          <w:rtl/>
        </w:rPr>
        <w:footnoteReference w:id="662"/>
      </w:r>
    </w:p>
    <w:p w:rsidR="00343B61" w:rsidRDefault="00343B61" w:rsidP="00343B61">
      <w:pPr>
        <w:spacing w:after="0" w:line="240" w:lineRule="auto"/>
        <w:ind w:left="720"/>
        <w:jc w:val="both"/>
        <w:rPr>
          <w:rFonts w:asciiTheme="majorBidi" w:hAnsiTheme="majorBidi" w:cstheme="majorBidi"/>
          <w:sz w:val="24"/>
          <w:szCs w:val="24"/>
        </w:rPr>
      </w:pPr>
      <w:r w:rsidRPr="0029474D">
        <w:rPr>
          <w:rFonts w:asciiTheme="majorBidi" w:hAnsiTheme="majorBidi" w:cstheme="majorBidi"/>
          <w:sz w:val="24"/>
          <w:szCs w:val="24"/>
        </w:rPr>
        <w:lastRenderedPageBreak/>
        <w:t xml:space="preserve">Artinya : </w:t>
      </w:r>
      <w:r w:rsidRPr="0029474D">
        <w:rPr>
          <w:rFonts w:asciiTheme="majorBidi" w:hAnsiTheme="majorBidi" w:cstheme="majorBidi"/>
          <w:i/>
          <w:iCs/>
          <w:sz w:val="24"/>
          <w:szCs w:val="24"/>
        </w:rPr>
        <w:t>Umumkanlah pernikahan dan pukullah rebana</w:t>
      </w:r>
      <w:r w:rsidRPr="0029474D">
        <w:rPr>
          <w:rFonts w:asciiTheme="majorBidi" w:hAnsiTheme="majorBidi" w:cstheme="majorBidi"/>
          <w:sz w:val="24"/>
          <w:szCs w:val="24"/>
        </w:rPr>
        <w:t xml:space="preserve"> (HR. Ibnu Majah dari Aisyah). </w:t>
      </w:r>
    </w:p>
    <w:p w:rsidR="00343B61" w:rsidRPr="0029474D" w:rsidRDefault="00343B61" w:rsidP="00343B61">
      <w:pPr>
        <w:spacing w:after="0" w:line="240" w:lineRule="auto"/>
        <w:ind w:left="720"/>
        <w:jc w:val="both"/>
        <w:rPr>
          <w:rFonts w:asciiTheme="majorBidi" w:hAnsiTheme="majorBidi" w:cstheme="majorBidi"/>
          <w:sz w:val="24"/>
          <w:szCs w:val="24"/>
        </w:rPr>
      </w:pPr>
    </w:p>
    <w:p w:rsidR="00343B61" w:rsidRPr="0029474D"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 xml:space="preserve">Hadits beliau yang lain yang diriwayatkan oleh Bukhori dari Abdurrahman bin Auf, Rasul bersabda :  </w:t>
      </w:r>
    </w:p>
    <w:p w:rsidR="00343B61" w:rsidRPr="00A51106" w:rsidRDefault="00343B61" w:rsidP="00343B61">
      <w:pPr>
        <w:bidi/>
        <w:spacing w:after="0" w:line="240" w:lineRule="auto"/>
        <w:ind w:firstLine="108"/>
        <w:jc w:val="both"/>
        <w:rPr>
          <w:rFonts w:asciiTheme="majorBidi" w:hAnsiTheme="majorBidi" w:cs="Traditional Arabic"/>
          <w:sz w:val="32"/>
          <w:szCs w:val="32"/>
        </w:rPr>
      </w:pPr>
      <w:r w:rsidRPr="00A51106">
        <w:rPr>
          <w:rFonts w:asciiTheme="majorBidi" w:hAnsiTheme="majorBidi" w:cs="Traditional Arabic"/>
          <w:sz w:val="32"/>
          <w:szCs w:val="32"/>
          <w:rtl/>
        </w:rPr>
        <w:t>أَوْلِمْ وَلَوْ بِشَاةٍ</w:t>
      </w:r>
      <w:r w:rsidRPr="00A51106">
        <w:rPr>
          <w:rFonts w:asciiTheme="majorBidi" w:hAnsiTheme="majorBidi" w:cs="Traditional Arabic" w:hint="cs"/>
          <w:sz w:val="32"/>
          <w:szCs w:val="32"/>
          <w:rtl/>
        </w:rPr>
        <w:t xml:space="preserve"> </w:t>
      </w:r>
      <w:r w:rsidRPr="00A51106">
        <w:rPr>
          <w:rStyle w:val="FootnoteReference"/>
          <w:rFonts w:asciiTheme="majorBidi" w:hAnsiTheme="majorBidi" w:cs="Traditional Arabic"/>
          <w:sz w:val="32"/>
          <w:szCs w:val="32"/>
          <w:rtl/>
        </w:rPr>
        <w:footnoteReference w:id="663"/>
      </w:r>
    </w:p>
    <w:p w:rsidR="00343B61" w:rsidRDefault="00343B61" w:rsidP="00343B61">
      <w:pPr>
        <w:spacing w:after="0" w:line="240" w:lineRule="auto"/>
        <w:ind w:left="720"/>
        <w:jc w:val="both"/>
        <w:rPr>
          <w:rFonts w:asciiTheme="majorBidi" w:hAnsiTheme="majorBidi" w:cstheme="majorBidi"/>
          <w:sz w:val="24"/>
          <w:szCs w:val="24"/>
        </w:rPr>
      </w:pPr>
      <w:r w:rsidRPr="0029474D">
        <w:rPr>
          <w:rFonts w:asciiTheme="majorBidi" w:hAnsiTheme="majorBidi" w:cstheme="majorBidi"/>
          <w:sz w:val="24"/>
          <w:szCs w:val="24"/>
        </w:rPr>
        <w:t>Artinya : “</w:t>
      </w:r>
      <w:r w:rsidRPr="0029474D">
        <w:rPr>
          <w:rFonts w:asciiTheme="majorBidi" w:hAnsiTheme="majorBidi" w:cstheme="majorBidi"/>
          <w:i/>
          <w:iCs/>
          <w:sz w:val="24"/>
          <w:szCs w:val="24"/>
        </w:rPr>
        <w:t>Adakanlah walimah meskipun hanya dengan memotong seekor kambing”</w:t>
      </w:r>
      <w:r w:rsidRPr="0029474D">
        <w:rPr>
          <w:rFonts w:asciiTheme="majorBidi" w:hAnsiTheme="majorBidi" w:cstheme="majorBidi"/>
          <w:sz w:val="24"/>
          <w:szCs w:val="24"/>
        </w:rPr>
        <w:t xml:space="preserve"> (HR. Al Bukhori) </w:t>
      </w:r>
    </w:p>
    <w:p w:rsidR="00343B61" w:rsidRPr="0029474D" w:rsidRDefault="00343B61" w:rsidP="00343B61">
      <w:pPr>
        <w:spacing w:after="0" w:line="240" w:lineRule="auto"/>
        <w:ind w:left="720"/>
        <w:jc w:val="both"/>
        <w:rPr>
          <w:rFonts w:asciiTheme="majorBidi" w:hAnsiTheme="majorBidi" w:cstheme="majorBidi"/>
          <w:sz w:val="24"/>
          <w:szCs w:val="24"/>
        </w:rPr>
      </w:pPr>
    </w:p>
    <w:p w:rsidR="00343B61"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 xml:space="preserve">Tujuan dari walimah itu tentunya adalah seandainya dibelakang hari terjadi perselisihan atau pengingkaran terhadap perkawinan itu, pembuktiannya cukup dengan alat bukti persaksian dengan telah diumumkan dihalayak ramai dengan </w:t>
      </w:r>
      <w:r w:rsidRPr="0029474D">
        <w:rPr>
          <w:rFonts w:asciiTheme="majorBidi" w:hAnsiTheme="majorBidi" w:cstheme="majorBidi"/>
          <w:i/>
          <w:iCs/>
          <w:sz w:val="24"/>
          <w:szCs w:val="24"/>
        </w:rPr>
        <w:t>walimahan.</w:t>
      </w:r>
      <w:r w:rsidRPr="0029474D">
        <w:rPr>
          <w:rFonts w:asciiTheme="majorBidi" w:hAnsiTheme="majorBidi" w:cstheme="majorBidi"/>
          <w:sz w:val="24"/>
          <w:szCs w:val="24"/>
        </w:rPr>
        <w:t xml:space="preserve"> </w:t>
      </w:r>
    </w:p>
    <w:p w:rsidR="00343B61" w:rsidRPr="0029474D" w:rsidRDefault="00343B61" w:rsidP="00343B61">
      <w:pPr>
        <w:spacing w:before="100" w:beforeAutospacing="1" w:line="360" w:lineRule="auto"/>
        <w:ind w:left="18" w:firstLine="702"/>
        <w:jc w:val="both"/>
        <w:rPr>
          <w:rFonts w:asciiTheme="majorBidi" w:hAnsiTheme="majorBidi" w:cstheme="majorBidi"/>
          <w:sz w:val="24"/>
          <w:szCs w:val="24"/>
        </w:rPr>
      </w:pPr>
      <w:r w:rsidRPr="0029474D">
        <w:rPr>
          <w:rFonts w:asciiTheme="majorBidi" w:hAnsiTheme="majorBidi" w:cstheme="majorBidi"/>
          <w:sz w:val="24"/>
          <w:szCs w:val="24"/>
        </w:rPr>
        <w:t xml:space="preserve">Dalam perkembangan selanjutnya, sesuai dengan perubahan dan tuntutan zaman, beberapa negara Muslim termasuk Indonesia, membuat peraturan atau undang-undang yang mengatur perkawinan dengan pencatatan oleh negara. Peraturan pencatatan tersebut diberlakukan untuk ketertiban administrasi, adanya kepastian hukum dan untuk melindungi pihak-pihak yang melakukan perkawinan serta akibat hukum dari perkawinan itu. Jika negara melakukan tindakan perubahan terhadap institusi perkawinan, kearah yang lebih baik dari aturan dasar agama dengan tujuan untuk melindungi hak-hak dan kepentingan warganya, pastilah tindakan itu merupakan tindakan yang terpuji.  Tindakan negara seperti ini, senada dengan bunyi </w:t>
      </w:r>
      <w:r w:rsidRPr="0029474D">
        <w:rPr>
          <w:rFonts w:asciiTheme="majorBidi" w:hAnsiTheme="majorBidi" w:cstheme="majorBidi"/>
          <w:i/>
          <w:iCs/>
          <w:sz w:val="24"/>
          <w:szCs w:val="24"/>
        </w:rPr>
        <w:t>qaidah fiqhiyyah</w:t>
      </w:r>
      <w:r w:rsidRPr="0029474D">
        <w:rPr>
          <w:rFonts w:asciiTheme="majorBidi" w:hAnsiTheme="majorBidi" w:cstheme="majorBidi"/>
          <w:sz w:val="24"/>
          <w:szCs w:val="24"/>
        </w:rPr>
        <w:t xml:space="preserve"> yang popular, yaitu :</w:t>
      </w:r>
    </w:p>
    <w:p w:rsidR="00343B61" w:rsidRPr="008A65E7" w:rsidRDefault="00343B61" w:rsidP="00343B61">
      <w:pPr>
        <w:bidi/>
        <w:spacing w:after="0" w:line="240" w:lineRule="auto"/>
        <w:ind w:firstLine="18"/>
        <w:jc w:val="both"/>
        <w:rPr>
          <w:rFonts w:asciiTheme="majorBidi" w:hAnsiTheme="majorBidi" w:cs="Traditional Arabic"/>
          <w:sz w:val="32"/>
          <w:szCs w:val="32"/>
        </w:rPr>
      </w:pPr>
      <w:r w:rsidRPr="008A65E7">
        <w:rPr>
          <w:rFonts w:asciiTheme="majorBidi" w:hAnsiTheme="majorBidi" w:cs="Traditional Arabic"/>
          <w:sz w:val="32"/>
          <w:szCs w:val="32"/>
          <w:rtl/>
        </w:rPr>
        <w:t>لاينكر تغير الأحكام بتغير الأزمان</w:t>
      </w:r>
    </w:p>
    <w:p w:rsidR="00343B61" w:rsidRDefault="00343B61" w:rsidP="00343B61">
      <w:pPr>
        <w:spacing w:after="0" w:line="240" w:lineRule="auto"/>
        <w:ind w:firstLine="720"/>
        <w:jc w:val="both"/>
        <w:rPr>
          <w:rFonts w:asciiTheme="majorBidi" w:hAnsiTheme="majorBidi" w:cstheme="majorBidi"/>
          <w:sz w:val="24"/>
          <w:szCs w:val="24"/>
        </w:rPr>
      </w:pPr>
      <w:r w:rsidRPr="0029474D">
        <w:rPr>
          <w:rFonts w:asciiTheme="majorBidi" w:hAnsiTheme="majorBidi" w:cstheme="majorBidi"/>
          <w:sz w:val="24"/>
          <w:szCs w:val="24"/>
        </w:rPr>
        <w:t>Artinya:</w:t>
      </w:r>
      <w:r w:rsidRPr="0029474D">
        <w:rPr>
          <w:rFonts w:asciiTheme="majorBidi" w:hAnsiTheme="majorBidi" w:cstheme="majorBidi"/>
          <w:i/>
          <w:iCs/>
          <w:sz w:val="24"/>
          <w:szCs w:val="24"/>
        </w:rPr>
        <w:t xml:space="preserve"> tidak diingkari perubahan hukum karena perubahan zaman</w:t>
      </w:r>
      <w:r w:rsidRPr="0029474D">
        <w:rPr>
          <w:rFonts w:asciiTheme="majorBidi" w:hAnsiTheme="majorBidi" w:cstheme="majorBidi"/>
          <w:sz w:val="24"/>
          <w:szCs w:val="24"/>
        </w:rPr>
        <w:t>.</w:t>
      </w:r>
      <w:r w:rsidRPr="0029474D">
        <w:rPr>
          <w:rStyle w:val="FootnoteReference"/>
          <w:rFonts w:asciiTheme="majorBidi" w:hAnsiTheme="majorBidi" w:cstheme="majorBidi"/>
          <w:sz w:val="24"/>
          <w:szCs w:val="24"/>
        </w:rPr>
        <w:footnoteReference w:id="664"/>
      </w:r>
      <w:r w:rsidRPr="0029474D">
        <w:rPr>
          <w:rFonts w:asciiTheme="majorBidi" w:hAnsiTheme="majorBidi" w:cstheme="majorBidi"/>
          <w:sz w:val="24"/>
          <w:szCs w:val="24"/>
        </w:rPr>
        <w:t xml:space="preserve"> </w:t>
      </w:r>
    </w:p>
    <w:p w:rsidR="00343B61" w:rsidRPr="0029474D" w:rsidRDefault="00343B61" w:rsidP="00343B61">
      <w:pPr>
        <w:spacing w:after="0" w:line="240" w:lineRule="auto"/>
        <w:ind w:firstLine="720"/>
        <w:jc w:val="both"/>
        <w:rPr>
          <w:rFonts w:asciiTheme="majorBidi" w:hAnsiTheme="majorBidi" w:cstheme="majorBidi"/>
          <w:sz w:val="24"/>
          <w:szCs w:val="24"/>
        </w:rPr>
      </w:pPr>
    </w:p>
    <w:p w:rsidR="00343B61" w:rsidRPr="0029474D" w:rsidRDefault="00343B61" w:rsidP="00343B61">
      <w:pPr>
        <w:spacing w:after="0" w:line="360" w:lineRule="auto"/>
        <w:ind w:firstLine="720"/>
        <w:jc w:val="both"/>
        <w:rPr>
          <w:rFonts w:asciiTheme="majorBidi" w:hAnsiTheme="majorBidi" w:cstheme="majorBidi"/>
          <w:i/>
          <w:iCs/>
          <w:sz w:val="24"/>
          <w:szCs w:val="24"/>
        </w:rPr>
      </w:pPr>
      <w:r w:rsidRPr="0029474D">
        <w:rPr>
          <w:rFonts w:asciiTheme="majorBidi" w:hAnsiTheme="majorBidi" w:cstheme="majorBidi"/>
          <w:sz w:val="24"/>
          <w:szCs w:val="24"/>
        </w:rPr>
        <w:t>Bahkan</w:t>
      </w:r>
      <w:r w:rsidRPr="0029474D">
        <w:rPr>
          <w:rFonts w:asciiTheme="majorBidi" w:hAnsiTheme="majorBidi" w:cstheme="majorBidi"/>
          <w:i/>
          <w:iCs/>
          <w:sz w:val="24"/>
          <w:szCs w:val="24"/>
        </w:rPr>
        <w:t xml:space="preserve"> </w:t>
      </w:r>
      <w:r w:rsidRPr="0029474D">
        <w:rPr>
          <w:rFonts w:asciiTheme="majorBidi" w:hAnsiTheme="majorBidi" w:cstheme="majorBidi"/>
          <w:sz w:val="24"/>
          <w:szCs w:val="24"/>
        </w:rPr>
        <w:t xml:space="preserve">Ibnu al-Qayyim menyatakan </w:t>
      </w:r>
      <w:r w:rsidRPr="0029474D">
        <w:rPr>
          <w:rFonts w:asciiTheme="majorBidi" w:hAnsiTheme="majorBidi" w:cstheme="majorBidi"/>
          <w:b/>
          <w:bCs/>
          <w:sz w:val="24"/>
          <w:szCs w:val="24"/>
        </w:rPr>
        <w:t xml:space="preserve">: </w:t>
      </w:r>
    </w:p>
    <w:p w:rsidR="00343B61" w:rsidRPr="008A65E7" w:rsidRDefault="00343B61" w:rsidP="00343B61">
      <w:pPr>
        <w:bidi/>
        <w:spacing w:after="0" w:line="240" w:lineRule="auto"/>
        <w:ind w:firstLine="18"/>
        <w:jc w:val="both"/>
        <w:rPr>
          <w:rFonts w:asciiTheme="majorBidi" w:hAnsiTheme="majorBidi" w:cs="Traditional Arabic"/>
          <w:sz w:val="32"/>
          <w:szCs w:val="32"/>
        </w:rPr>
      </w:pPr>
      <w:r w:rsidRPr="008A65E7">
        <w:rPr>
          <w:rFonts w:asciiTheme="majorBidi" w:hAnsiTheme="majorBidi" w:cs="Traditional Arabic"/>
          <w:sz w:val="32"/>
          <w:szCs w:val="32"/>
          <w:rtl/>
        </w:rPr>
        <w:t>( تغير الفتوى واختلافها بحسب تغير الأزمنة والأمكنة والأحوال والنيات والعوائد )</w:t>
      </w:r>
    </w:p>
    <w:p w:rsidR="00343B61" w:rsidRDefault="00343B61" w:rsidP="00343B61">
      <w:pPr>
        <w:spacing w:after="0" w:line="240" w:lineRule="auto"/>
        <w:ind w:left="720"/>
        <w:jc w:val="both"/>
        <w:rPr>
          <w:rFonts w:asciiTheme="majorBidi" w:hAnsiTheme="majorBidi" w:cstheme="majorBidi"/>
          <w:sz w:val="24"/>
          <w:szCs w:val="24"/>
        </w:rPr>
      </w:pPr>
      <w:r w:rsidRPr="0029474D">
        <w:rPr>
          <w:rFonts w:asciiTheme="majorBidi" w:hAnsiTheme="majorBidi" w:cstheme="majorBidi"/>
        </w:rPr>
        <w:lastRenderedPageBreak/>
        <w:t xml:space="preserve"> </w:t>
      </w:r>
      <w:r w:rsidRPr="0029474D">
        <w:rPr>
          <w:rFonts w:asciiTheme="majorBidi" w:hAnsiTheme="majorBidi" w:cstheme="majorBidi"/>
          <w:sz w:val="24"/>
          <w:szCs w:val="24"/>
        </w:rPr>
        <w:t xml:space="preserve">Artinya : “ </w:t>
      </w:r>
      <w:r w:rsidRPr="0029474D">
        <w:rPr>
          <w:rFonts w:asciiTheme="majorBidi" w:hAnsiTheme="majorBidi" w:cstheme="majorBidi"/>
          <w:i/>
          <w:iCs/>
          <w:sz w:val="24"/>
          <w:szCs w:val="24"/>
        </w:rPr>
        <w:t>Perubahan fatwa dan perbedaanya terjadi menurut perubahan zaman, tempat, keadaan, niat dan adat istiadat</w:t>
      </w:r>
      <w:r w:rsidRPr="0029474D">
        <w:rPr>
          <w:rFonts w:asciiTheme="majorBidi" w:hAnsiTheme="majorBidi" w:cstheme="majorBidi"/>
          <w:sz w:val="24"/>
          <w:szCs w:val="24"/>
        </w:rPr>
        <w:t>”</w:t>
      </w:r>
      <w:r w:rsidRPr="0029474D">
        <w:rPr>
          <w:rStyle w:val="FootnoteReference"/>
          <w:rFonts w:asciiTheme="majorBidi" w:hAnsiTheme="majorBidi" w:cstheme="majorBidi"/>
          <w:sz w:val="24"/>
          <w:szCs w:val="24"/>
        </w:rPr>
        <w:footnoteReference w:id="665"/>
      </w:r>
      <w:r w:rsidRPr="0029474D">
        <w:rPr>
          <w:rFonts w:asciiTheme="majorBidi" w:hAnsiTheme="majorBidi" w:cstheme="majorBidi"/>
          <w:sz w:val="24"/>
          <w:szCs w:val="24"/>
        </w:rPr>
        <w:t xml:space="preserve"> </w:t>
      </w:r>
    </w:p>
    <w:p w:rsidR="00343B61" w:rsidRPr="0029474D" w:rsidRDefault="00343B61" w:rsidP="00343B61">
      <w:pPr>
        <w:spacing w:after="0" w:line="240" w:lineRule="auto"/>
        <w:ind w:left="720"/>
        <w:jc w:val="both"/>
        <w:rPr>
          <w:rFonts w:asciiTheme="majorBidi" w:hAnsiTheme="majorBidi" w:cstheme="majorBidi"/>
          <w:sz w:val="24"/>
          <w:szCs w:val="24"/>
        </w:rPr>
      </w:pPr>
    </w:p>
    <w:p w:rsidR="00343B61" w:rsidRPr="0029474D" w:rsidRDefault="00343B61" w:rsidP="00343B61">
      <w:pPr>
        <w:spacing w:after="0" w:line="360" w:lineRule="auto"/>
        <w:ind w:firstLine="720"/>
        <w:jc w:val="both"/>
        <w:rPr>
          <w:rFonts w:asciiTheme="majorBidi" w:hAnsiTheme="majorBidi" w:cstheme="majorBidi"/>
          <w:sz w:val="24"/>
          <w:szCs w:val="24"/>
        </w:rPr>
      </w:pPr>
      <w:r w:rsidRPr="0052131F">
        <w:rPr>
          <w:rFonts w:asciiTheme="majorBidi" w:hAnsiTheme="majorBidi" w:cstheme="majorBidi"/>
          <w:sz w:val="24"/>
          <w:szCs w:val="24"/>
        </w:rPr>
        <w:t xml:space="preserve">Al-Qur’ān memerintahkan setiap muslim untuk mentaati </w:t>
      </w:r>
      <w:r w:rsidRPr="0052131F">
        <w:rPr>
          <w:rFonts w:asciiTheme="majorBidi" w:hAnsiTheme="majorBidi" w:cstheme="majorBidi"/>
          <w:i/>
          <w:iCs/>
          <w:sz w:val="24"/>
          <w:szCs w:val="24"/>
        </w:rPr>
        <w:t>ulul amri</w:t>
      </w:r>
      <w:r w:rsidRPr="0052131F">
        <w:rPr>
          <w:rFonts w:asciiTheme="majorBidi" w:hAnsiTheme="majorBidi" w:cstheme="majorBidi"/>
          <w:sz w:val="24"/>
          <w:szCs w:val="24"/>
        </w:rPr>
        <w:t xml:space="preserve"> selama tidak bertentangan dengan hukum Allah. Dalam hal pencatatan tersebut, ketentuan pemerintah sangat sejalan dengan semangat al-Qur’ān, maka wajib bagi masyarakat mengikutinya, sebagaiman Firman Allah</w:t>
      </w:r>
      <w:r w:rsidRPr="0029474D">
        <w:rPr>
          <w:rFonts w:asciiTheme="majorBidi" w:hAnsiTheme="majorBidi" w:cstheme="majorBidi"/>
          <w:sz w:val="24"/>
          <w:szCs w:val="24"/>
        </w:rPr>
        <w:t xml:space="preserve"> : </w:t>
      </w:r>
    </w:p>
    <w:p w:rsidR="00343B61" w:rsidRPr="005B3E23" w:rsidRDefault="00343B61" w:rsidP="00343B61">
      <w:pPr>
        <w:bidi/>
        <w:rPr>
          <w:rFonts w:ascii="Adobe نسخ Medium" w:hAnsi="Adobe نسخ Medium" w:cs="Adobe نسخ Medium"/>
          <w:sz w:val="32"/>
          <w:szCs w:val="32"/>
        </w:rPr>
      </w:pPr>
      <w:r w:rsidRPr="0029474D">
        <w:rPr>
          <w:rFonts w:asciiTheme="majorBidi" w:hAnsiTheme="majorBidi" w:cstheme="majorBidi"/>
        </w:rPr>
        <w:t xml:space="preserve"> </w:t>
      </w:r>
      <w:r w:rsidRPr="008A65E7">
        <w:rPr>
          <w:rFonts w:ascii="Arial" w:hAnsi="Arial" w:cs="Traditional Arabic"/>
          <w:sz w:val="32"/>
          <w:szCs w:val="32"/>
          <w:rtl/>
        </w:rPr>
        <w:t xml:space="preserve">يا أَيُّهَا الَّذِينَ آمَنُوا أَطِيعُوا </w:t>
      </w:r>
      <w:r>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sidRPr="008A65E7">
        <w:rPr>
          <w:rFonts w:ascii="Arial" w:hAnsi="Arial" w:cs="Traditional Arabic"/>
          <w:sz w:val="32"/>
          <w:szCs w:val="32"/>
          <w:rtl/>
        </w:rPr>
        <w:t xml:space="preserve"> وَأَطِيعُوا الرَّسُولَ وَأُولِي الْأَمْرِ مِنْكُمْ</w:t>
      </w:r>
    </w:p>
    <w:p w:rsidR="00343B61" w:rsidRDefault="00343B61" w:rsidP="00343B61">
      <w:pPr>
        <w:spacing w:after="0" w:line="240" w:lineRule="auto"/>
        <w:ind w:left="810"/>
        <w:jc w:val="both"/>
        <w:rPr>
          <w:rStyle w:val="gen"/>
          <w:rFonts w:asciiTheme="majorBidi" w:hAnsiTheme="majorBidi" w:cstheme="majorBidi"/>
          <w:sz w:val="24"/>
          <w:szCs w:val="24"/>
        </w:rPr>
      </w:pPr>
      <w:r w:rsidRPr="0029474D">
        <w:rPr>
          <w:rStyle w:val="gen"/>
          <w:rFonts w:asciiTheme="majorBidi" w:hAnsiTheme="majorBidi" w:cstheme="majorBidi"/>
          <w:sz w:val="24"/>
          <w:szCs w:val="24"/>
        </w:rPr>
        <w:t>Artinya: “</w:t>
      </w:r>
      <w:r w:rsidRPr="0029474D">
        <w:rPr>
          <w:rStyle w:val="gen"/>
          <w:rFonts w:asciiTheme="majorBidi" w:hAnsiTheme="majorBidi" w:cstheme="majorBidi"/>
          <w:i/>
          <w:iCs/>
          <w:sz w:val="24"/>
          <w:szCs w:val="24"/>
        </w:rPr>
        <w:t>Hai orang-orang yang beriman, taatilah Allah dan taatilah Rasul (Nya), dan ulil amri di antara kamu</w:t>
      </w:r>
      <w:r w:rsidRPr="0029474D">
        <w:rPr>
          <w:rStyle w:val="gen"/>
          <w:rFonts w:asciiTheme="majorBidi" w:hAnsiTheme="majorBidi" w:cstheme="majorBidi"/>
          <w:sz w:val="24"/>
          <w:szCs w:val="24"/>
        </w:rPr>
        <w:t>.” ( QS. Al-Nisa: 59).</w:t>
      </w:r>
      <w:r w:rsidRPr="0029474D">
        <w:rPr>
          <w:rStyle w:val="FootnoteReference"/>
          <w:rFonts w:asciiTheme="majorBidi" w:hAnsiTheme="majorBidi" w:cstheme="majorBidi"/>
          <w:sz w:val="24"/>
          <w:szCs w:val="24"/>
        </w:rPr>
        <w:footnoteReference w:id="666"/>
      </w:r>
    </w:p>
    <w:p w:rsidR="00343B61" w:rsidRDefault="00343B61" w:rsidP="00343B61">
      <w:pPr>
        <w:spacing w:after="0" w:line="240" w:lineRule="auto"/>
        <w:ind w:left="810"/>
        <w:jc w:val="both"/>
        <w:rPr>
          <w:rFonts w:asciiTheme="majorBidi" w:hAnsiTheme="majorBidi" w:cstheme="majorBidi"/>
          <w:sz w:val="24"/>
          <w:szCs w:val="24"/>
        </w:rPr>
      </w:pPr>
    </w:p>
    <w:p w:rsidR="00343B61" w:rsidRDefault="00343B61" w:rsidP="00343B61">
      <w:pPr>
        <w:spacing w:after="0" w:line="240" w:lineRule="auto"/>
        <w:ind w:left="810"/>
        <w:jc w:val="both"/>
        <w:rPr>
          <w:rFonts w:asciiTheme="majorBidi" w:hAnsiTheme="majorBidi" w:cstheme="majorBidi"/>
          <w:sz w:val="24"/>
          <w:szCs w:val="24"/>
        </w:rPr>
      </w:pPr>
    </w:p>
    <w:p w:rsidR="00343B61" w:rsidRDefault="00343B61" w:rsidP="00343B61">
      <w:pPr>
        <w:spacing w:after="0" w:line="240" w:lineRule="auto"/>
        <w:ind w:left="810"/>
        <w:jc w:val="both"/>
        <w:rPr>
          <w:rFonts w:asciiTheme="majorBidi" w:hAnsiTheme="majorBidi" w:cstheme="majorBidi"/>
          <w:sz w:val="24"/>
          <w:szCs w:val="24"/>
        </w:rPr>
      </w:pPr>
    </w:p>
    <w:p w:rsidR="00343B61" w:rsidRPr="0029474D" w:rsidRDefault="00343B61" w:rsidP="00343B61">
      <w:pPr>
        <w:spacing w:after="0" w:line="240" w:lineRule="auto"/>
        <w:ind w:left="810"/>
        <w:jc w:val="both"/>
        <w:rPr>
          <w:rFonts w:asciiTheme="majorBidi" w:hAnsiTheme="majorBidi" w:cstheme="majorBidi"/>
          <w:sz w:val="24"/>
          <w:szCs w:val="24"/>
        </w:rPr>
      </w:pPr>
    </w:p>
    <w:p w:rsidR="00343B61" w:rsidRPr="0029474D" w:rsidRDefault="00343B61" w:rsidP="002C0A33">
      <w:pPr>
        <w:pStyle w:val="ListParagraph"/>
        <w:numPr>
          <w:ilvl w:val="0"/>
          <w:numId w:val="54"/>
        </w:numPr>
        <w:spacing w:after="0" w:line="360" w:lineRule="auto"/>
        <w:ind w:left="810" w:hanging="450"/>
        <w:jc w:val="both"/>
        <w:rPr>
          <w:rFonts w:asciiTheme="majorBidi" w:hAnsiTheme="majorBidi" w:cstheme="majorBidi"/>
          <w:sz w:val="24"/>
          <w:szCs w:val="24"/>
        </w:rPr>
      </w:pPr>
      <w:r w:rsidRPr="0029474D">
        <w:rPr>
          <w:rFonts w:asciiTheme="majorBidi" w:hAnsiTheme="majorBidi" w:cstheme="majorBidi"/>
          <w:sz w:val="24"/>
          <w:szCs w:val="24"/>
          <w:lang w:val="id-ID" w:eastAsia="id-ID"/>
        </w:rPr>
        <w:t xml:space="preserve">Nikah </w:t>
      </w:r>
      <w:r w:rsidRPr="0029474D">
        <w:rPr>
          <w:rFonts w:asciiTheme="majorBidi" w:hAnsiTheme="majorBidi" w:cstheme="majorBidi"/>
          <w:sz w:val="24"/>
          <w:szCs w:val="24"/>
          <w:lang w:val="sv-SE"/>
        </w:rPr>
        <w:t>Di bawah Tangan</w:t>
      </w:r>
      <w:r w:rsidRPr="0029474D">
        <w:rPr>
          <w:rFonts w:asciiTheme="majorBidi" w:hAnsiTheme="majorBidi" w:cstheme="majorBidi"/>
          <w:sz w:val="24"/>
          <w:szCs w:val="24"/>
          <w:lang w:val="id-ID" w:eastAsia="id-ID"/>
        </w:rPr>
        <w:t xml:space="preserve"> </w:t>
      </w:r>
      <w:r w:rsidRPr="0029474D">
        <w:rPr>
          <w:rFonts w:asciiTheme="majorBidi" w:hAnsiTheme="majorBidi" w:cstheme="majorBidi"/>
          <w:sz w:val="24"/>
          <w:szCs w:val="24"/>
        </w:rPr>
        <w:t>Perspektif</w:t>
      </w:r>
      <w:r w:rsidRPr="0029474D">
        <w:rPr>
          <w:rFonts w:asciiTheme="majorBidi" w:hAnsiTheme="majorBidi" w:cstheme="majorBidi"/>
          <w:sz w:val="24"/>
          <w:szCs w:val="24"/>
          <w:lang w:val="id-ID" w:eastAsia="id-ID"/>
        </w:rPr>
        <w:t xml:space="preserve"> Hukum Positif Indonesia</w:t>
      </w:r>
    </w:p>
    <w:p w:rsidR="00343B61"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Sebuah perkawinan akan dianggap sah oleh negara bilamana memenuhi Undang-Undang Perkawinan Nomor 1 Tahun 1974, pasal 2 ayat (1) dan ayat (2). Ayat (1) berbunyi : “Perkawinan adalah sah, apabila dilakukan menurut hukum masing-masing agamanya dan kepercayaan</w:t>
      </w:r>
      <w:r>
        <w:rPr>
          <w:rFonts w:asciiTheme="majorBidi" w:hAnsiTheme="majorBidi" w:cstheme="majorBidi"/>
          <w:sz w:val="24"/>
          <w:szCs w:val="24"/>
        </w:rPr>
        <w:t xml:space="preserve">nya itu, dan ayat </w:t>
      </w:r>
      <w:r w:rsidRPr="0029474D">
        <w:rPr>
          <w:rFonts w:asciiTheme="majorBidi" w:hAnsiTheme="majorBidi" w:cstheme="majorBidi"/>
          <w:sz w:val="24"/>
          <w:szCs w:val="24"/>
        </w:rPr>
        <w:t>(2) Tiap-tiap perkawinan dicatat menurut peraturan perundang-undangan yang berlaku”.</w:t>
      </w:r>
      <w:r w:rsidRPr="0029474D">
        <w:rPr>
          <w:rStyle w:val="FootnoteReference"/>
          <w:rFonts w:asciiTheme="majorBidi" w:hAnsiTheme="majorBidi" w:cstheme="majorBidi"/>
          <w:sz w:val="24"/>
          <w:szCs w:val="24"/>
        </w:rPr>
        <w:footnoteReference w:id="667"/>
      </w:r>
      <w:r w:rsidRPr="0029474D">
        <w:rPr>
          <w:rFonts w:asciiTheme="majorBidi" w:hAnsiTheme="majorBidi" w:cstheme="majorBidi"/>
          <w:sz w:val="24"/>
          <w:szCs w:val="24"/>
        </w:rPr>
        <w:t xml:space="preserve"> Pasal 2 ayat (1) dan ayat (2) ini diberi penjelasan resmi yang termuat dalam penjelasan umum Undang-Undang Perkawinan Nomor 1 Tahun 1974, angka 4 huruf b yang berbunyi : “bahwa suatu perkawinan adalah sah bilamana dilakukan menurut hukum masing-masing agamanya dan kepercayaannya itu, dan disamping itu tiap-tiap perkawinan harus dicatat menurut peraturan perundang-undangan yang berlaku”</w:t>
      </w:r>
      <w:r w:rsidRPr="0029474D">
        <w:rPr>
          <w:rStyle w:val="FootnoteReference"/>
          <w:rFonts w:asciiTheme="majorBidi" w:hAnsiTheme="majorBidi" w:cstheme="majorBidi"/>
          <w:sz w:val="24"/>
          <w:szCs w:val="24"/>
        </w:rPr>
        <w:footnoteReference w:id="668"/>
      </w:r>
      <w:r w:rsidRPr="0029474D">
        <w:rPr>
          <w:rFonts w:asciiTheme="majorBidi" w:hAnsiTheme="majorBidi" w:cstheme="majorBidi"/>
          <w:sz w:val="24"/>
          <w:szCs w:val="24"/>
        </w:rPr>
        <w:t xml:space="preserve">. </w:t>
      </w:r>
    </w:p>
    <w:p w:rsidR="00343B61"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 xml:space="preserve">Rumusan peraturan yang termuat dalam pasal 2 ayat (1) dan (2) diatas, harus kita pahami sebagai satu kesatuan aturan hukum, bukan ketentuan aturan </w:t>
      </w:r>
      <w:r w:rsidRPr="0029474D">
        <w:rPr>
          <w:rFonts w:asciiTheme="majorBidi" w:hAnsiTheme="majorBidi" w:cstheme="majorBidi"/>
          <w:sz w:val="24"/>
          <w:szCs w:val="24"/>
        </w:rPr>
        <w:lastRenderedPageBreak/>
        <w:t>yang terpisah. Artinya ayat (1) tidak berdiri sendiri dan ayat (2) juga tidak berdiri sendiri. Oleh karena itu, sebuah perkawinan akan menjadi sah menurut hukum agama dan negara bilamana ketentuan kedua ayat itu dipenuhi dan dilaksanakan. Dengan melaksanakan ayat (1) saja, perkawinan menjadi tidak sah, karena perkawinan tersebut tidak dicatat oleh negara. Begitu pula dengan hanya melaksanakan ayat (2) saja, tetapi tata cara pelaksanaan perkawinan itu bertentangan dengan hukum masing-masing agama seperti yang disebutkan dalam ayat (1), maka perkawinan itu tidak sah.</w:t>
      </w:r>
      <w:r w:rsidRPr="0029474D">
        <w:rPr>
          <w:rStyle w:val="FootnoteReference"/>
          <w:rFonts w:asciiTheme="majorBidi" w:hAnsiTheme="majorBidi" w:cstheme="majorBidi"/>
          <w:sz w:val="24"/>
          <w:szCs w:val="24"/>
        </w:rPr>
        <w:footnoteReference w:id="669"/>
      </w:r>
    </w:p>
    <w:p w:rsidR="00343B61"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Perkawinan baru sah menurut hukum Negara, apabila bunyi pasal 2 ayat (1) dan (2) ini dilaksanakan secara utuh sebagai satu kesatuan peraturan hukum. Untuk pencatatan bagi warga negara Muslim yang kawin menurut agama Islam, dilakukan di Kantor Urusan Agama (KUA) Kecamatan, dan untuk mereka yang beragama Katholik, Kristen, Hindu dan Budha, dilakukan di Kantor Catatan Sipil (KCS). Pasal ini mengandung pengertian bahwa bagi umat Islam, jika suatu perkawinan (baca : pernikahan) telah memenuhi syarat-syarat dan rukun nikah sesuai dengan syari’at Islam, atau pendeta/pastur telah melaksanakan pemberkatan atau ritual lainnya (bagi umat Kristen atau Katholik), dan perkawinan itu dicatat oleh negara, maka perkawinan tersebut sah menurut hukum negara. Karena itu, dalam penjelasan resmi Undang-Undang Nomor 1 Tahun 1974 di</w:t>
      </w:r>
      <w:r>
        <w:rPr>
          <w:rFonts w:asciiTheme="majorBidi" w:hAnsiTheme="majorBidi" w:cstheme="majorBidi" w:hint="cs"/>
          <w:sz w:val="24"/>
          <w:szCs w:val="24"/>
          <w:rtl/>
        </w:rPr>
        <w:t xml:space="preserve"> </w:t>
      </w:r>
      <w:r w:rsidRPr="0029474D">
        <w:rPr>
          <w:rFonts w:asciiTheme="majorBidi" w:hAnsiTheme="majorBidi" w:cstheme="majorBidi"/>
          <w:sz w:val="24"/>
          <w:szCs w:val="24"/>
        </w:rPr>
        <w:t>atas dijelaskan, “di</w:t>
      </w:r>
      <w:r>
        <w:rPr>
          <w:rFonts w:asciiTheme="majorBidi" w:hAnsiTheme="majorBidi" w:cstheme="majorBidi" w:hint="cs"/>
          <w:sz w:val="24"/>
          <w:szCs w:val="24"/>
          <w:rtl/>
        </w:rPr>
        <w:t xml:space="preserve"> </w:t>
      </w:r>
      <w:r w:rsidRPr="0029474D">
        <w:rPr>
          <w:rFonts w:asciiTheme="majorBidi" w:hAnsiTheme="majorBidi" w:cstheme="majorBidi"/>
          <w:sz w:val="24"/>
          <w:szCs w:val="24"/>
        </w:rPr>
        <w:t>samping itu tiap-tiap perkawinan harus dicatat menurut peraturan perundang-undangan yang berlaku”. Perkataan ‘harus dicatat’, berarti perkawinan itu wajib dicatat berdasarkan hukum. Petugas memiliki kewajiban mencatat dan calon mempelai atau walinya wajib mencatatkannya kepada pemerintah dengan cara memberitahukan kehendaknya kepada Pegawai Pencatat di tempat perkawinan akan dilangsungkan.</w:t>
      </w:r>
    </w:p>
    <w:p w:rsidR="00343B61" w:rsidRPr="0029474D" w:rsidRDefault="00343B61" w:rsidP="00343B61">
      <w:pPr>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Dengan demikian, berdasarkan ketentuan pasal 2 beserta penjelasan resmi Undang-Undang Perkawinan di</w:t>
      </w:r>
      <w:r>
        <w:rPr>
          <w:rFonts w:asciiTheme="majorBidi" w:hAnsiTheme="majorBidi" w:cstheme="majorBidi" w:hint="cs"/>
          <w:sz w:val="24"/>
          <w:szCs w:val="24"/>
          <w:rtl/>
        </w:rPr>
        <w:t xml:space="preserve"> </w:t>
      </w:r>
      <w:r w:rsidRPr="0029474D">
        <w:rPr>
          <w:rFonts w:asciiTheme="majorBidi" w:hAnsiTheme="majorBidi" w:cstheme="majorBidi"/>
          <w:sz w:val="24"/>
          <w:szCs w:val="24"/>
        </w:rPr>
        <w:t xml:space="preserve">atas, maka perkawinan yang tidak diberitahukan dan tidak tercatat di Kantor Urusan Agama atau di Kantor Catatan Sipil, adalah perkawinan yang tidak sah, ilegal dan melanggar hukum negara. Apalagi menurut </w:t>
      </w:r>
      <w:r w:rsidRPr="0029474D">
        <w:rPr>
          <w:rFonts w:asciiTheme="majorBidi" w:hAnsiTheme="majorBidi" w:cstheme="majorBidi"/>
          <w:sz w:val="24"/>
          <w:szCs w:val="24"/>
        </w:rPr>
        <w:lastRenderedPageBreak/>
        <w:t>Peraturan Pemerintah Nomor 9 Tahun 1975 pasal 10 ayat (3) mengatur, bahwa di</w:t>
      </w:r>
      <w:r>
        <w:rPr>
          <w:rFonts w:asciiTheme="majorBidi" w:hAnsiTheme="majorBidi" w:cstheme="majorBidi" w:hint="cs"/>
          <w:sz w:val="24"/>
          <w:szCs w:val="24"/>
          <w:rtl/>
        </w:rPr>
        <w:t xml:space="preserve"> </w:t>
      </w:r>
      <w:r w:rsidRPr="0029474D">
        <w:rPr>
          <w:rFonts w:asciiTheme="majorBidi" w:hAnsiTheme="majorBidi" w:cstheme="majorBidi"/>
          <w:sz w:val="24"/>
          <w:szCs w:val="24"/>
        </w:rPr>
        <w:t>samping tata cara perkawinan dilakukan menurut hukum masing-masing agamanya, perkawinan juga harus “di</w:t>
      </w:r>
      <w:r>
        <w:rPr>
          <w:rFonts w:asciiTheme="majorBidi" w:hAnsiTheme="majorBidi" w:cstheme="majorBidi" w:hint="cs"/>
          <w:sz w:val="24"/>
          <w:szCs w:val="24"/>
          <w:rtl/>
        </w:rPr>
        <w:t xml:space="preserve"> </w:t>
      </w:r>
      <w:r w:rsidRPr="0029474D">
        <w:rPr>
          <w:rFonts w:asciiTheme="majorBidi" w:hAnsiTheme="majorBidi" w:cstheme="majorBidi"/>
          <w:sz w:val="24"/>
          <w:szCs w:val="24"/>
        </w:rPr>
        <w:t>laksanakan dihadapan Pegawai Pencatat dan dihadiri oleh dua orang saksi”</w:t>
      </w:r>
      <w:r w:rsidRPr="0029474D">
        <w:rPr>
          <w:rStyle w:val="FootnoteReference"/>
          <w:rFonts w:asciiTheme="majorBidi" w:hAnsiTheme="majorBidi" w:cstheme="majorBidi"/>
          <w:sz w:val="24"/>
          <w:szCs w:val="24"/>
        </w:rPr>
        <w:footnoteReference w:id="670"/>
      </w:r>
      <w:r w:rsidRPr="0029474D">
        <w:rPr>
          <w:rFonts w:asciiTheme="majorBidi" w:hAnsiTheme="majorBidi" w:cstheme="majorBidi"/>
          <w:sz w:val="24"/>
          <w:szCs w:val="24"/>
        </w:rPr>
        <w:t xml:space="preserve">. </w:t>
      </w:r>
    </w:p>
    <w:p w:rsidR="00343B61" w:rsidRPr="0029474D" w:rsidRDefault="00343B61" w:rsidP="002C0A33">
      <w:pPr>
        <w:pStyle w:val="ListParagraph"/>
        <w:numPr>
          <w:ilvl w:val="0"/>
          <w:numId w:val="54"/>
        </w:numPr>
        <w:spacing w:after="0" w:line="360" w:lineRule="auto"/>
        <w:ind w:left="630"/>
        <w:jc w:val="both"/>
        <w:rPr>
          <w:rFonts w:asciiTheme="majorBidi" w:hAnsiTheme="majorBidi" w:cstheme="majorBidi"/>
          <w:sz w:val="24"/>
          <w:szCs w:val="24"/>
        </w:rPr>
      </w:pPr>
      <w:r w:rsidRPr="0029474D">
        <w:rPr>
          <w:rFonts w:asciiTheme="majorBidi" w:hAnsiTheme="majorBidi" w:cstheme="majorBidi"/>
          <w:sz w:val="24"/>
          <w:szCs w:val="24"/>
          <w:lang w:val="id-ID" w:eastAsia="id-ID"/>
        </w:rPr>
        <w:t xml:space="preserve">Nikah </w:t>
      </w:r>
      <w:r w:rsidRPr="0029474D">
        <w:rPr>
          <w:rFonts w:asciiTheme="majorBidi" w:hAnsiTheme="majorBidi" w:cstheme="majorBidi"/>
          <w:sz w:val="24"/>
          <w:szCs w:val="24"/>
          <w:lang w:val="sv-SE"/>
        </w:rPr>
        <w:t>Di Bawah Tangan</w:t>
      </w:r>
      <w:r w:rsidRPr="0029474D">
        <w:rPr>
          <w:rFonts w:asciiTheme="majorBidi" w:hAnsiTheme="majorBidi" w:cstheme="majorBidi"/>
          <w:sz w:val="24"/>
          <w:szCs w:val="24"/>
          <w:lang w:val="id-ID" w:eastAsia="id-ID"/>
        </w:rPr>
        <w:t xml:space="preserve"> </w:t>
      </w:r>
      <w:r w:rsidRPr="0029474D">
        <w:rPr>
          <w:rFonts w:asciiTheme="majorBidi" w:hAnsiTheme="majorBidi" w:cstheme="majorBidi"/>
          <w:sz w:val="24"/>
          <w:szCs w:val="24"/>
        </w:rPr>
        <w:t>Perspektif Fatwa MUI</w:t>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29474D">
        <w:rPr>
          <w:rFonts w:asciiTheme="majorBidi" w:hAnsiTheme="majorBidi" w:cstheme="majorBidi"/>
          <w:sz w:val="24"/>
          <w:szCs w:val="24"/>
        </w:rPr>
        <w:t xml:space="preserve">Dalam Ijtima’ Ulama Komisi Fatwa se-Indonesia pada tanggal 28 Rabi’ul Tsani 1427 H/ bertepatan 26 Mei 2006 M telah menghasilkan delapan belas fatwa, yang terbagi kepada tiga poin besar, yaitu; pertama, </w:t>
      </w:r>
      <w:r w:rsidRPr="0029474D">
        <w:rPr>
          <w:rFonts w:asciiTheme="majorBidi" w:hAnsiTheme="majorBidi" w:cstheme="majorBidi"/>
          <w:i/>
          <w:iCs/>
          <w:sz w:val="24"/>
          <w:szCs w:val="24"/>
        </w:rPr>
        <w:t>Masail Diniyyah Asasiyah Wathaniyyah</w:t>
      </w:r>
      <w:r w:rsidRPr="0029474D">
        <w:rPr>
          <w:rFonts w:asciiTheme="majorBidi" w:hAnsiTheme="majorBidi" w:cstheme="majorBidi"/>
          <w:sz w:val="24"/>
          <w:szCs w:val="24"/>
        </w:rPr>
        <w:t xml:space="preserve"> empat fatwa. </w:t>
      </w:r>
      <w:r w:rsidRPr="0029474D">
        <w:rPr>
          <w:rFonts w:asciiTheme="majorBidi" w:hAnsiTheme="majorBidi" w:cstheme="majorBidi"/>
          <w:i/>
          <w:iCs/>
          <w:sz w:val="24"/>
          <w:szCs w:val="24"/>
        </w:rPr>
        <w:t>Masail Qonuniyah</w:t>
      </w:r>
      <w:r w:rsidRPr="0029474D">
        <w:rPr>
          <w:rFonts w:asciiTheme="majorBidi" w:hAnsiTheme="majorBidi" w:cstheme="majorBidi"/>
          <w:sz w:val="24"/>
          <w:szCs w:val="24"/>
        </w:rPr>
        <w:t xml:space="preserve"> (Perundang-undangan) tujuh fatwa. </w:t>
      </w:r>
      <w:r w:rsidRPr="0029474D">
        <w:rPr>
          <w:rFonts w:asciiTheme="majorBidi" w:hAnsiTheme="majorBidi" w:cstheme="majorBidi"/>
          <w:i/>
          <w:iCs/>
          <w:sz w:val="24"/>
          <w:szCs w:val="24"/>
        </w:rPr>
        <w:t>Masail Waqi’yah Mu’ashirah</w:t>
      </w:r>
      <w:r w:rsidRPr="0029474D">
        <w:rPr>
          <w:rFonts w:asciiTheme="majorBidi" w:hAnsiTheme="majorBidi" w:cstheme="majorBidi"/>
          <w:sz w:val="24"/>
          <w:szCs w:val="24"/>
        </w:rPr>
        <w:t xml:space="preserve"> tujuh fatwa, termasuk diantaranya fatwa tentang hukum Nikah Di Bawah Tangan.</w:t>
      </w:r>
      <w:r w:rsidRPr="0029474D">
        <w:rPr>
          <w:rStyle w:val="FootnoteReference"/>
          <w:rFonts w:asciiTheme="majorBidi" w:hAnsiTheme="majorBidi" w:cstheme="majorBidi"/>
          <w:sz w:val="24"/>
          <w:szCs w:val="24"/>
        </w:rPr>
        <w:footnoteReference w:id="671"/>
      </w:r>
      <w:r w:rsidRPr="0029474D">
        <w:rPr>
          <w:rFonts w:asciiTheme="majorBidi" w:hAnsiTheme="majorBidi" w:cstheme="majorBidi"/>
          <w:sz w:val="24"/>
          <w:szCs w:val="24"/>
        </w:rPr>
        <w:t xml:space="preserve"> </w:t>
      </w:r>
      <w:r w:rsidRPr="0029474D">
        <w:rPr>
          <w:rFonts w:asciiTheme="majorBidi" w:hAnsiTheme="majorBidi" w:cstheme="majorBidi"/>
          <w:sz w:val="24"/>
          <w:szCs w:val="24"/>
          <w:lang w:val="sv-SE"/>
        </w:rPr>
        <w:t xml:space="preserve">Fatwa Majelis Ulama Indonesia ini </w:t>
      </w:r>
      <w:r>
        <w:rPr>
          <w:rFonts w:asciiTheme="majorBidi" w:hAnsiTheme="majorBidi" w:cstheme="majorBidi"/>
          <w:sz w:val="24"/>
          <w:szCs w:val="24"/>
          <w:lang w:val="sv-SE"/>
        </w:rPr>
        <w:t xml:space="preserve">di </w:t>
      </w:r>
      <w:r w:rsidRPr="0029474D">
        <w:rPr>
          <w:rFonts w:asciiTheme="majorBidi" w:hAnsiTheme="majorBidi" w:cstheme="majorBidi"/>
          <w:sz w:val="24"/>
          <w:szCs w:val="24"/>
          <w:lang w:val="sv-SE"/>
        </w:rPr>
        <w:t>fatwakan kembali pada tahun 2008 dengan penambahan dalil dan perbaikan redaksi</w:t>
      </w:r>
      <w:r w:rsidRPr="0029474D">
        <w:rPr>
          <w:rStyle w:val="FootnoteReference"/>
          <w:rFonts w:asciiTheme="majorBidi" w:hAnsiTheme="majorBidi" w:cstheme="majorBidi"/>
          <w:sz w:val="24"/>
          <w:szCs w:val="24"/>
          <w:lang w:val="sv-SE"/>
        </w:rPr>
        <w:footnoteReference w:id="672"/>
      </w:r>
      <w:r w:rsidRPr="0029474D">
        <w:rPr>
          <w:rFonts w:asciiTheme="majorBidi" w:hAnsiTheme="majorBidi" w:cstheme="majorBidi"/>
          <w:sz w:val="24"/>
          <w:szCs w:val="24"/>
          <w:lang w:val="sv-SE"/>
        </w:rPr>
        <w:t>. Fatwa  Nomor: 10 Tahun 2008 Tentang Nikah di</w:t>
      </w:r>
      <w:r>
        <w:rPr>
          <w:rFonts w:asciiTheme="majorBidi" w:hAnsiTheme="majorBidi" w:cstheme="majorBidi" w:hint="cs"/>
          <w:sz w:val="24"/>
          <w:szCs w:val="24"/>
          <w:rtl/>
          <w:lang w:val="sv-SE"/>
        </w:rPr>
        <w:t xml:space="preserve"> </w:t>
      </w:r>
      <w:r w:rsidRPr="0029474D">
        <w:rPr>
          <w:rFonts w:asciiTheme="majorBidi" w:hAnsiTheme="majorBidi" w:cstheme="majorBidi"/>
          <w:sz w:val="24"/>
          <w:szCs w:val="24"/>
          <w:lang w:val="sv-SE"/>
        </w:rPr>
        <w:t xml:space="preserve">bawah tangan ini menetapkan dua poin; 1) Pernikahan di bawah tangan hukumnya sah karena telah terpenuhinya syarat dan rukun nikah, tetapi haram jika terdapat </w:t>
      </w:r>
      <w:r w:rsidRPr="0029474D">
        <w:rPr>
          <w:rFonts w:asciiTheme="majorBidi" w:hAnsiTheme="majorBidi" w:cstheme="majorBidi"/>
          <w:i/>
          <w:iCs/>
          <w:sz w:val="24"/>
          <w:szCs w:val="24"/>
          <w:lang w:val="sv-SE"/>
        </w:rPr>
        <w:t>mudharat</w:t>
      </w:r>
      <w:r w:rsidRPr="0029474D">
        <w:rPr>
          <w:rFonts w:asciiTheme="majorBidi" w:hAnsiTheme="majorBidi" w:cstheme="majorBidi"/>
          <w:sz w:val="24"/>
          <w:szCs w:val="24"/>
          <w:lang w:val="sv-SE"/>
        </w:rPr>
        <w:t>. 2) Pernikahan harus dicatatkan secara resmi pada instansi berwenang, sebagai langkah preventif untuk menolak dampak negative/</w:t>
      </w:r>
      <w:r w:rsidRPr="0029474D">
        <w:rPr>
          <w:rFonts w:asciiTheme="majorBidi" w:hAnsiTheme="majorBidi" w:cstheme="majorBidi"/>
          <w:i/>
          <w:iCs/>
          <w:sz w:val="24"/>
          <w:szCs w:val="24"/>
          <w:lang w:val="sv-SE"/>
        </w:rPr>
        <w:t>mudharat</w:t>
      </w:r>
      <w:r w:rsidRPr="0029474D">
        <w:rPr>
          <w:rFonts w:asciiTheme="majorBidi" w:hAnsiTheme="majorBidi" w:cstheme="majorBidi"/>
          <w:sz w:val="24"/>
          <w:szCs w:val="24"/>
          <w:lang w:val="sv-SE"/>
        </w:rPr>
        <w:t xml:space="preserve"> (</w:t>
      </w:r>
      <w:r w:rsidRPr="0029474D">
        <w:rPr>
          <w:rFonts w:asciiTheme="majorBidi" w:hAnsiTheme="majorBidi" w:cstheme="majorBidi"/>
          <w:i/>
          <w:iCs/>
          <w:sz w:val="24"/>
          <w:szCs w:val="24"/>
          <w:lang w:val="sv-SE"/>
        </w:rPr>
        <w:t>saddan lidz-dzari’ah</w:t>
      </w:r>
      <w:r w:rsidRPr="0029474D">
        <w:rPr>
          <w:rFonts w:asciiTheme="majorBidi" w:hAnsiTheme="majorBidi" w:cstheme="majorBidi"/>
          <w:sz w:val="24"/>
          <w:szCs w:val="24"/>
          <w:lang w:val="sv-SE"/>
        </w:rPr>
        <w:t>).</w:t>
      </w:r>
    </w:p>
    <w:p w:rsidR="00343B61" w:rsidRPr="0029474D"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29474D">
        <w:rPr>
          <w:rFonts w:asciiTheme="majorBidi" w:hAnsiTheme="majorBidi" w:cstheme="majorBidi"/>
          <w:sz w:val="24"/>
          <w:szCs w:val="24"/>
          <w:lang w:val="sv-SE"/>
        </w:rPr>
        <w:t>Yang menjadi pertimbangan MUI dalam mengeluarkan fatwa ini adalah bahwa di</w:t>
      </w:r>
      <w:r>
        <w:rPr>
          <w:rFonts w:asciiTheme="majorBidi" w:hAnsiTheme="majorBidi" w:cstheme="majorBidi" w:hint="cs"/>
          <w:sz w:val="24"/>
          <w:szCs w:val="24"/>
          <w:rtl/>
          <w:lang w:val="sv-SE"/>
        </w:rPr>
        <w:t xml:space="preserve"> </w:t>
      </w:r>
      <w:r w:rsidRPr="0029474D">
        <w:rPr>
          <w:rFonts w:asciiTheme="majorBidi" w:hAnsiTheme="majorBidi" w:cstheme="majorBidi"/>
          <w:sz w:val="24"/>
          <w:szCs w:val="24"/>
          <w:lang w:val="sv-SE"/>
        </w:rPr>
        <w:t>tengah masyarakat sering ditemui adanya praktik pernikahan di</w:t>
      </w:r>
      <w:r>
        <w:rPr>
          <w:rFonts w:asciiTheme="majorBidi" w:hAnsiTheme="majorBidi" w:cstheme="majorBidi" w:hint="cs"/>
          <w:sz w:val="24"/>
          <w:szCs w:val="24"/>
          <w:rtl/>
          <w:lang w:val="sv-SE"/>
        </w:rPr>
        <w:t xml:space="preserve"> </w:t>
      </w:r>
      <w:r w:rsidRPr="0029474D">
        <w:rPr>
          <w:rFonts w:asciiTheme="majorBidi" w:hAnsiTheme="majorBidi" w:cstheme="majorBidi"/>
          <w:sz w:val="24"/>
          <w:szCs w:val="24"/>
          <w:lang w:val="sv-SE"/>
        </w:rPr>
        <w:t>bawah tangan, yang tidak dicatatkan sesuai ketentuan peraturan perundang-und</w:t>
      </w:r>
      <w:r>
        <w:rPr>
          <w:rFonts w:asciiTheme="majorBidi" w:hAnsiTheme="majorBidi" w:cstheme="majorBidi"/>
          <w:sz w:val="24"/>
          <w:szCs w:val="24"/>
          <w:lang w:val="sv-SE"/>
        </w:rPr>
        <w:t>a</w:t>
      </w:r>
      <w:r w:rsidRPr="0029474D">
        <w:rPr>
          <w:rFonts w:asciiTheme="majorBidi" w:hAnsiTheme="majorBidi" w:cstheme="majorBidi"/>
          <w:sz w:val="24"/>
          <w:szCs w:val="24"/>
          <w:lang w:val="sv-SE"/>
        </w:rPr>
        <w:t>ngan, yang tidak jarang menimbulkan dampak negatif (</w:t>
      </w:r>
      <w:r w:rsidRPr="0029474D">
        <w:rPr>
          <w:rFonts w:asciiTheme="majorBidi" w:hAnsiTheme="majorBidi" w:cstheme="majorBidi"/>
          <w:i/>
          <w:sz w:val="24"/>
          <w:szCs w:val="24"/>
          <w:lang w:val="sv-SE"/>
        </w:rPr>
        <w:t>mudharat)</w:t>
      </w:r>
      <w:r w:rsidRPr="0029474D">
        <w:rPr>
          <w:rFonts w:asciiTheme="majorBidi" w:hAnsiTheme="majorBidi" w:cstheme="majorBidi"/>
          <w:sz w:val="24"/>
          <w:szCs w:val="24"/>
          <w:lang w:val="sv-SE"/>
        </w:rPr>
        <w:t xml:space="preserve"> terhadap istri dan atau anak yang dilahirkannya; oleh karena itu, majelis Ulama Indonesia memandang </w:t>
      </w:r>
      <w:r w:rsidRPr="0029474D">
        <w:rPr>
          <w:rFonts w:asciiTheme="majorBidi" w:hAnsiTheme="majorBidi" w:cstheme="majorBidi"/>
          <w:sz w:val="24"/>
          <w:szCs w:val="24"/>
          <w:lang w:val="sv-SE"/>
        </w:rPr>
        <w:lastRenderedPageBreak/>
        <w:t>perlu menetapkan fatwa tentang Nikah di Bawah Tangan dimaksud untuk pedoman.</w:t>
      </w:r>
      <w:r w:rsidRPr="0029474D">
        <w:rPr>
          <w:rStyle w:val="FootnoteReference"/>
          <w:rFonts w:asciiTheme="majorBidi" w:hAnsiTheme="majorBidi" w:cstheme="majorBidi"/>
          <w:sz w:val="24"/>
          <w:szCs w:val="24"/>
        </w:rPr>
        <w:footnoteReference w:id="673"/>
      </w:r>
    </w:p>
    <w:p w:rsidR="00343B61" w:rsidRPr="0023248D"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29474D">
        <w:rPr>
          <w:rFonts w:asciiTheme="majorBidi" w:hAnsiTheme="majorBidi" w:cstheme="majorBidi"/>
          <w:sz w:val="24"/>
          <w:szCs w:val="24"/>
          <w:lang w:val="sv-SE"/>
        </w:rPr>
        <w:t xml:space="preserve">Adapun landasan hukum yang dipakai MUI sebagai dalil dalam memutuskan fatwa ini berupa dua ayat Al-Qur’an, lima hadis Nasi Saw, satu </w:t>
      </w:r>
      <w:r w:rsidRPr="0029474D">
        <w:rPr>
          <w:rFonts w:asciiTheme="majorBidi" w:hAnsiTheme="majorBidi" w:cstheme="majorBidi"/>
          <w:i/>
          <w:iCs/>
          <w:sz w:val="24"/>
          <w:szCs w:val="24"/>
          <w:lang w:val="sv-SE"/>
        </w:rPr>
        <w:t>Kaidah Fiqh</w:t>
      </w:r>
      <w:r w:rsidRPr="0029474D">
        <w:rPr>
          <w:rFonts w:asciiTheme="majorBidi" w:hAnsiTheme="majorBidi" w:cstheme="majorBidi"/>
          <w:sz w:val="24"/>
          <w:szCs w:val="24"/>
          <w:lang w:val="sv-SE"/>
        </w:rPr>
        <w:t xml:space="preserve"> dan perkataan ulama. Ditambah dengan </w:t>
      </w:r>
      <w:r w:rsidRPr="0029474D">
        <w:rPr>
          <w:rFonts w:asciiTheme="majorBidi" w:hAnsiTheme="majorBidi" w:cstheme="majorBidi"/>
          <w:sz w:val="24"/>
          <w:szCs w:val="24"/>
        </w:rPr>
        <w:t>Ketentuan Pasal 2 UU Nomor 1 Tahun 1974 tentang perkawinan, serta  pasal 100 Komplikasi Hukum Islam (KHI).</w:t>
      </w:r>
      <w:r w:rsidRPr="0029474D">
        <w:rPr>
          <w:rStyle w:val="FootnoteReference"/>
          <w:rFonts w:asciiTheme="majorBidi" w:hAnsiTheme="majorBidi" w:cstheme="majorBidi"/>
          <w:sz w:val="24"/>
          <w:szCs w:val="24"/>
          <w:lang w:val="sv-SE"/>
        </w:rPr>
        <w:footnoteReference w:id="674"/>
      </w:r>
      <w:r w:rsidRPr="0029474D">
        <w:rPr>
          <w:rFonts w:asciiTheme="majorBidi" w:hAnsiTheme="majorBidi" w:cstheme="majorBidi"/>
          <w:sz w:val="24"/>
          <w:szCs w:val="24"/>
          <w:lang w:val="sv-SE"/>
        </w:rPr>
        <w:t xml:space="preserve"> Adapun dalil-dalil dari </w:t>
      </w:r>
      <w:r w:rsidRPr="00C5438A">
        <w:rPr>
          <w:rFonts w:asciiTheme="majorBidi" w:hAnsiTheme="majorBidi" w:cstheme="majorBidi"/>
          <w:sz w:val="24"/>
          <w:szCs w:val="24"/>
        </w:rPr>
        <w:t>Al-Qur’ān</w:t>
      </w:r>
      <w:r w:rsidRPr="0029474D">
        <w:rPr>
          <w:rFonts w:asciiTheme="majorBidi" w:hAnsiTheme="majorBidi" w:cstheme="majorBidi"/>
          <w:sz w:val="24"/>
          <w:szCs w:val="24"/>
          <w:lang w:val="sv-SE"/>
        </w:rPr>
        <w:t xml:space="preserve"> dan Hadis serta Kaidah fiqh yang dimaksud yaitu:</w:t>
      </w:r>
    </w:p>
    <w:p w:rsidR="00343B61" w:rsidRPr="0094561B" w:rsidRDefault="00343B61" w:rsidP="002C0A33">
      <w:pPr>
        <w:pStyle w:val="ListParagraph"/>
        <w:numPr>
          <w:ilvl w:val="0"/>
          <w:numId w:val="46"/>
        </w:numPr>
        <w:autoSpaceDE w:val="0"/>
        <w:autoSpaceDN w:val="0"/>
        <w:adjustRightInd w:val="0"/>
        <w:spacing w:after="0" w:line="360" w:lineRule="auto"/>
        <w:ind w:left="810" w:hanging="270"/>
        <w:rPr>
          <w:rFonts w:asciiTheme="majorBidi" w:hAnsiTheme="majorBidi" w:cstheme="majorBidi"/>
          <w:sz w:val="24"/>
          <w:szCs w:val="24"/>
          <w:lang w:val="sv-SE"/>
        </w:rPr>
      </w:pPr>
      <w:r w:rsidRPr="0029474D">
        <w:rPr>
          <w:rFonts w:asciiTheme="majorBidi" w:hAnsiTheme="majorBidi" w:cstheme="majorBidi"/>
          <w:sz w:val="24"/>
          <w:szCs w:val="24"/>
          <w:lang w:val="sv-SE"/>
        </w:rPr>
        <w:t>Firman Allah SWT (QS. Al-Rum [30 ]: 21)</w:t>
      </w:r>
    </w:p>
    <w:p w:rsidR="00343B61" w:rsidRPr="0029474D" w:rsidRDefault="00343B61" w:rsidP="00343B61">
      <w:pPr>
        <w:autoSpaceDE w:val="0"/>
        <w:autoSpaceDN w:val="0"/>
        <w:bidi/>
        <w:adjustRightInd w:val="0"/>
        <w:spacing w:after="0" w:line="240" w:lineRule="auto"/>
        <w:jc w:val="both"/>
        <w:rPr>
          <w:rFonts w:asciiTheme="majorBidi" w:hAnsiTheme="majorBidi" w:cstheme="majorBidi"/>
          <w:rtl/>
        </w:rPr>
      </w:pPr>
      <w:r w:rsidRPr="0029474D">
        <w:rPr>
          <w:rFonts w:asciiTheme="majorBidi" w:hAnsiTheme="majorBidi" w:cstheme="majorBidi"/>
          <w:sz w:val="28"/>
          <w:szCs w:val="28"/>
        </w:rPr>
        <w:sym w:font="HQPB4" w:char="F0F4"/>
      </w:r>
      <w:r w:rsidRPr="0029474D">
        <w:rPr>
          <w:rFonts w:asciiTheme="majorBidi" w:hAnsiTheme="majorBidi" w:cstheme="majorBidi"/>
          <w:sz w:val="28"/>
          <w:szCs w:val="28"/>
        </w:rPr>
        <w:sym w:font="HQPB2" w:char="F060"/>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2" w:char="F042"/>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72"/>
      </w:r>
      <w:r w:rsidRPr="0029474D">
        <w:rPr>
          <w:rFonts w:asciiTheme="majorBidi" w:hAnsiTheme="majorBidi" w:cstheme="majorBidi"/>
          <w:rtl/>
        </w:rPr>
        <w:t xml:space="preserve"> </w:t>
      </w:r>
      <w:r w:rsidRPr="0029474D">
        <w:rPr>
          <w:rFonts w:asciiTheme="majorBidi" w:hAnsiTheme="majorBidi" w:cstheme="majorBidi"/>
          <w:sz w:val="28"/>
          <w:szCs w:val="28"/>
        </w:rPr>
        <w:sym w:font="HQPB4" w:char="F0FF"/>
      </w:r>
      <w:r w:rsidRPr="0029474D">
        <w:rPr>
          <w:rFonts w:asciiTheme="majorBidi" w:hAnsiTheme="majorBidi" w:cstheme="majorBidi"/>
          <w:sz w:val="28"/>
          <w:szCs w:val="28"/>
        </w:rPr>
        <w:sym w:font="HQPB2" w:char="F0BE"/>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2" w:char="F06D"/>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1" w:char="F047"/>
      </w:r>
      <w:r w:rsidRPr="0029474D">
        <w:rPr>
          <w:rFonts w:asciiTheme="majorBidi" w:hAnsiTheme="majorBidi" w:cstheme="majorBidi"/>
          <w:sz w:val="28"/>
          <w:szCs w:val="28"/>
        </w:rPr>
        <w:sym w:font="HQPB2" w:char="F0BB"/>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2" w:char="F083"/>
      </w:r>
      <w:r w:rsidRPr="0029474D">
        <w:rPr>
          <w:rFonts w:asciiTheme="majorBidi" w:hAnsiTheme="majorBidi" w:cstheme="majorBidi"/>
          <w:sz w:val="28"/>
          <w:szCs w:val="28"/>
        </w:rPr>
        <w:sym w:font="HQPB1" w:char="F023"/>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E4"/>
      </w:r>
      <w:r w:rsidRPr="0029474D">
        <w:rPr>
          <w:rFonts w:asciiTheme="majorBidi" w:hAnsiTheme="majorBidi" w:cstheme="majorBidi"/>
          <w:rtl/>
        </w:rPr>
        <w:t xml:space="preserve"> </w:t>
      </w:r>
      <w:r w:rsidRPr="0029474D">
        <w:rPr>
          <w:rFonts w:asciiTheme="majorBidi" w:hAnsiTheme="majorBidi" w:cstheme="majorBidi"/>
          <w:sz w:val="28"/>
          <w:szCs w:val="28"/>
        </w:rPr>
        <w:sym w:font="HQPB4" w:char="F0F7"/>
      </w:r>
      <w:r w:rsidRPr="0029474D">
        <w:rPr>
          <w:rFonts w:asciiTheme="majorBidi" w:hAnsiTheme="majorBidi" w:cstheme="majorBidi"/>
          <w:sz w:val="28"/>
          <w:szCs w:val="28"/>
        </w:rPr>
        <w:sym w:font="HQPB2" w:char="F062"/>
      </w:r>
      <w:r w:rsidRPr="0029474D">
        <w:rPr>
          <w:rFonts w:asciiTheme="majorBidi" w:hAnsiTheme="majorBidi" w:cstheme="majorBidi"/>
          <w:sz w:val="28"/>
          <w:szCs w:val="28"/>
        </w:rPr>
        <w:sym w:font="HQPB5" w:char="F072"/>
      </w:r>
      <w:r w:rsidRPr="0029474D">
        <w:rPr>
          <w:rFonts w:asciiTheme="majorBidi" w:hAnsiTheme="majorBidi" w:cstheme="majorBidi"/>
          <w:sz w:val="28"/>
          <w:szCs w:val="28"/>
        </w:rPr>
        <w:sym w:font="HQPB1" w:char="F026"/>
      </w:r>
      <w:r w:rsidRPr="0029474D">
        <w:rPr>
          <w:rFonts w:asciiTheme="majorBidi" w:hAnsiTheme="majorBidi" w:cstheme="majorBidi"/>
          <w:rtl/>
        </w:rPr>
        <w:t xml:space="preserve"> </w:t>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2" w:char="F02C"/>
      </w:r>
      <w:r w:rsidRPr="0029474D">
        <w:rPr>
          <w:rFonts w:asciiTheme="majorBidi" w:hAnsiTheme="majorBidi" w:cstheme="majorBidi"/>
          <w:sz w:val="28"/>
          <w:szCs w:val="28"/>
        </w:rPr>
        <w:sym w:font="HQPB5" w:char="F06E"/>
      </w:r>
      <w:r w:rsidRPr="0029474D">
        <w:rPr>
          <w:rFonts w:asciiTheme="majorBidi" w:hAnsiTheme="majorBidi" w:cstheme="majorBidi"/>
          <w:sz w:val="28"/>
          <w:szCs w:val="28"/>
        </w:rPr>
        <w:sym w:font="HQPB2" w:char="F03D"/>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1" w:char="F07B"/>
      </w:r>
      <w:r w:rsidRPr="0029474D">
        <w:rPr>
          <w:rFonts w:asciiTheme="majorBidi" w:hAnsiTheme="majorBidi" w:cstheme="majorBidi"/>
          <w:rtl/>
        </w:rPr>
        <w:t xml:space="preserve"> </w:t>
      </w:r>
      <w:r w:rsidRPr="0029474D">
        <w:rPr>
          <w:rFonts w:asciiTheme="majorBidi" w:hAnsiTheme="majorBidi" w:cstheme="majorBidi"/>
          <w:sz w:val="28"/>
          <w:szCs w:val="28"/>
        </w:rPr>
        <w:sym w:font="HQPB3" w:char="F02F"/>
      </w:r>
      <w:r w:rsidRPr="0029474D">
        <w:rPr>
          <w:rFonts w:asciiTheme="majorBidi" w:hAnsiTheme="majorBidi" w:cstheme="majorBidi"/>
          <w:sz w:val="28"/>
          <w:szCs w:val="28"/>
        </w:rPr>
        <w:sym w:font="HQPB4" w:char="F0E4"/>
      </w:r>
      <w:r w:rsidRPr="0029474D">
        <w:rPr>
          <w:rFonts w:asciiTheme="majorBidi" w:hAnsiTheme="majorBidi" w:cstheme="majorBidi"/>
          <w:sz w:val="28"/>
          <w:szCs w:val="28"/>
        </w:rPr>
        <w:sym w:font="HQPB2" w:char="F033"/>
      </w:r>
      <w:r w:rsidRPr="0029474D">
        <w:rPr>
          <w:rFonts w:asciiTheme="majorBidi" w:hAnsiTheme="majorBidi" w:cstheme="majorBidi"/>
          <w:sz w:val="28"/>
          <w:szCs w:val="28"/>
        </w:rPr>
        <w:sym w:font="HQPB5" w:char="F073"/>
      </w:r>
      <w:r w:rsidRPr="0029474D">
        <w:rPr>
          <w:rFonts w:asciiTheme="majorBidi" w:hAnsiTheme="majorBidi" w:cstheme="majorBidi"/>
          <w:sz w:val="28"/>
          <w:szCs w:val="28"/>
        </w:rPr>
        <w:sym w:font="HQPB2" w:char="F039"/>
      </w:r>
      <w:r w:rsidRPr="0029474D">
        <w:rPr>
          <w:rFonts w:asciiTheme="majorBidi" w:hAnsiTheme="majorBidi" w:cstheme="majorBidi"/>
          <w:rtl/>
        </w:rPr>
        <w:t xml:space="preserve"> </w:t>
      </w:r>
      <w:r w:rsidRPr="0029474D">
        <w:rPr>
          <w:rFonts w:asciiTheme="majorBidi" w:hAnsiTheme="majorBidi" w:cstheme="majorBidi"/>
          <w:sz w:val="28"/>
          <w:szCs w:val="28"/>
        </w:rPr>
        <w:sym w:font="HQPB4" w:char="F0F4"/>
      </w:r>
      <w:r w:rsidRPr="0029474D">
        <w:rPr>
          <w:rFonts w:asciiTheme="majorBidi" w:hAnsiTheme="majorBidi" w:cstheme="majorBidi"/>
          <w:sz w:val="28"/>
          <w:szCs w:val="28"/>
        </w:rPr>
        <w:sym w:font="HQPB2" w:char="F060"/>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4" w:char="F069"/>
      </w:r>
      <w:r w:rsidRPr="0029474D">
        <w:rPr>
          <w:rFonts w:asciiTheme="majorBidi" w:hAnsiTheme="majorBidi" w:cstheme="majorBidi"/>
          <w:sz w:val="28"/>
          <w:szCs w:val="28"/>
        </w:rPr>
        <w:sym w:font="HQPB2" w:char="F042"/>
      </w:r>
      <w:r w:rsidRPr="0029474D">
        <w:rPr>
          <w:rFonts w:asciiTheme="majorBidi" w:hAnsiTheme="majorBidi" w:cstheme="majorBidi"/>
          <w:rtl/>
        </w:rPr>
        <w:t xml:space="preserve"> </w:t>
      </w:r>
      <w:r w:rsidRPr="0029474D">
        <w:rPr>
          <w:rFonts w:asciiTheme="majorBidi" w:hAnsiTheme="majorBidi" w:cstheme="majorBidi"/>
          <w:sz w:val="28"/>
          <w:szCs w:val="28"/>
        </w:rPr>
        <w:sym w:font="HQPB4" w:char="F0F6"/>
      </w:r>
      <w:r w:rsidRPr="0029474D">
        <w:rPr>
          <w:rFonts w:asciiTheme="majorBidi" w:hAnsiTheme="majorBidi" w:cstheme="majorBidi"/>
          <w:sz w:val="28"/>
          <w:szCs w:val="28"/>
        </w:rPr>
        <w:sym w:font="HQPB2" w:char="F04E"/>
      </w:r>
      <w:r w:rsidRPr="0029474D">
        <w:rPr>
          <w:rFonts w:asciiTheme="majorBidi" w:hAnsiTheme="majorBidi" w:cstheme="majorBidi"/>
          <w:sz w:val="28"/>
          <w:szCs w:val="28"/>
        </w:rPr>
        <w:sym w:font="HQPB4" w:char="F0E4"/>
      </w:r>
      <w:r w:rsidRPr="0029474D">
        <w:rPr>
          <w:rFonts w:asciiTheme="majorBidi" w:hAnsiTheme="majorBidi" w:cstheme="majorBidi"/>
          <w:sz w:val="28"/>
          <w:szCs w:val="28"/>
        </w:rPr>
        <w:sym w:font="HQPB2" w:char="F033"/>
      </w:r>
      <w:r w:rsidRPr="0029474D">
        <w:rPr>
          <w:rFonts w:asciiTheme="majorBidi" w:hAnsiTheme="majorBidi" w:cstheme="majorBidi"/>
          <w:sz w:val="28"/>
          <w:szCs w:val="28"/>
        </w:rPr>
        <w:sym w:font="HQPB4" w:char="F0C5"/>
      </w:r>
      <w:r w:rsidRPr="0029474D">
        <w:rPr>
          <w:rFonts w:asciiTheme="majorBidi" w:hAnsiTheme="majorBidi" w:cstheme="majorBidi"/>
          <w:sz w:val="28"/>
          <w:szCs w:val="28"/>
        </w:rPr>
        <w:sym w:font="HQPB1" w:char="F0A1"/>
      </w:r>
      <w:r w:rsidRPr="0029474D">
        <w:rPr>
          <w:rFonts w:asciiTheme="majorBidi" w:hAnsiTheme="majorBidi" w:cstheme="majorBidi"/>
          <w:sz w:val="28"/>
          <w:szCs w:val="28"/>
        </w:rPr>
        <w:sym w:font="HQPB4" w:char="F0E0"/>
      </w:r>
      <w:r w:rsidRPr="0029474D">
        <w:rPr>
          <w:rFonts w:asciiTheme="majorBidi" w:hAnsiTheme="majorBidi" w:cstheme="majorBidi"/>
          <w:sz w:val="28"/>
          <w:szCs w:val="28"/>
        </w:rPr>
        <w:sym w:font="HQPB1" w:char="F0FF"/>
      </w:r>
      <w:r w:rsidRPr="0029474D">
        <w:rPr>
          <w:rFonts w:asciiTheme="majorBidi" w:hAnsiTheme="majorBidi" w:cstheme="majorBidi"/>
          <w:sz w:val="28"/>
          <w:szCs w:val="28"/>
        </w:rPr>
        <w:sym w:font="HQPB2" w:char="F052"/>
      </w:r>
      <w:r w:rsidRPr="0029474D">
        <w:rPr>
          <w:rFonts w:asciiTheme="majorBidi" w:hAnsiTheme="majorBidi" w:cstheme="majorBidi"/>
          <w:sz w:val="28"/>
          <w:szCs w:val="28"/>
        </w:rPr>
        <w:sym w:font="HQPB5" w:char="F072"/>
      </w:r>
      <w:r w:rsidRPr="0029474D">
        <w:rPr>
          <w:rFonts w:asciiTheme="majorBidi" w:hAnsiTheme="majorBidi" w:cstheme="majorBidi"/>
          <w:sz w:val="28"/>
          <w:szCs w:val="28"/>
        </w:rPr>
        <w:sym w:font="HQPB1" w:char="F026"/>
      </w:r>
      <w:r w:rsidRPr="0029474D">
        <w:rPr>
          <w:rFonts w:asciiTheme="majorBidi" w:hAnsiTheme="majorBidi" w:cstheme="majorBidi"/>
          <w:rtl/>
        </w:rPr>
        <w:t xml:space="preserve"> </w:t>
      </w:r>
      <w:r w:rsidRPr="0029474D">
        <w:rPr>
          <w:rFonts w:asciiTheme="majorBidi" w:hAnsiTheme="majorBidi" w:cstheme="majorBidi"/>
          <w:sz w:val="28"/>
          <w:szCs w:val="28"/>
        </w:rPr>
        <w:sym w:font="HQPB1" w:char="F025"/>
      </w:r>
      <w:r w:rsidRPr="0029474D">
        <w:rPr>
          <w:rFonts w:asciiTheme="majorBidi" w:hAnsiTheme="majorBidi" w:cstheme="majorBidi"/>
          <w:sz w:val="28"/>
          <w:szCs w:val="28"/>
        </w:rPr>
        <w:sym w:font="HQPB4" w:char="F05B"/>
      </w:r>
      <w:r w:rsidRPr="0029474D">
        <w:rPr>
          <w:rFonts w:asciiTheme="majorBidi" w:hAnsiTheme="majorBidi" w:cstheme="majorBidi"/>
          <w:sz w:val="28"/>
          <w:szCs w:val="28"/>
        </w:rPr>
        <w:sym w:font="HQPB1" w:char="F060"/>
      </w:r>
      <w:r w:rsidRPr="0029474D">
        <w:rPr>
          <w:rFonts w:asciiTheme="majorBidi" w:hAnsiTheme="majorBidi" w:cstheme="majorBidi"/>
          <w:sz w:val="28"/>
          <w:szCs w:val="28"/>
        </w:rPr>
        <w:sym w:font="HQPB2" w:char="F0BA"/>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72"/>
      </w:r>
      <w:r w:rsidRPr="0029474D">
        <w:rPr>
          <w:rFonts w:asciiTheme="majorBidi" w:hAnsiTheme="majorBidi" w:cstheme="majorBidi"/>
          <w:sz w:val="28"/>
          <w:szCs w:val="28"/>
        </w:rPr>
        <w:sym w:font="HQPB4" w:char="F0F8"/>
      </w:r>
      <w:r w:rsidRPr="0029474D">
        <w:rPr>
          <w:rFonts w:asciiTheme="majorBidi" w:hAnsiTheme="majorBidi" w:cstheme="majorBidi"/>
          <w:sz w:val="28"/>
          <w:szCs w:val="28"/>
        </w:rPr>
        <w:sym w:font="HQPB1" w:char="F097"/>
      </w:r>
      <w:r w:rsidRPr="0029474D">
        <w:rPr>
          <w:rFonts w:asciiTheme="majorBidi" w:hAnsiTheme="majorBidi" w:cstheme="majorBidi"/>
          <w:sz w:val="28"/>
          <w:szCs w:val="28"/>
        </w:rPr>
        <w:sym w:font="HQPB5" w:char="F072"/>
      </w:r>
      <w:r w:rsidRPr="0029474D">
        <w:rPr>
          <w:rFonts w:asciiTheme="majorBidi" w:hAnsiTheme="majorBidi" w:cstheme="majorBidi"/>
          <w:sz w:val="28"/>
          <w:szCs w:val="28"/>
        </w:rPr>
        <w:sym w:font="HQPB1" w:char="F026"/>
      </w:r>
      <w:r w:rsidRPr="0029474D">
        <w:rPr>
          <w:rFonts w:asciiTheme="majorBidi" w:hAnsiTheme="majorBidi" w:cstheme="majorBidi"/>
          <w:rtl/>
        </w:rPr>
        <w:t xml:space="preserve"> </w:t>
      </w:r>
      <w:r w:rsidRPr="0029474D">
        <w:rPr>
          <w:rFonts w:asciiTheme="majorBidi" w:hAnsiTheme="majorBidi" w:cstheme="majorBidi"/>
          <w:sz w:val="28"/>
          <w:szCs w:val="28"/>
        </w:rPr>
        <w:sym w:font="HQPB5" w:char="F028"/>
      </w:r>
      <w:r w:rsidRPr="0029474D">
        <w:rPr>
          <w:rFonts w:asciiTheme="majorBidi" w:hAnsiTheme="majorBidi" w:cstheme="majorBidi"/>
          <w:sz w:val="28"/>
          <w:szCs w:val="28"/>
        </w:rPr>
        <w:sym w:font="HQPB1" w:char="F023"/>
      </w:r>
      <w:r w:rsidRPr="0029474D">
        <w:rPr>
          <w:rFonts w:asciiTheme="majorBidi" w:hAnsiTheme="majorBidi" w:cstheme="majorBidi"/>
          <w:sz w:val="28"/>
          <w:szCs w:val="28"/>
        </w:rPr>
        <w:sym w:font="HQPB4" w:char="F0FE"/>
      </w:r>
      <w:r w:rsidRPr="0029474D">
        <w:rPr>
          <w:rFonts w:asciiTheme="majorBidi" w:hAnsiTheme="majorBidi" w:cstheme="majorBidi"/>
          <w:sz w:val="28"/>
          <w:szCs w:val="28"/>
        </w:rPr>
        <w:sym w:font="HQPB2" w:char="F071"/>
      </w:r>
      <w:r w:rsidRPr="0029474D">
        <w:rPr>
          <w:rFonts w:asciiTheme="majorBidi" w:hAnsiTheme="majorBidi" w:cstheme="majorBidi"/>
          <w:sz w:val="28"/>
          <w:szCs w:val="28"/>
        </w:rPr>
        <w:sym w:font="HQPB4" w:char="F0E3"/>
      </w:r>
      <w:r w:rsidRPr="0029474D">
        <w:rPr>
          <w:rFonts w:asciiTheme="majorBidi" w:hAnsiTheme="majorBidi" w:cstheme="majorBidi"/>
          <w:sz w:val="28"/>
          <w:szCs w:val="28"/>
        </w:rPr>
        <w:sym w:font="HQPB2" w:char="F05A"/>
      </w:r>
      <w:r w:rsidRPr="0029474D">
        <w:rPr>
          <w:rFonts w:asciiTheme="majorBidi" w:hAnsiTheme="majorBidi" w:cstheme="majorBidi"/>
          <w:sz w:val="28"/>
          <w:szCs w:val="28"/>
        </w:rPr>
        <w:sym w:font="HQPB4" w:char="F0E4"/>
      </w:r>
      <w:r w:rsidRPr="0029474D">
        <w:rPr>
          <w:rFonts w:asciiTheme="majorBidi" w:hAnsiTheme="majorBidi" w:cstheme="majorBidi"/>
          <w:sz w:val="28"/>
          <w:szCs w:val="28"/>
        </w:rPr>
        <w:sym w:font="HQPB2" w:char="F033"/>
      </w:r>
      <w:r w:rsidRPr="0029474D">
        <w:rPr>
          <w:rFonts w:asciiTheme="majorBidi" w:hAnsiTheme="majorBidi" w:cstheme="majorBidi"/>
          <w:sz w:val="28"/>
          <w:szCs w:val="28"/>
        </w:rPr>
        <w:sym w:font="HQPB4" w:char="F0F3"/>
      </w:r>
      <w:r w:rsidRPr="0029474D">
        <w:rPr>
          <w:rFonts w:asciiTheme="majorBidi" w:hAnsiTheme="majorBidi" w:cstheme="majorBidi"/>
          <w:sz w:val="28"/>
          <w:szCs w:val="28"/>
        </w:rPr>
        <w:sym w:font="HQPB1" w:char="F0A1"/>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1" w:char="F046"/>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4" w:char="F06A"/>
      </w:r>
      <w:r w:rsidRPr="0029474D">
        <w:rPr>
          <w:rFonts w:asciiTheme="majorBidi" w:hAnsiTheme="majorBidi" w:cstheme="majorBidi"/>
          <w:sz w:val="28"/>
          <w:szCs w:val="28"/>
        </w:rPr>
        <w:sym w:font="HQPB2" w:char="F039"/>
      </w:r>
      <w:r w:rsidRPr="0029474D">
        <w:rPr>
          <w:rFonts w:asciiTheme="majorBidi" w:hAnsiTheme="majorBidi" w:cstheme="majorBidi"/>
          <w:rtl/>
        </w:rPr>
        <w:t xml:space="preserve"> </w:t>
      </w:r>
      <w:r w:rsidRPr="0029474D">
        <w:rPr>
          <w:rFonts w:asciiTheme="majorBidi" w:hAnsiTheme="majorBidi" w:cstheme="majorBidi"/>
          <w:sz w:val="28"/>
          <w:szCs w:val="28"/>
        </w:rPr>
        <w:sym w:font="HQPB1" w:char="F024"/>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2" w:char="F067"/>
      </w:r>
      <w:r w:rsidRPr="0029474D">
        <w:rPr>
          <w:rFonts w:asciiTheme="majorBidi" w:hAnsiTheme="majorBidi" w:cstheme="majorBidi"/>
          <w:sz w:val="28"/>
          <w:szCs w:val="28"/>
        </w:rPr>
        <w:sym w:font="HQPB4" w:char="F0F8"/>
      </w:r>
      <w:r w:rsidRPr="0029474D">
        <w:rPr>
          <w:rFonts w:asciiTheme="majorBidi" w:hAnsiTheme="majorBidi" w:cstheme="majorBidi"/>
          <w:sz w:val="28"/>
          <w:szCs w:val="28"/>
        </w:rPr>
        <w:sym w:font="HQPB2" w:char="F08A"/>
      </w:r>
      <w:r w:rsidRPr="0029474D">
        <w:rPr>
          <w:rFonts w:asciiTheme="majorBidi" w:hAnsiTheme="majorBidi" w:cstheme="majorBidi"/>
          <w:sz w:val="28"/>
          <w:szCs w:val="28"/>
        </w:rPr>
        <w:sym w:font="HQPB5" w:char="F073"/>
      </w:r>
      <w:r w:rsidRPr="0029474D">
        <w:rPr>
          <w:rFonts w:asciiTheme="majorBidi" w:hAnsiTheme="majorBidi" w:cstheme="majorBidi"/>
          <w:sz w:val="28"/>
          <w:szCs w:val="28"/>
        </w:rPr>
        <w:sym w:font="HQPB2" w:char="F039"/>
      </w:r>
      <w:r w:rsidRPr="0029474D">
        <w:rPr>
          <w:rFonts w:asciiTheme="majorBidi" w:hAnsiTheme="majorBidi" w:cstheme="majorBidi"/>
          <w:sz w:val="28"/>
          <w:szCs w:val="28"/>
        </w:rPr>
        <w:sym w:font="HQPB4" w:char="F0CE"/>
      </w:r>
      <w:r w:rsidRPr="0029474D">
        <w:rPr>
          <w:rFonts w:asciiTheme="majorBidi" w:hAnsiTheme="majorBidi" w:cstheme="majorBidi"/>
          <w:sz w:val="28"/>
          <w:szCs w:val="28"/>
        </w:rPr>
        <w:sym w:font="HQPB1" w:char="F029"/>
      </w:r>
      <w:r w:rsidRPr="0029474D">
        <w:rPr>
          <w:rFonts w:asciiTheme="majorBidi" w:hAnsiTheme="majorBidi" w:cstheme="majorBidi"/>
          <w:rtl/>
        </w:rPr>
        <w:t xml:space="preserve"> </w:t>
      </w:r>
      <w:r w:rsidRPr="0029474D">
        <w:rPr>
          <w:rFonts w:asciiTheme="majorBidi" w:hAnsiTheme="majorBidi" w:cstheme="majorBidi"/>
          <w:sz w:val="28"/>
          <w:szCs w:val="28"/>
        </w:rPr>
        <w:sym w:font="HQPB5" w:char="F09F"/>
      </w:r>
      <w:r w:rsidRPr="0029474D">
        <w:rPr>
          <w:rFonts w:asciiTheme="majorBidi" w:hAnsiTheme="majorBidi" w:cstheme="majorBidi"/>
          <w:sz w:val="28"/>
          <w:szCs w:val="28"/>
        </w:rPr>
        <w:sym w:font="HQPB2" w:char="F040"/>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1" w:char="F0E8"/>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1" w:char="F05F"/>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72"/>
      </w:r>
      <w:r w:rsidRPr="0029474D">
        <w:rPr>
          <w:rFonts w:asciiTheme="majorBidi" w:hAnsiTheme="majorBidi" w:cstheme="majorBidi"/>
          <w:rtl/>
        </w:rPr>
        <w:t xml:space="preserve"> </w:t>
      </w:r>
      <w:r w:rsidRPr="0029474D">
        <w:rPr>
          <w:rFonts w:asciiTheme="majorBidi" w:hAnsiTheme="majorBidi" w:cstheme="majorBidi"/>
          <w:sz w:val="28"/>
          <w:szCs w:val="28"/>
        </w:rPr>
        <w:sym w:font="HQPB2" w:char="F04E"/>
      </w:r>
      <w:r w:rsidRPr="0029474D">
        <w:rPr>
          <w:rFonts w:asciiTheme="majorBidi" w:hAnsiTheme="majorBidi" w:cstheme="majorBidi"/>
          <w:sz w:val="28"/>
          <w:szCs w:val="28"/>
        </w:rPr>
        <w:sym w:font="HQPB4" w:char="F0E0"/>
      </w:r>
      <w:r w:rsidRPr="0029474D">
        <w:rPr>
          <w:rFonts w:asciiTheme="majorBidi" w:hAnsiTheme="majorBidi" w:cstheme="majorBidi"/>
          <w:sz w:val="28"/>
          <w:szCs w:val="28"/>
        </w:rPr>
        <w:sym w:font="HQPB2" w:char="F036"/>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5A"/>
      </w:r>
      <w:r w:rsidRPr="0029474D">
        <w:rPr>
          <w:rFonts w:asciiTheme="majorBidi" w:hAnsiTheme="majorBidi" w:cstheme="majorBidi"/>
          <w:sz w:val="28"/>
          <w:szCs w:val="28"/>
        </w:rPr>
        <w:sym w:font="HQPB4" w:char="F0F7"/>
      </w:r>
      <w:r w:rsidRPr="0029474D">
        <w:rPr>
          <w:rFonts w:asciiTheme="majorBidi" w:hAnsiTheme="majorBidi" w:cstheme="majorBidi"/>
          <w:sz w:val="28"/>
          <w:szCs w:val="28"/>
        </w:rPr>
        <w:sym w:font="HQPB2" w:char="F08F"/>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1" w:char="F02F"/>
      </w:r>
      <w:r w:rsidRPr="0029474D">
        <w:rPr>
          <w:rFonts w:asciiTheme="majorBidi" w:hAnsiTheme="majorBidi" w:cstheme="majorBidi"/>
          <w:rtl/>
        </w:rPr>
        <w:t xml:space="preserve"> </w:t>
      </w:r>
      <w:r w:rsidRPr="0029474D">
        <w:rPr>
          <w:rFonts w:asciiTheme="majorBidi" w:hAnsiTheme="majorBidi" w:cstheme="majorBidi"/>
          <w:sz w:val="28"/>
          <w:szCs w:val="28"/>
        </w:rPr>
        <w:sym w:font="HQPB4" w:char="F05A"/>
      </w:r>
      <w:r w:rsidRPr="0029474D">
        <w:rPr>
          <w:rFonts w:asciiTheme="majorBidi" w:hAnsiTheme="majorBidi" w:cstheme="majorBidi"/>
          <w:sz w:val="28"/>
          <w:szCs w:val="28"/>
        </w:rPr>
        <w:sym w:font="HQPB2" w:char="F06F"/>
      </w:r>
      <w:r w:rsidRPr="0029474D">
        <w:rPr>
          <w:rFonts w:asciiTheme="majorBidi" w:hAnsiTheme="majorBidi" w:cstheme="majorBidi"/>
          <w:sz w:val="28"/>
          <w:szCs w:val="28"/>
        </w:rPr>
        <w:sym w:font="HQPB4" w:char="F0A8"/>
      </w:r>
      <w:r w:rsidRPr="0029474D">
        <w:rPr>
          <w:rFonts w:asciiTheme="majorBidi" w:hAnsiTheme="majorBidi" w:cstheme="majorBidi"/>
          <w:sz w:val="28"/>
          <w:szCs w:val="28"/>
        </w:rPr>
        <w:sym w:font="HQPB1" w:char="F08A"/>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71"/>
      </w:r>
      <w:r w:rsidRPr="0029474D">
        <w:rPr>
          <w:rFonts w:asciiTheme="majorBidi" w:hAnsiTheme="majorBidi" w:cstheme="majorBidi"/>
          <w:sz w:val="28"/>
          <w:szCs w:val="28"/>
        </w:rPr>
        <w:sym w:font="HQPB4" w:char="F0A8"/>
      </w:r>
      <w:r w:rsidRPr="0029474D">
        <w:rPr>
          <w:rFonts w:asciiTheme="majorBidi" w:hAnsiTheme="majorBidi" w:cstheme="majorBidi"/>
          <w:sz w:val="28"/>
          <w:szCs w:val="28"/>
        </w:rPr>
        <w:sym w:font="HQPB2" w:char="F042"/>
      </w:r>
      <w:r w:rsidRPr="0029474D">
        <w:rPr>
          <w:rFonts w:asciiTheme="majorBidi" w:hAnsiTheme="majorBidi" w:cstheme="majorBidi"/>
          <w:rtl/>
        </w:rPr>
        <w:t xml:space="preserve"> </w:t>
      </w:r>
      <w:r w:rsidRPr="0029474D">
        <w:rPr>
          <w:rFonts w:asciiTheme="majorBidi" w:hAnsiTheme="majorBidi" w:cstheme="majorBidi"/>
          <w:sz w:val="28"/>
          <w:szCs w:val="28"/>
        </w:rPr>
        <w:sym w:font="HQPB4" w:char="F0BA"/>
      </w:r>
      <w:r w:rsidRPr="0029474D">
        <w:rPr>
          <w:rFonts w:asciiTheme="majorBidi" w:hAnsiTheme="majorBidi" w:cstheme="majorBidi"/>
          <w:sz w:val="28"/>
          <w:szCs w:val="28"/>
        </w:rPr>
        <w:sym w:font="HQPB2" w:char="F070"/>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2" w:char="F04A"/>
      </w:r>
      <w:r w:rsidRPr="0029474D">
        <w:rPr>
          <w:rFonts w:asciiTheme="majorBidi" w:hAnsiTheme="majorBidi" w:cstheme="majorBidi"/>
          <w:sz w:val="28"/>
          <w:szCs w:val="28"/>
        </w:rPr>
        <w:sym w:font="HQPB4" w:char="F0F4"/>
      </w:r>
      <w:r w:rsidRPr="0029474D">
        <w:rPr>
          <w:rFonts w:asciiTheme="majorBidi" w:hAnsiTheme="majorBidi" w:cstheme="majorBidi"/>
          <w:sz w:val="28"/>
          <w:szCs w:val="28"/>
        </w:rPr>
        <w:sym w:font="HQPB1" w:char="F06D"/>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1" w:char="F091"/>
      </w:r>
      <w:r w:rsidRPr="0029474D">
        <w:rPr>
          <w:rFonts w:asciiTheme="majorBidi" w:hAnsiTheme="majorBidi" w:cstheme="majorBidi"/>
          <w:sz w:val="28"/>
          <w:szCs w:val="28"/>
        </w:rPr>
        <w:sym w:font="HQPB5" w:char="F075"/>
      </w:r>
      <w:r w:rsidRPr="0029474D">
        <w:rPr>
          <w:rFonts w:asciiTheme="majorBidi" w:hAnsiTheme="majorBidi" w:cstheme="majorBidi"/>
          <w:sz w:val="28"/>
          <w:szCs w:val="28"/>
        </w:rPr>
        <w:sym w:font="HQPB2" w:char="F072"/>
      </w:r>
      <w:r w:rsidRPr="0029474D">
        <w:rPr>
          <w:rFonts w:asciiTheme="majorBidi" w:hAnsiTheme="majorBidi" w:cstheme="majorBidi"/>
          <w:rtl/>
        </w:rPr>
        <w:t xml:space="preserve"> </w:t>
      </w:r>
      <w:r w:rsidRPr="0029474D">
        <w:rPr>
          <w:rFonts w:asciiTheme="majorBidi" w:hAnsiTheme="majorBidi" w:cstheme="majorBidi"/>
          <w:sz w:val="28"/>
          <w:szCs w:val="28"/>
        </w:rPr>
        <w:sym w:font="HQPB4" w:char="F034"/>
      </w:r>
      <w:r w:rsidRPr="0029474D">
        <w:rPr>
          <w:rFonts w:asciiTheme="majorBidi" w:hAnsiTheme="majorBidi" w:cstheme="majorBidi"/>
          <w:rtl/>
        </w:rPr>
        <w:t xml:space="preserve"> </w:t>
      </w:r>
      <w:r w:rsidRPr="0029474D">
        <w:rPr>
          <w:rFonts w:asciiTheme="majorBidi" w:hAnsiTheme="majorBidi" w:cstheme="majorBidi"/>
          <w:sz w:val="28"/>
          <w:szCs w:val="28"/>
        </w:rPr>
        <w:sym w:font="HQPB4" w:char="F0A8"/>
      </w:r>
      <w:r w:rsidRPr="0029474D">
        <w:rPr>
          <w:rFonts w:asciiTheme="majorBidi" w:hAnsiTheme="majorBidi" w:cstheme="majorBidi"/>
          <w:sz w:val="28"/>
          <w:szCs w:val="28"/>
        </w:rPr>
        <w:sym w:font="HQPB2" w:char="F062"/>
      </w:r>
      <w:r w:rsidRPr="0029474D">
        <w:rPr>
          <w:rFonts w:asciiTheme="majorBidi" w:hAnsiTheme="majorBidi" w:cstheme="majorBidi"/>
          <w:sz w:val="28"/>
          <w:szCs w:val="28"/>
        </w:rPr>
        <w:sym w:font="HQPB4" w:char="F0CE"/>
      </w:r>
      <w:r w:rsidRPr="0029474D">
        <w:rPr>
          <w:rFonts w:asciiTheme="majorBidi" w:hAnsiTheme="majorBidi" w:cstheme="majorBidi"/>
          <w:sz w:val="28"/>
          <w:szCs w:val="28"/>
        </w:rPr>
        <w:sym w:font="HQPB1" w:char="F029"/>
      </w:r>
      <w:r w:rsidRPr="0029474D">
        <w:rPr>
          <w:rFonts w:asciiTheme="majorBidi" w:hAnsiTheme="majorBidi" w:cstheme="majorBidi"/>
          <w:rtl/>
        </w:rPr>
        <w:t xml:space="preserve"> </w:t>
      </w:r>
      <w:r w:rsidRPr="0029474D">
        <w:rPr>
          <w:rFonts w:asciiTheme="majorBidi" w:hAnsiTheme="majorBidi" w:cstheme="majorBidi"/>
          <w:sz w:val="28"/>
          <w:szCs w:val="28"/>
        </w:rPr>
        <w:sym w:font="HQPB2" w:char="F092"/>
      </w:r>
      <w:r w:rsidRPr="0029474D">
        <w:rPr>
          <w:rFonts w:asciiTheme="majorBidi" w:hAnsiTheme="majorBidi" w:cstheme="majorBidi"/>
          <w:sz w:val="28"/>
          <w:szCs w:val="28"/>
        </w:rPr>
        <w:sym w:font="HQPB4" w:char="F0CE"/>
      </w:r>
      <w:r w:rsidRPr="0029474D">
        <w:rPr>
          <w:rFonts w:asciiTheme="majorBidi" w:hAnsiTheme="majorBidi" w:cstheme="majorBidi"/>
          <w:sz w:val="28"/>
          <w:szCs w:val="28"/>
        </w:rPr>
        <w:sym w:font="HQPB1" w:char="F0FB"/>
      </w:r>
      <w:r w:rsidRPr="0029474D">
        <w:rPr>
          <w:rFonts w:asciiTheme="majorBidi" w:hAnsiTheme="majorBidi" w:cstheme="majorBidi"/>
          <w:rtl/>
        </w:rPr>
        <w:t xml:space="preserve"> </w:t>
      </w:r>
      <w:r w:rsidRPr="0029474D">
        <w:rPr>
          <w:rFonts w:asciiTheme="majorBidi" w:hAnsiTheme="majorBidi" w:cstheme="majorBidi"/>
          <w:sz w:val="28"/>
          <w:szCs w:val="28"/>
        </w:rPr>
        <w:sym w:font="HQPB5" w:char="F079"/>
      </w:r>
      <w:r w:rsidRPr="0029474D">
        <w:rPr>
          <w:rFonts w:asciiTheme="majorBidi" w:hAnsiTheme="majorBidi" w:cstheme="majorBidi"/>
          <w:sz w:val="28"/>
          <w:szCs w:val="28"/>
        </w:rPr>
        <w:sym w:font="HQPB2" w:char="F037"/>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2" w:char="F039"/>
      </w:r>
      <w:r w:rsidRPr="0029474D">
        <w:rPr>
          <w:rFonts w:asciiTheme="majorBidi" w:hAnsiTheme="majorBidi" w:cstheme="majorBidi"/>
          <w:sz w:val="28"/>
          <w:szCs w:val="28"/>
        </w:rPr>
        <w:sym w:font="HQPB2" w:char="F0BA"/>
      </w:r>
      <w:r w:rsidRPr="0029474D">
        <w:rPr>
          <w:rFonts w:asciiTheme="majorBidi" w:hAnsiTheme="majorBidi" w:cstheme="majorBidi"/>
          <w:sz w:val="28"/>
          <w:szCs w:val="28"/>
        </w:rPr>
        <w:sym w:font="HQPB5" w:char="F073"/>
      </w:r>
      <w:r w:rsidRPr="0029474D">
        <w:rPr>
          <w:rFonts w:asciiTheme="majorBidi" w:hAnsiTheme="majorBidi" w:cstheme="majorBidi"/>
          <w:sz w:val="28"/>
          <w:szCs w:val="28"/>
        </w:rPr>
        <w:sym w:font="HQPB1" w:char="F08C"/>
      </w:r>
      <w:r w:rsidRPr="0029474D">
        <w:rPr>
          <w:rFonts w:asciiTheme="majorBidi" w:hAnsiTheme="majorBidi" w:cstheme="majorBidi"/>
          <w:rtl/>
        </w:rPr>
        <w:t xml:space="preserve"> </w:t>
      </w:r>
      <w:r w:rsidRPr="0029474D">
        <w:rPr>
          <w:rFonts w:asciiTheme="majorBidi" w:hAnsiTheme="majorBidi" w:cstheme="majorBidi"/>
          <w:sz w:val="28"/>
          <w:szCs w:val="28"/>
        </w:rPr>
        <w:sym w:font="HQPB4" w:char="F03B"/>
      </w:r>
      <w:r w:rsidRPr="0029474D">
        <w:rPr>
          <w:rFonts w:asciiTheme="majorBidi" w:hAnsiTheme="majorBidi" w:cstheme="majorBidi"/>
          <w:sz w:val="28"/>
          <w:szCs w:val="28"/>
        </w:rPr>
        <w:sym w:font="HQPB1" w:char="F04D"/>
      </w:r>
      <w:r w:rsidRPr="0029474D">
        <w:rPr>
          <w:rFonts w:asciiTheme="majorBidi" w:hAnsiTheme="majorBidi" w:cstheme="majorBidi"/>
          <w:sz w:val="28"/>
          <w:szCs w:val="28"/>
        </w:rPr>
        <w:sym w:font="HQPB2" w:char="F0BB"/>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2" w:char="F083"/>
      </w:r>
      <w:r w:rsidRPr="0029474D">
        <w:rPr>
          <w:rFonts w:asciiTheme="majorBidi" w:hAnsiTheme="majorBidi" w:cstheme="majorBidi"/>
          <w:sz w:val="28"/>
          <w:szCs w:val="28"/>
        </w:rPr>
        <w:sym w:font="HQPB5" w:char="F055"/>
      </w:r>
      <w:r w:rsidRPr="0029474D">
        <w:rPr>
          <w:rFonts w:asciiTheme="majorBidi" w:hAnsiTheme="majorBidi" w:cstheme="majorBidi"/>
          <w:sz w:val="28"/>
          <w:szCs w:val="28"/>
        </w:rPr>
        <w:sym w:font="HQPB2" w:char="F079"/>
      </w:r>
      <w:r w:rsidRPr="0029474D">
        <w:rPr>
          <w:rFonts w:asciiTheme="majorBidi" w:hAnsiTheme="majorBidi" w:cstheme="majorBidi"/>
          <w:rtl/>
        </w:rPr>
        <w:t xml:space="preserve"> </w:t>
      </w:r>
      <w:r w:rsidRPr="0029474D">
        <w:rPr>
          <w:rFonts w:asciiTheme="majorBidi" w:hAnsiTheme="majorBidi" w:cstheme="majorBidi"/>
          <w:sz w:val="28"/>
          <w:szCs w:val="28"/>
        </w:rPr>
        <w:sym w:font="HQPB4" w:char="F035"/>
      </w:r>
      <w:r w:rsidRPr="0029474D">
        <w:rPr>
          <w:rFonts w:asciiTheme="majorBidi" w:hAnsiTheme="majorBidi" w:cstheme="majorBidi"/>
          <w:sz w:val="28"/>
          <w:szCs w:val="28"/>
        </w:rPr>
        <w:sym w:font="HQPB2" w:char="F051"/>
      </w:r>
      <w:r w:rsidRPr="0029474D">
        <w:rPr>
          <w:rFonts w:asciiTheme="majorBidi" w:hAnsiTheme="majorBidi" w:cstheme="majorBidi"/>
          <w:sz w:val="28"/>
          <w:szCs w:val="28"/>
        </w:rPr>
        <w:sym w:font="HQPB4" w:char="F0F6"/>
      </w:r>
      <w:r w:rsidRPr="0029474D">
        <w:rPr>
          <w:rFonts w:asciiTheme="majorBidi" w:hAnsiTheme="majorBidi" w:cstheme="majorBidi"/>
          <w:sz w:val="28"/>
          <w:szCs w:val="28"/>
        </w:rPr>
        <w:sym w:font="HQPB2" w:char="F071"/>
      </w:r>
      <w:r w:rsidRPr="0029474D">
        <w:rPr>
          <w:rFonts w:asciiTheme="majorBidi" w:hAnsiTheme="majorBidi" w:cstheme="majorBidi"/>
          <w:sz w:val="28"/>
          <w:szCs w:val="28"/>
        </w:rPr>
        <w:sym w:font="HQPB5" w:char="F073"/>
      </w:r>
      <w:r w:rsidRPr="0029474D">
        <w:rPr>
          <w:rFonts w:asciiTheme="majorBidi" w:hAnsiTheme="majorBidi" w:cstheme="majorBidi"/>
          <w:sz w:val="28"/>
          <w:szCs w:val="28"/>
        </w:rPr>
        <w:sym w:font="HQPB2" w:char="F029"/>
      </w:r>
      <w:r w:rsidRPr="0029474D">
        <w:rPr>
          <w:rFonts w:asciiTheme="majorBidi" w:hAnsiTheme="majorBidi" w:cstheme="majorBidi"/>
          <w:sz w:val="28"/>
          <w:szCs w:val="28"/>
        </w:rPr>
        <w:sym w:font="HQPB4" w:char="F0CF"/>
      </w:r>
      <w:r w:rsidRPr="0029474D">
        <w:rPr>
          <w:rFonts w:asciiTheme="majorBidi" w:hAnsiTheme="majorBidi" w:cstheme="majorBidi"/>
          <w:sz w:val="28"/>
          <w:szCs w:val="28"/>
        </w:rPr>
        <w:sym w:font="HQPB4" w:char="F06A"/>
      </w:r>
      <w:r w:rsidRPr="0029474D">
        <w:rPr>
          <w:rFonts w:asciiTheme="majorBidi" w:hAnsiTheme="majorBidi" w:cstheme="majorBidi"/>
          <w:sz w:val="28"/>
          <w:szCs w:val="28"/>
        </w:rPr>
        <w:sym w:font="HQPB2" w:char="F039"/>
      </w:r>
      <w:r w:rsidRPr="0029474D">
        <w:rPr>
          <w:rFonts w:asciiTheme="majorBidi" w:hAnsiTheme="majorBidi" w:cstheme="majorBidi"/>
          <w:rtl/>
        </w:rPr>
        <w:t xml:space="preserve"> </w:t>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2" w:char="F062"/>
      </w:r>
      <w:r w:rsidRPr="0029474D">
        <w:rPr>
          <w:rFonts w:asciiTheme="majorBidi" w:hAnsiTheme="majorBidi" w:cstheme="majorBidi"/>
          <w:sz w:val="28"/>
          <w:szCs w:val="28"/>
        </w:rPr>
        <w:sym w:font="HQPB2" w:char="F072"/>
      </w:r>
      <w:r w:rsidRPr="0029474D">
        <w:rPr>
          <w:rFonts w:asciiTheme="majorBidi" w:hAnsiTheme="majorBidi" w:cstheme="majorBidi"/>
          <w:sz w:val="28"/>
          <w:szCs w:val="28"/>
        </w:rPr>
        <w:sym w:font="HQPB4" w:char="F0E3"/>
      </w:r>
      <w:r w:rsidRPr="0029474D">
        <w:rPr>
          <w:rFonts w:asciiTheme="majorBidi" w:hAnsiTheme="majorBidi" w:cstheme="majorBidi"/>
          <w:sz w:val="28"/>
          <w:szCs w:val="28"/>
        </w:rPr>
        <w:sym w:font="HQPB1" w:char="F08D"/>
      </w:r>
      <w:r w:rsidRPr="0029474D">
        <w:rPr>
          <w:rFonts w:asciiTheme="majorBidi" w:hAnsiTheme="majorBidi" w:cstheme="majorBidi"/>
          <w:sz w:val="28"/>
          <w:szCs w:val="28"/>
        </w:rPr>
        <w:sym w:font="HQPB4" w:char="F0A9"/>
      </w:r>
      <w:r w:rsidRPr="0029474D">
        <w:rPr>
          <w:rFonts w:asciiTheme="majorBidi" w:hAnsiTheme="majorBidi" w:cstheme="majorBidi"/>
          <w:sz w:val="28"/>
          <w:szCs w:val="28"/>
        </w:rPr>
        <w:sym w:font="HQPB2" w:char="F033"/>
      </w:r>
      <w:r w:rsidRPr="0029474D">
        <w:rPr>
          <w:rFonts w:asciiTheme="majorBidi" w:hAnsiTheme="majorBidi" w:cstheme="majorBidi"/>
          <w:sz w:val="28"/>
          <w:szCs w:val="28"/>
        </w:rPr>
        <w:sym w:font="HQPB5" w:char="F078"/>
      </w:r>
      <w:r w:rsidRPr="0029474D">
        <w:rPr>
          <w:rFonts w:asciiTheme="majorBidi" w:hAnsiTheme="majorBidi" w:cstheme="majorBidi"/>
          <w:sz w:val="28"/>
          <w:szCs w:val="28"/>
        </w:rPr>
        <w:sym w:font="HQPB1" w:char="F0FF"/>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1" w:char="F047"/>
      </w:r>
      <w:r w:rsidRPr="0029474D">
        <w:rPr>
          <w:rFonts w:asciiTheme="majorBidi" w:hAnsiTheme="majorBidi" w:cstheme="majorBidi"/>
          <w:sz w:val="28"/>
          <w:szCs w:val="28"/>
        </w:rPr>
        <w:sym w:font="HQPB5" w:char="F074"/>
      </w:r>
      <w:r w:rsidRPr="0029474D">
        <w:rPr>
          <w:rFonts w:asciiTheme="majorBidi" w:hAnsiTheme="majorBidi" w:cstheme="majorBidi"/>
          <w:sz w:val="28"/>
          <w:szCs w:val="28"/>
        </w:rPr>
        <w:sym w:font="HQPB2" w:char="F083"/>
      </w:r>
      <w:r w:rsidRPr="0029474D">
        <w:rPr>
          <w:rFonts w:asciiTheme="majorBidi" w:hAnsiTheme="majorBidi" w:cstheme="majorBidi"/>
          <w:rtl/>
        </w:rPr>
        <w:t xml:space="preserve"> </w:t>
      </w:r>
      <w:r w:rsidRPr="0029474D">
        <w:rPr>
          <w:rFonts w:asciiTheme="majorBidi" w:hAnsiTheme="majorBidi" w:cstheme="majorBidi"/>
          <w:sz w:val="28"/>
          <w:szCs w:val="28"/>
        </w:rPr>
        <w:sym w:font="HQPB2" w:char="F0C7"/>
      </w:r>
      <w:r w:rsidRPr="0029474D">
        <w:rPr>
          <w:rFonts w:asciiTheme="majorBidi" w:hAnsiTheme="majorBidi" w:cstheme="majorBidi"/>
          <w:sz w:val="28"/>
          <w:szCs w:val="28"/>
        </w:rPr>
        <w:sym w:font="HQPB2" w:char="F0CB"/>
      </w:r>
      <w:r w:rsidRPr="0029474D">
        <w:rPr>
          <w:rFonts w:asciiTheme="majorBidi" w:hAnsiTheme="majorBidi" w:cstheme="majorBidi"/>
          <w:sz w:val="28"/>
          <w:szCs w:val="28"/>
        </w:rPr>
        <w:sym w:font="HQPB2" w:char="F0CA"/>
      </w:r>
      <w:r w:rsidRPr="0029474D">
        <w:rPr>
          <w:rFonts w:asciiTheme="majorBidi" w:hAnsiTheme="majorBidi" w:cstheme="majorBidi"/>
          <w:sz w:val="28"/>
          <w:szCs w:val="28"/>
        </w:rPr>
        <w:sym w:font="HQPB2" w:char="F0C8"/>
      </w:r>
      <w:r w:rsidRPr="0029474D">
        <w:rPr>
          <w:rFonts w:asciiTheme="majorBidi" w:hAnsiTheme="majorBidi" w:cstheme="majorBidi"/>
          <w:rtl/>
        </w:rPr>
        <w:t xml:space="preserve">   </w:t>
      </w:r>
    </w:p>
    <w:p w:rsidR="00343B61" w:rsidRDefault="00343B61" w:rsidP="00343B61">
      <w:pPr>
        <w:autoSpaceDE w:val="0"/>
        <w:autoSpaceDN w:val="0"/>
        <w:adjustRightInd w:val="0"/>
        <w:spacing w:after="0" w:line="240" w:lineRule="auto"/>
        <w:ind w:left="900"/>
        <w:jc w:val="both"/>
        <w:rPr>
          <w:rFonts w:asciiTheme="majorBidi" w:hAnsiTheme="majorBidi" w:cstheme="majorBidi"/>
          <w:sz w:val="24"/>
          <w:szCs w:val="24"/>
          <w:rtl/>
        </w:rPr>
      </w:pPr>
      <w:r>
        <w:rPr>
          <w:rFonts w:asciiTheme="majorBidi" w:hAnsiTheme="majorBidi" w:cstheme="majorBidi"/>
          <w:sz w:val="24"/>
          <w:szCs w:val="24"/>
          <w:lang w:val="sv-SE"/>
        </w:rPr>
        <w:t>Artinya:</w:t>
      </w:r>
      <w:r w:rsidRPr="0029474D">
        <w:rPr>
          <w:rFonts w:asciiTheme="majorBidi" w:hAnsiTheme="majorBidi" w:cstheme="majorBidi"/>
          <w:i/>
          <w:iCs/>
          <w:sz w:val="24"/>
          <w:szCs w:val="24"/>
          <w:lang w:val="sv-SE"/>
        </w:rPr>
        <w:t xml:space="preserve">” dan di antara tanda-tanda kekuasaan-Nya ialah Dia menciptakan untukmu isteri-isteri dari jenismu sendiri, supaya kamu cenderung dan merasa tenteram kepadanya, dan dijadikan-Nya diantaramu rasa kasih dan sayang. </w:t>
      </w:r>
      <w:r w:rsidRPr="0029474D">
        <w:rPr>
          <w:rFonts w:asciiTheme="majorBidi" w:hAnsiTheme="majorBidi" w:cstheme="majorBidi"/>
          <w:i/>
          <w:iCs/>
          <w:sz w:val="24"/>
          <w:szCs w:val="24"/>
        </w:rPr>
        <w:t>Sesungguhnya pada yang demikian itu benar-benar terdapat tanda-tanda bagi kaum yang berfikir.”</w:t>
      </w:r>
      <w:r w:rsidRPr="0029474D">
        <w:rPr>
          <w:rFonts w:asciiTheme="majorBidi" w:hAnsiTheme="majorBidi" w:cstheme="majorBidi"/>
          <w:sz w:val="24"/>
          <w:szCs w:val="24"/>
        </w:rPr>
        <w:t xml:space="preserve"> </w:t>
      </w:r>
      <w:r w:rsidRPr="0029474D">
        <w:rPr>
          <w:rFonts w:asciiTheme="majorBidi" w:hAnsiTheme="majorBidi" w:cstheme="majorBidi"/>
          <w:sz w:val="24"/>
          <w:szCs w:val="24"/>
          <w:lang w:val="sv-SE"/>
        </w:rPr>
        <w:t>(QS. Al-Rum [30 ]: 21)</w:t>
      </w:r>
      <w:r w:rsidRPr="0029474D">
        <w:rPr>
          <w:rStyle w:val="FootnoteReference"/>
          <w:rFonts w:asciiTheme="majorBidi" w:hAnsiTheme="majorBidi" w:cstheme="majorBidi"/>
          <w:sz w:val="24"/>
          <w:szCs w:val="24"/>
          <w:lang w:val="sv-SE"/>
        </w:rPr>
        <w:footnoteReference w:id="675"/>
      </w:r>
    </w:p>
    <w:p w:rsidR="00343B61" w:rsidRPr="0023248D" w:rsidRDefault="00343B61" w:rsidP="00343B61">
      <w:pPr>
        <w:autoSpaceDE w:val="0"/>
        <w:autoSpaceDN w:val="0"/>
        <w:adjustRightInd w:val="0"/>
        <w:spacing w:after="0" w:line="240" w:lineRule="auto"/>
        <w:ind w:left="900"/>
        <w:jc w:val="both"/>
        <w:rPr>
          <w:rFonts w:asciiTheme="majorBidi" w:hAnsiTheme="majorBidi" w:cstheme="majorBidi"/>
          <w:sz w:val="24"/>
          <w:szCs w:val="24"/>
        </w:rPr>
      </w:pPr>
    </w:p>
    <w:p w:rsidR="00343B61" w:rsidRPr="007C32C3" w:rsidRDefault="00343B61" w:rsidP="002C0A33">
      <w:pPr>
        <w:pStyle w:val="ListParagraph"/>
        <w:numPr>
          <w:ilvl w:val="0"/>
          <w:numId w:val="46"/>
        </w:numPr>
        <w:autoSpaceDE w:val="0"/>
        <w:autoSpaceDN w:val="0"/>
        <w:adjustRightInd w:val="0"/>
        <w:spacing w:after="0" w:line="360" w:lineRule="auto"/>
        <w:ind w:left="900" w:hanging="360"/>
        <w:rPr>
          <w:rFonts w:asciiTheme="majorBidi" w:hAnsiTheme="majorBidi" w:cstheme="majorBidi"/>
          <w:sz w:val="24"/>
          <w:szCs w:val="24"/>
          <w:lang w:val="sv-SE"/>
        </w:rPr>
      </w:pPr>
      <w:r w:rsidRPr="0029474D">
        <w:rPr>
          <w:rFonts w:asciiTheme="majorBidi" w:hAnsiTheme="majorBidi" w:cstheme="majorBidi"/>
          <w:sz w:val="24"/>
          <w:szCs w:val="24"/>
          <w:lang w:val="sv-SE"/>
        </w:rPr>
        <w:t>Firman Allah SWT (QS. Al-Nisa [4 ]: 59 )</w:t>
      </w:r>
    </w:p>
    <w:p w:rsidR="00343B61" w:rsidRPr="0023248D" w:rsidRDefault="00343B61" w:rsidP="00343B61">
      <w:pPr>
        <w:bidi/>
        <w:spacing w:line="240" w:lineRule="auto"/>
        <w:rPr>
          <w:rFonts w:ascii="Adobe نسخ Medium" w:hAnsi="Adobe نسخ Medium" w:cs="Adobe نسخ Medium"/>
          <w:sz w:val="28"/>
          <w:szCs w:val="28"/>
          <w:rtl/>
        </w:rPr>
      </w:pPr>
      <w:r w:rsidRPr="0023248D">
        <w:rPr>
          <w:rFonts w:asciiTheme="majorBidi" w:hAnsiTheme="majorBidi" w:cstheme="majorBidi"/>
          <w:sz w:val="28"/>
          <w:szCs w:val="28"/>
        </w:rPr>
        <w:sym w:font="HQPB1" w:char="F024"/>
      </w:r>
      <w:r w:rsidRPr="0023248D">
        <w:rPr>
          <w:rFonts w:asciiTheme="majorBidi" w:hAnsiTheme="majorBidi" w:cstheme="majorBidi"/>
          <w:sz w:val="28"/>
          <w:szCs w:val="28"/>
        </w:rPr>
        <w:sym w:font="HQPB5" w:char="F070"/>
      </w:r>
      <w:r w:rsidRPr="0023248D">
        <w:rPr>
          <w:rFonts w:asciiTheme="majorBidi" w:hAnsiTheme="majorBidi" w:cstheme="majorBidi"/>
          <w:sz w:val="28"/>
          <w:szCs w:val="28"/>
        </w:rPr>
        <w:sym w:font="HQPB2" w:char="F06B"/>
      </w:r>
      <w:r w:rsidRPr="0023248D">
        <w:rPr>
          <w:rFonts w:asciiTheme="majorBidi" w:hAnsiTheme="majorBidi" w:cstheme="majorBidi"/>
          <w:sz w:val="28"/>
          <w:szCs w:val="28"/>
        </w:rPr>
        <w:sym w:font="HQPB4" w:char="F09A"/>
      </w:r>
      <w:r w:rsidRPr="0023248D">
        <w:rPr>
          <w:rFonts w:asciiTheme="majorBidi" w:hAnsiTheme="majorBidi" w:cstheme="majorBidi"/>
          <w:sz w:val="28"/>
          <w:szCs w:val="28"/>
        </w:rPr>
        <w:sym w:font="HQPB2" w:char="F089"/>
      </w:r>
      <w:r w:rsidRPr="0023248D">
        <w:rPr>
          <w:rFonts w:asciiTheme="majorBidi" w:hAnsiTheme="majorBidi" w:cstheme="majorBidi"/>
          <w:sz w:val="28"/>
          <w:szCs w:val="28"/>
        </w:rPr>
        <w:sym w:font="HQPB5" w:char="F072"/>
      </w:r>
      <w:r w:rsidRPr="0023248D">
        <w:rPr>
          <w:rFonts w:asciiTheme="majorBidi" w:hAnsiTheme="majorBidi" w:cstheme="majorBidi"/>
          <w:sz w:val="28"/>
          <w:szCs w:val="28"/>
        </w:rPr>
        <w:sym w:font="HQPB1" w:char="F027"/>
      </w:r>
      <w:r w:rsidRPr="0023248D">
        <w:rPr>
          <w:rFonts w:asciiTheme="majorBidi" w:hAnsiTheme="majorBidi" w:cstheme="majorBidi"/>
          <w:sz w:val="28"/>
          <w:szCs w:val="28"/>
        </w:rPr>
        <w:sym w:font="HQPB5" w:char="F0AF"/>
      </w:r>
      <w:r w:rsidRPr="0023248D">
        <w:rPr>
          <w:rFonts w:asciiTheme="majorBidi" w:hAnsiTheme="majorBidi" w:cstheme="majorBidi"/>
          <w:sz w:val="28"/>
          <w:szCs w:val="28"/>
        </w:rPr>
        <w:sym w:font="HQPB2" w:char="F0BB"/>
      </w:r>
      <w:r w:rsidRPr="0023248D">
        <w:rPr>
          <w:rFonts w:asciiTheme="majorBidi" w:hAnsiTheme="majorBidi" w:cstheme="majorBidi"/>
          <w:sz w:val="28"/>
          <w:szCs w:val="28"/>
        </w:rPr>
        <w:sym w:font="HQPB5" w:char="F074"/>
      </w:r>
      <w:r w:rsidRPr="0023248D">
        <w:rPr>
          <w:rFonts w:asciiTheme="majorBidi" w:hAnsiTheme="majorBidi" w:cstheme="majorBidi"/>
          <w:sz w:val="28"/>
          <w:szCs w:val="28"/>
        </w:rPr>
        <w:sym w:font="HQPB2" w:char="F083"/>
      </w:r>
      <w:r w:rsidRPr="0023248D">
        <w:rPr>
          <w:rFonts w:asciiTheme="majorBidi" w:hAnsiTheme="majorBidi" w:cstheme="majorBidi"/>
          <w:sz w:val="28"/>
          <w:szCs w:val="28"/>
          <w:rtl/>
        </w:rPr>
        <w:t xml:space="preserve"> </w:t>
      </w:r>
      <w:r w:rsidRPr="0023248D">
        <w:rPr>
          <w:rFonts w:asciiTheme="majorBidi" w:hAnsiTheme="majorBidi" w:cstheme="majorBidi"/>
          <w:sz w:val="28"/>
          <w:szCs w:val="28"/>
        </w:rPr>
        <w:sym w:font="HQPB5" w:char="F074"/>
      </w:r>
      <w:r w:rsidRPr="0023248D">
        <w:rPr>
          <w:rFonts w:asciiTheme="majorBidi" w:hAnsiTheme="majorBidi" w:cstheme="majorBidi"/>
          <w:sz w:val="28"/>
          <w:szCs w:val="28"/>
        </w:rPr>
        <w:sym w:font="HQPB2" w:char="F0FB"/>
      </w:r>
      <w:r w:rsidRPr="0023248D">
        <w:rPr>
          <w:rFonts w:asciiTheme="majorBidi" w:hAnsiTheme="majorBidi" w:cstheme="majorBidi"/>
          <w:sz w:val="28"/>
          <w:szCs w:val="28"/>
        </w:rPr>
        <w:sym w:font="HQPB2" w:char="F0EF"/>
      </w:r>
      <w:r w:rsidRPr="0023248D">
        <w:rPr>
          <w:rFonts w:asciiTheme="majorBidi" w:hAnsiTheme="majorBidi" w:cstheme="majorBidi"/>
          <w:sz w:val="28"/>
          <w:szCs w:val="28"/>
        </w:rPr>
        <w:sym w:font="HQPB4" w:char="F0CF"/>
      </w:r>
      <w:r w:rsidRPr="0023248D">
        <w:rPr>
          <w:rFonts w:asciiTheme="majorBidi" w:hAnsiTheme="majorBidi" w:cstheme="majorBidi"/>
          <w:sz w:val="28"/>
          <w:szCs w:val="28"/>
        </w:rPr>
        <w:sym w:font="HQPB3" w:char="F025"/>
      </w:r>
      <w:r w:rsidRPr="0023248D">
        <w:rPr>
          <w:rFonts w:asciiTheme="majorBidi" w:hAnsiTheme="majorBidi" w:cstheme="majorBidi"/>
          <w:sz w:val="28"/>
          <w:szCs w:val="28"/>
        </w:rPr>
        <w:sym w:font="HQPB4" w:char="F0A9"/>
      </w:r>
      <w:r w:rsidRPr="0023248D">
        <w:rPr>
          <w:rFonts w:asciiTheme="majorBidi" w:hAnsiTheme="majorBidi" w:cstheme="majorBidi"/>
          <w:sz w:val="28"/>
          <w:szCs w:val="28"/>
        </w:rPr>
        <w:sym w:font="HQPB3" w:char="F021"/>
      </w:r>
      <w:r w:rsidRPr="0023248D">
        <w:rPr>
          <w:rFonts w:asciiTheme="majorBidi" w:hAnsiTheme="majorBidi" w:cstheme="majorBidi"/>
          <w:sz w:val="28"/>
          <w:szCs w:val="28"/>
        </w:rPr>
        <w:sym w:font="HQPB5" w:char="F024"/>
      </w:r>
      <w:r w:rsidRPr="0023248D">
        <w:rPr>
          <w:rFonts w:asciiTheme="majorBidi" w:hAnsiTheme="majorBidi" w:cstheme="majorBidi"/>
          <w:sz w:val="28"/>
          <w:szCs w:val="28"/>
        </w:rPr>
        <w:sym w:font="HQPB1" w:char="F023"/>
      </w:r>
      <w:r w:rsidRPr="0023248D">
        <w:rPr>
          <w:rFonts w:asciiTheme="majorBidi" w:hAnsiTheme="majorBidi" w:cstheme="majorBidi"/>
          <w:sz w:val="28"/>
          <w:szCs w:val="28"/>
          <w:rtl/>
        </w:rPr>
        <w:t xml:space="preserve"> </w:t>
      </w:r>
      <w:r w:rsidRPr="0023248D">
        <w:rPr>
          <w:rFonts w:asciiTheme="majorBidi" w:hAnsiTheme="majorBidi" w:cstheme="majorBidi"/>
          <w:sz w:val="28"/>
          <w:szCs w:val="28"/>
        </w:rPr>
        <w:sym w:font="HQPB5" w:char="F028"/>
      </w:r>
      <w:r w:rsidRPr="0023248D">
        <w:rPr>
          <w:rFonts w:asciiTheme="majorBidi" w:hAnsiTheme="majorBidi" w:cstheme="majorBidi"/>
          <w:sz w:val="28"/>
          <w:szCs w:val="28"/>
        </w:rPr>
        <w:sym w:font="HQPB1" w:char="F023"/>
      </w:r>
      <w:r w:rsidRPr="0023248D">
        <w:rPr>
          <w:rFonts w:asciiTheme="majorBidi" w:hAnsiTheme="majorBidi" w:cstheme="majorBidi"/>
          <w:sz w:val="28"/>
          <w:szCs w:val="28"/>
        </w:rPr>
        <w:sym w:font="HQPB4" w:char="F0FE"/>
      </w:r>
      <w:r w:rsidRPr="0023248D">
        <w:rPr>
          <w:rFonts w:asciiTheme="majorBidi" w:hAnsiTheme="majorBidi" w:cstheme="majorBidi"/>
          <w:sz w:val="28"/>
          <w:szCs w:val="28"/>
        </w:rPr>
        <w:sym w:font="HQPB2" w:char="F071"/>
      </w:r>
      <w:r w:rsidRPr="0023248D">
        <w:rPr>
          <w:rFonts w:asciiTheme="majorBidi" w:hAnsiTheme="majorBidi" w:cstheme="majorBidi"/>
          <w:sz w:val="28"/>
          <w:szCs w:val="28"/>
        </w:rPr>
        <w:sym w:font="HQPB4" w:char="F0E3"/>
      </w:r>
      <w:r w:rsidRPr="0023248D">
        <w:rPr>
          <w:rFonts w:asciiTheme="majorBidi" w:hAnsiTheme="majorBidi" w:cstheme="majorBidi"/>
          <w:sz w:val="28"/>
          <w:szCs w:val="28"/>
        </w:rPr>
        <w:sym w:font="HQPB2" w:char="F059"/>
      </w:r>
      <w:r w:rsidRPr="0023248D">
        <w:rPr>
          <w:rFonts w:asciiTheme="majorBidi" w:hAnsiTheme="majorBidi" w:cstheme="majorBidi"/>
          <w:sz w:val="28"/>
          <w:szCs w:val="28"/>
        </w:rPr>
        <w:sym w:font="HQPB5" w:char="F074"/>
      </w:r>
      <w:r w:rsidRPr="0023248D">
        <w:rPr>
          <w:rFonts w:asciiTheme="majorBidi" w:hAnsiTheme="majorBidi" w:cstheme="majorBidi"/>
          <w:sz w:val="28"/>
          <w:szCs w:val="28"/>
        </w:rPr>
        <w:sym w:font="HQPB2" w:char="F042"/>
      </w:r>
      <w:r w:rsidRPr="0023248D">
        <w:rPr>
          <w:rFonts w:asciiTheme="majorBidi" w:hAnsiTheme="majorBidi" w:cstheme="majorBidi"/>
          <w:sz w:val="28"/>
          <w:szCs w:val="28"/>
        </w:rPr>
        <w:sym w:font="HQPB1" w:char="F023"/>
      </w:r>
      <w:r w:rsidRPr="0023248D">
        <w:rPr>
          <w:rFonts w:asciiTheme="majorBidi" w:hAnsiTheme="majorBidi" w:cstheme="majorBidi"/>
          <w:sz w:val="28"/>
          <w:szCs w:val="28"/>
        </w:rPr>
        <w:sym w:font="HQPB5" w:char="F075"/>
      </w:r>
      <w:r w:rsidRPr="0023248D">
        <w:rPr>
          <w:rFonts w:asciiTheme="majorBidi" w:hAnsiTheme="majorBidi" w:cstheme="majorBidi"/>
          <w:sz w:val="28"/>
          <w:szCs w:val="28"/>
        </w:rPr>
        <w:sym w:font="HQPB2" w:char="F0E4"/>
      </w:r>
      <w:r w:rsidRPr="0023248D">
        <w:rPr>
          <w:rFonts w:asciiTheme="majorBidi" w:hAnsiTheme="majorBidi" w:cstheme="majorBidi"/>
          <w:sz w:val="28"/>
          <w:szCs w:val="28"/>
          <w:rtl/>
        </w:rPr>
        <w:t xml:space="preserve"> </w:t>
      </w:r>
      <w:r w:rsidRPr="0023248D">
        <w:rPr>
          <w:rFonts w:asciiTheme="majorBidi" w:hAnsiTheme="majorBidi" w:cstheme="majorBidi"/>
          <w:sz w:val="28"/>
          <w:szCs w:val="28"/>
        </w:rPr>
        <w:sym w:font="HQPB5" w:char="F028"/>
      </w:r>
      <w:r w:rsidRPr="0023248D">
        <w:rPr>
          <w:rFonts w:asciiTheme="majorBidi" w:hAnsiTheme="majorBidi" w:cstheme="majorBidi"/>
          <w:sz w:val="28"/>
          <w:szCs w:val="28"/>
        </w:rPr>
        <w:sym w:font="HQPB1" w:char="F023"/>
      </w:r>
      <w:r w:rsidRPr="0023248D">
        <w:rPr>
          <w:rFonts w:asciiTheme="majorBidi" w:hAnsiTheme="majorBidi" w:cstheme="majorBidi"/>
          <w:sz w:val="28"/>
          <w:szCs w:val="28"/>
        </w:rPr>
        <w:sym w:font="HQPB2" w:char="F071"/>
      </w:r>
      <w:r w:rsidRPr="0023248D">
        <w:rPr>
          <w:rFonts w:asciiTheme="majorBidi" w:hAnsiTheme="majorBidi" w:cstheme="majorBidi"/>
          <w:sz w:val="28"/>
          <w:szCs w:val="28"/>
        </w:rPr>
        <w:sym w:font="HQPB4" w:char="F0E3"/>
      </w:r>
      <w:r w:rsidRPr="0023248D">
        <w:rPr>
          <w:rFonts w:asciiTheme="majorBidi" w:hAnsiTheme="majorBidi" w:cstheme="majorBidi"/>
          <w:sz w:val="28"/>
          <w:szCs w:val="28"/>
        </w:rPr>
        <w:sym w:font="HQPB1" w:char="F0E8"/>
      </w:r>
      <w:r w:rsidRPr="0023248D">
        <w:rPr>
          <w:rFonts w:asciiTheme="majorBidi" w:hAnsiTheme="majorBidi" w:cstheme="majorBidi"/>
          <w:sz w:val="28"/>
          <w:szCs w:val="28"/>
        </w:rPr>
        <w:sym w:font="HQPB2" w:char="F08B"/>
      </w:r>
      <w:r w:rsidRPr="0023248D">
        <w:rPr>
          <w:rFonts w:asciiTheme="majorBidi" w:hAnsiTheme="majorBidi" w:cstheme="majorBidi"/>
          <w:sz w:val="28"/>
          <w:szCs w:val="28"/>
        </w:rPr>
        <w:sym w:font="HQPB4" w:char="F0CF"/>
      </w:r>
      <w:r w:rsidRPr="0023248D">
        <w:rPr>
          <w:rFonts w:asciiTheme="majorBidi" w:hAnsiTheme="majorBidi" w:cstheme="majorBidi"/>
          <w:sz w:val="28"/>
          <w:szCs w:val="28"/>
        </w:rPr>
        <w:sym w:font="HQPB1" w:char="F0DB"/>
      </w:r>
      <w:r w:rsidRPr="0023248D">
        <w:rPr>
          <w:rFonts w:asciiTheme="majorBidi" w:hAnsiTheme="majorBidi" w:cstheme="majorBidi"/>
          <w:sz w:val="28"/>
          <w:szCs w:val="28"/>
        </w:rPr>
        <w:sym w:font="HQPB5" w:char="F072"/>
      </w:r>
      <w:r w:rsidRPr="0023248D">
        <w:rPr>
          <w:rFonts w:asciiTheme="majorBidi" w:hAnsiTheme="majorBidi" w:cstheme="majorBidi"/>
          <w:sz w:val="28"/>
          <w:szCs w:val="28"/>
        </w:rPr>
        <w:sym w:font="HQPB1" w:char="F026"/>
      </w:r>
      <w:r w:rsidRPr="0023248D">
        <w:rPr>
          <w:rFonts w:asciiTheme="majorBidi" w:hAnsiTheme="majorBidi" w:cstheme="majorBidi"/>
          <w:sz w:val="28"/>
          <w:szCs w:val="28"/>
        </w:rPr>
        <w:sym w:font="HQPB1" w:char="F023"/>
      </w:r>
      <w:r w:rsidRPr="0023248D">
        <w:rPr>
          <w:rFonts w:ascii="Adobe نسخ Medium" w:hAnsi="Adobe نسخ Medium" w:cs="Adobe نسخ Medium"/>
          <w:sz w:val="28"/>
          <w:szCs w:val="28"/>
          <w:rtl/>
        </w:rPr>
        <w:t xml:space="preserve"> الله</w:t>
      </w:r>
      <w:r w:rsidRPr="0023248D">
        <w:rPr>
          <w:rFonts w:ascii="Adobe نسخ Medium" w:hAnsi="Adobe نسخ Medium" w:cs="Adobe نسخ Medium" w:hint="cs"/>
          <w:sz w:val="28"/>
          <w:szCs w:val="28"/>
          <w:rtl/>
        </w:rPr>
        <w:t>َ</w:t>
      </w:r>
      <w:r w:rsidRPr="0023248D">
        <w:rPr>
          <w:rFonts w:asciiTheme="majorBidi" w:hAnsiTheme="majorBidi" w:cstheme="majorBidi"/>
          <w:sz w:val="28"/>
          <w:szCs w:val="28"/>
          <w:rtl/>
        </w:rPr>
        <w:t xml:space="preserve"> </w:t>
      </w:r>
      <w:r w:rsidRPr="0023248D">
        <w:rPr>
          <w:sz w:val="28"/>
          <w:szCs w:val="28"/>
        </w:rPr>
        <w:sym w:font="HQPB5" w:char="F028"/>
      </w:r>
      <w:r w:rsidRPr="0023248D">
        <w:rPr>
          <w:sz w:val="28"/>
          <w:szCs w:val="28"/>
        </w:rPr>
        <w:sym w:font="HQPB1" w:char="F023"/>
      </w:r>
      <w:r w:rsidRPr="0023248D">
        <w:rPr>
          <w:sz w:val="28"/>
          <w:szCs w:val="28"/>
        </w:rPr>
        <w:sym w:font="HQPB2" w:char="F071"/>
      </w:r>
      <w:r w:rsidRPr="0023248D">
        <w:rPr>
          <w:sz w:val="28"/>
          <w:szCs w:val="28"/>
        </w:rPr>
        <w:sym w:font="HQPB4" w:char="F0E3"/>
      </w:r>
      <w:r w:rsidRPr="0023248D">
        <w:rPr>
          <w:sz w:val="28"/>
          <w:szCs w:val="28"/>
        </w:rPr>
        <w:sym w:font="HQPB1" w:char="F0E8"/>
      </w:r>
      <w:r w:rsidRPr="0023248D">
        <w:rPr>
          <w:sz w:val="28"/>
          <w:szCs w:val="28"/>
        </w:rPr>
        <w:sym w:font="HQPB2" w:char="F08B"/>
      </w:r>
      <w:r w:rsidRPr="0023248D">
        <w:rPr>
          <w:sz w:val="28"/>
          <w:szCs w:val="28"/>
        </w:rPr>
        <w:sym w:font="HQPB4" w:char="F0CF"/>
      </w:r>
      <w:r w:rsidRPr="0023248D">
        <w:rPr>
          <w:sz w:val="28"/>
          <w:szCs w:val="28"/>
        </w:rPr>
        <w:sym w:font="HQPB1" w:char="F0DB"/>
      </w:r>
      <w:r w:rsidRPr="0023248D">
        <w:rPr>
          <w:sz w:val="28"/>
          <w:szCs w:val="28"/>
        </w:rPr>
        <w:sym w:font="HQPB5" w:char="F072"/>
      </w:r>
      <w:r w:rsidRPr="0023248D">
        <w:rPr>
          <w:sz w:val="28"/>
          <w:szCs w:val="28"/>
        </w:rPr>
        <w:sym w:font="HQPB1" w:char="F026"/>
      </w:r>
      <w:r w:rsidRPr="0023248D">
        <w:rPr>
          <w:sz w:val="28"/>
          <w:szCs w:val="28"/>
        </w:rPr>
        <w:sym w:font="HQPB5" w:char="F075"/>
      </w:r>
      <w:r w:rsidRPr="0023248D">
        <w:rPr>
          <w:sz w:val="28"/>
          <w:szCs w:val="28"/>
        </w:rPr>
        <w:sym w:font="HQPB2" w:char="F072"/>
      </w:r>
      <w:r w:rsidRPr="0023248D">
        <w:rPr>
          <w:rFonts w:asciiTheme="majorBidi" w:hAnsiTheme="majorBidi" w:cstheme="majorBidi"/>
          <w:sz w:val="28"/>
          <w:szCs w:val="28"/>
          <w:rtl/>
        </w:rPr>
        <w:t xml:space="preserve"> </w:t>
      </w:r>
      <w:r w:rsidRPr="0023248D">
        <w:rPr>
          <w:sz w:val="28"/>
          <w:szCs w:val="28"/>
        </w:rPr>
        <w:sym w:font="HQPB5" w:char="F074"/>
      </w:r>
      <w:r w:rsidRPr="0023248D">
        <w:rPr>
          <w:sz w:val="28"/>
          <w:szCs w:val="28"/>
        </w:rPr>
        <w:sym w:font="HQPB2" w:char="F041"/>
      </w:r>
      <w:r w:rsidRPr="0023248D">
        <w:rPr>
          <w:sz w:val="28"/>
          <w:szCs w:val="28"/>
        </w:rPr>
        <w:sym w:font="HQPB2" w:char="F071"/>
      </w:r>
      <w:r w:rsidRPr="0023248D">
        <w:rPr>
          <w:sz w:val="28"/>
          <w:szCs w:val="28"/>
        </w:rPr>
        <w:sym w:font="HQPB4" w:char="F0DF"/>
      </w:r>
      <w:r w:rsidRPr="0023248D">
        <w:rPr>
          <w:sz w:val="28"/>
          <w:szCs w:val="28"/>
        </w:rPr>
        <w:sym w:font="HQPB1" w:char="F099"/>
      </w:r>
      <w:r w:rsidRPr="0023248D">
        <w:rPr>
          <w:sz w:val="28"/>
          <w:szCs w:val="28"/>
        </w:rPr>
        <w:sym w:font="HQPB4" w:char="F0A7"/>
      </w:r>
      <w:r w:rsidRPr="0023248D">
        <w:rPr>
          <w:sz w:val="28"/>
          <w:szCs w:val="28"/>
        </w:rPr>
        <w:sym w:font="HQPB1" w:char="F08D"/>
      </w:r>
      <w:r w:rsidRPr="0023248D">
        <w:rPr>
          <w:sz w:val="28"/>
          <w:szCs w:val="28"/>
        </w:rPr>
        <w:sym w:font="HQPB2" w:char="F039"/>
      </w:r>
      <w:r w:rsidRPr="0023248D">
        <w:rPr>
          <w:sz w:val="28"/>
          <w:szCs w:val="28"/>
        </w:rPr>
        <w:sym w:font="HQPB5" w:char="F024"/>
      </w:r>
      <w:r w:rsidRPr="0023248D">
        <w:rPr>
          <w:sz w:val="28"/>
          <w:szCs w:val="28"/>
        </w:rPr>
        <w:sym w:font="HQPB1" w:char="F023"/>
      </w:r>
      <w:r w:rsidRPr="0023248D">
        <w:rPr>
          <w:rFonts w:asciiTheme="majorBidi" w:hAnsiTheme="majorBidi" w:cstheme="majorBidi"/>
          <w:sz w:val="28"/>
          <w:szCs w:val="28"/>
          <w:rtl/>
        </w:rPr>
        <w:t xml:space="preserve"> </w:t>
      </w:r>
      <w:r w:rsidRPr="0023248D">
        <w:rPr>
          <w:sz w:val="28"/>
          <w:szCs w:val="28"/>
        </w:rPr>
        <w:sym w:font="HQPB2" w:char="F092"/>
      </w:r>
      <w:r w:rsidRPr="0023248D">
        <w:rPr>
          <w:sz w:val="28"/>
          <w:szCs w:val="28"/>
        </w:rPr>
        <w:sym w:font="HQPB4" w:char="F0CD"/>
      </w:r>
      <w:r w:rsidRPr="0023248D">
        <w:rPr>
          <w:sz w:val="28"/>
          <w:szCs w:val="28"/>
        </w:rPr>
        <w:sym w:font="HQPB2" w:char="F03C"/>
      </w:r>
      <w:r w:rsidRPr="0023248D">
        <w:rPr>
          <w:sz w:val="28"/>
          <w:szCs w:val="28"/>
        </w:rPr>
        <w:sym w:font="HQPB5" w:char="F027"/>
      </w:r>
      <w:r w:rsidRPr="0023248D">
        <w:rPr>
          <w:sz w:val="28"/>
          <w:szCs w:val="28"/>
        </w:rPr>
        <w:sym w:font="HQPB2" w:char="F072"/>
      </w:r>
      <w:r w:rsidRPr="0023248D">
        <w:rPr>
          <w:sz w:val="28"/>
          <w:szCs w:val="28"/>
        </w:rPr>
        <w:sym w:font="HQPB4" w:char="F0E9"/>
      </w:r>
      <w:r w:rsidRPr="0023248D">
        <w:rPr>
          <w:sz w:val="28"/>
          <w:szCs w:val="28"/>
        </w:rPr>
        <w:sym w:font="HQPB1" w:char="F026"/>
      </w:r>
      <w:r w:rsidRPr="0023248D">
        <w:rPr>
          <w:sz w:val="28"/>
          <w:szCs w:val="28"/>
        </w:rPr>
        <w:sym w:font="HQPB5" w:char="F075"/>
      </w:r>
      <w:r w:rsidRPr="0023248D">
        <w:rPr>
          <w:sz w:val="28"/>
          <w:szCs w:val="28"/>
        </w:rPr>
        <w:sym w:font="HQPB2" w:char="F072"/>
      </w:r>
      <w:r w:rsidRPr="0023248D">
        <w:rPr>
          <w:rFonts w:asciiTheme="majorBidi" w:hAnsiTheme="majorBidi" w:cstheme="majorBidi"/>
          <w:sz w:val="28"/>
          <w:szCs w:val="28"/>
          <w:rtl/>
        </w:rPr>
        <w:t xml:space="preserve"> </w:t>
      </w:r>
      <w:r w:rsidRPr="0023248D">
        <w:rPr>
          <w:sz w:val="28"/>
          <w:szCs w:val="28"/>
        </w:rPr>
        <w:sym w:font="HQPB4" w:char="F0CD"/>
      </w:r>
      <w:r w:rsidRPr="0023248D">
        <w:rPr>
          <w:sz w:val="28"/>
          <w:szCs w:val="28"/>
        </w:rPr>
        <w:sym w:font="HQPB1" w:char="F090"/>
      </w:r>
      <w:r w:rsidRPr="0023248D">
        <w:rPr>
          <w:sz w:val="28"/>
          <w:szCs w:val="28"/>
        </w:rPr>
        <w:sym w:font="HQPB4" w:char="F0F6"/>
      </w:r>
      <w:r w:rsidRPr="0023248D">
        <w:rPr>
          <w:sz w:val="28"/>
          <w:szCs w:val="28"/>
        </w:rPr>
        <w:sym w:font="HQPB2" w:char="F044"/>
      </w:r>
      <w:r w:rsidRPr="0023248D">
        <w:rPr>
          <w:sz w:val="28"/>
          <w:szCs w:val="28"/>
        </w:rPr>
        <w:sym w:font="HQPB5" w:char="F046"/>
      </w:r>
      <w:r w:rsidRPr="0023248D">
        <w:rPr>
          <w:sz w:val="28"/>
          <w:szCs w:val="28"/>
        </w:rPr>
        <w:sym w:font="HQPB2" w:char="F07B"/>
      </w:r>
      <w:r w:rsidRPr="0023248D">
        <w:rPr>
          <w:sz w:val="28"/>
          <w:szCs w:val="28"/>
        </w:rPr>
        <w:sym w:font="HQPB5" w:char="F024"/>
      </w:r>
      <w:r w:rsidRPr="0023248D">
        <w:rPr>
          <w:sz w:val="28"/>
          <w:szCs w:val="28"/>
        </w:rPr>
        <w:sym w:font="HQPB1" w:char="F023"/>
      </w:r>
      <w:r w:rsidRPr="0023248D">
        <w:rPr>
          <w:rFonts w:asciiTheme="majorBidi" w:hAnsiTheme="majorBidi" w:cstheme="majorBidi"/>
          <w:sz w:val="28"/>
          <w:szCs w:val="28"/>
          <w:rtl/>
        </w:rPr>
        <w:t xml:space="preserve"> </w:t>
      </w:r>
      <w:r w:rsidRPr="0023248D">
        <w:rPr>
          <w:sz w:val="28"/>
          <w:szCs w:val="28"/>
        </w:rPr>
        <w:sym w:font="HQPB4" w:char="F0F3"/>
      </w:r>
      <w:r w:rsidRPr="0023248D">
        <w:rPr>
          <w:sz w:val="28"/>
          <w:szCs w:val="28"/>
        </w:rPr>
        <w:sym w:font="HQPB2" w:char="F04F"/>
      </w:r>
      <w:r w:rsidRPr="0023248D">
        <w:rPr>
          <w:sz w:val="28"/>
          <w:szCs w:val="28"/>
        </w:rPr>
        <w:sym w:font="HQPB4" w:char="F0E4"/>
      </w:r>
      <w:r w:rsidRPr="0023248D">
        <w:rPr>
          <w:sz w:val="28"/>
          <w:szCs w:val="28"/>
        </w:rPr>
        <w:sym w:font="HQPB2" w:char="F033"/>
      </w:r>
      <w:r w:rsidRPr="0023248D">
        <w:rPr>
          <w:sz w:val="28"/>
          <w:szCs w:val="28"/>
        </w:rPr>
        <w:sym w:font="HQPB2" w:char="F05A"/>
      </w:r>
      <w:r w:rsidRPr="0023248D">
        <w:rPr>
          <w:sz w:val="28"/>
          <w:szCs w:val="28"/>
        </w:rPr>
        <w:sym w:font="HQPB4" w:char="F0CF"/>
      </w:r>
      <w:r w:rsidRPr="0023248D">
        <w:rPr>
          <w:sz w:val="28"/>
          <w:szCs w:val="28"/>
        </w:rPr>
        <w:sym w:font="HQPB2" w:char="F042"/>
      </w:r>
      <w:r w:rsidRPr="0023248D">
        <w:rPr>
          <w:rFonts w:asciiTheme="majorBidi" w:hAnsiTheme="majorBidi" w:cstheme="majorBidi"/>
          <w:sz w:val="28"/>
          <w:szCs w:val="28"/>
          <w:rtl/>
        </w:rPr>
        <w:t xml:space="preserve"> </w:t>
      </w:r>
      <w:r w:rsidRPr="0023248D">
        <w:rPr>
          <w:sz w:val="28"/>
          <w:szCs w:val="28"/>
        </w:rPr>
        <w:sym w:font="HQPB4" w:char="F028"/>
      </w:r>
      <w:r w:rsidRPr="0023248D">
        <w:rPr>
          <w:rFonts w:asciiTheme="majorBidi" w:hAnsiTheme="majorBidi" w:cstheme="majorBidi"/>
          <w:sz w:val="28"/>
          <w:szCs w:val="28"/>
          <w:rtl/>
        </w:rPr>
        <w:t xml:space="preserve"> </w:t>
      </w:r>
      <w:r w:rsidRPr="0023248D">
        <w:rPr>
          <w:sz w:val="28"/>
          <w:szCs w:val="28"/>
        </w:rPr>
        <w:sym w:font="HQPB2" w:char="F062"/>
      </w:r>
      <w:r w:rsidRPr="0023248D">
        <w:rPr>
          <w:sz w:val="28"/>
          <w:szCs w:val="28"/>
        </w:rPr>
        <w:sym w:font="HQPB4" w:char="F0CE"/>
      </w:r>
      <w:r w:rsidRPr="0023248D">
        <w:rPr>
          <w:sz w:val="28"/>
          <w:szCs w:val="28"/>
        </w:rPr>
        <w:sym w:font="HQPB1" w:char="F02A"/>
      </w:r>
      <w:r w:rsidRPr="0023248D">
        <w:rPr>
          <w:sz w:val="28"/>
          <w:szCs w:val="28"/>
        </w:rPr>
        <w:sym w:font="HQPB5" w:char="F073"/>
      </w:r>
      <w:r w:rsidRPr="0023248D">
        <w:rPr>
          <w:sz w:val="28"/>
          <w:szCs w:val="28"/>
        </w:rPr>
        <w:sym w:font="HQPB1" w:char="F0F9"/>
      </w:r>
      <w:r w:rsidRPr="0023248D">
        <w:rPr>
          <w:rFonts w:asciiTheme="majorBidi" w:hAnsiTheme="majorBidi" w:cstheme="majorBidi"/>
          <w:sz w:val="28"/>
          <w:szCs w:val="28"/>
          <w:rtl/>
        </w:rPr>
        <w:t xml:space="preserve"> </w:t>
      </w:r>
      <w:r w:rsidRPr="0023248D">
        <w:rPr>
          <w:sz w:val="28"/>
          <w:szCs w:val="28"/>
        </w:rPr>
        <w:sym w:font="HQPB4" w:char="F0F7"/>
      </w:r>
      <w:r w:rsidRPr="0023248D">
        <w:rPr>
          <w:sz w:val="28"/>
          <w:szCs w:val="28"/>
        </w:rPr>
        <w:sym w:font="HQPB2" w:char="F04C"/>
      </w:r>
      <w:r w:rsidRPr="0023248D">
        <w:rPr>
          <w:sz w:val="28"/>
          <w:szCs w:val="28"/>
        </w:rPr>
        <w:sym w:font="HQPB4" w:char="F0E4"/>
      </w:r>
      <w:r w:rsidRPr="0023248D">
        <w:rPr>
          <w:sz w:val="28"/>
          <w:szCs w:val="28"/>
        </w:rPr>
        <w:sym w:font="HQPB2" w:char="F0EA"/>
      </w:r>
      <w:r w:rsidRPr="0023248D">
        <w:rPr>
          <w:sz w:val="28"/>
          <w:szCs w:val="28"/>
        </w:rPr>
        <w:sym w:font="HQPB4" w:char="F0F4"/>
      </w:r>
      <w:r w:rsidRPr="0023248D">
        <w:rPr>
          <w:sz w:val="28"/>
          <w:szCs w:val="28"/>
        </w:rPr>
        <w:sym w:font="HQPB1" w:char="F0E3"/>
      </w:r>
      <w:r w:rsidRPr="0023248D">
        <w:rPr>
          <w:sz w:val="28"/>
          <w:szCs w:val="28"/>
        </w:rPr>
        <w:sym w:font="HQPB5" w:char="F074"/>
      </w:r>
      <w:r w:rsidRPr="0023248D">
        <w:rPr>
          <w:sz w:val="28"/>
          <w:szCs w:val="28"/>
        </w:rPr>
        <w:sym w:font="HQPB1" w:char="F093"/>
      </w:r>
      <w:r w:rsidRPr="0023248D">
        <w:rPr>
          <w:sz w:val="28"/>
          <w:szCs w:val="28"/>
        </w:rPr>
        <w:sym w:font="HQPB2" w:char="F0BB"/>
      </w:r>
      <w:r w:rsidRPr="0023248D">
        <w:rPr>
          <w:sz w:val="28"/>
          <w:szCs w:val="28"/>
        </w:rPr>
        <w:sym w:font="HQPB5" w:char="F075"/>
      </w:r>
      <w:r w:rsidRPr="0023248D">
        <w:rPr>
          <w:sz w:val="28"/>
          <w:szCs w:val="28"/>
        </w:rPr>
        <w:sym w:font="HQPB2" w:char="F05A"/>
      </w:r>
      <w:r w:rsidRPr="0023248D">
        <w:rPr>
          <w:sz w:val="28"/>
          <w:szCs w:val="28"/>
        </w:rPr>
        <w:sym w:font="HQPB5" w:char="F073"/>
      </w:r>
      <w:r w:rsidRPr="0023248D">
        <w:rPr>
          <w:sz w:val="28"/>
          <w:szCs w:val="28"/>
        </w:rPr>
        <w:sym w:font="HQPB1" w:char="F03F"/>
      </w:r>
      <w:r w:rsidRPr="0023248D">
        <w:rPr>
          <w:rFonts w:asciiTheme="majorBidi" w:hAnsiTheme="majorBidi" w:cstheme="majorBidi"/>
          <w:sz w:val="28"/>
          <w:szCs w:val="28"/>
          <w:rtl/>
        </w:rPr>
        <w:t xml:space="preserve"> </w:t>
      </w:r>
      <w:r w:rsidRPr="0023248D">
        <w:rPr>
          <w:sz w:val="28"/>
          <w:szCs w:val="28"/>
        </w:rPr>
        <w:sym w:font="HQPB2" w:char="F092"/>
      </w:r>
      <w:r w:rsidRPr="0023248D">
        <w:rPr>
          <w:sz w:val="28"/>
          <w:szCs w:val="28"/>
        </w:rPr>
        <w:sym w:font="HQPB4" w:char="F0CE"/>
      </w:r>
      <w:r w:rsidRPr="0023248D">
        <w:rPr>
          <w:sz w:val="28"/>
          <w:szCs w:val="28"/>
        </w:rPr>
        <w:sym w:font="HQPB1" w:char="F0FB"/>
      </w:r>
      <w:r w:rsidRPr="0023248D">
        <w:rPr>
          <w:rFonts w:asciiTheme="majorBidi" w:hAnsiTheme="majorBidi" w:cstheme="majorBidi"/>
          <w:sz w:val="28"/>
          <w:szCs w:val="28"/>
          <w:rtl/>
        </w:rPr>
        <w:t xml:space="preserve"> </w:t>
      </w:r>
      <w:r w:rsidRPr="0023248D">
        <w:rPr>
          <w:sz w:val="28"/>
          <w:szCs w:val="28"/>
        </w:rPr>
        <w:sym w:font="HQPB4" w:char="F026"/>
      </w:r>
      <w:r w:rsidRPr="0023248D">
        <w:rPr>
          <w:sz w:val="28"/>
          <w:szCs w:val="28"/>
        </w:rPr>
        <w:sym w:font="HQPB2" w:char="F0E4"/>
      </w:r>
      <w:r w:rsidRPr="0023248D">
        <w:rPr>
          <w:sz w:val="28"/>
          <w:szCs w:val="28"/>
        </w:rPr>
        <w:sym w:font="HQPB4" w:char="F0F3"/>
      </w:r>
      <w:r w:rsidRPr="0023248D">
        <w:rPr>
          <w:sz w:val="28"/>
          <w:szCs w:val="28"/>
        </w:rPr>
        <w:sym w:font="HQPB2" w:char="F0D3"/>
      </w:r>
      <w:r w:rsidRPr="0023248D">
        <w:rPr>
          <w:sz w:val="28"/>
          <w:szCs w:val="28"/>
        </w:rPr>
        <w:sym w:font="HQPB5" w:char="F078"/>
      </w:r>
      <w:r w:rsidRPr="0023248D">
        <w:rPr>
          <w:sz w:val="28"/>
          <w:szCs w:val="28"/>
        </w:rPr>
        <w:sym w:font="HQPB1" w:char="F0AB"/>
      </w:r>
      <w:r w:rsidRPr="0023248D">
        <w:rPr>
          <w:rFonts w:asciiTheme="majorBidi" w:hAnsiTheme="majorBidi" w:cstheme="majorBidi"/>
          <w:sz w:val="28"/>
          <w:szCs w:val="28"/>
          <w:rtl/>
        </w:rPr>
        <w:t xml:space="preserve"> </w:t>
      </w:r>
      <w:r w:rsidRPr="0023248D">
        <w:rPr>
          <w:sz w:val="28"/>
          <w:szCs w:val="28"/>
        </w:rPr>
        <w:sym w:font="HQPB4" w:char="F0E7"/>
      </w:r>
      <w:r w:rsidRPr="0023248D">
        <w:rPr>
          <w:sz w:val="28"/>
          <w:szCs w:val="28"/>
        </w:rPr>
        <w:sym w:font="HQPB2" w:char="F06E"/>
      </w:r>
      <w:r w:rsidRPr="0023248D">
        <w:rPr>
          <w:sz w:val="28"/>
          <w:szCs w:val="28"/>
        </w:rPr>
        <w:sym w:font="HQPB2" w:char="F072"/>
      </w:r>
      <w:r w:rsidRPr="0023248D">
        <w:rPr>
          <w:sz w:val="28"/>
          <w:szCs w:val="28"/>
        </w:rPr>
        <w:sym w:font="HQPB4" w:char="F096"/>
      </w:r>
      <w:r w:rsidRPr="0023248D">
        <w:rPr>
          <w:sz w:val="28"/>
          <w:szCs w:val="28"/>
        </w:rPr>
        <w:sym w:font="HQPB1" w:char="F08A"/>
      </w:r>
      <w:r w:rsidRPr="0023248D">
        <w:rPr>
          <w:sz w:val="28"/>
          <w:szCs w:val="28"/>
        </w:rPr>
        <w:sym w:font="HQPB4" w:char="F0E3"/>
      </w:r>
      <w:r w:rsidRPr="0023248D">
        <w:rPr>
          <w:sz w:val="28"/>
          <w:szCs w:val="28"/>
        </w:rPr>
        <w:sym w:font="HQPB1" w:char="F08D"/>
      </w:r>
      <w:r w:rsidRPr="0023248D">
        <w:rPr>
          <w:sz w:val="28"/>
          <w:szCs w:val="28"/>
        </w:rPr>
        <w:sym w:font="HQPB5" w:char="F073"/>
      </w:r>
      <w:r w:rsidRPr="0023248D">
        <w:rPr>
          <w:sz w:val="28"/>
          <w:szCs w:val="28"/>
        </w:rPr>
        <w:sym w:font="HQPB1" w:char="F0F9"/>
      </w:r>
      <w:r w:rsidRPr="0023248D">
        <w:rPr>
          <w:rFonts w:asciiTheme="majorBidi" w:hAnsiTheme="majorBidi" w:cstheme="majorBidi"/>
          <w:sz w:val="28"/>
          <w:szCs w:val="28"/>
          <w:rtl/>
        </w:rPr>
        <w:t xml:space="preserve"> </w:t>
      </w:r>
      <w:r w:rsidRPr="0023248D">
        <w:rPr>
          <w:sz w:val="28"/>
          <w:szCs w:val="28"/>
        </w:rPr>
        <w:sym w:font="HQPB2" w:char="F092"/>
      </w:r>
      <w:r w:rsidRPr="0023248D">
        <w:rPr>
          <w:sz w:val="28"/>
          <w:szCs w:val="28"/>
        </w:rPr>
        <w:sym w:font="HQPB5" w:char="F06E"/>
      </w:r>
      <w:r w:rsidRPr="0023248D">
        <w:rPr>
          <w:sz w:val="28"/>
          <w:szCs w:val="28"/>
        </w:rPr>
        <w:sym w:font="HQPB2" w:char="F03C"/>
      </w:r>
      <w:r w:rsidRPr="0023248D">
        <w:rPr>
          <w:sz w:val="28"/>
          <w:szCs w:val="28"/>
        </w:rPr>
        <w:sym w:font="HQPB4" w:char="F0CE"/>
      </w:r>
      <w:r w:rsidRPr="0023248D">
        <w:rPr>
          <w:sz w:val="28"/>
          <w:szCs w:val="28"/>
        </w:rPr>
        <w:sym w:font="HQPB1" w:char="F029"/>
      </w:r>
      <w:r w:rsidRPr="0023248D">
        <w:rPr>
          <w:rFonts w:asciiTheme="majorBidi" w:hAnsiTheme="majorBidi" w:cstheme="majorBidi"/>
          <w:sz w:val="28"/>
          <w:szCs w:val="28"/>
          <w:rtl/>
        </w:rPr>
        <w:t xml:space="preserve"> </w:t>
      </w:r>
      <w:r w:rsidRPr="0023248D">
        <w:rPr>
          <w:sz w:val="28"/>
          <w:szCs w:val="28"/>
        </w:rPr>
        <w:sym w:font="HQPB5" w:char="F0AB"/>
      </w:r>
      <w:r w:rsidRPr="0023248D">
        <w:rPr>
          <w:rFonts w:ascii="Adobe نسخ Medium" w:hAnsi="Adobe نسخ Medium" w:cs="Adobe نسخ Medium"/>
          <w:sz w:val="28"/>
          <w:szCs w:val="28"/>
          <w:rtl/>
        </w:rPr>
        <w:t xml:space="preserve"> الله</w:t>
      </w:r>
      <w:r w:rsidRPr="0023248D">
        <w:rPr>
          <w:rFonts w:ascii="Adobe نسخ Medium" w:hAnsi="Adobe نسخ Medium" w:cs="Adobe نسخ Medium" w:hint="cs"/>
          <w:sz w:val="28"/>
          <w:szCs w:val="28"/>
          <w:rtl/>
        </w:rPr>
        <w:t>ِ</w:t>
      </w:r>
      <w:r w:rsidRPr="0023248D">
        <w:rPr>
          <w:rFonts w:asciiTheme="majorBidi" w:hAnsiTheme="majorBidi" w:cstheme="majorBidi"/>
          <w:sz w:val="28"/>
          <w:szCs w:val="28"/>
          <w:rtl/>
        </w:rPr>
        <w:t xml:space="preserve"> </w:t>
      </w:r>
      <w:r w:rsidRPr="0023248D">
        <w:rPr>
          <w:sz w:val="28"/>
          <w:szCs w:val="28"/>
        </w:rPr>
        <w:sym w:font="HQPB4" w:char="F0C9"/>
      </w:r>
      <w:r w:rsidRPr="0023248D">
        <w:rPr>
          <w:sz w:val="28"/>
          <w:szCs w:val="28"/>
        </w:rPr>
        <w:sym w:font="HQPB2" w:char="F041"/>
      </w:r>
      <w:r w:rsidRPr="0023248D">
        <w:rPr>
          <w:sz w:val="28"/>
          <w:szCs w:val="28"/>
        </w:rPr>
        <w:sym w:font="HQPB2" w:char="F071"/>
      </w:r>
      <w:r w:rsidRPr="0023248D">
        <w:rPr>
          <w:sz w:val="28"/>
          <w:szCs w:val="28"/>
        </w:rPr>
        <w:sym w:font="HQPB4" w:char="F0DF"/>
      </w:r>
      <w:r w:rsidRPr="0023248D">
        <w:rPr>
          <w:sz w:val="28"/>
          <w:szCs w:val="28"/>
        </w:rPr>
        <w:sym w:font="HQPB1" w:char="F099"/>
      </w:r>
      <w:r w:rsidRPr="0023248D">
        <w:rPr>
          <w:sz w:val="28"/>
          <w:szCs w:val="28"/>
        </w:rPr>
        <w:sym w:font="HQPB4" w:char="F0A7"/>
      </w:r>
      <w:r w:rsidRPr="0023248D">
        <w:rPr>
          <w:sz w:val="28"/>
          <w:szCs w:val="28"/>
        </w:rPr>
        <w:sym w:font="HQPB1" w:char="F08D"/>
      </w:r>
      <w:r w:rsidRPr="0023248D">
        <w:rPr>
          <w:sz w:val="28"/>
          <w:szCs w:val="28"/>
        </w:rPr>
        <w:sym w:font="HQPB2" w:char="F039"/>
      </w:r>
      <w:r w:rsidRPr="0023248D">
        <w:rPr>
          <w:sz w:val="28"/>
          <w:szCs w:val="28"/>
        </w:rPr>
        <w:sym w:font="HQPB5" w:char="F024"/>
      </w:r>
      <w:r w:rsidRPr="0023248D">
        <w:rPr>
          <w:sz w:val="28"/>
          <w:szCs w:val="28"/>
        </w:rPr>
        <w:sym w:font="HQPB1" w:char="F023"/>
      </w:r>
      <w:r w:rsidRPr="0023248D">
        <w:rPr>
          <w:sz w:val="28"/>
          <w:szCs w:val="28"/>
        </w:rPr>
        <w:sym w:font="HQPB5" w:char="F075"/>
      </w:r>
      <w:r w:rsidRPr="0023248D">
        <w:rPr>
          <w:sz w:val="28"/>
          <w:szCs w:val="28"/>
        </w:rPr>
        <w:sym w:font="HQPB2" w:char="F072"/>
      </w:r>
      <w:r w:rsidRPr="0023248D">
        <w:rPr>
          <w:rFonts w:asciiTheme="majorBidi" w:hAnsiTheme="majorBidi" w:cstheme="majorBidi"/>
          <w:sz w:val="28"/>
          <w:szCs w:val="28"/>
          <w:rtl/>
        </w:rPr>
        <w:t xml:space="preserve"> </w:t>
      </w:r>
      <w:r w:rsidRPr="0023248D">
        <w:rPr>
          <w:sz w:val="28"/>
          <w:szCs w:val="28"/>
        </w:rPr>
        <w:sym w:font="HQPB2" w:char="F062"/>
      </w:r>
      <w:r w:rsidRPr="0023248D">
        <w:rPr>
          <w:sz w:val="28"/>
          <w:szCs w:val="28"/>
        </w:rPr>
        <w:sym w:font="HQPB4" w:char="F0CE"/>
      </w:r>
      <w:r w:rsidRPr="0023248D">
        <w:rPr>
          <w:sz w:val="28"/>
          <w:szCs w:val="28"/>
        </w:rPr>
        <w:sym w:font="HQPB1" w:char="F029"/>
      </w:r>
      <w:r w:rsidRPr="0023248D">
        <w:rPr>
          <w:rFonts w:asciiTheme="majorBidi" w:hAnsiTheme="majorBidi" w:cstheme="majorBidi"/>
          <w:sz w:val="28"/>
          <w:szCs w:val="28"/>
          <w:rtl/>
        </w:rPr>
        <w:t xml:space="preserve"> </w:t>
      </w:r>
      <w:r w:rsidRPr="0023248D">
        <w:rPr>
          <w:sz w:val="28"/>
          <w:szCs w:val="28"/>
        </w:rPr>
        <w:sym w:font="HQPB4" w:char="F0F7"/>
      </w:r>
      <w:r w:rsidRPr="0023248D">
        <w:rPr>
          <w:sz w:val="28"/>
          <w:szCs w:val="28"/>
        </w:rPr>
        <w:sym w:font="HQPB2" w:char="F04C"/>
      </w:r>
      <w:r w:rsidRPr="0023248D">
        <w:rPr>
          <w:sz w:val="28"/>
          <w:szCs w:val="28"/>
        </w:rPr>
        <w:sym w:font="HQPB4" w:char="F0E4"/>
      </w:r>
      <w:r w:rsidRPr="0023248D">
        <w:rPr>
          <w:sz w:val="28"/>
          <w:szCs w:val="28"/>
        </w:rPr>
        <w:sym w:font="HQPB2" w:char="F0EA"/>
      </w:r>
      <w:r w:rsidRPr="0023248D">
        <w:rPr>
          <w:sz w:val="28"/>
          <w:szCs w:val="28"/>
        </w:rPr>
        <w:sym w:font="HQPB2" w:char="F059"/>
      </w:r>
      <w:r w:rsidRPr="0023248D">
        <w:rPr>
          <w:sz w:val="28"/>
          <w:szCs w:val="28"/>
        </w:rPr>
        <w:sym w:font="HQPB4" w:char="F0E4"/>
      </w:r>
      <w:r w:rsidRPr="0023248D">
        <w:rPr>
          <w:sz w:val="28"/>
          <w:szCs w:val="28"/>
        </w:rPr>
        <w:sym w:font="HQPB2" w:char="F02E"/>
      </w:r>
      <w:r w:rsidRPr="0023248D">
        <w:rPr>
          <w:rFonts w:asciiTheme="majorBidi" w:hAnsiTheme="majorBidi" w:cstheme="majorBidi"/>
          <w:sz w:val="28"/>
          <w:szCs w:val="28"/>
          <w:rtl/>
        </w:rPr>
        <w:t xml:space="preserve"> </w:t>
      </w:r>
      <w:r w:rsidRPr="0023248D">
        <w:rPr>
          <w:sz w:val="28"/>
          <w:szCs w:val="28"/>
        </w:rPr>
        <w:sym w:font="HQPB5" w:char="F074"/>
      </w:r>
      <w:r w:rsidRPr="0023248D">
        <w:rPr>
          <w:sz w:val="28"/>
          <w:szCs w:val="28"/>
        </w:rPr>
        <w:sym w:font="HQPB2" w:char="F062"/>
      </w:r>
      <w:r w:rsidRPr="0023248D">
        <w:rPr>
          <w:sz w:val="28"/>
          <w:szCs w:val="28"/>
        </w:rPr>
        <w:sym w:font="HQPB2" w:char="F071"/>
      </w:r>
      <w:r w:rsidRPr="0023248D">
        <w:rPr>
          <w:sz w:val="28"/>
          <w:szCs w:val="28"/>
        </w:rPr>
        <w:sym w:font="HQPB4" w:char="F0E3"/>
      </w:r>
      <w:r w:rsidRPr="0023248D">
        <w:rPr>
          <w:sz w:val="28"/>
          <w:szCs w:val="28"/>
        </w:rPr>
        <w:sym w:font="HQPB2" w:char="F05A"/>
      </w:r>
      <w:r w:rsidRPr="0023248D">
        <w:rPr>
          <w:sz w:val="28"/>
          <w:szCs w:val="28"/>
        </w:rPr>
        <w:sym w:font="HQPB4" w:char="F0CF"/>
      </w:r>
      <w:r w:rsidRPr="0023248D">
        <w:rPr>
          <w:sz w:val="28"/>
          <w:szCs w:val="28"/>
        </w:rPr>
        <w:sym w:font="HQPB2" w:char="F042"/>
      </w:r>
      <w:r w:rsidRPr="0023248D">
        <w:rPr>
          <w:sz w:val="28"/>
          <w:szCs w:val="28"/>
        </w:rPr>
        <w:sym w:font="HQPB4" w:char="F0F7"/>
      </w:r>
      <w:r w:rsidRPr="0023248D">
        <w:rPr>
          <w:sz w:val="28"/>
          <w:szCs w:val="28"/>
        </w:rPr>
        <w:sym w:font="HQPB2" w:char="F073"/>
      </w:r>
      <w:r w:rsidRPr="0023248D">
        <w:rPr>
          <w:sz w:val="28"/>
          <w:szCs w:val="28"/>
        </w:rPr>
        <w:sym w:font="HQPB4" w:char="F0E8"/>
      </w:r>
      <w:r w:rsidRPr="0023248D">
        <w:rPr>
          <w:sz w:val="28"/>
          <w:szCs w:val="28"/>
        </w:rPr>
        <w:sym w:font="HQPB1" w:char="F03F"/>
      </w:r>
      <w:r w:rsidRPr="0023248D">
        <w:rPr>
          <w:rFonts w:asciiTheme="majorBidi" w:hAnsiTheme="majorBidi" w:cstheme="majorBidi"/>
          <w:sz w:val="28"/>
          <w:szCs w:val="28"/>
          <w:rtl/>
        </w:rPr>
        <w:t xml:space="preserve"> </w:t>
      </w:r>
      <w:r w:rsidRPr="0023248D">
        <w:rPr>
          <w:sz w:val="28"/>
          <w:szCs w:val="28"/>
        </w:rPr>
        <w:sym w:font="HQPB5" w:char="F0AB"/>
      </w:r>
      <w:r w:rsidRPr="0023248D">
        <w:rPr>
          <w:rFonts w:hint="cs"/>
          <w:sz w:val="28"/>
          <w:szCs w:val="28"/>
          <w:rtl/>
        </w:rPr>
        <w:t xml:space="preserve"> </w:t>
      </w:r>
      <w:r w:rsidRPr="0023248D">
        <w:rPr>
          <w:sz w:val="28"/>
          <w:szCs w:val="28"/>
        </w:rPr>
        <w:sym w:font="HQPB5" w:char="F024"/>
      </w:r>
      <w:r w:rsidRPr="0023248D">
        <w:rPr>
          <w:rFonts w:hint="cs"/>
          <w:sz w:val="28"/>
          <w:szCs w:val="28"/>
          <w:rtl/>
        </w:rPr>
        <w:t xml:space="preserve"> </w:t>
      </w:r>
      <w:r w:rsidRPr="0023248D">
        <w:rPr>
          <w:sz w:val="28"/>
          <w:szCs w:val="28"/>
        </w:rPr>
        <w:sym w:font="HQPB1" w:char="F024"/>
      </w:r>
      <w:r w:rsidRPr="0023248D">
        <w:rPr>
          <w:sz w:val="28"/>
          <w:szCs w:val="28"/>
        </w:rPr>
        <w:sym w:font="HQPB4" w:char="F0CE"/>
      </w:r>
      <w:r w:rsidRPr="0023248D">
        <w:rPr>
          <w:sz w:val="28"/>
          <w:szCs w:val="28"/>
        </w:rPr>
        <w:sym w:font="HQPB1" w:char="F02F"/>
      </w:r>
      <w:r w:rsidRPr="0023248D">
        <w:rPr>
          <w:rFonts w:ascii="Adobe نسخ Medium" w:hAnsi="Adobe نسخ Medium" w:cs="Adobe نسخ Medium"/>
          <w:sz w:val="28"/>
          <w:szCs w:val="28"/>
          <w:rtl/>
        </w:rPr>
        <w:t>لله</w:t>
      </w:r>
      <w:r w:rsidRPr="0023248D">
        <w:rPr>
          <w:rFonts w:ascii="Adobe نسخ Medium" w:hAnsi="Adobe نسخ Medium" w:cs="Adobe نسخ Medium" w:hint="cs"/>
          <w:sz w:val="28"/>
          <w:szCs w:val="28"/>
          <w:rtl/>
        </w:rPr>
        <w:t>ِ</w:t>
      </w:r>
      <w:r w:rsidRPr="00B13CD9">
        <w:rPr>
          <w:sz w:val="28"/>
          <w:szCs w:val="28"/>
          <w:lang w:val="sv-SE"/>
        </w:rPr>
        <w:t xml:space="preserve"> </w:t>
      </w:r>
      <w:r w:rsidRPr="0023248D">
        <w:rPr>
          <w:sz w:val="28"/>
          <w:szCs w:val="28"/>
        </w:rPr>
        <w:sym w:font="HQPB4" w:char="F0CF"/>
      </w:r>
      <w:r w:rsidRPr="0023248D">
        <w:rPr>
          <w:sz w:val="28"/>
          <w:szCs w:val="28"/>
        </w:rPr>
        <w:sym w:font="HQPB2" w:char="F051"/>
      </w:r>
      <w:r w:rsidRPr="0023248D">
        <w:rPr>
          <w:sz w:val="28"/>
          <w:szCs w:val="28"/>
        </w:rPr>
        <w:sym w:font="HQPB4" w:char="F0F6"/>
      </w:r>
      <w:r w:rsidRPr="0023248D">
        <w:rPr>
          <w:sz w:val="28"/>
          <w:szCs w:val="28"/>
        </w:rPr>
        <w:sym w:font="HQPB2" w:char="F071"/>
      </w:r>
      <w:r w:rsidRPr="0023248D">
        <w:rPr>
          <w:sz w:val="28"/>
          <w:szCs w:val="28"/>
        </w:rPr>
        <w:sym w:font="HQPB5" w:char="F075"/>
      </w:r>
      <w:r w:rsidRPr="0023248D">
        <w:rPr>
          <w:sz w:val="28"/>
          <w:szCs w:val="28"/>
        </w:rPr>
        <w:sym w:font="HQPB2" w:char="F08B"/>
      </w:r>
      <w:r w:rsidRPr="0023248D">
        <w:rPr>
          <w:sz w:val="28"/>
          <w:szCs w:val="28"/>
        </w:rPr>
        <w:sym w:font="HQPB4" w:char="F0F8"/>
      </w:r>
      <w:r w:rsidRPr="0023248D">
        <w:rPr>
          <w:sz w:val="28"/>
          <w:szCs w:val="28"/>
        </w:rPr>
        <w:sym w:font="HQPB2" w:char="F039"/>
      </w:r>
      <w:r w:rsidRPr="0023248D">
        <w:rPr>
          <w:sz w:val="28"/>
          <w:szCs w:val="28"/>
        </w:rPr>
        <w:sym w:font="HQPB5" w:char="F024"/>
      </w:r>
      <w:r w:rsidRPr="0023248D">
        <w:rPr>
          <w:sz w:val="28"/>
          <w:szCs w:val="28"/>
        </w:rPr>
        <w:sym w:font="HQPB1" w:char="F023"/>
      </w:r>
      <w:r w:rsidRPr="0023248D">
        <w:rPr>
          <w:sz w:val="28"/>
          <w:szCs w:val="28"/>
        </w:rPr>
        <w:sym w:font="HQPB5" w:char="F075"/>
      </w:r>
      <w:r w:rsidRPr="0023248D">
        <w:rPr>
          <w:sz w:val="28"/>
          <w:szCs w:val="28"/>
        </w:rPr>
        <w:sym w:font="HQPB2" w:char="F072"/>
      </w:r>
      <w:r w:rsidRPr="0023248D">
        <w:rPr>
          <w:rFonts w:asciiTheme="majorBidi" w:hAnsiTheme="majorBidi" w:cstheme="majorBidi"/>
          <w:sz w:val="28"/>
          <w:szCs w:val="28"/>
          <w:rtl/>
        </w:rPr>
        <w:t xml:space="preserve"> </w:t>
      </w:r>
      <w:r w:rsidRPr="0023248D">
        <w:rPr>
          <w:sz w:val="28"/>
          <w:szCs w:val="28"/>
        </w:rPr>
        <w:sym w:font="HQPB4" w:char="F0CC"/>
      </w:r>
      <w:r w:rsidRPr="0023248D">
        <w:rPr>
          <w:sz w:val="28"/>
          <w:szCs w:val="28"/>
        </w:rPr>
        <w:sym w:font="HQPB1" w:char="F08D"/>
      </w:r>
      <w:r w:rsidRPr="0023248D">
        <w:rPr>
          <w:sz w:val="28"/>
          <w:szCs w:val="28"/>
        </w:rPr>
        <w:sym w:font="HQPB4" w:char="F0C5"/>
      </w:r>
      <w:r w:rsidRPr="0023248D">
        <w:rPr>
          <w:sz w:val="28"/>
          <w:szCs w:val="28"/>
        </w:rPr>
        <w:sym w:font="HQPB1" w:char="F07A"/>
      </w:r>
      <w:r w:rsidRPr="0023248D">
        <w:rPr>
          <w:sz w:val="28"/>
          <w:szCs w:val="28"/>
        </w:rPr>
        <w:sym w:font="HQPB5" w:char="F046"/>
      </w:r>
      <w:r w:rsidRPr="0023248D">
        <w:rPr>
          <w:sz w:val="28"/>
          <w:szCs w:val="28"/>
        </w:rPr>
        <w:sym w:font="HQPB2" w:char="F079"/>
      </w:r>
      <w:r w:rsidRPr="0023248D">
        <w:rPr>
          <w:sz w:val="28"/>
          <w:szCs w:val="28"/>
        </w:rPr>
        <w:sym w:font="HQPB5" w:char="F024"/>
      </w:r>
      <w:r w:rsidRPr="0023248D">
        <w:rPr>
          <w:sz w:val="28"/>
          <w:szCs w:val="28"/>
        </w:rPr>
        <w:sym w:font="HQPB1" w:char="F023"/>
      </w:r>
      <w:r w:rsidRPr="0023248D">
        <w:rPr>
          <w:rFonts w:asciiTheme="majorBidi" w:hAnsiTheme="majorBidi" w:cstheme="majorBidi"/>
          <w:sz w:val="28"/>
          <w:szCs w:val="28"/>
          <w:rtl/>
        </w:rPr>
        <w:t xml:space="preserve"> </w:t>
      </w:r>
      <w:r w:rsidRPr="0023248D">
        <w:rPr>
          <w:sz w:val="28"/>
          <w:szCs w:val="28"/>
        </w:rPr>
        <w:sym w:font="HQPB4" w:char="F034"/>
      </w:r>
      <w:r w:rsidRPr="0023248D">
        <w:rPr>
          <w:rFonts w:asciiTheme="majorBidi" w:hAnsiTheme="majorBidi" w:cstheme="majorBidi"/>
          <w:sz w:val="28"/>
          <w:szCs w:val="28"/>
          <w:rtl/>
        </w:rPr>
        <w:t xml:space="preserve"> </w:t>
      </w:r>
      <w:r w:rsidRPr="0023248D">
        <w:rPr>
          <w:sz w:val="28"/>
          <w:szCs w:val="28"/>
        </w:rPr>
        <w:sym w:font="HQPB5" w:char="F079"/>
      </w:r>
      <w:r w:rsidRPr="0023248D">
        <w:rPr>
          <w:sz w:val="28"/>
          <w:szCs w:val="28"/>
        </w:rPr>
        <w:sym w:font="HQPB2" w:char="F037"/>
      </w:r>
      <w:r w:rsidRPr="0023248D">
        <w:rPr>
          <w:sz w:val="28"/>
          <w:szCs w:val="28"/>
        </w:rPr>
        <w:sym w:font="HQPB4" w:char="F0CF"/>
      </w:r>
      <w:r w:rsidRPr="0023248D">
        <w:rPr>
          <w:sz w:val="28"/>
          <w:szCs w:val="28"/>
        </w:rPr>
        <w:sym w:font="HQPB2" w:char="F039"/>
      </w:r>
      <w:r w:rsidRPr="0023248D">
        <w:rPr>
          <w:sz w:val="28"/>
          <w:szCs w:val="28"/>
        </w:rPr>
        <w:sym w:font="HQPB2" w:char="F0BA"/>
      </w:r>
      <w:r w:rsidRPr="0023248D">
        <w:rPr>
          <w:sz w:val="28"/>
          <w:szCs w:val="28"/>
        </w:rPr>
        <w:sym w:font="HQPB5" w:char="F073"/>
      </w:r>
      <w:r w:rsidRPr="0023248D">
        <w:rPr>
          <w:sz w:val="28"/>
          <w:szCs w:val="28"/>
        </w:rPr>
        <w:sym w:font="HQPB1" w:char="F08C"/>
      </w:r>
      <w:r w:rsidRPr="0023248D">
        <w:rPr>
          <w:rFonts w:asciiTheme="majorBidi" w:hAnsiTheme="majorBidi" w:cstheme="majorBidi"/>
          <w:sz w:val="28"/>
          <w:szCs w:val="28"/>
          <w:rtl/>
        </w:rPr>
        <w:t xml:space="preserve"> </w:t>
      </w:r>
      <w:r w:rsidRPr="0023248D">
        <w:rPr>
          <w:sz w:val="28"/>
          <w:szCs w:val="28"/>
        </w:rPr>
        <w:sym w:font="HQPB4" w:char="F0D7"/>
      </w:r>
      <w:r w:rsidRPr="0023248D">
        <w:rPr>
          <w:sz w:val="28"/>
          <w:szCs w:val="28"/>
        </w:rPr>
        <w:sym w:font="HQPB1" w:char="F08E"/>
      </w:r>
      <w:r w:rsidRPr="0023248D">
        <w:rPr>
          <w:sz w:val="28"/>
          <w:szCs w:val="28"/>
        </w:rPr>
        <w:sym w:font="HQPB4" w:char="F0F6"/>
      </w:r>
      <w:r w:rsidRPr="0023248D">
        <w:rPr>
          <w:sz w:val="28"/>
          <w:szCs w:val="28"/>
        </w:rPr>
        <w:sym w:font="HQPB2" w:char="F08D"/>
      </w:r>
      <w:r w:rsidRPr="0023248D">
        <w:rPr>
          <w:sz w:val="28"/>
          <w:szCs w:val="28"/>
        </w:rPr>
        <w:sym w:font="HQPB5" w:char="F079"/>
      </w:r>
      <w:r w:rsidRPr="0023248D">
        <w:rPr>
          <w:sz w:val="28"/>
          <w:szCs w:val="28"/>
        </w:rPr>
        <w:sym w:font="HQPB1" w:char="F07A"/>
      </w:r>
      <w:r w:rsidRPr="0023248D">
        <w:rPr>
          <w:rFonts w:asciiTheme="majorBidi" w:hAnsiTheme="majorBidi" w:cstheme="majorBidi"/>
          <w:sz w:val="28"/>
          <w:szCs w:val="28"/>
          <w:rtl/>
        </w:rPr>
        <w:t xml:space="preserve"> </w:t>
      </w:r>
      <w:r w:rsidRPr="0023248D">
        <w:rPr>
          <w:sz w:val="28"/>
          <w:szCs w:val="28"/>
        </w:rPr>
        <w:sym w:font="HQPB4" w:char="F0DF"/>
      </w:r>
      <w:r w:rsidRPr="0023248D">
        <w:rPr>
          <w:sz w:val="28"/>
          <w:szCs w:val="28"/>
        </w:rPr>
        <w:sym w:font="HQPB2" w:char="F060"/>
      </w:r>
      <w:r w:rsidRPr="0023248D">
        <w:rPr>
          <w:sz w:val="28"/>
          <w:szCs w:val="28"/>
        </w:rPr>
        <w:sym w:font="HQPB5" w:char="F07C"/>
      </w:r>
      <w:r w:rsidRPr="0023248D">
        <w:rPr>
          <w:sz w:val="28"/>
          <w:szCs w:val="28"/>
        </w:rPr>
        <w:sym w:font="HQPB1" w:char="F0A1"/>
      </w:r>
      <w:r w:rsidRPr="0023248D">
        <w:rPr>
          <w:sz w:val="28"/>
          <w:szCs w:val="28"/>
        </w:rPr>
        <w:sym w:font="HQPB4" w:char="F0F4"/>
      </w:r>
      <w:r w:rsidRPr="0023248D">
        <w:rPr>
          <w:sz w:val="28"/>
          <w:szCs w:val="28"/>
        </w:rPr>
        <w:sym w:font="HQPB1" w:char="F06D"/>
      </w:r>
      <w:r w:rsidRPr="0023248D">
        <w:rPr>
          <w:sz w:val="28"/>
          <w:szCs w:val="28"/>
        </w:rPr>
        <w:sym w:font="HQPB5" w:char="F072"/>
      </w:r>
      <w:r w:rsidRPr="0023248D">
        <w:rPr>
          <w:sz w:val="28"/>
          <w:szCs w:val="28"/>
        </w:rPr>
        <w:sym w:font="HQPB1" w:char="F026"/>
      </w:r>
      <w:r w:rsidRPr="0023248D">
        <w:rPr>
          <w:sz w:val="28"/>
          <w:szCs w:val="28"/>
        </w:rPr>
        <w:sym w:font="HQPB5" w:char="F075"/>
      </w:r>
      <w:r w:rsidRPr="0023248D">
        <w:rPr>
          <w:sz w:val="28"/>
          <w:szCs w:val="28"/>
        </w:rPr>
        <w:sym w:font="HQPB2" w:char="F072"/>
      </w:r>
      <w:r w:rsidRPr="0023248D">
        <w:rPr>
          <w:rFonts w:asciiTheme="majorBidi" w:hAnsiTheme="majorBidi" w:cstheme="majorBidi"/>
          <w:sz w:val="28"/>
          <w:szCs w:val="28"/>
          <w:rtl/>
        </w:rPr>
        <w:t xml:space="preserve"> </w:t>
      </w:r>
      <w:r w:rsidRPr="0023248D">
        <w:rPr>
          <w:sz w:val="28"/>
          <w:szCs w:val="28"/>
        </w:rPr>
        <w:sym w:font="HQPB4" w:char="F0B8"/>
      </w:r>
      <w:r w:rsidRPr="0023248D">
        <w:rPr>
          <w:sz w:val="28"/>
          <w:szCs w:val="28"/>
        </w:rPr>
        <w:sym w:font="HQPB2" w:char="F078"/>
      </w:r>
      <w:r w:rsidRPr="0023248D">
        <w:rPr>
          <w:sz w:val="28"/>
          <w:szCs w:val="28"/>
        </w:rPr>
        <w:sym w:font="HQPB2" w:char="F083"/>
      </w:r>
      <w:r w:rsidRPr="0023248D">
        <w:rPr>
          <w:sz w:val="28"/>
          <w:szCs w:val="28"/>
        </w:rPr>
        <w:sym w:font="HQPB4" w:char="F0CD"/>
      </w:r>
      <w:r w:rsidRPr="0023248D">
        <w:rPr>
          <w:sz w:val="28"/>
          <w:szCs w:val="28"/>
        </w:rPr>
        <w:sym w:font="HQPB2" w:char="F072"/>
      </w:r>
      <w:r w:rsidRPr="0023248D">
        <w:rPr>
          <w:sz w:val="28"/>
          <w:szCs w:val="28"/>
        </w:rPr>
        <w:sym w:font="HQPB4" w:char="F0F9"/>
      </w:r>
      <w:r w:rsidRPr="0023248D">
        <w:rPr>
          <w:sz w:val="28"/>
          <w:szCs w:val="28"/>
        </w:rPr>
        <w:sym w:font="HQPB1" w:char="F027"/>
      </w:r>
      <w:r w:rsidRPr="0023248D">
        <w:rPr>
          <w:sz w:val="28"/>
          <w:szCs w:val="28"/>
        </w:rPr>
        <w:sym w:font="HQPB5" w:char="F073"/>
      </w:r>
      <w:r w:rsidRPr="0023248D">
        <w:rPr>
          <w:sz w:val="28"/>
          <w:szCs w:val="28"/>
        </w:rPr>
        <w:sym w:font="HQPB1" w:char="F03F"/>
      </w:r>
      <w:r w:rsidRPr="0023248D">
        <w:rPr>
          <w:rFonts w:asciiTheme="majorBidi" w:hAnsiTheme="majorBidi" w:cstheme="majorBidi"/>
          <w:sz w:val="28"/>
          <w:szCs w:val="28"/>
          <w:rtl/>
        </w:rPr>
        <w:t xml:space="preserve"> </w:t>
      </w:r>
      <w:r w:rsidRPr="0023248D">
        <w:rPr>
          <w:sz w:val="28"/>
          <w:szCs w:val="28"/>
        </w:rPr>
        <w:sym w:font="HQPB2" w:char="F0C7"/>
      </w:r>
      <w:r w:rsidRPr="0023248D">
        <w:rPr>
          <w:sz w:val="28"/>
          <w:szCs w:val="28"/>
        </w:rPr>
        <w:sym w:font="HQPB2" w:char="F0CE"/>
      </w:r>
      <w:r w:rsidRPr="0023248D">
        <w:rPr>
          <w:sz w:val="28"/>
          <w:szCs w:val="28"/>
        </w:rPr>
        <w:sym w:font="HQPB2" w:char="F0D2"/>
      </w:r>
      <w:r w:rsidRPr="0023248D">
        <w:rPr>
          <w:sz w:val="28"/>
          <w:szCs w:val="28"/>
        </w:rPr>
        <w:sym w:font="HQPB2" w:char="F0C8"/>
      </w:r>
      <w:r w:rsidRPr="0023248D">
        <w:rPr>
          <w:rFonts w:asciiTheme="majorBidi" w:hAnsiTheme="majorBidi" w:cstheme="majorBidi"/>
          <w:sz w:val="28"/>
          <w:szCs w:val="28"/>
          <w:rtl/>
        </w:rPr>
        <w:t xml:space="preserve">   </w:t>
      </w:r>
    </w:p>
    <w:p w:rsidR="00343B61" w:rsidRPr="0029474D" w:rsidRDefault="00343B61" w:rsidP="00343B61">
      <w:pPr>
        <w:pStyle w:val="ListParagraph"/>
        <w:autoSpaceDE w:val="0"/>
        <w:autoSpaceDN w:val="0"/>
        <w:adjustRightInd w:val="0"/>
        <w:spacing w:after="0" w:line="240" w:lineRule="auto"/>
        <w:ind w:left="900"/>
        <w:jc w:val="both"/>
        <w:rPr>
          <w:rFonts w:asciiTheme="majorBidi" w:hAnsiTheme="majorBidi" w:cstheme="majorBidi"/>
          <w:sz w:val="24"/>
          <w:szCs w:val="24"/>
          <w:lang w:val="sv-SE"/>
        </w:rPr>
      </w:pPr>
      <w:r>
        <w:rPr>
          <w:rFonts w:asciiTheme="majorBidi" w:hAnsiTheme="majorBidi" w:cstheme="majorBidi"/>
          <w:sz w:val="24"/>
          <w:szCs w:val="24"/>
          <w:lang w:val="sv-SE"/>
        </w:rPr>
        <w:lastRenderedPageBreak/>
        <w:t>Artinya:</w:t>
      </w:r>
      <w:r w:rsidRPr="0029474D">
        <w:rPr>
          <w:rFonts w:asciiTheme="majorBidi" w:hAnsiTheme="majorBidi" w:cstheme="majorBidi"/>
          <w:i/>
          <w:iCs/>
          <w:sz w:val="24"/>
          <w:szCs w:val="24"/>
          <w:lang w:val="sv-SE"/>
        </w:rPr>
        <w:t>”Hai orang-orang yang beriman, taatilah Allah dan taatilah Rasul (Nya), dan ulil amri di antara kamu. kemudian jika kamu berlainan Pendapat tentang sesuatu, Maka kembalikanlah ia kepada Allah (Al Quran) dan Rasul (sunnahnya), jika kamu benar-benar beriman kepada Allah dan hari kemudian. yang demikian itu lebih utama (bagimu) dan lebih baik akibatnya”.</w:t>
      </w:r>
      <w:r w:rsidRPr="0029474D">
        <w:rPr>
          <w:rFonts w:asciiTheme="majorBidi" w:hAnsiTheme="majorBidi" w:cstheme="majorBidi"/>
          <w:sz w:val="24"/>
          <w:szCs w:val="24"/>
          <w:lang w:val="sv-SE"/>
        </w:rPr>
        <w:t xml:space="preserve"> (QS. Al-Nisa [4 ]: 59 )</w:t>
      </w:r>
      <w:r w:rsidRPr="0029474D">
        <w:rPr>
          <w:rStyle w:val="FootnoteReference"/>
          <w:rFonts w:asciiTheme="majorBidi" w:hAnsiTheme="majorBidi" w:cstheme="majorBidi"/>
          <w:sz w:val="24"/>
          <w:szCs w:val="24"/>
          <w:lang w:val="sv-SE"/>
        </w:rPr>
        <w:footnoteReference w:id="676"/>
      </w:r>
    </w:p>
    <w:p w:rsidR="00343B61" w:rsidRPr="0029474D" w:rsidRDefault="00343B61" w:rsidP="00343B61">
      <w:pPr>
        <w:autoSpaceDE w:val="0"/>
        <w:autoSpaceDN w:val="0"/>
        <w:adjustRightInd w:val="0"/>
        <w:spacing w:after="0" w:line="360" w:lineRule="auto"/>
        <w:rPr>
          <w:rFonts w:asciiTheme="majorBidi" w:hAnsiTheme="majorBidi" w:cstheme="majorBidi"/>
          <w:b/>
          <w:bCs/>
          <w:sz w:val="24"/>
          <w:szCs w:val="24"/>
          <w:lang w:val="sv-SE"/>
        </w:rPr>
      </w:pPr>
    </w:p>
    <w:p w:rsidR="00343B61" w:rsidRPr="006262F3" w:rsidRDefault="00343B61" w:rsidP="002C0A33">
      <w:pPr>
        <w:pStyle w:val="ListParagraph"/>
        <w:numPr>
          <w:ilvl w:val="0"/>
          <w:numId w:val="46"/>
        </w:numPr>
        <w:autoSpaceDE w:val="0"/>
        <w:autoSpaceDN w:val="0"/>
        <w:adjustRightInd w:val="0"/>
        <w:spacing w:after="0" w:line="360" w:lineRule="auto"/>
        <w:ind w:left="630" w:hanging="360"/>
        <w:jc w:val="both"/>
        <w:rPr>
          <w:rFonts w:asciiTheme="majorBidi" w:hAnsiTheme="majorBidi" w:cstheme="majorBidi"/>
          <w:sz w:val="24"/>
          <w:szCs w:val="24"/>
          <w:lang w:val="sv-SE"/>
        </w:rPr>
      </w:pPr>
      <w:r w:rsidRPr="0029474D">
        <w:rPr>
          <w:rFonts w:asciiTheme="majorBidi" w:hAnsiTheme="majorBidi" w:cstheme="majorBidi"/>
          <w:sz w:val="24"/>
          <w:szCs w:val="24"/>
          <w:lang w:val="sv-SE"/>
        </w:rPr>
        <w:t>Hadis Rasul Allah Saw yang diriwayatkan oleh Imam Al-Baihaqi, yaitu :</w:t>
      </w:r>
    </w:p>
    <w:p w:rsidR="00343B61" w:rsidRPr="008A65E7" w:rsidRDefault="00343B61" w:rsidP="00343B61">
      <w:pPr>
        <w:autoSpaceDE w:val="0"/>
        <w:autoSpaceDN w:val="0"/>
        <w:bidi/>
        <w:adjustRightInd w:val="0"/>
        <w:spacing w:after="0" w:line="240" w:lineRule="auto"/>
        <w:rPr>
          <w:rFonts w:asciiTheme="majorBidi" w:hAnsiTheme="majorBidi" w:cs="Traditional Arabic"/>
          <w:sz w:val="32"/>
          <w:szCs w:val="32"/>
        </w:rPr>
      </w:pPr>
      <w:r w:rsidRPr="006A6044">
        <w:rPr>
          <w:rFonts w:asciiTheme="majorBidi" w:hAnsiTheme="majorBidi" w:cs="Traditional Arabic"/>
          <w:sz w:val="32"/>
          <w:szCs w:val="32"/>
          <w:rtl/>
        </w:rPr>
        <w:t>عَلَيْكُمْ بِالسَّمْعِ وَالطَّاعَةِ لِمَنْ وَلَاه الله أمركم و إن كان عبدا حبشيا</w:t>
      </w:r>
      <w:r w:rsidRPr="008A65E7">
        <w:rPr>
          <w:rFonts w:asciiTheme="majorBidi" w:hAnsiTheme="majorBidi" w:cs="Traditional Arabic"/>
          <w:sz w:val="32"/>
          <w:szCs w:val="32"/>
          <w:rtl/>
        </w:rPr>
        <w:t xml:space="preserve"> </w:t>
      </w:r>
      <w:r w:rsidRPr="008A65E7">
        <w:rPr>
          <w:rStyle w:val="FootnoteReference"/>
          <w:rFonts w:asciiTheme="majorBidi" w:hAnsiTheme="majorBidi" w:cs="Traditional Arabic"/>
          <w:sz w:val="32"/>
          <w:szCs w:val="32"/>
          <w:rtl/>
        </w:rPr>
        <w:footnoteReference w:id="677"/>
      </w:r>
    </w:p>
    <w:p w:rsidR="00343B61" w:rsidRPr="0029474D" w:rsidRDefault="00343B61" w:rsidP="00343B61">
      <w:pPr>
        <w:autoSpaceDE w:val="0"/>
        <w:autoSpaceDN w:val="0"/>
        <w:adjustRightInd w:val="0"/>
        <w:spacing w:after="0" w:line="240" w:lineRule="auto"/>
        <w:ind w:left="990"/>
        <w:jc w:val="both"/>
        <w:rPr>
          <w:rFonts w:asciiTheme="majorBidi" w:hAnsiTheme="majorBidi" w:cstheme="majorBidi"/>
          <w:sz w:val="24"/>
          <w:szCs w:val="24"/>
        </w:rPr>
      </w:pPr>
      <w:r w:rsidRPr="0029474D">
        <w:rPr>
          <w:rFonts w:asciiTheme="majorBidi" w:hAnsiTheme="majorBidi" w:cstheme="majorBidi"/>
          <w:sz w:val="24"/>
          <w:szCs w:val="24"/>
        </w:rPr>
        <w:t xml:space="preserve">Artinya:” </w:t>
      </w:r>
      <w:r w:rsidRPr="0029474D">
        <w:rPr>
          <w:rFonts w:asciiTheme="majorBidi" w:hAnsiTheme="majorBidi" w:cstheme="majorBidi"/>
          <w:i/>
          <w:iCs/>
          <w:sz w:val="24"/>
          <w:szCs w:val="24"/>
        </w:rPr>
        <w:t>Diwajibkan atas kamu sekalian untuk mendengarkan dan taat kepada pemimpin sekalipun kalian dipimpin oleh budak Habasyi</w:t>
      </w:r>
      <w:r w:rsidRPr="0029474D">
        <w:rPr>
          <w:rFonts w:asciiTheme="majorBidi" w:hAnsiTheme="majorBidi" w:cstheme="majorBidi"/>
          <w:sz w:val="24"/>
          <w:szCs w:val="24"/>
        </w:rPr>
        <w:t>”. ( HR. Al-Baihaqi)</w:t>
      </w:r>
    </w:p>
    <w:p w:rsidR="00343B61" w:rsidRPr="0029474D" w:rsidRDefault="00343B61" w:rsidP="00343B61">
      <w:pPr>
        <w:autoSpaceDE w:val="0"/>
        <w:autoSpaceDN w:val="0"/>
        <w:adjustRightInd w:val="0"/>
        <w:spacing w:after="0" w:line="360" w:lineRule="auto"/>
        <w:ind w:left="990" w:hanging="990"/>
        <w:jc w:val="both"/>
        <w:rPr>
          <w:rFonts w:asciiTheme="majorBidi" w:hAnsiTheme="majorBidi" w:cstheme="majorBidi"/>
          <w:sz w:val="24"/>
          <w:szCs w:val="24"/>
          <w:rtl/>
        </w:rPr>
      </w:pPr>
    </w:p>
    <w:p w:rsidR="00343B61" w:rsidRPr="0094561B" w:rsidRDefault="00343B61" w:rsidP="002C0A33">
      <w:pPr>
        <w:pStyle w:val="ListParagraph"/>
        <w:numPr>
          <w:ilvl w:val="0"/>
          <w:numId w:val="46"/>
        </w:numPr>
        <w:autoSpaceDE w:val="0"/>
        <w:autoSpaceDN w:val="0"/>
        <w:adjustRightInd w:val="0"/>
        <w:spacing w:after="0" w:line="360" w:lineRule="auto"/>
        <w:ind w:left="900" w:hanging="360"/>
        <w:jc w:val="both"/>
        <w:rPr>
          <w:rFonts w:asciiTheme="majorBidi" w:hAnsiTheme="majorBidi" w:cstheme="majorBidi"/>
          <w:sz w:val="24"/>
          <w:szCs w:val="24"/>
          <w:lang w:val="sv-SE"/>
        </w:rPr>
      </w:pPr>
      <w:r w:rsidRPr="006262F3">
        <w:rPr>
          <w:rFonts w:asciiTheme="majorBidi" w:hAnsiTheme="majorBidi" w:cstheme="majorBidi"/>
          <w:sz w:val="24"/>
          <w:szCs w:val="24"/>
          <w:lang w:val="sv-SE"/>
        </w:rPr>
        <w:t>Hadis Nabi Saw yang diriwayatkan oleh Bukhari dan Muslim , yaitu :</w:t>
      </w:r>
    </w:p>
    <w:p w:rsidR="00343B61" w:rsidRPr="008A65E7" w:rsidRDefault="00343B61" w:rsidP="00343B61">
      <w:pPr>
        <w:tabs>
          <w:tab w:val="right" w:pos="5687"/>
          <w:tab w:val="right" w:pos="5867"/>
          <w:tab w:val="right" w:pos="7037"/>
          <w:tab w:val="right" w:pos="7217"/>
        </w:tabs>
        <w:bidi/>
        <w:spacing w:after="0" w:line="240" w:lineRule="auto"/>
        <w:ind w:left="17" w:right="720"/>
        <w:jc w:val="both"/>
        <w:rPr>
          <w:rFonts w:asciiTheme="majorBidi" w:hAnsiTheme="majorBidi" w:cs="Traditional Arabic"/>
          <w:i/>
          <w:iCs/>
          <w:color w:val="000000" w:themeColor="text1"/>
          <w:sz w:val="32"/>
          <w:szCs w:val="32"/>
          <w:lang w:val="sv-SE"/>
        </w:rPr>
      </w:pPr>
      <w:r w:rsidRPr="008A65E7">
        <w:rPr>
          <w:rFonts w:asciiTheme="majorBidi" w:hAnsiTheme="majorBidi" w:cs="Traditional Arabic"/>
          <w:color w:val="000000" w:themeColor="text1"/>
          <w:sz w:val="32"/>
          <w:szCs w:val="32"/>
          <w:rtl/>
        </w:rPr>
        <w:t>عَنْ أَبِي هُرَيْرَةَ ، عَنِ النَّبِيِّ صلى الله عليه وسلم قَالَ : تُنْكَحُ الْمَرْأَةُ لأَرْبَعَةٍ لِمَالِهَا وَلِحَسَبِهَا وَلِجَمَالِهَا وَلِدِينِهَا فَاظْفَرْ بِذَاتِ الدِّينِ تَرِبَتْ يَدَاكَ.</w:t>
      </w:r>
      <w:r w:rsidRPr="008A65E7">
        <w:rPr>
          <w:rStyle w:val="FootnoteReference"/>
          <w:rFonts w:asciiTheme="majorBidi" w:hAnsiTheme="majorBidi" w:cs="Traditional Arabic"/>
          <w:color w:val="000000" w:themeColor="text1"/>
          <w:sz w:val="32"/>
          <w:szCs w:val="32"/>
          <w:rtl/>
        </w:rPr>
        <w:footnoteReference w:id="678"/>
      </w:r>
    </w:p>
    <w:p w:rsidR="00343B61" w:rsidRDefault="00343B61" w:rsidP="00343B61">
      <w:pPr>
        <w:tabs>
          <w:tab w:val="left" w:pos="900"/>
          <w:tab w:val="right" w:pos="5687"/>
        </w:tabs>
        <w:spacing w:after="0" w:line="240" w:lineRule="auto"/>
        <w:ind w:left="900"/>
        <w:jc w:val="both"/>
        <w:rPr>
          <w:rFonts w:asciiTheme="majorBidi" w:hAnsiTheme="majorBidi" w:cstheme="majorBidi"/>
          <w:i/>
          <w:iCs/>
          <w:sz w:val="24"/>
          <w:szCs w:val="24"/>
          <w:lang w:val="sv-SE"/>
        </w:rPr>
      </w:pPr>
      <w:r>
        <w:rPr>
          <w:rFonts w:asciiTheme="majorBidi" w:hAnsiTheme="majorBidi" w:cstheme="majorBidi"/>
          <w:sz w:val="24"/>
          <w:szCs w:val="24"/>
          <w:lang w:val="sv-SE"/>
        </w:rPr>
        <w:t>Artinya:</w:t>
      </w:r>
      <w:r w:rsidRPr="0029474D">
        <w:rPr>
          <w:rFonts w:asciiTheme="majorBidi" w:hAnsiTheme="majorBidi" w:cstheme="majorBidi"/>
          <w:i/>
          <w:iCs/>
          <w:sz w:val="24"/>
          <w:szCs w:val="24"/>
          <w:lang w:val="sv-SE"/>
        </w:rPr>
        <w:t>”Wanita itu dinikahi karena empat hal: karena hartanya, karena asal usul keturunannya, karena kecantikannya, karena agamanya.Maka hendaklah kamu berpegang teguh (dengan perempuan) yang memeluk agama Islam;(jika tidak) akan binasalah kedua tanganmu.(HR. Mutafqun ’alaih)</w:t>
      </w:r>
    </w:p>
    <w:p w:rsidR="00343B61" w:rsidRPr="0029474D" w:rsidRDefault="00343B61" w:rsidP="00343B61">
      <w:pPr>
        <w:tabs>
          <w:tab w:val="left" w:pos="900"/>
          <w:tab w:val="right" w:pos="5687"/>
        </w:tabs>
        <w:spacing w:after="0" w:line="240" w:lineRule="auto"/>
        <w:ind w:left="900"/>
        <w:jc w:val="both"/>
        <w:rPr>
          <w:rFonts w:asciiTheme="majorBidi" w:hAnsiTheme="majorBidi" w:cstheme="majorBidi"/>
          <w:i/>
          <w:iCs/>
          <w:sz w:val="24"/>
          <w:szCs w:val="24"/>
          <w:lang w:val="sv-SE"/>
        </w:rPr>
      </w:pPr>
    </w:p>
    <w:p w:rsidR="00343B61" w:rsidRPr="006262F3" w:rsidRDefault="00343B61" w:rsidP="002C0A33">
      <w:pPr>
        <w:pStyle w:val="ListParagraph"/>
        <w:numPr>
          <w:ilvl w:val="0"/>
          <w:numId w:val="46"/>
        </w:numPr>
        <w:autoSpaceDE w:val="0"/>
        <w:autoSpaceDN w:val="0"/>
        <w:adjustRightInd w:val="0"/>
        <w:spacing w:after="0" w:line="360" w:lineRule="auto"/>
        <w:ind w:left="900" w:hanging="270"/>
        <w:jc w:val="both"/>
        <w:rPr>
          <w:rFonts w:asciiTheme="majorBidi" w:hAnsiTheme="majorBidi" w:cstheme="majorBidi"/>
          <w:sz w:val="24"/>
          <w:szCs w:val="24"/>
          <w:lang w:val="sv-SE"/>
        </w:rPr>
      </w:pPr>
      <w:r w:rsidRPr="006262F3">
        <w:rPr>
          <w:rFonts w:asciiTheme="majorBidi" w:hAnsiTheme="majorBidi" w:cstheme="majorBidi"/>
          <w:sz w:val="24"/>
          <w:szCs w:val="24"/>
          <w:lang w:val="sv-SE"/>
        </w:rPr>
        <w:t>Hadis Nabi SAW yang diriwayatkan oleh Bukhari dalam Shohehnya, yaitu:</w:t>
      </w:r>
    </w:p>
    <w:p w:rsidR="00343B61" w:rsidRPr="006262F3" w:rsidRDefault="00343B61" w:rsidP="00343B61">
      <w:pPr>
        <w:autoSpaceDE w:val="0"/>
        <w:autoSpaceDN w:val="0"/>
        <w:bidi/>
        <w:adjustRightInd w:val="0"/>
        <w:spacing w:after="0" w:line="240" w:lineRule="auto"/>
        <w:jc w:val="both"/>
        <w:rPr>
          <w:rFonts w:asciiTheme="majorBidi" w:hAnsiTheme="majorBidi" w:cstheme="majorBidi"/>
          <w:b/>
          <w:bCs/>
          <w:color w:val="000000" w:themeColor="text1"/>
          <w:sz w:val="28"/>
          <w:szCs w:val="28"/>
          <w:lang w:val="sv-SE"/>
        </w:rPr>
      </w:pPr>
      <w:r w:rsidRPr="008A65E7">
        <w:rPr>
          <w:rFonts w:asciiTheme="majorBidi" w:hAnsiTheme="majorBidi" w:cs="Traditional Arabic"/>
          <w:color w:val="000000" w:themeColor="text1"/>
          <w:sz w:val="32"/>
          <w:szCs w:val="32"/>
          <w:rtl/>
        </w:rPr>
        <w:t>أَوْلِمْ وَلَوْ بِشَاةٍ</w:t>
      </w:r>
      <w:r w:rsidRPr="0029474D">
        <w:rPr>
          <w:rFonts w:asciiTheme="majorBidi" w:hAnsiTheme="majorBidi" w:cstheme="majorBidi"/>
          <w:b/>
          <w:bCs/>
          <w:color w:val="000000" w:themeColor="text1"/>
          <w:sz w:val="28"/>
          <w:szCs w:val="28"/>
          <w:rtl/>
        </w:rPr>
        <w:t xml:space="preserve"> </w:t>
      </w:r>
      <w:r w:rsidRPr="0029474D">
        <w:rPr>
          <w:rStyle w:val="FootnoteReference"/>
          <w:rFonts w:asciiTheme="majorBidi" w:hAnsiTheme="majorBidi" w:cstheme="majorBidi"/>
          <w:color w:val="000000" w:themeColor="text1"/>
          <w:sz w:val="24"/>
          <w:szCs w:val="24"/>
          <w:rtl/>
        </w:rPr>
        <w:footnoteReference w:id="679"/>
      </w:r>
    </w:p>
    <w:p w:rsidR="00343B61" w:rsidRDefault="00343B61" w:rsidP="00343B61">
      <w:pPr>
        <w:pStyle w:val="ListParagraph"/>
        <w:spacing w:line="240" w:lineRule="auto"/>
        <w:ind w:left="900"/>
        <w:jc w:val="both"/>
        <w:rPr>
          <w:rFonts w:asciiTheme="majorBidi" w:hAnsiTheme="majorBidi" w:cstheme="majorBidi"/>
          <w:i/>
          <w:sz w:val="24"/>
          <w:szCs w:val="24"/>
          <w:lang w:val="sv-SE"/>
        </w:rPr>
      </w:pPr>
      <w:r>
        <w:rPr>
          <w:rFonts w:asciiTheme="majorBidi" w:hAnsiTheme="majorBidi" w:cstheme="majorBidi"/>
          <w:sz w:val="24"/>
          <w:szCs w:val="24"/>
          <w:lang w:val="sv-SE"/>
        </w:rPr>
        <w:t>Artinya:</w:t>
      </w:r>
      <w:r w:rsidRPr="006262F3">
        <w:rPr>
          <w:rFonts w:asciiTheme="majorBidi" w:hAnsiTheme="majorBidi" w:cstheme="majorBidi"/>
          <w:i/>
          <w:sz w:val="24"/>
          <w:szCs w:val="24"/>
          <w:lang w:val="sv-SE"/>
        </w:rPr>
        <w:t xml:space="preserve"> “Laksanakanlah walimah (atas pernikahan ) sekalipun hanya dengan menyembelih kambing”. (HR..Bukhari)</w:t>
      </w:r>
    </w:p>
    <w:p w:rsidR="00343B61" w:rsidRPr="006262F3" w:rsidRDefault="00343B61" w:rsidP="00343B61">
      <w:pPr>
        <w:pStyle w:val="ListParagraph"/>
        <w:spacing w:line="240" w:lineRule="auto"/>
        <w:ind w:left="900"/>
        <w:jc w:val="both"/>
        <w:rPr>
          <w:rFonts w:asciiTheme="majorBidi" w:hAnsiTheme="majorBidi" w:cstheme="majorBidi"/>
          <w:i/>
          <w:sz w:val="24"/>
          <w:szCs w:val="24"/>
          <w:lang w:val="sv-SE"/>
        </w:rPr>
      </w:pPr>
    </w:p>
    <w:p w:rsidR="00343B61" w:rsidRPr="006262F3" w:rsidRDefault="00343B61" w:rsidP="002C0A33">
      <w:pPr>
        <w:pStyle w:val="ListParagraph"/>
        <w:numPr>
          <w:ilvl w:val="0"/>
          <w:numId w:val="46"/>
        </w:numPr>
        <w:spacing w:line="360" w:lineRule="auto"/>
        <w:ind w:left="990" w:hanging="360"/>
        <w:jc w:val="both"/>
        <w:rPr>
          <w:rFonts w:asciiTheme="majorBidi" w:hAnsiTheme="majorBidi" w:cstheme="majorBidi"/>
          <w:iCs/>
          <w:sz w:val="24"/>
          <w:szCs w:val="24"/>
          <w:lang w:val="sv-SE"/>
        </w:rPr>
      </w:pPr>
      <w:r w:rsidRPr="006262F3">
        <w:rPr>
          <w:rFonts w:asciiTheme="majorBidi" w:hAnsiTheme="majorBidi" w:cstheme="majorBidi"/>
          <w:sz w:val="24"/>
          <w:szCs w:val="24"/>
          <w:lang w:val="sv-SE"/>
        </w:rPr>
        <w:t xml:space="preserve">Hadits Nabi SAW sebagaimana diriwayatkan oleh Imam </w:t>
      </w:r>
      <w:r w:rsidRPr="006262F3">
        <w:rPr>
          <w:rFonts w:asciiTheme="majorBidi" w:hAnsiTheme="majorBidi" w:cstheme="majorBidi"/>
          <w:iCs/>
          <w:sz w:val="24"/>
          <w:szCs w:val="24"/>
          <w:lang w:val="sv-SE"/>
        </w:rPr>
        <w:t>Al-Hakim, Ahmad, dan Turmudzi, yaitu:</w:t>
      </w:r>
    </w:p>
    <w:p w:rsidR="00343B61" w:rsidRPr="0029474D" w:rsidRDefault="00343B61" w:rsidP="00343B61">
      <w:pPr>
        <w:pStyle w:val="ListParagraph"/>
        <w:bidi/>
        <w:spacing w:after="0" w:line="240" w:lineRule="auto"/>
        <w:ind w:left="17"/>
        <w:jc w:val="both"/>
        <w:rPr>
          <w:rFonts w:asciiTheme="majorBidi" w:hAnsiTheme="majorBidi" w:cstheme="majorBidi"/>
          <w:iCs/>
          <w:color w:val="000000" w:themeColor="text1"/>
          <w:sz w:val="28"/>
          <w:szCs w:val="28"/>
        </w:rPr>
      </w:pPr>
      <w:r w:rsidRPr="008A65E7">
        <w:rPr>
          <w:rFonts w:asciiTheme="majorBidi" w:hAnsiTheme="majorBidi" w:cs="Traditional Arabic"/>
          <w:color w:val="000000" w:themeColor="text1"/>
          <w:sz w:val="32"/>
          <w:szCs w:val="32"/>
          <w:rtl/>
        </w:rPr>
        <w:lastRenderedPageBreak/>
        <w:t>أَعْلِنُوا النِّكَاحَ ، وَاجْعَلُوهُ فِي الْمَسَاجِدِ ، وَاضْرِبُوا عَلَيْهِ بِالدُّفُوفِ</w:t>
      </w:r>
      <w:r w:rsidRPr="0029474D">
        <w:rPr>
          <w:rStyle w:val="FootnoteReference"/>
          <w:rFonts w:asciiTheme="majorBidi" w:hAnsiTheme="majorBidi" w:cstheme="majorBidi"/>
          <w:sz w:val="24"/>
          <w:szCs w:val="24"/>
          <w:rtl/>
        </w:rPr>
        <w:footnoteReference w:id="680"/>
      </w:r>
      <w:r w:rsidRPr="0029474D">
        <w:rPr>
          <w:rFonts w:asciiTheme="majorBidi" w:hAnsiTheme="majorBidi" w:cstheme="majorBidi"/>
          <w:b/>
          <w:bCs/>
          <w:sz w:val="28"/>
          <w:szCs w:val="28"/>
          <w:rtl/>
        </w:rPr>
        <w:t xml:space="preserve"> </w:t>
      </w:r>
    </w:p>
    <w:p w:rsidR="00343B61" w:rsidRDefault="00343B61" w:rsidP="00343B61">
      <w:pPr>
        <w:tabs>
          <w:tab w:val="left" w:pos="1800"/>
        </w:tabs>
        <w:spacing w:after="0" w:line="240" w:lineRule="auto"/>
        <w:ind w:left="1080"/>
        <w:jc w:val="both"/>
        <w:rPr>
          <w:rFonts w:asciiTheme="majorBidi" w:hAnsiTheme="majorBidi" w:cstheme="majorBidi"/>
          <w:iCs/>
          <w:sz w:val="24"/>
          <w:szCs w:val="24"/>
          <w:lang w:val="sv-SE"/>
        </w:rPr>
      </w:pPr>
      <w:r w:rsidRPr="0029474D">
        <w:rPr>
          <w:rFonts w:asciiTheme="majorBidi" w:hAnsiTheme="majorBidi" w:cstheme="majorBidi"/>
          <w:sz w:val="24"/>
          <w:szCs w:val="24"/>
          <w:lang w:val="sv-SE"/>
        </w:rPr>
        <w:t xml:space="preserve">Artinya: ” </w:t>
      </w:r>
      <w:r w:rsidRPr="0029474D">
        <w:rPr>
          <w:rFonts w:asciiTheme="majorBidi" w:hAnsiTheme="majorBidi" w:cstheme="majorBidi"/>
          <w:i/>
          <w:iCs/>
          <w:sz w:val="24"/>
          <w:szCs w:val="24"/>
          <w:lang w:val="sv-SE"/>
        </w:rPr>
        <w:t>Iklanlah ( umumkan ) Pernikahan</w:t>
      </w:r>
      <w:r w:rsidRPr="0029474D">
        <w:rPr>
          <w:rFonts w:asciiTheme="majorBidi" w:hAnsiTheme="majorBidi" w:cstheme="majorBidi"/>
          <w:sz w:val="24"/>
          <w:szCs w:val="24"/>
          <w:lang w:val="sv-SE"/>
        </w:rPr>
        <w:t xml:space="preserve">, </w:t>
      </w:r>
      <w:r w:rsidRPr="0029474D">
        <w:rPr>
          <w:rFonts w:asciiTheme="majorBidi" w:hAnsiTheme="majorBidi" w:cstheme="majorBidi"/>
          <w:i/>
          <w:sz w:val="24"/>
          <w:szCs w:val="24"/>
          <w:lang w:val="sv-SE"/>
        </w:rPr>
        <w:t xml:space="preserve">lakukanlah pernikahan di Masjid dan pukullah duff (sejenis alat musik pukul)” </w:t>
      </w:r>
      <w:r w:rsidRPr="0029474D">
        <w:rPr>
          <w:rFonts w:asciiTheme="majorBidi" w:hAnsiTheme="majorBidi" w:cstheme="majorBidi"/>
          <w:iCs/>
          <w:sz w:val="24"/>
          <w:szCs w:val="24"/>
          <w:lang w:val="sv-SE"/>
        </w:rPr>
        <w:t>(HR. Al-hakim, Ahmad, dan Turmudzi)</w:t>
      </w:r>
    </w:p>
    <w:p w:rsidR="00343B61" w:rsidRPr="0029474D" w:rsidRDefault="00343B61" w:rsidP="00343B61">
      <w:pPr>
        <w:tabs>
          <w:tab w:val="left" w:pos="1800"/>
        </w:tabs>
        <w:spacing w:after="0" w:line="240" w:lineRule="auto"/>
        <w:ind w:left="1080"/>
        <w:jc w:val="both"/>
        <w:rPr>
          <w:rFonts w:asciiTheme="majorBidi" w:hAnsiTheme="majorBidi" w:cstheme="majorBidi"/>
          <w:iCs/>
          <w:sz w:val="24"/>
          <w:szCs w:val="24"/>
          <w:lang w:val="sv-SE"/>
        </w:rPr>
      </w:pPr>
    </w:p>
    <w:p w:rsidR="00343B61" w:rsidRPr="0029474D" w:rsidRDefault="00343B61" w:rsidP="002C0A33">
      <w:pPr>
        <w:pStyle w:val="ListParagraph"/>
        <w:numPr>
          <w:ilvl w:val="0"/>
          <w:numId w:val="46"/>
        </w:numPr>
        <w:spacing w:after="0" w:line="360" w:lineRule="auto"/>
        <w:jc w:val="both"/>
        <w:rPr>
          <w:rFonts w:asciiTheme="majorBidi" w:hAnsiTheme="majorBidi" w:cstheme="majorBidi"/>
          <w:iCs/>
          <w:sz w:val="24"/>
          <w:szCs w:val="24"/>
        </w:rPr>
      </w:pPr>
      <w:r w:rsidRPr="0029474D">
        <w:rPr>
          <w:rFonts w:asciiTheme="majorBidi" w:hAnsiTheme="majorBidi" w:cstheme="majorBidi"/>
          <w:sz w:val="24"/>
          <w:szCs w:val="24"/>
        </w:rPr>
        <w:t xml:space="preserve">Hadits Nabi SAW </w:t>
      </w:r>
      <w:r w:rsidRPr="0029474D">
        <w:rPr>
          <w:rFonts w:asciiTheme="majorBidi" w:hAnsiTheme="majorBidi" w:cstheme="majorBidi"/>
          <w:iCs/>
          <w:sz w:val="24"/>
          <w:szCs w:val="24"/>
          <w:lang w:val="sv-SE"/>
        </w:rPr>
        <w:t>:</w:t>
      </w:r>
    </w:p>
    <w:p w:rsidR="00343B61" w:rsidRPr="008A65E7" w:rsidRDefault="00343B61" w:rsidP="00343B61">
      <w:pPr>
        <w:autoSpaceDE w:val="0"/>
        <w:autoSpaceDN w:val="0"/>
        <w:bidi/>
        <w:adjustRightInd w:val="0"/>
        <w:spacing w:after="0" w:line="240" w:lineRule="auto"/>
        <w:ind w:left="17"/>
        <w:jc w:val="both"/>
        <w:rPr>
          <w:rFonts w:asciiTheme="majorBidi" w:hAnsiTheme="majorBidi" w:cs="Traditional Arabic"/>
          <w:sz w:val="32"/>
          <w:szCs w:val="32"/>
          <w:lang w:val="sv-SE"/>
        </w:rPr>
      </w:pPr>
      <w:r w:rsidRPr="008A65E7">
        <w:rPr>
          <w:rFonts w:asciiTheme="majorBidi" w:hAnsiTheme="majorBidi" w:cs="Traditional Arabic"/>
          <w:sz w:val="32"/>
          <w:szCs w:val="32"/>
          <w:rtl/>
        </w:rPr>
        <w:t xml:space="preserve">لا ضرار ولا ضرار </w:t>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sidRPr="0029474D">
        <w:rPr>
          <w:rFonts w:asciiTheme="majorBidi" w:hAnsiTheme="majorBidi" w:cstheme="majorBidi"/>
          <w:sz w:val="24"/>
          <w:szCs w:val="24"/>
        </w:rPr>
        <w:t xml:space="preserve">Artinya: “ </w:t>
      </w:r>
      <w:r w:rsidRPr="0029474D">
        <w:rPr>
          <w:rFonts w:asciiTheme="majorBidi" w:hAnsiTheme="majorBidi" w:cstheme="majorBidi"/>
          <w:i/>
          <w:iCs/>
          <w:sz w:val="24"/>
          <w:szCs w:val="24"/>
        </w:rPr>
        <w:t>Jangan ( berbuat) yang memudhoratkan ( bagi diri sendiri), dan jangan pula yang memudharatakan ( bagi orang lain</w:t>
      </w:r>
      <w:r w:rsidRPr="0029474D">
        <w:rPr>
          <w:rFonts w:asciiTheme="majorBidi" w:hAnsiTheme="majorBidi" w:cstheme="majorBidi"/>
          <w:sz w:val="24"/>
          <w:szCs w:val="24"/>
        </w:rPr>
        <w:t xml:space="preserve">)”. </w:t>
      </w:r>
    </w:p>
    <w:p w:rsidR="00343B61" w:rsidRPr="0029474D" w:rsidRDefault="00343B61" w:rsidP="00343B61">
      <w:pPr>
        <w:autoSpaceDE w:val="0"/>
        <w:autoSpaceDN w:val="0"/>
        <w:adjustRightInd w:val="0"/>
        <w:spacing w:after="0" w:line="360" w:lineRule="auto"/>
        <w:ind w:left="1080"/>
        <w:jc w:val="both"/>
        <w:rPr>
          <w:rFonts w:asciiTheme="majorBidi" w:hAnsiTheme="majorBidi" w:cstheme="majorBidi"/>
          <w:sz w:val="24"/>
          <w:szCs w:val="24"/>
        </w:rPr>
      </w:pPr>
    </w:p>
    <w:p w:rsidR="00343B61" w:rsidRPr="0029474D" w:rsidRDefault="00343B61" w:rsidP="002C0A33">
      <w:pPr>
        <w:pStyle w:val="ListParagraph"/>
        <w:numPr>
          <w:ilvl w:val="0"/>
          <w:numId w:val="46"/>
        </w:numPr>
        <w:tabs>
          <w:tab w:val="left" w:pos="720"/>
          <w:tab w:val="right" w:pos="5687"/>
        </w:tabs>
        <w:spacing w:after="0" w:line="360" w:lineRule="auto"/>
        <w:jc w:val="both"/>
        <w:rPr>
          <w:rFonts w:asciiTheme="majorBidi" w:hAnsiTheme="majorBidi" w:cstheme="majorBidi"/>
          <w:sz w:val="24"/>
          <w:szCs w:val="24"/>
          <w:lang w:val="sv-SE"/>
        </w:rPr>
      </w:pPr>
      <w:r w:rsidRPr="0029474D">
        <w:rPr>
          <w:rFonts w:asciiTheme="majorBidi" w:hAnsiTheme="majorBidi" w:cstheme="majorBidi"/>
          <w:sz w:val="24"/>
          <w:szCs w:val="24"/>
          <w:lang w:val="sv-SE"/>
        </w:rPr>
        <w:t>Ka’idah Fikih :</w:t>
      </w:r>
    </w:p>
    <w:p w:rsidR="00343B61" w:rsidRPr="0029474D" w:rsidRDefault="00343B61" w:rsidP="00343B61">
      <w:pPr>
        <w:tabs>
          <w:tab w:val="left" w:pos="1980"/>
          <w:tab w:val="right" w:pos="5687"/>
        </w:tabs>
        <w:bidi/>
        <w:spacing w:after="0" w:line="240" w:lineRule="auto"/>
        <w:jc w:val="both"/>
        <w:rPr>
          <w:rFonts w:asciiTheme="majorBidi" w:hAnsiTheme="majorBidi" w:cstheme="majorBidi"/>
          <w:sz w:val="28"/>
          <w:szCs w:val="28"/>
          <w:rtl/>
          <w:lang w:val="sv-SE"/>
        </w:rPr>
      </w:pPr>
      <w:r w:rsidRPr="008A65E7">
        <w:rPr>
          <w:rFonts w:asciiTheme="majorBidi" w:hAnsiTheme="majorBidi" w:cs="Traditional Arabic"/>
          <w:sz w:val="32"/>
          <w:szCs w:val="32"/>
          <w:rtl/>
        </w:rPr>
        <w:t>درأ المفاسد أولا من جلب المصالح</w:t>
      </w:r>
      <w:r w:rsidRPr="0029474D">
        <w:rPr>
          <w:rStyle w:val="FootnoteReference"/>
          <w:rFonts w:asciiTheme="majorBidi" w:hAnsiTheme="majorBidi" w:cstheme="majorBidi"/>
          <w:sz w:val="28"/>
          <w:szCs w:val="28"/>
          <w:rtl/>
          <w:lang w:val="sv-SE"/>
        </w:rPr>
        <w:footnoteReference w:id="681"/>
      </w:r>
    </w:p>
    <w:p w:rsidR="00343B61" w:rsidRDefault="00343B61" w:rsidP="00343B61">
      <w:pPr>
        <w:autoSpaceDE w:val="0"/>
        <w:autoSpaceDN w:val="0"/>
        <w:adjustRightInd w:val="0"/>
        <w:spacing w:after="0" w:line="240" w:lineRule="auto"/>
        <w:ind w:left="1080"/>
        <w:jc w:val="both"/>
        <w:rPr>
          <w:rFonts w:asciiTheme="majorBidi" w:hAnsiTheme="majorBidi" w:cstheme="majorBidi"/>
          <w:i/>
          <w:iCs/>
          <w:sz w:val="24"/>
          <w:szCs w:val="24"/>
        </w:rPr>
      </w:pPr>
      <w:r w:rsidRPr="0029474D">
        <w:rPr>
          <w:rFonts w:asciiTheme="majorBidi" w:hAnsiTheme="majorBidi" w:cstheme="majorBidi"/>
          <w:sz w:val="24"/>
          <w:szCs w:val="24"/>
        </w:rPr>
        <w:t xml:space="preserve">Artinya : </w:t>
      </w:r>
      <w:r w:rsidRPr="0029474D">
        <w:rPr>
          <w:rFonts w:asciiTheme="majorBidi" w:hAnsiTheme="majorBidi" w:cstheme="majorBidi"/>
          <w:i/>
          <w:iCs/>
          <w:sz w:val="24"/>
          <w:szCs w:val="24"/>
        </w:rPr>
        <w:t>“Mencegah kemafsadatan lebih didahulukan (diutamakan) daripada menarik kemaslahatan”</w:t>
      </w:r>
    </w:p>
    <w:p w:rsidR="00343B61" w:rsidRPr="0029474D" w:rsidRDefault="00343B61" w:rsidP="00343B61">
      <w:pPr>
        <w:autoSpaceDE w:val="0"/>
        <w:autoSpaceDN w:val="0"/>
        <w:adjustRightInd w:val="0"/>
        <w:spacing w:after="0" w:line="240" w:lineRule="auto"/>
        <w:ind w:left="1080"/>
        <w:jc w:val="both"/>
        <w:rPr>
          <w:rFonts w:asciiTheme="majorBidi" w:hAnsiTheme="majorBidi" w:cstheme="majorBidi"/>
          <w:i/>
          <w:iCs/>
          <w:sz w:val="24"/>
          <w:szCs w:val="24"/>
        </w:rPr>
      </w:pPr>
    </w:p>
    <w:p w:rsidR="00343B61" w:rsidRPr="006262F3" w:rsidRDefault="00343B61" w:rsidP="002C0A33">
      <w:pPr>
        <w:pStyle w:val="ListParagraph"/>
        <w:numPr>
          <w:ilvl w:val="0"/>
          <w:numId w:val="46"/>
        </w:numPr>
        <w:autoSpaceDE w:val="0"/>
        <w:autoSpaceDN w:val="0"/>
        <w:adjustRightInd w:val="0"/>
        <w:spacing w:after="0" w:line="360" w:lineRule="auto"/>
        <w:jc w:val="both"/>
        <w:rPr>
          <w:rFonts w:asciiTheme="majorBidi" w:hAnsiTheme="majorBidi" w:cstheme="majorBidi"/>
          <w:sz w:val="24"/>
          <w:szCs w:val="24"/>
          <w:rtl/>
        </w:rPr>
      </w:pPr>
      <w:r w:rsidRPr="0029474D">
        <w:rPr>
          <w:rFonts w:asciiTheme="majorBidi" w:hAnsiTheme="majorBidi" w:cstheme="majorBidi"/>
          <w:sz w:val="24"/>
          <w:szCs w:val="24"/>
        </w:rPr>
        <w:t>Pendapat Imam Nawawi al-Bantani Yang menyatakan bahwa :</w:t>
      </w:r>
    </w:p>
    <w:p w:rsidR="00343B61" w:rsidRPr="008A65E7" w:rsidRDefault="00343B61" w:rsidP="00343B61">
      <w:pPr>
        <w:autoSpaceDE w:val="0"/>
        <w:autoSpaceDN w:val="0"/>
        <w:bidi/>
        <w:adjustRightInd w:val="0"/>
        <w:spacing w:after="0" w:line="240" w:lineRule="auto"/>
        <w:ind w:right="450"/>
        <w:rPr>
          <w:rFonts w:asciiTheme="majorBidi" w:eastAsia="TTE22EF0A8t00" w:hAnsiTheme="majorBidi" w:cs="Traditional Arabic"/>
          <w:sz w:val="32"/>
          <w:szCs w:val="32"/>
          <w:rtl/>
        </w:rPr>
      </w:pPr>
      <w:r w:rsidRPr="008A65E7">
        <w:rPr>
          <w:rFonts w:asciiTheme="majorBidi" w:eastAsia="TTE22EF0A8t00" w:hAnsiTheme="majorBidi" w:cs="Traditional Arabic"/>
          <w:sz w:val="32"/>
          <w:szCs w:val="32"/>
          <w:rtl/>
        </w:rPr>
        <w:t>إ</w:t>
      </w:r>
      <w:r w:rsidRPr="008A65E7">
        <w:rPr>
          <w:rFonts w:asciiTheme="majorBidi" w:hAnsiTheme="majorBidi" w:cs="Traditional Arabic"/>
          <w:color w:val="000000"/>
          <w:sz w:val="32"/>
          <w:szCs w:val="32"/>
          <w:rtl/>
        </w:rPr>
        <w:t>ذ</w:t>
      </w:r>
      <w:r w:rsidRPr="008A65E7">
        <w:rPr>
          <w:rFonts w:asciiTheme="majorBidi" w:eastAsia="TTE22EF0A8t00" w:hAnsiTheme="majorBidi" w:cs="Traditional Arabic"/>
          <w:sz w:val="32"/>
          <w:szCs w:val="32"/>
          <w:rtl/>
        </w:rPr>
        <w:t xml:space="preserve">ا وجب الإمام بواجب تأكد وجوبه ، وإ </w:t>
      </w:r>
      <w:r w:rsidRPr="008A65E7">
        <w:rPr>
          <w:rFonts w:asciiTheme="majorBidi" w:hAnsiTheme="majorBidi" w:cs="Traditional Arabic"/>
          <w:color w:val="000000"/>
          <w:sz w:val="32"/>
          <w:szCs w:val="32"/>
          <w:rtl/>
        </w:rPr>
        <w:t>ذ</w:t>
      </w:r>
      <w:r w:rsidRPr="008A65E7">
        <w:rPr>
          <w:rFonts w:asciiTheme="majorBidi" w:eastAsia="TTE22EF0A8t00" w:hAnsiTheme="majorBidi" w:cs="Traditional Arabic"/>
          <w:sz w:val="32"/>
          <w:szCs w:val="32"/>
          <w:rtl/>
        </w:rPr>
        <w:t xml:space="preserve">اوجب بمستحب وجب ، وا </w:t>
      </w:r>
      <w:r w:rsidRPr="008A65E7">
        <w:rPr>
          <w:rFonts w:asciiTheme="majorBidi" w:hAnsiTheme="majorBidi" w:cs="Traditional Arabic"/>
          <w:color w:val="000000"/>
          <w:sz w:val="32"/>
          <w:szCs w:val="32"/>
          <w:rtl/>
        </w:rPr>
        <w:t>ذ</w:t>
      </w:r>
      <w:r w:rsidRPr="008A65E7">
        <w:rPr>
          <w:rFonts w:asciiTheme="majorBidi" w:eastAsia="TTE22EF0A8t00" w:hAnsiTheme="majorBidi" w:cs="Traditional Arabic"/>
          <w:sz w:val="32"/>
          <w:szCs w:val="32"/>
          <w:rtl/>
        </w:rPr>
        <w:t>ا وجب بجائز إن كانت فيه مصلحة عامة كترك شرب الدخان وجب ( قول الشيخ نواوي البنتني )</w:t>
      </w:r>
    </w:p>
    <w:p w:rsidR="00343B61" w:rsidRDefault="00343B61" w:rsidP="00343B61">
      <w:pPr>
        <w:autoSpaceDE w:val="0"/>
        <w:autoSpaceDN w:val="0"/>
        <w:adjustRightInd w:val="0"/>
        <w:spacing w:after="0" w:line="240" w:lineRule="auto"/>
        <w:ind w:left="1080"/>
        <w:jc w:val="both"/>
        <w:rPr>
          <w:rFonts w:asciiTheme="majorBidi" w:eastAsia="TTE22EF0A8t00" w:hAnsiTheme="majorBidi" w:cstheme="majorBidi"/>
          <w:sz w:val="26"/>
          <w:szCs w:val="26"/>
        </w:rPr>
      </w:pPr>
      <w:r w:rsidRPr="0029474D">
        <w:rPr>
          <w:rFonts w:asciiTheme="majorBidi" w:eastAsia="TTE22EF0A8t00" w:hAnsiTheme="majorBidi" w:cstheme="majorBidi"/>
          <w:sz w:val="24"/>
          <w:szCs w:val="24"/>
        </w:rPr>
        <w:t>Artinya: “</w:t>
      </w:r>
      <w:r w:rsidRPr="0029474D">
        <w:rPr>
          <w:rFonts w:asciiTheme="majorBidi" w:eastAsia="TTE22EF0A8t00" w:hAnsiTheme="majorBidi" w:cstheme="majorBidi"/>
          <w:i/>
          <w:iCs/>
          <w:sz w:val="24"/>
          <w:szCs w:val="24"/>
        </w:rPr>
        <w:t>Apabila seorang pemimipin (imam) mewajibkan sesuatu maka seuatu itu menjadi wajib, dan apabila ia menganurkan sesautu maka itu juga menjadi menjadi, dan apabila mewajib yang harus, maka jika disana ada maslahat umum seperti menjauhi rokok, maka itu juga menjadi wajib</w:t>
      </w:r>
      <w:r w:rsidRPr="0029474D">
        <w:rPr>
          <w:rFonts w:asciiTheme="majorBidi" w:eastAsia="TTE22EF0A8t00" w:hAnsiTheme="majorBidi" w:cstheme="majorBidi"/>
          <w:sz w:val="26"/>
          <w:szCs w:val="26"/>
        </w:rPr>
        <w:t>”</w:t>
      </w:r>
    </w:p>
    <w:p w:rsidR="00343B61" w:rsidRPr="0029474D" w:rsidRDefault="00343B61" w:rsidP="00343B61">
      <w:pPr>
        <w:autoSpaceDE w:val="0"/>
        <w:autoSpaceDN w:val="0"/>
        <w:adjustRightInd w:val="0"/>
        <w:spacing w:after="0" w:line="240" w:lineRule="auto"/>
        <w:ind w:left="1080"/>
        <w:jc w:val="both"/>
        <w:rPr>
          <w:rFonts w:asciiTheme="majorBidi" w:eastAsia="TTE22EF0A8t00" w:hAnsiTheme="majorBidi" w:cstheme="majorBidi"/>
          <w:sz w:val="26"/>
          <w:szCs w:val="26"/>
        </w:rPr>
      </w:pPr>
    </w:p>
    <w:p w:rsidR="00343B61" w:rsidRPr="0029474D" w:rsidRDefault="00343B61" w:rsidP="00343B61">
      <w:pPr>
        <w:tabs>
          <w:tab w:val="left" w:pos="1800"/>
        </w:tabs>
        <w:spacing w:after="0" w:line="360" w:lineRule="auto"/>
        <w:ind w:firstLine="720"/>
        <w:jc w:val="both"/>
        <w:rPr>
          <w:rFonts w:asciiTheme="majorBidi" w:hAnsiTheme="majorBidi" w:cstheme="majorBidi"/>
          <w:sz w:val="24"/>
          <w:szCs w:val="24"/>
          <w:lang w:val="sv-SE"/>
        </w:rPr>
      </w:pPr>
      <w:r w:rsidRPr="0029474D">
        <w:rPr>
          <w:rFonts w:asciiTheme="majorBidi" w:hAnsiTheme="majorBidi" w:cstheme="majorBidi"/>
          <w:sz w:val="24"/>
          <w:szCs w:val="24"/>
          <w:lang w:val="sv-SE"/>
        </w:rPr>
        <w:t>Fatwa ini di</w:t>
      </w:r>
      <w:r>
        <w:rPr>
          <w:rFonts w:asciiTheme="majorBidi" w:hAnsiTheme="majorBidi" w:cstheme="majorBidi"/>
          <w:sz w:val="24"/>
          <w:szCs w:val="24"/>
          <w:lang w:val="sv-SE"/>
        </w:rPr>
        <w:t xml:space="preserve">bubuhi tanda tangan </w:t>
      </w:r>
      <w:r w:rsidRPr="0029474D">
        <w:rPr>
          <w:rFonts w:asciiTheme="majorBidi" w:hAnsiTheme="majorBidi" w:cstheme="majorBidi"/>
          <w:sz w:val="24"/>
          <w:szCs w:val="24"/>
          <w:lang w:val="sv-SE"/>
        </w:rPr>
        <w:t xml:space="preserve">oleh DR. KH. Anwar Ibrahim sebagai Ketua Komisi Fatwa </w:t>
      </w:r>
      <w:r>
        <w:rPr>
          <w:rFonts w:asciiTheme="majorBidi" w:hAnsiTheme="majorBidi" w:cstheme="majorBidi"/>
          <w:sz w:val="24"/>
          <w:szCs w:val="24"/>
          <w:lang w:val="sv-SE"/>
        </w:rPr>
        <w:t xml:space="preserve">MUI </w:t>
      </w:r>
      <w:r w:rsidRPr="0029474D">
        <w:rPr>
          <w:rFonts w:asciiTheme="majorBidi" w:hAnsiTheme="majorBidi" w:cstheme="majorBidi"/>
          <w:sz w:val="24"/>
          <w:szCs w:val="24"/>
          <w:lang w:val="sv-SE"/>
        </w:rPr>
        <w:t xml:space="preserve">dan Drs. H. Hasanuddin, M.Ag sebagai Sekretaris. </w:t>
      </w:r>
    </w:p>
    <w:p w:rsidR="00343B61" w:rsidRDefault="00343B61" w:rsidP="00343B61">
      <w:pPr>
        <w:tabs>
          <w:tab w:val="left" w:pos="1800"/>
        </w:tabs>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lang w:val="sv-SE"/>
        </w:rPr>
        <w:t>Melihat putusan fatwa MUI di</w:t>
      </w:r>
      <w:r>
        <w:rPr>
          <w:rFonts w:asciiTheme="majorBidi" w:hAnsiTheme="majorBidi" w:cstheme="majorBidi"/>
          <w:sz w:val="24"/>
          <w:szCs w:val="24"/>
          <w:lang w:val="sv-SE"/>
        </w:rPr>
        <w:t xml:space="preserve"> </w:t>
      </w:r>
      <w:r w:rsidRPr="0029474D">
        <w:rPr>
          <w:rFonts w:asciiTheme="majorBidi" w:hAnsiTheme="majorBidi" w:cstheme="majorBidi"/>
          <w:sz w:val="24"/>
          <w:szCs w:val="24"/>
          <w:lang w:val="sv-SE"/>
        </w:rPr>
        <w:t xml:space="preserve">atas, terlihat putusan fatwa masih dualisme hukum, yakni pada putusan ayat pertama yaitu; Pernikahan Di bawah Tangan hukumnya sah karena telah terpenuhinya syarat dan rukun nikah, tetapi haram jika </w:t>
      </w:r>
      <w:r w:rsidRPr="0029474D">
        <w:rPr>
          <w:rFonts w:asciiTheme="majorBidi" w:hAnsiTheme="majorBidi" w:cstheme="majorBidi"/>
          <w:sz w:val="24"/>
          <w:szCs w:val="24"/>
          <w:lang w:val="sv-SE"/>
        </w:rPr>
        <w:lastRenderedPageBreak/>
        <w:t xml:space="preserve">terdapat </w:t>
      </w:r>
      <w:r w:rsidRPr="0029474D">
        <w:rPr>
          <w:rFonts w:asciiTheme="majorBidi" w:hAnsiTheme="majorBidi" w:cstheme="majorBidi"/>
          <w:i/>
          <w:iCs/>
          <w:sz w:val="24"/>
          <w:szCs w:val="24"/>
          <w:lang w:val="sv-SE"/>
        </w:rPr>
        <w:t>mudharat</w:t>
      </w:r>
      <w:r w:rsidRPr="0029474D">
        <w:rPr>
          <w:rFonts w:asciiTheme="majorBidi" w:hAnsiTheme="majorBidi" w:cstheme="majorBidi"/>
          <w:sz w:val="24"/>
          <w:szCs w:val="24"/>
          <w:lang w:val="sv-SE"/>
        </w:rPr>
        <w:t xml:space="preserve">. Kata ” </w:t>
      </w:r>
      <w:r w:rsidRPr="0029474D">
        <w:rPr>
          <w:rFonts w:asciiTheme="majorBidi" w:hAnsiTheme="majorBidi" w:cstheme="majorBidi"/>
          <w:i/>
          <w:iCs/>
          <w:sz w:val="24"/>
          <w:szCs w:val="24"/>
          <w:lang w:val="sv-SE"/>
        </w:rPr>
        <w:t>mudharat</w:t>
      </w:r>
      <w:r w:rsidRPr="0029474D">
        <w:rPr>
          <w:rFonts w:asciiTheme="majorBidi" w:hAnsiTheme="majorBidi" w:cstheme="majorBidi"/>
          <w:sz w:val="24"/>
          <w:szCs w:val="24"/>
          <w:lang w:val="sv-SE"/>
        </w:rPr>
        <w:t xml:space="preserve"> disini jadi syarat sebuah pernikahan menjadi tidak sah. Paling tidak mudharat yang paling besar ditimbulkan oleh pernikahan di bawah tangan berdampak kepada istri dan anak. Adapun </w:t>
      </w:r>
      <w:r w:rsidRPr="0029474D">
        <w:rPr>
          <w:rFonts w:asciiTheme="majorBidi" w:hAnsiTheme="majorBidi" w:cstheme="majorBidi"/>
          <w:sz w:val="24"/>
          <w:szCs w:val="24"/>
        </w:rPr>
        <w:t>terhadap Istri, Secara Hukum;1) Tidak dianggap sebagai istri sah.</w:t>
      </w:r>
      <w:r w:rsidRPr="0029474D">
        <w:rPr>
          <w:rFonts w:asciiTheme="majorBidi" w:hAnsiTheme="majorBidi" w:cstheme="majorBidi"/>
          <w:sz w:val="24"/>
          <w:szCs w:val="24"/>
          <w:lang w:val="sv-SE"/>
        </w:rPr>
        <w:t xml:space="preserve"> 2)</w:t>
      </w:r>
      <w:r w:rsidRPr="0029474D">
        <w:rPr>
          <w:rFonts w:asciiTheme="majorBidi" w:hAnsiTheme="majorBidi" w:cstheme="majorBidi"/>
          <w:sz w:val="24"/>
          <w:szCs w:val="24"/>
        </w:rPr>
        <w:t> Tidak berhak atas nafkah dan warisan dari suami jika ia meninggal dunia</w:t>
      </w:r>
      <w:r w:rsidRPr="0029474D">
        <w:rPr>
          <w:rFonts w:asciiTheme="majorBidi" w:hAnsiTheme="majorBidi" w:cstheme="majorBidi"/>
          <w:sz w:val="24"/>
          <w:szCs w:val="24"/>
          <w:lang w:val="sv-SE"/>
        </w:rPr>
        <w:t xml:space="preserve">. 3) </w:t>
      </w:r>
      <w:r w:rsidRPr="0029474D">
        <w:rPr>
          <w:rFonts w:asciiTheme="majorBidi" w:hAnsiTheme="majorBidi" w:cstheme="majorBidi"/>
          <w:sz w:val="24"/>
          <w:szCs w:val="24"/>
        </w:rPr>
        <w:t xml:space="preserve">Tidak berhak atas harta gono gini jika terjadi perpisahan karena secara hukum perkawinan dianggap </w:t>
      </w:r>
      <w:r>
        <w:rPr>
          <w:rFonts w:asciiTheme="majorBidi" w:hAnsiTheme="majorBidi" w:cstheme="majorBidi"/>
          <w:sz w:val="24"/>
          <w:szCs w:val="24"/>
        </w:rPr>
        <w:t>tidak pernah terjadi. Adapun se</w:t>
      </w:r>
      <w:r w:rsidRPr="0029474D">
        <w:rPr>
          <w:rFonts w:asciiTheme="majorBidi" w:hAnsiTheme="majorBidi" w:cstheme="majorBidi"/>
          <w:sz w:val="24"/>
          <w:szCs w:val="24"/>
        </w:rPr>
        <w:t>car</w:t>
      </w:r>
      <w:r>
        <w:rPr>
          <w:rFonts w:asciiTheme="majorBidi" w:hAnsiTheme="majorBidi" w:cstheme="majorBidi"/>
          <w:sz w:val="24"/>
          <w:szCs w:val="24"/>
        </w:rPr>
        <w:t>a</w:t>
      </w:r>
      <w:r w:rsidRPr="0029474D">
        <w:rPr>
          <w:rFonts w:asciiTheme="majorBidi" w:hAnsiTheme="majorBidi" w:cstheme="majorBidi"/>
          <w:sz w:val="24"/>
          <w:szCs w:val="24"/>
        </w:rPr>
        <w:t xml:space="preserve"> sos</w:t>
      </w:r>
      <w:r>
        <w:rPr>
          <w:rFonts w:asciiTheme="majorBidi" w:hAnsiTheme="majorBidi" w:cstheme="majorBidi"/>
          <w:sz w:val="24"/>
          <w:szCs w:val="24"/>
        </w:rPr>
        <w:t>ia</w:t>
      </w:r>
      <w:r w:rsidRPr="0029474D">
        <w:rPr>
          <w:rFonts w:asciiTheme="majorBidi" w:hAnsiTheme="majorBidi" w:cstheme="majorBidi"/>
          <w:sz w:val="24"/>
          <w:szCs w:val="24"/>
        </w:rPr>
        <w:t>l</w:t>
      </w:r>
      <w:r w:rsidRPr="0029474D">
        <w:rPr>
          <w:rFonts w:asciiTheme="majorBidi" w:hAnsiTheme="majorBidi" w:cstheme="majorBidi"/>
          <w:sz w:val="24"/>
          <w:szCs w:val="24"/>
          <w:lang w:val="sv-SE"/>
        </w:rPr>
        <w:t xml:space="preserve"> </w:t>
      </w:r>
      <w:r w:rsidRPr="0029474D">
        <w:rPr>
          <w:rFonts w:asciiTheme="majorBidi" w:hAnsiTheme="majorBidi" w:cstheme="majorBidi"/>
          <w:sz w:val="24"/>
          <w:szCs w:val="24"/>
        </w:rPr>
        <w:t>akan sulit bersosialisasi karena perempuan yang melakukan perkawinan bawah tangan sering dianggap telah tinggal serumah dengan laki-</w:t>
      </w:r>
      <w:r>
        <w:rPr>
          <w:rFonts w:asciiTheme="majorBidi" w:hAnsiTheme="majorBidi" w:cstheme="majorBidi"/>
          <w:sz w:val="24"/>
          <w:szCs w:val="24"/>
        </w:rPr>
        <w:t>lak</w:t>
      </w:r>
      <w:r w:rsidRPr="0029474D">
        <w:rPr>
          <w:rFonts w:asciiTheme="majorBidi" w:hAnsiTheme="majorBidi" w:cstheme="majorBidi"/>
          <w:sz w:val="24"/>
          <w:szCs w:val="24"/>
        </w:rPr>
        <w:t>i tanpa ikatan perkawinan (alias kumpul kebo) atau  dianggap menjadi istri simpanan.</w:t>
      </w:r>
      <w:r w:rsidRPr="0029474D">
        <w:rPr>
          <w:rStyle w:val="FootnoteReference"/>
          <w:rFonts w:asciiTheme="majorBidi" w:hAnsiTheme="majorBidi" w:cstheme="majorBidi"/>
          <w:sz w:val="24"/>
          <w:szCs w:val="24"/>
        </w:rPr>
        <w:footnoteReference w:id="682"/>
      </w:r>
    </w:p>
    <w:p w:rsidR="00343B61" w:rsidRDefault="00343B61" w:rsidP="00343B61">
      <w:pPr>
        <w:tabs>
          <w:tab w:val="left" w:pos="1800"/>
        </w:tabs>
        <w:spacing w:after="0" w:line="360" w:lineRule="auto"/>
        <w:ind w:firstLine="720"/>
        <w:jc w:val="both"/>
        <w:rPr>
          <w:rFonts w:asciiTheme="majorBidi" w:hAnsiTheme="majorBidi" w:cstheme="majorBidi"/>
          <w:sz w:val="24"/>
          <w:szCs w:val="24"/>
        </w:rPr>
      </w:pPr>
      <w:r w:rsidRPr="0029474D">
        <w:rPr>
          <w:rFonts w:asciiTheme="majorBidi" w:hAnsiTheme="majorBidi" w:cstheme="majorBidi"/>
          <w:sz w:val="24"/>
          <w:szCs w:val="24"/>
        </w:rPr>
        <w:t>Sementara mudharat Nikah Bawah Tangan terhadap anak adalah; 1)  Status anak yang dilahirkan pada perkawinan bawah tangan dianggap anak luar kawin. Konsek</w:t>
      </w:r>
      <w:r>
        <w:rPr>
          <w:rFonts w:asciiTheme="majorBidi" w:hAnsiTheme="majorBidi" w:cstheme="majorBidi"/>
          <w:sz w:val="24"/>
          <w:szCs w:val="24"/>
        </w:rPr>
        <w:t>u</w:t>
      </w:r>
      <w:r w:rsidRPr="0029474D">
        <w:rPr>
          <w:rFonts w:asciiTheme="majorBidi" w:hAnsiTheme="majorBidi" w:cstheme="majorBidi"/>
          <w:sz w:val="24"/>
          <w:szCs w:val="24"/>
        </w:rPr>
        <w:t>wensinya, anak hanya mempunyai hubungan perdata dengan ibu dan keluarga ibu. Artinya, si anak tidak mempunyai hubungan hukum terhadap ayahnya.</w:t>
      </w:r>
      <w:r w:rsidRPr="0029474D">
        <w:rPr>
          <w:rStyle w:val="FootnoteReference"/>
          <w:rFonts w:asciiTheme="majorBidi" w:hAnsiTheme="majorBidi" w:cstheme="majorBidi"/>
          <w:sz w:val="24"/>
          <w:szCs w:val="24"/>
        </w:rPr>
        <w:footnoteReference w:id="683"/>
      </w:r>
      <w:r w:rsidRPr="0029474D">
        <w:rPr>
          <w:rFonts w:asciiTheme="majorBidi" w:hAnsiTheme="majorBidi" w:cstheme="majorBidi"/>
          <w:sz w:val="24"/>
          <w:szCs w:val="24"/>
        </w:rPr>
        <w:t xml:space="preserve">  2) Di</w:t>
      </w:r>
      <w:r>
        <w:rPr>
          <w:rFonts w:asciiTheme="majorBidi" w:hAnsiTheme="majorBidi" w:cstheme="majorBidi"/>
          <w:sz w:val="24"/>
          <w:szCs w:val="24"/>
        </w:rPr>
        <w:t xml:space="preserve"> </w:t>
      </w:r>
      <w:r w:rsidRPr="0029474D">
        <w:rPr>
          <w:rFonts w:asciiTheme="majorBidi" w:hAnsiTheme="majorBidi" w:cstheme="majorBidi"/>
          <w:sz w:val="24"/>
          <w:szCs w:val="24"/>
        </w:rPr>
        <w:t>dalam akte kelahirannya pun  statu</w:t>
      </w:r>
      <w:r>
        <w:rPr>
          <w:rFonts w:asciiTheme="majorBidi" w:hAnsiTheme="majorBidi" w:cstheme="majorBidi"/>
          <w:sz w:val="24"/>
          <w:szCs w:val="24"/>
        </w:rPr>
        <w:t xml:space="preserve">snya dianggap sebagai anak luar </w:t>
      </w:r>
      <w:r w:rsidRPr="0029474D">
        <w:rPr>
          <w:rFonts w:asciiTheme="majorBidi" w:hAnsiTheme="majorBidi" w:cstheme="majorBidi"/>
          <w:sz w:val="24"/>
          <w:szCs w:val="24"/>
        </w:rPr>
        <w:t>nikah, sehingga hanya dicantumkan nama ibu yang melahirkannya. Keterangan berupa status sebagai anak luar nikah dan tidak tercantumnya nama si ayah akan berd</w:t>
      </w:r>
      <w:r>
        <w:rPr>
          <w:rFonts w:asciiTheme="majorBidi" w:hAnsiTheme="majorBidi" w:cstheme="majorBidi"/>
          <w:sz w:val="24"/>
          <w:szCs w:val="24"/>
        </w:rPr>
        <w:t>ampak sangat mendalam secara sos</w:t>
      </w:r>
      <w:r w:rsidRPr="0029474D">
        <w:rPr>
          <w:rFonts w:asciiTheme="majorBidi" w:hAnsiTheme="majorBidi" w:cstheme="majorBidi"/>
          <w:sz w:val="24"/>
          <w:szCs w:val="24"/>
        </w:rPr>
        <w:t>ial dan psikologis bagi si anak dan ibunya. 3)  Ketidakjelasan status si anak di muka hukum mengakibatkan hubungan antara ayah dan anak tidak kuat sehingga bisa saja suatu waktu ayahnya menyangkal bahwa anak tersebut adalah anak kandungnya. 4) Anak tidak berhak atas biaya kehidupan dan pendidikan , nafkah dan warisan dari ayahnya.</w:t>
      </w:r>
    </w:p>
    <w:p w:rsidR="00343B61" w:rsidRPr="000811A5" w:rsidRDefault="00343B61" w:rsidP="00343B61">
      <w:pPr>
        <w:tabs>
          <w:tab w:val="left" w:pos="1800"/>
        </w:tabs>
        <w:spacing w:after="0" w:line="360" w:lineRule="auto"/>
        <w:ind w:firstLine="720"/>
        <w:jc w:val="both"/>
        <w:rPr>
          <w:rFonts w:asciiTheme="majorBidi" w:hAnsiTheme="majorBidi" w:cstheme="majorBidi"/>
          <w:sz w:val="24"/>
          <w:szCs w:val="24"/>
          <w:lang w:val="sv-SE"/>
        </w:rPr>
      </w:pPr>
      <w:r w:rsidRPr="0029474D">
        <w:rPr>
          <w:rFonts w:asciiTheme="majorBidi" w:hAnsiTheme="majorBidi" w:cstheme="majorBidi"/>
          <w:sz w:val="24"/>
          <w:szCs w:val="24"/>
        </w:rPr>
        <w:t>Melihat dampak mudharat yang begitu besar dan banyak, bila di</w:t>
      </w:r>
      <w:r>
        <w:rPr>
          <w:rFonts w:asciiTheme="majorBidi" w:hAnsiTheme="majorBidi" w:cstheme="majorBidi"/>
          <w:sz w:val="24"/>
          <w:szCs w:val="24"/>
        </w:rPr>
        <w:t>pandang dari segi maslahat hampi</w:t>
      </w:r>
      <w:r w:rsidRPr="0029474D">
        <w:rPr>
          <w:rFonts w:asciiTheme="majorBidi" w:hAnsiTheme="majorBidi" w:cstheme="majorBidi"/>
          <w:sz w:val="24"/>
          <w:szCs w:val="24"/>
        </w:rPr>
        <w:t xml:space="preserve">r tidak ditemukan maslahat menikah tidak tercatat, maka dari persfektif siyasah syar’iyah penulis  menilai fatwa MUI yang membuka peluang untuk melakukan nikah di bawah tangan tidak maslahat, semestinya fatwa ini tegas melarang pernikahan dibawah tangan sehingga hak-hak anak dan istri </w:t>
      </w:r>
      <w:r w:rsidRPr="0029474D">
        <w:rPr>
          <w:rFonts w:asciiTheme="majorBidi" w:hAnsiTheme="majorBidi" w:cstheme="majorBidi"/>
          <w:sz w:val="24"/>
          <w:szCs w:val="24"/>
        </w:rPr>
        <w:lastRenderedPageBreak/>
        <w:t>tidak terabaikan dan tujuan hukum berupa meraih kemaslatan dan menghindar dari kemudharatan bisa tercapai.</w:t>
      </w:r>
    </w:p>
    <w:p w:rsidR="00343B61" w:rsidRPr="00741DC9" w:rsidRDefault="00343B61" w:rsidP="002C0A33">
      <w:pPr>
        <w:pStyle w:val="ListParagraph"/>
        <w:numPr>
          <w:ilvl w:val="0"/>
          <w:numId w:val="53"/>
        </w:numPr>
        <w:tabs>
          <w:tab w:val="left" w:pos="1800"/>
        </w:tabs>
        <w:spacing w:line="360" w:lineRule="auto"/>
        <w:ind w:left="360"/>
        <w:jc w:val="both"/>
        <w:rPr>
          <w:rFonts w:asciiTheme="majorBidi" w:hAnsiTheme="majorBidi" w:cstheme="majorBidi"/>
          <w:sz w:val="24"/>
          <w:szCs w:val="24"/>
          <w:lang w:val="sv-SE"/>
        </w:rPr>
      </w:pPr>
      <w:r w:rsidRPr="00741DC9">
        <w:rPr>
          <w:rFonts w:asciiTheme="majorBidi" w:hAnsiTheme="majorBidi" w:cstheme="majorBidi"/>
          <w:sz w:val="24"/>
          <w:szCs w:val="24"/>
          <w:lang w:val="sv-SE"/>
        </w:rPr>
        <w:t>Fatwa Talak diluar Pengadilan</w:t>
      </w:r>
    </w:p>
    <w:p w:rsidR="00343B61" w:rsidRPr="007A764B" w:rsidRDefault="00343B61" w:rsidP="002C0A33">
      <w:pPr>
        <w:pStyle w:val="ListParagraph"/>
        <w:numPr>
          <w:ilvl w:val="0"/>
          <w:numId w:val="55"/>
        </w:numPr>
        <w:tabs>
          <w:tab w:val="left" w:pos="1800"/>
        </w:tabs>
        <w:spacing w:line="360" w:lineRule="auto"/>
        <w:ind w:left="630" w:hanging="270"/>
        <w:jc w:val="both"/>
        <w:rPr>
          <w:rFonts w:asciiTheme="majorBidi" w:hAnsiTheme="majorBidi" w:cstheme="majorBidi"/>
          <w:sz w:val="24"/>
          <w:szCs w:val="24"/>
          <w:lang w:val="sv-SE"/>
        </w:rPr>
      </w:pPr>
      <w:r w:rsidRPr="007A764B">
        <w:rPr>
          <w:rFonts w:asciiTheme="majorBidi" w:hAnsiTheme="majorBidi" w:cstheme="majorBidi"/>
          <w:sz w:val="24"/>
          <w:szCs w:val="24"/>
          <w:lang w:val="sv-SE"/>
        </w:rPr>
        <w:t xml:space="preserve">Pengertian Talak </w:t>
      </w:r>
    </w:p>
    <w:p w:rsidR="00343B61" w:rsidRPr="005E66CC" w:rsidRDefault="00343B61" w:rsidP="00343B61">
      <w:pPr>
        <w:pStyle w:val="ListParagraph"/>
        <w:spacing w:line="360" w:lineRule="auto"/>
        <w:ind w:left="0" w:firstLine="720"/>
        <w:jc w:val="both"/>
        <w:rPr>
          <w:rFonts w:asciiTheme="majorBidi" w:hAnsiTheme="majorBidi" w:cstheme="majorBidi"/>
          <w:i/>
          <w:iCs/>
          <w:lang w:val="sv-SE"/>
        </w:rPr>
      </w:pPr>
      <w:r>
        <w:rPr>
          <w:rFonts w:asciiTheme="majorBidi" w:hAnsiTheme="majorBidi" w:cstheme="majorBidi"/>
          <w:sz w:val="24"/>
          <w:szCs w:val="24"/>
          <w:lang w:val="sv-SE"/>
        </w:rPr>
        <w:t>Talak terambil dari lafaz arab”</w:t>
      </w:r>
      <w:r w:rsidRPr="005E66CC">
        <w:rPr>
          <w:rFonts w:asciiTheme="majorBidi" w:hAnsiTheme="majorBidi" w:cstheme="majorBidi"/>
          <w:sz w:val="24"/>
          <w:szCs w:val="24"/>
          <w:lang w:val="sv-SE"/>
        </w:rPr>
        <w:t>(</w:t>
      </w:r>
      <w:r>
        <w:rPr>
          <w:rFonts w:ascii="Arial" w:hAnsi="Arial"/>
          <w:color w:val="000000"/>
          <w:sz w:val="24"/>
          <w:szCs w:val="24"/>
          <w:rtl/>
        </w:rPr>
        <w:t>ط</w:t>
      </w:r>
      <w:r w:rsidRPr="005E66CC">
        <w:rPr>
          <w:rFonts w:ascii="Arial" w:hAnsi="Arial"/>
          <w:color w:val="000000"/>
          <w:sz w:val="24"/>
          <w:szCs w:val="24"/>
          <w:rtl/>
        </w:rPr>
        <w:t>لق</w:t>
      </w:r>
      <w:r w:rsidRPr="005E66CC">
        <w:rPr>
          <w:rFonts w:asciiTheme="majorBidi" w:hAnsiTheme="majorBidi" w:cstheme="majorBidi"/>
          <w:sz w:val="24"/>
          <w:szCs w:val="24"/>
          <w:lang w:val="sv-SE"/>
        </w:rPr>
        <w:t>)</w:t>
      </w:r>
      <w:r w:rsidRPr="00CD7F94">
        <w:rPr>
          <w:rFonts w:asciiTheme="majorBidi" w:hAnsiTheme="majorBidi" w:cstheme="majorBidi"/>
          <w:sz w:val="24"/>
          <w:szCs w:val="24"/>
          <w:lang w:val="sv-SE"/>
        </w:rPr>
        <w:t xml:space="preserve"> </w:t>
      </w:r>
      <w:r>
        <w:rPr>
          <w:rFonts w:asciiTheme="majorBidi" w:hAnsiTheme="majorBidi" w:cstheme="majorBidi"/>
          <w:i/>
          <w:iCs/>
          <w:sz w:val="24"/>
          <w:szCs w:val="24"/>
          <w:lang w:val="sv-SE"/>
        </w:rPr>
        <w:t>ṭ</w:t>
      </w:r>
      <w:r w:rsidRPr="00CD7F94">
        <w:rPr>
          <w:rFonts w:asciiTheme="majorBidi" w:hAnsiTheme="majorBidi" w:cstheme="majorBidi"/>
          <w:i/>
          <w:iCs/>
          <w:sz w:val="24"/>
          <w:szCs w:val="24"/>
          <w:lang w:val="sv-SE"/>
        </w:rPr>
        <w:t>a</w:t>
      </w:r>
      <w:r>
        <w:rPr>
          <w:rFonts w:asciiTheme="majorBidi" w:hAnsiTheme="majorBidi" w:cstheme="majorBidi"/>
          <w:i/>
          <w:iCs/>
          <w:sz w:val="24"/>
          <w:szCs w:val="24"/>
          <w:lang w:val="sv-SE"/>
        </w:rPr>
        <w:t>la</w:t>
      </w:r>
      <w:r w:rsidRPr="00CD7F94">
        <w:rPr>
          <w:rFonts w:asciiTheme="majorBidi" w:hAnsiTheme="majorBidi" w:cstheme="majorBidi"/>
          <w:i/>
          <w:iCs/>
          <w:sz w:val="24"/>
          <w:szCs w:val="24"/>
          <w:lang w:val="sv-SE"/>
        </w:rPr>
        <w:t>q</w:t>
      </w:r>
      <w:r w:rsidRPr="00CD7F94">
        <w:rPr>
          <w:rFonts w:asciiTheme="majorBidi" w:hAnsiTheme="majorBidi" w:cstheme="majorBidi"/>
          <w:sz w:val="24"/>
          <w:szCs w:val="24"/>
          <w:lang w:val="sv-SE"/>
        </w:rPr>
        <w:t>” yang menurut bahasa artinya ” melepaskan ikatan atau membiarkan pergi(</w:t>
      </w:r>
      <w:r w:rsidRPr="00CD7F94">
        <w:rPr>
          <w:rFonts w:asciiTheme="majorBidi" w:hAnsiTheme="majorBidi" w:cstheme="majorBidi" w:hint="cs"/>
          <w:sz w:val="24"/>
          <w:szCs w:val="24"/>
          <w:rtl/>
          <w:lang w:val="sv-SE"/>
        </w:rPr>
        <w:t>حل القيد والإطلاق</w:t>
      </w:r>
      <w:r w:rsidRPr="00CD7F94">
        <w:rPr>
          <w:rFonts w:asciiTheme="majorBidi" w:hAnsiTheme="majorBidi" w:cstheme="majorBidi"/>
          <w:sz w:val="24"/>
          <w:szCs w:val="24"/>
          <w:lang w:val="sv-SE"/>
        </w:rPr>
        <w:t xml:space="preserve"> )” Diantara </w:t>
      </w:r>
      <w:r>
        <w:rPr>
          <w:rFonts w:asciiTheme="majorBidi" w:hAnsiTheme="majorBidi" w:cstheme="majorBidi"/>
          <w:sz w:val="24"/>
          <w:szCs w:val="24"/>
          <w:lang w:val="sv-SE"/>
        </w:rPr>
        <w:t>pemakaian kata talak secara bahasa seperti ungkapan</w:t>
      </w:r>
      <w:r w:rsidRPr="00CD7F94">
        <w:rPr>
          <w:rFonts w:asciiTheme="majorBidi" w:hAnsiTheme="majorBidi" w:cstheme="majorBidi"/>
          <w:sz w:val="24"/>
          <w:szCs w:val="24"/>
          <w:lang w:val="sv-SE"/>
        </w:rPr>
        <w:t xml:space="preserve"> ” </w:t>
      </w:r>
      <w:r w:rsidRPr="00CD7F94">
        <w:rPr>
          <w:rFonts w:asciiTheme="majorBidi" w:hAnsiTheme="majorBidi" w:cstheme="majorBidi"/>
          <w:i/>
          <w:iCs/>
          <w:sz w:val="24"/>
          <w:szCs w:val="24"/>
          <w:lang w:val="sv-SE"/>
        </w:rPr>
        <w:t>n</w:t>
      </w:r>
      <w:r w:rsidRPr="005E66CC">
        <w:rPr>
          <w:rFonts w:asciiTheme="majorBidi" w:hAnsiTheme="majorBidi" w:cstheme="majorBidi"/>
          <w:i/>
          <w:iCs/>
          <w:lang w:val="sv-SE"/>
        </w:rPr>
        <w:t>ā</w:t>
      </w:r>
      <w:r w:rsidRPr="005E66CC">
        <w:rPr>
          <w:rFonts w:asciiTheme="majorBidi" w:hAnsiTheme="majorBidi" w:cstheme="majorBidi"/>
          <w:i/>
          <w:iCs/>
          <w:sz w:val="24"/>
          <w:szCs w:val="24"/>
          <w:lang w:val="sv-SE"/>
        </w:rPr>
        <w:t xml:space="preserve">qah </w:t>
      </w:r>
      <w:r w:rsidRPr="005E66CC">
        <w:rPr>
          <w:rFonts w:asciiTheme="majorBidi" w:hAnsiTheme="majorBidi" w:cstheme="majorBidi"/>
          <w:i/>
          <w:iCs/>
          <w:lang w:val="sv-SE"/>
        </w:rPr>
        <w:t>ṭā</w:t>
      </w:r>
      <w:r w:rsidRPr="005E66CC">
        <w:rPr>
          <w:rFonts w:asciiTheme="majorBidi" w:hAnsiTheme="majorBidi" w:cstheme="majorBidi"/>
          <w:i/>
          <w:iCs/>
          <w:sz w:val="24"/>
          <w:szCs w:val="24"/>
          <w:lang w:val="sv-SE"/>
        </w:rPr>
        <w:t>liqun</w:t>
      </w:r>
      <w:r w:rsidRPr="005E66CC">
        <w:rPr>
          <w:rFonts w:asciiTheme="majorBidi" w:hAnsiTheme="majorBidi" w:cstheme="majorBidi"/>
          <w:sz w:val="24"/>
          <w:szCs w:val="24"/>
          <w:lang w:val="sv-SE"/>
        </w:rPr>
        <w:t xml:space="preserve"> (</w:t>
      </w:r>
      <w:r w:rsidRPr="005E66CC">
        <w:rPr>
          <w:rFonts w:ascii="Arial" w:hAnsi="Arial"/>
          <w:color w:val="000000"/>
          <w:sz w:val="24"/>
          <w:szCs w:val="24"/>
          <w:rtl/>
        </w:rPr>
        <w:t>ناقة طالق</w:t>
      </w:r>
      <w:r w:rsidRPr="005E66CC">
        <w:rPr>
          <w:rFonts w:asciiTheme="majorBidi" w:hAnsiTheme="majorBidi" w:cstheme="majorBidi"/>
          <w:sz w:val="24"/>
          <w:szCs w:val="24"/>
          <w:lang w:val="sv-SE"/>
        </w:rPr>
        <w:t>) artinya membiarkan unta pergi tanpa ikatan (</w:t>
      </w:r>
      <w:r w:rsidRPr="005E66CC">
        <w:rPr>
          <w:rFonts w:ascii="Arial" w:hAnsi="Arial"/>
          <w:b/>
          <w:bCs/>
          <w:color w:val="000000"/>
          <w:sz w:val="24"/>
          <w:szCs w:val="24"/>
          <w:rtl/>
        </w:rPr>
        <w:t>أي مرسلة بلا قيد</w:t>
      </w:r>
      <w:r w:rsidRPr="005E66CC">
        <w:rPr>
          <w:rFonts w:asciiTheme="majorBidi" w:hAnsiTheme="majorBidi" w:cstheme="majorBidi"/>
          <w:sz w:val="24"/>
          <w:szCs w:val="24"/>
          <w:lang w:val="sv-SE"/>
        </w:rPr>
        <w:t>).</w:t>
      </w:r>
      <w:r>
        <w:rPr>
          <w:rStyle w:val="FootnoteReference"/>
          <w:rFonts w:asciiTheme="majorBidi" w:hAnsiTheme="majorBidi" w:cstheme="majorBidi"/>
          <w:sz w:val="24"/>
          <w:szCs w:val="24"/>
          <w:lang w:val="sv-SE"/>
        </w:rPr>
        <w:footnoteReference w:id="684"/>
      </w:r>
      <w:r w:rsidRPr="005E66CC">
        <w:rPr>
          <w:rFonts w:asciiTheme="majorBidi" w:hAnsiTheme="majorBidi" w:cstheme="majorBidi"/>
          <w:sz w:val="24"/>
          <w:szCs w:val="24"/>
          <w:lang w:val="sv-SE"/>
        </w:rPr>
        <w:t xml:space="preserve">  Ibn Nujaim al-Hanafi mendefinisikan talak secara bahasa dengan ”membiarkan, (</w:t>
      </w:r>
      <w:r w:rsidRPr="005E66CC">
        <w:rPr>
          <w:rFonts w:ascii="Traditional Arabic" w:cs="Traditional Arabic" w:hint="cs"/>
          <w:b/>
          <w:bCs/>
          <w:color w:val="000000"/>
          <w:sz w:val="28"/>
          <w:szCs w:val="28"/>
          <w:rtl/>
        </w:rPr>
        <w:t>التَّخْلِيَةُ</w:t>
      </w:r>
      <w:r w:rsidRPr="005E66CC">
        <w:rPr>
          <w:rFonts w:asciiTheme="majorBidi" w:hAnsiTheme="majorBidi" w:cstheme="majorBidi"/>
          <w:sz w:val="24"/>
          <w:szCs w:val="24"/>
          <w:lang w:val="sv-SE"/>
        </w:rPr>
        <w:t>), melepaskan (</w:t>
      </w:r>
      <w:r w:rsidRPr="005E66CC">
        <w:rPr>
          <w:rFonts w:ascii="Traditional Arabic" w:cs="Traditional Arabic" w:hint="cs"/>
          <w:b/>
          <w:bCs/>
          <w:color w:val="000000"/>
          <w:sz w:val="28"/>
          <w:szCs w:val="28"/>
          <w:rtl/>
        </w:rPr>
        <w:t>وَالْإِرْسَالُ</w:t>
      </w:r>
      <w:r w:rsidRPr="005E66CC">
        <w:rPr>
          <w:rFonts w:asciiTheme="majorBidi" w:hAnsiTheme="majorBidi" w:cstheme="majorBidi"/>
          <w:sz w:val="24"/>
          <w:szCs w:val="24"/>
          <w:lang w:val="sv-SE"/>
        </w:rPr>
        <w:t>) dan mengangkat ikatan (</w:t>
      </w:r>
      <w:r w:rsidRPr="005E66CC">
        <w:rPr>
          <w:rFonts w:ascii="Traditional Arabic" w:cs="Traditional Arabic" w:hint="cs"/>
          <w:b/>
          <w:bCs/>
          <w:color w:val="000000"/>
          <w:sz w:val="28"/>
          <w:szCs w:val="28"/>
          <w:rtl/>
        </w:rPr>
        <w:t>وَرَفْعُ</w:t>
      </w:r>
      <w:r w:rsidRPr="005E66CC">
        <w:rPr>
          <w:rFonts w:ascii="Traditional Arabic" w:cs="Traditional Arabic"/>
          <w:b/>
          <w:bCs/>
          <w:color w:val="000000"/>
          <w:sz w:val="28"/>
          <w:szCs w:val="28"/>
          <w:rtl/>
        </w:rPr>
        <w:t xml:space="preserve"> </w:t>
      </w:r>
      <w:r w:rsidRPr="005E66CC">
        <w:rPr>
          <w:rFonts w:ascii="Traditional Arabic" w:cs="Traditional Arabic" w:hint="cs"/>
          <w:b/>
          <w:bCs/>
          <w:color w:val="000000"/>
          <w:sz w:val="28"/>
          <w:szCs w:val="28"/>
          <w:rtl/>
        </w:rPr>
        <w:t>الْقَيْدِ</w:t>
      </w:r>
      <w:r w:rsidRPr="005E66CC">
        <w:rPr>
          <w:rFonts w:asciiTheme="majorBidi" w:hAnsiTheme="majorBidi" w:cstheme="majorBidi"/>
          <w:sz w:val="24"/>
          <w:szCs w:val="24"/>
          <w:lang w:val="sv-SE"/>
        </w:rPr>
        <w:t xml:space="preserve"> ).</w:t>
      </w:r>
      <w:r>
        <w:rPr>
          <w:rStyle w:val="FootnoteReference"/>
          <w:rFonts w:asciiTheme="majorBidi" w:hAnsiTheme="majorBidi" w:cstheme="majorBidi"/>
          <w:sz w:val="24"/>
          <w:szCs w:val="24"/>
          <w:lang w:val="sv-SE"/>
        </w:rPr>
        <w:footnoteReference w:id="685"/>
      </w:r>
      <w:r w:rsidRPr="005E66CC">
        <w:rPr>
          <w:rFonts w:asciiTheme="majorBidi" w:hAnsiTheme="majorBidi" w:cstheme="majorBidi"/>
          <w:sz w:val="24"/>
          <w:szCs w:val="24"/>
          <w:lang w:val="sv-SE"/>
        </w:rPr>
        <w:t xml:space="preserve"> Menurut istilah syara’ talak adalah:</w:t>
      </w:r>
    </w:p>
    <w:p w:rsidR="00343B61" w:rsidRPr="00D43DA7" w:rsidRDefault="00343B61" w:rsidP="00343B61">
      <w:pPr>
        <w:pStyle w:val="ListParagraph"/>
        <w:tabs>
          <w:tab w:val="left" w:pos="1800"/>
        </w:tabs>
        <w:bidi/>
        <w:spacing w:line="240" w:lineRule="auto"/>
        <w:ind w:left="17"/>
        <w:jc w:val="both"/>
        <w:rPr>
          <w:rFonts w:asciiTheme="majorBidi" w:hAnsiTheme="majorBidi" w:cstheme="majorBidi"/>
          <w:color w:val="000000"/>
          <w:sz w:val="24"/>
          <w:szCs w:val="24"/>
        </w:rPr>
      </w:pPr>
      <w:r w:rsidRPr="008A65E7">
        <w:rPr>
          <w:rFonts w:ascii="Arial" w:hAnsi="Arial" w:cs="Traditional Arabic"/>
          <w:color w:val="000000"/>
          <w:sz w:val="32"/>
          <w:szCs w:val="32"/>
          <w:rtl/>
        </w:rPr>
        <w:t>حَل عُقْدَةِ النِّكَاحِ بِلَفْظِ الطَّلاَقِ ، وَنَحْوِهِ</w:t>
      </w:r>
      <w:r>
        <w:rPr>
          <w:rFonts w:ascii="Arial" w:hAnsi="Arial" w:hint="cs"/>
          <w:b/>
          <w:bCs/>
          <w:color w:val="000000"/>
          <w:sz w:val="28"/>
          <w:szCs w:val="28"/>
          <w:rtl/>
        </w:rPr>
        <w:t xml:space="preserve"> </w:t>
      </w:r>
      <w:r w:rsidRPr="00D43DA7">
        <w:rPr>
          <w:rStyle w:val="FootnoteReference"/>
          <w:rFonts w:ascii="Arial" w:hAnsi="Arial"/>
          <w:color w:val="000000"/>
          <w:sz w:val="24"/>
          <w:szCs w:val="24"/>
          <w:rtl/>
        </w:rPr>
        <w:footnoteReference w:id="686"/>
      </w:r>
    </w:p>
    <w:p w:rsidR="00343B61" w:rsidRPr="008A65E7" w:rsidRDefault="00343B61" w:rsidP="00343B61">
      <w:pPr>
        <w:pStyle w:val="ListParagraph"/>
        <w:tabs>
          <w:tab w:val="left" w:pos="1800"/>
        </w:tabs>
        <w:spacing w:line="240" w:lineRule="auto"/>
        <w:ind w:left="90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Artinya: </w:t>
      </w:r>
      <w:r w:rsidRPr="007A764B">
        <w:rPr>
          <w:rFonts w:asciiTheme="majorBidi" w:hAnsiTheme="majorBidi" w:cstheme="majorBidi"/>
          <w:color w:val="000000"/>
          <w:sz w:val="24"/>
          <w:szCs w:val="24"/>
        </w:rPr>
        <w:t>“</w:t>
      </w:r>
      <w:r w:rsidRPr="007A764B">
        <w:rPr>
          <w:rFonts w:asciiTheme="majorBidi" w:hAnsiTheme="majorBidi" w:cstheme="majorBidi"/>
          <w:i/>
          <w:iCs/>
          <w:color w:val="000000"/>
          <w:sz w:val="24"/>
          <w:szCs w:val="24"/>
        </w:rPr>
        <w:t>Melepas</w:t>
      </w:r>
      <w:r>
        <w:rPr>
          <w:rFonts w:asciiTheme="majorBidi" w:hAnsiTheme="majorBidi" w:cstheme="majorBidi"/>
          <w:i/>
          <w:iCs/>
          <w:color w:val="000000"/>
          <w:sz w:val="24"/>
          <w:szCs w:val="24"/>
        </w:rPr>
        <w:t>kan</w:t>
      </w:r>
      <w:r w:rsidRPr="007A764B">
        <w:rPr>
          <w:rFonts w:asciiTheme="majorBidi" w:hAnsiTheme="majorBidi" w:cstheme="majorBidi"/>
          <w:i/>
          <w:iCs/>
          <w:color w:val="000000"/>
          <w:sz w:val="24"/>
          <w:szCs w:val="24"/>
        </w:rPr>
        <w:t xml:space="preserve"> tali akad nikah dengan kata talak dan yang semacamnya</w:t>
      </w:r>
      <w:r w:rsidRPr="007A764B">
        <w:rPr>
          <w:rFonts w:asciiTheme="majorBidi" w:hAnsiTheme="majorBidi" w:cstheme="majorBidi"/>
          <w:color w:val="000000"/>
          <w:sz w:val="24"/>
          <w:szCs w:val="24"/>
        </w:rPr>
        <w:t xml:space="preserve">” </w:t>
      </w:r>
    </w:p>
    <w:p w:rsidR="00343B61" w:rsidRPr="00890A9A" w:rsidRDefault="00343B61" w:rsidP="00343B61">
      <w:pPr>
        <w:pStyle w:val="ListParagraph"/>
        <w:spacing w:line="360" w:lineRule="auto"/>
        <w:ind w:left="0" w:firstLine="720"/>
        <w:rPr>
          <w:rFonts w:asciiTheme="majorBidi" w:hAnsiTheme="majorBidi" w:cstheme="majorBidi"/>
          <w:color w:val="000000"/>
          <w:sz w:val="24"/>
          <w:szCs w:val="24"/>
        </w:rPr>
      </w:pPr>
      <w:r>
        <w:rPr>
          <w:rFonts w:asciiTheme="majorBidi" w:hAnsiTheme="majorBidi" w:cstheme="majorBidi"/>
          <w:color w:val="000000"/>
          <w:sz w:val="24"/>
          <w:szCs w:val="24"/>
        </w:rPr>
        <w:t>Menurut Al-j</w:t>
      </w:r>
      <w:r w:rsidRPr="0094142F">
        <w:rPr>
          <w:rFonts w:asciiTheme="majorBidi" w:hAnsiTheme="majorBidi" w:cstheme="majorBidi"/>
          <w:i/>
          <w:iCs/>
        </w:rPr>
        <w:t>ā</w:t>
      </w:r>
      <w:r w:rsidRPr="00890A9A">
        <w:rPr>
          <w:rFonts w:asciiTheme="majorBidi" w:hAnsiTheme="majorBidi" w:cstheme="majorBidi"/>
          <w:color w:val="000000"/>
          <w:sz w:val="24"/>
          <w:szCs w:val="24"/>
        </w:rPr>
        <w:t>ziry, talak secara istilah syara’ adalah:</w:t>
      </w:r>
    </w:p>
    <w:p w:rsidR="00343B61" w:rsidRDefault="00343B61" w:rsidP="00343B61">
      <w:pPr>
        <w:pStyle w:val="ListParagraph"/>
        <w:tabs>
          <w:tab w:val="left" w:pos="1800"/>
        </w:tabs>
        <w:bidi/>
        <w:spacing w:line="240" w:lineRule="auto"/>
        <w:ind w:hanging="703"/>
        <w:jc w:val="both"/>
        <w:rPr>
          <w:rFonts w:ascii="Arial" w:hAnsi="Arial"/>
          <w:b/>
          <w:bCs/>
          <w:color w:val="000000"/>
          <w:sz w:val="28"/>
          <w:szCs w:val="28"/>
        </w:rPr>
      </w:pPr>
      <w:r w:rsidRPr="008A65E7">
        <w:rPr>
          <w:rFonts w:ascii="Arial" w:hAnsi="Arial" w:cs="Traditional Arabic"/>
          <w:color w:val="000000"/>
          <w:sz w:val="32"/>
          <w:szCs w:val="32"/>
          <w:rtl/>
        </w:rPr>
        <w:t>عرف في الاصطلاح بأنه إزالة النكاح أو نقصان حله بلفظ مخصوص</w:t>
      </w:r>
      <w:r>
        <w:rPr>
          <w:rFonts w:ascii="Arial" w:hAnsi="Arial" w:hint="cs"/>
          <w:b/>
          <w:bCs/>
          <w:color w:val="000000"/>
          <w:sz w:val="28"/>
          <w:szCs w:val="28"/>
          <w:rtl/>
        </w:rPr>
        <w:t xml:space="preserve"> </w:t>
      </w:r>
      <w:r w:rsidRPr="00D43DA7">
        <w:rPr>
          <w:rStyle w:val="FootnoteReference"/>
          <w:rFonts w:ascii="Arial" w:hAnsi="Arial"/>
          <w:color w:val="000000"/>
          <w:sz w:val="28"/>
          <w:szCs w:val="28"/>
          <w:rtl/>
        </w:rPr>
        <w:footnoteReference w:id="687"/>
      </w:r>
    </w:p>
    <w:p w:rsidR="00343B61" w:rsidRDefault="00343B61" w:rsidP="00343B61">
      <w:pPr>
        <w:pStyle w:val="ListParagraph"/>
        <w:tabs>
          <w:tab w:val="left" w:pos="1800"/>
        </w:tabs>
        <w:spacing w:line="240" w:lineRule="auto"/>
        <w:ind w:left="1080"/>
        <w:jc w:val="both"/>
        <w:rPr>
          <w:rFonts w:asciiTheme="majorBidi" w:hAnsiTheme="majorBidi" w:cstheme="majorBidi"/>
          <w:i/>
          <w:iCs/>
          <w:color w:val="000000"/>
          <w:sz w:val="24"/>
          <w:szCs w:val="24"/>
        </w:rPr>
      </w:pPr>
      <w:r w:rsidRPr="002E6DD8">
        <w:rPr>
          <w:rFonts w:asciiTheme="majorBidi" w:hAnsiTheme="majorBidi" w:cstheme="majorBidi"/>
          <w:color w:val="000000"/>
          <w:sz w:val="24"/>
          <w:szCs w:val="24"/>
        </w:rPr>
        <w:t xml:space="preserve">Artinya: “ </w:t>
      </w:r>
      <w:r w:rsidRPr="002E6DD8">
        <w:rPr>
          <w:rFonts w:asciiTheme="majorBidi" w:hAnsiTheme="majorBidi" w:cstheme="majorBidi"/>
          <w:i/>
          <w:iCs/>
          <w:color w:val="000000"/>
          <w:sz w:val="24"/>
          <w:szCs w:val="24"/>
        </w:rPr>
        <w:t>Talak secara istilah ialah menghilangkan ikatan perkawinan atau mengurangi ikatannya dengan menggunakan kata-kata tertentu”</w:t>
      </w:r>
    </w:p>
    <w:p w:rsidR="00343B61" w:rsidRPr="000B1B67" w:rsidRDefault="00343B61" w:rsidP="00343B61">
      <w:pPr>
        <w:pStyle w:val="ListParagraph"/>
        <w:tabs>
          <w:tab w:val="left" w:pos="1800"/>
        </w:tabs>
        <w:spacing w:line="240" w:lineRule="auto"/>
        <w:ind w:left="1080" w:hanging="990"/>
        <w:jc w:val="both"/>
        <w:rPr>
          <w:rFonts w:asciiTheme="majorBidi" w:hAnsiTheme="majorBidi" w:cstheme="majorBidi"/>
          <w:color w:val="000000"/>
          <w:sz w:val="24"/>
          <w:szCs w:val="24"/>
        </w:rPr>
      </w:pPr>
    </w:p>
    <w:p w:rsidR="00343B61" w:rsidRDefault="00343B61" w:rsidP="00343B61">
      <w:pPr>
        <w:pStyle w:val="ListParagraph"/>
        <w:tabs>
          <w:tab w:val="left" w:pos="1800"/>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Sementara Al-Zuhaily Mendefinisikan talak secara istilah dengan:</w:t>
      </w:r>
    </w:p>
    <w:p w:rsidR="00343B61" w:rsidRDefault="00343B61" w:rsidP="00343B61">
      <w:pPr>
        <w:pStyle w:val="ListParagraph"/>
        <w:tabs>
          <w:tab w:val="left" w:pos="1800"/>
        </w:tabs>
        <w:bidi/>
        <w:spacing w:line="240" w:lineRule="auto"/>
        <w:ind w:hanging="703"/>
        <w:jc w:val="both"/>
        <w:rPr>
          <w:rFonts w:ascii="Arial" w:hAnsi="Arial"/>
          <w:b/>
          <w:bCs/>
          <w:color w:val="000000"/>
          <w:sz w:val="28"/>
          <w:szCs w:val="28"/>
        </w:rPr>
      </w:pPr>
      <w:r w:rsidRPr="008A65E7">
        <w:rPr>
          <w:rFonts w:ascii="Arial" w:hAnsi="Arial" w:cs="Traditional Arabic"/>
          <w:color w:val="000000"/>
          <w:sz w:val="32"/>
          <w:szCs w:val="32"/>
          <w:rtl/>
        </w:rPr>
        <w:t>رفع قيد النكاح في الحال أو المآل بلفظ مخصوص</w:t>
      </w:r>
      <w:r>
        <w:rPr>
          <w:rFonts w:ascii="Arial" w:hAnsi="Arial" w:hint="cs"/>
          <w:b/>
          <w:bCs/>
          <w:color w:val="000000"/>
          <w:sz w:val="28"/>
          <w:szCs w:val="28"/>
          <w:rtl/>
        </w:rPr>
        <w:t xml:space="preserve"> </w:t>
      </w:r>
      <w:r w:rsidRPr="008A65E7">
        <w:rPr>
          <w:rStyle w:val="FootnoteReference"/>
          <w:rFonts w:ascii="Arial" w:hAnsi="Arial"/>
          <w:color w:val="000000"/>
          <w:sz w:val="28"/>
          <w:szCs w:val="28"/>
          <w:rtl/>
        </w:rPr>
        <w:footnoteReference w:id="688"/>
      </w:r>
    </w:p>
    <w:p w:rsidR="00343B61" w:rsidRDefault="00343B61" w:rsidP="00343B61">
      <w:pPr>
        <w:pStyle w:val="ListParagraph"/>
        <w:tabs>
          <w:tab w:val="left" w:pos="1800"/>
        </w:tabs>
        <w:spacing w:line="240" w:lineRule="auto"/>
        <w:ind w:left="990"/>
        <w:jc w:val="both"/>
        <w:rPr>
          <w:rFonts w:asciiTheme="majorBidi" w:hAnsiTheme="majorBidi" w:cstheme="majorBidi"/>
          <w:i/>
          <w:iCs/>
          <w:color w:val="000000"/>
          <w:sz w:val="24"/>
          <w:szCs w:val="24"/>
        </w:rPr>
      </w:pPr>
      <w:r w:rsidRPr="004B3118">
        <w:rPr>
          <w:rFonts w:asciiTheme="majorBidi" w:hAnsiTheme="majorBidi" w:cstheme="majorBidi"/>
          <w:color w:val="000000"/>
          <w:sz w:val="24"/>
          <w:szCs w:val="24"/>
        </w:rPr>
        <w:t xml:space="preserve">Artinya: </w:t>
      </w:r>
      <w:r w:rsidRPr="004B3118">
        <w:rPr>
          <w:rFonts w:asciiTheme="majorBidi" w:hAnsiTheme="majorBidi" w:cstheme="majorBidi"/>
          <w:i/>
          <w:iCs/>
          <w:color w:val="000000"/>
          <w:sz w:val="24"/>
          <w:szCs w:val="24"/>
        </w:rPr>
        <w:t xml:space="preserve">Melepaskan ikatan pernikahan saat itu atau </w:t>
      </w:r>
      <w:r>
        <w:rPr>
          <w:rFonts w:asciiTheme="majorBidi" w:hAnsiTheme="majorBidi" w:cstheme="majorBidi"/>
          <w:i/>
          <w:iCs/>
          <w:color w:val="000000"/>
          <w:sz w:val="24"/>
          <w:szCs w:val="24"/>
        </w:rPr>
        <w:t>dimasa akan data</w:t>
      </w:r>
      <w:r w:rsidRPr="004B3118">
        <w:rPr>
          <w:rFonts w:asciiTheme="majorBidi" w:hAnsiTheme="majorBidi" w:cstheme="majorBidi"/>
          <w:i/>
          <w:iCs/>
          <w:color w:val="000000"/>
          <w:sz w:val="24"/>
          <w:szCs w:val="24"/>
        </w:rPr>
        <w:t>ng dengan lafaz yang tertentu”</w:t>
      </w:r>
    </w:p>
    <w:p w:rsidR="00343B61" w:rsidRPr="008A65E7" w:rsidRDefault="00343B61" w:rsidP="00343B61">
      <w:pPr>
        <w:pStyle w:val="ListParagraph"/>
        <w:tabs>
          <w:tab w:val="left" w:pos="1800"/>
        </w:tabs>
        <w:spacing w:line="360" w:lineRule="auto"/>
        <w:ind w:left="990"/>
        <w:jc w:val="both"/>
        <w:rPr>
          <w:rFonts w:asciiTheme="majorBidi" w:hAnsiTheme="majorBidi" w:cstheme="majorBidi"/>
          <w:i/>
          <w:iCs/>
          <w:color w:val="000000"/>
          <w:sz w:val="24"/>
          <w:szCs w:val="24"/>
        </w:rPr>
      </w:pPr>
    </w:p>
    <w:p w:rsidR="00343B61" w:rsidRDefault="00343B61" w:rsidP="00343B61">
      <w:pPr>
        <w:pStyle w:val="ListParagraph"/>
        <w:tabs>
          <w:tab w:val="left" w:pos="810"/>
        </w:tabs>
        <w:spacing w:line="360" w:lineRule="auto"/>
        <w:ind w:left="0" w:firstLine="720"/>
        <w:jc w:val="both"/>
        <w:rPr>
          <w:rFonts w:asciiTheme="majorBidi" w:hAnsiTheme="majorBidi" w:cstheme="majorBidi"/>
          <w:color w:val="000000"/>
          <w:sz w:val="24"/>
          <w:szCs w:val="24"/>
        </w:rPr>
      </w:pPr>
      <w:r>
        <w:rPr>
          <w:rFonts w:asciiTheme="majorBidi" w:hAnsiTheme="majorBidi" w:cstheme="majorBidi"/>
          <w:color w:val="000000"/>
          <w:sz w:val="28"/>
          <w:szCs w:val="28"/>
        </w:rPr>
        <w:tab/>
      </w:r>
      <w:r>
        <w:rPr>
          <w:rFonts w:asciiTheme="majorBidi" w:hAnsiTheme="majorBidi" w:cstheme="majorBidi"/>
          <w:color w:val="000000"/>
          <w:sz w:val="24"/>
          <w:szCs w:val="24"/>
        </w:rPr>
        <w:t>Beliau melanjut</w:t>
      </w:r>
      <w:r w:rsidRPr="004B3118">
        <w:rPr>
          <w:rFonts w:asciiTheme="majorBidi" w:hAnsiTheme="majorBidi" w:cstheme="majorBidi"/>
          <w:color w:val="000000"/>
          <w:sz w:val="24"/>
          <w:szCs w:val="24"/>
        </w:rPr>
        <w:t>kan, maksud</w:t>
      </w:r>
      <w:r>
        <w:rPr>
          <w:rFonts w:asciiTheme="majorBidi" w:hAnsiTheme="majorBidi" w:cstheme="majorBidi"/>
          <w:color w:val="000000"/>
          <w:sz w:val="24"/>
          <w:szCs w:val="24"/>
        </w:rPr>
        <w:t xml:space="preserve"> </w:t>
      </w:r>
      <w:r w:rsidRPr="004B3118">
        <w:rPr>
          <w:rFonts w:asciiTheme="majorBidi" w:hAnsiTheme="majorBidi" w:cstheme="majorBidi"/>
          <w:color w:val="000000"/>
          <w:sz w:val="24"/>
          <w:szCs w:val="24"/>
        </w:rPr>
        <w:t>“</w:t>
      </w:r>
      <w:r w:rsidRPr="004B3118">
        <w:rPr>
          <w:rFonts w:asciiTheme="majorBidi" w:hAnsiTheme="majorBidi" w:cstheme="majorBidi"/>
          <w:i/>
          <w:iCs/>
          <w:color w:val="000000"/>
          <w:sz w:val="24"/>
          <w:szCs w:val="24"/>
        </w:rPr>
        <w:t>melepaskan ikatan pernikahan saat itu</w:t>
      </w:r>
      <w:r w:rsidRPr="004B3118">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4B3118">
        <w:rPr>
          <w:rFonts w:asciiTheme="majorBidi" w:hAnsiTheme="majorBidi" w:cstheme="majorBidi"/>
          <w:color w:val="000000"/>
          <w:sz w:val="24"/>
          <w:szCs w:val="24"/>
        </w:rPr>
        <w:t xml:space="preserve">adalah dengan </w:t>
      </w:r>
      <w:r>
        <w:rPr>
          <w:rFonts w:asciiTheme="majorBidi" w:hAnsiTheme="majorBidi" w:cstheme="majorBidi"/>
          <w:color w:val="000000"/>
          <w:sz w:val="24"/>
          <w:szCs w:val="24"/>
        </w:rPr>
        <w:t xml:space="preserve">menjatuhkan </w:t>
      </w:r>
      <w:r w:rsidRPr="004B3118">
        <w:rPr>
          <w:rFonts w:asciiTheme="majorBidi" w:hAnsiTheme="majorBidi" w:cstheme="majorBidi"/>
          <w:color w:val="000000"/>
          <w:sz w:val="24"/>
          <w:szCs w:val="24"/>
        </w:rPr>
        <w:t>talak ba’in, dan “</w:t>
      </w:r>
      <w:r w:rsidRPr="004B3118">
        <w:rPr>
          <w:rFonts w:asciiTheme="majorBidi" w:hAnsiTheme="majorBidi" w:cstheme="majorBidi"/>
          <w:i/>
          <w:iCs/>
          <w:color w:val="000000"/>
          <w:sz w:val="24"/>
          <w:szCs w:val="24"/>
        </w:rPr>
        <w:t>melepaskannya dimasa akan datang</w:t>
      </w:r>
      <w:r w:rsidRPr="004B3118">
        <w:rPr>
          <w:rFonts w:asciiTheme="majorBidi" w:hAnsiTheme="majorBidi" w:cstheme="majorBidi"/>
          <w:color w:val="000000"/>
          <w:sz w:val="24"/>
          <w:szCs w:val="24"/>
        </w:rPr>
        <w:t xml:space="preserve">” adalah dengan </w:t>
      </w:r>
      <w:r>
        <w:rPr>
          <w:rFonts w:asciiTheme="majorBidi" w:hAnsiTheme="majorBidi" w:cstheme="majorBidi"/>
          <w:color w:val="000000"/>
          <w:sz w:val="24"/>
          <w:szCs w:val="24"/>
        </w:rPr>
        <w:t xml:space="preserve">menjatuhkan </w:t>
      </w:r>
      <w:r w:rsidRPr="004B3118">
        <w:rPr>
          <w:rFonts w:asciiTheme="majorBidi" w:hAnsiTheme="majorBidi" w:cstheme="majorBidi"/>
          <w:color w:val="000000"/>
          <w:sz w:val="24"/>
          <w:szCs w:val="24"/>
        </w:rPr>
        <w:t xml:space="preserve">talak raj’i, yaitu </w:t>
      </w:r>
      <w:r>
        <w:rPr>
          <w:rFonts w:asciiTheme="majorBidi" w:hAnsiTheme="majorBidi" w:cstheme="majorBidi"/>
          <w:color w:val="000000"/>
          <w:sz w:val="24"/>
          <w:szCs w:val="24"/>
        </w:rPr>
        <w:t xml:space="preserve">akan putus hubungan suami istri </w:t>
      </w:r>
      <w:r w:rsidRPr="004B3118">
        <w:rPr>
          <w:rFonts w:asciiTheme="majorBidi" w:hAnsiTheme="majorBidi" w:cstheme="majorBidi"/>
          <w:color w:val="000000"/>
          <w:sz w:val="24"/>
          <w:szCs w:val="24"/>
        </w:rPr>
        <w:t>sesudah habis masa ‘</w:t>
      </w:r>
      <w:r w:rsidRPr="00D415E2">
        <w:rPr>
          <w:rFonts w:asciiTheme="majorBidi" w:hAnsiTheme="majorBidi" w:cstheme="majorBidi"/>
          <w:i/>
          <w:iCs/>
          <w:color w:val="000000"/>
          <w:sz w:val="24"/>
          <w:szCs w:val="24"/>
        </w:rPr>
        <w:t>Iddah</w:t>
      </w:r>
      <w:r w:rsidRPr="004B3118">
        <w:rPr>
          <w:rFonts w:asciiTheme="majorBidi" w:hAnsiTheme="majorBidi" w:cstheme="majorBidi"/>
          <w:color w:val="000000"/>
          <w:sz w:val="24"/>
          <w:szCs w:val="24"/>
        </w:rPr>
        <w:t>. Adapun maksud “</w:t>
      </w:r>
      <w:r w:rsidRPr="004B3118">
        <w:rPr>
          <w:rFonts w:asciiTheme="majorBidi" w:hAnsiTheme="majorBidi" w:cstheme="majorBidi"/>
          <w:i/>
          <w:iCs/>
          <w:color w:val="000000"/>
          <w:sz w:val="24"/>
          <w:szCs w:val="24"/>
        </w:rPr>
        <w:t xml:space="preserve">lafaz yang tertentu” </w:t>
      </w:r>
      <w:r>
        <w:rPr>
          <w:rFonts w:asciiTheme="majorBidi" w:hAnsiTheme="majorBidi" w:cstheme="majorBidi"/>
          <w:color w:val="000000"/>
          <w:sz w:val="24"/>
          <w:szCs w:val="24"/>
        </w:rPr>
        <w:t>yaitu ada</w:t>
      </w:r>
      <w:r w:rsidRPr="004B3118">
        <w:rPr>
          <w:rFonts w:asciiTheme="majorBidi" w:hAnsiTheme="majorBidi" w:cstheme="majorBidi"/>
          <w:color w:val="000000"/>
          <w:sz w:val="24"/>
          <w:szCs w:val="24"/>
        </w:rPr>
        <w:t xml:space="preserve">kalanya lafaz </w:t>
      </w:r>
      <w:r>
        <w:rPr>
          <w:rFonts w:asciiTheme="majorBidi" w:hAnsiTheme="majorBidi" w:cstheme="majorBidi"/>
          <w:i/>
          <w:iCs/>
          <w:color w:val="000000"/>
          <w:sz w:val="24"/>
          <w:szCs w:val="24"/>
        </w:rPr>
        <w:t>sharīh</w:t>
      </w:r>
      <w:r w:rsidRPr="004B3118">
        <w:rPr>
          <w:rFonts w:asciiTheme="majorBidi" w:hAnsiTheme="majorBidi" w:cstheme="majorBidi"/>
          <w:color w:val="000000"/>
          <w:sz w:val="24"/>
          <w:szCs w:val="24"/>
        </w:rPr>
        <w:t xml:space="preserve"> ( jela</w:t>
      </w:r>
      <w:r>
        <w:rPr>
          <w:rFonts w:asciiTheme="majorBidi" w:hAnsiTheme="majorBidi" w:cstheme="majorBidi"/>
          <w:color w:val="000000"/>
          <w:sz w:val="24"/>
          <w:szCs w:val="24"/>
        </w:rPr>
        <w:t>s) seperti kata” Talak” dan ada</w:t>
      </w:r>
      <w:r w:rsidRPr="004B3118">
        <w:rPr>
          <w:rFonts w:asciiTheme="majorBidi" w:hAnsiTheme="majorBidi" w:cstheme="majorBidi"/>
          <w:color w:val="000000"/>
          <w:sz w:val="24"/>
          <w:szCs w:val="24"/>
        </w:rPr>
        <w:t xml:space="preserve">kalanya lafaz </w:t>
      </w:r>
      <w:r>
        <w:rPr>
          <w:rFonts w:asciiTheme="majorBidi" w:hAnsiTheme="majorBidi" w:cstheme="majorBidi"/>
          <w:i/>
          <w:iCs/>
          <w:color w:val="000000"/>
          <w:sz w:val="24"/>
          <w:szCs w:val="24"/>
        </w:rPr>
        <w:t>kināyah</w:t>
      </w:r>
      <w:r w:rsidRPr="004B3118">
        <w:rPr>
          <w:rFonts w:asciiTheme="majorBidi" w:hAnsiTheme="majorBidi" w:cstheme="majorBidi"/>
          <w:color w:val="000000"/>
          <w:sz w:val="24"/>
          <w:szCs w:val="24"/>
        </w:rPr>
        <w:t xml:space="preserve"> ( sindiran) seperti </w:t>
      </w:r>
      <w:r>
        <w:rPr>
          <w:rFonts w:asciiTheme="majorBidi" w:hAnsiTheme="majorBidi" w:cstheme="majorBidi"/>
          <w:color w:val="000000"/>
          <w:sz w:val="24"/>
          <w:szCs w:val="24"/>
        </w:rPr>
        <w:t>“</w:t>
      </w:r>
      <w:r w:rsidRPr="004B3118">
        <w:rPr>
          <w:rFonts w:asciiTheme="majorBidi" w:hAnsiTheme="majorBidi" w:cstheme="majorBidi"/>
          <w:color w:val="000000"/>
          <w:sz w:val="24"/>
          <w:szCs w:val="24"/>
        </w:rPr>
        <w:t>aku lepaskan ikatanmu</w:t>
      </w:r>
      <w:r>
        <w:rPr>
          <w:rFonts w:asciiTheme="majorBidi" w:hAnsiTheme="majorBidi" w:cstheme="majorBidi"/>
          <w:color w:val="000000"/>
          <w:sz w:val="24"/>
          <w:szCs w:val="24"/>
        </w:rPr>
        <w:t>”</w:t>
      </w:r>
      <w:r w:rsidRPr="004B3118">
        <w:rPr>
          <w:rFonts w:asciiTheme="majorBidi" w:hAnsiTheme="majorBidi" w:cstheme="majorBidi"/>
          <w:color w:val="000000"/>
          <w:sz w:val="24"/>
          <w:szCs w:val="24"/>
        </w:rPr>
        <w:t xml:space="preserve">, </w:t>
      </w:r>
      <w:r>
        <w:rPr>
          <w:rFonts w:asciiTheme="majorBidi" w:hAnsiTheme="majorBidi" w:cstheme="majorBidi"/>
          <w:color w:val="000000"/>
          <w:sz w:val="24"/>
          <w:szCs w:val="24"/>
        </w:rPr>
        <w:t>“engkau haram bagi</w:t>
      </w:r>
      <w:r w:rsidRPr="004B3118">
        <w:rPr>
          <w:rFonts w:asciiTheme="majorBidi" w:hAnsiTheme="majorBidi" w:cstheme="majorBidi"/>
          <w:color w:val="000000"/>
          <w:sz w:val="24"/>
          <w:szCs w:val="24"/>
        </w:rPr>
        <w:t xml:space="preserve">ku. </w:t>
      </w:r>
      <w:r w:rsidRPr="004B3118">
        <w:rPr>
          <w:rStyle w:val="FootnoteReference"/>
          <w:rFonts w:asciiTheme="majorBidi" w:hAnsiTheme="majorBidi" w:cstheme="majorBidi"/>
          <w:color w:val="000000"/>
          <w:sz w:val="24"/>
          <w:szCs w:val="24"/>
        </w:rPr>
        <w:footnoteReference w:id="689"/>
      </w:r>
    </w:p>
    <w:p w:rsidR="00343B61" w:rsidRDefault="00343B61" w:rsidP="00343B61">
      <w:pPr>
        <w:pStyle w:val="ListParagraph"/>
        <w:tabs>
          <w:tab w:val="left" w:pos="990"/>
        </w:tabs>
        <w:spacing w:line="360" w:lineRule="auto"/>
        <w:ind w:left="0" w:firstLine="990"/>
        <w:jc w:val="both"/>
        <w:rPr>
          <w:rFonts w:ascii="Times New Roman" w:hAnsi="Times New Roman" w:cs="Times New Roman"/>
          <w:sz w:val="24"/>
          <w:szCs w:val="24"/>
        </w:rPr>
      </w:pPr>
      <w:r>
        <w:rPr>
          <w:rFonts w:ascii="Times New Roman" w:hAnsi="Times New Roman" w:cs="Times New Roman"/>
          <w:sz w:val="24"/>
          <w:szCs w:val="24"/>
        </w:rPr>
        <w:t>Menurut ensiklopedi Islam, talak adalah pemutusan ikatan pernikahan yang dilakukan oleh suami terhadap istri dengan menggunakan lafaz</w:t>
      </w:r>
      <w:r w:rsidRPr="00291D89">
        <w:rPr>
          <w:rFonts w:ascii="Times New Roman" w:hAnsi="Times New Roman" w:cs="Times New Roman"/>
          <w:sz w:val="24"/>
          <w:szCs w:val="24"/>
        </w:rPr>
        <w:t xml:space="preserve"> “</w:t>
      </w:r>
      <w:r w:rsidRPr="00291D89">
        <w:rPr>
          <w:rFonts w:ascii="Times New Roman" w:hAnsi="Times New Roman" w:cs="Times New Roman"/>
          <w:i/>
          <w:iCs/>
          <w:sz w:val="24"/>
          <w:szCs w:val="24"/>
        </w:rPr>
        <w:t>talak</w:t>
      </w:r>
      <w:r w:rsidRPr="00291D89">
        <w:rPr>
          <w:rFonts w:ascii="Times New Roman" w:hAnsi="Times New Roman" w:cs="Times New Roman"/>
          <w:sz w:val="24"/>
          <w:szCs w:val="24"/>
        </w:rPr>
        <w:t>” atau yang seumpamanya. Dalam bahasa</w:t>
      </w:r>
      <w:r>
        <w:rPr>
          <w:rFonts w:ascii="Times New Roman" w:hAnsi="Times New Roman" w:cs="Times New Roman"/>
          <w:sz w:val="24"/>
          <w:szCs w:val="24"/>
        </w:rPr>
        <w:t xml:space="preserve"> Indonesia dipakai juga istilah cerai atau “perceraian” yang sesungguhnya </w:t>
      </w:r>
      <w:r w:rsidRPr="00291D89">
        <w:rPr>
          <w:rFonts w:ascii="Times New Roman" w:hAnsi="Times New Roman" w:cs="Times New Roman"/>
          <w:sz w:val="24"/>
          <w:szCs w:val="24"/>
        </w:rPr>
        <w:t>mempunyai pengertian yang lebih luas dari talak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0"/>
      </w:r>
    </w:p>
    <w:p w:rsidR="00343B61" w:rsidRDefault="00343B61" w:rsidP="00343B61">
      <w:pPr>
        <w:pStyle w:val="ListParagraph"/>
        <w:tabs>
          <w:tab w:val="left" w:pos="990"/>
        </w:tabs>
        <w:spacing w:line="360" w:lineRule="auto"/>
        <w:ind w:left="0" w:firstLine="990"/>
        <w:jc w:val="both"/>
        <w:rPr>
          <w:rFonts w:ascii="Times New Roman" w:hAnsi="Times New Roman" w:cs="Times New Roman"/>
          <w:sz w:val="24"/>
          <w:szCs w:val="24"/>
        </w:rPr>
      </w:pPr>
      <w:r>
        <w:rPr>
          <w:rFonts w:ascii="Times New Roman" w:hAnsi="Times New Roman" w:cs="Times New Roman"/>
          <w:sz w:val="24"/>
          <w:szCs w:val="24"/>
        </w:rPr>
        <w:t>Sedangkan menurut Kompilasi Hukum Islam (KHI), talak adalah ikrar suami di hadapan sidang Pengadilan Agama yang menjadi salah satu sebab putusnya perkawinan, dengan cara sebagaimana dimaksud dalam pasal 129, 130 dan 131.</w:t>
      </w:r>
      <w:r>
        <w:rPr>
          <w:rStyle w:val="FootnoteReference"/>
          <w:rFonts w:ascii="Times New Roman" w:hAnsi="Times New Roman" w:cs="Times New Roman"/>
          <w:sz w:val="24"/>
          <w:szCs w:val="24"/>
        </w:rPr>
        <w:footnoteReference w:id="691"/>
      </w:r>
      <w:r>
        <w:rPr>
          <w:rFonts w:ascii="Times New Roman" w:hAnsi="Times New Roman" w:cs="Times New Roman"/>
          <w:sz w:val="24"/>
          <w:szCs w:val="24"/>
        </w:rPr>
        <w:t xml:space="preserve"> Jadi, talak itu merupakan suatu yang menghilangkan putusnya ikatan </w:t>
      </w:r>
      <w:r>
        <w:rPr>
          <w:rFonts w:ascii="Times New Roman" w:hAnsi="Times New Roman" w:cs="Times New Roman"/>
          <w:sz w:val="24"/>
          <w:szCs w:val="24"/>
        </w:rPr>
        <w:lastRenderedPageBreak/>
        <w:t xml:space="preserve">perkawinan sehingga menjadikan seorang isteri itu tidak halal </w:t>
      </w:r>
      <w:r w:rsidRPr="002B2ADF">
        <w:rPr>
          <w:rFonts w:ascii="Times New Roman" w:hAnsi="Times New Roman" w:cs="Times New Roman"/>
          <w:sz w:val="24"/>
          <w:szCs w:val="24"/>
        </w:rPr>
        <w:t>lagi bagi suaminya.</w:t>
      </w:r>
      <w:r>
        <w:rPr>
          <w:rStyle w:val="FootnoteReference"/>
          <w:rFonts w:ascii="Times New Roman" w:hAnsi="Times New Roman" w:cs="Times New Roman"/>
          <w:sz w:val="24"/>
          <w:szCs w:val="24"/>
        </w:rPr>
        <w:footnoteReference w:id="692"/>
      </w:r>
    </w:p>
    <w:p w:rsidR="00343B61" w:rsidRDefault="00343B61" w:rsidP="002C0A33">
      <w:pPr>
        <w:pStyle w:val="ListParagraph"/>
        <w:numPr>
          <w:ilvl w:val="0"/>
          <w:numId w:val="55"/>
        </w:numPr>
        <w:autoSpaceDE w:val="0"/>
        <w:autoSpaceDN w:val="0"/>
        <w:adjustRightInd w:val="0"/>
        <w:spacing w:after="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Dasar Hukum Talak </w:t>
      </w: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Dasar hukum talak ini ditemukan dalam </w:t>
      </w:r>
      <w:r w:rsidRPr="00DD1E13">
        <w:rPr>
          <w:rFonts w:asciiTheme="majorBidi" w:hAnsiTheme="majorBidi" w:cstheme="majorBidi"/>
          <w:sz w:val="24"/>
          <w:szCs w:val="24"/>
        </w:rPr>
        <w:t>al-Qur’ān</w:t>
      </w:r>
      <w:r>
        <w:rPr>
          <w:rFonts w:ascii="Times New Roman" w:hAnsi="Times New Roman" w:cs="Times New Roman"/>
          <w:sz w:val="24"/>
          <w:szCs w:val="24"/>
        </w:rPr>
        <w:t xml:space="preserve"> Al-Sunnah dan Ijma’ ulama, adapun dalam </w:t>
      </w:r>
      <w:r w:rsidRPr="00DD1E13">
        <w:rPr>
          <w:rFonts w:asciiTheme="majorBidi" w:hAnsiTheme="majorBidi" w:cstheme="majorBidi"/>
          <w:sz w:val="24"/>
          <w:szCs w:val="24"/>
        </w:rPr>
        <w:t>al-Qur’ān</w:t>
      </w:r>
      <w:r>
        <w:rPr>
          <w:rFonts w:ascii="Times New Roman" w:hAnsi="Times New Roman" w:cs="Times New Roman"/>
          <w:sz w:val="24"/>
          <w:szCs w:val="24"/>
        </w:rPr>
        <w:t xml:space="preserve"> diantaranya adalah firman Allah: </w:t>
      </w:r>
    </w:p>
    <w:p w:rsidR="00343B61" w:rsidRDefault="00343B61" w:rsidP="00343B61">
      <w:pPr>
        <w:autoSpaceDE w:val="0"/>
        <w:autoSpaceDN w:val="0"/>
        <w:bidi/>
        <w:adjustRightInd w:val="0"/>
        <w:spacing w:after="0" w:line="240" w:lineRule="auto"/>
        <w:ind w:firstLine="17"/>
        <w:jc w:val="both"/>
        <w:rPr>
          <w:rFonts w:ascii="(normal text)" w:hAnsi="(normal text)"/>
          <w:rtl/>
        </w:rPr>
      </w:pPr>
      <w:r>
        <w:rPr>
          <w:sz w:val="28"/>
          <w:szCs w:val="28"/>
        </w:rPr>
        <w:sym w:font="HQPB4" w:char="F0DF"/>
      </w:r>
      <w:r>
        <w:rPr>
          <w:sz w:val="28"/>
          <w:szCs w:val="28"/>
        </w:rPr>
        <w:sym w:font="HQPB2" w:char="F02C"/>
      </w:r>
      <w:r>
        <w:rPr>
          <w:sz w:val="28"/>
          <w:szCs w:val="28"/>
        </w:rPr>
        <w:sym w:font="HQPB2" w:char="F0BB"/>
      </w:r>
      <w:r>
        <w:rPr>
          <w:sz w:val="28"/>
          <w:szCs w:val="28"/>
        </w:rPr>
        <w:sym w:font="HQPB5" w:char="F06E"/>
      </w:r>
      <w:r>
        <w:rPr>
          <w:sz w:val="28"/>
          <w:szCs w:val="28"/>
        </w:rPr>
        <w:sym w:font="HQPB2" w:char="F03D"/>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8"/>
      </w:r>
      <w:r>
        <w:rPr>
          <w:sz w:val="28"/>
          <w:szCs w:val="28"/>
        </w:rPr>
        <w:sym w:font="HQPB2" w:char="F062"/>
      </w:r>
      <w:r>
        <w:rPr>
          <w:sz w:val="28"/>
          <w:szCs w:val="28"/>
        </w:rPr>
        <w:sym w:font="HQPB1" w:char="F024"/>
      </w:r>
      <w:r>
        <w:rPr>
          <w:sz w:val="28"/>
          <w:szCs w:val="28"/>
        </w:rPr>
        <w:sym w:font="HQPB5" w:char="F073"/>
      </w:r>
      <w:r>
        <w:rPr>
          <w:sz w:val="28"/>
          <w:szCs w:val="28"/>
        </w:rPr>
        <w:sym w:font="HQPB1" w:char="F03F"/>
      </w:r>
      <w:r>
        <w:rPr>
          <w:sz w:val="28"/>
          <w:szCs w:val="28"/>
        </w:rPr>
        <w:sym w:font="HQPB4" w:char="F0A7"/>
      </w:r>
      <w:r>
        <w:rPr>
          <w:sz w:val="28"/>
          <w:szCs w:val="28"/>
        </w:rPr>
        <w:sym w:font="HQPB1" w:char="F090"/>
      </w:r>
      <w:r>
        <w:rPr>
          <w:sz w:val="28"/>
          <w:szCs w:val="28"/>
        </w:rPr>
        <w:sym w:font="HQPB5" w:char="F073"/>
      </w:r>
      <w:r>
        <w:rPr>
          <w:sz w:val="28"/>
          <w:szCs w:val="28"/>
        </w:rPr>
        <w:sym w:font="HQPB2" w:char="F044"/>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38"/>
      </w:r>
      <w:r>
        <w:rPr>
          <w:sz w:val="28"/>
          <w:szCs w:val="28"/>
        </w:rPr>
        <w:sym w:font="HQPB2" w:char="F038"/>
      </w:r>
      <w:r>
        <w:rPr>
          <w:sz w:val="28"/>
          <w:szCs w:val="28"/>
        </w:rPr>
        <w:sym w:font="HQPB1" w:char="F024"/>
      </w:r>
      <w:r>
        <w:rPr>
          <w:sz w:val="28"/>
          <w:szCs w:val="28"/>
        </w:rPr>
        <w:sym w:font="HQPB5" w:char="F07C"/>
      </w:r>
      <w:r>
        <w:rPr>
          <w:sz w:val="28"/>
          <w:szCs w:val="28"/>
        </w:rPr>
        <w:sym w:font="HQPB1" w:char="F0A1"/>
      </w:r>
      <w:r>
        <w:rPr>
          <w:sz w:val="28"/>
          <w:szCs w:val="28"/>
        </w:rPr>
        <w:sym w:font="HQPB4" w:char="F0F8"/>
      </w:r>
      <w:r>
        <w:rPr>
          <w:sz w:val="28"/>
          <w:szCs w:val="28"/>
        </w:rPr>
        <w:sym w:font="HQPB2" w:char="F04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E"/>
      </w:r>
      <w:r>
        <w:rPr>
          <w:sz w:val="28"/>
          <w:szCs w:val="28"/>
        </w:rPr>
        <w:sym w:font="HQPB2" w:char="F024"/>
      </w:r>
      <w:r>
        <w:rPr>
          <w:sz w:val="28"/>
          <w:szCs w:val="28"/>
        </w:rPr>
        <w:sym w:font="HQPB2" w:char="F072"/>
      </w:r>
      <w:r>
        <w:rPr>
          <w:sz w:val="28"/>
          <w:szCs w:val="28"/>
        </w:rPr>
        <w:sym w:font="HQPB4" w:char="F0E1"/>
      </w:r>
      <w:r>
        <w:rPr>
          <w:sz w:val="28"/>
          <w:szCs w:val="28"/>
        </w:rPr>
        <w:sym w:font="HQPB1" w:char="F08F"/>
      </w:r>
      <w:r>
        <w:rPr>
          <w:sz w:val="28"/>
          <w:szCs w:val="28"/>
        </w:rPr>
        <w:sym w:font="HQPB4" w:char="F0F7"/>
      </w:r>
      <w:r>
        <w:rPr>
          <w:sz w:val="28"/>
          <w:szCs w:val="28"/>
        </w:rPr>
        <w:sym w:font="HQPB1" w:char="F0E8"/>
      </w:r>
      <w:r>
        <w:rPr>
          <w:sz w:val="28"/>
          <w:szCs w:val="28"/>
        </w:rPr>
        <w:sym w:font="HQPB5" w:char="F06F"/>
      </w:r>
      <w:r>
        <w:rPr>
          <w:sz w:val="28"/>
          <w:szCs w:val="28"/>
        </w:rPr>
        <w:sym w:font="HQPB2" w:char="F0FF"/>
      </w:r>
      <w:r>
        <w:rPr>
          <w:sz w:val="28"/>
          <w:szCs w:val="28"/>
        </w:rPr>
        <w:sym w:font="HQPB4" w:char="F0CF"/>
      </w:r>
      <w:r>
        <w:rPr>
          <w:sz w:val="28"/>
          <w:szCs w:val="28"/>
        </w:rPr>
        <w:sym w:font="HQPB1" w:char="F033"/>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37"/>
      </w:r>
      <w:r>
        <w:rPr>
          <w:sz w:val="28"/>
          <w:szCs w:val="28"/>
        </w:rPr>
        <w:sym w:font="HQPB1" w:char="F078"/>
      </w:r>
      <w:r>
        <w:rPr>
          <w:sz w:val="28"/>
          <w:szCs w:val="28"/>
        </w:rPr>
        <w:sym w:font="HQPB2" w:char="F083"/>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39"/>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3"/>
      </w:r>
      <w:r>
        <w:rPr>
          <w:rFonts w:ascii="(normal text)" w:hAnsi="(normal text)"/>
          <w:rtl/>
        </w:rPr>
        <w:t xml:space="preserve">   </w:t>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sidRPr="009171F3">
        <w:rPr>
          <w:rFonts w:asciiTheme="majorBidi" w:hAnsiTheme="majorBidi" w:cstheme="majorBidi"/>
          <w:sz w:val="24"/>
          <w:szCs w:val="24"/>
        </w:rPr>
        <w:t xml:space="preserve">Artinya:“ </w:t>
      </w:r>
      <w:r w:rsidRPr="009171F3">
        <w:rPr>
          <w:rFonts w:asciiTheme="majorBidi" w:hAnsiTheme="majorBidi" w:cstheme="majorBidi"/>
          <w:i/>
          <w:iCs/>
          <w:sz w:val="24"/>
          <w:szCs w:val="24"/>
        </w:rPr>
        <w:t>Talak (yang dapat dirujuki) dua kali. setelah itu boleh rujuk lagi dengan cara yang ma'ruf atau menceraikan dengan cara yang baik”</w:t>
      </w:r>
      <w:r w:rsidRPr="009171F3">
        <w:rPr>
          <w:rFonts w:asciiTheme="majorBidi" w:hAnsiTheme="majorBidi" w:cstheme="majorBidi"/>
          <w:sz w:val="24"/>
          <w:szCs w:val="24"/>
        </w:rPr>
        <w:t>.</w:t>
      </w:r>
      <w:r>
        <w:rPr>
          <w:rFonts w:asciiTheme="majorBidi" w:hAnsiTheme="majorBidi" w:cstheme="majorBidi"/>
          <w:sz w:val="24"/>
          <w:szCs w:val="24"/>
        </w:rPr>
        <w:t xml:space="preserve"> </w:t>
      </w:r>
      <w:r w:rsidRPr="009171F3">
        <w:rPr>
          <w:rFonts w:asciiTheme="majorBidi" w:hAnsiTheme="majorBidi" w:cstheme="majorBidi"/>
          <w:sz w:val="24"/>
          <w:szCs w:val="24"/>
        </w:rPr>
        <w:t xml:space="preserve">( QS. Al-Baqarah [2] :229) </w:t>
      </w:r>
      <w:r>
        <w:rPr>
          <w:rStyle w:val="FootnoteReference"/>
          <w:rFonts w:asciiTheme="majorBidi" w:hAnsiTheme="majorBidi" w:cstheme="majorBidi"/>
          <w:sz w:val="24"/>
          <w:szCs w:val="24"/>
        </w:rPr>
        <w:footnoteReference w:id="693"/>
      </w:r>
    </w:p>
    <w:p w:rsidR="00343B61" w:rsidRPr="009171F3" w:rsidRDefault="00343B61" w:rsidP="00343B61">
      <w:pPr>
        <w:autoSpaceDE w:val="0"/>
        <w:autoSpaceDN w:val="0"/>
        <w:adjustRightInd w:val="0"/>
        <w:spacing w:after="0" w:line="360" w:lineRule="auto"/>
        <w:ind w:left="1170" w:hanging="99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A17B92">
        <w:rPr>
          <w:rFonts w:asciiTheme="majorBidi" w:hAnsiTheme="majorBidi" w:cstheme="majorBidi"/>
          <w:sz w:val="24"/>
          <w:szCs w:val="24"/>
        </w:rPr>
        <w:t>Dan juga firman Allah SWT:</w:t>
      </w:r>
    </w:p>
    <w:p w:rsidR="00343B61" w:rsidRDefault="00343B61" w:rsidP="00343B61">
      <w:pPr>
        <w:autoSpaceDE w:val="0"/>
        <w:autoSpaceDN w:val="0"/>
        <w:bidi/>
        <w:adjustRightInd w:val="0"/>
        <w:spacing w:after="0" w:line="240" w:lineRule="auto"/>
        <w:ind w:firstLine="17"/>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90"/>
      </w:r>
      <w:r>
        <w:rPr>
          <w:sz w:val="28"/>
          <w:szCs w:val="28"/>
        </w:rPr>
        <w:sym w:font="HQPB2" w:char="F0D3"/>
      </w:r>
      <w:r>
        <w:rPr>
          <w:sz w:val="28"/>
          <w:szCs w:val="28"/>
        </w:rPr>
        <w:sym w:font="HQPB4" w:char="F0C9"/>
      </w:r>
      <w:r>
        <w:rPr>
          <w:sz w:val="28"/>
          <w:szCs w:val="28"/>
        </w:rPr>
        <w:sym w:font="HQPB1" w:char="F03C"/>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4" w:char="F0F8"/>
      </w:r>
      <w:r>
        <w:rPr>
          <w:sz w:val="28"/>
          <w:szCs w:val="28"/>
        </w:rPr>
        <w:sym w:font="HQPB2" w:char="F029"/>
      </w:r>
      <w:r>
        <w:rPr>
          <w:sz w:val="28"/>
          <w:szCs w:val="28"/>
        </w:rPr>
        <w:sym w:font="HQPB4" w:char="F0AF"/>
      </w:r>
      <w:r>
        <w:rPr>
          <w:sz w:val="28"/>
          <w:szCs w:val="28"/>
        </w:rPr>
        <w:sym w:font="HQPB2" w:char="F03D"/>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4" w:char="F06B"/>
      </w:r>
      <w:r>
        <w:rPr>
          <w:sz w:val="28"/>
          <w:szCs w:val="28"/>
        </w:rPr>
        <w:sym w:font="HQPB2" w:char="F03D"/>
      </w:r>
      <w:r>
        <w:rPr>
          <w:sz w:val="28"/>
          <w:szCs w:val="28"/>
        </w:rPr>
        <w:sym w:font="HQPB5" w:char="F073"/>
      </w:r>
      <w:r>
        <w:rPr>
          <w:sz w:val="28"/>
          <w:szCs w:val="28"/>
        </w:rPr>
        <w:sym w:font="HQPB1" w:char="F0DC"/>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CD"/>
      </w:r>
      <w:r>
        <w:rPr>
          <w:sz w:val="28"/>
          <w:szCs w:val="28"/>
        </w:rPr>
        <w:sym w:font="HQPB2" w:char="F06B"/>
      </w:r>
      <w:r>
        <w:rPr>
          <w:sz w:val="28"/>
          <w:szCs w:val="28"/>
        </w:rPr>
        <w:sym w:font="HQPB4" w:char="F0CC"/>
      </w:r>
      <w:r>
        <w:rPr>
          <w:sz w:val="28"/>
          <w:szCs w:val="28"/>
        </w:rPr>
        <w:sym w:font="HQPB1" w:char="F045"/>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C1"/>
      </w:r>
      <w:r>
        <w:rPr>
          <w:sz w:val="28"/>
          <w:szCs w:val="28"/>
        </w:rPr>
        <w:sym w:font="HQPB4" w:char="F0F4"/>
      </w:r>
      <w:r>
        <w:rPr>
          <w:sz w:val="28"/>
          <w:szCs w:val="28"/>
        </w:rPr>
        <w:sym w:font="HQPB1" w:char="F06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Pr>
          <w:rFonts w:asciiTheme="majorBidi" w:hAnsiTheme="majorBidi" w:cstheme="majorBidi"/>
          <w:sz w:val="24"/>
          <w:szCs w:val="24"/>
        </w:rPr>
        <w:t xml:space="preserve">Artinya: </w:t>
      </w:r>
      <w:r w:rsidRPr="00A17B92">
        <w:rPr>
          <w:rFonts w:asciiTheme="majorBidi" w:hAnsiTheme="majorBidi" w:cstheme="majorBidi"/>
          <w:sz w:val="24"/>
          <w:szCs w:val="24"/>
        </w:rPr>
        <w:t>“</w:t>
      </w:r>
      <w:r w:rsidRPr="00A17B92">
        <w:rPr>
          <w:rFonts w:asciiTheme="majorBidi" w:hAnsiTheme="majorBidi" w:cstheme="majorBidi"/>
          <w:i/>
          <w:iCs/>
          <w:sz w:val="24"/>
          <w:szCs w:val="24"/>
        </w:rPr>
        <w:t>Hai Nabi, apabila kamu menceraikan isteri-isterimu Maka hendaklah kamu ceraikan mereka pada waktu mereka dapat (menghadapi) iddahnya (yang wajar) dan hitunglah waktu iddah itu.”</w:t>
      </w:r>
      <w:r>
        <w:rPr>
          <w:rFonts w:asciiTheme="majorBidi" w:hAnsiTheme="majorBidi" w:cstheme="majorBidi"/>
          <w:sz w:val="24"/>
          <w:szCs w:val="24"/>
        </w:rPr>
        <w:t xml:space="preserve"> ( QS. Al-Thalak [65] : 1</w:t>
      </w:r>
      <w:r w:rsidRPr="009171F3">
        <w:rPr>
          <w:rFonts w:asciiTheme="majorBidi" w:hAnsiTheme="majorBidi" w:cstheme="majorBidi"/>
          <w:sz w:val="24"/>
          <w:szCs w:val="24"/>
        </w:rPr>
        <w:t>)</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694"/>
      </w:r>
    </w:p>
    <w:p w:rsidR="00343B61" w:rsidRPr="008A6E72" w:rsidRDefault="00343B61" w:rsidP="00343B61">
      <w:pPr>
        <w:autoSpaceDE w:val="0"/>
        <w:autoSpaceDN w:val="0"/>
        <w:adjustRightInd w:val="0"/>
        <w:spacing w:after="0" w:line="240" w:lineRule="auto"/>
        <w:ind w:left="108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384B48">
        <w:rPr>
          <w:rFonts w:asciiTheme="majorBidi" w:hAnsiTheme="majorBidi" w:cstheme="majorBidi"/>
          <w:sz w:val="24"/>
          <w:szCs w:val="24"/>
        </w:rPr>
        <w:t>Sementara dalil dari hadis adalah</w:t>
      </w:r>
      <w:r>
        <w:rPr>
          <w:rFonts w:asciiTheme="majorBidi" w:hAnsiTheme="majorBidi" w:cstheme="majorBidi"/>
          <w:sz w:val="24"/>
          <w:szCs w:val="24"/>
        </w:rPr>
        <w:t xml:space="preserve"> sabda </w:t>
      </w:r>
      <w:r w:rsidRPr="00384B48">
        <w:rPr>
          <w:rFonts w:asciiTheme="majorBidi" w:hAnsiTheme="majorBidi" w:cstheme="majorBidi"/>
          <w:sz w:val="24"/>
          <w:szCs w:val="24"/>
        </w:rPr>
        <w:t>Nabi Saw</w:t>
      </w:r>
      <w:r>
        <w:rPr>
          <w:rFonts w:asciiTheme="majorBidi" w:hAnsiTheme="majorBidi" w:cstheme="majorBidi"/>
          <w:sz w:val="24"/>
          <w:szCs w:val="24"/>
        </w:rPr>
        <w:t xml:space="preserve"> yang diriwayatkan oleh al-Baihaqi dan Abu Daud dari sahabat Abdullah bin Umar ra, yaitu</w:t>
      </w:r>
      <w:r w:rsidRPr="00384B48">
        <w:rPr>
          <w:rFonts w:asciiTheme="majorBidi" w:hAnsiTheme="majorBidi" w:cstheme="majorBidi"/>
          <w:sz w:val="24"/>
          <w:szCs w:val="24"/>
        </w:rPr>
        <w:t xml:space="preserve"> :</w:t>
      </w:r>
      <w:r>
        <w:rPr>
          <w:rFonts w:asciiTheme="majorBidi" w:hAnsiTheme="majorBidi" w:cstheme="majorBidi"/>
          <w:sz w:val="24"/>
          <w:szCs w:val="24"/>
        </w:rPr>
        <w:t xml:space="preserve"> </w:t>
      </w:r>
    </w:p>
    <w:p w:rsidR="00343B61" w:rsidRPr="002027B5" w:rsidRDefault="00343B61" w:rsidP="00343B61">
      <w:pPr>
        <w:bidi/>
        <w:spacing w:after="0" w:line="240" w:lineRule="auto"/>
        <w:rPr>
          <w:rFonts w:ascii="Adobe نسخ Medium" w:hAnsi="Adobe نسخ Medium" w:cs="Adobe نسخ Medium"/>
          <w:sz w:val="34"/>
          <w:szCs w:val="34"/>
        </w:rPr>
      </w:pPr>
      <w:r w:rsidRPr="003C20C0">
        <w:rPr>
          <w:rFonts w:ascii="Arial" w:hAnsi="Arial" w:cs="Traditional Arabic"/>
          <w:sz w:val="32"/>
          <w:szCs w:val="32"/>
          <w:rtl/>
        </w:rPr>
        <w:t>« أَبْغَضُ الْحَلاَلِ إِلَى</w:t>
      </w:r>
      <w:r w:rsidRPr="002027B5">
        <w:rPr>
          <w:rFonts w:ascii="Adobe نسخ Medium" w:hAnsi="Adobe نسخ Medium" w:cs="Adobe نسخ Medium"/>
          <w:sz w:val="34"/>
          <w:szCs w:val="34"/>
          <w:rtl/>
        </w:rPr>
        <w:t xml:space="preserve"> </w:t>
      </w:r>
      <w:r w:rsidRPr="00F720E7">
        <w:rPr>
          <w:rFonts w:ascii="Adobe نسخ Medium" w:hAnsi="Adobe نسخ Medium" w:cs="Adobe نسخ Medium"/>
          <w:sz w:val="34"/>
          <w:szCs w:val="34"/>
          <w:rtl/>
        </w:rPr>
        <w:t>اللهِ</w:t>
      </w:r>
      <w:r>
        <w:rPr>
          <w:rFonts w:ascii="Adobe نسخ Medium" w:hAnsi="Adobe نسخ Medium" w:cs="Adobe نسخ Medium" w:hint="cs"/>
          <w:sz w:val="34"/>
          <w:szCs w:val="34"/>
          <w:rtl/>
        </w:rPr>
        <w:t xml:space="preserve"> </w:t>
      </w:r>
      <w:r w:rsidRPr="003C20C0">
        <w:rPr>
          <w:rFonts w:ascii="Arial" w:hAnsi="Arial" w:cs="Traditional Arabic"/>
          <w:sz w:val="32"/>
          <w:szCs w:val="32"/>
          <w:rtl/>
        </w:rPr>
        <w:t>الطَّلاَقُ »</w:t>
      </w:r>
      <w:r w:rsidRPr="003C20C0">
        <w:rPr>
          <w:rFonts w:ascii="Arial" w:hAnsi="Arial" w:cs="Traditional Arabic" w:hint="cs"/>
          <w:sz w:val="32"/>
          <w:szCs w:val="32"/>
          <w:rtl/>
        </w:rPr>
        <w:t xml:space="preserve">  ( </w:t>
      </w:r>
      <w:r w:rsidRPr="003C20C0">
        <w:rPr>
          <w:rFonts w:ascii="Arial" w:hAnsi="Arial" w:cs="Traditional Arabic"/>
          <w:sz w:val="32"/>
          <w:szCs w:val="32"/>
          <w:rtl/>
        </w:rPr>
        <w:t xml:space="preserve">رواه </w:t>
      </w:r>
      <w:r w:rsidRPr="003C20C0">
        <w:rPr>
          <w:rFonts w:ascii="Arial" w:hAnsi="Arial" w:cs="Traditional Arabic"/>
          <w:color w:val="000000"/>
          <w:sz w:val="32"/>
          <w:szCs w:val="32"/>
          <w:rtl/>
        </w:rPr>
        <w:t>البيهقي وأبو داود</w:t>
      </w:r>
      <w:r w:rsidRPr="003C20C0">
        <w:rPr>
          <w:rFonts w:ascii="Arial" w:hAnsi="Arial" w:cs="Traditional Arabic" w:hint="cs"/>
          <w:sz w:val="32"/>
          <w:szCs w:val="32"/>
          <w:rtl/>
        </w:rPr>
        <w:t xml:space="preserve"> )</w:t>
      </w:r>
      <w:r w:rsidRPr="003C20C0">
        <w:rPr>
          <w:rStyle w:val="FootnoteReference"/>
          <w:rFonts w:ascii="Arial" w:hAnsi="Arial" w:cs="Traditional Arabic"/>
          <w:sz w:val="32"/>
          <w:szCs w:val="32"/>
          <w:rtl/>
        </w:rPr>
        <w:footnoteReference w:id="695"/>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Pr>
          <w:rFonts w:asciiTheme="majorBidi" w:hAnsiTheme="majorBidi" w:cstheme="majorBidi"/>
          <w:sz w:val="24"/>
          <w:szCs w:val="24"/>
        </w:rPr>
        <w:t>Artinya:  “</w:t>
      </w:r>
      <w:r w:rsidRPr="00384B48">
        <w:rPr>
          <w:rFonts w:asciiTheme="majorBidi" w:hAnsiTheme="majorBidi" w:cstheme="majorBidi"/>
          <w:i/>
          <w:iCs/>
          <w:sz w:val="24"/>
          <w:szCs w:val="24"/>
        </w:rPr>
        <w:t>Perbuatan halal yang paling</w:t>
      </w:r>
      <w:r>
        <w:rPr>
          <w:rFonts w:asciiTheme="majorBidi" w:hAnsiTheme="majorBidi" w:cstheme="majorBidi"/>
          <w:i/>
          <w:iCs/>
          <w:sz w:val="24"/>
          <w:szCs w:val="24"/>
        </w:rPr>
        <w:t xml:space="preserve"> Allah</w:t>
      </w:r>
      <w:r w:rsidRPr="00384B48">
        <w:rPr>
          <w:rFonts w:asciiTheme="majorBidi" w:hAnsiTheme="majorBidi" w:cstheme="majorBidi"/>
          <w:i/>
          <w:iCs/>
          <w:sz w:val="24"/>
          <w:szCs w:val="24"/>
        </w:rPr>
        <w:t xml:space="preserve"> benci adalah talak</w:t>
      </w:r>
      <w:r>
        <w:rPr>
          <w:rFonts w:asciiTheme="majorBidi" w:hAnsiTheme="majorBidi" w:cstheme="majorBidi"/>
          <w:sz w:val="24"/>
          <w:szCs w:val="24"/>
        </w:rPr>
        <w:t>” ( HR. Baihaqi dan Abu Daud )</w:t>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1080" w:hanging="360"/>
        <w:jc w:val="both"/>
        <w:rPr>
          <w:rFonts w:asciiTheme="majorBidi" w:hAnsiTheme="majorBidi" w:cstheme="majorBidi"/>
          <w:sz w:val="24"/>
          <w:szCs w:val="24"/>
        </w:rPr>
      </w:pPr>
      <w:r>
        <w:rPr>
          <w:rFonts w:asciiTheme="majorBidi" w:hAnsiTheme="majorBidi" w:cstheme="majorBidi"/>
          <w:sz w:val="24"/>
          <w:szCs w:val="24"/>
        </w:rPr>
        <w:t>Dan Hadis riwayat Jama’ah dari sahabat Qais bin Zaid, Nabi bersabda:</w:t>
      </w:r>
    </w:p>
    <w:p w:rsidR="00343B61" w:rsidRDefault="00343B61" w:rsidP="00343B61">
      <w:pPr>
        <w:autoSpaceDE w:val="0"/>
        <w:autoSpaceDN w:val="0"/>
        <w:bidi/>
        <w:adjustRightInd w:val="0"/>
        <w:spacing w:after="0" w:line="240" w:lineRule="auto"/>
        <w:rPr>
          <w:rFonts w:ascii="Arial" w:hAnsi="Arial"/>
          <w:b/>
          <w:bCs/>
          <w:sz w:val="28"/>
          <w:szCs w:val="28"/>
        </w:rPr>
      </w:pPr>
      <w:r w:rsidRPr="003C20C0">
        <w:rPr>
          <w:rFonts w:ascii="Arial" w:hAnsi="Arial" w:cs="Traditional Arabic"/>
          <w:sz w:val="32"/>
          <w:szCs w:val="32"/>
          <w:rtl/>
        </w:rPr>
        <w:t>إِنَّ جِبْرِيلَ قَالَ لِي رَاجِعْ حَفْصَةَ فَإِنَّهَا صَوَّامَةٌ قَوَّامَةٌ وَإِنَّهَا زَوْجَتُكَ فِي الْجَنَّةِ</w:t>
      </w:r>
      <w:r>
        <w:rPr>
          <w:rFonts w:ascii="Arial" w:hAnsi="Arial" w:hint="cs"/>
          <w:b/>
          <w:bCs/>
          <w:sz w:val="28"/>
          <w:szCs w:val="28"/>
          <w:rtl/>
        </w:rPr>
        <w:t xml:space="preserve"> </w:t>
      </w:r>
      <w:r w:rsidRPr="003C20C0">
        <w:rPr>
          <w:rStyle w:val="FootnoteReference"/>
          <w:rFonts w:ascii="Arial" w:hAnsi="Arial"/>
          <w:sz w:val="28"/>
          <w:szCs w:val="28"/>
          <w:rtl/>
        </w:rPr>
        <w:footnoteReference w:id="696"/>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r w:rsidRPr="0026097F">
        <w:rPr>
          <w:rFonts w:asciiTheme="majorBidi" w:hAnsiTheme="majorBidi" w:cstheme="majorBidi"/>
          <w:sz w:val="24"/>
          <w:szCs w:val="24"/>
        </w:rPr>
        <w:lastRenderedPageBreak/>
        <w:t>Artinya:</w:t>
      </w:r>
      <w:r>
        <w:rPr>
          <w:rFonts w:asciiTheme="majorBidi" w:hAnsiTheme="majorBidi" w:cstheme="majorBidi"/>
          <w:sz w:val="24"/>
          <w:szCs w:val="24"/>
        </w:rPr>
        <w:t>”</w:t>
      </w:r>
      <w:r w:rsidRPr="0026097F">
        <w:rPr>
          <w:rFonts w:asciiTheme="majorBidi" w:hAnsiTheme="majorBidi" w:cstheme="majorBidi"/>
          <w:i/>
          <w:iCs/>
          <w:sz w:val="24"/>
          <w:szCs w:val="24"/>
        </w:rPr>
        <w:t>Sesungguhnya Jibril berkata kepada saya: rujuki Hafshah, sesungguhnya dia seorang perempuan yang banyak puasa dan banyak sh</w:t>
      </w:r>
      <w:r>
        <w:rPr>
          <w:rFonts w:asciiTheme="majorBidi" w:hAnsiTheme="majorBidi" w:cstheme="majorBidi"/>
          <w:i/>
          <w:iCs/>
          <w:sz w:val="24"/>
          <w:szCs w:val="24"/>
        </w:rPr>
        <w:t>a</w:t>
      </w:r>
      <w:r w:rsidRPr="0026097F">
        <w:rPr>
          <w:rFonts w:asciiTheme="majorBidi" w:hAnsiTheme="majorBidi" w:cstheme="majorBidi"/>
          <w:i/>
          <w:iCs/>
          <w:sz w:val="24"/>
          <w:szCs w:val="24"/>
        </w:rPr>
        <w:t>lat malam, dan dia bakal jadi istrimu di surg</w:t>
      </w:r>
      <w:r>
        <w:rPr>
          <w:rFonts w:asciiTheme="majorBidi" w:hAnsiTheme="majorBidi" w:cstheme="majorBidi"/>
          <w:i/>
          <w:iCs/>
          <w:sz w:val="24"/>
          <w:szCs w:val="24"/>
        </w:rPr>
        <w:t>a</w:t>
      </w:r>
      <w:r w:rsidRPr="0026097F">
        <w:rPr>
          <w:rFonts w:asciiTheme="majorBidi" w:hAnsiTheme="majorBidi" w:cstheme="majorBidi"/>
          <w:sz w:val="24"/>
          <w:szCs w:val="24"/>
        </w:rPr>
        <w:t>” ( HR. Jama’ah)</w:t>
      </w:r>
    </w:p>
    <w:p w:rsidR="00343B61" w:rsidRDefault="00343B61" w:rsidP="00343B61">
      <w:pPr>
        <w:autoSpaceDE w:val="0"/>
        <w:autoSpaceDN w:val="0"/>
        <w:adjustRightInd w:val="0"/>
        <w:spacing w:after="0" w:line="240" w:lineRule="auto"/>
        <w:ind w:left="108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90" w:firstLine="630"/>
        <w:jc w:val="both"/>
        <w:rPr>
          <w:rFonts w:asciiTheme="majorBidi" w:hAnsiTheme="majorBidi" w:cstheme="majorBidi"/>
          <w:sz w:val="24"/>
          <w:szCs w:val="24"/>
        </w:rPr>
      </w:pPr>
      <w:r>
        <w:rPr>
          <w:rFonts w:asciiTheme="majorBidi" w:hAnsiTheme="majorBidi" w:cstheme="majorBidi"/>
          <w:sz w:val="24"/>
          <w:szCs w:val="24"/>
        </w:rPr>
        <w:t>Sepakat ulama atas per</w:t>
      </w:r>
      <w:r w:rsidRPr="008A2C41">
        <w:rPr>
          <w:rFonts w:asciiTheme="majorBidi" w:hAnsiTheme="majorBidi" w:cstheme="majorBidi"/>
          <w:sz w:val="24"/>
          <w:szCs w:val="24"/>
        </w:rPr>
        <w:t>syari’</w:t>
      </w:r>
      <w:r>
        <w:rPr>
          <w:rFonts w:asciiTheme="majorBidi" w:hAnsiTheme="majorBidi" w:cstheme="majorBidi"/>
          <w:sz w:val="24"/>
          <w:szCs w:val="24"/>
        </w:rPr>
        <w:t>at</w:t>
      </w:r>
      <w:r w:rsidRPr="008A2C41">
        <w:rPr>
          <w:rFonts w:asciiTheme="majorBidi" w:hAnsiTheme="majorBidi" w:cstheme="majorBidi"/>
          <w:sz w:val="24"/>
          <w:szCs w:val="24"/>
        </w:rPr>
        <w:t>an talak,</w:t>
      </w:r>
      <w:r>
        <w:rPr>
          <w:rFonts w:asciiTheme="majorBidi" w:hAnsiTheme="majorBidi" w:cstheme="majorBidi"/>
          <w:sz w:val="24"/>
          <w:szCs w:val="24"/>
        </w:rPr>
        <w:t xml:space="preserve"> hal itu manakala tujuan pernikahan yang semestinya menciptakan </w:t>
      </w:r>
      <w:r w:rsidRPr="00AC429D">
        <w:rPr>
          <w:rFonts w:asciiTheme="majorBidi" w:hAnsiTheme="majorBidi" w:cstheme="majorBidi"/>
          <w:i/>
          <w:iCs/>
          <w:sz w:val="24"/>
          <w:szCs w:val="24"/>
        </w:rPr>
        <w:t>sakinah mawadah warahmah</w:t>
      </w:r>
      <w:r>
        <w:rPr>
          <w:rFonts w:asciiTheme="majorBidi" w:hAnsiTheme="majorBidi" w:cstheme="majorBidi"/>
          <w:sz w:val="24"/>
          <w:szCs w:val="24"/>
        </w:rPr>
        <w:t xml:space="preserve"> tidak bisa tercapai, dalam arti </w:t>
      </w:r>
      <w:r w:rsidRPr="008A2C41">
        <w:rPr>
          <w:rFonts w:asciiTheme="majorBidi" w:hAnsiTheme="majorBidi" w:cstheme="majorBidi"/>
          <w:sz w:val="24"/>
          <w:szCs w:val="24"/>
        </w:rPr>
        <w:t xml:space="preserve"> hubungan pernikahan tidak dapat lagi dipertahankan, dan apabila dilanjutkan akan menghada</w:t>
      </w:r>
      <w:r>
        <w:rPr>
          <w:rFonts w:asciiTheme="majorBidi" w:hAnsiTheme="majorBidi" w:cstheme="majorBidi"/>
          <w:sz w:val="24"/>
          <w:szCs w:val="24"/>
        </w:rPr>
        <w:t>pai kehancuran dan kemudharatan dalam hal ini perceraian lebih mendatangkan maslahat bagi kedua belah pihak. Maka Islam membuka pintu terjadi perceraian. Sebagai pengamalan dari Kaidah fiqhiyah:</w:t>
      </w:r>
    </w:p>
    <w:p w:rsidR="00343B61" w:rsidRDefault="00343B61" w:rsidP="00343B61">
      <w:pPr>
        <w:autoSpaceDE w:val="0"/>
        <w:autoSpaceDN w:val="0"/>
        <w:bidi/>
        <w:adjustRightInd w:val="0"/>
        <w:spacing w:after="0" w:line="240" w:lineRule="auto"/>
        <w:ind w:left="90" w:hanging="73"/>
        <w:jc w:val="both"/>
        <w:rPr>
          <w:rFonts w:ascii="Arial" w:hAnsi="Arial"/>
          <w:b/>
          <w:bCs/>
          <w:sz w:val="28"/>
          <w:szCs w:val="28"/>
        </w:rPr>
      </w:pPr>
      <w:r w:rsidRPr="003C20C0">
        <w:rPr>
          <w:rFonts w:ascii="Arial" w:hAnsi="Arial" w:cs="Traditional Arabic"/>
          <w:sz w:val="32"/>
          <w:szCs w:val="32"/>
          <w:rtl/>
        </w:rPr>
        <w:t>يَخْتَارَ أَهْوَنَ</w:t>
      </w:r>
      <w:r w:rsidRPr="003C20C0">
        <w:rPr>
          <w:rFonts w:ascii="Arial" w:hAnsi="Arial" w:cs="Traditional Arabic" w:hint="cs"/>
          <w:sz w:val="32"/>
          <w:szCs w:val="32"/>
          <w:rtl/>
        </w:rPr>
        <w:t xml:space="preserve"> </w:t>
      </w:r>
      <w:r w:rsidRPr="003C20C0">
        <w:rPr>
          <w:rFonts w:ascii="Arial" w:hAnsi="Arial" w:cs="Traditional Arabic"/>
          <w:color w:val="000000"/>
          <w:sz w:val="32"/>
          <w:szCs w:val="32"/>
          <w:rtl/>
        </w:rPr>
        <w:t>الشَرَّيْنِ</w:t>
      </w:r>
      <w:r>
        <w:rPr>
          <w:rFonts w:ascii="Arial" w:hAnsi="Arial" w:hint="cs"/>
          <w:b/>
          <w:bCs/>
          <w:sz w:val="28"/>
          <w:szCs w:val="28"/>
          <w:rtl/>
        </w:rPr>
        <w:t xml:space="preserve"> </w:t>
      </w:r>
      <w:r w:rsidRPr="000D1F7E">
        <w:rPr>
          <w:rStyle w:val="FootnoteReference"/>
          <w:rFonts w:ascii="Arial" w:hAnsi="Arial"/>
          <w:sz w:val="28"/>
          <w:szCs w:val="28"/>
          <w:rtl/>
        </w:rPr>
        <w:footnoteReference w:id="697"/>
      </w:r>
    </w:p>
    <w:p w:rsidR="00343B61" w:rsidRDefault="00343B61" w:rsidP="00343B61">
      <w:pPr>
        <w:autoSpaceDE w:val="0"/>
        <w:autoSpaceDN w:val="0"/>
        <w:adjustRightInd w:val="0"/>
        <w:spacing w:after="0" w:line="240" w:lineRule="auto"/>
        <w:ind w:left="90" w:firstLine="630"/>
        <w:jc w:val="both"/>
        <w:rPr>
          <w:rFonts w:asciiTheme="majorBidi" w:hAnsiTheme="majorBidi" w:cstheme="majorBidi"/>
          <w:sz w:val="24"/>
          <w:szCs w:val="24"/>
          <w:rtl/>
        </w:rPr>
      </w:pPr>
      <w:r w:rsidRPr="008A2C41">
        <w:rPr>
          <w:rFonts w:asciiTheme="majorBidi" w:hAnsiTheme="majorBidi" w:cstheme="majorBidi"/>
          <w:sz w:val="24"/>
          <w:szCs w:val="24"/>
        </w:rPr>
        <w:t xml:space="preserve">Artinya: </w:t>
      </w:r>
      <w:r>
        <w:rPr>
          <w:rFonts w:asciiTheme="majorBidi" w:hAnsiTheme="majorBidi" w:cstheme="majorBidi"/>
          <w:sz w:val="24"/>
          <w:szCs w:val="24"/>
        </w:rPr>
        <w:t xml:space="preserve"> </w:t>
      </w:r>
      <w:r w:rsidRPr="008A2C41">
        <w:rPr>
          <w:rFonts w:asciiTheme="majorBidi" w:hAnsiTheme="majorBidi" w:cstheme="majorBidi"/>
          <w:sz w:val="24"/>
          <w:szCs w:val="24"/>
        </w:rPr>
        <w:t>“</w:t>
      </w:r>
      <w:r w:rsidRPr="008A2C41">
        <w:rPr>
          <w:rFonts w:asciiTheme="majorBidi" w:hAnsiTheme="majorBidi" w:cstheme="majorBidi"/>
          <w:i/>
          <w:iCs/>
          <w:sz w:val="24"/>
          <w:szCs w:val="24"/>
        </w:rPr>
        <w:t>Memilih</w:t>
      </w:r>
      <w:r>
        <w:rPr>
          <w:rFonts w:asciiTheme="majorBidi" w:hAnsiTheme="majorBidi" w:cstheme="majorBidi"/>
          <w:i/>
          <w:iCs/>
          <w:sz w:val="24"/>
          <w:szCs w:val="24"/>
        </w:rPr>
        <w:t xml:space="preserve"> yang paling ringan keburu</w:t>
      </w:r>
      <w:r w:rsidRPr="008A2C41">
        <w:rPr>
          <w:rFonts w:asciiTheme="majorBidi" w:hAnsiTheme="majorBidi" w:cstheme="majorBidi"/>
          <w:i/>
          <w:iCs/>
          <w:sz w:val="24"/>
          <w:szCs w:val="24"/>
        </w:rPr>
        <w:t>kannya</w:t>
      </w:r>
      <w:r w:rsidRPr="008A2C41">
        <w:rPr>
          <w:rFonts w:asciiTheme="majorBidi" w:hAnsiTheme="majorBidi" w:cstheme="majorBidi"/>
          <w:sz w:val="24"/>
          <w:szCs w:val="24"/>
        </w:rPr>
        <w:t>”</w:t>
      </w:r>
    </w:p>
    <w:p w:rsidR="00343B61" w:rsidRPr="00384B48" w:rsidRDefault="00343B61" w:rsidP="00343B61">
      <w:pPr>
        <w:autoSpaceDE w:val="0"/>
        <w:autoSpaceDN w:val="0"/>
        <w:adjustRightInd w:val="0"/>
        <w:spacing w:after="0" w:line="240" w:lineRule="auto"/>
        <w:ind w:left="90" w:firstLine="630"/>
        <w:jc w:val="both"/>
        <w:rPr>
          <w:rFonts w:asciiTheme="majorBidi" w:hAnsiTheme="majorBidi" w:cstheme="majorBidi"/>
          <w:sz w:val="24"/>
          <w:szCs w:val="24"/>
        </w:rPr>
      </w:pPr>
    </w:p>
    <w:p w:rsidR="00343B61" w:rsidRPr="00A81C08"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hak talak itu</w:t>
      </w:r>
      <w:r w:rsidRPr="00A81C08">
        <w:rPr>
          <w:rFonts w:ascii="Times New Roman" w:hAnsi="Times New Roman" w:cs="Times New Roman"/>
          <w:sz w:val="24"/>
          <w:szCs w:val="24"/>
        </w:rPr>
        <w:t xml:space="preserve"> diberikan kepada suami dengan pertimbangan, bahwa pada umumnya suami lebih</w:t>
      </w:r>
      <w:r>
        <w:rPr>
          <w:rFonts w:ascii="Times New Roman" w:hAnsi="Times New Roman" w:cs="Times New Roman"/>
          <w:sz w:val="24"/>
          <w:szCs w:val="24"/>
        </w:rPr>
        <w:t xml:space="preserve"> realistis pemikirannya, dan lebih dalam pertimbangannnya, dibanding</w:t>
      </w:r>
      <w:r w:rsidRPr="00A81C08">
        <w:rPr>
          <w:rFonts w:ascii="Times New Roman" w:hAnsi="Times New Roman" w:cs="Times New Roman"/>
          <w:sz w:val="24"/>
          <w:szCs w:val="24"/>
        </w:rPr>
        <w:t xml:space="preserve"> isteri yang biasanya bertindak atas dasar </w:t>
      </w:r>
      <w:r>
        <w:rPr>
          <w:rFonts w:ascii="Times New Roman" w:hAnsi="Times New Roman" w:cs="Times New Roman"/>
          <w:sz w:val="24"/>
          <w:szCs w:val="24"/>
        </w:rPr>
        <w:t xml:space="preserve">perasaan dan </w:t>
      </w:r>
      <w:r w:rsidRPr="00A81C08">
        <w:rPr>
          <w:rFonts w:ascii="Times New Roman" w:hAnsi="Times New Roman" w:cs="Times New Roman"/>
          <w:sz w:val="24"/>
          <w:szCs w:val="24"/>
        </w:rPr>
        <w:t>emosi. Hal ini dimaksudkan agar terjadinya perceraian lebih dapat di</w:t>
      </w:r>
      <w:r>
        <w:rPr>
          <w:rFonts w:ascii="Times New Roman" w:hAnsi="Times New Roman" w:cs="Times New Roman"/>
          <w:sz w:val="24"/>
          <w:szCs w:val="24"/>
        </w:rPr>
        <w:t xml:space="preserve"> </w:t>
      </w:r>
      <w:r w:rsidRPr="00A81C08">
        <w:rPr>
          <w:rFonts w:ascii="Times New Roman" w:hAnsi="Times New Roman" w:cs="Times New Roman"/>
          <w:sz w:val="24"/>
          <w:szCs w:val="24"/>
        </w:rPr>
        <w:t>minimalisasi dari pada jika hak talak diberikan kepada isteri.</w:t>
      </w:r>
      <w:r>
        <w:rPr>
          <w:rFonts w:ascii="Times New Roman" w:hAnsi="Times New Roman" w:cs="Times New Roman"/>
          <w:sz w:val="24"/>
          <w:szCs w:val="24"/>
        </w:rPr>
        <w:t xml:space="preserve"> Dan juga hak talak diberikan kepada suami karena sebagian dari dampak percerian ditanggung oleh suami, seperti membayar mahar yang belum lunas, nafkah mut’ah dan juga nafkah selama ‘Iddah.</w:t>
      </w:r>
      <w:r w:rsidRPr="00A81C08">
        <w:rPr>
          <w:rStyle w:val="FootnoteReference"/>
          <w:rFonts w:ascii="Times New Roman" w:hAnsi="Times New Roman" w:cs="Times New Roman"/>
          <w:sz w:val="24"/>
          <w:szCs w:val="24"/>
        </w:rPr>
        <w:footnoteReference w:id="698"/>
      </w:r>
    </w:p>
    <w:p w:rsidR="00343B61" w:rsidRDefault="00343B61" w:rsidP="002C0A33">
      <w:pPr>
        <w:pStyle w:val="ListParagraph"/>
        <w:numPr>
          <w:ilvl w:val="0"/>
          <w:numId w:val="55"/>
        </w:numPr>
        <w:tabs>
          <w:tab w:val="left" w:pos="1800"/>
        </w:tabs>
        <w:spacing w:line="360" w:lineRule="auto"/>
        <w:ind w:left="720" w:hanging="270"/>
        <w:jc w:val="both"/>
        <w:rPr>
          <w:rFonts w:asciiTheme="majorBidi" w:hAnsiTheme="majorBidi" w:cstheme="majorBidi"/>
          <w:sz w:val="24"/>
          <w:szCs w:val="24"/>
          <w:lang w:val="sv-SE"/>
        </w:rPr>
      </w:pPr>
      <w:r>
        <w:rPr>
          <w:rFonts w:asciiTheme="majorBidi" w:hAnsiTheme="majorBidi" w:cstheme="majorBidi"/>
          <w:sz w:val="24"/>
          <w:szCs w:val="24"/>
          <w:lang w:val="sv-SE"/>
        </w:rPr>
        <w:t>Rukun dan Syarat</w:t>
      </w:r>
      <w:r w:rsidRPr="00BA4238">
        <w:rPr>
          <w:rFonts w:asciiTheme="majorBidi" w:hAnsiTheme="majorBidi" w:cstheme="majorBidi"/>
          <w:sz w:val="24"/>
          <w:szCs w:val="24"/>
          <w:lang w:val="sv-SE"/>
        </w:rPr>
        <w:t xml:space="preserve"> Talak</w:t>
      </w:r>
    </w:p>
    <w:p w:rsidR="00343B61" w:rsidRPr="00AC429D" w:rsidRDefault="00343B61" w:rsidP="00343B61">
      <w:pPr>
        <w:pStyle w:val="ListParagraph"/>
        <w:tabs>
          <w:tab w:val="left" w:pos="1800"/>
        </w:tabs>
        <w:spacing w:line="360" w:lineRule="auto"/>
        <w:ind w:left="0" w:firstLine="720"/>
        <w:jc w:val="both"/>
        <w:rPr>
          <w:rFonts w:asciiTheme="majorBidi" w:hAnsiTheme="majorBidi" w:cstheme="majorBidi"/>
          <w:sz w:val="24"/>
          <w:szCs w:val="24"/>
          <w:lang w:val="sv-SE"/>
        </w:rPr>
      </w:pPr>
      <w:r w:rsidRPr="00AC429D">
        <w:rPr>
          <w:rFonts w:ascii="Times New Roman" w:hAnsi="Times New Roman" w:cs="Times New Roman"/>
          <w:sz w:val="24"/>
          <w:szCs w:val="24"/>
        </w:rPr>
        <w:t>Rukun talak ialah unsur pokok yang harus ada dalam sesuatu ( talak) dan terwujudnya sesuatu itu (talak) bergantung ada dan lengkapnya unsur-unsur yang  dimaksud.</w:t>
      </w:r>
      <w:r>
        <w:rPr>
          <w:rStyle w:val="FootnoteReference"/>
          <w:rFonts w:ascii="Times New Roman" w:hAnsi="Times New Roman" w:cs="Times New Roman"/>
          <w:sz w:val="24"/>
          <w:szCs w:val="24"/>
        </w:rPr>
        <w:footnoteReference w:id="699"/>
      </w:r>
      <w:r w:rsidRPr="00AC429D">
        <w:rPr>
          <w:rFonts w:ascii="Times New Roman" w:hAnsi="Times New Roman" w:cs="Times New Roman"/>
          <w:sz w:val="24"/>
          <w:szCs w:val="24"/>
        </w:rPr>
        <w:t xml:space="preserve"> Rukun talak ada empat, yaitu:</w:t>
      </w:r>
    </w:p>
    <w:p w:rsidR="00343B61" w:rsidRDefault="00343B61" w:rsidP="00343B61">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 Suami yang mentalak istrinya</w:t>
      </w:r>
    </w:p>
    <w:p w:rsidR="00343B61" w:rsidRPr="004A07A7" w:rsidRDefault="00343B61" w:rsidP="00343B61">
      <w:pPr>
        <w:pStyle w:val="ListParagraph"/>
        <w:tabs>
          <w:tab w:val="left"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Untuk sahnya talak, suami yang menjatuhkan talak disyaratkan, baligh, berakal, </w:t>
      </w:r>
      <w:r w:rsidRPr="00304E68">
        <w:rPr>
          <w:rFonts w:ascii="Times New Roman" w:hAnsi="Times New Roman" w:cs="Times New Roman"/>
          <w:sz w:val="24"/>
          <w:szCs w:val="24"/>
        </w:rPr>
        <w:t>atas kemauan sendiri</w:t>
      </w:r>
      <w:r>
        <w:rPr>
          <w:rFonts w:ascii="Times New Roman" w:hAnsi="Times New Roman" w:cs="Times New Roman"/>
          <w:sz w:val="24"/>
          <w:szCs w:val="24"/>
        </w:rPr>
        <w:t xml:space="preserve"> (bukan dipaksa) dan ditambah dengan beragama Islam menurut mazhab Maliki. Oleh sebab itu tidak sah talak dari seorang suami yang hilang akalnya karena gila, atau pingsan, atau hilang kesadaran karena emosi yang tinggi dan sedih yang mendalam. Begitu juga tidak dianggap sah talak dari seorang yang dipaksa untuk menjatuhkan talak, artinya bukan atas kehendak sendiri.</w:t>
      </w:r>
      <w:r>
        <w:rPr>
          <w:rStyle w:val="FootnoteReference"/>
          <w:rFonts w:ascii="Times New Roman" w:hAnsi="Times New Roman" w:cs="Times New Roman"/>
          <w:sz w:val="24"/>
          <w:szCs w:val="24"/>
        </w:rPr>
        <w:footnoteReference w:id="700"/>
      </w:r>
      <w:r>
        <w:rPr>
          <w:rFonts w:ascii="Times New Roman" w:hAnsi="Times New Roman" w:cs="Times New Roman"/>
          <w:sz w:val="24"/>
          <w:szCs w:val="24"/>
        </w:rPr>
        <w:t xml:space="preserve">  Dalam hal ini Rasul Saw bersabda:</w:t>
      </w:r>
    </w:p>
    <w:p w:rsidR="00343B61" w:rsidRPr="003C20C0" w:rsidRDefault="00343B61" w:rsidP="00343B61">
      <w:pPr>
        <w:pStyle w:val="ListParagraph"/>
        <w:tabs>
          <w:tab w:val="left" w:pos="1440"/>
        </w:tabs>
        <w:bidi/>
        <w:spacing w:line="240" w:lineRule="auto"/>
        <w:ind w:hanging="703"/>
        <w:jc w:val="both"/>
        <w:rPr>
          <w:rFonts w:ascii="Arial" w:hAnsi="Arial" w:cs="Traditional Arabic"/>
          <w:sz w:val="28"/>
          <w:szCs w:val="28"/>
        </w:rPr>
      </w:pPr>
      <w:r>
        <w:rPr>
          <w:rFonts w:ascii="Times New Roman" w:hAnsi="Times New Roman" w:cs="Times New Roman"/>
          <w:sz w:val="24"/>
          <w:szCs w:val="24"/>
        </w:rPr>
        <w:t xml:space="preserve"> </w:t>
      </w:r>
      <w:r w:rsidRPr="003C20C0">
        <w:rPr>
          <w:rFonts w:ascii="Arial" w:hAnsi="Arial" w:cs="Traditional Arabic"/>
          <w:sz w:val="32"/>
          <w:szCs w:val="32"/>
          <w:rtl/>
        </w:rPr>
        <w:t>لَا طَلَاقَ فِي إغْلَاقٍ ، وَالْإِغْلَاقُ الْإِكْرَاهُ</w:t>
      </w:r>
      <w:r>
        <w:rPr>
          <w:rFonts w:ascii="Arial" w:hAnsi="Arial" w:hint="cs"/>
          <w:b/>
          <w:bCs/>
          <w:sz w:val="28"/>
          <w:szCs w:val="28"/>
          <w:rtl/>
        </w:rPr>
        <w:t xml:space="preserve"> </w:t>
      </w:r>
      <w:r w:rsidRPr="003C20C0">
        <w:rPr>
          <w:rStyle w:val="FootnoteReference"/>
          <w:rFonts w:ascii="Arial" w:hAnsi="Arial"/>
          <w:sz w:val="28"/>
          <w:szCs w:val="28"/>
          <w:rtl/>
        </w:rPr>
        <w:footnoteReference w:id="701"/>
      </w:r>
      <w:r>
        <w:rPr>
          <w:rFonts w:ascii="Arial" w:hAnsi="Arial" w:hint="cs"/>
          <w:b/>
          <w:bCs/>
          <w:sz w:val="28"/>
          <w:szCs w:val="28"/>
          <w:rtl/>
        </w:rPr>
        <w:t xml:space="preserve"> </w:t>
      </w:r>
      <w:r w:rsidRPr="003C20C0">
        <w:rPr>
          <w:rFonts w:ascii="Arial" w:hAnsi="Arial" w:cs="Traditional Arabic" w:hint="cs"/>
          <w:sz w:val="28"/>
          <w:szCs w:val="28"/>
          <w:rtl/>
        </w:rPr>
        <w:t>( رواه مالك )</w:t>
      </w:r>
    </w:p>
    <w:p w:rsidR="00343B61" w:rsidRDefault="00343B61" w:rsidP="00343B61">
      <w:pPr>
        <w:pStyle w:val="ListParagraph"/>
        <w:tabs>
          <w:tab w:val="left" w:pos="1440"/>
        </w:tabs>
        <w:spacing w:line="240" w:lineRule="auto"/>
        <w:ind w:firstLine="360"/>
        <w:jc w:val="both"/>
        <w:rPr>
          <w:rFonts w:asciiTheme="majorBidi" w:hAnsiTheme="majorBidi" w:cstheme="majorBidi"/>
          <w:sz w:val="24"/>
          <w:szCs w:val="24"/>
        </w:rPr>
      </w:pPr>
      <w:r w:rsidRPr="004A07A7">
        <w:rPr>
          <w:rFonts w:asciiTheme="majorBidi" w:hAnsiTheme="majorBidi" w:cstheme="majorBidi"/>
          <w:sz w:val="24"/>
          <w:szCs w:val="24"/>
        </w:rPr>
        <w:t>Artinya: “</w:t>
      </w:r>
      <w:r w:rsidRPr="004A07A7">
        <w:rPr>
          <w:rFonts w:asciiTheme="majorBidi" w:hAnsiTheme="majorBidi" w:cstheme="majorBidi"/>
          <w:i/>
          <w:iCs/>
          <w:sz w:val="24"/>
          <w:szCs w:val="24"/>
        </w:rPr>
        <w:t>Tidak sah Talak yang diucpakan dengan terpaksa</w:t>
      </w:r>
      <w:r w:rsidRPr="004A07A7">
        <w:rPr>
          <w:rFonts w:asciiTheme="majorBidi" w:hAnsiTheme="majorBidi" w:cstheme="majorBidi"/>
          <w:sz w:val="24"/>
          <w:szCs w:val="24"/>
        </w:rPr>
        <w:t>”</w:t>
      </w:r>
      <w:r>
        <w:rPr>
          <w:rFonts w:asciiTheme="majorBidi" w:hAnsiTheme="majorBidi" w:cstheme="majorBidi"/>
          <w:sz w:val="24"/>
          <w:szCs w:val="24"/>
        </w:rPr>
        <w:t xml:space="preserve"> </w:t>
      </w:r>
    </w:p>
    <w:p w:rsidR="00343B61" w:rsidRPr="004A07A7" w:rsidRDefault="00343B61" w:rsidP="00343B61">
      <w:pPr>
        <w:pStyle w:val="ListParagraph"/>
        <w:tabs>
          <w:tab w:val="left" w:pos="1440"/>
        </w:tabs>
        <w:spacing w:line="240" w:lineRule="auto"/>
        <w:ind w:firstLine="360"/>
        <w:jc w:val="both"/>
        <w:rPr>
          <w:rFonts w:asciiTheme="majorBidi" w:hAnsiTheme="majorBidi" w:cstheme="majorBidi"/>
          <w:sz w:val="24"/>
          <w:szCs w:val="24"/>
        </w:rPr>
      </w:pPr>
      <w:r>
        <w:rPr>
          <w:rFonts w:asciiTheme="majorBidi" w:hAnsiTheme="majorBidi" w:cstheme="majorBidi"/>
          <w:sz w:val="24"/>
          <w:szCs w:val="24"/>
        </w:rPr>
        <w:t>( HR. Malik)</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Suami adalah orang yang memiliki hak talak dan yang berhak menjatuhkannya, selain suami tidak berhak menjatuhkannya. Karena itu talak bersifat menghilangkan ikatan perkawinan, maka talak tidak mungkin terwujud kecuali setelah nyata adanya akad perkawinan yang sah. Dalam hal ini Rasul Saw bersabda: </w:t>
      </w:r>
    </w:p>
    <w:p w:rsidR="00343B61" w:rsidRDefault="00343B61" w:rsidP="00343B61">
      <w:pPr>
        <w:autoSpaceDE w:val="0"/>
        <w:autoSpaceDN w:val="0"/>
        <w:bidi/>
        <w:adjustRightInd w:val="0"/>
        <w:spacing w:after="0" w:line="240" w:lineRule="auto"/>
        <w:ind w:left="17"/>
        <w:jc w:val="both"/>
        <w:rPr>
          <w:rFonts w:ascii="Arial" w:hAnsi="Arial"/>
          <w:b/>
          <w:bCs/>
          <w:sz w:val="28"/>
          <w:szCs w:val="28"/>
        </w:rPr>
      </w:pPr>
      <w:r w:rsidRPr="003C20C0">
        <w:rPr>
          <w:rFonts w:ascii="Arial" w:hAnsi="Arial" w:cs="Traditional Arabic"/>
          <w:sz w:val="32"/>
          <w:szCs w:val="32"/>
          <w:rtl/>
        </w:rPr>
        <w:t>لاَ طَلاَقَ إِلاَّ بَعْدَ النِّكَاحِ</w:t>
      </w:r>
      <w:r>
        <w:rPr>
          <w:rFonts w:ascii="Arial" w:hAnsi="Arial"/>
          <w:b/>
          <w:bCs/>
          <w:sz w:val="28"/>
          <w:szCs w:val="28"/>
        </w:rPr>
        <w:t xml:space="preserve"> </w:t>
      </w:r>
      <w:r>
        <w:rPr>
          <w:rFonts w:ascii="Arial" w:hAnsi="Arial" w:hint="cs"/>
          <w:b/>
          <w:bCs/>
          <w:sz w:val="28"/>
          <w:szCs w:val="28"/>
        </w:rPr>
        <w:t xml:space="preserve">  </w:t>
      </w:r>
      <w:r w:rsidRPr="003C20C0">
        <w:rPr>
          <w:rStyle w:val="FootnoteReference"/>
          <w:rFonts w:ascii="Arial" w:hAnsi="Arial"/>
          <w:sz w:val="28"/>
          <w:szCs w:val="28"/>
        </w:rPr>
        <w:footnoteReference w:id="702"/>
      </w:r>
      <w:r>
        <w:rPr>
          <w:rFonts w:ascii="Arial" w:hAnsi="Arial" w:hint="cs"/>
          <w:b/>
          <w:bCs/>
          <w:sz w:val="28"/>
          <w:szCs w:val="28"/>
        </w:rPr>
        <w:t xml:space="preserve"> </w:t>
      </w:r>
    </w:p>
    <w:p w:rsidR="00343B61" w:rsidRDefault="00343B61" w:rsidP="00343B61">
      <w:pPr>
        <w:autoSpaceDE w:val="0"/>
        <w:autoSpaceDN w:val="0"/>
        <w:adjustRightInd w:val="0"/>
        <w:spacing w:after="0" w:line="240" w:lineRule="auto"/>
        <w:ind w:left="17" w:firstLine="1423"/>
        <w:jc w:val="both"/>
        <w:rPr>
          <w:rFonts w:asciiTheme="majorBidi" w:hAnsiTheme="majorBidi" w:cstheme="majorBidi"/>
          <w:i/>
          <w:iCs/>
          <w:sz w:val="24"/>
          <w:szCs w:val="24"/>
          <w:rtl/>
        </w:rPr>
      </w:pPr>
      <w:r>
        <w:rPr>
          <w:rFonts w:asciiTheme="majorBidi" w:hAnsiTheme="majorBidi" w:cstheme="majorBidi"/>
          <w:sz w:val="24"/>
          <w:szCs w:val="24"/>
        </w:rPr>
        <w:t xml:space="preserve">Artinya: </w:t>
      </w:r>
      <w:r w:rsidRPr="00F90520">
        <w:rPr>
          <w:rFonts w:asciiTheme="majorBidi" w:hAnsiTheme="majorBidi" w:cstheme="majorBidi"/>
          <w:i/>
          <w:iCs/>
          <w:sz w:val="24"/>
          <w:szCs w:val="24"/>
        </w:rPr>
        <w:t xml:space="preserve">“ Tidak sah talak kecuali sesudah nikah” </w:t>
      </w:r>
    </w:p>
    <w:p w:rsidR="00343B61" w:rsidRPr="0024630C" w:rsidRDefault="00343B61" w:rsidP="00343B61">
      <w:pPr>
        <w:autoSpaceDE w:val="0"/>
        <w:autoSpaceDN w:val="0"/>
        <w:adjustRightInd w:val="0"/>
        <w:spacing w:after="0" w:line="240" w:lineRule="auto"/>
        <w:ind w:left="17" w:firstLine="1423"/>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ii. Isteri yang di talak</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Masing-masing suami hanya berhak menjatuhkan talak terhadap isteri yang sah walaupun sebelum terjadi </w:t>
      </w:r>
      <w:r w:rsidRPr="00C36A91">
        <w:rPr>
          <w:rFonts w:ascii="Times New Roman" w:hAnsi="Times New Roman" w:cs="Times New Roman"/>
          <w:i/>
          <w:iCs/>
          <w:sz w:val="24"/>
          <w:szCs w:val="24"/>
        </w:rPr>
        <w:t>dukhul</w:t>
      </w:r>
      <w:r>
        <w:rPr>
          <w:rFonts w:ascii="Times New Roman" w:hAnsi="Times New Roman" w:cs="Times New Roman"/>
          <w:sz w:val="24"/>
          <w:szCs w:val="24"/>
        </w:rPr>
        <w:t xml:space="preserve"> ( hubungan badan)atau pada masa ‘iddah dari talak raja’i. Oleh sebab itu tidak dipandang sah talak yang dijatuhkan terhadap isteri yang dinikahi secara tidak sah, ataupun istri orang lain. Untuk sahnya talak, bagi isteri yang ditalak disyaratkan sebagai berikut: a) Isteri itu masih tetap berada dalam perlindungan kekuasaan </w:t>
      </w:r>
      <w:r>
        <w:rPr>
          <w:rFonts w:ascii="Times New Roman" w:hAnsi="Times New Roman" w:cs="Times New Roman"/>
          <w:sz w:val="24"/>
          <w:szCs w:val="24"/>
        </w:rPr>
        <w:lastRenderedPageBreak/>
        <w:t xml:space="preserve">suami. b) Kedudukan isteri yang ditalak itu harus berdasarkan atas akad </w:t>
      </w:r>
      <w:r w:rsidRPr="00304E68">
        <w:rPr>
          <w:rFonts w:ascii="Times New Roman" w:hAnsi="Times New Roman" w:cs="Times New Roman"/>
          <w:sz w:val="24"/>
          <w:szCs w:val="24"/>
        </w:rPr>
        <w:t>perkawinan yang sah.</w:t>
      </w:r>
      <w:r>
        <w:rPr>
          <w:rStyle w:val="FootnoteReference"/>
          <w:rFonts w:ascii="Times New Roman" w:hAnsi="Times New Roman" w:cs="Times New Roman"/>
          <w:sz w:val="24"/>
          <w:szCs w:val="24"/>
        </w:rPr>
        <w:footnoteReference w:id="703"/>
      </w:r>
      <w:r>
        <w:rPr>
          <w:rFonts w:ascii="Times New Roman" w:hAnsi="Times New Roman" w:cs="Times New Roman"/>
          <w:sz w:val="24"/>
          <w:szCs w:val="24"/>
        </w:rPr>
        <w:t xml:space="preserve"> </w:t>
      </w:r>
    </w:p>
    <w:p w:rsidR="00343B61" w:rsidRPr="00AE05A6" w:rsidRDefault="00343B61" w:rsidP="00343B6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iii</w:t>
      </w:r>
      <w:r w:rsidRPr="00AE05A6">
        <w:rPr>
          <w:rFonts w:ascii="Times New Roman" w:hAnsi="Times New Roman" w:cs="Times New Roman"/>
          <w:sz w:val="24"/>
          <w:szCs w:val="24"/>
        </w:rPr>
        <w:t>. Sighat</w:t>
      </w:r>
      <w:r>
        <w:rPr>
          <w:rFonts w:ascii="Times New Roman" w:hAnsi="Times New Roman" w:cs="Times New Roman"/>
          <w:sz w:val="24"/>
          <w:szCs w:val="24"/>
        </w:rPr>
        <w:t xml:space="preserve"> atau ucapan</w:t>
      </w:r>
      <w:r w:rsidRPr="00AE05A6">
        <w:rPr>
          <w:rFonts w:ascii="Times New Roman" w:hAnsi="Times New Roman" w:cs="Times New Roman"/>
          <w:sz w:val="24"/>
          <w:szCs w:val="24"/>
        </w:rPr>
        <w:t xml:space="preserve"> talak</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sidRPr="00AE05A6">
        <w:rPr>
          <w:rFonts w:ascii="Times New Roman" w:hAnsi="Times New Roman" w:cs="Times New Roman"/>
          <w:sz w:val="24"/>
          <w:szCs w:val="24"/>
        </w:rPr>
        <w:t>Sighat talak adalah kata-kata yang diucapkan oleh suami</w:t>
      </w:r>
      <w:r>
        <w:rPr>
          <w:rFonts w:ascii="Times New Roman" w:hAnsi="Times New Roman" w:cs="Times New Roman"/>
          <w:sz w:val="24"/>
          <w:szCs w:val="24"/>
        </w:rPr>
        <w:t xml:space="preserve"> </w:t>
      </w:r>
      <w:r w:rsidRPr="00AE05A6">
        <w:rPr>
          <w:rFonts w:ascii="Times New Roman" w:hAnsi="Times New Roman" w:cs="Times New Roman"/>
          <w:sz w:val="24"/>
          <w:szCs w:val="24"/>
        </w:rPr>
        <w:t xml:space="preserve">terhadap isterinya yang menunjukkan talak, baik itu </w:t>
      </w:r>
      <w:r>
        <w:rPr>
          <w:rFonts w:ascii="Times New Roman" w:hAnsi="Times New Roman" w:cs="Times New Roman"/>
          <w:i/>
          <w:iCs/>
          <w:sz w:val="24"/>
          <w:szCs w:val="24"/>
        </w:rPr>
        <w:t>sharīh</w:t>
      </w:r>
      <w:r w:rsidRPr="00AE05A6">
        <w:rPr>
          <w:rFonts w:ascii="Times New Roman" w:hAnsi="Times New Roman" w:cs="Times New Roman"/>
          <w:sz w:val="24"/>
          <w:szCs w:val="24"/>
        </w:rPr>
        <w:t xml:space="preserve"> (jelas)</w:t>
      </w:r>
      <w:r>
        <w:rPr>
          <w:rFonts w:ascii="Times New Roman" w:hAnsi="Times New Roman" w:cs="Times New Roman"/>
          <w:sz w:val="24"/>
          <w:szCs w:val="24"/>
        </w:rPr>
        <w:t xml:space="preserve"> </w:t>
      </w:r>
      <w:r w:rsidRPr="00AE05A6">
        <w:rPr>
          <w:rFonts w:ascii="Times New Roman" w:hAnsi="Times New Roman" w:cs="Times New Roman"/>
          <w:sz w:val="24"/>
          <w:szCs w:val="24"/>
        </w:rPr>
        <w:t xml:space="preserve">maupun </w:t>
      </w:r>
      <w:r>
        <w:rPr>
          <w:rFonts w:ascii="Times New Roman" w:hAnsi="Times New Roman" w:cs="Times New Roman"/>
          <w:i/>
          <w:iCs/>
          <w:sz w:val="24"/>
          <w:szCs w:val="24"/>
        </w:rPr>
        <w:t>kināyah</w:t>
      </w:r>
      <w:r w:rsidRPr="00AE05A6">
        <w:rPr>
          <w:rFonts w:ascii="Times New Roman" w:hAnsi="Times New Roman" w:cs="Times New Roman"/>
          <w:sz w:val="24"/>
          <w:szCs w:val="24"/>
        </w:rPr>
        <w:t xml:space="preserve"> (sindiran), baik berupa ucapan/lisan, tulisan, isyarat</w:t>
      </w:r>
      <w:r>
        <w:rPr>
          <w:rFonts w:ascii="Times New Roman" w:hAnsi="Times New Roman" w:cs="Times New Roman"/>
          <w:sz w:val="24"/>
          <w:szCs w:val="24"/>
        </w:rPr>
        <w:t xml:space="preserve"> </w:t>
      </w:r>
      <w:r w:rsidRPr="00AE05A6">
        <w:rPr>
          <w:rFonts w:ascii="Times New Roman" w:hAnsi="Times New Roman" w:cs="Times New Roman"/>
          <w:sz w:val="24"/>
          <w:szCs w:val="24"/>
        </w:rPr>
        <w:t>bagi suami tuna wicara ataupun dengan suruhan orang lain.</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Jumhur Ulama berpendapat bahwa talak terjadi bila suami yang ingin menceraikan istrinya itu mengucapkan ucapan tertentu yang menyatakan bahwa istrinya itu telah lepas dari wilayah kekuasaanya. Oleh karena itu, kalau suami baru sebatas keinginan untuk menceraikan atau hanya sebatas niat mentalak tetapi belum mengucapkan apa-apa, maka belum terjadi talak.</w:t>
      </w:r>
      <w:r>
        <w:rPr>
          <w:rStyle w:val="FootnoteReference"/>
          <w:rFonts w:ascii="Times New Roman" w:hAnsi="Times New Roman" w:cs="Times New Roman"/>
          <w:sz w:val="24"/>
          <w:szCs w:val="24"/>
        </w:rPr>
        <w:footnoteReference w:id="704"/>
      </w:r>
      <w:r>
        <w:rPr>
          <w:rFonts w:ascii="Times New Roman" w:hAnsi="Times New Roman" w:cs="Times New Roman"/>
          <w:sz w:val="24"/>
          <w:szCs w:val="24"/>
        </w:rPr>
        <w:t xml:space="preserve"> Hal ini didasarkan kepada hadis Nabi Saw riwayat Bukhari, Baihaqi dan Ibnu Majah dari Abu Hurairah yang berbunyi:</w:t>
      </w:r>
    </w:p>
    <w:p w:rsidR="00343B61" w:rsidRDefault="00343B61" w:rsidP="00343B61">
      <w:pPr>
        <w:autoSpaceDE w:val="0"/>
        <w:autoSpaceDN w:val="0"/>
        <w:bidi/>
        <w:adjustRightInd w:val="0"/>
        <w:spacing w:after="0" w:line="240" w:lineRule="auto"/>
        <w:ind w:right="720"/>
        <w:jc w:val="both"/>
        <w:rPr>
          <w:rFonts w:ascii="Arial" w:hAnsi="Arial"/>
          <w:b/>
          <w:bCs/>
          <w:sz w:val="28"/>
          <w:szCs w:val="28"/>
        </w:rPr>
      </w:pPr>
      <w:r w:rsidRPr="00201BA8">
        <w:rPr>
          <w:rFonts w:ascii="Arial" w:hAnsi="Arial" w:cs="Traditional Arabic"/>
          <w:sz w:val="32"/>
          <w:szCs w:val="32"/>
          <w:rtl/>
        </w:rPr>
        <w:t>عَنْ أَبِي هُرَيْرَةَ رَضِيَ اللَّهُ عَنْهُ عَنْ النَّبِيِّ صَلَّى اللَّهُ عَلَيْهِ وَسَلَّمَ قَالَ إِنَّ اللَّهَ تَجَاوَزَ عَنْ أُمَّتِي مَا حَدَّثَتْ بِهِ أَنْفُسَهَا مَا لَمْ تَعْمَلْ أَوْ تَتَكَلَّمْ</w:t>
      </w:r>
      <w:r w:rsidRPr="00201BA8">
        <w:rPr>
          <w:rFonts w:ascii="Arial" w:hAnsi="Arial" w:cs="Traditional Arabic" w:hint="cs"/>
          <w:sz w:val="32"/>
          <w:szCs w:val="32"/>
          <w:rtl/>
        </w:rPr>
        <w:t xml:space="preserve"> ( رواه البخاري )</w:t>
      </w:r>
      <w:r>
        <w:rPr>
          <w:rFonts w:ascii="Arial" w:hAnsi="Arial" w:hint="cs"/>
          <w:b/>
          <w:bCs/>
          <w:sz w:val="28"/>
          <w:szCs w:val="28"/>
          <w:rtl/>
        </w:rPr>
        <w:t xml:space="preserve"> </w:t>
      </w:r>
      <w:r>
        <w:rPr>
          <w:rStyle w:val="FootnoteReference"/>
          <w:rFonts w:ascii="Arial" w:hAnsi="Arial"/>
          <w:b/>
          <w:bCs/>
          <w:sz w:val="28"/>
          <w:szCs w:val="28"/>
          <w:rtl/>
        </w:rPr>
        <w:footnoteReference w:id="705"/>
      </w:r>
    </w:p>
    <w:p w:rsidR="00343B61" w:rsidRDefault="00343B61" w:rsidP="00343B61">
      <w:pPr>
        <w:autoSpaceDE w:val="0"/>
        <w:autoSpaceDN w:val="0"/>
        <w:adjustRightInd w:val="0"/>
        <w:spacing w:after="0" w:line="240" w:lineRule="auto"/>
        <w:ind w:left="1440" w:right="17"/>
        <w:jc w:val="both"/>
        <w:rPr>
          <w:rFonts w:asciiTheme="majorBidi" w:hAnsiTheme="majorBidi" w:cstheme="majorBidi"/>
          <w:i/>
          <w:iCs/>
          <w:sz w:val="24"/>
          <w:szCs w:val="24"/>
          <w:rtl/>
        </w:rPr>
      </w:pPr>
      <w:r>
        <w:rPr>
          <w:rFonts w:asciiTheme="majorBidi" w:hAnsiTheme="majorBidi" w:cstheme="majorBidi"/>
          <w:i/>
          <w:iCs/>
          <w:sz w:val="24"/>
          <w:szCs w:val="24"/>
        </w:rPr>
        <w:t>Artinya:“Dari Abu Hurairah, Nabi Saw bersabda: “</w:t>
      </w:r>
      <w:r w:rsidRPr="00B5532D">
        <w:rPr>
          <w:rFonts w:asciiTheme="majorBidi" w:hAnsiTheme="majorBidi" w:cstheme="majorBidi"/>
          <w:i/>
          <w:iCs/>
          <w:sz w:val="24"/>
          <w:szCs w:val="24"/>
        </w:rPr>
        <w:t>Sesungguhnya Allah memaafkan umatku dari bisikan-bisikan hatinya selama ia</w:t>
      </w:r>
      <w:r>
        <w:rPr>
          <w:rFonts w:asciiTheme="majorBidi" w:hAnsiTheme="majorBidi" w:cstheme="majorBidi"/>
          <w:i/>
          <w:iCs/>
          <w:sz w:val="24"/>
          <w:szCs w:val="24"/>
        </w:rPr>
        <w:t xml:space="preserve"> belum mengucapkan atau me</w:t>
      </w:r>
      <w:r w:rsidRPr="00B5532D">
        <w:rPr>
          <w:rFonts w:asciiTheme="majorBidi" w:hAnsiTheme="majorBidi" w:cstheme="majorBidi"/>
          <w:i/>
          <w:iCs/>
          <w:sz w:val="24"/>
          <w:szCs w:val="24"/>
        </w:rPr>
        <w:t>lakukan</w:t>
      </w:r>
      <w:r>
        <w:rPr>
          <w:rFonts w:asciiTheme="majorBidi" w:hAnsiTheme="majorBidi" w:cstheme="majorBidi"/>
          <w:i/>
          <w:iCs/>
          <w:sz w:val="24"/>
          <w:szCs w:val="24"/>
        </w:rPr>
        <w:t xml:space="preserve">nya” </w:t>
      </w:r>
      <w:r w:rsidRPr="004C099F">
        <w:rPr>
          <w:rFonts w:asciiTheme="majorBidi" w:hAnsiTheme="majorBidi" w:cstheme="majorBidi"/>
          <w:sz w:val="24"/>
          <w:szCs w:val="24"/>
        </w:rPr>
        <w:t>( HR. Bukhari)</w:t>
      </w:r>
      <w:r w:rsidRPr="00B5532D">
        <w:rPr>
          <w:rFonts w:asciiTheme="majorBidi" w:hAnsiTheme="majorBidi" w:cstheme="majorBidi"/>
          <w:i/>
          <w:iCs/>
          <w:sz w:val="24"/>
          <w:szCs w:val="24"/>
        </w:rPr>
        <w:t xml:space="preserve"> </w:t>
      </w:r>
    </w:p>
    <w:p w:rsidR="00343B61" w:rsidRPr="00380C95" w:rsidRDefault="00343B61" w:rsidP="00343B61">
      <w:pPr>
        <w:autoSpaceDE w:val="0"/>
        <w:autoSpaceDN w:val="0"/>
        <w:adjustRightInd w:val="0"/>
        <w:spacing w:after="0" w:line="240" w:lineRule="auto"/>
        <w:ind w:left="1710" w:right="17"/>
        <w:jc w:val="both"/>
        <w:rPr>
          <w:rFonts w:asciiTheme="majorBidi" w:hAnsiTheme="majorBidi" w:cstheme="majorBidi"/>
          <w:i/>
          <w:iCs/>
          <w:sz w:val="24"/>
          <w:szCs w:val="24"/>
        </w:rPr>
      </w:pPr>
    </w:p>
    <w:p w:rsidR="00343B61" w:rsidRDefault="00343B61" w:rsidP="00343B61">
      <w:pPr>
        <w:autoSpaceDE w:val="0"/>
        <w:autoSpaceDN w:val="0"/>
        <w:adjustRightInd w:val="0"/>
        <w:spacing w:after="0" w:line="360" w:lineRule="auto"/>
        <w:ind w:left="720" w:right="17" w:firstLine="720"/>
        <w:jc w:val="both"/>
        <w:rPr>
          <w:rFonts w:asciiTheme="majorBidi" w:hAnsiTheme="majorBidi" w:cstheme="majorBidi"/>
          <w:sz w:val="24"/>
          <w:szCs w:val="24"/>
        </w:rPr>
      </w:pPr>
      <w:r>
        <w:rPr>
          <w:rFonts w:asciiTheme="majorBidi" w:hAnsiTheme="majorBidi" w:cstheme="majorBidi"/>
          <w:sz w:val="24"/>
          <w:szCs w:val="24"/>
        </w:rPr>
        <w:t xml:space="preserve">Ulama berbeda pendapat dalam menetapkan lafaz-lafaz mana yang </w:t>
      </w:r>
      <w:r>
        <w:rPr>
          <w:rFonts w:asciiTheme="majorBidi" w:hAnsiTheme="majorBidi" w:cstheme="majorBidi"/>
          <w:i/>
          <w:iCs/>
          <w:sz w:val="24"/>
          <w:szCs w:val="24"/>
        </w:rPr>
        <w:t>sharīh</w:t>
      </w:r>
      <w:r>
        <w:rPr>
          <w:rFonts w:asciiTheme="majorBidi" w:hAnsiTheme="majorBidi" w:cstheme="majorBidi"/>
          <w:sz w:val="24"/>
          <w:szCs w:val="24"/>
        </w:rPr>
        <w:t xml:space="preserve"> dan lafaz-lafaz apa yang termasuk </w:t>
      </w:r>
      <w:r>
        <w:rPr>
          <w:rFonts w:asciiTheme="majorBidi" w:hAnsiTheme="majorBidi" w:cstheme="majorBidi"/>
          <w:i/>
          <w:iCs/>
          <w:sz w:val="24"/>
          <w:szCs w:val="24"/>
        </w:rPr>
        <w:t>kināyah</w:t>
      </w:r>
      <w:r>
        <w:rPr>
          <w:rFonts w:asciiTheme="majorBidi" w:hAnsiTheme="majorBidi" w:cstheme="majorBidi"/>
          <w:sz w:val="24"/>
          <w:szCs w:val="24"/>
        </w:rPr>
        <w:t xml:space="preserve">. Menurut ulama Syafi’iyah yang termasuk lafaz </w:t>
      </w:r>
      <w:r>
        <w:rPr>
          <w:rFonts w:asciiTheme="majorBidi" w:hAnsiTheme="majorBidi" w:cstheme="majorBidi"/>
          <w:i/>
          <w:iCs/>
          <w:sz w:val="24"/>
          <w:szCs w:val="24"/>
        </w:rPr>
        <w:t>sharīh</w:t>
      </w:r>
      <w:r>
        <w:rPr>
          <w:rFonts w:asciiTheme="majorBidi" w:hAnsiTheme="majorBidi" w:cstheme="majorBidi"/>
          <w:sz w:val="24"/>
          <w:szCs w:val="24"/>
        </w:rPr>
        <w:t xml:space="preserve"> ada tiga, yaitu: </w:t>
      </w:r>
      <w:r>
        <w:rPr>
          <w:rFonts w:asciiTheme="majorBidi" w:hAnsiTheme="majorBidi" w:cstheme="majorBidi" w:hint="cs"/>
          <w:sz w:val="24"/>
          <w:szCs w:val="24"/>
          <w:rtl/>
        </w:rPr>
        <w:t>سراح / فراق / طلاق</w:t>
      </w:r>
      <w:r>
        <w:rPr>
          <w:rFonts w:asciiTheme="majorBidi" w:hAnsiTheme="majorBidi" w:cstheme="majorBidi"/>
          <w:sz w:val="24"/>
          <w:szCs w:val="24"/>
        </w:rPr>
        <w:t xml:space="preserve"> atau yang berakar kepada tiga kata tersebut.</w:t>
      </w:r>
      <w:r w:rsidRPr="00D8377D">
        <w:rPr>
          <w:rFonts w:asciiTheme="majorBidi" w:hAnsiTheme="majorBidi" w:cstheme="majorBidi"/>
          <w:sz w:val="20"/>
          <w:szCs w:val="20"/>
        </w:rPr>
        <w:t xml:space="preserve"> </w:t>
      </w:r>
      <w:r w:rsidRPr="00D8377D">
        <w:rPr>
          <w:rFonts w:asciiTheme="majorBidi" w:hAnsiTheme="majorBidi" w:cstheme="majorBidi"/>
          <w:sz w:val="24"/>
          <w:szCs w:val="24"/>
        </w:rPr>
        <w:t>Namun</w:t>
      </w:r>
      <w:r>
        <w:rPr>
          <w:rFonts w:asciiTheme="majorBidi" w:hAnsiTheme="majorBidi" w:cstheme="majorBidi"/>
          <w:sz w:val="24"/>
          <w:szCs w:val="24"/>
        </w:rPr>
        <w:t xml:space="preserve"> </w:t>
      </w:r>
      <w:r w:rsidRPr="00D8377D">
        <w:rPr>
          <w:rFonts w:asciiTheme="majorBidi" w:hAnsiTheme="majorBidi" w:cstheme="majorBidi"/>
          <w:sz w:val="24"/>
          <w:szCs w:val="24"/>
        </w:rPr>
        <w:t xml:space="preserve">Sayyid Bakri menyebutkan bahwa lafaz </w:t>
      </w:r>
      <w:r w:rsidRPr="00D8377D">
        <w:rPr>
          <w:rFonts w:asciiTheme="majorBidi" w:hAnsiTheme="majorBidi" w:cstheme="majorBidi"/>
          <w:i/>
          <w:iCs/>
          <w:sz w:val="24"/>
          <w:szCs w:val="24"/>
        </w:rPr>
        <w:t>thalaq</w:t>
      </w:r>
      <w:r w:rsidRPr="00D8377D">
        <w:rPr>
          <w:rFonts w:asciiTheme="majorBidi" w:hAnsiTheme="majorBidi" w:cstheme="majorBidi"/>
          <w:sz w:val="24"/>
          <w:szCs w:val="24"/>
        </w:rPr>
        <w:t xml:space="preserve"> yang </w:t>
      </w:r>
      <w:r>
        <w:rPr>
          <w:rFonts w:asciiTheme="majorBidi" w:hAnsiTheme="majorBidi" w:cstheme="majorBidi"/>
          <w:i/>
          <w:iCs/>
          <w:sz w:val="24"/>
          <w:szCs w:val="24"/>
        </w:rPr>
        <w:t>sharīh</w:t>
      </w:r>
      <w:r w:rsidRPr="00D8377D">
        <w:rPr>
          <w:rFonts w:asciiTheme="majorBidi" w:hAnsiTheme="majorBidi" w:cstheme="majorBidi"/>
          <w:sz w:val="24"/>
          <w:szCs w:val="24"/>
        </w:rPr>
        <w:t xml:space="preserve"> itu ada lima, yaitu (</w:t>
      </w:r>
      <w:r w:rsidRPr="00D8377D">
        <w:rPr>
          <w:rFonts w:asciiTheme="majorBidi" w:hAnsiTheme="majorBidi" w:cstheme="majorBidi"/>
          <w:sz w:val="24"/>
          <w:szCs w:val="24"/>
          <w:rtl/>
        </w:rPr>
        <w:t>طلاق</w:t>
      </w:r>
      <w:r w:rsidRPr="00D8377D">
        <w:rPr>
          <w:rFonts w:asciiTheme="majorBidi" w:hAnsiTheme="majorBidi" w:cstheme="majorBidi"/>
          <w:sz w:val="24"/>
          <w:szCs w:val="24"/>
        </w:rPr>
        <w:t xml:space="preserve"> )</w:t>
      </w:r>
      <w:r w:rsidRPr="00D8377D">
        <w:rPr>
          <w:rFonts w:asciiTheme="majorBidi" w:hAnsiTheme="majorBidi" w:cstheme="majorBidi"/>
          <w:sz w:val="24"/>
          <w:szCs w:val="24"/>
          <w:rtl/>
        </w:rPr>
        <w:t xml:space="preserve"> </w:t>
      </w:r>
      <w:r>
        <w:rPr>
          <w:rFonts w:asciiTheme="majorBidi" w:hAnsiTheme="majorBidi" w:cstheme="majorBidi"/>
          <w:sz w:val="24"/>
          <w:szCs w:val="24"/>
          <w:rtl/>
        </w:rPr>
        <w:lastRenderedPageBreak/>
        <w:t>سراح /</w:t>
      </w:r>
      <w:r w:rsidRPr="00D8377D">
        <w:rPr>
          <w:rFonts w:asciiTheme="majorBidi" w:hAnsiTheme="majorBidi" w:cstheme="majorBidi"/>
          <w:sz w:val="24"/>
          <w:szCs w:val="24"/>
        </w:rPr>
        <w:t xml:space="preserve"> </w:t>
      </w:r>
      <w:r w:rsidRPr="00D8377D">
        <w:rPr>
          <w:rFonts w:asciiTheme="majorBidi" w:hAnsiTheme="majorBidi" w:cstheme="majorBidi"/>
          <w:sz w:val="24"/>
          <w:szCs w:val="24"/>
          <w:rtl/>
        </w:rPr>
        <w:t>مفادة /خلع /</w:t>
      </w:r>
      <w:r>
        <w:rPr>
          <w:rFonts w:asciiTheme="majorBidi" w:hAnsiTheme="majorBidi" w:cstheme="majorBidi"/>
          <w:sz w:val="24"/>
          <w:szCs w:val="24"/>
          <w:rtl/>
        </w:rPr>
        <w:t>فراق /</w:t>
      </w:r>
      <w:r w:rsidRPr="00D8377D">
        <w:rPr>
          <w:rFonts w:asciiTheme="majorBidi" w:hAnsiTheme="majorBidi" w:cstheme="majorBidi"/>
          <w:sz w:val="24"/>
          <w:szCs w:val="24"/>
        </w:rPr>
        <w:t xml:space="preserve"> kelima kata tersebut artinya sama, yaitu cerai, namun tiga pertama lebih masyhur karena </w:t>
      </w:r>
      <w:r>
        <w:rPr>
          <w:rFonts w:asciiTheme="majorBidi" w:hAnsiTheme="majorBidi" w:cstheme="majorBidi"/>
          <w:sz w:val="24"/>
          <w:szCs w:val="24"/>
        </w:rPr>
        <w:t>disebutkan</w:t>
      </w:r>
      <w:r w:rsidRPr="00D8377D">
        <w:rPr>
          <w:rFonts w:asciiTheme="majorBidi" w:hAnsiTheme="majorBidi" w:cstheme="majorBidi"/>
          <w:sz w:val="24"/>
          <w:szCs w:val="24"/>
        </w:rPr>
        <w:t xml:space="preserve"> dalam </w:t>
      </w:r>
      <w:r>
        <w:rPr>
          <w:rFonts w:asciiTheme="majorBidi" w:hAnsiTheme="majorBidi" w:cstheme="majorBidi"/>
          <w:sz w:val="24"/>
          <w:szCs w:val="24"/>
        </w:rPr>
        <w:t>Al-Qur’ān berulang kali</w:t>
      </w:r>
      <w:r w:rsidRPr="00D8377D">
        <w:rPr>
          <w:rFonts w:asciiTheme="majorBidi" w:hAnsiTheme="majorBidi" w:cstheme="majorBidi"/>
          <w:sz w:val="24"/>
          <w:szCs w:val="24"/>
        </w:rPr>
        <w:t>.</w:t>
      </w:r>
      <w:r>
        <w:rPr>
          <w:rStyle w:val="FootnoteReference"/>
          <w:rFonts w:asciiTheme="majorBidi" w:hAnsiTheme="majorBidi" w:cstheme="majorBidi"/>
          <w:sz w:val="24"/>
          <w:szCs w:val="24"/>
        </w:rPr>
        <w:footnoteReference w:id="706"/>
      </w:r>
      <w:r>
        <w:rPr>
          <w:rFonts w:asciiTheme="majorBidi" w:hAnsiTheme="majorBidi" w:cstheme="majorBidi"/>
          <w:sz w:val="24"/>
          <w:szCs w:val="24"/>
        </w:rPr>
        <w:t xml:space="preserve"> Contoh penggunaan lafaz </w:t>
      </w:r>
      <w:r w:rsidRPr="00681F0D">
        <w:rPr>
          <w:rFonts w:asciiTheme="majorBidi" w:hAnsiTheme="majorBidi" w:cstheme="majorBidi"/>
          <w:i/>
          <w:iCs/>
          <w:sz w:val="24"/>
          <w:szCs w:val="24"/>
        </w:rPr>
        <w:t>thalaq</w:t>
      </w:r>
      <w:r>
        <w:rPr>
          <w:rFonts w:asciiTheme="majorBidi" w:hAnsiTheme="majorBidi" w:cstheme="majorBidi"/>
          <w:sz w:val="24"/>
          <w:szCs w:val="24"/>
        </w:rPr>
        <w:t xml:space="preserve"> (</w:t>
      </w:r>
      <w:r>
        <w:rPr>
          <w:rFonts w:asciiTheme="majorBidi" w:hAnsiTheme="majorBidi" w:cstheme="majorBidi" w:hint="cs"/>
          <w:sz w:val="24"/>
          <w:szCs w:val="24"/>
          <w:rtl/>
        </w:rPr>
        <w:t>طلاق</w:t>
      </w:r>
      <w:r>
        <w:rPr>
          <w:rFonts w:asciiTheme="majorBidi" w:hAnsiTheme="majorBidi" w:cstheme="majorBidi"/>
          <w:sz w:val="24"/>
          <w:szCs w:val="24"/>
        </w:rPr>
        <w:t xml:space="preserve"> ) adalah firman Allah dalam surat al-Thalaq [65] ayat 1 yaitu:</w:t>
      </w:r>
    </w:p>
    <w:p w:rsidR="00343B61" w:rsidRDefault="00343B61" w:rsidP="00343B61">
      <w:pPr>
        <w:autoSpaceDE w:val="0"/>
        <w:autoSpaceDN w:val="0"/>
        <w:bidi/>
        <w:adjustRightInd w:val="0"/>
        <w:spacing w:after="0" w:line="240" w:lineRule="auto"/>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90"/>
      </w:r>
      <w:r>
        <w:rPr>
          <w:sz w:val="28"/>
          <w:szCs w:val="28"/>
        </w:rPr>
        <w:sym w:font="HQPB2" w:char="F0D3"/>
      </w:r>
      <w:r>
        <w:rPr>
          <w:sz w:val="28"/>
          <w:szCs w:val="28"/>
        </w:rPr>
        <w:sym w:font="HQPB4" w:char="F0C9"/>
      </w:r>
      <w:r>
        <w:rPr>
          <w:sz w:val="28"/>
          <w:szCs w:val="28"/>
        </w:rPr>
        <w:sym w:font="HQPB1" w:char="F03C"/>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4" w:char="F0F8"/>
      </w:r>
      <w:r>
        <w:rPr>
          <w:sz w:val="28"/>
          <w:szCs w:val="28"/>
        </w:rPr>
        <w:sym w:font="HQPB2" w:char="F029"/>
      </w:r>
      <w:r>
        <w:rPr>
          <w:sz w:val="28"/>
          <w:szCs w:val="28"/>
        </w:rPr>
        <w:sym w:font="HQPB4" w:char="F0AF"/>
      </w:r>
      <w:r>
        <w:rPr>
          <w:sz w:val="28"/>
          <w:szCs w:val="28"/>
        </w:rPr>
        <w:sym w:font="HQPB2" w:char="F03D"/>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4" w:char="F06B"/>
      </w:r>
      <w:r>
        <w:rPr>
          <w:sz w:val="28"/>
          <w:szCs w:val="28"/>
        </w:rPr>
        <w:sym w:font="HQPB2" w:char="F03D"/>
      </w:r>
      <w:r>
        <w:rPr>
          <w:sz w:val="28"/>
          <w:szCs w:val="28"/>
        </w:rPr>
        <w:sym w:font="HQPB5" w:char="F073"/>
      </w:r>
      <w:r>
        <w:rPr>
          <w:sz w:val="28"/>
          <w:szCs w:val="28"/>
        </w:rPr>
        <w:sym w:font="HQPB1" w:char="F0DC"/>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CD"/>
      </w:r>
      <w:r>
        <w:rPr>
          <w:sz w:val="28"/>
          <w:szCs w:val="28"/>
        </w:rPr>
        <w:sym w:font="HQPB2" w:char="F06B"/>
      </w:r>
      <w:r>
        <w:rPr>
          <w:sz w:val="28"/>
          <w:szCs w:val="28"/>
        </w:rPr>
        <w:sym w:font="HQPB4" w:char="F0CC"/>
      </w:r>
      <w:r>
        <w:rPr>
          <w:sz w:val="28"/>
          <w:szCs w:val="28"/>
        </w:rPr>
        <w:sym w:font="HQPB1" w:char="F045"/>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C1"/>
      </w:r>
      <w:r>
        <w:rPr>
          <w:sz w:val="28"/>
          <w:szCs w:val="28"/>
        </w:rPr>
        <w:sym w:font="HQPB4" w:char="F0F4"/>
      </w:r>
      <w:r>
        <w:rPr>
          <w:sz w:val="28"/>
          <w:szCs w:val="28"/>
        </w:rPr>
        <w:sym w:font="HQPB1" w:char="F06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p>
    <w:p w:rsidR="00343B61" w:rsidRDefault="00343B61" w:rsidP="00343B61">
      <w:pPr>
        <w:autoSpaceDE w:val="0"/>
        <w:autoSpaceDN w:val="0"/>
        <w:adjustRightInd w:val="0"/>
        <w:spacing w:after="0" w:line="240" w:lineRule="auto"/>
        <w:ind w:left="1440"/>
        <w:jc w:val="both"/>
        <w:rPr>
          <w:rFonts w:ascii="(normal text)" w:hAnsi="(normal text)"/>
          <w:sz w:val="24"/>
          <w:szCs w:val="24"/>
        </w:rPr>
      </w:pPr>
      <w:r>
        <w:rPr>
          <w:rFonts w:ascii="(normal text)" w:hAnsi="(normal text)"/>
          <w:sz w:val="24"/>
          <w:szCs w:val="24"/>
        </w:rPr>
        <w:t xml:space="preserve">Artinya: </w:t>
      </w:r>
      <w:r w:rsidRPr="001B531D">
        <w:rPr>
          <w:rFonts w:ascii="(normal text)" w:hAnsi="(normal text)"/>
          <w:sz w:val="24"/>
          <w:szCs w:val="24"/>
        </w:rPr>
        <w:t xml:space="preserve">“ </w:t>
      </w:r>
      <w:r w:rsidRPr="001B531D">
        <w:rPr>
          <w:rFonts w:ascii="(normal text)" w:hAnsi="(normal text)"/>
          <w:i/>
          <w:iCs/>
          <w:sz w:val="24"/>
          <w:szCs w:val="24"/>
        </w:rPr>
        <w:t>Hai Nabi, apabila kamu menceraikan isteri-isterimu Maka hendaklah kamu ceraikan mereka pada waktu mereka dapat (menghad</w:t>
      </w:r>
      <w:r>
        <w:rPr>
          <w:rFonts w:ascii="(normal text)" w:hAnsi="(normal text)"/>
          <w:i/>
          <w:iCs/>
          <w:sz w:val="24"/>
          <w:szCs w:val="24"/>
        </w:rPr>
        <w:t xml:space="preserve">api) iddahnya (yang wajar) </w:t>
      </w:r>
      <w:r w:rsidRPr="001B531D">
        <w:rPr>
          <w:rFonts w:ascii="(normal text)" w:hAnsi="(normal text)"/>
          <w:i/>
          <w:iCs/>
          <w:sz w:val="24"/>
          <w:szCs w:val="24"/>
        </w:rPr>
        <w:t>dan hitunglah waktu iddah itu</w:t>
      </w:r>
      <w:r w:rsidRPr="001B531D">
        <w:rPr>
          <w:rFonts w:ascii="(normal text)" w:hAnsi="(normal text)"/>
          <w:sz w:val="24"/>
          <w:szCs w:val="24"/>
        </w:rPr>
        <w:t xml:space="preserve">” ( QS. Al-Thalaq: [ 65 ] : 1) </w:t>
      </w:r>
      <w:r>
        <w:rPr>
          <w:rStyle w:val="FootnoteReference"/>
          <w:rFonts w:ascii="(normal text)" w:hAnsi="(normal text)"/>
          <w:sz w:val="24"/>
          <w:szCs w:val="24"/>
        </w:rPr>
        <w:footnoteReference w:id="707"/>
      </w:r>
    </w:p>
    <w:p w:rsidR="00343B61" w:rsidRDefault="00343B61" w:rsidP="00343B61">
      <w:pPr>
        <w:autoSpaceDE w:val="0"/>
        <w:autoSpaceDN w:val="0"/>
        <w:adjustRightInd w:val="0"/>
        <w:spacing w:after="0" w:line="240" w:lineRule="auto"/>
        <w:ind w:left="1440"/>
        <w:jc w:val="both"/>
        <w:rPr>
          <w:rFonts w:ascii="(normal text)" w:hAnsi="(normal text)"/>
          <w:sz w:val="24"/>
          <w:szCs w:val="24"/>
        </w:rPr>
      </w:pPr>
    </w:p>
    <w:p w:rsidR="00343B61" w:rsidRDefault="00343B61" w:rsidP="00343B61">
      <w:pPr>
        <w:autoSpaceDE w:val="0"/>
        <w:autoSpaceDN w:val="0"/>
        <w:adjustRightInd w:val="0"/>
        <w:spacing w:after="0" w:line="360" w:lineRule="auto"/>
        <w:ind w:left="720" w:firstLine="630"/>
        <w:jc w:val="both"/>
        <w:rPr>
          <w:rFonts w:ascii="(normal text)" w:hAnsi="(normal text)"/>
          <w:sz w:val="24"/>
          <w:szCs w:val="24"/>
        </w:rPr>
      </w:pPr>
      <w:r>
        <w:rPr>
          <w:rFonts w:ascii="(normal text)" w:hAnsi="(normal text)"/>
          <w:sz w:val="24"/>
          <w:szCs w:val="24"/>
        </w:rPr>
        <w:t xml:space="preserve">Contoh penggunaan lafaz </w:t>
      </w:r>
      <w:r w:rsidRPr="00393F1E">
        <w:rPr>
          <w:rFonts w:ascii="(normal text)" w:hAnsi="(normal text)"/>
          <w:i/>
          <w:iCs/>
          <w:sz w:val="24"/>
          <w:szCs w:val="24"/>
        </w:rPr>
        <w:t>firaq</w:t>
      </w:r>
      <w:r>
        <w:rPr>
          <w:rFonts w:ascii="(normal text)" w:hAnsi="(normal text)"/>
          <w:sz w:val="24"/>
          <w:szCs w:val="24"/>
        </w:rPr>
        <w:t xml:space="preserve"> (</w:t>
      </w:r>
      <w:r>
        <w:rPr>
          <w:rFonts w:asciiTheme="majorBidi" w:hAnsiTheme="majorBidi" w:cstheme="majorBidi" w:hint="cs"/>
          <w:sz w:val="24"/>
          <w:szCs w:val="24"/>
          <w:rtl/>
        </w:rPr>
        <w:t>فراق</w:t>
      </w:r>
      <w:r>
        <w:rPr>
          <w:rFonts w:ascii="(normal text)" w:hAnsi="(normal text)"/>
          <w:sz w:val="24"/>
          <w:szCs w:val="24"/>
        </w:rPr>
        <w:t xml:space="preserve"> ) adalah firman Allah dalam surat al-Nisa[4] ayat 130 yaitu: </w:t>
      </w:r>
    </w:p>
    <w:p w:rsidR="00343B61" w:rsidRPr="00F012A8" w:rsidRDefault="00343B61" w:rsidP="00343B61">
      <w:pPr>
        <w:bidi/>
        <w:spacing w:after="0" w:line="240" w:lineRule="auto"/>
        <w:rPr>
          <w:rFonts w:ascii="Adobe نسخ Medium" w:hAnsi="Adobe نسخ Medium" w:cs="Adobe نسخ Medium"/>
          <w:sz w:val="32"/>
          <w:szCs w:val="32"/>
          <w:rtl/>
        </w:rPr>
      </w:pP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3"/>
      </w:r>
      <w:r>
        <w:rPr>
          <w:sz w:val="28"/>
          <w:szCs w:val="28"/>
        </w:rPr>
        <w:sym w:font="HQPB2" w:char="F025"/>
      </w:r>
      <w:r>
        <w:rPr>
          <w:sz w:val="28"/>
          <w:szCs w:val="28"/>
        </w:rPr>
        <w:sym w:font="HQPB4" w:char="F0A7"/>
      </w:r>
      <w:r>
        <w:rPr>
          <w:sz w:val="28"/>
          <w:szCs w:val="28"/>
        </w:rPr>
        <w:sym w:font="HQPB1" w:char="F08D"/>
      </w:r>
      <w:r>
        <w:rPr>
          <w:sz w:val="28"/>
          <w:szCs w:val="28"/>
        </w:rPr>
        <w:sym w:font="HQPB5" w:char="F078"/>
      </w:r>
      <w:r>
        <w:rPr>
          <w:sz w:val="28"/>
          <w:szCs w:val="28"/>
        </w:rPr>
        <w:sym w:font="HQPB1" w:char="F0FF"/>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7"/>
      </w:r>
      <w:r>
        <w:rPr>
          <w:sz w:val="28"/>
          <w:szCs w:val="28"/>
        </w:rPr>
        <w:sym w:font="HQPB2" w:char="F060"/>
      </w:r>
      <w:r>
        <w:rPr>
          <w:sz w:val="28"/>
          <w:szCs w:val="28"/>
        </w:rPr>
        <w:sym w:font="HQPB4" w:char="F0F8"/>
      </w:r>
      <w:r>
        <w:rPr>
          <w:sz w:val="28"/>
          <w:szCs w:val="28"/>
        </w:rPr>
        <w:sym w:font="HQPB1" w:char="F0F3"/>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AA"/>
      </w:r>
      <w:r w:rsidRPr="00F012A8">
        <w:rPr>
          <w:rFonts w:ascii="Adobe نسخ Medium" w:hAnsi="Adobe نسخ Medium" w:cs="Adobe نسخ Medium"/>
          <w:sz w:val="32"/>
          <w:szCs w:val="32"/>
          <w:rtl/>
        </w:rPr>
        <w:t xml:space="preserve"> </w:t>
      </w:r>
      <w:r w:rsidRPr="009D028C">
        <w:rPr>
          <w:rFonts w:ascii="Adobe نسخ Medium" w:hAnsi="Adobe نسخ Medium" w:cs="Adobe نسخ Medium"/>
          <w:sz w:val="32"/>
          <w:szCs w:val="32"/>
          <w:rtl/>
        </w:rPr>
        <w:t>اللهُ</w:t>
      </w:r>
      <w:r>
        <w:rPr>
          <w:rFonts w:ascii="(normal text)" w:hAnsi="(normal text)"/>
          <w:rtl/>
        </w:rPr>
        <w:t xml:space="preserve"> </w:t>
      </w:r>
      <w:r>
        <w:rPr>
          <w:sz w:val="28"/>
          <w:szCs w:val="28"/>
        </w:rPr>
        <w:sym w:font="HQPB4" w:char="F079"/>
      </w:r>
      <w:r>
        <w:rPr>
          <w:sz w:val="28"/>
          <w:szCs w:val="28"/>
        </w:rPr>
        <w:sym w:font="HQPB2" w:char="F078"/>
      </w:r>
      <w:r>
        <w:rPr>
          <w:sz w:val="28"/>
          <w:szCs w:val="28"/>
        </w:rPr>
        <w:sym w:font="HQPB4" w:char="F0E0"/>
      </w:r>
      <w:r>
        <w:rPr>
          <w:sz w:val="28"/>
          <w:szCs w:val="28"/>
        </w:rPr>
        <w:sym w:font="HQPB2" w:char="F032"/>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7"/>
      </w:r>
      <w:r>
        <w:rPr>
          <w:sz w:val="28"/>
          <w:szCs w:val="28"/>
        </w:rPr>
        <w:sym w:font="HQPB5" w:char="F079"/>
      </w:r>
      <w:r>
        <w:rPr>
          <w:sz w:val="28"/>
          <w:szCs w:val="28"/>
        </w:rPr>
        <w:sym w:font="HQPB1" w:char="F0E8"/>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sidRPr="009D028C">
        <w:rPr>
          <w:rFonts w:ascii="Adobe نسخ Medium" w:hAnsi="Adobe نسخ Medium" w:cs="Adobe نسخ Medium"/>
          <w:sz w:val="32"/>
          <w:szCs w:val="32"/>
          <w:rtl/>
        </w:rPr>
        <w:t>اللهُ</w:t>
      </w:r>
      <w:r>
        <w:rPr>
          <w:rFonts w:ascii="(normal text)" w:hAnsi="(normal text)"/>
          <w:rtl/>
        </w:rPr>
        <w:t xml:space="preserve"> </w:t>
      </w:r>
      <w:r>
        <w:rPr>
          <w:sz w:val="28"/>
          <w:szCs w:val="28"/>
        </w:rPr>
        <w:sym w:font="HQPB1" w:char="F024"/>
      </w:r>
      <w:r>
        <w:rPr>
          <w:sz w:val="28"/>
          <w:szCs w:val="28"/>
        </w:rPr>
        <w:sym w:font="HQPB4" w:char="F0B7"/>
      </w:r>
      <w:r>
        <w:rPr>
          <w:sz w:val="28"/>
          <w:szCs w:val="28"/>
        </w:rPr>
        <w:sym w:font="HQPB1" w:char="F0E8"/>
      </w:r>
      <w:r>
        <w:rPr>
          <w:sz w:val="28"/>
          <w:szCs w:val="28"/>
        </w:rPr>
        <w:sym w:font="HQPB4" w:char="F0C5"/>
      </w:r>
      <w:r>
        <w:rPr>
          <w:sz w:val="28"/>
          <w:szCs w:val="28"/>
        </w:rPr>
        <w:sym w:font="HQPB1" w:char="F099"/>
      </w:r>
      <w:r>
        <w:rPr>
          <w:sz w:val="28"/>
          <w:szCs w:val="28"/>
        </w:rPr>
        <w:sym w:font="HQPB2" w:char="F0BA"/>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2" w:char="F08A"/>
      </w:r>
      <w:r>
        <w:rPr>
          <w:sz w:val="28"/>
          <w:szCs w:val="28"/>
        </w:rPr>
        <w:sym w:font="HQPB4" w:char="F0C5"/>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C"/>
      </w:r>
      <w:r>
        <w:rPr>
          <w:sz w:val="28"/>
          <w:szCs w:val="28"/>
        </w:rPr>
        <w:sym w:font="HQPB2" w:char="F0C9"/>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Artinya:</w:t>
      </w:r>
      <w:r w:rsidRPr="00393F1E">
        <w:rPr>
          <w:rFonts w:asciiTheme="majorBidi" w:hAnsiTheme="majorBidi" w:cstheme="majorBidi"/>
          <w:i/>
          <w:iCs/>
          <w:sz w:val="24"/>
          <w:szCs w:val="24"/>
        </w:rPr>
        <w:t>“ jika keduanya bercerai, Maka Allah akan memberi kecukupan kepada masing-masingnya dari limpahan karunia-Nya. dan adalah Allah Maha Luas (karunia-Nya) lagi Maha Bijaksana.”</w:t>
      </w:r>
      <w:r w:rsidRPr="00393F1E">
        <w:rPr>
          <w:rFonts w:asciiTheme="majorBidi" w:hAnsiTheme="majorBidi" w:cstheme="majorBidi"/>
          <w:sz w:val="24"/>
          <w:szCs w:val="24"/>
        </w:rPr>
        <w:t>(QS.  al-Nisa[4] : 130)</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708"/>
      </w:r>
    </w:p>
    <w:p w:rsidR="00343B61" w:rsidRPr="00393F1E" w:rsidRDefault="00343B61" w:rsidP="00343B61">
      <w:pPr>
        <w:autoSpaceDE w:val="0"/>
        <w:autoSpaceDN w:val="0"/>
        <w:adjustRightInd w:val="0"/>
        <w:spacing w:after="0" w:line="240" w:lineRule="auto"/>
        <w:ind w:left="1620" w:hanging="810"/>
        <w:jc w:val="both"/>
        <w:rPr>
          <w:rFonts w:asciiTheme="majorBidi" w:hAnsiTheme="majorBidi" w:cstheme="majorBidi"/>
          <w:i/>
          <w:iCs/>
          <w:sz w:val="24"/>
          <w:szCs w:val="24"/>
        </w:rPr>
      </w:pPr>
    </w:p>
    <w:p w:rsidR="00343B61" w:rsidRDefault="00343B61" w:rsidP="00343B61">
      <w:pPr>
        <w:autoSpaceDE w:val="0"/>
        <w:autoSpaceDN w:val="0"/>
        <w:adjustRightInd w:val="0"/>
        <w:spacing w:after="0" w:line="360" w:lineRule="auto"/>
        <w:ind w:left="720" w:firstLine="630"/>
        <w:jc w:val="both"/>
        <w:rPr>
          <w:rFonts w:ascii="(normal text)" w:hAnsi="(normal text)"/>
          <w:sz w:val="24"/>
          <w:szCs w:val="24"/>
        </w:rPr>
      </w:pPr>
      <w:r>
        <w:rPr>
          <w:rFonts w:ascii="(normal text)" w:hAnsi="(normal text)"/>
          <w:sz w:val="24"/>
          <w:szCs w:val="24"/>
        </w:rPr>
        <w:t xml:space="preserve">Dan contoh penggunaan lafaz </w:t>
      </w:r>
      <w:r w:rsidRPr="00456F0C">
        <w:rPr>
          <w:rFonts w:ascii="(normal text)" w:hAnsi="(normal text)"/>
          <w:i/>
          <w:iCs/>
          <w:sz w:val="24"/>
          <w:szCs w:val="24"/>
        </w:rPr>
        <w:t>sara</w:t>
      </w:r>
      <w:r w:rsidRPr="00456F0C">
        <w:rPr>
          <w:rFonts w:asciiTheme="majorBidi" w:hAnsiTheme="majorBidi" w:cstheme="majorBidi"/>
          <w:i/>
          <w:iCs/>
          <w:sz w:val="24"/>
          <w:szCs w:val="24"/>
        </w:rPr>
        <w:t>ḥ</w:t>
      </w:r>
      <w:r w:rsidRPr="00456F0C">
        <w:rPr>
          <w:rFonts w:ascii="(normal text)" w:hAnsi="(normal text)"/>
          <w:i/>
          <w:iCs/>
          <w:sz w:val="24"/>
          <w:szCs w:val="24"/>
        </w:rPr>
        <w:t>a</w:t>
      </w:r>
      <w:r>
        <w:rPr>
          <w:rFonts w:ascii="(normal text)" w:hAnsi="(normal text)"/>
          <w:sz w:val="24"/>
          <w:szCs w:val="24"/>
        </w:rPr>
        <w:t xml:space="preserve"> (</w:t>
      </w:r>
      <w:r>
        <w:rPr>
          <w:rFonts w:asciiTheme="majorBidi" w:hAnsiTheme="majorBidi" w:cstheme="majorBidi" w:hint="cs"/>
          <w:sz w:val="24"/>
          <w:szCs w:val="24"/>
          <w:rtl/>
        </w:rPr>
        <w:t>سراح</w:t>
      </w:r>
      <w:r>
        <w:rPr>
          <w:rFonts w:ascii="(normal text)" w:hAnsi="(normal text)"/>
          <w:sz w:val="24"/>
          <w:szCs w:val="24"/>
        </w:rPr>
        <w:t xml:space="preserve"> )  dalam ucapan talak adalah  firman Allah dalam surat al-Baqarah[2] ayat 229 yaitu: </w:t>
      </w:r>
    </w:p>
    <w:p w:rsidR="00343B61" w:rsidRDefault="00343B61" w:rsidP="00343B61">
      <w:pPr>
        <w:autoSpaceDE w:val="0"/>
        <w:autoSpaceDN w:val="0"/>
        <w:bidi/>
        <w:adjustRightInd w:val="0"/>
        <w:spacing w:after="0" w:line="240" w:lineRule="auto"/>
        <w:ind w:right="720" w:firstLine="17"/>
        <w:jc w:val="both"/>
        <w:rPr>
          <w:rFonts w:ascii="(normal text)" w:hAnsi="(normal text)"/>
          <w:rtl/>
        </w:rPr>
      </w:pPr>
      <w:r>
        <w:rPr>
          <w:sz w:val="28"/>
          <w:szCs w:val="28"/>
        </w:rPr>
        <w:sym w:font="HQPB4" w:char="F0DF"/>
      </w:r>
      <w:r>
        <w:rPr>
          <w:sz w:val="28"/>
          <w:szCs w:val="28"/>
        </w:rPr>
        <w:sym w:font="HQPB2" w:char="F02C"/>
      </w:r>
      <w:r>
        <w:rPr>
          <w:sz w:val="28"/>
          <w:szCs w:val="28"/>
        </w:rPr>
        <w:sym w:font="HQPB2" w:char="F0BB"/>
      </w:r>
      <w:r>
        <w:rPr>
          <w:sz w:val="28"/>
          <w:szCs w:val="28"/>
        </w:rPr>
        <w:sym w:font="HQPB5" w:char="F06E"/>
      </w:r>
      <w:r>
        <w:rPr>
          <w:sz w:val="28"/>
          <w:szCs w:val="28"/>
        </w:rPr>
        <w:sym w:font="HQPB2" w:char="F03D"/>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8"/>
      </w:r>
      <w:r>
        <w:rPr>
          <w:sz w:val="28"/>
          <w:szCs w:val="28"/>
        </w:rPr>
        <w:sym w:font="HQPB2" w:char="F062"/>
      </w:r>
      <w:r>
        <w:rPr>
          <w:sz w:val="28"/>
          <w:szCs w:val="28"/>
        </w:rPr>
        <w:sym w:font="HQPB1" w:char="F024"/>
      </w:r>
      <w:r>
        <w:rPr>
          <w:sz w:val="28"/>
          <w:szCs w:val="28"/>
        </w:rPr>
        <w:sym w:font="HQPB5" w:char="F073"/>
      </w:r>
      <w:r>
        <w:rPr>
          <w:sz w:val="28"/>
          <w:szCs w:val="28"/>
        </w:rPr>
        <w:sym w:font="HQPB1" w:char="F03F"/>
      </w:r>
      <w:r>
        <w:rPr>
          <w:sz w:val="28"/>
          <w:szCs w:val="28"/>
        </w:rPr>
        <w:sym w:font="HQPB4" w:char="F0A7"/>
      </w:r>
      <w:r>
        <w:rPr>
          <w:sz w:val="28"/>
          <w:szCs w:val="28"/>
        </w:rPr>
        <w:sym w:font="HQPB1" w:char="F090"/>
      </w:r>
      <w:r>
        <w:rPr>
          <w:sz w:val="28"/>
          <w:szCs w:val="28"/>
        </w:rPr>
        <w:sym w:font="HQPB5" w:char="F073"/>
      </w:r>
      <w:r>
        <w:rPr>
          <w:sz w:val="28"/>
          <w:szCs w:val="28"/>
        </w:rPr>
        <w:sym w:font="HQPB2" w:char="F044"/>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38"/>
      </w:r>
      <w:r>
        <w:rPr>
          <w:sz w:val="28"/>
          <w:szCs w:val="28"/>
        </w:rPr>
        <w:sym w:font="HQPB2" w:char="F038"/>
      </w:r>
      <w:r>
        <w:rPr>
          <w:sz w:val="28"/>
          <w:szCs w:val="28"/>
        </w:rPr>
        <w:sym w:font="HQPB1" w:char="F024"/>
      </w:r>
      <w:r>
        <w:rPr>
          <w:sz w:val="28"/>
          <w:szCs w:val="28"/>
        </w:rPr>
        <w:sym w:font="HQPB5" w:char="F07C"/>
      </w:r>
      <w:r>
        <w:rPr>
          <w:sz w:val="28"/>
          <w:szCs w:val="28"/>
        </w:rPr>
        <w:sym w:font="HQPB1" w:char="F0A1"/>
      </w:r>
      <w:r>
        <w:rPr>
          <w:sz w:val="28"/>
          <w:szCs w:val="28"/>
        </w:rPr>
        <w:sym w:font="HQPB4" w:char="F0F8"/>
      </w:r>
      <w:r>
        <w:rPr>
          <w:sz w:val="28"/>
          <w:szCs w:val="28"/>
        </w:rPr>
        <w:sym w:font="HQPB2" w:char="F04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E"/>
      </w:r>
      <w:r>
        <w:rPr>
          <w:sz w:val="28"/>
          <w:szCs w:val="28"/>
        </w:rPr>
        <w:sym w:font="HQPB2" w:char="F024"/>
      </w:r>
      <w:r>
        <w:rPr>
          <w:sz w:val="28"/>
          <w:szCs w:val="28"/>
        </w:rPr>
        <w:sym w:font="HQPB2" w:char="F072"/>
      </w:r>
      <w:r>
        <w:rPr>
          <w:sz w:val="28"/>
          <w:szCs w:val="28"/>
        </w:rPr>
        <w:sym w:font="HQPB4" w:char="F0E1"/>
      </w:r>
      <w:r>
        <w:rPr>
          <w:sz w:val="28"/>
          <w:szCs w:val="28"/>
        </w:rPr>
        <w:sym w:font="HQPB1" w:char="F08F"/>
      </w:r>
      <w:r>
        <w:rPr>
          <w:sz w:val="28"/>
          <w:szCs w:val="28"/>
        </w:rPr>
        <w:sym w:font="HQPB4" w:char="F0F7"/>
      </w:r>
      <w:r>
        <w:rPr>
          <w:sz w:val="28"/>
          <w:szCs w:val="28"/>
        </w:rPr>
        <w:sym w:font="HQPB1" w:char="F0E8"/>
      </w:r>
      <w:r>
        <w:rPr>
          <w:sz w:val="28"/>
          <w:szCs w:val="28"/>
        </w:rPr>
        <w:sym w:font="HQPB5" w:char="F06F"/>
      </w:r>
      <w:r>
        <w:rPr>
          <w:sz w:val="28"/>
          <w:szCs w:val="28"/>
        </w:rPr>
        <w:sym w:font="HQPB2" w:char="F0FF"/>
      </w:r>
      <w:r>
        <w:rPr>
          <w:sz w:val="28"/>
          <w:szCs w:val="28"/>
        </w:rPr>
        <w:sym w:font="HQPB4" w:char="F0CF"/>
      </w:r>
      <w:r>
        <w:rPr>
          <w:sz w:val="28"/>
          <w:szCs w:val="28"/>
        </w:rPr>
        <w:sym w:font="HQPB1" w:char="F033"/>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37"/>
      </w:r>
      <w:r>
        <w:rPr>
          <w:sz w:val="28"/>
          <w:szCs w:val="28"/>
        </w:rPr>
        <w:sym w:font="HQPB1" w:char="F078"/>
      </w:r>
      <w:r>
        <w:rPr>
          <w:sz w:val="28"/>
          <w:szCs w:val="28"/>
        </w:rPr>
        <w:sym w:font="HQPB2" w:char="F083"/>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39"/>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3"/>
      </w:r>
      <w:r>
        <w:rPr>
          <w:rFonts w:ascii="(normal text)" w:hAnsi="(normal text)"/>
          <w:rtl/>
        </w:rPr>
        <w:t xml:space="preserve">   </w:t>
      </w:r>
    </w:p>
    <w:p w:rsidR="00343B61" w:rsidRDefault="00343B61" w:rsidP="00343B61">
      <w:pPr>
        <w:autoSpaceDE w:val="0"/>
        <w:autoSpaceDN w:val="0"/>
        <w:adjustRightInd w:val="0"/>
        <w:spacing w:after="0" w:line="240" w:lineRule="auto"/>
        <w:ind w:left="1440" w:right="17"/>
        <w:jc w:val="both"/>
        <w:rPr>
          <w:rFonts w:asciiTheme="majorBidi" w:hAnsiTheme="majorBidi" w:cstheme="majorBidi"/>
          <w:sz w:val="24"/>
          <w:szCs w:val="24"/>
        </w:rPr>
      </w:pPr>
      <w:r w:rsidRPr="009171F3">
        <w:rPr>
          <w:rFonts w:asciiTheme="majorBidi" w:hAnsiTheme="majorBidi" w:cstheme="majorBidi"/>
          <w:sz w:val="24"/>
          <w:szCs w:val="24"/>
        </w:rPr>
        <w:t xml:space="preserve">Artinya:“ </w:t>
      </w:r>
      <w:r w:rsidRPr="009171F3">
        <w:rPr>
          <w:rFonts w:asciiTheme="majorBidi" w:hAnsiTheme="majorBidi" w:cstheme="majorBidi"/>
          <w:i/>
          <w:iCs/>
          <w:sz w:val="24"/>
          <w:szCs w:val="24"/>
        </w:rPr>
        <w:t>Talak (yang dapat dirujuki) dua kali. setelah itu boleh rujuk lagi dengan cara yang ma'ruf atau menceraikan dengan cara yang baik”</w:t>
      </w:r>
      <w:r w:rsidRPr="009171F3">
        <w:rPr>
          <w:rFonts w:asciiTheme="majorBidi" w:hAnsiTheme="majorBidi" w:cstheme="majorBidi"/>
          <w:sz w:val="24"/>
          <w:szCs w:val="24"/>
        </w:rPr>
        <w:t>.</w:t>
      </w:r>
      <w:r w:rsidRPr="009329A6">
        <w:rPr>
          <w:rFonts w:asciiTheme="majorBidi" w:hAnsiTheme="majorBidi" w:cstheme="majorBidi"/>
          <w:sz w:val="24"/>
          <w:szCs w:val="24"/>
        </w:rPr>
        <w:t xml:space="preserve"> </w:t>
      </w:r>
      <w:r w:rsidRPr="009171F3">
        <w:rPr>
          <w:rFonts w:asciiTheme="majorBidi" w:hAnsiTheme="majorBidi" w:cstheme="majorBidi"/>
          <w:sz w:val="24"/>
          <w:szCs w:val="24"/>
        </w:rPr>
        <w:t xml:space="preserve">( QS. Al-Baqarah [2] :229) </w:t>
      </w:r>
      <w:r>
        <w:rPr>
          <w:rStyle w:val="FootnoteReference"/>
          <w:rFonts w:asciiTheme="majorBidi" w:hAnsiTheme="majorBidi" w:cstheme="majorBidi"/>
          <w:sz w:val="24"/>
          <w:szCs w:val="24"/>
        </w:rPr>
        <w:footnoteReference w:id="709"/>
      </w:r>
      <w:r>
        <w:rPr>
          <w:rFonts w:asciiTheme="majorBidi" w:hAnsiTheme="majorBidi" w:cstheme="majorBidi"/>
          <w:sz w:val="24"/>
          <w:szCs w:val="24"/>
        </w:rPr>
        <w:t xml:space="preserve"> </w:t>
      </w:r>
    </w:p>
    <w:p w:rsidR="00343B61" w:rsidRPr="00874652" w:rsidRDefault="00343B61" w:rsidP="00343B61">
      <w:pPr>
        <w:autoSpaceDE w:val="0"/>
        <w:autoSpaceDN w:val="0"/>
        <w:adjustRightInd w:val="0"/>
        <w:spacing w:after="0" w:line="240" w:lineRule="auto"/>
        <w:ind w:left="1440" w:right="17"/>
        <w:jc w:val="both"/>
        <w:rPr>
          <w:rFonts w:asciiTheme="majorBidi" w:hAnsiTheme="majorBidi" w:cstheme="majorBidi"/>
          <w:sz w:val="24"/>
          <w:szCs w:val="24"/>
        </w:rPr>
      </w:pPr>
    </w:p>
    <w:p w:rsidR="00343B61" w:rsidRDefault="00343B61" w:rsidP="00343B61">
      <w:pPr>
        <w:spacing w:after="0" w:line="360" w:lineRule="auto"/>
        <w:ind w:left="720" w:firstLine="720"/>
        <w:jc w:val="both"/>
        <w:rPr>
          <w:rFonts w:ascii="(normal text)" w:hAnsi="(normal text)"/>
          <w:i/>
          <w:iCs/>
          <w:sz w:val="24"/>
          <w:szCs w:val="24"/>
        </w:rPr>
      </w:pPr>
      <w:r>
        <w:rPr>
          <w:rFonts w:asciiTheme="majorBidi" w:hAnsiTheme="majorBidi" w:cstheme="majorBidi"/>
          <w:sz w:val="24"/>
          <w:szCs w:val="24"/>
        </w:rPr>
        <w:t xml:space="preserve">Sementara Ibnu Qudamah dari ulama Hanbali, berpendapat bahwa lafaz yang </w:t>
      </w:r>
      <w:r>
        <w:rPr>
          <w:rFonts w:asciiTheme="majorBidi" w:hAnsiTheme="majorBidi" w:cstheme="majorBidi"/>
          <w:i/>
          <w:iCs/>
          <w:sz w:val="24"/>
          <w:szCs w:val="24"/>
        </w:rPr>
        <w:t>sharīh</w:t>
      </w:r>
      <w:r>
        <w:rPr>
          <w:rFonts w:asciiTheme="majorBidi" w:hAnsiTheme="majorBidi" w:cstheme="majorBidi"/>
          <w:sz w:val="24"/>
          <w:szCs w:val="24"/>
        </w:rPr>
        <w:t xml:space="preserve"> untuk talak hanyalah satu yaitu lafaz </w:t>
      </w:r>
      <w:r w:rsidRPr="00681F0D">
        <w:rPr>
          <w:rFonts w:asciiTheme="majorBidi" w:hAnsiTheme="majorBidi" w:cstheme="majorBidi"/>
          <w:i/>
          <w:iCs/>
          <w:sz w:val="24"/>
          <w:szCs w:val="24"/>
        </w:rPr>
        <w:t>tha</w:t>
      </w:r>
      <w:r>
        <w:rPr>
          <w:rFonts w:asciiTheme="majorBidi" w:hAnsiTheme="majorBidi" w:cstheme="majorBidi"/>
          <w:i/>
          <w:iCs/>
          <w:sz w:val="24"/>
          <w:szCs w:val="24"/>
        </w:rPr>
        <w:t>-</w:t>
      </w:r>
      <w:r w:rsidRPr="00681F0D">
        <w:rPr>
          <w:rFonts w:asciiTheme="majorBidi" w:hAnsiTheme="majorBidi" w:cstheme="majorBidi"/>
          <w:i/>
          <w:iCs/>
          <w:sz w:val="24"/>
          <w:szCs w:val="24"/>
        </w:rPr>
        <w:t>la</w:t>
      </w:r>
      <w:r>
        <w:rPr>
          <w:rFonts w:asciiTheme="majorBidi" w:hAnsiTheme="majorBidi" w:cstheme="majorBidi"/>
          <w:i/>
          <w:iCs/>
          <w:sz w:val="24"/>
          <w:szCs w:val="24"/>
        </w:rPr>
        <w:t>-</w:t>
      </w:r>
      <w:r w:rsidRPr="00681F0D">
        <w:rPr>
          <w:rFonts w:asciiTheme="majorBidi" w:hAnsiTheme="majorBidi" w:cstheme="majorBidi"/>
          <w:i/>
          <w:iCs/>
          <w:sz w:val="24"/>
          <w:szCs w:val="24"/>
        </w:rPr>
        <w:t>q</w:t>
      </w:r>
      <w:r>
        <w:rPr>
          <w:rFonts w:asciiTheme="majorBidi" w:hAnsiTheme="majorBidi" w:cstheme="majorBidi"/>
          <w:i/>
          <w:iCs/>
          <w:sz w:val="24"/>
          <w:szCs w:val="24"/>
        </w:rPr>
        <w:t>a</w:t>
      </w:r>
      <w:r>
        <w:rPr>
          <w:rFonts w:asciiTheme="majorBidi" w:hAnsiTheme="majorBidi" w:cstheme="majorBidi"/>
          <w:sz w:val="24"/>
          <w:szCs w:val="24"/>
        </w:rPr>
        <w:t xml:space="preserve"> (</w:t>
      </w:r>
      <w:r>
        <w:rPr>
          <w:rFonts w:asciiTheme="majorBidi" w:hAnsiTheme="majorBidi" w:cstheme="majorBidi" w:hint="cs"/>
          <w:sz w:val="24"/>
          <w:szCs w:val="24"/>
          <w:rtl/>
        </w:rPr>
        <w:t>طلق</w:t>
      </w:r>
      <w:r>
        <w:rPr>
          <w:rFonts w:asciiTheme="majorBidi" w:hAnsiTheme="majorBidi" w:cstheme="majorBidi"/>
          <w:sz w:val="24"/>
          <w:szCs w:val="24"/>
        </w:rPr>
        <w:t xml:space="preserve"> ) dan </w:t>
      </w:r>
      <w:r>
        <w:rPr>
          <w:rFonts w:asciiTheme="majorBidi" w:hAnsiTheme="majorBidi" w:cstheme="majorBidi"/>
          <w:sz w:val="24"/>
          <w:szCs w:val="24"/>
        </w:rPr>
        <w:lastRenderedPageBreak/>
        <w:t xml:space="preserve">yang berakar kepadanya karena digunakan tujuan </w:t>
      </w:r>
      <w:r w:rsidRPr="007E5E97">
        <w:rPr>
          <w:rFonts w:asciiTheme="majorBidi" w:hAnsiTheme="majorBidi" w:cstheme="majorBidi"/>
          <w:i/>
          <w:iCs/>
          <w:sz w:val="24"/>
          <w:szCs w:val="24"/>
        </w:rPr>
        <w:t>thala</w:t>
      </w:r>
      <w:r>
        <w:rPr>
          <w:rFonts w:asciiTheme="majorBidi" w:hAnsiTheme="majorBidi" w:cstheme="majorBidi"/>
          <w:i/>
          <w:iCs/>
          <w:sz w:val="24"/>
          <w:szCs w:val="24"/>
        </w:rPr>
        <w:t>q</w:t>
      </w:r>
      <w:r>
        <w:rPr>
          <w:rFonts w:asciiTheme="majorBidi" w:hAnsiTheme="majorBidi" w:cstheme="majorBidi"/>
          <w:sz w:val="24"/>
          <w:szCs w:val="24"/>
        </w:rPr>
        <w:t xml:space="preserve">. Sementara </w:t>
      </w:r>
      <w:r>
        <w:rPr>
          <w:rFonts w:ascii="(normal text)" w:hAnsi="(normal text)"/>
          <w:sz w:val="24"/>
          <w:szCs w:val="24"/>
        </w:rPr>
        <w:t xml:space="preserve">lafaz </w:t>
      </w:r>
      <w:r>
        <w:rPr>
          <w:rFonts w:ascii="(normal text)" w:hAnsi="(normal text)"/>
          <w:i/>
          <w:iCs/>
          <w:sz w:val="24"/>
          <w:szCs w:val="24"/>
        </w:rPr>
        <w:t>fa-</w:t>
      </w:r>
      <w:r w:rsidRPr="00393F1E">
        <w:rPr>
          <w:rFonts w:ascii="(normal text)" w:hAnsi="(normal text)"/>
          <w:i/>
          <w:iCs/>
          <w:sz w:val="24"/>
          <w:szCs w:val="24"/>
        </w:rPr>
        <w:t>ra</w:t>
      </w:r>
      <w:r>
        <w:rPr>
          <w:rFonts w:ascii="(normal text)" w:hAnsi="(normal text)"/>
          <w:i/>
          <w:iCs/>
          <w:sz w:val="24"/>
          <w:szCs w:val="24"/>
        </w:rPr>
        <w:t>-</w:t>
      </w:r>
      <w:r w:rsidRPr="00393F1E">
        <w:rPr>
          <w:rFonts w:ascii="(normal text)" w:hAnsi="(normal text)"/>
          <w:i/>
          <w:iCs/>
          <w:sz w:val="24"/>
          <w:szCs w:val="24"/>
        </w:rPr>
        <w:t>q</w:t>
      </w:r>
      <w:r>
        <w:rPr>
          <w:rFonts w:ascii="(normal text)" w:hAnsi="(normal text)"/>
          <w:i/>
          <w:iCs/>
          <w:sz w:val="24"/>
          <w:szCs w:val="24"/>
        </w:rPr>
        <w:t>a</w:t>
      </w:r>
      <w:r>
        <w:rPr>
          <w:rFonts w:ascii="(normal text)" w:hAnsi="(normal text)"/>
          <w:sz w:val="24"/>
          <w:szCs w:val="24"/>
        </w:rPr>
        <w:t xml:space="preserve"> (</w:t>
      </w:r>
      <w:r>
        <w:rPr>
          <w:rFonts w:asciiTheme="majorBidi" w:hAnsiTheme="majorBidi" w:cstheme="majorBidi" w:hint="cs"/>
          <w:sz w:val="24"/>
          <w:szCs w:val="24"/>
          <w:rtl/>
        </w:rPr>
        <w:t>فرق</w:t>
      </w:r>
      <w:r>
        <w:rPr>
          <w:rFonts w:ascii="(normal text)" w:hAnsi="(normal text)"/>
          <w:sz w:val="24"/>
          <w:szCs w:val="24"/>
        </w:rPr>
        <w:t xml:space="preserve"> ) dan lafaz </w:t>
      </w:r>
      <w:r w:rsidRPr="00456F0C">
        <w:rPr>
          <w:rFonts w:ascii="(normal text)" w:hAnsi="(normal text)"/>
          <w:i/>
          <w:iCs/>
          <w:sz w:val="24"/>
          <w:szCs w:val="24"/>
        </w:rPr>
        <w:t>sa</w:t>
      </w:r>
      <w:r>
        <w:rPr>
          <w:rFonts w:ascii="(normal text)" w:hAnsi="(normal text)"/>
          <w:i/>
          <w:iCs/>
          <w:sz w:val="24"/>
          <w:szCs w:val="24"/>
        </w:rPr>
        <w:t>-</w:t>
      </w:r>
      <w:r w:rsidRPr="00456F0C">
        <w:rPr>
          <w:rFonts w:ascii="(normal text)" w:hAnsi="(normal text)"/>
          <w:i/>
          <w:iCs/>
          <w:sz w:val="24"/>
          <w:szCs w:val="24"/>
        </w:rPr>
        <w:t>ra</w:t>
      </w:r>
      <w:r>
        <w:rPr>
          <w:rFonts w:ascii="(normal text)" w:hAnsi="(normal text)"/>
          <w:i/>
          <w:iCs/>
          <w:sz w:val="24"/>
          <w:szCs w:val="24"/>
        </w:rPr>
        <w:t>-</w:t>
      </w:r>
      <w:r w:rsidRPr="00456F0C">
        <w:rPr>
          <w:rFonts w:asciiTheme="majorBidi" w:hAnsiTheme="majorBidi" w:cstheme="majorBidi"/>
          <w:i/>
          <w:iCs/>
          <w:sz w:val="24"/>
          <w:szCs w:val="24"/>
        </w:rPr>
        <w:t>ḥ</w:t>
      </w:r>
      <w:r w:rsidRPr="00456F0C">
        <w:rPr>
          <w:rFonts w:ascii="(normal text)" w:hAnsi="(normal text)"/>
          <w:i/>
          <w:iCs/>
          <w:sz w:val="24"/>
          <w:szCs w:val="24"/>
        </w:rPr>
        <w:t>a</w:t>
      </w:r>
      <w:r>
        <w:rPr>
          <w:rFonts w:ascii="(normal text)" w:hAnsi="(normal text)"/>
          <w:sz w:val="24"/>
          <w:szCs w:val="24"/>
        </w:rPr>
        <w:t xml:space="preserve"> (</w:t>
      </w:r>
      <w:r>
        <w:rPr>
          <w:rFonts w:asciiTheme="majorBidi" w:hAnsiTheme="majorBidi" w:cstheme="majorBidi" w:hint="cs"/>
          <w:sz w:val="24"/>
          <w:szCs w:val="24"/>
          <w:rtl/>
        </w:rPr>
        <w:t>سرح</w:t>
      </w:r>
      <w:r>
        <w:rPr>
          <w:rFonts w:ascii="(normal text)" w:hAnsi="(normal text)"/>
          <w:sz w:val="24"/>
          <w:szCs w:val="24"/>
        </w:rPr>
        <w:t xml:space="preserve"> ) ada dua pandangan; Khatthobi menganggap sebagai lafaz </w:t>
      </w:r>
      <w:r>
        <w:rPr>
          <w:rFonts w:ascii="(normal text)" w:hAnsi="(normal text)"/>
          <w:i/>
          <w:iCs/>
          <w:sz w:val="24"/>
          <w:szCs w:val="24"/>
        </w:rPr>
        <w:t>sharīh</w:t>
      </w:r>
      <w:r>
        <w:rPr>
          <w:rFonts w:ascii="(normal text)" w:hAnsi="(normal text)"/>
          <w:sz w:val="24"/>
          <w:szCs w:val="24"/>
        </w:rPr>
        <w:t xml:space="preserve"> karena dipakai dalam Al-Qur’ān. Sedangkan menurut ibnu Hamid tidak termasuk lafaz </w:t>
      </w:r>
      <w:r>
        <w:rPr>
          <w:rFonts w:ascii="(normal text)" w:hAnsi="(normal text)"/>
          <w:i/>
          <w:iCs/>
          <w:sz w:val="24"/>
          <w:szCs w:val="24"/>
        </w:rPr>
        <w:t>sharīh</w:t>
      </w:r>
      <w:r>
        <w:rPr>
          <w:rFonts w:ascii="(normal text)" w:hAnsi="(normal text)"/>
          <w:sz w:val="24"/>
          <w:szCs w:val="24"/>
        </w:rPr>
        <w:t xml:space="preserve">, sebab meskipun digunakan dalam Al-Qur’ān untuk tujuan </w:t>
      </w:r>
      <w:r w:rsidRPr="00E26633">
        <w:rPr>
          <w:rFonts w:ascii="(normal text)" w:hAnsi="(normal text)"/>
          <w:sz w:val="24"/>
          <w:szCs w:val="24"/>
        </w:rPr>
        <w:t>talaq</w:t>
      </w:r>
      <w:r>
        <w:rPr>
          <w:rFonts w:ascii="(normal text)" w:hAnsi="(normal text)"/>
          <w:sz w:val="24"/>
          <w:szCs w:val="24"/>
        </w:rPr>
        <w:t xml:space="preserve">, namun pemakaiannya lebih banyak pada tujuan selain  </w:t>
      </w:r>
      <w:r w:rsidRPr="00E26633">
        <w:rPr>
          <w:rFonts w:ascii="(normal text)" w:hAnsi="(normal text)"/>
          <w:sz w:val="24"/>
          <w:szCs w:val="24"/>
        </w:rPr>
        <w:t>talaq</w:t>
      </w:r>
      <w:r w:rsidRPr="00E36E56">
        <w:rPr>
          <w:rFonts w:ascii="(normal text)" w:hAnsi="(normal text)"/>
          <w:i/>
          <w:iCs/>
          <w:sz w:val="24"/>
          <w:szCs w:val="24"/>
        </w:rPr>
        <w:t>.</w:t>
      </w:r>
      <w:r w:rsidRPr="00B872AE">
        <w:rPr>
          <w:rStyle w:val="FootnoteReference"/>
          <w:rFonts w:ascii="(normal text)" w:hAnsi="(normal text)"/>
          <w:sz w:val="24"/>
          <w:szCs w:val="24"/>
        </w:rPr>
        <w:footnoteReference w:id="710"/>
      </w:r>
    </w:p>
    <w:p w:rsidR="00343B61" w:rsidRDefault="00343B61" w:rsidP="00343B61">
      <w:pPr>
        <w:spacing w:after="0" w:line="360" w:lineRule="auto"/>
        <w:ind w:left="720" w:firstLine="720"/>
        <w:jc w:val="both"/>
        <w:rPr>
          <w:rFonts w:asciiTheme="majorBidi" w:hAnsiTheme="majorBidi" w:cstheme="majorBidi"/>
          <w:sz w:val="24"/>
          <w:szCs w:val="24"/>
        </w:rPr>
      </w:pPr>
      <w:r>
        <w:rPr>
          <w:rFonts w:ascii="(normal text)" w:hAnsi="(normal text)"/>
          <w:sz w:val="24"/>
          <w:szCs w:val="24"/>
        </w:rPr>
        <w:t xml:space="preserve">Adapun lafaz </w:t>
      </w:r>
      <w:r>
        <w:rPr>
          <w:rFonts w:ascii="(normal text)" w:hAnsi="(normal text)"/>
          <w:i/>
          <w:iCs/>
          <w:sz w:val="24"/>
          <w:szCs w:val="24"/>
        </w:rPr>
        <w:t>kināyah</w:t>
      </w:r>
      <w:r>
        <w:rPr>
          <w:rFonts w:ascii="(normal text)" w:hAnsi="(normal text)"/>
          <w:sz w:val="24"/>
          <w:szCs w:val="24"/>
        </w:rPr>
        <w:t xml:space="preserve"> adalah selain lafaz yang  </w:t>
      </w:r>
      <w:r>
        <w:rPr>
          <w:rFonts w:ascii="(normal text)" w:hAnsi="(normal text)"/>
          <w:i/>
          <w:iCs/>
          <w:sz w:val="24"/>
          <w:szCs w:val="24"/>
        </w:rPr>
        <w:t>sharīh</w:t>
      </w:r>
      <w:r>
        <w:rPr>
          <w:rFonts w:ascii="(normal text)" w:hAnsi="(normal text)"/>
          <w:sz w:val="24"/>
          <w:szCs w:val="24"/>
        </w:rPr>
        <w:t xml:space="preserve"> yang tiga menurut Syafi’iyah, yaitu </w:t>
      </w:r>
      <w:r>
        <w:rPr>
          <w:rFonts w:asciiTheme="majorBidi" w:hAnsiTheme="majorBidi" w:cstheme="majorBidi"/>
          <w:sz w:val="24"/>
          <w:szCs w:val="24"/>
        </w:rPr>
        <w:t xml:space="preserve">lafaz </w:t>
      </w:r>
      <w:r w:rsidRPr="00E36E56">
        <w:rPr>
          <w:rFonts w:asciiTheme="majorBidi" w:hAnsiTheme="majorBidi" w:cstheme="majorBidi"/>
          <w:i/>
          <w:iCs/>
          <w:sz w:val="24"/>
          <w:szCs w:val="24"/>
        </w:rPr>
        <w:t>thalaq</w:t>
      </w:r>
      <w:r>
        <w:rPr>
          <w:rFonts w:asciiTheme="majorBidi" w:hAnsiTheme="majorBidi" w:cstheme="majorBidi"/>
          <w:sz w:val="24"/>
          <w:szCs w:val="24"/>
        </w:rPr>
        <w:t>(</w:t>
      </w:r>
      <w:r>
        <w:rPr>
          <w:rFonts w:asciiTheme="majorBidi" w:hAnsiTheme="majorBidi" w:cstheme="majorBidi" w:hint="cs"/>
          <w:sz w:val="24"/>
          <w:szCs w:val="24"/>
          <w:rtl/>
        </w:rPr>
        <w:t>طلاق</w:t>
      </w:r>
      <w:r>
        <w:rPr>
          <w:rFonts w:asciiTheme="majorBidi" w:hAnsiTheme="majorBidi" w:cstheme="majorBidi"/>
          <w:sz w:val="24"/>
          <w:szCs w:val="24"/>
        </w:rPr>
        <w:t xml:space="preserve"> ), </w:t>
      </w:r>
      <w:r>
        <w:rPr>
          <w:rFonts w:ascii="(normal text)" w:hAnsi="(normal text)"/>
          <w:sz w:val="24"/>
          <w:szCs w:val="24"/>
        </w:rPr>
        <w:t xml:space="preserve">lafaz </w:t>
      </w:r>
      <w:r>
        <w:rPr>
          <w:rFonts w:ascii="(normal text)" w:hAnsi="(normal text)"/>
          <w:i/>
          <w:iCs/>
          <w:sz w:val="24"/>
          <w:szCs w:val="24"/>
        </w:rPr>
        <w:t>fa-</w:t>
      </w:r>
      <w:r w:rsidRPr="00393F1E">
        <w:rPr>
          <w:rFonts w:ascii="(normal text)" w:hAnsi="(normal text)"/>
          <w:i/>
          <w:iCs/>
          <w:sz w:val="24"/>
          <w:szCs w:val="24"/>
        </w:rPr>
        <w:t>ra</w:t>
      </w:r>
      <w:r>
        <w:rPr>
          <w:rFonts w:ascii="(normal text)" w:hAnsi="(normal text)"/>
          <w:i/>
          <w:iCs/>
          <w:sz w:val="24"/>
          <w:szCs w:val="24"/>
        </w:rPr>
        <w:t>-</w:t>
      </w:r>
      <w:r w:rsidRPr="00393F1E">
        <w:rPr>
          <w:rFonts w:ascii="(normal text)" w:hAnsi="(normal text)"/>
          <w:i/>
          <w:iCs/>
          <w:sz w:val="24"/>
          <w:szCs w:val="24"/>
        </w:rPr>
        <w:t>q</w:t>
      </w:r>
      <w:r>
        <w:rPr>
          <w:rFonts w:ascii="(normal text)" w:hAnsi="(normal text)"/>
          <w:i/>
          <w:iCs/>
          <w:sz w:val="24"/>
          <w:szCs w:val="24"/>
        </w:rPr>
        <w:t>a</w:t>
      </w:r>
      <w:r>
        <w:rPr>
          <w:rFonts w:ascii="(normal text)" w:hAnsi="(normal text)"/>
          <w:sz w:val="24"/>
          <w:szCs w:val="24"/>
        </w:rPr>
        <w:t xml:space="preserve"> (</w:t>
      </w:r>
      <w:r>
        <w:rPr>
          <w:rFonts w:asciiTheme="majorBidi" w:hAnsiTheme="majorBidi" w:cstheme="majorBidi" w:hint="cs"/>
          <w:sz w:val="24"/>
          <w:szCs w:val="24"/>
          <w:rtl/>
        </w:rPr>
        <w:t>فرق</w:t>
      </w:r>
      <w:r>
        <w:rPr>
          <w:rFonts w:ascii="(normal text)" w:hAnsi="(normal text)"/>
          <w:sz w:val="24"/>
          <w:szCs w:val="24"/>
        </w:rPr>
        <w:t xml:space="preserve"> ) dan lafaz </w:t>
      </w:r>
      <w:r w:rsidRPr="00456F0C">
        <w:rPr>
          <w:rFonts w:ascii="(normal text)" w:hAnsi="(normal text)"/>
          <w:i/>
          <w:iCs/>
          <w:sz w:val="24"/>
          <w:szCs w:val="24"/>
        </w:rPr>
        <w:t>sa</w:t>
      </w:r>
      <w:r>
        <w:rPr>
          <w:rFonts w:ascii="(normal text)" w:hAnsi="(normal text)"/>
          <w:i/>
          <w:iCs/>
          <w:sz w:val="24"/>
          <w:szCs w:val="24"/>
        </w:rPr>
        <w:t>-</w:t>
      </w:r>
      <w:r w:rsidRPr="00456F0C">
        <w:rPr>
          <w:rFonts w:ascii="(normal text)" w:hAnsi="(normal text)"/>
          <w:i/>
          <w:iCs/>
          <w:sz w:val="24"/>
          <w:szCs w:val="24"/>
        </w:rPr>
        <w:t>ra</w:t>
      </w:r>
      <w:r>
        <w:rPr>
          <w:rFonts w:ascii="(normal text)" w:hAnsi="(normal text)"/>
          <w:i/>
          <w:iCs/>
          <w:sz w:val="24"/>
          <w:szCs w:val="24"/>
        </w:rPr>
        <w:t>-</w:t>
      </w:r>
      <w:r w:rsidRPr="00456F0C">
        <w:rPr>
          <w:rFonts w:asciiTheme="majorBidi" w:hAnsiTheme="majorBidi" w:cstheme="majorBidi"/>
          <w:i/>
          <w:iCs/>
          <w:sz w:val="24"/>
          <w:szCs w:val="24"/>
        </w:rPr>
        <w:t>ḥ</w:t>
      </w:r>
      <w:r w:rsidRPr="00456F0C">
        <w:rPr>
          <w:rFonts w:ascii="(normal text)" w:hAnsi="(normal text)"/>
          <w:i/>
          <w:iCs/>
          <w:sz w:val="24"/>
          <w:szCs w:val="24"/>
        </w:rPr>
        <w:t>a</w:t>
      </w:r>
      <w:r>
        <w:rPr>
          <w:rFonts w:ascii="(normal text)" w:hAnsi="(normal text)"/>
          <w:sz w:val="24"/>
          <w:szCs w:val="24"/>
        </w:rPr>
        <w:t xml:space="preserve"> (</w:t>
      </w:r>
      <w:r>
        <w:rPr>
          <w:rFonts w:asciiTheme="majorBidi" w:hAnsiTheme="majorBidi" w:cstheme="majorBidi" w:hint="cs"/>
          <w:sz w:val="24"/>
          <w:szCs w:val="24"/>
          <w:rtl/>
        </w:rPr>
        <w:t>سرح</w:t>
      </w:r>
      <w:r>
        <w:rPr>
          <w:rFonts w:ascii="(normal text)" w:hAnsi="(normal text)"/>
          <w:sz w:val="24"/>
          <w:szCs w:val="24"/>
        </w:rPr>
        <w:t xml:space="preserve"> )dan selain lafaz </w:t>
      </w:r>
      <w:r w:rsidRPr="00E36E56">
        <w:rPr>
          <w:rFonts w:asciiTheme="majorBidi" w:hAnsiTheme="majorBidi" w:cstheme="majorBidi"/>
          <w:i/>
          <w:iCs/>
          <w:sz w:val="24"/>
          <w:szCs w:val="24"/>
        </w:rPr>
        <w:t>thalaq</w:t>
      </w:r>
      <w:r>
        <w:rPr>
          <w:rFonts w:asciiTheme="majorBidi" w:hAnsiTheme="majorBidi" w:cstheme="majorBidi"/>
          <w:sz w:val="24"/>
          <w:szCs w:val="24"/>
        </w:rPr>
        <w:t>(</w:t>
      </w:r>
      <w:r>
        <w:rPr>
          <w:rFonts w:asciiTheme="majorBidi" w:hAnsiTheme="majorBidi" w:cstheme="majorBidi" w:hint="cs"/>
          <w:sz w:val="24"/>
          <w:szCs w:val="24"/>
          <w:rtl/>
        </w:rPr>
        <w:t>طلاق</w:t>
      </w:r>
      <w:r>
        <w:rPr>
          <w:rFonts w:asciiTheme="majorBidi" w:hAnsiTheme="majorBidi" w:cstheme="majorBidi"/>
          <w:sz w:val="24"/>
          <w:szCs w:val="24"/>
        </w:rPr>
        <w:t xml:space="preserve"> ) saja menurut Jumhur ulama, selama lafaz itu ada kemungkinan menjangkau makna perceraian, seperti ucapan suami kepada istri “ engkau bebas merdeka”, “ kembalilah kepada keluargamu,”keluarlah dari sini”, Pergilah dari sini”.  Dimana lafaz kināyah ini tidak terjadi perceraian bila diucapkan kecuali jika niatnya untuk mentalak.</w:t>
      </w:r>
      <w:r>
        <w:rPr>
          <w:rStyle w:val="FootnoteReference"/>
          <w:rFonts w:asciiTheme="majorBidi" w:hAnsiTheme="majorBidi" w:cstheme="majorBidi"/>
          <w:sz w:val="24"/>
          <w:szCs w:val="24"/>
        </w:rPr>
        <w:footnoteReference w:id="711"/>
      </w:r>
      <w:r>
        <w:rPr>
          <w:rFonts w:asciiTheme="majorBidi" w:hAnsiTheme="majorBidi" w:cstheme="majorBidi"/>
          <w:sz w:val="24"/>
          <w:szCs w:val="24"/>
        </w:rPr>
        <w:t xml:space="preserve"> </w:t>
      </w:r>
    </w:p>
    <w:p w:rsidR="00343B61" w:rsidRPr="000811A5" w:rsidRDefault="00343B61" w:rsidP="00343B61">
      <w:pPr>
        <w:spacing w:after="0" w:line="360" w:lineRule="auto"/>
        <w:ind w:left="720" w:firstLine="720"/>
        <w:jc w:val="both"/>
        <w:rPr>
          <w:rFonts w:ascii="(normal text)" w:hAnsi="(normal text)"/>
          <w:i/>
          <w:iCs/>
          <w:sz w:val="24"/>
          <w:szCs w:val="24"/>
        </w:rPr>
      </w:pPr>
    </w:p>
    <w:p w:rsidR="00343B61" w:rsidRPr="006C559B" w:rsidRDefault="00343B61" w:rsidP="00343B61">
      <w:pPr>
        <w:autoSpaceDE w:val="0"/>
        <w:autoSpaceDN w:val="0"/>
        <w:adjustRightInd w:val="0"/>
        <w:spacing w:after="0" w:line="360" w:lineRule="auto"/>
        <w:ind w:firstLine="900"/>
        <w:jc w:val="both"/>
        <w:rPr>
          <w:rFonts w:ascii="Times New Roman" w:hAnsi="Times New Roman" w:cs="Times New Roman"/>
          <w:sz w:val="24"/>
          <w:szCs w:val="24"/>
        </w:rPr>
      </w:pPr>
      <w:r>
        <w:rPr>
          <w:rFonts w:ascii="Times New Roman" w:hAnsi="Times New Roman" w:cs="Times New Roman"/>
          <w:sz w:val="24"/>
          <w:szCs w:val="24"/>
        </w:rPr>
        <w:t>iv</w:t>
      </w:r>
      <w:r w:rsidRPr="006C559B">
        <w:rPr>
          <w:rFonts w:ascii="Times New Roman" w:hAnsi="Times New Roman" w:cs="Times New Roman"/>
          <w:sz w:val="24"/>
          <w:szCs w:val="24"/>
        </w:rPr>
        <w:t xml:space="preserve">. </w:t>
      </w:r>
      <w:r w:rsidRPr="00B428F0">
        <w:rPr>
          <w:rFonts w:ascii="Times New Roman" w:hAnsi="Times New Roman" w:cs="Times New Roman"/>
          <w:i/>
          <w:iCs/>
          <w:sz w:val="24"/>
          <w:szCs w:val="24"/>
        </w:rPr>
        <w:t>Al-Qashdu</w:t>
      </w:r>
      <w:r w:rsidRPr="006C559B">
        <w:rPr>
          <w:rFonts w:ascii="Times New Roman" w:hAnsi="Times New Roman" w:cs="Times New Roman"/>
          <w:sz w:val="24"/>
          <w:szCs w:val="24"/>
        </w:rPr>
        <w:t xml:space="preserve"> (sengaja)</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i/>
          <w:iCs/>
          <w:sz w:val="24"/>
          <w:szCs w:val="24"/>
        </w:rPr>
        <w:t>Al-</w:t>
      </w:r>
      <w:r w:rsidRPr="00F85F2D">
        <w:rPr>
          <w:rFonts w:ascii="Times New Roman" w:hAnsi="Times New Roman" w:cs="Times New Roman"/>
          <w:i/>
          <w:iCs/>
          <w:sz w:val="24"/>
          <w:szCs w:val="24"/>
        </w:rPr>
        <w:t>Qashdu</w:t>
      </w:r>
      <w:r w:rsidRPr="006C559B">
        <w:rPr>
          <w:rFonts w:ascii="Times New Roman" w:hAnsi="Times New Roman" w:cs="Times New Roman"/>
          <w:sz w:val="24"/>
          <w:szCs w:val="24"/>
        </w:rPr>
        <w:t xml:space="preserve"> artinya bahwa dengan ucapan talak itu memang</w:t>
      </w:r>
      <w:r>
        <w:rPr>
          <w:rFonts w:ascii="Times New Roman" w:hAnsi="Times New Roman" w:cs="Times New Roman"/>
          <w:sz w:val="24"/>
          <w:szCs w:val="24"/>
        </w:rPr>
        <w:t xml:space="preserve"> </w:t>
      </w:r>
      <w:r w:rsidRPr="006C559B">
        <w:rPr>
          <w:rFonts w:ascii="Times New Roman" w:hAnsi="Times New Roman" w:cs="Times New Roman"/>
          <w:sz w:val="24"/>
          <w:szCs w:val="24"/>
        </w:rPr>
        <w:t>dimaksudkan oleh yang mengucapkannya untuk talak, bukan untuk</w:t>
      </w:r>
      <w:r>
        <w:rPr>
          <w:rFonts w:ascii="Times New Roman" w:hAnsi="Times New Roman" w:cs="Times New Roman"/>
          <w:sz w:val="24"/>
          <w:szCs w:val="24"/>
        </w:rPr>
        <w:t xml:space="preserve"> </w:t>
      </w:r>
      <w:r w:rsidRPr="006C559B">
        <w:rPr>
          <w:rFonts w:ascii="Times New Roman" w:hAnsi="Times New Roman" w:cs="Times New Roman"/>
          <w:sz w:val="24"/>
          <w:szCs w:val="24"/>
        </w:rPr>
        <w:t>maksud lain. Oleh karena itu, salah ucap yang tidak dimaksud untuk</w:t>
      </w:r>
      <w:r>
        <w:rPr>
          <w:rFonts w:ascii="Times New Roman" w:hAnsi="Times New Roman" w:cs="Times New Roman"/>
          <w:sz w:val="24"/>
          <w:szCs w:val="24"/>
        </w:rPr>
        <w:t xml:space="preserve"> </w:t>
      </w:r>
      <w:r w:rsidRPr="006C559B">
        <w:rPr>
          <w:rFonts w:ascii="Times New Roman" w:hAnsi="Times New Roman" w:cs="Times New Roman"/>
          <w:sz w:val="24"/>
          <w:szCs w:val="24"/>
        </w:rPr>
        <w:t>talak dipandang tidak jatuh talak.</w:t>
      </w:r>
      <w:r>
        <w:rPr>
          <w:rFonts w:ascii="Times New Roman" w:hAnsi="Times New Roman" w:cs="Times New Roman"/>
          <w:sz w:val="24"/>
          <w:szCs w:val="24"/>
        </w:rPr>
        <w:t xml:space="preserve"> Begitu juga seseorang yang mengucapkan kata talak dengan niat pembelajaran ( mengajari), atau mengucapkan talak saat tidur, begitu juga ucapan talak yang dipaksa.</w:t>
      </w:r>
      <w:r>
        <w:rPr>
          <w:rStyle w:val="FootnoteReference"/>
          <w:rFonts w:ascii="Times New Roman" w:hAnsi="Times New Roman" w:cs="Times New Roman"/>
          <w:sz w:val="24"/>
          <w:szCs w:val="24"/>
        </w:rPr>
        <w:footnoteReference w:id="712"/>
      </w:r>
      <w:r>
        <w:rPr>
          <w:rFonts w:ascii="Times New Roman" w:hAnsi="Times New Roman" w:cs="Times New Roman"/>
          <w:sz w:val="24"/>
          <w:szCs w:val="24"/>
        </w:rPr>
        <w:t xml:space="preserve"> Sebagaimana sabda Nabi Saw yang berbunyi: </w:t>
      </w:r>
    </w:p>
    <w:p w:rsidR="00343B61" w:rsidRPr="001F4B5D" w:rsidRDefault="00343B61" w:rsidP="00343B61">
      <w:pPr>
        <w:tabs>
          <w:tab w:val="right" w:pos="7217"/>
        </w:tabs>
        <w:autoSpaceDE w:val="0"/>
        <w:autoSpaceDN w:val="0"/>
        <w:bidi/>
        <w:adjustRightInd w:val="0"/>
        <w:spacing w:after="0" w:line="240" w:lineRule="auto"/>
        <w:ind w:right="720"/>
        <w:jc w:val="both"/>
        <w:rPr>
          <w:rFonts w:ascii="Arial" w:hAnsi="Arial"/>
          <w:b/>
          <w:bCs/>
          <w:sz w:val="28"/>
          <w:szCs w:val="28"/>
          <w:rtl/>
        </w:rPr>
      </w:pPr>
      <w:r w:rsidRPr="00FB45C4">
        <w:rPr>
          <w:rFonts w:ascii="Arial" w:hAnsi="Arial" w:cs="Traditional Arabic"/>
          <w:sz w:val="32"/>
          <w:szCs w:val="32"/>
          <w:rtl/>
        </w:rPr>
        <w:lastRenderedPageBreak/>
        <w:t>عَنْ عَائِشَةَ ، عَنِ النَّبِيِّ صلى الله عليه وسلم قَالَ : رُفِعَ الْقَلَمُ عَنْ ثَلاَثٍ : عَنِ النَّائِمِ حَتَّى يَسْتَيْقِظَ ، وَعَنِ الْمَجْنُونِ حَتَّى يَبْرَأَ ، وَعَنِ الصَّبِيِّ حَتَّى يَعْقِلَ</w:t>
      </w:r>
      <w:r w:rsidRPr="001F4B5D">
        <w:rPr>
          <w:rFonts w:ascii="Arial" w:hAnsi="Arial"/>
          <w:b/>
          <w:bCs/>
          <w:sz w:val="28"/>
          <w:szCs w:val="28"/>
          <w:rtl/>
        </w:rPr>
        <w:t>.</w:t>
      </w:r>
      <w:r>
        <w:rPr>
          <w:rStyle w:val="FootnoteReference"/>
          <w:rFonts w:ascii="Arial" w:hAnsi="Arial"/>
          <w:b/>
          <w:bCs/>
          <w:sz w:val="28"/>
          <w:szCs w:val="28"/>
          <w:rtl/>
        </w:rPr>
        <w:footnoteReference w:id="713"/>
      </w:r>
    </w:p>
    <w:p w:rsidR="00343B61" w:rsidRDefault="00343B61" w:rsidP="00343B61">
      <w:pPr>
        <w:autoSpaceDE w:val="0"/>
        <w:autoSpaceDN w:val="0"/>
        <w:adjustRightInd w:val="0"/>
        <w:spacing w:after="0" w:line="240" w:lineRule="auto"/>
        <w:ind w:left="1620" w:right="17"/>
        <w:jc w:val="both"/>
        <w:rPr>
          <w:rFonts w:asciiTheme="majorBidi" w:hAnsiTheme="majorBidi" w:cstheme="majorBidi"/>
          <w:sz w:val="24"/>
          <w:szCs w:val="24"/>
        </w:rPr>
      </w:pPr>
      <w:r w:rsidRPr="001F4B5D">
        <w:rPr>
          <w:rFonts w:asciiTheme="majorBidi" w:hAnsiTheme="majorBidi" w:cstheme="majorBidi"/>
          <w:i/>
          <w:iCs/>
          <w:sz w:val="24"/>
          <w:szCs w:val="24"/>
        </w:rPr>
        <w:t xml:space="preserve">Artinya: “ dari Aisyah ra, dari Nabi saw ia bersabda:” diangkat pena dari tiga kelompok, yang tidur sampai bangun, yang gila sampai sembuh, dan dari anak-anak sampai dewasa” </w:t>
      </w:r>
      <w:r w:rsidRPr="00171D9F">
        <w:rPr>
          <w:rFonts w:asciiTheme="majorBidi" w:hAnsiTheme="majorBidi" w:cstheme="majorBidi"/>
          <w:sz w:val="24"/>
          <w:szCs w:val="24"/>
        </w:rPr>
        <w:t>( HR. Musnad al-T</w:t>
      </w:r>
      <w:r>
        <w:rPr>
          <w:rFonts w:asciiTheme="majorBidi" w:hAnsiTheme="majorBidi" w:cstheme="majorBidi"/>
          <w:sz w:val="24"/>
          <w:szCs w:val="24"/>
        </w:rPr>
        <w:t>h</w:t>
      </w:r>
      <w:r w:rsidRPr="00171D9F">
        <w:rPr>
          <w:rFonts w:asciiTheme="majorBidi" w:hAnsiTheme="majorBidi" w:cstheme="majorBidi"/>
          <w:sz w:val="24"/>
          <w:szCs w:val="24"/>
        </w:rPr>
        <w:t xml:space="preserve">ayalisi) </w:t>
      </w:r>
    </w:p>
    <w:p w:rsidR="00343B61" w:rsidRPr="00632D0F" w:rsidRDefault="00343B61" w:rsidP="00343B61">
      <w:pPr>
        <w:autoSpaceDE w:val="0"/>
        <w:autoSpaceDN w:val="0"/>
        <w:adjustRightInd w:val="0"/>
        <w:spacing w:after="0" w:line="240" w:lineRule="auto"/>
        <w:ind w:left="1620" w:right="17"/>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Apa yang dikemukakan di atas adalah persyaratan yang berlaku untuk terjadinya talaq seacara sah yang dikemukakan oleh jumhur Ulama. Disamping itu, ada beberapa hal yang patut dicatat namun tidak dibicarakan secara khusus oleh kebanyakan ulama. Hal-hal yang dimaksud adalah sebagai berikut:</w:t>
      </w:r>
    </w:p>
    <w:p w:rsidR="00343B61" w:rsidRPr="00A15A24" w:rsidRDefault="00343B61" w:rsidP="00343B61">
      <w:pPr>
        <w:autoSpaceDE w:val="0"/>
        <w:autoSpaceDN w:val="0"/>
        <w:adjustRightInd w:val="0"/>
        <w:spacing w:after="0" w:line="360" w:lineRule="auto"/>
        <w:ind w:left="720"/>
        <w:jc w:val="both"/>
        <w:rPr>
          <w:rFonts w:ascii="Times New Roman" w:hAnsi="Times New Roman" w:cs="Times New Roman"/>
          <w:i/>
          <w:iCs/>
          <w:sz w:val="24"/>
          <w:szCs w:val="24"/>
        </w:rPr>
      </w:pPr>
      <w:r w:rsidRPr="00A15A24">
        <w:rPr>
          <w:rFonts w:ascii="Times New Roman" w:hAnsi="Times New Roman" w:cs="Times New Roman"/>
          <w:i/>
          <w:iCs/>
          <w:sz w:val="24"/>
          <w:szCs w:val="24"/>
        </w:rPr>
        <w:t>Pertama: Persetujuan istri yang di talak</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Pelaksanaan talak adalah tindakan sepihak dari suami, oleh karena itu tidak ada yang bernama </w:t>
      </w:r>
      <w:r w:rsidRPr="00B428F0">
        <w:rPr>
          <w:rFonts w:ascii="Times New Roman" w:hAnsi="Times New Roman" w:cs="Times New Roman"/>
          <w:i/>
          <w:iCs/>
          <w:sz w:val="24"/>
          <w:szCs w:val="24"/>
        </w:rPr>
        <w:t>qabul</w:t>
      </w:r>
      <w:r>
        <w:rPr>
          <w:rFonts w:ascii="Times New Roman" w:hAnsi="Times New Roman" w:cs="Times New Roman"/>
          <w:sz w:val="24"/>
          <w:szCs w:val="24"/>
        </w:rPr>
        <w:t>. Namun apakah untuk terjadinya talak itu diperlukan persetujuan istri atau setidaknya sepengetahuan istri, kelihatannya tidak di bahas oleh ulama fiqh, baik secara umum atau dalam bahasan khusus. Hal ini adalah disebabkan oleh karena pendapat ulama secara umum bahwa talak itu adalah hak mutlak seorang suami. Hak itu dapat digunakan meskipun tidak mendapat pesetujuan dari istri yang di talaknya itu.</w:t>
      </w:r>
      <w:r>
        <w:rPr>
          <w:rStyle w:val="FootnoteReference"/>
          <w:rFonts w:ascii="Times New Roman" w:hAnsi="Times New Roman" w:cs="Times New Roman"/>
          <w:sz w:val="24"/>
          <w:szCs w:val="24"/>
        </w:rPr>
        <w:footnoteReference w:id="714"/>
      </w:r>
      <w:r>
        <w:rPr>
          <w:rFonts w:ascii="Times New Roman" w:hAnsi="Times New Roman" w:cs="Times New Roman"/>
          <w:sz w:val="24"/>
          <w:szCs w:val="24"/>
        </w:rPr>
        <w:t xml:space="preserve"> Namun dari berbagai literatur fiqh yang ada dapat ditemukan isyarat bahwa sepengetahuan istri itu menjadi syarat, hal ini terlihat dalam bentuk-bentuk sebagai berikut:</w:t>
      </w:r>
    </w:p>
    <w:p w:rsidR="00343B61" w:rsidRPr="00833E3D" w:rsidRDefault="00343B61" w:rsidP="002C0A33">
      <w:pPr>
        <w:pStyle w:val="ListParagraph"/>
        <w:numPr>
          <w:ilvl w:val="0"/>
          <w:numId w:val="42"/>
        </w:numPr>
        <w:autoSpaceDE w:val="0"/>
        <w:autoSpaceDN w:val="0"/>
        <w:adjustRightInd w:val="0"/>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Dalam hal talak melalui wakil  bila suami mengatakan: “ Saya wakilkan kepadamu untuk men-talak istri saya”. Maka apabila perwakilan tersebut menenerima perwakilan itu dan menyampaikannya kepada istri yang bersangkutan, maka jatuhlah talak.</w:t>
      </w:r>
      <w:r>
        <w:rPr>
          <w:rStyle w:val="FootnoteReference"/>
          <w:rFonts w:ascii="Times New Roman" w:hAnsi="Times New Roman" w:cs="Times New Roman"/>
          <w:sz w:val="24"/>
          <w:szCs w:val="24"/>
        </w:rPr>
        <w:footnoteReference w:id="715"/>
      </w:r>
      <w:r>
        <w:rPr>
          <w:rFonts w:ascii="Times New Roman" w:hAnsi="Times New Roman" w:cs="Times New Roman"/>
          <w:sz w:val="24"/>
          <w:szCs w:val="24"/>
        </w:rPr>
        <w:t xml:space="preserve"> Artinya jatuhnya talak diperhitungkan semenjak pesan itu telah disampaikan oleh si pembawa </w:t>
      </w:r>
      <w:r>
        <w:rPr>
          <w:rFonts w:ascii="Times New Roman" w:hAnsi="Times New Roman" w:cs="Times New Roman"/>
          <w:sz w:val="24"/>
          <w:szCs w:val="24"/>
        </w:rPr>
        <w:lastRenderedPageBreak/>
        <w:t>pesan, dan bukan semenjak suami melafazkan talak. Hal demikian mengandung arti bahwa sepengetahuan istri menjadi syarat untuk terjadinya talak secara hukum.</w:t>
      </w:r>
    </w:p>
    <w:p w:rsidR="00343B61" w:rsidRDefault="00343B61" w:rsidP="002C0A33">
      <w:pPr>
        <w:pStyle w:val="ListParagraph"/>
        <w:numPr>
          <w:ilvl w:val="0"/>
          <w:numId w:val="42"/>
        </w:numPr>
        <w:autoSpaceDE w:val="0"/>
        <w:autoSpaceDN w:val="0"/>
        <w:adjustRightInd w:val="0"/>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Dalam membicarakan talak melalui surat dikatakan bahwa bila suami mengirim surat kepada istrinya yang tidak berada di tempat, maka jatuhnya talak itu diperhitungkan semenjak surat itu dibaca dan dipahami oleh istri, maksudnya, bukan pada saat surat itu di tulis oleh suami.</w:t>
      </w:r>
      <w:r>
        <w:rPr>
          <w:rStyle w:val="FootnoteReference"/>
          <w:rFonts w:ascii="Times New Roman" w:hAnsi="Times New Roman" w:cs="Times New Roman"/>
          <w:sz w:val="24"/>
          <w:szCs w:val="24"/>
        </w:rPr>
        <w:footnoteReference w:id="716"/>
      </w:r>
      <w:r>
        <w:rPr>
          <w:rFonts w:ascii="Times New Roman" w:hAnsi="Times New Roman" w:cs="Times New Roman"/>
          <w:sz w:val="24"/>
          <w:szCs w:val="24"/>
        </w:rPr>
        <w:t xml:space="preserve"> Hal ini mengandung arti jatuhnya talak adalah atas sepengetahuan istri.</w:t>
      </w:r>
    </w:p>
    <w:p w:rsidR="00343B61" w:rsidRPr="00A15A24" w:rsidRDefault="00343B61" w:rsidP="00343B61">
      <w:pPr>
        <w:pStyle w:val="ListParagraph"/>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Kedu</w:t>
      </w:r>
      <w:r w:rsidRPr="00A15A24">
        <w:rPr>
          <w:rFonts w:ascii="Times New Roman" w:hAnsi="Times New Roman" w:cs="Times New Roman"/>
          <w:i/>
          <w:iCs/>
          <w:sz w:val="24"/>
          <w:szCs w:val="24"/>
        </w:rPr>
        <w:t>a: keberadaan saksi.</w:t>
      </w:r>
    </w:p>
    <w:p w:rsidR="00343B61" w:rsidRDefault="00343B61" w:rsidP="00343B61">
      <w:pPr>
        <w:pStyle w:val="ListParagraph"/>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Tentang kehadiran dua orang saksi dalam perceraian memang menjadi pembicaraan di kalangan ulama. Bila melihat kepada kenyataan bahwa perceraian itu adalah mengakhiri masa pernikahan yang dulunya dipersaksikan oleh orang banyak dan untuk menjaga kepastian hukum, maka kesaksian itu mesti diadakan dan merupakan persyaratan yang mesti dipenuhi. Hal ini telah sejalan dengan zahir ayat </w:t>
      </w:r>
      <w:r w:rsidRPr="00C5438A">
        <w:rPr>
          <w:rFonts w:asciiTheme="majorBidi" w:hAnsiTheme="majorBidi" w:cstheme="majorBidi"/>
          <w:sz w:val="24"/>
          <w:szCs w:val="24"/>
        </w:rPr>
        <w:t>Al-Qur’ān</w:t>
      </w:r>
      <w:r>
        <w:rPr>
          <w:rFonts w:ascii="Times New Roman" w:hAnsi="Times New Roman" w:cs="Times New Roman"/>
          <w:sz w:val="24"/>
          <w:szCs w:val="24"/>
        </w:rPr>
        <w:t xml:space="preserve"> dalam surat al-Talaq [65] ayat 2 yaitu :</w:t>
      </w:r>
    </w:p>
    <w:p w:rsidR="00343B61" w:rsidRDefault="00343B61" w:rsidP="00343B61">
      <w:pPr>
        <w:pStyle w:val="ListParagraph"/>
        <w:autoSpaceDE w:val="0"/>
        <w:autoSpaceDN w:val="0"/>
        <w:bidi/>
        <w:adjustRightInd w:val="0"/>
        <w:spacing w:after="0" w:line="240" w:lineRule="auto"/>
        <w:ind w:left="17" w:right="720"/>
        <w:jc w:val="both"/>
        <w:rPr>
          <w:rFonts w:ascii="(normal text)" w:hAnsi="(normal text)"/>
          <w:rtl/>
        </w:rPr>
      </w:pP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F8"/>
      </w:r>
      <w:r>
        <w:rPr>
          <w:sz w:val="28"/>
          <w:szCs w:val="28"/>
        </w:rPr>
        <w:sym w:font="HQPB1" w:char="F0F3"/>
      </w:r>
      <w:r>
        <w:rPr>
          <w:sz w:val="28"/>
          <w:szCs w:val="28"/>
        </w:rPr>
        <w:sym w:font="HQPB5" w:char="F06E"/>
      </w:r>
      <w:r>
        <w:rPr>
          <w:sz w:val="28"/>
          <w:szCs w:val="28"/>
        </w:rPr>
        <w:sym w:font="HQPB2" w:char="F03D"/>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DF"/>
      </w:r>
      <w:r>
        <w:rPr>
          <w:sz w:val="28"/>
          <w:szCs w:val="28"/>
        </w:rPr>
        <w:sym w:font="HQPB2" w:char="F067"/>
      </w:r>
      <w:r>
        <w:rPr>
          <w:sz w:val="28"/>
          <w:szCs w:val="28"/>
        </w:rPr>
        <w:sym w:font="HQPB5" w:char="F06E"/>
      </w:r>
      <w:r>
        <w:rPr>
          <w:sz w:val="28"/>
          <w:szCs w:val="28"/>
        </w:rPr>
        <w:sym w:font="HQPB2" w:char="F03D"/>
      </w:r>
      <w:r>
        <w:rPr>
          <w:sz w:val="28"/>
          <w:szCs w:val="28"/>
        </w:rPr>
        <w:sym w:font="HQPB5" w:char="F079"/>
      </w:r>
      <w:r>
        <w:rPr>
          <w:sz w:val="28"/>
          <w:szCs w:val="28"/>
        </w:rPr>
        <w:sym w:font="HQPB1" w:char="F05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4"/>
      </w:r>
      <w:r>
        <w:rPr>
          <w:sz w:val="28"/>
          <w:szCs w:val="28"/>
        </w:rPr>
        <w:sym w:font="HQPB2" w:char="F033"/>
      </w:r>
      <w:r>
        <w:rPr>
          <w:sz w:val="28"/>
          <w:szCs w:val="28"/>
        </w:rPr>
        <w:sym w:font="HQPB4" w:char="F0C5"/>
      </w:r>
      <w:r>
        <w:rPr>
          <w:sz w:val="28"/>
          <w:szCs w:val="28"/>
        </w:rPr>
        <w:sym w:font="HQPB1" w:char="F0A1"/>
      </w:r>
      <w:r>
        <w:rPr>
          <w:sz w:val="28"/>
          <w:szCs w:val="28"/>
        </w:rPr>
        <w:sym w:font="HQPB4" w:char="F0F8"/>
      </w:r>
      <w:r>
        <w:rPr>
          <w:sz w:val="28"/>
          <w:szCs w:val="28"/>
        </w:rPr>
        <w:sym w:font="HQPB2" w:char="F042"/>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E"/>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2" w:char="F025"/>
      </w:r>
      <w:r>
        <w:rPr>
          <w:sz w:val="28"/>
          <w:szCs w:val="28"/>
        </w:rPr>
        <w:sym w:font="HQPB4" w:char="F0CD"/>
      </w:r>
      <w:r>
        <w:rPr>
          <w:sz w:val="28"/>
          <w:szCs w:val="28"/>
        </w:rPr>
        <w:sym w:font="HQPB1" w:char="F091"/>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7"/>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4" w:char="F0CD"/>
      </w:r>
      <w:r>
        <w:rPr>
          <w:sz w:val="28"/>
          <w:szCs w:val="28"/>
        </w:rPr>
        <w:sym w:font="HQPB2" w:char="F06B"/>
      </w:r>
      <w:r>
        <w:rPr>
          <w:sz w:val="28"/>
          <w:szCs w:val="28"/>
        </w:rPr>
        <w:sym w:font="HQPB4" w:char="F0F4"/>
      </w:r>
      <w:r>
        <w:rPr>
          <w:sz w:val="28"/>
          <w:szCs w:val="28"/>
        </w:rPr>
        <w:sym w:font="HQPB1" w:char="F0A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4"/>
      </w:r>
      <w:r>
        <w:rPr>
          <w:sz w:val="28"/>
          <w:szCs w:val="28"/>
        </w:rPr>
        <w:sym w:font="HQPB2" w:char="F093"/>
      </w:r>
      <w:r>
        <w:rPr>
          <w:sz w:val="28"/>
          <w:szCs w:val="28"/>
        </w:rPr>
        <w:sym w:font="HQPB5" w:char="F075"/>
      </w:r>
      <w:r>
        <w:rPr>
          <w:sz w:val="28"/>
          <w:szCs w:val="28"/>
        </w:rPr>
        <w:sym w:font="HQPB2" w:char="F072"/>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35"/>
      </w:r>
      <w:r>
        <w:rPr>
          <w:sz w:val="28"/>
          <w:szCs w:val="28"/>
        </w:rPr>
        <w:sym w:font="HQPB2" w:char="F041"/>
      </w:r>
      <w:r>
        <w:rPr>
          <w:sz w:val="28"/>
          <w:szCs w:val="28"/>
        </w:rPr>
        <w:sym w:font="HQPB4" w:char="F0F4"/>
      </w:r>
      <w:r>
        <w:rPr>
          <w:sz w:val="28"/>
          <w:szCs w:val="28"/>
        </w:rPr>
        <w:sym w:font="HQPB1" w:char="F089"/>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2" w:char="F08A"/>
      </w:r>
      <w:r>
        <w:rPr>
          <w:sz w:val="28"/>
          <w:szCs w:val="28"/>
        </w:rPr>
        <w:sym w:font="HQPB4" w:char="F0CF"/>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79"/>
      </w:r>
      <w:r>
        <w:rPr>
          <w:sz w:val="28"/>
          <w:szCs w:val="28"/>
        </w:rPr>
        <w:sym w:font="HQPB1" w:char="F089"/>
      </w:r>
      <w:r>
        <w:rPr>
          <w:sz w:val="28"/>
          <w:szCs w:val="28"/>
        </w:rPr>
        <w:sym w:font="HQPB2" w:char="F0BB"/>
      </w:r>
      <w:r>
        <w:rPr>
          <w:sz w:val="28"/>
          <w:szCs w:val="28"/>
        </w:rPr>
        <w:sym w:font="HQPB5" w:char="F079"/>
      </w:r>
      <w:r>
        <w:rPr>
          <w:sz w:val="28"/>
          <w:szCs w:val="28"/>
        </w:rPr>
        <w:sym w:font="HQPB2" w:char="F067"/>
      </w:r>
      <w:r>
        <w:rPr>
          <w:sz w:val="28"/>
          <w:szCs w:val="28"/>
        </w:rPr>
        <w:sym w:font="HQPB4" w:char="F0A4"/>
      </w:r>
      <w:r>
        <w:rPr>
          <w:sz w:val="28"/>
          <w:szCs w:val="28"/>
        </w:rPr>
        <w:sym w:font="HQPB1" w:char="F0B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sidRPr="009D028C">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34"/>
      </w:r>
      <w:r>
        <w:rPr>
          <w:rFonts w:ascii="(normal text)" w:hAnsi="(normal text)"/>
          <w:rtl/>
        </w:rPr>
        <w:t xml:space="preserve"> </w:t>
      </w:r>
    </w:p>
    <w:p w:rsidR="00343B61" w:rsidRDefault="00343B61" w:rsidP="00343B61">
      <w:pPr>
        <w:pStyle w:val="ListParagraph"/>
        <w:autoSpaceDE w:val="0"/>
        <w:autoSpaceDN w:val="0"/>
        <w:adjustRightInd w:val="0"/>
        <w:spacing w:after="0" w:line="240" w:lineRule="auto"/>
        <w:ind w:left="1620"/>
        <w:jc w:val="both"/>
        <w:rPr>
          <w:rFonts w:asciiTheme="majorBidi" w:hAnsiTheme="majorBidi" w:cstheme="majorBidi"/>
          <w:sz w:val="24"/>
          <w:szCs w:val="24"/>
        </w:rPr>
      </w:pPr>
      <w:r w:rsidRPr="009D7D3A">
        <w:rPr>
          <w:rFonts w:asciiTheme="majorBidi" w:hAnsiTheme="majorBidi" w:cstheme="majorBidi"/>
          <w:sz w:val="24"/>
          <w:szCs w:val="24"/>
        </w:rPr>
        <w:t>Artinya</w:t>
      </w:r>
      <w:r w:rsidRPr="009D7D3A">
        <w:rPr>
          <w:rFonts w:asciiTheme="majorBidi" w:hAnsiTheme="majorBidi" w:cstheme="majorBidi"/>
          <w:i/>
          <w:iCs/>
          <w:sz w:val="24"/>
          <w:szCs w:val="24"/>
        </w:rPr>
        <w:t>: “Apabila mereka telah mendekati akhir iddahnya, Maka rujukilah mereka dengan baik atau lepaskanlah mereka dengan baik dan persaksikanlah dengan dua orang saksi yang adil di antara kamu dan hendaklah kamu tegakkan kesaksian itu karena Allah.”</w:t>
      </w:r>
      <w:r w:rsidRPr="009D7D3A">
        <w:rPr>
          <w:rFonts w:asciiTheme="majorBidi" w:hAnsiTheme="majorBidi" w:cstheme="majorBidi"/>
          <w:sz w:val="24"/>
          <w:szCs w:val="24"/>
        </w:rPr>
        <w:t xml:space="preserve"> ( QS. Al-Talaq</w:t>
      </w:r>
      <w:r>
        <w:rPr>
          <w:rFonts w:asciiTheme="majorBidi" w:hAnsiTheme="majorBidi" w:cstheme="majorBidi"/>
          <w:sz w:val="24"/>
          <w:szCs w:val="24"/>
        </w:rPr>
        <w:t xml:space="preserve"> [</w:t>
      </w:r>
      <w:r w:rsidRPr="009D7D3A">
        <w:rPr>
          <w:rFonts w:asciiTheme="majorBidi" w:hAnsiTheme="majorBidi" w:cstheme="majorBidi"/>
          <w:sz w:val="24"/>
          <w:szCs w:val="24"/>
        </w:rPr>
        <w:t>65]: 2)</w:t>
      </w:r>
      <w:r>
        <w:rPr>
          <w:rFonts w:asciiTheme="majorBidi" w:hAnsiTheme="majorBidi" w:cstheme="majorBidi"/>
          <w:sz w:val="24"/>
          <w:szCs w:val="24"/>
        </w:rPr>
        <w:t>.</w:t>
      </w:r>
      <w:r>
        <w:rPr>
          <w:rStyle w:val="FootnoteReference"/>
          <w:rFonts w:asciiTheme="majorBidi" w:hAnsiTheme="majorBidi" w:cstheme="majorBidi"/>
          <w:sz w:val="24"/>
          <w:szCs w:val="24"/>
        </w:rPr>
        <w:footnoteReference w:id="717"/>
      </w:r>
    </w:p>
    <w:p w:rsidR="00343B61" w:rsidRPr="003568D5" w:rsidRDefault="00343B61" w:rsidP="00343B61">
      <w:pPr>
        <w:pStyle w:val="ListParagraph"/>
        <w:autoSpaceDE w:val="0"/>
        <w:autoSpaceDN w:val="0"/>
        <w:adjustRightInd w:val="0"/>
        <w:spacing w:after="0" w:line="360" w:lineRule="auto"/>
        <w:ind w:left="1620"/>
        <w:jc w:val="both"/>
        <w:rPr>
          <w:rFonts w:asciiTheme="majorBidi" w:hAnsiTheme="majorBidi" w:cstheme="majorBidi"/>
          <w:sz w:val="24"/>
          <w:szCs w:val="24"/>
        </w:rPr>
      </w:pPr>
    </w:p>
    <w:p w:rsidR="00343B61" w:rsidRPr="00266E6C" w:rsidRDefault="00343B61" w:rsidP="00343B61">
      <w:pPr>
        <w:pStyle w:val="ListParagraph"/>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Imam Fakhr al-Din al-Razi saat menafsirkan ayat diatas beliau menyebutkan: </w:t>
      </w:r>
    </w:p>
    <w:p w:rsidR="00343B61" w:rsidRDefault="00343B61" w:rsidP="00343B61">
      <w:pPr>
        <w:pStyle w:val="ListParagraph"/>
        <w:autoSpaceDE w:val="0"/>
        <w:autoSpaceDN w:val="0"/>
        <w:bidi/>
        <w:adjustRightInd w:val="0"/>
        <w:spacing w:after="0" w:line="240" w:lineRule="auto"/>
        <w:ind w:left="17" w:right="720"/>
        <w:jc w:val="both"/>
        <w:rPr>
          <w:rFonts w:ascii="Arial" w:hAnsi="Arial"/>
          <w:color w:val="000000"/>
          <w:sz w:val="28"/>
          <w:szCs w:val="28"/>
        </w:rPr>
      </w:pPr>
      <w:r w:rsidRPr="00FB45C4">
        <w:rPr>
          <w:rFonts w:ascii="Arial" w:hAnsi="Arial" w:cs="Traditional Arabic"/>
          <w:color w:val="000000"/>
          <w:sz w:val="32"/>
          <w:szCs w:val="32"/>
          <w:rtl/>
        </w:rPr>
        <w:t xml:space="preserve">أي أمروا أن يشهدوا عند الطلاق وعند الرجعة ذوي عدل ، وهذا الإشهاد مندوب إليه عند أبي حنيفة كما في قوله : { وَأَشْهِدُواْ إِذَا تَبَايَعْتُمْ } [ البقرة : </w:t>
      </w:r>
      <w:r w:rsidRPr="00214C1B">
        <w:rPr>
          <w:rFonts w:ascii="Arial" w:hAnsi="Arial" w:cs="Traditional Arabic"/>
          <w:color w:val="000000"/>
          <w:sz w:val="24"/>
          <w:szCs w:val="24"/>
          <w:rtl/>
        </w:rPr>
        <w:t>282</w:t>
      </w:r>
      <w:r w:rsidRPr="00FB45C4">
        <w:rPr>
          <w:rFonts w:ascii="Arial" w:hAnsi="Arial" w:cs="Traditional Arabic"/>
          <w:color w:val="000000"/>
          <w:sz w:val="32"/>
          <w:szCs w:val="32"/>
          <w:rtl/>
        </w:rPr>
        <w:t xml:space="preserve"> ] وعند الشافعي هو واجب في الرجعة مندوب إليه في الفرقة</w:t>
      </w:r>
      <w:r>
        <w:rPr>
          <w:rFonts w:ascii="Arial" w:hAnsi="Arial" w:hint="cs"/>
          <w:color w:val="000000"/>
          <w:sz w:val="28"/>
          <w:szCs w:val="28"/>
          <w:rtl/>
        </w:rPr>
        <w:t xml:space="preserve"> </w:t>
      </w:r>
      <w:r>
        <w:rPr>
          <w:rStyle w:val="FootnoteReference"/>
          <w:rFonts w:ascii="Arial" w:hAnsi="Arial"/>
          <w:color w:val="000000"/>
          <w:sz w:val="28"/>
          <w:szCs w:val="28"/>
          <w:rtl/>
        </w:rPr>
        <w:footnoteReference w:id="718"/>
      </w:r>
    </w:p>
    <w:p w:rsidR="00343B61" w:rsidRDefault="00343B61" w:rsidP="00343B61">
      <w:pPr>
        <w:pStyle w:val="ListParagraph"/>
        <w:autoSpaceDE w:val="0"/>
        <w:autoSpaceDN w:val="0"/>
        <w:adjustRightInd w:val="0"/>
        <w:spacing w:after="0" w:line="240" w:lineRule="auto"/>
        <w:ind w:left="1440" w:right="17"/>
        <w:jc w:val="both"/>
        <w:rPr>
          <w:rStyle w:val="gen"/>
          <w:rFonts w:asciiTheme="majorBidi" w:hAnsiTheme="majorBidi" w:cstheme="majorBidi"/>
          <w:sz w:val="24"/>
          <w:szCs w:val="24"/>
          <w:rtl/>
        </w:rPr>
      </w:pPr>
      <w:r w:rsidRPr="00832DDA">
        <w:rPr>
          <w:rFonts w:asciiTheme="majorBidi" w:hAnsiTheme="majorBidi" w:cstheme="majorBidi"/>
          <w:color w:val="000000"/>
          <w:sz w:val="24"/>
          <w:szCs w:val="24"/>
        </w:rPr>
        <w:t xml:space="preserve">“ </w:t>
      </w:r>
      <w:r w:rsidRPr="00832DDA">
        <w:rPr>
          <w:rFonts w:asciiTheme="majorBidi" w:hAnsiTheme="majorBidi" w:cstheme="majorBidi"/>
          <w:i/>
          <w:iCs/>
          <w:color w:val="000000"/>
          <w:sz w:val="24"/>
          <w:szCs w:val="24"/>
        </w:rPr>
        <w:t xml:space="preserve">Artinya </w:t>
      </w:r>
      <w:r>
        <w:rPr>
          <w:rFonts w:asciiTheme="majorBidi" w:hAnsiTheme="majorBidi" w:cstheme="majorBidi"/>
          <w:i/>
          <w:iCs/>
          <w:color w:val="000000"/>
          <w:sz w:val="24"/>
          <w:szCs w:val="24"/>
        </w:rPr>
        <w:t>Al-Qur’ān</w:t>
      </w:r>
      <w:r w:rsidRPr="00832DDA">
        <w:rPr>
          <w:rFonts w:asciiTheme="majorBidi" w:hAnsiTheme="majorBidi" w:cstheme="majorBidi"/>
          <w:i/>
          <w:iCs/>
          <w:color w:val="000000"/>
          <w:sz w:val="24"/>
          <w:szCs w:val="24"/>
        </w:rPr>
        <w:t xml:space="preserve"> menyuruh untuk men</w:t>
      </w:r>
      <w:r>
        <w:rPr>
          <w:rFonts w:asciiTheme="majorBidi" w:hAnsiTheme="majorBidi" w:cstheme="majorBidi"/>
          <w:i/>
          <w:iCs/>
          <w:color w:val="000000"/>
          <w:sz w:val="24"/>
          <w:szCs w:val="24"/>
        </w:rPr>
        <w:t>g</w:t>
      </w:r>
      <w:r w:rsidRPr="00832DDA">
        <w:rPr>
          <w:rFonts w:asciiTheme="majorBidi" w:hAnsiTheme="majorBidi" w:cstheme="majorBidi"/>
          <w:i/>
          <w:iCs/>
          <w:color w:val="000000"/>
          <w:sz w:val="24"/>
          <w:szCs w:val="24"/>
        </w:rPr>
        <w:t>hadirkan dua orang saksi yang adil saat terjadi talak dan ruju’, kesaksian ini hukumnya sunat menurut Mazhab Hanafi, sebagaimana firman Allah: “</w:t>
      </w:r>
      <w:r w:rsidRPr="00832DDA">
        <w:rPr>
          <w:rStyle w:val="gen"/>
          <w:rFonts w:asciiTheme="majorBidi" w:hAnsiTheme="majorBidi" w:cstheme="majorBidi"/>
          <w:i/>
          <w:iCs/>
          <w:sz w:val="24"/>
          <w:szCs w:val="24"/>
        </w:rPr>
        <w:t>Dan persaksikanlah apabila kamu berjual beli”. Sementara menurut Syafi’i menghadirkan saksi wajib saat rujuk, dan sunat saat perceraiannya</w:t>
      </w:r>
      <w:r w:rsidRPr="00832DDA">
        <w:rPr>
          <w:rStyle w:val="gen"/>
          <w:rFonts w:asciiTheme="majorBidi" w:hAnsiTheme="majorBidi" w:cstheme="majorBidi"/>
          <w:sz w:val="24"/>
          <w:szCs w:val="24"/>
        </w:rPr>
        <w:t xml:space="preserve">” </w:t>
      </w:r>
    </w:p>
    <w:p w:rsidR="00343B61" w:rsidRPr="003568D5" w:rsidRDefault="00343B61" w:rsidP="00343B61">
      <w:pPr>
        <w:pStyle w:val="ListParagraph"/>
        <w:autoSpaceDE w:val="0"/>
        <w:autoSpaceDN w:val="0"/>
        <w:adjustRightInd w:val="0"/>
        <w:spacing w:after="0" w:line="240" w:lineRule="auto"/>
        <w:ind w:left="1440" w:right="17"/>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ayat diatas, Ulama Syi’ah Imamiyah berpendapat bahwa kehadiran dua orang saksi waktu pelaksanaan talak merupakan syarat yang mesti dipenuhi, perceraian yang tidak dipersaksikan dua orang saksi adalah tidak sah. Namun jumhur ulama tidak mewajibkan hadirnya dua orang saksi dalam perceraian, walaupun ayat diatas secara jelas menyuruh mengemukakan kesaksian saat terjadi ruju’ dan percerain. Bagi jumhur ulama mempersaksikan itu hanya sunnah.</w:t>
      </w:r>
      <w:r>
        <w:rPr>
          <w:rStyle w:val="FootnoteReference"/>
          <w:rFonts w:ascii="Times New Roman" w:hAnsi="Times New Roman" w:cs="Times New Roman"/>
          <w:sz w:val="24"/>
          <w:szCs w:val="24"/>
        </w:rPr>
        <w:footnoteReference w:id="719"/>
      </w:r>
      <w:r>
        <w:rPr>
          <w:rFonts w:ascii="Times New Roman" w:hAnsi="Times New Roman" w:cs="Times New Roman"/>
          <w:sz w:val="24"/>
          <w:szCs w:val="24"/>
        </w:rPr>
        <w:t xml:space="preserve"> </w:t>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Sayid Sabiq mempersaksikan talak hukumnya wajib dan merupakan syarat sahnya, sebagaimana Ali bin Abi Thalib r.a pernah berkata kepada orang yang pernah bertanya kepadanya tentang talak. Katanya: Apakah engkau persaksikan kepada dua orang laki-laki yang adil sebagaiamana perintah Allah dalam </w:t>
      </w:r>
      <w:r w:rsidRPr="00C5438A">
        <w:rPr>
          <w:rFonts w:asciiTheme="majorBidi" w:hAnsiTheme="majorBidi" w:cstheme="majorBidi"/>
          <w:sz w:val="24"/>
          <w:szCs w:val="24"/>
        </w:rPr>
        <w:t>Al-Qur’ān</w:t>
      </w:r>
      <w:r>
        <w:rPr>
          <w:rFonts w:ascii="Times New Roman" w:hAnsi="Times New Roman" w:cs="Times New Roman"/>
          <w:sz w:val="24"/>
          <w:szCs w:val="24"/>
        </w:rPr>
        <w:t>? Jawabnya: Tidak. Lalu Ali berakata: Pulanglah, talakmu itu bukan talak yang sah.”</w:t>
      </w:r>
      <w:r>
        <w:rPr>
          <w:rStyle w:val="FootnoteReference"/>
          <w:rFonts w:ascii="Times New Roman" w:hAnsi="Times New Roman" w:cs="Times New Roman"/>
          <w:sz w:val="24"/>
          <w:szCs w:val="24"/>
        </w:rPr>
        <w:footnoteReference w:id="720"/>
      </w:r>
    </w:p>
    <w:p w:rsidR="00343B61" w:rsidRDefault="00343B61" w:rsidP="00343B6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Undang-undang Perkawinan di dunia Islam sekarang telah menetapkan percerain itu mesti di pengadilan adalah sejalan dengan pandangan ulam Syi’ah. Hanya tempat dilaksanakannya kesaksian itu yang telak di modifikasi, yaitu mesti di pengadilan. </w:t>
      </w:r>
    </w:p>
    <w:p w:rsidR="00343B61" w:rsidRPr="00FE5B5B" w:rsidRDefault="00343B61" w:rsidP="002C0A33">
      <w:pPr>
        <w:pStyle w:val="ListParagraph"/>
        <w:numPr>
          <w:ilvl w:val="0"/>
          <w:numId w:val="55"/>
        </w:numPr>
        <w:tabs>
          <w:tab w:val="left" w:pos="1800"/>
        </w:tabs>
        <w:spacing w:line="360" w:lineRule="auto"/>
        <w:ind w:left="720"/>
        <w:jc w:val="both"/>
        <w:rPr>
          <w:rFonts w:asciiTheme="majorBidi" w:hAnsiTheme="majorBidi" w:cstheme="majorBidi"/>
          <w:sz w:val="24"/>
          <w:szCs w:val="24"/>
          <w:lang w:val="sv-SE"/>
        </w:rPr>
      </w:pPr>
      <w:r w:rsidRPr="00FE5B5B">
        <w:rPr>
          <w:rFonts w:asciiTheme="majorBidi" w:hAnsiTheme="majorBidi" w:cstheme="majorBidi"/>
          <w:sz w:val="24"/>
          <w:szCs w:val="24"/>
          <w:lang w:val="sv-SE"/>
        </w:rPr>
        <w:lastRenderedPageBreak/>
        <w:t>Fatwa Ijtima’ Ulama MUI IV Tentang Talak diluar Pengadilan</w:t>
      </w:r>
    </w:p>
    <w:p w:rsidR="00343B61" w:rsidRPr="00234D3A"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234D3A">
        <w:rPr>
          <w:rFonts w:ascii="Times New Roman" w:hAnsi="Times New Roman" w:cs="Times New Roman"/>
          <w:sz w:val="24"/>
          <w:szCs w:val="24"/>
          <w:lang w:val="sv-SE"/>
        </w:rPr>
        <w:t>Talak di luar pengadilan yang dimaksud dalam fatwa ini adalah talak atau perceraian yang telah memenuhi semua syarat dan rukun talak yang ditetapkan dalam syariat Islam, namun tanpa penetapan resmi dari instansi berwenang sebagaimana yang diatur dalam perundang-undangan.</w:t>
      </w:r>
      <w:r>
        <w:rPr>
          <w:rStyle w:val="FootnoteReference"/>
          <w:rFonts w:ascii="Times New Roman" w:hAnsi="Times New Roman" w:cs="Times New Roman"/>
          <w:sz w:val="24"/>
          <w:szCs w:val="24"/>
        </w:rPr>
        <w:footnoteReference w:id="721"/>
      </w:r>
    </w:p>
    <w:p w:rsidR="00343B61" w:rsidRPr="00975508"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975508">
        <w:rPr>
          <w:rFonts w:ascii="Times New Roman" w:hAnsi="Times New Roman" w:cs="Times New Roman"/>
          <w:sz w:val="24"/>
          <w:szCs w:val="24"/>
          <w:lang w:val="sv-SE"/>
        </w:rPr>
        <w:t xml:space="preserve">Diktum putusan fatwa tentang Talak Di Luar Pengadilan ini memuat tiga poin; i) Talak di luar pengadilan hukumnya sah sepanjang dilakukan sesuai ketentuan fiqih, tetapi haram jika terdapat </w:t>
      </w:r>
      <w:r w:rsidRPr="00975508">
        <w:rPr>
          <w:rFonts w:ascii="Times New Roman" w:hAnsi="Times New Roman" w:cs="Times New Roman"/>
          <w:i/>
          <w:iCs/>
          <w:sz w:val="24"/>
          <w:szCs w:val="24"/>
          <w:lang w:val="sv-SE"/>
        </w:rPr>
        <w:t>madharat</w:t>
      </w:r>
      <w:r w:rsidRPr="00975508">
        <w:rPr>
          <w:rFonts w:ascii="Times New Roman" w:hAnsi="Times New Roman" w:cs="Times New Roman"/>
          <w:sz w:val="24"/>
          <w:szCs w:val="24"/>
          <w:lang w:val="sv-SE"/>
        </w:rPr>
        <w:t xml:space="preserve">. ii) </w:t>
      </w:r>
      <w:r w:rsidRPr="00975508">
        <w:rPr>
          <w:rFonts w:ascii="Times New Roman" w:hAnsi="Times New Roman" w:cs="Times New Roman"/>
          <w:i/>
          <w:iCs/>
          <w:sz w:val="24"/>
          <w:szCs w:val="24"/>
          <w:lang w:val="sv-SE"/>
        </w:rPr>
        <w:t xml:space="preserve">Iddah </w:t>
      </w:r>
      <w:r w:rsidRPr="00975508">
        <w:rPr>
          <w:rFonts w:ascii="Times New Roman" w:hAnsi="Times New Roman" w:cs="Times New Roman"/>
          <w:sz w:val="24"/>
          <w:szCs w:val="24"/>
          <w:lang w:val="sv-SE"/>
        </w:rPr>
        <w:t xml:space="preserve">talak dihitung semenjak suami menjatuhkan talak. iii) Untuk kepentingan kemaslahatan dan menjamin kepastian hukum, talak di luar pengadilan harus dilaporkan ( </w:t>
      </w:r>
      <w:r w:rsidRPr="00975508">
        <w:rPr>
          <w:rFonts w:ascii="Times New Roman" w:hAnsi="Times New Roman" w:cs="Times New Roman"/>
          <w:i/>
          <w:iCs/>
          <w:sz w:val="24"/>
          <w:szCs w:val="24"/>
          <w:lang w:val="sv-SE"/>
        </w:rPr>
        <w:t>ikhbar</w:t>
      </w:r>
      <w:r w:rsidRPr="00975508">
        <w:rPr>
          <w:rFonts w:ascii="Times New Roman" w:hAnsi="Times New Roman" w:cs="Times New Roman"/>
          <w:sz w:val="24"/>
          <w:szCs w:val="24"/>
          <w:lang w:val="sv-SE"/>
        </w:rPr>
        <w:t xml:space="preserve">) kepada pengadilan agama. </w:t>
      </w:r>
      <w:r>
        <w:rPr>
          <w:rStyle w:val="FootnoteReference"/>
          <w:rFonts w:ascii="Times New Roman" w:hAnsi="Times New Roman" w:cs="Times New Roman"/>
          <w:sz w:val="24"/>
          <w:szCs w:val="24"/>
        </w:rPr>
        <w:footnoteReference w:id="722"/>
      </w:r>
    </w:p>
    <w:p w:rsidR="00343B61" w:rsidRPr="00793C28"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793C28">
        <w:rPr>
          <w:rFonts w:ascii="Times New Roman" w:hAnsi="Times New Roman" w:cs="Times New Roman"/>
          <w:sz w:val="24"/>
          <w:szCs w:val="24"/>
          <w:lang w:val="sv-SE"/>
        </w:rPr>
        <w:t xml:space="preserve">Adapun dalil yang dibuat MUI sebagai dasar penetapan fatwa ini adalah berupa tiga ayat </w:t>
      </w:r>
      <w:r w:rsidRPr="00793C28">
        <w:rPr>
          <w:rFonts w:asciiTheme="majorBidi" w:hAnsiTheme="majorBidi" w:cstheme="majorBidi"/>
          <w:sz w:val="24"/>
          <w:szCs w:val="24"/>
          <w:lang w:val="sv-SE"/>
        </w:rPr>
        <w:t>Al-Qur’ān</w:t>
      </w:r>
      <w:r w:rsidRPr="00793C28">
        <w:rPr>
          <w:rFonts w:ascii="Times New Roman" w:hAnsi="Times New Roman" w:cs="Times New Roman"/>
          <w:sz w:val="24"/>
          <w:szCs w:val="24"/>
          <w:lang w:val="sv-SE"/>
        </w:rPr>
        <w:t>, dua hadis Nabi Saw serta lima kaidah fiqhiyah, yaitu:</w:t>
      </w: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1B531D">
        <w:rPr>
          <w:rFonts w:ascii="Times New Roman" w:hAnsi="Times New Roman" w:cs="Times New Roman"/>
          <w:sz w:val="24"/>
          <w:szCs w:val="24"/>
        </w:rPr>
        <w:t xml:space="preserve">. Firman Allah SWT dalam surat </w:t>
      </w:r>
      <w:r>
        <w:rPr>
          <w:rFonts w:ascii="Times New Roman" w:hAnsi="Times New Roman" w:cs="Times New Roman"/>
          <w:sz w:val="24"/>
          <w:szCs w:val="24"/>
        </w:rPr>
        <w:t>Al-Thalak [65] ayat 1 yaitu:</w:t>
      </w:r>
    </w:p>
    <w:p w:rsidR="00343B61" w:rsidRPr="004833BC" w:rsidRDefault="00343B61" w:rsidP="00343B61">
      <w:pPr>
        <w:bidi/>
        <w:spacing w:after="0" w:line="240" w:lineRule="auto"/>
        <w:jc w:val="both"/>
        <w:rPr>
          <w:rFonts w:ascii="Adobe نسخ Medium" w:hAnsi="Adobe نسخ Medium" w:cs="Adobe نسخ Medium"/>
          <w:sz w:val="32"/>
          <w:szCs w:val="32"/>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90"/>
      </w:r>
      <w:r>
        <w:rPr>
          <w:sz w:val="28"/>
          <w:szCs w:val="28"/>
        </w:rPr>
        <w:sym w:font="HQPB2" w:char="F0D3"/>
      </w:r>
      <w:r>
        <w:rPr>
          <w:sz w:val="28"/>
          <w:szCs w:val="28"/>
        </w:rPr>
        <w:sym w:font="HQPB4" w:char="F0C9"/>
      </w:r>
      <w:r>
        <w:rPr>
          <w:sz w:val="28"/>
          <w:szCs w:val="28"/>
        </w:rPr>
        <w:sym w:font="HQPB1" w:char="F03C"/>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4" w:char="F0F8"/>
      </w:r>
      <w:r>
        <w:rPr>
          <w:sz w:val="28"/>
          <w:szCs w:val="28"/>
        </w:rPr>
        <w:sym w:font="HQPB2" w:char="F029"/>
      </w:r>
      <w:r>
        <w:rPr>
          <w:sz w:val="28"/>
          <w:szCs w:val="28"/>
        </w:rPr>
        <w:sym w:font="HQPB4" w:char="F0AF"/>
      </w:r>
      <w:r>
        <w:rPr>
          <w:sz w:val="28"/>
          <w:szCs w:val="28"/>
        </w:rPr>
        <w:sym w:font="HQPB2" w:char="F03D"/>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4" w:char="F06B"/>
      </w:r>
      <w:r>
        <w:rPr>
          <w:sz w:val="28"/>
          <w:szCs w:val="28"/>
        </w:rPr>
        <w:sym w:font="HQPB2" w:char="F03D"/>
      </w:r>
      <w:r>
        <w:rPr>
          <w:sz w:val="28"/>
          <w:szCs w:val="28"/>
        </w:rPr>
        <w:sym w:font="HQPB5" w:char="F073"/>
      </w:r>
      <w:r>
        <w:rPr>
          <w:sz w:val="28"/>
          <w:szCs w:val="28"/>
        </w:rPr>
        <w:sym w:font="HQPB1" w:char="F0DC"/>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CD"/>
      </w:r>
      <w:r>
        <w:rPr>
          <w:sz w:val="28"/>
          <w:szCs w:val="28"/>
        </w:rPr>
        <w:sym w:font="HQPB2" w:char="F06B"/>
      </w:r>
      <w:r>
        <w:rPr>
          <w:sz w:val="28"/>
          <w:szCs w:val="28"/>
        </w:rPr>
        <w:sym w:font="HQPB4" w:char="F0CC"/>
      </w:r>
      <w:r>
        <w:rPr>
          <w:sz w:val="28"/>
          <w:szCs w:val="28"/>
        </w:rPr>
        <w:sym w:font="HQPB1" w:char="F045"/>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C1"/>
      </w:r>
      <w:r>
        <w:rPr>
          <w:sz w:val="28"/>
          <w:szCs w:val="28"/>
        </w:rPr>
        <w:sym w:font="HQPB4" w:char="F0F4"/>
      </w:r>
      <w:r>
        <w:rPr>
          <w:sz w:val="28"/>
          <w:szCs w:val="28"/>
        </w:rPr>
        <w:sym w:font="HQPB1" w:char="F06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4" w:char="F0A3"/>
      </w:r>
      <w:r>
        <w:rPr>
          <w:sz w:val="28"/>
          <w:szCs w:val="28"/>
        </w:rPr>
        <w:sym w:font="HQPB1" w:char="F089"/>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8"/>
      </w:r>
      <w:r>
        <w:rPr>
          <w:sz w:val="28"/>
          <w:szCs w:val="28"/>
        </w:rPr>
        <w:sym w:font="HQPB1" w:char="F03F"/>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sidRPr="009D028C">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A0"/>
      </w:r>
      <w:r>
        <w:rPr>
          <w:sz w:val="28"/>
          <w:szCs w:val="28"/>
        </w:rPr>
        <w:sym w:font="HQPB2" w:char="F0C6"/>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1" w:char="F05F"/>
      </w:r>
      <w:r>
        <w:rPr>
          <w:sz w:val="28"/>
          <w:szCs w:val="28"/>
        </w:rPr>
        <w:sym w:font="HQPB4" w:char="F0CC"/>
      </w:r>
      <w:r>
        <w:rPr>
          <w:sz w:val="28"/>
          <w:szCs w:val="28"/>
        </w:rPr>
        <w:sym w:font="HQPB1" w:char="F08D"/>
      </w:r>
      <w:r>
        <w:rPr>
          <w:sz w:val="28"/>
          <w:szCs w:val="28"/>
        </w:rPr>
        <w:sym w:font="HQPB4" w:char="F0F8"/>
      </w:r>
      <w:r>
        <w:rPr>
          <w:sz w:val="28"/>
          <w:szCs w:val="28"/>
        </w:rPr>
        <w:sym w:font="HQPB1" w:char="F083"/>
      </w:r>
      <w:r>
        <w:rPr>
          <w:sz w:val="28"/>
          <w:szCs w:val="28"/>
        </w:rPr>
        <w:sym w:font="HQPB4" w:char="F0E9"/>
      </w:r>
      <w:r>
        <w:rPr>
          <w:sz w:val="28"/>
          <w:szCs w:val="28"/>
        </w:rPr>
        <w:sym w:font="HQPB1" w:char="F042"/>
      </w:r>
      <w:r>
        <w:rPr>
          <w:rFonts w:ascii="(normal text)" w:hAnsi="(normal text)"/>
          <w:rtl/>
        </w:rPr>
        <w:t xml:space="preserve"> </w:t>
      </w:r>
      <w:r>
        <w:rPr>
          <w:sz w:val="28"/>
          <w:szCs w:val="28"/>
        </w:rPr>
        <w:sym w:font="HQPB5" w:char="F02E"/>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E"/>
      </w:r>
      <w:r>
        <w:rPr>
          <w:sz w:val="28"/>
          <w:szCs w:val="28"/>
        </w:rPr>
        <w:sym w:font="HQPB2" w:char="F067"/>
      </w:r>
      <w:r>
        <w:rPr>
          <w:sz w:val="28"/>
          <w:szCs w:val="28"/>
        </w:rPr>
        <w:sym w:font="HQPB4" w:char="F0CF"/>
      </w:r>
      <w:r>
        <w:rPr>
          <w:sz w:val="28"/>
          <w:szCs w:val="28"/>
        </w:rPr>
        <w:sym w:font="HQPB1" w:char="F03F"/>
      </w:r>
      <w:r>
        <w:rPr>
          <w:sz w:val="28"/>
          <w:szCs w:val="28"/>
        </w:rPr>
        <w:sym w:font="HQPB2" w:char="F071"/>
      </w:r>
      <w:r>
        <w:rPr>
          <w:sz w:val="28"/>
          <w:szCs w:val="28"/>
        </w:rPr>
        <w:sym w:font="HQPB4" w:char="F0E3"/>
      </w:r>
      <w:r>
        <w:rPr>
          <w:sz w:val="28"/>
          <w:szCs w:val="28"/>
        </w:rPr>
        <w:sym w:font="HQPB2" w:char="F08B"/>
      </w:r>
      <w:r>
        <w:rPr>
          <w:sz w:val="28"/>
          <w:szCs w:val="28"/>
        </w:rPr>
        <w:sym w:font="HQPB4" w:char="F0E7"/>
      </w:r>
      <w:r>
        <w:rPr>
          <w:sz w:val="28"/>
          <w:szCs w:val="28"/>
        </w:rPr>
        <w:sym w:font="HQPB1" w:char="F02F"/>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C6"/>
      </w:r>
      <w:r>
        <w:rPr>
          <w:sz w:val="28"/>
          <w:szCs w:val="28"/>
        </w:rPr>
        <w:sym w:font="HQPB4" w:char="F0F4"/>
      </w:r>
      <w:r>
        <w:rPr>
          <w:sz w:val="28"/>
          <w:szCs w:val="28"/>
        </w:rPr>
        <w:sym w:font="HQPB1" w:char="F05F"/>
      </w:r>
      <w:r>
        <w:rPr>
          <w:sz w:val="28"/>
          <w:szCs w:val="28"/>
        </w:rPr>
        <w:sym w:font="HQPB4" w:char="F0E3"/>
      </w:r>
      <w:r>
        <w:rPr>
          <w:sz w:val="28"/>
          <w:szCs w:val="28"/>
        </w:rPr>
        <w:sym w:font="HQPB1" w:char="F08D"/>
      </w:r>
      <w:r>
        <w:rPr>
          <w:sz w:val="28"/>
          <w:szCs w:val="28"/>
        </w:rPr>
        <w:sym w:font="HQPB4" w:char="F0F8"/>
      </w:r>
      <w:r>
        <w:rPr>
          <w:sz w:val="28"/>
          <w:szCs w:val="28"/>
        </w:rPr>
        <w:sym w:font="HQPB1" w:char="F083"/>
      </w:r>
      <w:r>
        <w:rPr>
          <w:sz w:val="28"/>
          <w:szCs w:val="28"/>
        </w:rPr>
        <w:sym w:font="HQPB5" w:char="F073"/>
      </w:r>
      <w:r>
        <w:rPr>
          <w:sz w:val="28"/>
          <w:szCs w:val="28"/>
        </w:rPr>
        <w:sym w:font="HQPB2" w:char="F086"/>
      </w:r>
      <w:r>
        <w:rPr>
          <w:rFonts w:ascii="(normal text)" w:hAnsi="(normal text)"/>
          <w:rtl/>
        </w:rPr>
        <w:t xml:space="preserve"> </w:t>
      </w:r>
      <w:r>
        <w:rPr>
          <w:sz w:val="28"/>
          <w:szCs w:val="28"/>
        </w:rPr>
        <w:sym w:font="HQPB5" w:char="F048"/>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1" w:char="F03F"/>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4"/>
      </w:r>
      <w:r>
        <w:rPr>
          <w:sz w:val="28"/>
          <w:szCs w:val="28"/>
        </w:rPr>
        <w:sym w:font="HQPB1" w:char="F0B1"/>
      </w:r>
      <w:r>
        <w:rPr>
          <w:sz w:val="28"/>
          <w:szCs w:val="28"/>
        </w:rPr>
        <w:sym w:font="HQPB4" w:char="F0C5"/>
      </w:r>
      <w:r>
        <w:rPr>
          <w:sz w:val="28"/>
          <w:szCs w:val="28"/>
        </w:rPr>
        <w:sym w:font="HQPB1" w:char="F073"/>
      </w:r>
      <w:r>
        <w:rPr>
          <w:sz w:val="28"/>
          <w:szCs w:val="28"/>
        </w:rPr>
        <w:sym w:font="HQPB2" w:char="F0BB"/>
      </w:r>
      <w:r>
        <w:rPr>
          <w:sz w:val="28"/>
          <w:szCs w:val="28"/>
        </w:rPr>
        <w:sym w:font="HQPB5" w:char="F078"/>
      </w:r>
      <w:r>
        <w:rPr>
          <w:sz w:val="28"/>
          <w:szCs w:val="28"/>
        </w:rPr>
        <w:sym w:font="HQPB1" w:char="F0FF"/>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5"/>
      </w:r>
      <w:r>
        <w:rPr>
          <w:sz w:val="28"/>
          <w:szCs w:val="28"/>
        </w:rPr>
        <w:sym w:font="HQPB2" w:char="F05A"/>
      </w:r>
      <w:r>
        <w:rPr>
          <w:sz w:val="28"/>
          <w:szCs w:val="28"/>
        </w:rPr>
        <w:sym w:font="HQPB4" w:char="F0C9"/>
      </w:r>
      <w:r>
        <w:rPr>
          <w:sz w:val="28"/>
          <w:szCs w:val="28"/>
        </w:rPr>
        <w:sym w:font="HQPB4" w:char="F069"/>
      </w:r>
      <w:r>
        <w:rPr>
          <w:sz w:val="28"/>
          <w:szCs w:val="28"/>
        </w:rPr>
        <w:sym w:font="HQPB2" w:char="F08F"/>
      </w:r>
      <w:r>
        <w:rPr>
          <w:sz w:val="28"/>
          <w:szCs w:val="28"/>
        </w:rPr>
        <w:sym w:font="HQPB5" w:char="F074"/>
      </w:r>
      <w:r>
        <w:rPr>
          <w:sz w:val="28"/>
          <w:szCs w:val="28"/>
        </w:rPr>
        <w:sym w:font="HQPB1" w:char="F037"/>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F9"/>
      </w:r>
      <w:r>
        <w:rPr>
          <w:sz w:val="28"/>
          <w:szCs w:val="28"/>
        </w:rPr>
        <w:sym w:font="HQPB2" w:char="F03D"/>
      </w:r>
      <w:r>
        <w:rPr>
          <w:sz w:val="28"/>
          <w:szCs w:val="28"/>
        </w:rPr>
        <w:sym w:font="HQPB4" w:char="F0CF"/>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F"/>
      </w:r>
      <w:r>
        <w:rPr>
          <w:sz w:val="28"/>
          <w:szCs w:val="28"/>
        </w:rPr>
        <w:sym w:font="HQPB1" w:char="F08A"/>
      </w:r>
      <w:r>
        <w:rPr>
          <w:sz w:val="28"/>
          <w:szCs w:val="28"/>
        </w:rPr>
        <w:sym w:font="HQPB2" w:char="F072"/>
      </w:r>
      <w:r>
        <w:rPr>
          <w:sz w:val="28"/>
          <w:szCs w:val="28"/>
        </w:rPr>
        <w:sym w:font="HQPB4" w:char="F0DF"/>
      </w:r>
      <w:r>
        <w:rPr>
          <w:sz w:val="28"/>
          <w:szCs w:val="28"/>
        </w:rPr>
        <w:sym w:font="HQPB1" w:char="F089"/>
      </w:r>
      <w:r>
        <w:rPr>
          <w:sz w:val="28"/>
          <w:szCs w:val="28"/>
        </w:rPr>
        <w:sym w:font="HQPB4" w:char="F0E3"/>
      </w:r>
      <w:r>
        <w:rPr>
          <w:sz w:val="28"/>
          <w:szCs w:val="28"/>
        </w:rPr>
        <w:sym w:font="HQPB1" w:char="F06E"/>
      </w:r>
      <w:r>
        <w:rPr>
          <w:rFonts w:ascii="(normal text)" w:hAnsi="(normal text)"/>
          <w:rtl/>
        </w:rPr>
        <w:t xml:space="preserve"> </w:t>
      </w:r>
      <w:r w:rsidRPr="009D028C">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3"/>
      </w:r>
      <w:r>
        <w:rPr>
          <w:sz w:val="28"/>
          <w:szCs w:val="28"/>
        </w:rPr>
        <w:sym w:font="HQPB1" w:char="F089"/>
      </w:r>
      <w:r>
        <w:rPr>
          <w:sz w:val="28"/>
          <w:szCs w:val="28"/>
        </w:rPr>
        <w:sym w:font="HQPB5" w:char="F079"/>
      </w:r>
      <w:r>
        <w:rPr>
          <w:sz w:val="28"/>
          <w:szCs w:val="28"/>
        </w:rPr>
        <w:sym w:font="HQPB1" w:char="F0E8"/>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1" w:char="F08A"/>
      </w:r>
      <w:r>
        <w:rPr>
          <w:sz w:val="28"/>
          <w:szCs w:val="28"/>
        </w:rPr>
        <w:sym w:font="HQPB2" w:char="F072"/>
      </w:r>
      <w:r>
        <w:rPr>
          <w:sz w:val="28"/>
          <w:szCs w:val="28"/>
        </w:rPr>
        <w:sym w:font="HQPB4" w:char="F0DF"/>
      </w:r>
      <w:r>
        <w:rPr>
          <w:sz w:val="28"/>
          <w:szCs w:val="28"/>
        </w:rPr>
        <w:sym w:font="HQPB1" w:char="F089"/>
      </w:r>
      <w:r>
        <w:rPr>
          <w:sz w:val="28"/>
          <w:szCs w:val="28"/>
        </w:rPr>
        <w:sym w:font="HQPB4" w:char="F0E3"/>
      </w:r>
      <w:r>
        <w:rPr>
          <w:sz w:val="28"/>
          <w:szCs w:val="28"/>
        </w:rPr>
        <w:sym w:font="HQPB1" w:char="F06E"/>
      </w:r>
      <w:r>
        <w:rPr>
          <w:rFonts w:ascii="(normal text)" w:hAnsi="(normal text)"/>
          <w:rtl/>
        </w:rPr>
        <w:t xml:space="preserve"> </w:t>
      </w:r>
      <w:r>
        <w:rPr>
          <w:sz w:val="28"/>
          <w:szCs w:val="28"/>
        </w:rPr>
        <w:sym w:font="HQPB5" w:char="F0AB"/>
      </w:r>
      <w:r w:rsidRPr="004833BC">
        <w:rPr>
          <w:rFonts w:ascii="Adobe نسخ Medium" w:hAnsi="Adobe نسخ Medium" w:cs="Adobe نسخ Medium"/>
          <w:sz w:val="32"/>
          <w:szCs w:val="32"/>
          <w:rtl/>
        </w:rPr>
        <w:t xml:space="preserve"> </w:t>
      </w:r>
      <w:r w:rsidRPr="009D028C">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A"/>
      </w:r>
      <w:r>
        <w:rPr>
          <w:sz w:val="28"/>
          <w:szCs w:val="28"/>
        </w:rPr>
        <w:sym w:font="HQPB2" w:char="F04E"/>
      </w:r>
      <w:r>
        <w:rPr>
          <w:sz w:val="28"/>
          <w:szCs w:val="28"/>
        </w:rPr>
        <w:sym w:font="HQPB5" w:char="F06E"/>
      </w:r>
      <w:r>
        <w:rPr>
          <w:sz w:val="28"/>
          <w:szCs w:val="28"/>
        </w:rPr>
        <w:sym w:font="HQPB2" w:char="F03D"/>
      </w:r>
      <w:r>
        <w:rPr>
          <w:sz w:val="28"/>
          <w:szCs w:val="28"/>
        </w:rPr>
        <w:sym w:font="HQPB5" w:char="F073"/>
      </w:r>
      <w:r>
        <w:rPr>
          <w:sz w:val="28"/>
          <w:szCs w:val="28"/>
        </w:rPr>
        <w:sym w:font="HQPB1" w:char="F0DF"/>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C"/>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2" w:char="F093"/>
      </w:r>
      <w:r>
        <w:rPr>
          <w:sz w:val="28"/>
          <w:szCs w:val="28"/>
        </w:rPr>
        <w:sym w:font="HQPB4" w:char="F0CD"/>
      </w:r>
      <w:r>
        <w:rPr>
          <w:sz w:val="28"/>
          <w:szCs w:val="28"/>
        </w:rPr>
        <w:sym w:font="HQPB1" w:char="F091"/>
      </w:r>
      <w:r>
        <w:rPr>
          <w:sz w:val="28"/>
          <w:szCs w:val="28"/>
        </w:rPr>
        <w:sym w:font="HQPB4" w:char="F0F4"/>
      </w:r>
      <w:r>
        <w:rPr>
          <w:sz w:val="28"/>
          <w:szCs w:val="28"/>
        </w:rPr>
        <w:sym w:font="HQPB1" w:char="F089"/>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A8"/>
      </w:r>
      <w:r>
        <w:rPr>
          <w:sz w:val="28"/>
          <w:szCs w:val="28"/>
        </w:rPr>
        <w:sym w:font="HQPB2" w:char="F040"/>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A9"/>
      </w:r>
      <w:r w:rsidRPr="004833BC">
        <w:rPr>
          <w:rFonts w:ascii="Adobe نسخ Medium" w:hAnsi="Adobe نسخ Medium" w:cs="Adobe نسخ Medium"/>
          <w:sz w:val="32"/>
          <w:szCs w:val="32"/>
          <w:rtl/>
        </w:rPr>
        <w:t xml:space="preserve"> </w:t>
      </w:r>
      <w:r w:rsidRPr="009D028C">
        <w:rPr>
          <w:rFonts w:ascii="Adobe نسخ Medium" w:hAnsi="Adobe نسخ Medium" w:cs="Adobe نسخ Medium"/>
          <w:sz w:val="32"/>
          <w:szCs w:val="32"/>
          <w:rtl/>
        </w:rPr>
        <w:t>الله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DF"/>
      </w:r>
      <w:r>
        <w:rPr>
          <w:sz w:val="28"/>
          <w:szCs w:val="28"/>
        </w:rPr>
        <w:sym w:font="HQPB1" w:char="F05E"/>
      </w:r>
      <w:r>
        <w:rPr>
          <w:sz w:val="28"/>
          <w:szCs w:val="28"/>
        </w:rPr>
        <w:sym w:font="HQPB4" w:char="F0CF"/>
      </w:r>
      <w:r>
        <w:rPr>
          <w:sz w:val="28"/>
          <w:szCs w:val="28"/>
        </w:rPr>
        <w:sym w:font="HQPB1" w:char="F089"/>
      </w:r>
      <w:r>
        <w:rPr>
          <w:sz w:val="28"/>
          <w:szCs w:val="28"/>
        </w:rPr>
        <w:sym w:font="HQPB4" w:char="F0F8"/>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9"/>
      </w:r>
      <w:r>
        <w:rPr>
          <w:sz w:val="28"/>
          <w:szCs w:val="28"/>
        </w:rPr>
        <w:sym w:font="HQPB1" w:char="F08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1" w:char="F023"/>
      </w:r>
      <w:r>
        <w:rPr>
          <w:sz w:val="28"/>
          <w:szCs w:val="28"/>
        </w:rPr>
        <w:sym w:font="HQPB4" w:char="F05C"/>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720"/>
        <w:jc w:val="both"/>
        <w:rPr>
          <w:rFonts w:ascii="(normal text)" w:hAnsi="(normal text)"/>
          <w:sz w:val="24"/>
          <w:szCs w:val="24"/>
        </w:rPr>
      </w:pPr>
      <w:r>
        <w:rPr>
          <w:rFonts w:ascii="(normal text)" w:hAnsi="(normal text)"/>
          <w:sz w:val="24"/>
          <w:szCs w:val="24"/>
        </w:rPr>
        <w:t>Artinya:</w:t>
      </w:r>
      <w:r w:rsidRPr="001B531D">
        <w:rPr>
          <w:rFonts w:ascii="(normal text)" w:hAnsi="(normal text)"/>
          <w:sz w:val="24"/>
          <w:szCs w:val="24"/>
        </w:rPr>
        <w:t xml:space="preserve">“ </w:t>
      </w:r>
      <w:r w:rsidRPr="001B531D">
        <w:rPr>
          <w:rFonts w:ascii="(normal text)" w:hAnsi="(normal text)"/>
          <w:i/>
          <w:iCs/>
          <w:sz w:val="24"/>
          <w:szCs w:val="24"/>
        </w:rPr>
        <w:t>Hai Nabi, apabila kamu menceraikan isteri-isterimu Maka hendaklah kamu ceraikan mereka pada waktu mereka dapat (me</w:t>
      </w:r>
      <w:r>
        <w:rPr>
          <w:rFonts w:ascii="(normal text)" w:hAnsi="(normal text)"/>
          <w:i/>
          <w:iCs/>
          <w:sz w:val="24"/>
          <w:szCs w:val="24"/>
        </w:rPr>
        <w:t>nghadapi) iddahnya (yang wajar)</w:t>
      </w:r>
      <w:r w:rsidRPr="001B531D">
        <w:rPr>
          <w:rFonts w:ascii="(normal text)" w:hAnsi="(normal text)"/>
          <w:i/>
          <w:iCs/>
          <w:sz w:val="24"/>
          <w:szCs w:val="24"/>
        </w:rPr>
        <w:t xml:space="preserve"> dan hitunglah waktu iddah itu serta bertakwalah kepada Allah Tuhanmu. janganlah kamu keluarkan mereka dari rumah mereka dan janganlah mereka (diizinkan) ke luar kecuali mereka mengerjakan perbuatan keji yang terang[1482]. Itulah hukum-hukum Allah, Maka Sesungguhnya Dia telah berbuat zalim terhadap dirinya </w:t>
      </w:r>
      <w:r w:rsidRPr="001B531D">
        <w:rPr>
          <w:rFonts w:ascii="(normal text)" w:hAnsi="(normal text)"/>
          <w:i/>
          <w:iCs/>
          <w:sz w:val="24"/>
          <w:szCs w:val="24"/>
        </w:rPr>
        <w:lastRenderedPageBreak/>
        <w:t>sendiri. kamu tidak mengetahui barangkali Allah Mengadakan sesudah itu sesuatu hal yang baru</w:t>
      </w:r>
      <w:r w:rsidRPr="001B531D">
        <w:rPr>
          <w:rFonts w:ascii="(normal text)" w:hAnsi="(normal text)"/>
          <w:sz w:val="24"/>
          <w:szCs w:val="24"/>
        </w:rPr>
        <w:t xml:space="preserve">” ( QS. Al-Thalaq: [ 65 ] : 1) </w:t>
      </w:r>
      <w:r>
        <w:rPr>
          <w:rStyle w:val="FootnoteReference"/>
          <w:rFonts w:ascii="(normal text)" w:hAnsi="(normal text)"/>
          <w:sz w:val="24"/>
          <w:szCs w:val="24"/>
        </w:rPr>
        <w:footnoteReference w:id="723"/>
      </w:r>
    </w:p>
    <w:p w:rsidR="00343B61" w:rsidRDefault="00343B61" w:rsidP="00343B61">
      <w:pPr>
        <w:autoSpaceDE w:val="0"/>
        <w:autoSpaceDN w:val="0"/>
        <w:adjustRightInd w:val="0"/>
        <w:spacing w:after="0" w:line="360" w:lineRule="auto"/>
        <w:ind w:left="720"/>
        <w:jc w:val="both"/>
        <w:rPr>
          <w:rFonts w:ascii="(normal text)" w:hAnsi="(normal text)"/>
          <w:sz w:val="24"/>
          <w:szCs w:val="24"/>
        </w:rPr>
      </w:pP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r w:rsidRPr="001B531D">
        <w:rPr>
          <w:rFonts w:ascii="Times New Roman" w:hAnsi="Times New Roman" w:cs="Times New Roman"/>
          <w:sz w:val="24"/>
          <w:szCs w:val="24"/>
        </w:rPr>
        <w:t xml:space="preserve">Firman Allah SWT dalam surat </w:t>
      </w:r>
      <w:r>
        <w:rPr>
          <w:rFonts w:ascii="Times New Roman" w:hAnsi="Times New Roman" w:cs="Times New Roman"/>
          <w:sz w:val="24"/>
          <w:szCs w:val="24"/>
        </w:rPr>
        <w:t>Al-Thalak [65] ayat 2 yaitu:</w:t>
      </w:r>
    </w:p>
    <w:p w:rsidR="00343B61" w:rsidRDefault="00343B61" w:rsidP="00343B61">
      <w:pPr>
        <w:autoSpaceDE w:val="0"/>
        <w:autoSpaceDN w:val="0"/>
        <w:bidi/>
        <w:adjustRightInd w:val="0"/>
        <w:spacing w:after="0" w:line="240" w:lineRule="auto"/>
        <w:jc w:val="both"/>
        <w:rPr>
          <w:rFonts w:ascii="(normal text)" w:hAnsi="(normal text)"/>
          <w:rtl/>
        </w:rPr>
      </w:pP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F8"/>
      </w:r>
      <w:r>
        <w:rPr>
          <w:sz w:val="28"/>
          <w:szCs w:val="28"/>
        </w:rPr>
        <w:sym w:font="HQPB1" w:char="F0F3"/>
      </w:r>
      <w:r>
        <w:rPr>
          <w:sz w:val="28"/>
          <w:szCs w:val="28"/>
        </w:rPr>
        <w:sym w:font="HQPB5" w:char="F06E"/>
      </w:r>
      <w:r>
        <w:rPr>
          <w:sz w:val="28"/>
          <w:szCs w:val="28"/>
        </w:rPr>
        <w:sym w:font="HQPB2" w:char="F03D"/>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DF"/>
      </w:r>
      <w:r>
        <w:rPr>
          <w:sz w:val="28"/>
          <w:szCs w:val="28"/>
        </w:rPr>
        <w:sym w:font="HQPB2" w:char="F067"/>
      </w:r>
      <w:r>
        <w:rPr>
          <w:sz w:val="28"/>
          <w:szCs w:val="28"/>
        </w:rPr>
        <w:sym w:font="HQPB5" w:char="F06E"/>
      </w:r>
      <w:r>
        <w:rPr>
          <w:sz w:val="28"/>
          <w:szCs w:val="28"/>
        </w:rPr>
        <w:sym w:font="HQPB2" w:char="F03D"/>
      </w:r>
      <w:r>
        <w:rPr>
          <w:sz w:val="28"/>
          <w:szCs w:val="28"/>
        </w:rPr>
        <w:sym w:font="HQPB5" w:char="F079"/>
      </w:r>
      <w:r>
        <w:rPr>
          <w:sz w:val="28"/>
          <w:szCs w:val="28"/>
        </w:rPr>
        <w:sym w:font="HQPB1" w:char="F05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4"/>
      </w:r>
      <w:r>
        <w:rPr>
          <w:sz w:val="28"/>
          <w:szCs w:val="28"/>
        </w:rPr>
        <w:sym w:font="HQPB2" w:char="F033"/>
      </w:r>
      <w:r>
        <w:rPr>
          <w:sz w:val="28"/>
          <w:szCs w:val="28"/>
        </w:rPr>
        <w:sym w:font="HQPB4" w:char="F0C5"/>
      </w:r>
      <w:r>
        <w:rPr>
          <w:sz w:val="28"/>
          <w:szCs w:val="28"/>
        </w:rPr>
        <w:sym w:font="HQPB1" w:char="F0A1"/>
      </w:r>
      <w:r>
        <w:rPr>
          <w:sz w:val="28"/>
          <w:szCs w:val="28"/>
        </w:rPr>
        <w:sym w:font="HQPB4" w:char="F0F8"/>
      </w:r>
      <w:r>
        <w:rPr>
          <w:sz w:val="28"/>
          <w:szCs w:val="28"/>
        </w:rPr>
        <w:sym w:font="HQPB2" w:char="F042"/>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E"/>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8"/>
      </w:r>
      <w:r>
        <w:rPr>
          <w:sz w:val="28"/>
          <w:szCs w:val="28"/>
        </w:rPr>
        <w:sym w:font="HQPB2" w:char="F025"/>
      </w:r>
      <w:r>
        <w:rPr>
          <w:sz w:val="28"/>
          <w:szCs w:val="28"/>
        </w:rPr>
        <w:sym w:font="HQPB4" w:char="F0CD"/>
      </w:r>
      <w:r>
        <w:rPr>
          <w:sz w:val="28"/>
          <w:szCs w:val="28"/>
        </w:rPr>
        <w:sym w:font="HQPB1" w:char="F091"/>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7"/>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4" w:char="F0CD"/>
      </w:r>
      <w:r>
        <w:rPr>
          <w:sz w:val="28"/>
          <w:szCs w:val="28"/>
        </w:rPr>
        <w:sym w:font="HQPB2" w:char="F06B"/>
      </w:r>
      <w:r>
        <w:rPr>
          <w:sz w:val="28"/>
          <w:szCs w:val="28"/>
        </w:rPr>
        <w:sym w:font="HQPB4" w:char="F0F4"/>
      </w:r>
      <w:r>
        <w:rPr>
          <w:sz w:val="28"/>
          <w:szCs w:val="28"/>
        </w:rPr>
        <w:sym w:font="HQPB1" w:char="F0A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4"/>
      </w:r>
      <w:r>
        <w:rPr>
          <w:sz w:val="28"/>
          <w:szCs w:val="28"/>
        </w:rPr>
        <w:sym w:font="HQPB2" w:char="F093"/>
      </w:r>
      <w:r>
        <w:rPr>
          <w:sz w:val="28"/>
          <w:szCs w:val="28"/>
        </w:rPr>
        <w:sym w:font="HQPB5" w:char="F075"/>
      </w:r>
      <w:r>
        <w:rPr>
          <w:sz w:val="28"/>
          <w:szCs w:val="28"/>
        </w:rPr>
        <w:sym w:font="HQPB2" w:char="F072"/>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35"/>
      </w:r>
      <w:r>
        <w:rPr>
          <w:sz w:val="28"/>
          <w:szCs w:val="28"/>
        </w:rPr>
        <w:sym w:font="HQPB2" w:char="F041"/>
      </w:r>
      <w:r>
        <w:rPr>
          <w:sz w:val="28"/>
          <w:szCs w:val="28"/>
        </w:rPr>
        <w:sym w:font="HQPB4" w:char="F0F4"/>
      </w:r>
      <w:r>
        <w:rPr>
          <w:sz w:val="28"/>
          <w:szCs w:val="28"/>
        </w:rPr>
        <w:sym w:font="HQPB1" w:char="F089"/>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2" w:char="F08A"/>
      </w:r>
      <w:r>
        <w:rPr>
          <w:sz w:val="28"/>
          <w:szCs w:val="28"/>
        </w:rPr>
        <w:sym w:font="HQPB4" w:char="F0CF"/>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79"/>
      </w:r>
      <w:r>
        <w:rPr>
          <w:sz w:val="28"/>
          <w:szCs w:val="28"/>
        </w:rPr>
        <w:sym w:font="HQPB1" w:char="F089"/>
      </w:r>
      <w:r>
        <w:rPr>
          <w:sz w:val="28"/>
          <w:szCs w:val="28"/>
        </w:rPr>
        <w:sym w:font="HQPB2" w:char="F0BB"/>
      </w:r>
      <w:r>
        <w:rPr>
          <w:sz w:val="28"/>
          <w:szCs w:val="28"/>
        </w:rPr>
        <w:sym w:font="HQPB5" w:char="F079"/>
      </w:r>
      <w:r>
        <w:rPr>
          <w:sz w:val="28"/>
          <w:szCs w:val="28"/>
        </w:rPr>
        <w:sym w:font="HQPB2" w:char="F067"/>
      </w:r>
      <w:r>
        <w:rPr>
          <w:sz w:val="28"/>
          <w:szCs w:val="28"/>
        </w:rPr>
        <w:sym w:font="HQPB4" w:char="F0A4"/>
      </w:r>
      <w:r>
        <w:rPr>
          <w:sz w:val="28"/>
          <w:szCs w:val="28"/>
        </w:rPr>
        <w:sym w:font="HQPB1" w:char="F0B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sidRPr="009D028C">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E0"/>
      </w:r>
      <w:r>
        <w:rPr>
          <w:sz w:val="28"/>
          <w:szCs w:val="28"/>
        </w:rPr>
        <w:sym w:font="HQPB1" w:char="F0E1"/>
      </w:r>
      <w:r>
        <w:rPr>
          <w:sz w:val="28"/>
          <w:szCs w:val="28"/>
        </w:rPr>
        <w:sym w:font="HQPB5" w:char="F074"/>
      </w:r>
      <w:r>
        <w:rPr>
          <w:sz w:val="28"/>
          <w:szCs w:val="28"/>
        </w:rPr>
        <w:sym w:font="HQPB1" w:char="F0E3"/>
      </w:r>
      <w:r>
        <w:rPr>
          <w:sz w:val="28"/>
          <w:szCs w:val="28"/>
        </w:rPr>
        <w:sym w:font="HQPB2" w:char="F071"/>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DA"/>
      </w:r>
      <w:r>
        <w:rPr>
          <w:sz w:val="28"/>
          <w:szCs w:val="28"/>
        </w:rPr>
        <w:sym w:font="HQPB2" w:char="F0C6"/>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sz w:val="28"/>
          <w:szCs w:val="28"/>
        </w:rPr>
        <w:sym w:font="HQPB5" w:char="F0AB"/>
      </w:r>
      <w:r w:rsidRPr="008D27F5">
        <w:rPr>
          <w:rFonts w:ascii="Adobe نسخ Medium" w:hAnsi="Adobe نسخ Medium" w:cs="Adobe نسخ Medium"/>
          <w:sz w:val="32"/>
          <w:szCs w:val="32"/>
          <w:rtl/>
        </w:rPr>
        <w:t xml:space="preserve"> </w:t>
      </w:r>
      <w:r>
        <w:rPr>
          <w:sz w:val="28"/>
          <w:szCs w:val="28"/>
        </w:rPr>
        <w:sym w:font="HQPB1" w:char="F024"/>
      </w:r>
      <w:r>
        <w:rPr>
          <w:sz w:val="28"/>
          <w:szCs w:val="28"/>
        </w:rPr>
        <w:sym w:font="HQPB4" w:char="F0CE"/>
      </w:r>
      <w:r>
        <w:rPr>
          <w:sz w:val="28"/>
          <w:szCs w:val="28"/>
        </w:rPr>
        <w:sym w:font="HQPB1" w:char="F02F"/>
      </w:r>
      <w:r w:rsidRPr="009D028C">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sz w:val="28"/>
          <w:szCs w:val="28"/>
        </w:rPr>
        <w:t xml:space="preserve"> </w:t>
      </w:r>
      <w:r>
        <w:rPr>
          <w:sz w:val="28"/>
          <w:szCs w:val="28"/>
        </w:rPr>
        <w:sym w:font="HQPB5" w:char="F024"/>
      </w:r>
      <w:r>
        <w:rPr>
          <w:rFonts w:ascii="(normal text)" w:hAnsi="(normal text)"/>
          <w:rtl/>
        </w:rPr>
        <w:t xml:space="preserve"> </w:t>
      </w:r>
      <w:r>
        <w:rPr>
          <w:sz w:val="28"/>
          <w:szCs w:val="28"/>
        </w:rPr>
        <w:sym w:font="HQPB4" w:char="F0CF"/>
      </w:r>
      <w:r>
        <w:rPr>
          <w:sz w:val="28"/>
          <w:szCs w:val="28"/>
        </w:rPr>
        <w:sym w:font="HQPB2" w:char="F051"/>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2" w:char="F02C"/>
      </w:r>
      <w:r>
        <w:rPr>
          <w:sz w:val="28"/>
          <w:szCs w:val="28"/>
        </w:rPr>
        <w:sym w:font="HQPB4" w:char="F0AD"/>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5" w:char="F024"/>
      </w:r>
      <w:r>
        <w:rPr>
          <w:sz w:val="28"/>
          <w:szCs w:val="28"/>
        </w:rPr>
        <w:sym w:font="HQPB1" w:char="F023"/>
      </w:r>
      <w:r w:rsidRPr="009D028C">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sz w:val="28"/>
          <w:szCs w:val="28"/>
        </w:rPr>
        <w:t xml:space="preserve"> </w:t>
      </w:r>
      <w:r>
        <w:rPr>
          <w:rFonts w:ascii="(normal text)" w:hAnsi="(normal text)"/>
          <w:rtl/>
        </w:rPr>
        <w:t xml:space="preserve"> </w:t>
      </w:r>
      <w:r>
        <w:rPr>
          <w:sz w:val="28"/>
          <w:szCs w:val="28"/>
        </w:rPr>
        <w:sym w:font="HQPB2" w:char="F040"/>
      </w:r>
      <w:r>
        <w:rPr>
          <w:sz w:val="28"/>
          <w:szCs w:val="28"/>
        </w:rPr>
        <w:sym w:font="HQPB5" w:char="F079"/>
      </w:r>
      <w:r>
        <w:rPr>
          <w:sz w:val="28"/>
          <w:szCs w:val="28"/>
        </w:rPr>
        <w:sym w:font="HQPB1" w:char="F0E8"/>
      </w:r>
      <w:r>
        <w:rPr>
          <w:sz w:val="28"/>
          <w:szCs w:val="28"/>
        </w:rPr>
        <w:sym w:font="HQPB4" w:char="F0F8"/>
      </w:r>
      <w:r>
        <w:rPr>
          <w:sz w:val="28"/>
          <w:szCs w:val="28"/>
        </w:rPr>
        <w:sym w:font="HQPB1" w:char="F067"/>
      </w:r>
      <w:r>
        <w:rPr>
          <w:sz w:val="28"/>
          <w:szCs w:val="28"/>
        </w:rPr>
        <w:sym w:font="HQPB5" w:char="F073"/>
      </w:r>
      <w:r>
        <w:rPr>
          <w:sz w:val="28"/>
          <w:szCs w:val="28"/>
        </w:rPr>
        <w:sym w:font="HQPB2" w:char="F086"/>
      </w:r>
      <w:r>
        <w:rPr>
          <w:rFonts w:ascii="(normal text)" w:hAnsi="(normal text)"/>
          <w:rtl/>
        </w:rPr>
        <w:t xml:space="preserve"> </w:t>
      </w:r>
      <w:r>
        <w:rPr>
          <w:sz w:val="28"/>
          <w:szCs w:val="28"/>
        </w:rPr>
        <w:sym w:font="HQPB2" w:char="F0BC"/>
      </w:r>
      <w:r>
        <w:rPr>
          <w:sz w:val="28"/>
          <w:szCs w:val="28"/>
        </w:rPr>
        <w:sym w:font="HQPB4" w:char="F0E3"/>
      </w:r>
      <w:r>
        <w:rPr>
          <w:sz w:val="28"/>
          <w:szCs w:val="28"/>
        </w:rPr>
        <w:sym w:font="HQPB3" w:char="F026"/>
      </w:r>
      <w:r>
        <w:rPr>
          <w:sz w:val="28"/>
          <w:szCs w:val="28"/>
        </w:rPr>
        <w:sym w:font="HQPB4" w:char="F0A9"/>
      </w:r>
      <w:r>
        <w:rPr>
          <w:sz w:val="28"/>
          <w:szCs w:val="28"/>
        </w:rPr>
        <w:sym w:font="HQPB3" w:char="F021"/>
      </w:r>
      <w:r>
        <w:rPr>
          <w:rFonts w:ascii="(normal text)" w:hAnsi="(normal text)"/>
          <w:rtl/>
        </w:rPr>
        <w:t xml:space="preserve"> </w:t>
      </w:r>
      <w:r>
        <w:rPr>
          <w:sz w:val="28"/>
          <w:szCs w:val="28"/>
        </w:rPr>
        <w:sym w:font="HQPB1" w:char="F025"/>
      </w:r>
      <w:r>
        <w:rPr>
          <w:sz w:val="28"/>
          <w:szCs w:val="28"/>
        </w:rPr>
        <w:sym w:font="HQPB4" w:char="F05B"/>
      </w:r>
      <w:r>
        <w:rPr>
          <w:sz w:val="28"/>
          <w:szCs w:val="28"/>
        </w:rPr>
        <w:sym w:font="HQPB1" w:char="F060"/>
      </w:r>
      <w:r>
        <w:rPr>
          <w:sz w:val="28"/>
          <w:szCs w:val="28"/>
        </w:rPr>
        <w:sym w:font="HQPB5" w:char="F074"/>
      </w:r>
      <w:r>
        <w:rPr>
          <w:sz w:val="28"/>
          <w:szCs w:val="28"/>
        </w:rPr>
        <w:sym w:font="HQPB1" w:char="F08D"/>
      </w:r>
      <w:r>
        <w:rPr>
          <w:sz w:val="28"/>
          <w:szCs w:val="28"/>
        </w:rPr>
        <w:sym w:font="HQPB4" w:char="F0F8"/>
      </w:r>
      <w:r>
        <w:rPr>
          <w:sz w:val="28"/>
          <w:szCs w:val="28"/>
        </w:rPr>
        <w:sym w:font="HQPB1" w:char="F083"/>
      </w:r>
      <w:r>
        <w:rPr>
          <w:sz w:val="28"/>
          <w:szCs w:val="28"/>
        </w:rPr>
        <w:sym w:font="HQPB5" w:char="F078"/>
      </w:r>
      <w:r>
        <w:rPr>
          <w:sz w:val="28"/>
          <w:szCs w:val="28"/>
        </w:rPr>
        <w:sym w:font="HQPB2" w:char="F04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720"/>
        <w:jc w:val="both"/>
        <w:rPr>
          <w:rFonts w:ascii="(normal text)" w:hAnsi="(normal text)"/>
          <w:sz w:val="24"/>
          <w:szCs w:val="24"/>
        </w:rPr>
      </w:pPr>
      <w:r w:rsidRPr="00A47BB2">
        <w:rPr>
          <w:rFonts w:asciiTheme="majorBidi" w:hAnsiTheme="majorBidi" w:cstheme="majorBidi"/>
          <w:i/>
          <w:iCs/>
          <w:sz w:val="24"/>
          <w:szCs w:val="24"/>
        </w:rPr>
        <w:t>Artinya:“Apabila mereka telah mendekati akhir iddahnya, Maka rujukilah mereka dengan baik atau lepaskanlah mereka dengan baik dan persaksikanlah dengan dua orang saksi yang adil di antara kamu dan hendaklah kamu tegakkan kesaksian itu karena Allah. Demikianlah diberi pengajaran dengan itu orang yang beriman kepada Allah dan hari akhirat. Barangsiapa bertakwa kepada Allah niscaya Dia akan Mengadakan baginya jalan keluar.”</w:t>
      </w:r>
      <w:r>
        <w:rPr>
          <w:rFonts w:asciiTheme="majorBidi" w:hAnsiTheme="majorBidi" w:cstheme="majorBidi"/>
          <w:sz w:val="24"/>
          <w:szCs w:val="24"/>
        </w:rPr>
        <w:t xml:space="preserve">  </w:t>
      </w:r>
      <w:r>
        <w:rPr>
          <w:rFonts w:ascii="(normal text)" w:hAnsi="(normal text)"/>
          <w:sz w:val="24"/>
          <w:szCs w:val="24"/>
        </w:rPr>
        <w:t>( QS. Al-Thalaq: [ 65 ] : 2</w:t>
      </w:r>
      <w:r w:rsidRPr="001B531D">
        <w:rPr>
          <w:rFonts w:ascii="(normal text)" w:hAnsi="(normal text)"/>
          <w:sz w:val="24"/>
          <w:szCs w:val="24"/>
        </w:rPr>
        <w:t xml:space="preserve">) </w:t>
      </w:r>
      <w:r>
        <w:rPr>
          <w:rStyle w:val="FootnoteReference"/>
          <w:rFonts w:ascii="(normal text)" w:hAnsi="(normal text)"/>
          <w:sz w:val="24"/>
          <w:szCs w:val="24"/>
        </w:rPr>
        <w:footnoteReference w:id="724"/>
      </w:r>
    </w:p>
    <w:p w:rsidR="00343B61" w:rsidRDefault="00343B61" w:rsidP="00343B61">
      <w:pPr>
        <w:autoSpaceDE w:val="0"/>
        <w:autoSpaceDN w:val="0"/>
        <w:adjustRightInd w:val="0"/>
        <w:spacing w:after="0" w:line="240" w:lineRule="auto"/>
        <w:ind w:left="720"/>
        <w:jc w:val="both"/>
        <w:rPr>
          <w:rFonts w:ascii="(normal text)" w:hAnsi="(normal text)"/>
          <w:sz w:val="24"/>
          <w:szCs w:val="24"/>
        </w:rPr>
      </w:pPr>
    </w:p>
    <w:p w:rsidR="00343B61" w:rsidRDefault="00343B61" w:rsidP="00343B61">
      <w:pPr>
        <w:autoSpaceDE w:val="0"/>
        <w:autoSpaceDN w:val="0"/>
        <w:adjustRightInd w:val="0"/>
        <w:spacing w:after="0"/>
        <w:jc w:val="both"/>
        <w:rPr>
          <w:rFonts w:ascii="(normal text)" w:hAnsi="(normal text)"/>
          <w:sz w:val="24"/>
          <w:szCs w:val="24"/>
        </w:rPr>
      </w:pPr>
      <w:r w:rsidRPr="00A36D9E">
        <w:rPr>
          <w:rFonts w:ascii="(normal text)" w:hAnsi="(normal text)"/>
          <w:sz w:val="24"/>
          <w:szCs w:val="24"/>
        </w:rPr>
        <w:t>Firman A</w:t>
      </w:r>
      <w:r>
        <w:rPr>
          <w:rFonts w:ascii="(normal text)" w:hAnsi="(normal text)"/>
          <w:sz w:val="24"/>
          <w:szCs w:val="24"/>
        </w:rPr>
        <w:t xml:space="preserve">llah SWT dalam surat al-Baqarah [2] ayat 236 yaitu: </w:t>
      </w:r>
    </w:p>
    <w:p w:rsidR="00343B61" w:rsidRDefault="00343B61" w:rsidP="00343B61">
      <w:pPr>
        <w:autoSpaceDE w:val="0"/>
        <w:autoSpaceDN w:val="0"/>
        <w:bidi/>
        <w:adjustRightInd w:val="0"/>
        <w:spacing w:after="0" w:line="240" w:lineRule="auto"/>
        <w:jc w:val="both"/>
        <w:rPr>
          <w:rFonts w:ascii="(normal text)" w:hAnsi="(normal text)"/>
          <w:rtl/>
        </w:rPr>
      </w:pPr>
      <w:r>
        <w:rPr>
          <w:sz w:val="28"/>
          <w:szCs w:val="28"/>
        </w:rPr>
        <w:sym w:font="HQPB5" w:char="F09E"/>
      </w:r>
      <w:r>
        <w:rPr>
          <w:sz w:val="28"/>
          <w:szCs w:val="28"/>
        </w:rPr>
        <w:sym w:font="HQPB2" w:char="F077"/>
      </w:r>
      <w:r>
        <w:rPr>
          <w:rFonts w:ascii="(normal text)" w:hAnsi="(normal text)"/>
          <w:rtl/>
        </w:rPr>
        <w:t xml:space="preserve"> </w:t>
      </w:r>
      <w:r>
        <w:rPr>
          <w:sz w:val="28"/>
          <w:szCs w:val="28"/>
        </w:rPr>
        <w:sym w:font="HQPB5" w:char="F079"/>
      </w:r>
      <w:r>
        <w:rPr>
          <w:sz w:val="28"/>
          <w:szCs w:val="28"/>
        </w:rPr>
        <w:sym w:font="HQPB1" w:char="F079"/>
      </w:r>
      <w:r>
        <w:rPr>
          <w:sz w:val="28"/>
          <w:szCs w:val="28"/>
        </w:rPr>
        <w:sym w:font="HQPB1" w:char="F024"/>
      </w:r>
      <w:r>
        <w:rPr>
          <w:sz w:val="28"/>
          <w:szCs w:val="28"/>
        </w:rPr>
        <w:sym w:font="HQPB5" w:char="F075"/>
      </w:r>
      <w:r>
        <w:rPr>
          <w:sz w:val="28"/>
          <w:szCs w:val="28"/>
        </w:rPr>
        <w:sym w:font="HQPB2" w:char="F05A"/>
      </w:r>
      <w:r>
        <w:rPr>
          <w:sz w:val="28"/>
          <w:szCs w:val="28"/>
        </w:rPr>
        <w:sym w:font="HQPB4" w:char="F0E3"/>
      </w:r>
      <w:r>
        <w:rPr>
          <w:sz w:val="28"/>
          <w:szCs w:val="28"/>
        </w:rPr>
        <w:sym w:font="HQPB1" w:char="F05F"/>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4C"/>
      </w:r>
      <w:r>
        <w:rPr>
          <w:sz w:val="28"/>
          <w:szCs w:val="28"/>
        </w:rPr>
        <w:sym w:font="HQPB4" w:char="F0E4"/>
      </w:r>
      <w:r>
        <w:rPr>
          <w:sz w:val="28"/>
          <w:szCs w:val="28"/>
        </w:rPr>
        <w:sym w:font="HQPB2" w:char="F0EA"/>
      </w:r>
      <w:r>
        <w:rPr>
          <w:sz w:val="28"/>
          <w:szCs w:val="28"/>
        </w:rPr>
        <w:sym w:font="HQPB4" w:char="F0F8"/>
      </w:r>
      <w:r>
        <w:rPr>
          <w:sz w:val="28"/>
          <w:szCs w:val="28"/>
        </w:rPr>
        <w:sym w:font="HQPB2" w:char="F029"/>
      </w:r>
      <w:r>
        <w:rPr>
          <w:sz w:val="28"/>
          <w:szCs w:val="28"/>
        </w:rPr>
        <w:sym w:font="HQPB4" w:char="F0AF"/>
      </w:r>
      <w:r>
        <w:rPr>
          <w:sz w:val="28"/>
          <w:szCs w:val="28"/>
        </w:rPr>
        <w:sym w:font="HQPB2" w:char="F03D"/>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8F"/>
      </w:r>
      <w:r>
        <w:rPr>
          <w:sz w:val="28"/>
          <w:szCs w:val="28"/>
        </w:rPr>
        <w:sym w:font="HQPB1" w:char="F0A1"/>
      </w:r>
      <w:r>
        <w:rPr>
          <w:sz w:val="28"/>
          <w:szCs w:val="28"/>
        </w:rPr>
        <w:sym w:font="HQPB5" w:char="F079"/>
      </w:r>
      <w:r>
        <w:rPr>
          <w:sz w:val="28"/>
          <w:szCs w:val="28"/>
        </w:rPr>
        <w:sym w:font="HQPB2" w:char="F04A"/>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1" w:char="F0CA"/>
      </w:r>
      <w:r>
        <w:rPr>
          <w:sz w:val="28"/>
          <w:szCs w:val="28"/>
        </w:rPr>
        <w:sym w:font="HQPB4" w:char="F0CC"/>
      </w:r>
      <w:r>
        <w:rPr>
          <w:sz w:val="28"/>
          <w:szCs w:val="28"/>
        </w:rPr>
        <w:sym w:font="HQPB1" w:char="F08D"/>
      </w:r>
      <w:r>
        <w:rPr>
          <w:sz w:val="28"/>
          <w:szCs w:val="28"/>
        </w:rPr>
        <w:sym w:font="HQPB4" w:char="F0F8"/>
      </w:r>
      <w:r>
        <w:rPr>
          <w:sz w:val="28"/>
          <w:szCs w:val="28"/>
        </w:rPr>
        <w:sym w:font="HQPB1" w:char="F0FF"/>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9F"/>
      </w:r>
      <w:r>
        <w:rPr>
          <w:sz w:val="28"/>
          <w:szCs w:val="28"/>
        </w:rPr>
        <w:sym w:font="HQPB1" w:char="F0D2"/>
      </w:r>
      <w:r>
        <w:rPr>
          <w:sz w:val="28"/>
          <w:szCs w:val="28"/>
        </w:rPr>
        <w:sym w:font="HQPB2" w:char="F083"/>
      </w:r>
      <w:r>
        <w:rPr>
          <w:sz w:val="28"/>
          <w:szCs w:val="28"/>
        </w:rPr>
        <w:sym w:font="HQPB4" w:char="F0CC"/>
      </w:r>
      <w:r>
        <w:rPr>
          <w:sz w:val="28"/>
          <w:szCs w:val="28"/>
        </w:rPr>
        <w:sym w:font="HQPB1" w:char="F08D"/>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1" w:char="F0E8"/>
      </w:r>
      <w:r>
        <w:rPr>
          <w:sz w:val="28"/>
          <w:szCs w:val="28"/>
        </w:rPr>
        <w:sym w:font="HQPB4" w:char="F0CF"/>
      </w:r>
      <w:r>
        <w:rPr>
          <w:sz w:val="28"/>
          <w:szCs w:val="28"/>
        </w:rPr>
        <w:sym w:font="HQPB4" w:char="F06E"/>
      </w:r>
      <w:r>
        <w:rPr>
          <w:sz w:val="28"/>
          <w:szCs w:val="28"/>
        </w:rPr>
        <w:sym w:font="HQPB1" w:char="F046"/>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6"/>
      </w:r>
      <w:r>
        <w:rPr>
          <w:sz w:val="28"/>
          <w:szCs w:val="28"/>
        </w:rPr>
        <w:sym w:font="HQPB1" w:char="F0EC"/>
      </w:r>
      <w:r>
        <w:rPr>
          <w:sz w:val="28"/>
          <w:szCs w:val="28"/>
        </w:rPr>
        <w:sym w:font="HQPB4" w:char="F0C5"/>
      </w:r>
      <w:r>
        <w:rPr>
          <w:sz w:val="28"/>
          <w:szCs w:val="28"/>
        </w:rPr>
        <w:sym w:font="HQPB1" w:char="F099"/>
      </w:r>
      <w:r>
        <w:rPr>
          <w:sz w:val="28"/>
          <w:szCs w:val="28"/>
        </w:rPr>
        <w:sym w:font="HQPB2" w:char="F071"/>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E"/>
      </w:r>
      <w:r>
        <w:rPr>
          <w:sz w:val="28"/>
          <w:szCs w:val="28"/>
        </w:rPr>
        <w:sym w:font="HQPB4" w:char="F0E2"/>
      </w:r>
      <w:r>
        <w:rPr>
          <w:sz w:val="28"/>
          <w:szCs w:val="28"/>
        </w:rPr>
        <w:sym w:font="HQPB1" w:char="F091"/>
      </w:r>
      <w:r>
        <w:rPr>
          <w:sz w:val="28"/>
          <w:szCs w:val="28"/>
        </w:rPr>
        <w:sym w:font="HQPB5" w:char="F079"/>
      </w:r>
      <w:r>
        <w:rPr>
          <w:sz w:val="28"/>
          <w:szCs w:val="28"/>
        </w:rPr>
        <w:sym w:font="HQPB1" w:char="F089"/>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CF"/>
      </w:r>
      <w:r>
        <w:rPr>
          <w:sz w:val="28"/>
          <w:szCs w:val="28"/>
        </w:rPr>
        <w:sym w:font="HQPB1" w:char="F049"/>
      </w:r>
      <w:r>
        <w:rPr>
          <w:sz w:val="28"/>
          <w:szCs w:val="28"/>
        </w:rPr>
        <w:sym w:font="HQPB4" w:char="F0F8"/>
      </w:r>
      <w:r>
        <w:rPr>
          <w:sz w:val="28"/>
          <w:szCs w:val="28"/>
        </w:rPr>
        <w:sym w:font="HQPB2" w:char="F029"/>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E"/>
      </w:r>
      <w:r>
        <w:rPr>
          <w:sz w:val="28"/>
          <w:szCs w:val="28"/>
        </w:rPr>
        <w:sym w:font="HQPB4" w:char="F0E2"/>
      </w:r>
      <w:r>
        <w:rPr>
          <w:sz w:val="28"/>
          <w:szCs w:val="28"/>
        </w:rPr>
        <w:sym w:font="HQPB1" w:char="F091"/>
      </w:r>
      <w:r>
        <w:rPr>
          <w:sz w:val="28"/>
          <w:szCs w:val="28"/>
        </w:rPr>
        <w:sym w:font="HQPB5" w:char="F079"/>
      </w:r>
      <w:r>
        <w:rPr>
          <w:sz w:val="28"/>
          <w:szCs w:val="28"/>
        </w:rPr>
        <w:sym w:font="HQPB1" w:char="F089"/>
      </w:r>
      <w:r>
        <w:rPr>
          <w:sz w:val="28"/>
          <w:szCs w:val="28"/>
        </w:rPr>
        <w:sym w:font="HQPB5" w:char="F073"/>
      </w:r>
      <w:r>
        <w:rPr>
          <w:sz w:val="28"/>
          <w:szCs w:val="28"/>
        </w:rPr>
        <w:sym w:font="HQPB2" w:char="F025"/>
      </w:r>
      <w:r>
        <w:rPr>
          <w:rFonts w:ascii="(normal text)" w:hAnsi="(normal text)"/>
          <w:rtl/>
        </w:rPr>
        <w:t xml:space="preserve"> </w:t>
      </w:r>
      <w:r>
        <w:rPr>
          <w:sz w:val="28"/>
          <w:szCs w:val="28"/>
        </w:rPr>
        <w:sym w:font="HQPB1" w:char="F024"/>
      </w:r>
      <w:r>
        <w:rPr>
          <w:sz w:val="28"/>
          <w:szCs w:val="28"/>
        </w:rPr>
        <w:sym w:font="HQPB4" w:char="F04A"/>
      </w:r>
      <w:r>
        <w:rPr>
          <w:sz w:val="28"/>
          <w:szCs w:val="28"/>
        </w:rPr>
        <w:sym w:font="HQPB1" w:char="F0E8"/>
      </w:r>
      <w:r>
        <w:rPr>
          <w:sz w:val="28"/>
          <w:szCs w:val="28"/>
        </w:rPr>
        <w:sym w:font="HQPB2" w:char="F0BB"/>
      </w:r>
      <w:r>
        <w:rPr>
          <w:sz w:val="28"/>
          <w:szCs w:val="28"/>
        </w:rPr>
        <w:sym w:font="HQPB5" w:char="F074"/>
      </w:r>
      <w:r>
        <w:rPr>
          <w:sz w:val="28"/>
          <w:szCs w:val="28"/>
        </w:rPr>
        <w:sym w:font="HQPB1" w:char="F047"/>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2"/>
      </w:r>
      <w:r>
        <w:rPr>
          <w:sz w:val="28"/>
          <w:szCs w:val="28"/>
        </w:rPr>
        <w:sym w:font="HQPB1" w:char="F090"/>
      </w:r>
      <w:r>
        <w:rPr>
          <w:sz w:val="28"/>
          <w:szCs w:val="28"/>
        </w:rPr>
        <w:sym w:font="HQPB4" w:char="F0F7"/>
      </w:r>
      <w:r>
        <w:rPr>
          <w:sz w:val="28"/>
          <w:szCs w:val="28"/>
        </w:rPr>
        <w:sym w:font="HQPB1" w:char="F0EA"/>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4"/>
      </w:r>
      <w:r>
        <w:rPr>
          <w:sz w:val="28"/>
          <w:szCs w:val="28"/>
        </w:rPr>
        <w:sym w:font="HQPB4" w:char="F088"/>
      </w:r>
      <w:r>
        <w:rPr>
          <w:sz w:val="28"/>
          <w:szCs w:val="28"/>
        </w:rPr>
        <w:sym w:font="HQPB2" w:char="F029"/>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A"/>
      </w:r>
      <w:r>
        <w:rPr>
          <w:sz w:val="28"/>
          <w:szCs w:val="28"/>
        </w:rPr>
        <w:sym w:font="HQPB4" w:char="F0C5"/>
      </w:r>
      <w:r>
        <w:rPr>
          <w:sz w:val="28"/>
          <w:szCs w:val="28"/>
        </w:rPr>
        <w:sym w:font="HQPB1" w:char="F0A1"/>
      </w:r>
      <w:r>
        <w:rPr>
          <w:sz w:val="28"/>
          <w:szCs w:val="28"/>
        </w:rPr>
        <w:sym w:font="HQPB4" w:char="F0F3"/>
      </w:r>
      <w:r>
        <w:rPr>
          <w:sz w:val="28"/>
          <w:szCs w:val="28"/>
        </w:rPr>
        <w:sym w:font="HQPB1"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C"/>
      </w:r>
      <w:r>
        <w:rPr>
          <w:sz w:val="28"/>
          <w:szCs w:val="28"/>
        </w:rPr>
        <w:sym w:font="HQPB2" w:char="F0CF"/>
      </w:r>
      <w:r>
        <w:rPr>
          <w:sz w:val="28"/>
          <w:szCs w:val="28"/>
        </w:rPr>
        <w:sym w:font="HQPB2" w:char="F0C8"/>
      </w:r>
      <w:r>
        <w:rPr>
          <w:rFonts w:ascii="(normal text)" w:hAnsi="(normal text)"/>
          <w:rtl/>
        </w:rPr>
        <w:t xml:space="preserve">   </w:t>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r>
        <w:rPr>
          <w:rFonts w:ascii="(normal text)" w:hAnsi="(normal text)"/>
          <w:sz w:val="24"/>
          <w:szCs w:val="24"/>
        </w:rPr>
        <w:t>Artinya:</w:t>
      </w:r>
      <w:r w:rsidRPr="00A36D9E">
        <w:rPr>
          <w:rFonts w:asciiTheme="majorBidi" w:hAnsiTheme="majorBidi" w:cstheme="majorBidi"/>
          <w:sz w:val="24"/>
          <w:szCs w:val="24"/>
        </w:rPr>
        <w:t xml:space="preserve"> “ </w:t>
      </w:r>
      <w:r w:rsidRPr="00A36D9E">
        <w:rPr>
          <w:rFonts w:asciiTheme="majorBidi" w:hAnsiTheme="majorBidi" w:cstheme="majorBidi"/>
          <w:i/>
          <w:iCs/>
          <w:sz w:val="24"/>
          <w:szCs w:val="24"/>
        </w:rPr>
        <w:t>Tidak ada kewajiban membayar (mahar) atas kamu, jika kamu menceraikan isteri-isteri kamu sebelum kamu bercampur dengan mereka dan sebelum kamu menentukan maharnya. dan hendaklah kamu berikan suatu mut'ah (pemberian) kepada mereka. orang yang mampu menurut kemampuannya dan orang yang miskin menurut kemampuannya (pula), Yaitu pemberian menurut yang patut. yang demikian itu merupakan ketentuan bagi orang-orang yang berbuat kebajikan.</w:t>
      </w:r>
      <w:r w:rsidRPr="00A36D9E">
        <w:rPr>
          <w:rFonts w:asciiTheme="majorBidi" w:hAnsiTheme="majorBidi" w:cstheme="majorBidi"/>
          <w:sz w:val="24"/>
          <w:szCs w:val="24"/>
        </w:rPr>
        <w:t xml:space="preserve">” ( QS. Al-Baqarah [ 2] : 236) </w:t>
      </w:r>
      <w:r>
        <w:rPr>
          <w:rStyle w:val="FootnoteReference"/>
          <w:rFonts w:asciiTheme="majorBidi" w:hAnsiTheme="majorBidi" w:cstheme="majorBidi"/>
          <w:sz w:val="24"/>
          <w:szCs w:val="24"/>
        </w:rPr>
        <w:footnoteReference w:id="725"/>
      </w:r>
    </w:p>
    <w:p w:rsidR="00343B61" w:rsidRDefault="00343B61" w:rsidP="00343B61">
      <w:pPr>
        <w:autoSpaceDE w:val="0"/>
        <w:autoSpaceDN w:val="0"/>
        <w:adjustRightInd w:val="0"/>
        <w:spacing w:after="0" w:line="240" w:lineRule="auto"/>
        <w:ind w:left="72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lastRenderedPageBreak/>
        <w:t xml:space="preserve">ii. </w:t>
      </w:r>
      <w:r>
        <w:rPr>
          <w:rFonts w:ascii="Times New Roman" w:hAnsi="Times New Roman" w:cs="Times New Roman"/>
          <w:sz w:val="24"/>
          <w:szCs w:val="24"/>
        </w:rPr>
        <w:t>Hadis Nabi SAW.</w:t>
      </w:r>
    </w:p>
    <w:p w:rsidR="00343B61" w:rsidRPr="00AE433A" w:rsidRDefault="00343B61" w:rsidP="00343B61">
      <w:pPr>
        <w:autoSpaceDE w:val="0"/>
        <w:autoSpaceDN w:val="0"/>
        <w:bidi/>
        <w:adjustRightInd w:val="0"/>
        <w:spacing w:after="0" w:line="240" w:lineRule="auto"/>
        <w:rPr>
          <w:rFonts w:ascii="Times New Roman" w:hAnsi="Times New Roman" w:cs="Traditional Arabic"/>
          <w:sz w:val="32"/>
          <w:szCs w:val="32"/>
        </w:rPr>
      </w:pPr>
      <w:r>
        <w:rPr>
          <w:rFonts w:ascii="Arial" w:hAnsi="Arial" w:hint="cs"/>
          <w:b/>
          <w:bCs/>
          <w:color w:val="000000"/>
          <w:sz w:val="44"/>
          <w:szCs w:val="44"/>
          <w:rtl/>
        </w:rPr>
        <w:t xml:space="preserve"> </w:t>
      </w:r>
      <w:r w:rsidRPr="00AE433A">
        <w:rPr>
          <w:rFonts w:ascii="Arial" w:hAnsi="Arial" w:cs="Traditional Arabic" w:hint="cs"/>
          <w:sz w:val="32"/>
          <w:szCs w:val="32"/>
          <w:rtl/>
        </w:rPr>
        <w:t xml:space="preserve">عن </w:t>
      </w:r>
      <w:r w:rsidRPr="00AE433A">
        <w:rPr>
          <w:rFonts w:ascii="Arial" w:hAnsi="Arial" w:cs="Traditional Arabic"/>
          <w:sz w:val="32"/>
          <w:szCs w:val="32"/>
          <w:rtl/>
        </w:rPr>
        <w:t>أَبَ</w:t>
      </w:r>
      <w:r w:rsidRPr="00AE433A">
        <w:rPr>
          <w:rFonts w:ascii="Arial" w:hAnsi="Arial" w:cs="Traditional Arabic" w:hint="cs"/>
          <w:sz w:val="32"/>
          <w:szCs w:val="32"/>
          <w:rtl/>
        </w:rPr>
        <w:t>ي</w:t>
      </w:r>
      <w:r w:rsidRPr="00AE433A">
        <w:rPr>
          <w:rFonts w:ascii="Arial" w:hAnsi="Arial" w:cs="Traditional Arabic"/>
          <w:sz w:val="32"/>
          <w:szCs w:val="32"/>
          <w:rtl/>
        </w:rPr>
        <w:t xml:space="preserve"> هُرَيْرَةَ رَضِيَ اللَّهُ عَنْهُ يُحَدِّثُ ، عَنْ رَسُولِ اللَّهِ صَلَّى اللَّهُ عَلَيْهِ وَسَلَّمَ سَمِعَهُ يَقُولُ: " ثَلَاثٌ جِدُّهُنَّ جِدٌّ ، وَهَزْلُهُنَّ جِدٌّ ، النِّكَاحُ ، وَالطَّلَاقُ ، وَالرَّجْعَةُ</w:t>
      </w:r>
      <w:r w:rsidRPr="00AE433A">
        <w:rPr>
          <w:rFonts w:ascii="Arial" w:hAnsi="Arial" w:cs="Traditional Arabic" w:hint="cs"/>
          <w:sz w:val="32"/>
          <w:szCs w:val="32"/>
          <w:rtl/>
        </w:rPr>
        <w:t xml:space="preserve"> </w:t>
      </w:r>
      <w:r w:rsidRPr="00AE433A">
        <w:rPr>
          <w:rStyle w:val="FootnoteReference"/>
          <w:rFonts w:ascii="Arial" w:hAnsi="Arial" w:cs="Traditional Arabic"/>
          <w:sz w:val="32"/>
          <w:szCs w:val="32"/>
          <w:rtl/>
        </w:rPr>
        <w:footnoteReference w:id="726"/>
      </w:r>
    </w:p>
    <w:p w:rsidR="00343B61" w:rsidRPr="00DC3276" w:rsidRDefault="00343B61" w:rsidP="00343B61">
      <w:pPr>
        <w:autoSpaceDE w:val="0"/>
        <w:autoSpaceDN w:val="0"/>
        <w:adjustRightInd w:val="0"/>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Artinya</w:t>
      </w:r>
      <w:r>
        <w:rPr>
          <w:rFonts w:ascii="Times New Roman" w:hAnsi="Times New Roman" w:cs="Times New Roman"/>
          <w:i/>
          <w:iCs/>
          <w:sz w:val="24"/>
          <w:szCs w:val="24"/>
        </w:rPr>
        <w:t xml:space="preserve">:”Dari Abi Hurairah ra. berkata, Rasululloh SAW bersabda: terdapat tiga hal yang seriusnya itu dikategorikan serius dan ketika seriusannya juga dianggap serius, yaitu nikah, talak dan ruju”. </w:t>
      </w:r>
      <w:r>
        <w:rPr>
          <w:rFonts w:ascii="Times New Roman" w:hAnsi="Times New Roman" w:cs="Times New Roman"/>
          <w:sz w:val="24"/>
          <w:szCs w:val="24"/>
        </w:rPr>
        <w:t>( HR. Turmudzi, dan Abu Daud)</w:t>
      </w:r>
    </w:p>
    <w:p w:rsidR="00343B61" w:rsidRDefault="00343B61" w:rsidP="00343B61">
      <w:pPr>
        <w:tabs>
          <w:tab w:val="left" w:pos="2529"/>
        </w:tabs>
        <w:autoSpaceDE w:val="0"/>
        <w:autoSpaceDN w:val="0"/>
        <w:adjustRightInd w:val="0"/>
        <w:spacing w:after="0" w:line="360" w:lineRule="auto"/>
        <w:jc w:val="both"/>
        <w:rPr>
          <w:rFonts w:asciiTheme="majorBidi" w:hAnsiTheme="majorBidi" w:cstheme="majorBidi"/>
          <w:sz w:val="24"/>
          <w:szCs w:val="24"/>
        </w:rPr>
      </w:pPr>
      <w:r w:rsidRPr="00A36D9E">
        <w:rPr>
          <w:rFonts w:asciiTheme="majorBidi" w:hAnsiTheme="majorBidi" w:cstheme="majorBidi"/>
          <w:sz w:val="24"/>
          <w:szCs w:val="24"/>
        </w:rPr>
        <w:tab/>
      </w:r>
    </w:p>
    <w:p w:rsidR="00343B61" w:rsidRDefault="00343B61" w:rsidP="00343B6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Hadis Nabi SAW.</w:t>
      </w:r>
    </w:p>
    <w:p w:rsidR="00343B61" w:rsidRPr="00462C94" w:rsidRDefault="00343B61" w:rsidP="00343B61">
      <w:pPr>
        <w:autoSpaceDE w:val="0"/>
        <w:autoSpaceDN w:val="0"/>
        <w:bidi/>
        <w:adjustRightInd w:val="0"/>
        <w:spacing w:after="0" w:line="240" w:lineRule="auto"/>
        <w:rPr>
          <w:rFonts w:ascii="Times New Roman" w:hAnsi="Times New Roman" w:cs="Times New Roman"/>
          <w:sz w:val="28"/>
          <w:szCs w:val="28"/>
        </w:rPr>
      </w:pPr>
      <w:r w:rsidRPr="00AE433A">
        <w:rPr>
          <w:rFonts w:ascii="Arial" w:hAnsi="Arial" w:cs="Traditional Arabic"/>
          <w:sz w:val="32"/>
          <w:szCs w:val="32"/>
          <w:rtl/>
        </w:rPr>
        <w:t>عَلَيْكُمْ بِالسَّمْعِ وَالطَّاعَةِ</w:t>
      </w:r>
      <w:r w:rsidRPr="00AE433A">
        <w:rPr>
          <w:rFonts w:ascii="Arial" w:hAnsi="Arial" w:cs="Traditional Arabic" w:hint="cs"/>
          <w:sz w:val="32"/>
          <w:szCs w:val="32"/>
          <w:rtl/>
        </w:rPr>
        <w:t xml:space="preserve"> </w:t>
      </w:r>
      <w:r w:rsidRPr="00AE433A">
        <w:rPr>
          <w:rFonts w:ascii="Arial" w:hAnsi="Arial" w:cs="Traditional Arabic"/>
          <w:sz w:val="32"/>
          <w:szCs w:val="32"/>
          <w:rtl/>
        </w:rPr>
        <w:t>ل</w:t>
      </w:r>
      <w:r w:rsidRPr="00AE433A">
        <w:rPr>
          <w:rFonts w:ascii="Arial" w:hAnsi="Arial" w:cs="Traditional Arabic" w:hint="cs"/>
          <w:sz w:val="32"/>
          <w:szCs w:val="32"/>
          <w:rtl/>
        </w:rPr>
        <w:t>ِ</w:t>
      </w:r>
      <w:r w:rsidRPr="00AE433A">
        <w:rPr>
          <w:rFonts w:ascii="Arial" w:hAnsi="Arial" w:cs="Traditional Arabic"/>
          <w:sz w:val="32"/>
          <w:szCs w:val="32"/>
          <w:rtl/>
        </w:rPr>
        <w:t>م</w:t>
      </w:r>
      <w:r w:rsidRPr="00AE433A">
        <w:rPr>
          <w:rFonts w:ascii="Arial" w:hAnsi="Arial" w:cs="Traditional Arabic" w:hint="cs"/>
          <w:sz w:val="32"/>
          <w:szCs w:val="32"/>
          <w:rtl/>
        </w:rPr>
        <w:t>َ</w:t>
      </w:r>
      <w:r w:rsidRPr="00AE433A">
        <w:rPr>
          <w:rFonts w:ascii="Arial" w:hAnsi="Arial" w:cs="Traditional Arabic"/>
          <w:sz w:val="32"/>
          <w:szCs w:val="32"/>
          <w:rtl/>
        </w:rPr>
        <w:t>ن</w:t>
      </w:r>
      <w:r w:rsidRPr="00AE433A">
        <w:rPr>
          <w:rFonts w:ascii="Arial" w:hAnsi="Arial" w:cs="Traditional Arabic" w:hint="cs"/>
          <w:sz w:val="32"/>
          <w:szCs w:val="32"/>
          <w:rtl/>
        </w:rPr>
        <w:t>ْ</w:t>
      </w:r>
      <w:r w:rsidRPr="00AE433A">
        <w:rPr>
          <w:rFonts w:ascii="Arial" w:hAnsi="Arial" w:cs="Traditional Arabic"/>
          <w:sz w:val="32"/>
          <w:szCs w:val="32"/>
          <w:rtl/>
        </w:rPr>
        <w:t xml:space="preserve"> و</w:t>
      </w:r>
      <w:r w:rsidRPr="00AE433A">
        <w:rPr>
          <w:rFonts w:ascii="Arial" w:hAnsi="Arial" w:cs="Traditional Arabic" w:hint="cs"/>
          <w:sz w:val="32"/>
          <w:szCs w:val="32"/>
          <w:rtl/>
        </w:rPr>
        <w:t>َ</w:t>
      </w:r>
      <w:r w:rsidRPr="00AE433A">
        <w:rPr>
          <w:rFonts w:ascii="Arial" w:hAnsi="Arial" w:cs="Traditional Arabic"/>
          <w:sz w:val="32"/>
          <w:szCs w:val="32"/>
          <w:rtl/>
        </w:rPr>
        <w:t>ل</w:t>
      </w:r>
      <w:r w:rsidRPr="00AE433A">
        <w:rPr>
          <w:rFonts w:ascii="Arial" w:hAnsi="Arial" w:cs="Traditional Arabic" w:hint="cs"/>
          <w:sz w:val="32"/>
          <w:szCs w:val="32"/>
          <w:rtl/>
        </w:rPr>
        <w:t>َ</w:t>
      </w:r>
      <w:r w:rsidRPr="00AE433A">
        <w:rPr>
          <w:rFonts w:ascii="Arial" w:hAnsi="Arial" w:cs="Traditional Arabic"/>
          <w:sz w:val="32"/>
          <w:szCs w:val="32"/>
          <w:rtl/>
        </w:rPr>
        <w:t>اه الله أمركم و إن كان عبدا حبشيا</w:t>
      </w:r>
      <w:r>
        <w:rPr>
          <w:rFonts w:ascii="Arial" w:hAnsi="Arial" w:hint="cs"/>
          <w:b/>
          <w:bCs/>
          <w:sz w:val="28"/>
          <w:szCs w:val="28"/>
          <w:rtl/>
        </w:rPr>
        <w:t xml:space="preserve"> </w:t>
      </w:r>
      <w:r w:rsidRPr="00AD479D">
        <w:rPr>
          <w:rStyle w:val="FootnoteReference"/>
          <w:rFonts w:ascii="Arial" w:hAnsi="Arial"/>
          <w:sz w:val="28"/>
          <w:szCs w:val="28"/>
          <w:rtl/>
        </w:rPr>
        <w:footnoteReference w:id="727"/>
      </w:r>
    </w:p>
    <w:p w:rsidR="00343B61" w:rsidRPr="00711E60" w:rsidRDefault="00343B61" w:rsidP="00343B61">
      <w:pPr>
        <w:autoSpaceDE w:val="0"/>
        <w:autoSpaceDN w:val="0"/>
        <w:adjustRightInd w:val="0"/>
        <w:spacing w:after="0" w:line="240" w:lineRule="auto"/>
        <w:ind w:left="990"/>
        <w:jc w:val="both"/>
        <w:rPr>
          <w:rFonts w:asciiTheme="majorBidi" w:hAnsiTheme="majorBidi" w:cstheme="majorBidi"/>
          <w:sz w:val="24"/>
          <w:szCs w:val="24"/>
        </w:rPr>
      </w:pPr>
      <w:r w:rsidRPr="00711E60">
        <w:rPr>
          <w:rFonts w:asciiTheme="majorBidi" w:hAnsiTheme="majorBidi" w:cstheme="majorBidi"/>
          <w:sz w:val="24"/>
          <w:szCs w:val="24"/>
        </w:rPr>
        <w:t xml:space="preserve">Artinya:” </w:t>
      </w:r>
      <w:r w:rsidRPr="00711E60">
        <w:rPr>
          <w:rFonts w:asciiTheme="majorBidi" w:hAnsiTheme="majorBidi" w:cstheme="majorBidi"/>
          <w:i/>
          <w:iCs/>
          <w:sz w:val="24"/>
          <w:szCs w:val="24"/>
        </w:rPr>
        <w:t>Diwajibkan atas kamu sekalian untuk mendengarkan dan taat kepada pemimpin sekalipun kalian dipimpin oleh budak Habasyi</w:t>
      </w:r>
      <w:r w:rsidRPr="00711E60">
        <w:rPr>
          <w:rFonts w:asciiTheme="majorBidi" w:hAnsiTheme="majorBidi" w:cstheme="majorBidi"/>
          <w:sz w:val="24"/>
          <w:szCs w:val="24"/>
        </w:rPr>
        <w:t>”. (HR. Al-Baihaqi)</w:t>
      </w:r>
    </w:p>
    <w:p w:rsidR="00343B61" w:rsidRDefault="00343B61" w:rsidP="00343B61">
      <w:pPr>
        <w:autoSpaceDE w:val="0"/>
        <w:autoSpaceDN w:val="0"/>
        <w:adjustRightInd w:val="0"/>
        <w:spacing w:after="0" w:line="360" w:lineRule="auto"/>
        <w:jc w:val="both"/>
        <w:rPr>
          <w:rFonts w:ascii="(normal text)" w:hAnsi="(normal text)"/>
          <w:sz w:val="20"/>
          <w:szCs w:val="24"/>
        </w:rPr>
      </w:pPr>
    </w:p>
    <w:p w:rsidR="00343B61" w:rsidRDefault="00343B61" w:rsidP="00343B6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iii. Kaidah fiqh.</w:t>
      </w:r>
    </w:p>
    <w:p w:rsidR="00343B61" w:rsidRPr="00AE433A" w:rsidRDefault="00343B61" w:rsidP="00343B61">
      <w:pPr>
        <w:autoSpaceDE w:val="0"/>
        <w:autoSpaceDN w:val="0"/>
        <w:bidi/>
        <w:adjustRightInd w:val="0"/>
        <w:spacing w:after="0" w:line="240" w:lineRule="auto"/>
        <w:rPr>
          <w:rFonts w:ascii="Arial" w:hAnsi="Arial" w:cs="Traditional Arabic"/>
          <w:sz w:val="32"/>
          <w:szCs w:val="32"/>
        </w:rPr>
      </w:pPr>
      <w:r w:rsidRPr="00AE433A">
        <w:rPr>
          <w:rFonts w:ascii="Arial" w:hAnsi="Arial" w:cs="Traditional Arabic"/>
          <w:sz w:val="32"/>
          <w:szCs w:val="32"/>
          <w:rtl/>
        </w:rPr>
        <w:t>الضَّرَرُ يُزَالُ</w:t>
      </w:r>
      <w:r w:rsidRPr="00AE433A">
        <w:rPr>
          <w:rFonts w:ascii="Arial" w:hAnsi="Arial" w:cs="Traditional Arabic" w:hint="cs"/>
          <w:sz w:val="32"/>
          <w:szCs w:val="32"/>
          <w:rtl/>
        </w:rPr>
        <w:t xml:space="preserve"> </w:t>
      </w:r>
      <w:r w:rsidRPr="00AE433A">
        <w:rPr>
          <w:rStyle w:val="FootnoteReference"/>
          <w:rFonts w:ascii="Arial" w:hAnsi="Arial" w:cs="Traditional Arabic"/>
          <w:sz w:val="32"/>
          <w:szCs w:val="32"/>
          <w:rtl/>
        </w:rPr>
        <w:footnoteReference w:id="728"/>
      </w:r>
    </w:p>
    <w:p w:rsidR="00343B61" w:rsidRDefault="00343B61" w:rsidP="00343B61">
      <w:pPr>
        <w:autoSpaceDE w:val="0"/>
        <w:autoSpaceDN w:val="0"/>
        <w:adjustRightInd w:val="0"/>
        <w:spacing w:after="0" w:line="240" w:lineRule="auto"/>
        <w:ind w:left="720" w:firstLine="270"/>
        <w:rPr>
          <w:rFonts w:ascii="Times New Roman" w:hAnsi="Times New Roman" w:cs="Times New Roman"/>
          <w:sz w:val="24"/>
          <w:szCs w:val="24"/>
        </w:rPr>
      </w:pPr>
      <w:r>
        <w:rPr>
          <w:rFonts w:ascii="Times New Roman" w:hAnsi="Times New Roman" w:cs="Times New Roman"/>
          <w:sz w:val="24"/>
          <w:szCs w:val="24"/>
        </w:rPr>
        <w:t>Artinya: “</w:t>
      </w:r>
      <w:r w:rsidRPr="002104A5">
        <w:rPr>
          <w:rFonts w:ascii="Times New Roman" w:hAnsi="Times New Roman" w:cs="Times New Roman"/>
          <w:i/>
          <w:iCs/>
          <w:sz w:val="24"/>
          <w:szCs w:val="24"/>
        </w:rPr>
        <w:t>Kemudharatan itu harus dihilangkan</w:t>
      </w:r>
      <w:r>
        <w:rPr>
          <w:rFonts w:ascii="Times New Roman" w:hAnsi="Times New Roman" w:cs="Times New Roman"/>
          <w:sz w:val="24"/>
          <w:szCs w:val="24"/>
        </w:rPr>
        <w:t>”</w:t>
      </w:r>
    </w:p>
    <w:p w:rsidR="00343B61" w:rsidRDefault="00343B61" w:rsidP="00343B61">
      <w:pPr>
        <w:autoSpaceDE w:val="0"/>
        <w:autoSpaceDN w:val="0"/>
        <w:adjustRightInd w:val="0"/>
        <w:spacing w:after="0" w:line="240" w:lineRule="auto"/>
        <w:ind w:left="720" w:firstLine="270"/>
        <w:rPr>
          <w:rFonts w:ascii="Times New Roman" w:hAnsi="Times New Roman" w:cs="Times New Roman"/>
          <w:sz w:val="24"/>
          <w:szCs w:val="24"/>
        </w:rPr>
      </w:pPr>
    </w:p>
    <w:p w:rsidR="00343B61" w:rsidRPr="00462C94" w:rsidRDefault="00343B61" w:rsidP="00343B61">
      <w:pPr>
        <w:autoSpaceDE w:val="0"/>
        <w:autoSpaceDN w:val="0"/>
        <w:bidi/>
        <w:adjustRightInd w:val="0"/>
        <w:spacing w:after="0" w:line="240" w:lineRule="auto"/>
        <w:ind w:left="720" w:hanging="613"/>
        <w:rPr>
          <w:rFonts w:ascii="Arial" w:hAnsi="Arial" w:cs="Traditional Arabic"/>
          <w:sz w:val="32"/>
          <w:szCs w:val="32"/>
        </w:rPr>
      </w:pPr>
      <w:r w:rsidRPr="00AE433A">
        <w:rPr>
          <w:rFonts w:ascii="Arial" w:hAnsi="Arial" w:cs="Traditional Arabic"/>
          <w:sz w:val="32"/>
          <w:szCs w:val="32"/>
          <w:rtl/>
        </w:rPr>
        <w:t>حُكْمَ الْحَاكِمِ إلْزَامٌ وَيَرْفَعُ الْخِلَافَ</w:t>
      </w:r>
      <w:r w:rsidRPr="00AE433A">
        <w:rPr>
          <w:rFonts w:ascii="Arial" w:hAnsi="Arial" w:cs="Traditional Arabic" w:hint="cs"/>
          <w:sz w:val="32"/>
          <w:szCs w:val="32"/>
          <w:rtl/>
        </w:rPr>
        <w:t xml:space="preserve"> </w:t>
      </w:r>
      <w:r w:rsidRPr="00AE433A">
        <w:rPr>
          <w:rStyle w:val="FootnoteReference"/>
          <w:rFonts w:ascii="Arial" w:hAnsi="Arial" w:cs="Traditional Arabic"/>
          <w:sz w:val="32"/>
          <w:szCs w:val="32"/>
          <w:rtl/>
        </w:rPr>
        <w:footnoteReference w:id="729"/>
      </w:r>
    </w:p>
    <w:p w:rsidR="00343B61" w:rsidRDefault="00343B61" w:rsidP="00343B61">
      <w:pPr>
        <w:autoSpaceDE w:val="0"/>
        <w:autoSpaceDN w:val="0"/>
        <w:adjustRightInd w:val="0"/>
        <w:spacing w:after="0" w:line="240" w:lineRule="auto"/>
        <w:ind w:left="990"/>
        <w:rPr>
          <w:rFonts w:ascii="Times New Roman" w:hAnsi="Times New Roman" w:cs="Times New Roman"/>
          <w:i/>
          <w:iCs/>
          <w:sz w:val="24"/>
          <w:szCs w:val="24"/>
        </w:rPr>
      </w:pPr>
      <w:r>
        <w:rPr>
          <w:rFonts w:ascii="Times New Roman" w:hAnsi="Times New Roman" w:cs="Times New Roman"/>
          <w:sz w:val="24"/>
          <w:szCs w:val="24"/>
        </w:rPr>
        <w:t>Artinya: “</w:t>
      </w:r>
      <w:r w:rsidRPr="003241D9">
        <w:rPr>
          <w:rFonts w:ascii="Times New Roman" w:hAnsi="Times New Roman" w:cs="Times New Roman"/>
          <w:i/>
          <w:iCs/>
          <w:sz w:val="24"/>
          <w:szCs w:val="24"/>
        </w:rPr>
        <w:t>Keputusan hakim itu mengikat dan menghilangkan perbedaan”.</w:t>
      </w:r>
    </w:p>
    <w:p w:rsidR="00343B61" w:rsidRPr="00AE433A" w:rsidRDefault="00343B61" w:rsidP="00343B61">
      <w:pPr>
        <w:pStyle w:val="ListParagraph"/>
        <w:tabs>
          <w:tab w:val="left" w:pos="7920"/>
        </w:tabs>
        <w:autoSpaceDE w:val="0"/>
        <w:autoSpaceDN w:val="0"/>
        <w:bidi/>
        <w:adjustRightInd w:val="0"/>
        <w:spacing w:after="0" w:line="240" w:lineRule="auto"/>
        <w:ind w:left="2160" w:right="17" w:hanging="2143"/>
        <w:jc w:val="both"/>
        <w:rPr>
          <w:rFonts w:asciiTheme="majorBidi" w:hAnsiTheme="majorBidi" w:cs="Traditional Arabic"/>
          <w:sz w:val="32"/>
          <w:szCs w:val="32"/>
          <w:rtl/>
        </w:rPr>
      </w:pPr>
      <w:r w:rsidRPr="00AE433A">
        <w:rPr>
          <w:rFonts w:ascii="Arial" w:hAnsi="Arial" w:cs="Traditional Arabic"/>
          <w:sz w:val="32"/>
          <w:szCs w:val="32"/>
          <w:rtl/>
        </w:rPr>
        <w:t>تَصَرُّفُ الْإِمَامِ عَلَى الرَّعِيَّةِ مَنُوطٌ بِالْمَصْلَحَةِ</w:t>
      </w:r>
      <w:r w:rsidRPr="00AE433A">
        <w:rPr>
          <w:rStyle w:val="FootnoteReference"/>
          <w:rFonts w:asciiTheme="majorBidi" w:hAnsiTheme="majorBidi" w:cs="Traditional Arabic"/>
          <w:sz w:val="32"/>
          <w:szCs w:val="32"/>
          <w:rtl/>
        </w:rPr>
        <w:footnoteReference w:id="730"/>
      </w:r>
    </w:p>
    <w:p w:rsidR="00343B61" w:rsidRDefault="00343B61" w:rsidP="00343B61">
      <w:pPr>
        <w:pStyle w:val="ListParagraph"/>
        <w:tabs>
          <w:tab w:val="left" w:pos="7920"/>
        </w:tabs>
        <w:autoSpaceDE w:val="0"/>
        <w:autoSpaceDN w:val="0"/>
        <w:adjustRightInd w:val="0"/>
        <w:spacing w:after="0" w:line="240" w:lineRule="auto"/>
        <w:ind w:left="900" w:right="17"/>
        <w:jc w:val="both"/>
        <w:rPr>
          <w:rFonts w:ascii="Times New Roman" w:hAnsi="Times New Roman" w:cs="Times New Roman"/>
          <w:i/>
          <w:iCs/>
          <w:sz w:val="24"/>
          <w:szCs w:val="24"/>
        </w:rPr>
      </w:pPr>
      <w:r>
        <w:rPr>
          <w:rFonts w:asciiTheme="majorBidi" w:hAnsiTheme="majorBidi" w:cstheme="majorBidi"/>
          <w:sz w:val="24"/>
          <w:szCs w:val="24"/>
        </w:rPr>
        <w:t xml:space="preserve">Artinya: “ </w:t>
      </w:r>
      <w:r>
        <w:rPr>
          <w:rFonts w:asciiTheme="majorBidi" w:hAnsiTheme="majorBidi" w:cstheme="majorBidi"/>
          <w:i/>
          <w:iCs/>
          <w:sz w:val="24"/>
          <w:szCs w:val="24"/>
        </w:rPr>
        <w:t>Kebijakan pemimipin terhadap rakyat</w:t>
      </w:r>
      <w:r w:rsidRPr="005B4676">
        <w:rPr>
          <w:rFonts w:asciiTheme="majorBidi" w:hAnsiTheme="majorBidi" w:cstheme="majorBidi"/>
          <w:i/>
          <w:iCs/>
          <w:sz w:val="24"/>
          <w:szCs w:val="24"/>
        </w:rPr>
        <w:t xml:space="preserve"> </w:t>
      </w:r>
      <w:r>
        <w:rPr>
          <w:rFonts w:ascii="Times New Roman" w:hAnsi="Times New Roman" w:cs="Times New Roman"/>
          <w:i/>
          <w:iCs/>
          <w:sz w:val="24"/>
          <w:szCs w:val="24"/>
        </w:rPr>
        <w:t>harus dikaitkan pada kemaslahatan”.</w:t>
      </w:r>
    </w:p>
    <w:p w:rsidR="00343B61" w:rsidRPr="00AE433A" w:rsidRDefault="00343B61" w:rsidP="00343B61">
      <w:pPr>
        <w:pStyle w:val="ListParagraph"/>
        <w:tabs>
          <w:tab w:val="left" w:pos="7920"/>
        </w:tabs>
        <w:autoSpaceDE w:val="0"/>
        <w:autoSpaceDN w:val="0"/>
        <w:bidi/>
        <w:adjustRightInd w:val="0"/>
        <w:spacing w:after="0" w:line="240" w:lineRule="auto"/>
        <w:ind w:left="900" w:right="17" w:hanging="883"/>
        <w:jc w:val="both"/>
        <w:rPr>
          <w:rFonts w:ascii="Arial" w:hAnsi="Arial" w:cs="Traditional Arabic"/>
          <w:sz w:val="32"/>
          <w:szCs w:val="32"/>
        </w:rPr>
      </w:pPr>
      <w:r w:rsidRPr="00AE433A">
        <w:rPr>
          <w:rFonts w:ascii="Arial" w:hAnsi="Arial" w:cs="Traditional Arabic"/>
          <w:sz w:val="32"/>
          <w:szCs w:val="32"/>
          <w:rtl/>
        </w:rPr>
        <w:t>الْأُمُورُ بِمَقَاصِدِهَا</w:t>
      </w:r>
      <w:r w:rsidRPr="00AE433A">
        <w:rPr>
          <w:rFonts w:ascii="Arial" w:hAnsi="Arial" w:cs="Traditional Arabic" w:hint="cs"/>
          <w:sz w:val="32"/>
          <w:szCs w:val="32"/>
          <w:rtl/>
        </w:rPr>
        <w:t xml:space="preserve"> </w:t>
      </w:r>
      <w:r w:rsidRPr="00AE433A">
        <w:rPr>
          <w:rStyle w:val="FootnoteReference"/>
          <w:rFonts w:ascii="Arial" w:hAnsi="Arial" w:cs="Traditional Arabic"/>
          <w:sz w:val="32"/>
          <w:szCs w:val="32"/>
          <w:rtl/>
        </w:rPr>
        <w:footnoteReference w:id="731"/>
      </w:r>
    </w:p>
    <w:p w:rsidR="00343B61" w:rsidRPr="00A62F36" w:rsidRDefault="00343B61" w:rsidP="00343B61">
      <w:pPr>
        <w:pStyle w:val="ListParagraph"/>
        <w:tabs>
          <w:tab w:val="left" w:pos="7920"/>
        </w:tabs>
        <w:autoSpaceDE w:val="0"/>
        <w:autoSpaceDN w:val="0"/>
        <w:adjustRightInd w:val="0"/>
        <w:spacing w:after="0" w:line="240" w:lineRule="auto"/>
        <w:ind w:left="900" w:right="17"/>
        <w:jc w:val="both"/>
        <w:rPr>
          <w:rFonts w:asciiTheme="majorBidi" w:hAnsiTheme="majorBidi" w:cstheme="majorBidi"/>
          <w:sz w:val="24"/>
          <w:szCs w:val="24"/>
        </w:rPr>
      </w:pPr>
      <w:r>
        <w:rPr>
          <w:rFonts w:ascii="Times New Roman" w:hAnsi="Times New Roman" w:cs="Times New Roman"/>
          <w:sz w:val="24"/>
          <w:szCs w:val="24"/>
        </w:rPr>
        <w:lastRenderedPageBreak/>
        <w:t>Artinya: “</w:t>
      </w:r>
      <w:r w:rsidRPr="003241D9">
        <w:rPr>
          <w:rFonts w:ascii="Times New Roman" w:hAnsi="Times New Roman" w:cs="Times New Roman"/>
          <w:i/>
          <w:iCs/>
          <w:sz w:val="24"/>
          <w:szCs w:val="24"/>
        </w:rPr>
        <w:t>Segala perkara itu tergantung dengan tujuannya</w:t>
      </w:r>
      <w:r>
        <w:rPr>
          <w:rFonts w:ascii="Times New Roman" w:hAnsi="Times New Roman" w:cs="Times New Roman"/>
          <w:sz w:val="24"/>
          <w:szCs w:val="24"/>
        </w:rPr>
        <w:t>”</w:t>
      </w:r>
    </w:p>
    <w:p w:rsidR="00343B61" w:rsidRPr="00462C94" w:rsidRDefault="00343B61" w:rsidP="00343B61">
      <w:pPr>
        <w:autoSpaceDE w:val="0"/>
        <w:autoSpaceDN w:val="0"/>
        <w:bidi/>
        <w:adjustRightInd w:val="0"/>
        <w:spacing w:after="0" w:line="240" w:lineRule="auto"/>
        <w:rPr>
          <w:rFonts w:ascii="TimesNewRoman,Bold" w:hAnsi="Times New Roman" w:cs="Traditional Arabic"/>
          <w:sz w:val="32"/>
          <w:szCs w:val="32"/>
          <w:rtl/>
        </w:rPr>
      </w:pPr>
      <w:r w:rsidRPr="00AE433A">
        <w:rPr>
          <w:rFonts w:ascii="TimesNewRoman,Bold" w:hAnsi="Times New Roman" w:cs="Traditional Arabic" w:hint="cs"/>
          <w:sz w:val="32"/>
          <w:szCs w:val="32"/>
          <w:rtl/>
        </w:rPr>
        <w:t xml:space="preserve">مقاصد اللفظ على نية اللافظ </w:t>
      </w:r>
      <w:r w:rsidRPr="00AE433A">
        <w:rPr>
          <w:rStyle w:val="FootnoteReference"/>
          <w:rFonts w:ascii="TimesNewRoman,Bold" w:hAnsi="Times New Roman" w:cs="Traditional Arabic"/>
          <w:sz w:val="32"/>
          <w:szCs w:val="32"/>
          <w:rtl/>
        </w:rPr>
        <w:footnoteReference w:id="732"/>
      </w:r>
    </w:p>
    <w:p w:rsidR="00343B61" w:rsidRDefault="00343B61" w:rsidP="00343B6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FD260F">
        <w:rPr>
          <w:rFonts w:ascii="Times New Roman" w:hAnsi="Times New Roman" w:cs="Times New Roman"/>
          <w:sz w:val="24"/>
          <w:szCs w:val="24"/>
        </w:rPr>
        <w:t>Artinya</w:t>
      </w:r>
      <w:r>
        <w:rPr>
          <w:rFonts w:ascii="Times New Roman" w:hAnsi="Times New Roman" w:cs="Times New Roman"/>
          <w:i/>
          <w:iCs/>
          <w:sz w:val="24"/>
          <w:szCs w:val="24"/>
        </w:rPr>
        <w:t>:”  Maksud perkataan tergantung niat orang yang berkata”.</w:t>
      </w:r>
    </w:p>
    <w:p w:rsidR="00343B61" w:rsidRPr="00335B25" w:rsidRDefault="00343B61" w:rsidP="00343B61">
      <w:pPr>
        <w:autoSpaceDE w:val="0"/>
        <w:autoSpaceDN w:val="0"/>
        <w:adjustRightInd w:val="0"/>
        <w:spacing w:after="0" w:line="240" w:lineRule="auto"/>
        <w:rPr>
          <w:rFonts w:ascii="Times New Roman" w:hAnsi="Times New Roman" w:cs="Times New Roman"/>
          <w:sz w:val="24"/>
          <w:szCs w:val="24"/>
        </w:rPr>
      </w:pPr>
    </w:p>
    <w:p w:rsidR="00343B61"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Dengan demikian, putusan fatwa MUI tentang Talak diluar sidang pengadilan didasarkan pada prinsip </w:t>
      </w:r>
      <w:r w:rsidRPr="00703A6A">
        <w:rPr>
          <w:rFonts w:ascii="Times New Roman" w:hAnsi="Times New Roman" w:cs="Times New Roman"/>
          <w:i/>
          <w:iCs/>
          <w:sz w:val="24"/>
          <w:szCs w:val="24"/>
        </w:rPr>
        <w:t>maslahat</w:t>
      </w:r>
      <w:r>
        <w:rPr>
          <w:rFonts w:ascii="Times New Roman" w:hAnsi="Times New Roman" w:cs="Times New Roman"/>
          <w:sz w:val="24"/>
          <w:szCs w:val="24"/>
        </w:rPr>
        <w:t xml:space="preserve"> dan </w:t>
      </w:r>
      <w:r w:rsidRPr="00703A6A">
        <w:rPr>
          <w:rFonts w:ascii="Times New Roman" w:hAnsi="Times New Roman" w:cs="Times New Roman"/>
          <w:i/>
          <w:iCs/>
          <w:sz w:val="24"/>
          <w:szCs w:val="24"/>
        </w:rPr>
        <w:t>mafsadat</w:t>
      </w:r>
      <w:r>
        <w:rPr>
          <w:rFonts w:ascii="Times New Roman" w:hAnsi="Times New Roman" w:cs="Times New Roman"/>
          <w:sz w:val="24"/>
          <w:szCs w:val="24"/>
        </w:rPr>
        <w:t xml:space="preserve">. Talak menjadi haram dan tidak sah bila terdapat </w:t>
      </w:r>
      <w:r w:rsidRPr="009D3E67">
        <w:rPr>
          <w:rFonts w:ascii="Times New Roman" w:hAnsi="Times New Roman" w:cs="Times New Roman"/>
          <w:i/>
          <w:iCs/>
          <w:sz w:val="24"/>
          <w:szCs w:val="24"/>
        </w:rPr>
        <w:t>mudharat</w:t>
      </w:r>
      <w:r>
        <w:rPr>
          <w:rFonts w:ascii="Times New Roman" w:hAnsi="Times New Roman" w:cs="Times New Roman"/>
          <w:sz w:val="24"/>
          <w:szCs w:val="24"/>
        </w:rPr>
        <w:t xml:space="preserve">, dan demi </w:t>
      </w:r>
      <w:r w:rsidRPr="00975508">
        <w:rPr>
          <w:rFonts w:ascii="Times New Roman" w:hAnsi="Times New Roman" w:cs="Times New Roman"/>
          <w:sz w:val="24"/>
          <w:szCs w:val="24"/>
          <w:lang w:val="sv-SE"/>
        </w:rPr>
        <w:t xml:space="preserve">kepentingan </w:t>
      </w:r>
      <w:r w:rsidRPr="009D3E67">
        <w:rPr>
          <w:rFonts w:ascii="Times New Roman" w:hAnsi="Times New Roman" w:cs="Times New Roman"/>
          <w:i/>
          <w:iCs/>
          <w:sz w:val="24"/>
          <w:szCs w:val="24"/>
          <w:lang w:val="sv-SE"/>
        </w:rPr>
        <w:t>kemaslahatan</w:t>
      </w:r>
      <w:r w:rsidRPr="00975508">
        <w:rPr>
          <w:rFonts w:ascii="Times New Roman" w:hAnsi="Times New Roman" w:cs="Times New Roman"/>
          <w:sz w:val="24"/>
          <w:szCs w:val="24"/>
          <w:lang w:val="sv-SE"/>
        </w:rPr>
        <w:t xml:space="preserve"> dan menjamin kepastian hukum, talak di luar pengadilan harus dilaporkan (</w:t>
      </w:r>
      <w:r w:rsidRPr="00975508">
        <w:rPr>
          <w:rFonts w:ascii="Times New Roman" w:hAnsi="Times New Roman" w:cs="Times New Roman"/>
          <w:i/>
          <w:iCs/>
          <w:sz w:val="24"/>
          <w:szCs w:val="24"/>
          <w:lang w:val="sv-SE"/>
        </w:rPr>
        <w:t>ikhbar</w:t>
      </w:r>
      <w:r w:rsidRPr="00975508">
        <w:rPr>
          <w:rFonts w:ascii="Times New Roman" w:hAnsi="Times New Roman" w:cs="Times New Roman"/>
          <w:sz w:val="24"/>
          <w:szCs w:val="24"/>
          <w:lang w:val="sv-SE"/>
        </w:rPr>
        <w:t>) kepada Pengadilan Agama</w:t>
      </w:r>
      <w:r>
        <w:rPr>
          <w:rFonts w:ascii="Times New Roman" w:hAnsi="Times New Roman" w:cs="Times New Roman"/>
          <w:sz w:val="24"/>
          <w:szCs w:val="24"/>
          <w:lang w:val="sv-SE"/>
        </w:rPr>
        <w:t xml:space="preserve">. Sesunggunya dari kalimat ini MUI sebenarnya mengatakan bahwa Talak di Luar sidang pengadilan tidak sah, tetapi dengan bahasa yang tidak tegas, sebab kalimat </w:t>
      </w:r>
      <w:r w:rsidRPr="009D3E67">
        <w:rPr>
          <w:rFonts w:ascii="Times New Roman" w:hAnsi="Times New Roman" w:cs="Times New Roman"/>
          <w:i/>
          <w:iCs/>
          <w:sz w:val="24"/>
          <w:szCs w:val="24"/>
          <w:lang w:val="sv-SE"/>
        </w:rPr>
        <w:t>mudharat</w:t>
      </w:r>
      <w:r>
        <w:rPr>
          <w:rFonts w:ascii="Times New Roman" w:hAnsi="Times New Roman" w:cs="Times New Roman"/>
          <w:sz w:val="24"/>
          <w:szCs w:val="24"/>
          <w:lang w:val="sv-SE"/>
        </w:rPr>
        <w:t xml:space="preserve"> yang ada dalam putusan fatwa hampir bisa dipastikan ada dalam perceraian yang dilakukan diluar sidang pengadilan dan tentunya perceraian tersebut tidak maslahat apabila tidak dilakukan di depan sidang pengadilan.</w:t>
      </w:r>
    </w:p>
    <w:p w:rsidR="00343B61" w:rsidRPr="000811A5" w:rsidRDefault="00343B61" w:rsidP="00343B61">
      <w:pPr>
        <w:spacing w:after="0" w:line="360" w:lineRule="auto"/>
        <w:ind w:firstLine="810"/>
        <w:jc w:val="both"/>
        <w:rPr>
          <w:rFonts w:asciiTheme="majorBidi" w:hAnsiTheme="majorBidi" w:cstheme="majorBidi"/>
          <w:i/>
          <w:iCs/>
          <w:sz w:val="24"/>
          <w:szCs w:val="24"/>
          <w:lang w:val="sv-SE"/>
        </w:rPr>
      </w:pPr>
      <w:r w:rsidRPr="00946E89">
        <w:rPr>
          <w:rFonts w:ascii="Z@R7589.tmp" w:hAnsi="Z@R7589.tmp" w:cs="Z@R7589.tmp"/>
          <w:sz w:val="24"/>
          <w:szCs w:val="24"/>
          <w:lang w:val="sv-SE"/>
        </w:rPr>
        <w:t>Sementara</w:t>
      </w:r>
      <w:r>
        <w:rPr>
          <w:rFonts w:ascii="Z@R7589.tmp" w:hAnsi="Z@R7589.tmp" w:cs="Z@R7589.tmp"/>
          <w:sz w:val="24"/>
          <w:szCs w:val="24"/>
          <w:lang w:val="sv-SE"/>
        </w:rPr>
        <w:t xml:space="preserve"> itu</w:t>
      </w:r>
      <w:r w:rsidRPr="00946E89">
        <w:rPr>
          <w:rFonts w:ascii="Z@R7589.tmp" w:hAnsi="Z@R7589.tmp" w:cs="Z@R7589.tmp"/>
          <w:sz w:val="24"/>
          <w:szCs w:val="24"/>
          <w:lang w:val="sv-SE"/>
        </w:rPr>
        <w:t>, pendekatan fatwa yang digunakan</w:t>
      </w:r>
      <w:r>
        <w:rPr>
          <w:rFonts w:ascii="Z@R7589.tmp" w:hAnsi="Z@R7589.tmp" w:cs="Z@R7589.tmp"/>
          <w:sz w:val="24"/>
          <w:szCs w:val="24"/>
          <w:lang w:val="sv-SE"/>
        </w:rPr>
        <w:t xml:space="preserve"> oleh MUI dalam memutus fatwa di Luar Sidang Pengadilan ini</w:t>
      </w:r>
      <w:r w:rsidRPr="00946E89">
        <w:rPr>
          <w:rFonts w:ascii="Z@R7589.tmp" w:hAnsi="Z@R7589.tmp" w:cs="Z@R7589.tmp"/>
          <w:sz w:val="24"/>
          <w:szCs w:val="24"/>
          <w:lang w:val="sv-SE"/>
        </w:rPr>
        <w:t xml:space="preserve"> adalah pendekatan </w:t>
      </w:r>
      <w:r w:rsidRPr="00946E89">
        <w:rPr>
          <w:rFonts w:ascii="Z@R758F.tmp,Italic" w:hAnsi="Z@R758F.tmp,Italic" w:cs="Z@R758F.tmp,Italic"/>
          <w:i/>
          <w:iCs/>
          <w:sz w:val="24"/>
          <w:szCs w:val="24"/>
          <w:lang w:val="sv-SE"/>
        </w:rPr>
        <w:t xml:space="preserve">qauli, </w:t>
      </w:r>
      <w:r w:rsidRPr="00946E89">
        <w:rPr>
          <w:rFonts w:ascii="Z@R7589.tmp" w:hAnsi="Z@R7589.tmp" w:cs="Z@R7589.tmp"/>
          <w:sz w:val="24"/>
          <w:szCs w:val="24"/>
          <w:lang w:val="sv-SE"/>
        </w:rPr>
        <w:t xml:space="preserve">dengan mengambil pendapat Ulama menggunakan metode tarjih, serta </w:t>
      </w:r>
      <w:r w:rsidRPr="00946E89">
        <w:rPr>
          <w:rFonts w:ascii="Z@R758F.tmp,Italic" w:hAnsi="Z@R758F.tmp,Italic" w:cs="Z@R758F.tmp,Italic"/>
          <w:i/>
          <w:iCs/>
          <w:sz w:val="24"/>
          <w:szCs w:val="24"/>
          <w:lang w:val="sv-SE"/>
        </w:rPr>
        <w:t xml:space="preserve">manhaji, </w:t>
      </w:r>
      <w:r w:rsidRPr="00946E89">
        <w:rPr>
          <w:rFonts w:ascii="Z@R7589.tmp" w:hAnsi="Z@R7589.tmp" w:cs="Z@R7589.tmp"/>
          <w:sz w:val="24"/>
          <w:szCs w:val="24"/>
          <w:lang w:val="sv-SE"/>
        </w:rPr>
        <w:t>dengan menggunakan</w:t>
      </w:r>
      <w:r>
        <w:rPr>
          <w:rFonts w:ascii="Z@R7589.tmp" w:hAnsi="Z@R7589.tmp" w:cs="Z@R7589.tmp"/>
          <w:sz w:val="24"/>
          <w:szCs w:val="24"/>
          <w:lang w:val="sv-SE"/>
        </w:rPr>
        <w:t xml:space="preserve"> </w:t>
      </w:r>
      <w:r w:rsidRPr="00BF71F0">
        <w:rPr>
          <w:rFonts w:asciiTheme="majorBidi" w:hAnsiTheme="majorBidi" w:cstheme="majorBidi"/>
          <w:i/>
          <w:iCs/>
          <w:sz w:val="24"/>
          <w:szCs w:val="24"/>
          <w:lang w:val="sv-SE"/>
        </w:rPr>
        <w:t>masla</w:t>
      </w:r>
      <w:r w:rsidRPr="00BF71F0">
        <w:rPr>
          <w:rFonts w:asciiTheme="majorBidi" w:hAnsiTheme="majorBidi" w:cstheme="majorBidi"/>
          <w:i/>
          <w:iCs/>
          <w:sz w:val="24"/>
          <w:szCs w:val="24"/>
          <w:u w:val="single"/>
          <w:lang w:val="sv-SE"/>
        </w:rPr>
        <w:t>h</w:t>
      </w:r>
      <w:r w:rsidRPr="00BF71F0">
        <w:rPr>
          <w:rFonts w:asciiTheme="majorBidi" w:hAnsiTheme="majorBidi" w:cstheme="majorBidi"/>
          <w:i/>
          <w:iCs/>
          <w:sz w:val="24"/>
          <w:szCs w:val="24"/>
          <w:lang w:val="sv-SE"/>
        </w:rPr>
        <w:t>ah</w:t>
      </w:r>
      <w:r>
        <w:rPr>
          <w:rFonts w:ascii="Z@R758F.tmp,Italic" w:hAnsi="Z@R758F.tmp,Italic" w:cs="Z@R758F.tmp,Italic"/>
          <w:i/>
          <w:iCs/>
          <w:sz w:val="24"/>
          <w:szCs w:val="24"/>
          <w:lang w:val="sv-SE"/>
        </w:rPr>
        <w:t xml:space="preserve"> </w:t>
      </w:r>
      <w:r w:rsidRPr="00946E89">
        <w:rPr>
          <w:rFonts w:ascii="Z@R7589.tmp" w:hAnsi="Z@R7589.tmp" w:cs="Z@R7589.tmp"/>
          <w:sz w:val="24"/>
          <w:szCs w:val="24"/>
          <w:lang w:val="sv-SE"/>
        </w:rPr>
        <w:t xml:space="preserve">sebagai metode penetapan hukumnya, melalui implementasi </w:t>
      </w:r>
      <w:r w:rsidRPr="00B86000">
        <w:rPr>
          <w:rFonts w:ascii="Z@R7589.tmp" w:hAnsi="Z@R7589.tmp" w:cs="Z@R7589.tmp"/>
          <w:i/>
          <w:iCs/>
          <w:sz w:val="24"/>
          <w:szCs w:val="24"/>
          <w:lang w:val="sv-SE"/>
        </w:rPr>
        <w:t>q</w:t>
      </w:r>
      <w:r w:rsidRPr="000811A5">
        <w:rPr>
          <w:rFonts w:asciiTheme="majorBidi" w:hAnsiTheme="majorBidi" w:cstheme="majorBidi"/>
          <w:i/>
          <w:iCs/>
          <w:sz w:val="24"/>
          <w:szCs w:val="24"/>
          <w:lang w:val="sv-SE"/>
        </w:rPr>
        <w:t>ā</w:t>
      </w:r>
      <w:r w:rsidRPr="00B86000">
        <w:rPr>
          <w:rFonts w:ascii="Z@R7589.tmp" w:hAnsi="Z@R7589.tmp" w:cs="Z@R7589.tmp"/>
          <w:i/>
          <w:iCs/>
          <w:sz w:val="24"/>
          <w:szCs w:val="24"/>
          <w:lang w:val="sv-SE"/>
        </w:rPr>
        <w:t>'idah fiqhiyyah</w:t>
      </w:r>
      <w:r w:rsidRPr="00946E89">
        <w:rPr>
          <w:rFonts w:ascii="Z@R7589.tmp" w:hAnsi="Z@R7589.tmp" w:cs="Z@R7589.tmp"/>
          <w:sz w:val="24"/>
          <w:szCs w:val="24"/>
          <w:lang w:val="sv-SE"/>
        </w:rPr>
        <w:t xml:space="preserve">. Corak ijtihadnya merupakan ijtihad </w:t>
      </w:r>
      <w:r w:rsidRPr="00946E89">
        <w:rPr>
          <w:rFonts w:ascii="Z@R758F.tmp,Italic" w:hAnsi="Z@R758F.tmp,Italic" w:cs="Z@R758F.tmp,Italic"/>
          <w:i/>
          <w:iCs/>
          <w:sz w:val="24"/>
          <w:szCs w:val="24"/>
          <w:lang w:val="sv-SE"/>
        </w:rPr>
        <w:t xml:space="preserve">intiqai, </w:t>
      </w:r>
      <w:r w:rsidRPr="00946E89">
        <w:rPr>
          <w:rFonts w:ascii="Z@R7589.tmp" w:hAnsi="Z@R7589.tmp" w:cs="Z@R7589.tmp"/>
          <w:sz w:val="24"/>
          <w:szCs w:val="24"/>
          <w:lang w:val="sv-SE"/>
        </w:rPr>
        <w:t>dengan memilih pendapat fiqh yang mengatakan sah talak dilu</w:t>
      </w:r>
      <w:r>
        <w:rPr>
          <w:rFonts w:ascii="Z@R7589.tmp" w:hAnsi="Z@R7589.tmp" w:cs="Z@R7589.tmp"/>
          <w:sz w:val="24"/>
          <w:szCs w:val="24"/>
          <w:lang w:val="sv-SE"/>
        </w:rPr>
        <w:t>a</w:t>
      </w:r>
      <w:r w:rsidRPr="00946E89">
        <w:rPr>
          <w:rFonts w:ascii="Z@R7589.tmp" w:hAnsi="Z@R7589.tmp" w:cs="Z@R7589.tmp"/>
          <w:sz w:val="24"/>
          <w:szCs w:val="24"/>
          <w:lang w:val="sv-SE"/>
        </w:rPr>
        <w:t xml:space="preserve">r sidang pengadilan bila tidak ada </w:t>
      </w:r>
      <w:r w:rsidRPr="00946E89">
        <w:rPr>
          <w:rFonts w:ascii="Z@R7589.tmp" w:hAnsi="Z@R7589.tmp" w:cs="Z@R7589.tmp"/>
          <w:i/>
          <w:iCs/>
          <w:sz w:val="24"/>
          <w:szCs w:val="24"/>
          <w:lang w:val="sv-SE"/>
        </w:rPr>
        <w:t>mudharat</w:t>
      </w:r>
      <w:r>
        <w:rPr>
          <w:rFonts w:ascii="Z@R758F.tmp,Italic" w:hAnsi="Z@R758F.tmp,Italic" w:cs="Z@R758F.tmp,Italic"/>
          <w:i/>
          <w:iCs/>
          <w:sz w:val="24"/>
          <w:szCs w:val="24"/>
          <w:lang w:val="sv-SE"/>
        </w:rPr>
        <w:t xml:space="preserve">. </w:t>
      </w:r>
      <w:r w:rsidRPr="00946E89">
        <w:rPr>
          <w:rFonts w:ascii="Z@R7589.tmp" w:hAnsi="Z@R7589.tmp" w:cs="Z@R7589.tmp"/>
          <w:sz w:val="24"/>
          <w:szCs w:val="24"/>
          <w:lang w:val="sv-SE"/>
        </w:rPr>
        <w:t xml:space="preserve">Hal ini dimaksudkan supaya jangan </w:t>
      </w:r>
      <w:r>
        <w:rPr>
          <w:rFonts w:ascii="Z@R7589.tmp" w:hAnsi="Z@R7589.tmp" w:cs="Z@R7589.tmp"/>
          <w:sz w:val="24"/>
          <w:szCs w:val="24"/>
          <w:lang w:val="sv-SE"/>
        </w:rPr>
        <w:t>memberatkan</w:t>
      </w:r>
      <w:r w:rsidRPr="00946E89">
        <w:rPr>
          <w:rFonts w:ascii="Z@R7589.tmp" w:hAnsi="Z@R7589.tmp" w:cs="Z@R7589.tmp"/>
          <w:sz w:val="24"/>
          <w:szCs w:val="24"/>
          <w:lang w:val="sv-SE"/>
        </w:rPr>
        <w:t xml:space="preserve"> kepada dua pihak yang bercerai</w:t>
      </w:r>
      <w:r>
        <w:rPr>
          <w:rFonts w:ascii="Z@R7589.tmp" w:hAnsi="Z@R7589.tmp" w:cs="Z@R7589.tmp"/>
          <w:sz w:val="24"/>
          <w:szCs w:val="24"/>
          <w:lang w:val="sv-SE"/>
        </w:rPr>
        <w:t xml:space="preserve"> dengan mahalnya urusan perceraian di pengadilan, dan urusan yang bertele-tele, rumit dan membutuhkan waktu.</w:t>
      </w:r>
    </w:p>
    <w:p w:rsidR="00343B61" w:rsidRPr="005F7A8F" w:rsidRDefault="00343B61" w:rsidP="00343B61">
      <w:pPr>
        <w:autoSpaceDE w:val="0"/>
        <w:autoSpaceDN w:val="0"/>
        <w:adjustRightInd w:val="0"/>
        <w:spacing w:after="0" w:line="360" w:lineRule="auto"/>
        <w:ind w:firstLine="720"/>
        <w:jc w:val="both"/>
        <w:rPr>
          <w:rFonts w:ascii="Times New Roman" w:hAnsi="Times New Roman" w:cs="Times New Roman"/>
          <w:sz w:val="24"/>
          <w:szCs w:val="24"/>
          <w:lang w:val="sv-SE"/>
        </w:rPr>
      </w:pPr>
      <w:r w:rsidRPr="005F7A8F">
        <w:rPr>
          <w:rFonts w:ascii="Times New Roman" w:hAnsi="Times New Roman" w:cs="Times New Roman"/>
          <w:sz w:val="24"/>
          <w:szCs w:val="24"/>
          <w:lang w:val="sv-SE"/>
        </w:rPr>
        <w:t xml:space="preserve">Melihat pemaparan di atas baik </w:t>
      </w:r>
      <w:r w:rsidRPr="005F7A8F">
        <w:rPr>
          <w:rFonts w:ascii="Times New Roman" w:hAnsi="Times New Roman" w:cs="Times New Roman"/>
          <w:i/>
          <w:iCs/>
          <w:sz w:val="24"/>
          <w:szCs w:val="24"/>
          <w:lang w:val="sv-SE"/>
        </w:rPr>
        <w:t>manfaat</w:t>
      </w:r>
      <w:r w:rsidRPr="005F7A8F">
        <w:rPr>
          <w:rFonts w:ascii="Times New Roman" w:hAnsi="Times New Roman" w:cs="Times New Roman"/>
          <w:sz w:val="24"/>
          <w:szCs w:val="24"/>
          <w:lang w:val="sv-SE"/>
        </w:rPr>
        <w:t xml:space="preserve"> dan </w:t>
      </w:r>
      <w:r w:rsidRPr="005F7A8F">
        <w:rPr>
          <w:rFonts w:ascii="Times New Roman" w:hAnsi="Times New Roman" w:cs="Times New Roman"/>
          <w:i/>
          <w:iCs/>
          <w:sz w:val="24"/>
          <w:szCs w:val="24"/>
          <w:lang w:val="sv-SE"/>
        </w:rPr>
        <w:t>mafsadat</w:t>
      </w:r>
      <w:r w:rsidRPr="005F7A8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dari </w:t>
      </w:r>
      <w:r w:rsidRPr="005F7A8F">
        <w:rPr>
          <w:rFonts w:ascii="Times New Roman" w:hAnsi="Times New Roman" w:cs="Times New Roman"/>
          <w:sz w:val="24"/>
          <w:szCs w:val="24"/>
          <w:lang w:val="sv-SE"/>
        </w:rPr>
        <w:t xml:space="preserve">Talak diluar sidang pengadilan, bila ditinjau dari segi siyasah syar’iyah maka fatwa sahnya talak diluar sidang pengadilan perlu ditinjau kembali karena walaupun ada </w:t>
      </w:r>
      <w:r w:rsidRPr="005F7A8F">
        <w:rPr>
          <w:rFonts w:ascii="Times New Roman" w:hAnsi="Times New Roman" w:cs="Times New Roman"/>
          <w:i/>
          <w:iCs/>
          <w:sz w:val="24"/>
          <w:szCs w:val="24"/>
          <w:lang w:val="sv-SE"/>
        </w:rPr>
        <w:t>maslahat</w:t>
      </w:r>
      <w:r w:rsidRPr="005F7A8F">
        <w:rPr>
          <w:rFonts w:ascii="Times New Roman" w:hAnsi="Times New Roman" w:cs="Times New Roman"/>
          <w:sz w:val="24"/>
          <w:szCs w:val="24"/>
          <w:lang w:val="sv-SE"/>
        </w:rPr>
        <w:t xml:space="preserve"> yang didapat, namun </w:t>
      </w:r>
      <w:r w:rsidRPr="005F7A8F">
        <w:rPr>
          <w:rFonts w:ascii="Times New Roman" w:hAnsi="Times New Roman" w:cs="Times New Roman"/>
          <w:i/>
          <w:iCs/>
          <w:sz w:val="24"/>
          <w:szCs w:val="24"/>
          <w:lang w:val="sv-SE"/>
        </w:rPr>
        <w:t>mafsadatnya</w:t>
      </w:r>
      <w:r w:rsidRPr="005F7A8F">
        <w:rPr>
          <w:rFonts w:ascii="Times New Roman" w:hAnsi="Times New Roman" w:cs="Times New Roman"/>
          <w:sz w:val="24"/>
          <w:szCs w:val="24"/>
          <w:lang w:val="sv-SE"/>
        </w:rPr>
        <w:t xml:space="preserve"> lebih besar. Dalam </w:t>
      </w:r>
      <w:r w:rsidRPr="005F7A8F">
        <w:rPr>
          <w:rFonts w:ascii="Times New Roman" w:hAnsi="Times New Roman" w:cs="Times New Roman"/>
          <w:i/>
          <w:iCs/>
          <w:sz w:val="24"/>
          <w:szCs w:val="24"/>
          <w:lang w:val="sv-SE"/>
        </w:rPr>
        <w:t>siyasah syar’iyah</w:t>
      </w:r>
      <w:r w:rsidRPr="005F7A8F">
        <w:rPr>
          <w:rFonts w:ascii="Times New Roman" w:hAnsi="Times New Roman" w:cs="Times New Roman"/>
          <w:sz w:val="24"/>
          <w:szCs w:val="24"/>
          <w:lang w:val="sv-SE"/>
        </w:rPr>
        <w:t xml:space="preserve"> bukan hanya sah atau tidaknya </w:t>
      </w:r>
      <w:r>
        <w:rPr>
          <w:rFonts w:ascii="Times New Roman" w:hAnsi="Times New Roman" w:cs="Times New Roman"/>
          <w:sz w:val="24"/>
          <w:szCs w:val="24"/>
          <w:lang w:val="sv-SE"/>
        </w:rPr>
        <w:t xml:space="preserve">suatu </w:t>
      </w:r>
      <w:r w:rsidRPr="005F7A8F">
        <w:rPr>
          <w:rFonts w:ascii="Times New Roman" w:hAnsi="Times New Roman" w:cs="Times New Roman"/>
          <w:sz w:val="24"/>
          <w:szCs w:val="24"/>
          <w:lang w:val="sv-SE"/>
        </w:rPr>
        <w:t xml:space="preserve">pekerjaan yang dipertimbangkan, tapi </w:t>
      </w:r>
      <w:r w:rsidRPr="005F7A8F">
        <w:rPr>
          <w:rFonts w:ascii="Times New Roman" w:hAnsi="Times New Roman" w:cs="Times New Roman"/>
          <w:sz w:val="24"/>
          <w:szCs w:val="24"/>
          <w:lang w:val="sv-SE"/>
        </w:rPr>
        <w:lastRenderedPageBreak/>
        <w:t xml:space="preserve">termasuk </w:t>
      </w:r>
      <w:r w:rsidRPr="005F7A8F">
        <w:rPr>
          <w:rFonts w:ascii="Times New Roman" w:hAnsi="Times New Roman" w:cs="Times New Roman"/>
          <w:i/>
          <w:iCs/>
          <w:sz w:val="24"/>
          <w:szCs w:val="24"/>
          <w:lang w:val="sv-SE"/>
        </w:rPr>
        <w:t>shaleh</w:t>
      </w:r>
      <w:r w:rsidRPr="005F7A8F">
        <w:rPr>
          <w:rFonts w:ascii="Times New Roman" w:hAnsi="Times New Roman" w:cs="Times New Roman"/>
          <w:sz w:val="24"/>
          <w:szCs w:val="24"/>
          <w:lang w:val="sv-SE"/>
        </w:rPr>
        <w:t xml:space="preserve"> dan </w:t>
      </w:r>
      <w:r w:rsidRPr="005F7A8F">
        <w:rPr>
          <w:rFonts w:ascii="Times New Roman" w:hAnsi="Times New Roman" w:cs="Times New Roman"/>
          <w:i/>
          <w:iCs/>
          <w:sz w:val="24"/>
          <w:szCs w:val="24"/>
          <w:lang w:val="sv-SE"/>
        </w:rPr>
        <w:t>ashlah</w:t>
      </w:r>
      <w:r>
        <w:rPr>
          <w:rFonts w:ascii="Times New Roman" w:hAnsi="Times New Roman" w:cs="Times New Roman"/>
          <w:i/>
          <w:iCs/>
          <w:sz w:val="24"/>
          <w:szCs w:val="24"/>
          <w:lang w:val="sv-SE"/>
        </w:rPr>
        <w:t>nya</w:t>
      </w:r>
      <w:r w:rsidRPr="005F7A8F">
        <w:rPr>
          <w:rFonts w:ascii="Times New Roman" w:hAnsi="Times New Roman" w:cs="Times New Roman"/>
          <w:sz w:val="24"/>
          <w:szCs w:val="24"/>
          <w:lang w:val="sv-SE"/>
        </w:rPr>
        <w:t>, baik dan paling baik</w:t>
      </w:r>
      <w:r>
        <w:rPr>
          <w:rFonts w:ascii="Times New Roman" w:hAnsi="Times New Roman" w:cs="Times New Roman"/>
          <w:sz w:val="24"/>
          <w:szCs w:val="24"/>
          <w:lang w:val="sv-SE"/>
        </w:rPr>
        <w:t>nya</w:t>
      </w:r>
      <w:r w:rsidRPr="005F7A8F">
        <w:rPr>
          <w:rFonts w:ascii="Times New Roman" w:hAnsi="Times New Roman" w:cs="Times New Roman"/>
          <w:sz w:val="24"/>
          <w:szCs w:val="24"/>
          <w:lang w:val="sv-SE"/>
        </w:rPr>
        <w:t xml:space="preserve">, atau </w:t>
      </w:r>
      <w:r w:rsidRPr="005F7A8F">
        <w:rPr>
          <w:rFonts w:ascii="Times New Roman" w:hAnsi="Times New Roman" w:cs="Times New Roman"/>
          <w:i/>
          <w:iCs/>
          <w:sz w:val="24"/>
          <w:szCs w:val="24"/>
          <w:lang w:val="sv-SE"/>
        </w:rPr>
        <w:t>maslahat</w:t>
      </w:r>
      <w:r w:rsidRPr="005F7A8F">
        <w:rPr>
          <w:rFonts w:ascii="Times New Roman" w:hAnsi="Times New Roman" w:cs="Times New Roman"/>
          <w:sz w:val="24"/>
          <w:szCs w:val="24"/>
          <w:lang w:val="sv-SE"/>
        </w:rPr>
        <w:t xml:space="preserve"> dan yang paling </w:t>
      </w:r>
      <w:r w:rsidRPr="005F7A8F">
        <w:rPr>
          <w:rFonts w:ascii="Times New Roman" w:hAnsi="Times New Roman" w:cs="Times New Roman"/>
          <w:i/>
          <w:iCs/>
          <w:sz w:val="24"/>
          <w:szCs w:val="24"/>
          <w:lang w:val="sv-SE"/>
        </w:rPr>
        <w:t>maslahat</w:t>
      </w:r>
      <w:r w:rsidRPr="005F7A8F">
        <w:rPr>
          <w:rFonts w:ascii="Times New Roman" w:hAnsi="Times New Roman" w:cs="Times New Roman"/>
          <w:sz w:val="24"/>
          <w:szCs w:val="24"/>
          <w:lang w:val="sv-SE"/>
        </w:rPr>
        <w:t>.</w:t>
      </w:r>
    </w:p>
    <w:p w:rsidR="00343B61" w:rsidRPr="00FE5B5B" w:rsidRDefault="00343B61" w:rsidP="002C0A33">
      <w:pPr>
        <w:pStyle w:val="ListParagraph"/>
        <w:numPr>
          <w:ilvl w:val="0"/>
          <w:numId w:val="53"/>
        </w:numPr>
        <w:tabs>
          <w:tab w:val="left" w:pos="1800"/>
        </w:tabs>
        <w:spacing w:line="360" w:lineRule="auto"/>
        <w:ind w:left="360"/>
        <w:jc w:val="both"/>
        <w:rPr>
          <w:rFonts w:asciiTheme="majorBidi" w:hAnsiTheme="majorBidi" w:cstheme="majorBidi"/>
          <w:sz w:val="24"/>
          <w:szCs w:val="24"/>
          <w:lang w:val="sv-SE"/>
        </w:rPr>
      </w:pPr>
      <w:r w:rsidRPr="00FE5B5B">
        <w:rPr>
          <w:rFonts w:asciiTheme="majorBidi" w:hAnsiTheme="majorBidi" w:cstheme="majorBidi"/>
          <w:sz w:val="24"/>
          <w:szCs w:val="24"/>
          <w:lang w:val="sv-SE"/>
        </w:rPr>
        <w:t>Fatwa Kewarisan Beda Agama</w:t>
      </w:r>
    </w:p>
    <w:p w:rsidR="00343B61" w:rsidRPr="00575D1A" w:rsidRDefault="00343B61" w:rsidP="002C0A33">
      <w:pPr>
        <w:pStyle w:val="ListParagraph"/>
        <w:numPr>
          <w:ilvl w:val="0"/>
          <w:numId w:val="56"/>
        </w:numPr>
        <w:spacing w:after="0" w:line="360" w:lineRule="auto"/>
        <w:ind w:left="810"/>
        <w:jc w:val="both"/>
        <w:rPr>
          <w:rFonts w:ascii="Times New Roman" w:hAnsi="Times New Roman" w:cs="Times New Roman"/>
          <w:bCs/>
          <w:sz w:val="24"/>
          <w:szCs w:val="24"/>
        </w:rPr>
      </w:pPr>
      <w:r w:rsidRPr="007D52C8">
        <w:rPr>
          <w:rFonts w:ascii="Times New Roman" w:hAnsi="Times New Roman" w:cs="Times New Roman"/>
          <w:bCs/>
          <w:sz w:val="24"/>
          <w:szCs w:val="24"/>
        </w:rPr>
        <w:t>Pengertian Waris</w:t>
      </w:r>
    </w:p>
    <w:p w:rsidR="00343B61" w:rsidRPr="008B6469"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8B6469">
        <w:rPr>
          <w:rFonts w:asciiTheme="majorBidi" w:hAnsiTheme="majorBidi" w:cstheme="majorBidi"/>
          <w:sz w:val="24"/>
          <w:szCs w:val="24"/>
          <w:lang w:val="sv-SE"/>
        </w:rPr>
        <w:t xml:space="preserve">Waris dalam bahasa Arab berasal dari akar kata </w:t>
      </w:r>
      <w:r w:rsidRPr="008B6469">
        <w:rPr>
          <w:rFonts w:asciiTheme="majorBidi" w:hAnsiTheme="majorBidi" w:cstheme="majorBidi"/>
          <w:i/>
          <w:iCs/>
          <w:sz w:val="24"/>
          <w:szCs w:val="24"/>
          <w:lang w:val="sv-SE"/>
        </w:rPr>
        <w:t>waratsa</w:t>
      </w:r>
      <w:r w:rsidRPr="008B6469">
        <w:rPr>
          <w:rFonts w:asciiTheme="majorBidi" w:hAnsiTheme="majorBidi" w:cstheme="majorBidi"/>
          <w:sz w:val="24"/>
          <w:szCs w:val="24"/>
          <w:lang w:val="sv-SE"/>
        </w:rPr>
        <w:t xml:space="preserve">, </w:t>
      </w:r>
      <w:r w:rsidRPr="008B6469">
        <w:rPr>
          <w:rFonts w:asciiTheme="majorBidi" w:hAnsiTheme="majorBidi" w:cstheme="majorBidi"/>
          <w:i/>
          <w:iCs/>
          <w:sz w:val="24"/>
          <w:szCs w:val="24"/>
          <w:lang w:val="sv-SE"/>
        </w:rPr>
        <w:t>yaritsu</w:t>
      </w:r>
      <w:r w:rsidRPr="008B6469">
        <w:rPr>
          <w:rFonts w:asciiTheme="majorBidi" w:hAnsiTheme="majorBidi" w:cstheme="majorBidi"/>
          <w:sz w:val="24"/>
          <w:szCs w:val="24"/>
          <w:lang w:val="sv-SE"/>
        </w:rPr>
        <w:t xml:space="preserve"> </w:t>
      </w:r>
      <w:r w:rsidRPr="008B6469">
        <w:rPr>
          <w:rFonts w:asciiTheme="majorBidi" w:hAnsiTheme="majorBidi" w:cstheme="majorBidi"/>
          <w:i/>
          <w:iCs/>
          <w:sz w:val="24"/>
          <w:szCs w:val="24"/>
          <w:lang w:val="sv-SE"/>
        </w:rPr>
        <w:t>wa miratsan</w:t>
      </w:r>
      <w:r w:rsidRPr="008B6469">
        <w:rPr>
          <w:rFonts w:asciiTheme="majorBidi" w:hAnsiTheme="majorBidi" w:cstheme="majorBidi"/>
          <w:sz w:val="24"/>
          <w:szCs w:val="24"/>
          <w:lang w:val="sv-SE"/>
        </w:rPr>
        <w:t xml:space="preserve"> </w:t>
      </w:r>
      <w:r w:rsidRPr="008B6469">
        <w:rPr>
          <w:rFonts w:asciiTheme="majorBidi" w:hAnsiTheme="majorBidi" w:cstheme="majorBidi"/>
          <w:i/>
          <w:iCs/>
          <w:sz w:val="24"/>
          <w:szCs w:val="24"/>
          <w:lang w:val="sv-SE"/>
        </w:rPr>
        <w:t>wa irtsan</w:t>
      </w:r>
      <w:r w:rsidRPr="008B6469">
        <w:rPr>
          <w:rFonts w:asciiTheme="majorBidi" w:hAnsiTheme="majorBidi" w:cstheme="majorBidi"/>
          <w:sz w:val="24"/>
          <w:szCs w:val="24"/>
          <w:lang w:val="sv-SE"/>
        </w:rPr>
        <w:t xml:space="preserve"> </w:t>
      </w:r>
      <w:r w:rsidRPr="008B6469">
        <w:rPr>
          <w:rFonts w:asciiTheme="majorBidi" w:hAnsiTheme="majorBidi" w:cstheme="majorBidi"/>
          <w:i/>
          <w:iCs/>
          <w:sz w:val="24"/>
          <w:szCs w:val="24"/>
          <w:lang w:val="sv-SE"/>
        </w:rPr>
        <w:t>wa wir</w:t>
      </w:r>
      <w:r>
        <w:rPr>
          <w:rFonts w:asciiTheme="majorBidi" w:hAnsiTheme="majorBidi" w:cstheme="majorBidi"/>
          <w:i/>
          <w:iCs/>
          <w:sz w:val="24"/>
          <w:szCs w:val="24"/>
          <w:lang w:val="sv-SE"/>
        </w:rPr>
        <w:t>a</w:t>
      </w:r>
      <w:r w:rsidRPr="008B6469">
        <w:rPr>
          <w:rFonts w:asciiTheme="majorBidi" w:hAnsiTheme="majorBidi" w:cstheme="majorBidi"/>
          <w:i/>
          <w:iCs/>
          <w:sz w:val="24"/>
          <w:szCs w:val="24"/>
          <w:lang w:val="sv-SE"/>
        </w:rPr>
        <w:t>tsatan</w:t>
      </w:r>
      <w:r w:rsidRPr="008B6469">
        <w:rPr>
          <w:rFonts w:asciiTheme="majorBidi" w:hAnsiTheme="majorBidi" w:cstheme="majorBidi"/>
          <w:sz w:val="24"/>
          <w:szCs w:val="24"/>
          <w:lang w:val="sv-SE"/>
        </w:rPr>
        <w:t>.</w:t>
      </w:r>
      <w:r>
        <w:rPr>
          <w:rFonts w:asciiTheme="majorBidi" w:hAnsiTheme="majorBidi" w:cstheme="majorBidi" w:hint="cs"/>
          <w:sz w:val="24"/>
          <w:szCs w:val="24"/>
          <w:rtl/>
          <w:lang w:val="sv-SE"/>
        </w:rPr>
        <w:t xml:space="preserve">( ورث، يرث، مراثا، وإرثا ووراثة ) </w:t>
      </w:r>
      <w:r>
        <w:rPr>
          <w:rStyle w:val="FootnoteReference"/>
          <w:rFonts w:asciiTheme="majorBidi" w:hAnsiTheme="majorBidi" w:cstheme="majorBidi"/>
          <w:sz w:val="24"/>
          <w:szCs w:val="24"/>
          <w:lang w:val="sv-SE"/>
        </w:rPr>
        <w:footnoteReference w:id="733"/>
      </w:r>
      <w:r w:rsidRPr="008B6469">
        <w:rPr>
          <w:rFonts w:asciiTheme="majorBidi" w:hAnsiTheme="majorBidi" w:cstheme="majorBidi"/>
          <w:sz w:val="24"/>
          <w:szCs w:val="24"/>
          <w:lang w:val="sv-SE"/>
        </w:rPr>
        <w:t xml:space="preserve"> Secara bahasa berarti pindahnya sesuatu dari seseorang kepada orang lain. </w:t>
      </w:r>
      <w:r w:rsidRPr="00D52E94">
        <w:rPr>
          <w:rFonts w:asciiTheme="majorBidi" w:hAnsiTheme="majorBidi" w:cstheme="majorBidi"/>
          <w:sz w:val="24"/>
          <w:szCs w:val="24"/>
        </w:rPr>
        <w:t>Sesuatu itu lebih umum dari harta,</w:t>
      </w:r>
      <w:r>
        <w:rPr>
          <w:rFonts w:asciiTheme="majorBidi" w:hAnsiTheme="majorBidi" w:cstheme="majorBidi"/>
          <w:sz w:val="24"/>
          <w:szCs w:val="24"/>
        </w:rPr>
        <w:t xml:space="preserve"> </w:t>
      </w:r>
      <w:r w:rsidRPr="00D52E94">
        <w:rPr>
          <w:rFonts w:asciiTheme="majorBidi" w:hAnsiTheme="majorBidi" w:cstheme="majorBidi"/>
          <w:sz w:val="24"/>
          <w:szCs w:val="24"/>
        </w:rPr>
        <w:t>meliputi ilmu, kemulian dan sebagainya</w:t>
      </w:r>
      <w:r>
        <w:rPr>
          <w:rFonts w:asciiTheme="majorBidi" w:hAnsiTheme="majorBidi" w:cstheme="majorBidi"/>
          <w:sz w:val="24"/>
          <w:szCs w:val="24"/>
        </w:rPr>
        <w:t xml:space="preserve">. </w:t>
      </w:r>
      <w:r>
        <w:rPr>
          <w:rFonts w:ascii="Times New Roman" w:hAnsi="Times New Roman" w:cs="Times New Roman"/>
          <w:sz w:val="24"/>
          <w:szCs w:val="24"/>
          <w:lang w:val="sv-SE"/>
        </w:rPr>
        <w:t>Dalam Al-Qur’ān Allah SWT berfirman :</w:t>
      </w:r>
    </w:p>
    <w:p w:rsidR="00343B61" w:rsidRPr="00BA7062" w:rsidRDefault="00343B61" w:rsidP="00343B61">
      <w:pPr>
        <w:bidi/>
        <w:rPr>
          <w:rFonts w:ascii="Adobe نسخ Medium" w:hAnsi="Adobe نسخ Medium" w:cs="Adobe نسخ Medium"/>
          <w:sz w:val="32"/>
          <w:szCs w:val="32"/>
          <w:rtl/>
        </w:rPr>
      </w:pPr>
      <w:r>
        <w:rPr>
          <w:rFonts w:hint="cs"/>
          <w:sz w:val="28"/>
          <w:szCs w:val="28"/>
          <w:rtl/>
        </w:rPr>
        <w:t>وَ</w:t>
      </w:r>
      <w:r w:rsidRPr="00F720E7">
        <w:rPr>
          <w:rFonts w:ascii="Adobe نسخ Medium" w:hAnsi="Adobe نسخ Medium" w:cs="Adobe نسخ Medium"/>
          <w:sz w:val="34"/>
          <w:szCs w:val="34"/>
          <w:rtl/>
        </w:rPr>
        <w:t>للهِ</w:t>
      </w:r>
      <w:r>
        <w:rPr>
          <w:rFonts w:ascii="(normal text)" w:hAnsi="(normal text)"/>
          <w:rtl/>
        </w:rPr>
        <w:t xml:space="preserve"> </w:t>
      </w:r>
      <w:r>
        <w:rPr>
          <w:sz w:val="28"/>
          <w:szCs w:val="28"/>
        </w:rPr>
        <w:sym w:font="HQPB4" w:char="F0DF"/>
      </w:r>
      <w:r>
        <w:rPr>
          <w:sz w:val="28"/>
          <w:szCs w:val="28"/>
        </w:rPr>
        <w:sym w:font="HQPB1" w:char="F05E"/>
      </w:r>
      <w:r>
        <w:rPr>
          <w:sz w:val="28"/>
          <w:szCs w:val="28"/>
        </w:rPr>
        <w:sym w:font="HQPB2" w:char="F0BA"/>
      </w:r>
      <w:r>
        <w:rPr>
          <w:sz w:val="28"/>
          <w:szCs w:val="28"/>
        </w:rPr>
        <w:sym w:font="HQPB5" w:char="F075"/>
      </w:r>
      <w:r>
        <w:rPr>
          <w:sz w:val="28"/>
          <w:szCs w:val="28"/>
        </w:rPr>
        <w:sym w:font="HQPB1" w:char="F08E"/>
      </w:r>
      <w:r>
        <w:rPr>
          <w:sz w:val="28"/>
          <w:szCs w:val="28"/>
        </w:rPr>
        <w:sym w:font="HQPB2" w:char="F08D"/>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2" w:char="F071"/>
      </w:r>
      <w:r>
        <w:rPr>
          <w:sz w:val="28"/>
          <w:szCs w:val="28"/>
        </w:rPr>
        <w:sym w:font="HQPB2" w:char="F0BB"/>
      </w:r>
      <w:r>
        <w:rPr>
          <w:sz w:val="28"/>
          <w:szCs w:val="28"/>
        </w:rPr>
        <w:sym w:font="HQPB5" w:char="F079"/>
      </w:r>
      <w:r>
        <w:rPr>
          <w:sz w:val="28"/>
          <w:szCs w:val="28"/>
        </w:rPr>
        <w:sym w:font="HQPB2" w:char="F04A"/>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75"/>
      </w:r>
      <w:r>
        <w:rPr>
          <w:sz w:val="28"/>
          <w:szCs w:val="28"/>
        </w:rPr>
        <w:sym w:font="HQPB2" w:char="F072"/>
      </w:r>
      <w:r w:rsidRPr="009D028C">
        <w:rPr>
          <w:rFonts w:ascii="Adobe نسخ Medium" w:hAnsi="Adobe نسخ Medium" w:cs="Adobe نسخ Medium"/>
          <w:sz w:val="32"/>
          <w:szCs w:val="32"/>
          <w:rtl/>
        </w:rPr>
        <w:t>اللهُ</w:t>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FF"/>
      </w:r>
      <w:r>
        <w:rPr>
          <w:sz w:val="28"/>
          <w:szCs w:val="28"/>
        </w:rPr>
        <w:sym w:font="HQPB4" w:char="F0CF"/>
      </w:r>
      <w:r>
        <w:rPr>
          <w:sz w:val="28"/>
          <w:szCs w:val="28"/>
        </w:rPr>
        <w:sym w:font="HQPB1" w:char="F03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1" w:char="F08E"/>
      </w:r>
      <w:r>
        <w:rPr>
          <w:sz w:val="28"/>
          <w:szCs w:val="28"/>
        </w:rPr>
        <w:sym w:font="HQPB2" w:char="F08D"/>
      </w:r>
      <w:r>
        <w:rPr>
          <w:sz w:val="28"/>
          <w:szCs w:val="28"/>
        </w:rPr>
        <w:sym w:font="HQPB4" w:char="F0CE"/>
      </w:r>
      <w:r>
        <w:rPr>
          <w:sz w:val="28"/>
          <w:szCs w:val="28"/>
        </w:rPr>
        <w:sym w:font="HQPB1" w:char="F036"/>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1"/>
      </w:r>
      <w:r>
        <w:rPr>
          <w:sz w:val="28"/>
          <w:szCs w:val="28"/>
        </w:rPr>
        <w:sym w:font="HQPB2" w:char="F0C9"/>
      </w:r>
      <w:r>
        <w:rPr>
          <w:sz w:val="28"/>
          <w:szCs w:val="28"/>
        </w:rPr>
        <w:sym w:font="HQPB2" w:char="F0C8"/>
      </w:r>
      <w:r>
        <w:rPr>
          <w:rFonts w:ascii="(normal text)" w:hAnsi="(normal text)"/>
          <w:rtl/>
        </w:rPr>
        <w:t xml:space="preserve">   </w:t>
      </w:r>
    </w:p>
    <w:p w:rsidR="00343B61" w:rsidRDefault="00343B61" w:rsidP="00343B61">
      <w:pPr>
        <w:tabs>
          <w:tab w:val="left" w:pos="720"/>
        </w:tabs>
        <w:spacing w:after="0" w:line="240" w:lineRule="auto"/>
        <w:ind w:left="720"/>
        <w:contextualSpacing/>
        <w:jc w:val="both"/>
        <w:rPr>
          <w:rFonts w:asciiTheme="majorBidi" w:hAnsiTheme="majorBidi" w:cstheme="majorBidi"/>
          <w:sz w:val="24"/>
          <w:szCs w:val="24"/>
          <w:lang w:val="sv-SE"/>
        </w:rPr>
      </w:pPr>
      <w:r w:rsidRPr="009B40C7">
        <w:rPr>
          <w:rFonts w:asciiTheme="majorBidi" w:hAnsiTheme="majorBidi" w:cstheme="majorBidi"/>
          <w:sz w:val="24"/>
          <w:szCs w:val="24"/>
          <w:lang w:val="sv-SE"/>
        </w:rPr>
        <w:t>Artinya: ”...</w:t>
      </w:r>
      <w:r w:rsidRPr="009B40C7">
        <w:rPr>
          <w:rFonts w:asciiTheme="majorBidi" w:hAnsiTheme="majorBidi" w:cstheme="majorBidi"/>
          <w:i/>
          <w:iCs/>
          <w:sz w:val="24"/>
          <w:szCs w:val="24"/>
          <w:lang w:val="sv-SE"/>
        </w:rPr>
        <w:t>dan kepunyaan Allah-lah segala warisan (yang ada) di langit dan di bumi. dan Allah mengetahui apa yang kamu kerjakan</w:t>
      </w:r>
      <w:r w:rsidRPr="009B40C7">
        <w:rPr>
          <w:rFonts w:asciiTheme="majorBidi" w:hAnsiTheme="majorBidi" w:cstheme="majorBidi"/>
          <w:sz w:val="24"/>
          <w:szCs w:val="24"/>
          <w:lang w:val="sv-SE"/>
        </w:rPr>
        <w:t xml:space="preserve">...” </w:t>
      </w:r>
      <w:r w:rsidRPr="00405556">
        <w:rPr>
          <w:rFonts w:asciiTheme="majorBidi" w:hAnsiTheme="majorBidi" w:cstheme="majorBidi"/>
          <w:sz w:val="24"/>
          <w:szCs w:val="24"/>
          <w:lang w:val="sv-SE"/>
        </w:rPr>
        <w:t>( QS. Ali Imran [3] : 180)</w:t>
      </w:r>
      <w:r>
        <w:rPr>
          <w:rStyle w:val="FootnoteReference"/>
          <w:rFonts w:asciiTheme="majorBidi" w:hAnsiTheme="majorBidi" w:cstheme="majorBidi"/>
          <w:sz w:val="24"/>
          <w:szCs w:val="24"/>
        </w:rPr>
        <w:footnoteReference w:id="734"/>
      </w:r>
    </w:p>
    <w:p w:rsidR="00343B61" w:rsidRPr="00575D1A" w:rsidRDefault="00343B61" w:rsidP="00343B61">
      <w:pPr>
        <w:tabs>
          <w:tab w:val="left" w:pos="720"/>
        </w:tabs>
        <w:spacing w:after="0" w:line="360" w:lineRule="auto"/>
        <w:ind w:left="720"/>
        <w:contextualSpacing/>
        <w:jc w:val="both"/>
        <w:rPr>
          <w:rFonts w:asciiTheme="majorBidi" w:hAnsiTheme="majorBidi" w:cstheme="majorBidi"/>
          <w:sz w:val="24"/>
          <w:szCs w:val="24"/>
          <w:lang w:val="sv-SE"/>
        </w:rPr>
      </w:pP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575D1A">
        <w:rPr>
          <w:rFonts w:asciiTheme="majorBidi" w:hAnsiTheme="majorBidi" w:cstheme="majorBidi"/>
          <w:sz w:val="24"/>
          <w:szCs w:val="24"/>
          <w:lang w:val="sv-SE"/>
        </w:rPr>
        <w:t>Sedang menurut istilah, kewarisan adalah pemindahan pemilikan harta dari penguasaan orang yang telah meninggal dunia kepada ahli warisnya yang masih hidup, baik berupa uang, barang-barang kebutuhan hidup atau hak-hak syar'iyyah.</w:t>
      </w:r>
      <w:r>
        <w:rPr>
          <w:rStyle w:val="FootnoteReference"/>
          <w:rFonts w:asciiTheme="majorBidi" w:hAnsiTheme="majorBidi" w:cstheme="majorBidi"/>
          <w:sz w:val="24"/>
          <w:szCs w:val="24"/>
        </w:rPr>
        <w:footnoteReference w:id="735"/>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p>
    <w:p w:rsidR="00343B61" w:rsidRPr="006E48C0" w:rsidRDefault="00343B61" w:rsidP="002C0A33">
      <w:pPr>
        <w:pStyle w:val="ListParagraph"/>
        <w:numPr>
          <w:ilvl w:val="0"/>
          <w:numId w:val="56"/>
        </w:numPr>
        <w:autoSpaceDE w:val="0"/>
        <w:autoSpaceDN w:val="0"/>
        <w:adjustRightInd w:val="0"/>
        <w:spacing w:after="0" w:line="360" w:lineRule="auto"/>
        <w:ind w:left="810"/>
        <w:rPr>
          <w:rFonts w:asciiTheme="majorBidi" w:hAnsiTheme="majorBidi" w:cstheme="majorBidi"/>
          <w:sz w:val="24"/>
          <w:szCs w:val="24"/>
        </w:rPr>
      </w:pPr>
      <w:r w:rsidRPr="00CC04A0">
        <w:rPr>
          <w:rFonts w:asciiTheme="majorBidi" w:hAnsiTheme="majorBidi" w:cstheme="majorBidi"/>
          <w:sz w:val="24"/>
          <w:szCs w:val="24"/>
        </w:rPr>
        <w:t>Syarat-Syarat Pewarisan</w:t>
      </w:r>
    </w:p>
    <w:p w:rsidR="00343B61" w:rsidRPr="00405556"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405556">
        <w:rPr>
          <w:rFonts w:asciiTheme="majorBidi" w:hAnsiTheme="majorBidi" w:cstheme="majorBidi"/>
          <w:sz w:val="24"/>
          <w:szCs w:val="24"/>
        </w:rPr>
        <w:t>Peralihan harta kekayaan seseorang kepada ahli warisnya</w:t>
      </w:r>
      <w:r>
        <w:rPr>
          <w:rFonts w:asciiTheme="majorBidi" w:hAnsiTheme="majorBidi" w:cstheme="majorBidi"/>
          <w:sz w:val="24"/>
          <w:szCs w:val="24"/>
        </w:rPr>
        <w:t xml:space="preserve"> </w:t>
      </w:r>
      <w:r w:rsidRPr="00405556">
        <w:rPr>
          <w:rFonts w:asciiTheme="majorBidi" w:hAnsiTheme="majorBidi" w:cstheme="majorBidi"/>
          <w:sz w:val="24"/>
          <w:szCs w:val="24"/>
        </w:rPr>
        <w:t xml:space="preserve">dengan nama peawarisan dapat terjadi jika terdapat tiga </w:t>
      </w:r>
      <w:r>
        <w:rPr>
          <w:rFonts w:asciiTheme="majorBidi" w:hAnsiTheme="majorBidi" w:cstheme="majorBidi"/>
          <w:sz w:val="24"/>
          <w:szCs w:val="24"/>
        </w:rPr>
        <w:t xml:space="preserve">unsur </w:t>
      </w:r>
      <w:r w:rsidRPr="00405556">
        <w:rPr>
          <w:rFonts w:asciiTheme="majorBidi" w:hAnsiTheme="majorBidi" w:cstheme="majorBidi"/>
          <w:sz w:val="24"/>
          <w:szCs w:val="24"/>
        </w:rPr>
        <w:t>pewarisan yang memenuhi syarat sebagai berikut:</w:t>
      </w:r>
    </w:p>
    <w:p w:rsidR="00343B61" w:rsidRPr="00CC04A0" w:rsidRDefault="00343B61" w:rsidP="002C0A33">
      <w:pPr>
        <w:pStyle w:val="ListParagraph"/>
        <w:numPr>
          <w:ilvl w:val="0"/>
          <w:numId w:val="47"/>
        </w:numPr>
        <w:autoSpaceDE w:val="0"/>
        <w:autoSpaceDN w:val="0"/>
        <w:adjustRightInd w:val="0"/>
        <w:spacing w:after="0" w:line="360" w:lineRule="auto"/>
        <w:ind w:left="900" w:hanging="180"/>
        <w:jc w:val="both"/>
        <w:rPr>
          <w:rFonts w:asciiTheme="majorBidi" w:hAnsiTheme="majorBidi" w:cstheme="majorBidi"/>
          <w:sz w:val="24"/>
          <w:szCs w:val="24"/>
        </w:rPr>
      </w:pPr>
      <w:r w:rsidRPr="00CC04A0">
        <w:rPr>
          <w:rFonts w:asciiTheme="majorBidi" w:hAnsiTheme="majorBidi" w:cstheme="majorBidi"/>
          <w:sz w:val="24"/>
          <w:szCs w:val="24"/>
        </w:rPr>
        <w:t xml:space="preserve">Matinya Pewaris </w:t>
      </w:r>
    </w:p>
    <w:p w:rsidR="00343B61" w:rsidRPr="00405556"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405556">
        <w:rPr>
          <w:rFonts w:asciiTheme="majorBidi" w:hAnsiTheme="majorBidi" w:cstheme="majorBidi"/>
          <w:sz w:val="24"/>
          <w:szCs w:val="24"/>
        </w:rPr>
        <w:lastRenderedPageBreak/>
        <w:t>Dalam kewarisan Islam, kematian pewaris menyebabkan</w:t>
      </w:r>
      <w:r>
        <w:rPr>
          <w:rFonts w:asciiTheme="majorBidi" w:hAnsiTheme="majorBidi" w:cstheme="majorBidi"/>
          <w:sz w:val="24"/>
          <w:szCs w:val="24"/>
        </w:rPr>
        <w:t xml:space="preserve"> </w:t>
      </w:r>
      <w:r w:rsidRPr="00405556">
        <w:rPr>
          <w:rFonts w:asciiTheme="majorBidi" w:hAnsiTheme="majorBidi" w:cstheme="majorBidi"/>
          <w:sz w:val="24"/>
          <w:szCs w:val="24"/>
        </w:rPr>
        <w:t>peralihan harta kekayaan pewaris kepada ahli warisnya</w:t>
      </w:r>
      <w:r>
        <w:rPr>
          <w:rFonts w:asciiTheme="majorBidi" w:hAnsiTheme="majorBidi" w:cstheme="majorBidi"/>
          <w:sz w:val="24"/>
          <w:szCs w:val="24"/>
        </w:rPr>
        <w:t xml:space="preserve"> </w:t>
      </w:r>
      <w:r w:rsidRPr="00405556">
        <w:rPr>
          <w:rFonts w:asciiTheme="majorBidi" w:hAnsiTheme="majorBidi" w:cstheme="majorBidi"/>
          <w:sz w:val="24"/>
          <w:szCs w:val="24"/>
        </w:rPr>
        <w:t>dengan sendirinya, dalam artian peralihan berlaku secara ijbari</w:t>
      </w:r>
      <w:r>
        <w:rPr>
          <w:rStyle w:val="FootnoteReference"/>
          <w:rFonts w:asciiTheme="majorBidi" w:hAnsiTheme="majorBidi" w:cstheme="majorBidi"/>
          <w:sz w:val="24"/>
          <w:szCs w:val="24"/>
        </w:rPr>
        <w:footnoteReference w:id="736"/>
      </w: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E844BD">
        <w:rPr>
          <w:rFonts w:asciiTheme="majorBidi" w:hAnsiTheme="majorBidi" w:cstheme="majorBidi"/>
          <w:sz w:val="24"/>
          <w:szCs w:val="24"/>
        </w:rPr>
        <w:t>Kematian pewaris merupakan faktor utama adanya pewarisan,</w:t>
      </w:r>
      <w:r>
        <w:rPr>
          <w:rFonts w:asciiTheme="majorBidi" w:hAnsiTheme="majorBidi" w:cstheme="majorBidi"/>
          <w:sz w:val="24"/>
          <w:szCs w:val="24"/>
        </w:rPr>
        <w:t xml:space="preserve"> </w:t>
      </w:r>
      <w:r w:rsidRPr="00E844BD">
        <w:rPr>
          <w:rFonts w:asciiTheme="majorBidi" w:hAnsiTheme="majorBidi" w:cstheme="majorBidi"/>
          <w:sz w:val="24"/>
          <w:szCs w:val="24"/>
        </w:rPr>
        <w:t>karena itu kematian harus diketahui secara jelas dan dapat</w:t>
      </w:r>
      <w:r>
        <w:rPr>
          <w:rFonts w:asciiTheme="majorBidi" w:hAnsiTheme="majorBidi" w:cstheme="majorBidi"/>
          <w:sz w:val="24"/>
          <w:szCs w:val="24"/>
        </w:rPr>
        <w:t xml:space="preserve"> </w:t>
      </w:r>
      <w:r w:rsidRPr="00E844BD">
        <w:rPr>
          <w:rFonts w:asciiTheme="majorBidi" w:hAnsiTheme="majorBidi" w:cstheme="majorBidi"/>
          <w:sz w:val="24"/>
          <w:szCs w:val="24"/>
        </w:rPr>
        <w:t>dibuktikan secara hukum. Dalam hal ini para Ulama membagi</w:t>
      </w:r>
      <w:r>
        <w:rPr>
          <w:rFonts w:asciiTheme="majorBidi" w:hAnsiTheme="majorBidi" w:cstheme="majorBidi"/>
          <w:sz w:val="24"/>
          <w:szCs w:val="24"/>
        </w:rPr>
        <w:t xml:space="preserve"> </w:t>
      </w:r>
      <w:r w:rsidRPr="00E844BD">
        <w:rPr>
          <w:rFonts w:asciiTheme="majorBidi" w:hAnsiTheme="majorBidi" w:cstheme="majorBidi"/>
          <w:sz w:val="24"/>
          <w:szCs w:val="24"/>
        </w:rPr>
        <w:t>kematian pewaris menjadi tiga macam, yaitu: mati hakiki, mati</w:t>
      </w:r>
      <w:r>
        <w:rPr>
          <w:rFonts w:asciiTheme="majorBidi" w:hAnsiTheme="majorBidi" w:cstheme="majorBidi"/>
          <w:sz w:val="24"/>
          <w:szCs w:val="24"/>
        </w:rPr>
        <w:t xml:space="preserve"> </w:t>
      </w:r>
      <w:r w:rsidRPr="00E844BD">
        <w:rPr>
          <w:rFonts w:asciiTheme="majorBidi" w:hAnsiTheme="majorBidi" w:cstheme="majorBidi"/>
          <w:sz w:val="24"/>
          <w:szCs w:val="24"/>
        </w:rPr>
        <w:t>hukmi dan mati takdiri</w:t>
      </w:r>
      <w:r>
        <w:rPr>
          <w:rFonts w:asciiTheme="majorBidi" w:hAnsiTheme="majorBidi" w:cstheme="majorBidi"/>
          <w:sz w:val="24"/>
          <w:szCs w:val="24"/>
        </w:rPr>
        <w:t>.</w:t>
      </w:r>
      <w:r>
        <w:rPr>
          <w:rStyle w:val="FootnoteReference"/>
          <w:rFonts w:asciiTheme="majorBidi" w:hAnsiTheme="majorBidi" w:cstheme="majorBidi"/>
          <w:sz w:val="24"/>
          <w:szCs w:val="24"/>
        </w:rPr>
        <w:footnoteReference w:id="737"/>
      </w:r>
    </w:p>
    <w:p w:rsidR="00343B61" w:rsidRPr="00CC04A0" w:rsidRDefault="00343B61" w:rsidP="002C0A33">
      <w:pPr>
        <w:pStyle w:val="ListParagraph"/>
        <w:numPr>
          <w:ilvl w:val="0"/>
          <w:numId w:val="47"/>
        </w:numPr>
        <w:autoSpaceDE w:val="0"/>
        <w:autoSpaceDN w:val="0"/>
        <w:adjustRightInd w:val="0"/>
        <w:spacing w:after="0" w:line="360" w:lineRule="auto"/>
        <w:ind w:left="990" w:hanging="270"/>
        <w:jc w:val="both"/>
        <w:rPr>
          <w:rFonts w:asciiTheme="majorBidi" w:hAnsiTheme="majorBidi" w:cstheme="majorBidi"/>
          <w:sz w:val="24"/>
          <w:szCs w:val="24"/>
        </w:rPr>
      </w:pPr>
      <w:r w:rsidRPr="00CC04A0">
        <w:rPr>
          <w:rFonts w:asciiTheme="majorBidi" w:hAnsiTheme="majorBidi" w:cstheme="majorBidi"/>
          <w:sz w:val="24"/>
          <w:szCs w:val="24"/>
        </w:rPr>
        <w:t>Hidupnya Ahli Waris Saat Kematian Pewaris</w:t>
      </w:r>
    </w:p>
    <w:p w:rsidR="00343B61" w:rsidRPr="00CC04A0" w:rsidRDefault="00343B61" w:rsidP="00343B61">
      <w:pPr>
        <w:autoSpaceDE w:val="0"/>
        <w:autoSpaceDN w:val="0"/>
        <w:adjustRightInd w:val="0"/>
        <w:spacing w:after="0" w:line="360" w:lineRule="auto"/>
        <w:ind w:left="810" w:firstLine="720"/>
        <w:jc w:val="both"/>
        <w:rPr>
          <w:rFonts w:asciiTheme="majorBidi" w:hAnsiTheme="majorBidi" w:cstheme="majorBidi"/>
          <w:sz w:val="24"/>
          <w:szCs w:val="24"/>
        </w:rPr>
      </w:pPr>
      <w:r w:rsidRPr="00CC04A0">
        <w:rPr>
          <w:rFonts w:asciiTheme="majorBidi" w:hAnsiTheme="majorBidi" w:cstheme="majorBidi"/>
          <w:sz w:val="24"/>
          <w:szCs w:val="24"/>
        </w:rPr>
        <w:t>Para ahli waris yang benar-benar hidup di saat kematian pewaris, berhak mewarisi harta peninggalan. Untuk unsur dan syarat kedua ini ada beberapa masalah antara lain, waris bagi</w:t>
      </w:r>
      <w:r>
        <w:rPr>
          <w:rFonts w:asciiTheme="majorBidi" w:hAnsiTheme="majorBidi" w:cstheme="majorBidi"/>
          <w:sz w:val="24"/>
          <w:szCs w:val="24"/>
        </w:rPr>
        <w:t xml:space="preserve"> </w:t>
      </w:r>
      <w:r w:rsidRPr="00CC04A0">
        <w:rPr>
          <w:rFonts w:asciiTheme="majorBidi" w:hAnsiTheme="majorBidi" w:cstheme="majorBidi"/>
          <w:sz w:val="24"/>
          <w:szCs w:val="24"/>
        </w:rPr>
        <w:t xml:space="preserve">orang </w:t>
      </w:r>
      <w:r w:rsidRPr="00035C75">
        <w:rPr>
          <w:rFonts w:asciiTheme="majorBidi" w:hAnsiTheme="majorBidi" w:cstheme="majorBidi"/>
          <w:i/>
          <w:iCs/>
          <w:sz w:val="24"/>
          <w:szCs w:val="24"/>
        </w:rPr>
        <w:t>mafqud</w:t>
      </w:r>
      <w:r w:rsidRPr="00CC04A0">
        <w:rPr>
          <w:rFonts w:asciiTheme="majorBidi" w:hAnsiTheme="majorBidi" w:cstheme="majorBidi"/>
          <w:sz w:val="24"/>
          <w:szCs w:val="24"/>
        </w:rPr>
        <w:t xml:space="preserve"> dan waris anak dalam kandungan.</w:t>
      </w:r>
    </w:p>
    <w:p w:rsidR="00343B61" w:rsidRPr="00864891" w:rsidRDefault="00343B61" w:rsidP="002C0A33">
      <w:pPr>
        <w:pStyle w:val="ListParagraph"/>
        <w:numPr>
          <w:ilvl w:val="0"/>
          <w:numId w:val="47"/>
        </w:numPr>
        <w:autoSpaceDE w:val="0"/>
        <w:autoSpaceDN w:val="0"/>
        <w:adjustRightInd w:val="0"/>
        <w:spacing w:after="0" w:line="360" w:lineRule="auto"/>
        <w:ind w:left="1170" w:hanging="360"/>
        <w:jc w:val="both"/>
        <w:rPr>
          <w:rFonts w:asciiTheme="majorBidi" w:hAnsiTheme="majorBidi" w:cstheme="majorBidi"/>
          <w:sz w:val="24"/>
          <w:szCs w:val="24"/>
        </w:rPr>
      </w:pPr>
      <w:r w:rsidRPr="00CC04A0">
        <w:rPr>
          <w:rFonts w:asciiTheme="majorBidi" w:hAnsiTheme="majorBidi" w:cstheme="majorBidi"/>
          <w:sz w:val="24"/>
          <w:szCs w:val="24"/>
        </w:rPr>
        <w:t>Pewaris meninggalkan tirkah</w:t>
      </w: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CC04A0">
        <w:rPr>
          <w:rFonts w:asciiTheme="majorBidi" w:hAnsiTheme="majorBidi" w:cstheme="majorBidi"/>
          <w:sz w:val="24"/>
          <w:szCs w:val="24"/>
        </w:rPr>
        <w:t>Hal ini jika pewaris tidak meninggalkan tirkah,</w:t>
      </w:r>
      <w:r w:rsidRPr="00CC04A0">
        <w:rPr>
          <w:rStyle w:val="FootnoteReference"/>
          <w:rFonts w:asciiTheme="majorBidi" w:hAnsiTheme="majorBidi" w:cstheme="majorBidi"/>
          <w:sz w:val="24"/>
          <w:szCs w:val="24"/>
        </w:rPr>
        <w:footnoteReference w:id="738"/>
      </w:r>
      <w:r w:rsidRPr="00CC04A0">
        <w:rPr>
          <w:rFonts w:asciiTheme="majorBidi" w:hAnsiTheme="majorBidi" w:cstheme="majorBidi"/>
          <w:sz w:val="24"/>
          <w:szCs w:val="24"/>
        </w:rPr>
        <w:t xml:space="preserve"> maka tidak akan terjadi pewarisan. Menurut </w:t>
      </w:r>
      <w:r>
        <w:rPr>
          <w:rFonts w:asciiTheme="majorBidi" w:hAnsiTheme="majorBidi" w:cstheme="majorBidi"/>
          <w:sz w:val="24"/>
          <w:szCs w:val="24"/>
        </w:rPr>
        <w:t>Ash-</w:t>
      </w:r>
      <w:r w:rsidRPr="00CC04A0">
        <w:rPr>
          <w:rFonts w:asciiTheme="majorBidi" w:hAnsiTheme="majorBidi" w:cstheme="majorBidi"/>
          <w:sz w:val="24"/>
          <w:szCs w:val="24"/>
        </w:rPr>
        <w:t xml:space="preserve">Shabuni tirkah sama artinya dengan </w:t>
      </w:r>
      <w:r w:rsidRPr="00035C75">
        <w:rPr>
          <w:rFonts w:asciiTheme="majorBidi" w:hAnsiTheme="majorBidi" w:cstheme="majorBidi"/>
          <w:i/>
          <w:iCs/>
          <w:sz w:val="24"/>
          <w:szCs w:val="24"/>
        </w:rPr>
        <w:t>mauruts,</w:t>
      </w:r>
      <w:r w:rsidRPr="00CC04A0">
        <w:rPr>
          <w:rFonts w:asciiTheme="majorBidi" w:hAnsiTheme="majorBidi" w:cstheme="majorBidi"/>
          <w:sz w:val="24"/>
          <w:szCs w:val="24"/>
        </w:rPr>
        <w:t xml:space="preserve"> yaitu sesuatu yang ditinggalkan oleh orang yang meninggal dunia, baik berupa uang, atau hak-hak materi lainnya.</w:t>
      </w:r>
      <w:r w:rsidRPr="00CC04A0">
        <w:rPr>
          <w:rStyle w:val="FootnoteReference"/>
          <w:rFonts w:asciiTheme="majorBidi" w:hAnsiTheme="majorBidi" w:cstheme="majorBidi"/>
          <w:sz w:val="24"/>
          <w:szCs w:val="24"/>
        </w:rPr>
        <w:footnoteReference w:id="739"/>
      </w:r>
      <w:r w:rsidRPr="00CC04A0">
        <w:rPr>
          <w:rFonts w:asciiTheme="majorBidi" w:hAnsiTheme="majorBidi" w:cstheme="majorBidi"/>
          <w:sz w:val="24"/>
          <w:szCs w:val="24"/>
        </w:rPr>
        <w:t xml:space="preserve">  Dalam pengertian yang cukup populer di kalangan Jumhur Ulama, tirkah mempunyai arti yang lebih luas daripada </w:t>
      </w:r>
      <w:r w:rsidRPr="00035C75">
        <w:rPr>
          <w:rFonts w:asciiTheme="majorBidi" w:hAnsiTheme="majorBidi" w:cstheme="majorBidi"/>
          <w:i/>
          <w:iCs/>
          <w:sz w:val="24"/>
          <w:szCs w:val="24"/>
        </w:rPr>
        <w:t>mauruts</w:t>
      </w:r>
      <w:r w:rsidRPr="00CC04A0">
        <w:rPr>
          <w:rFonts w:asciiTheme="majorBidi" w:hAnsiTheme="majorBidi" w:cstheme="majorBidi"/>
          <w:sz w:val="24"/>
          <w:szCs w:val="24"/>
        </w:rPr>
        <w:t xml:space="preserve">. Tirkah yaitu apa yang ditinggalkan oleh orang yang meninggal dunia, yang mencakup harta benda maupun hak-hak keuangan, termasuk hutang pewaris dan juga peninggalan yang digunakan untuk biaya, pengurusan mayat dan pelaksanaan wasiat. Sedangkan </w:t>
      </w:r>
      <w:r w:rsidRPr="00035C75">
        <w:rPr>
          <w:rFonts w:asciiTheme="majorBidi" w:hAnsiTheme="majorBidi" w:cstheme="majorBidi"/>
          <w:i/>
          <w:iCs/>
          <w:sz w:val="24"/>
          <w:szCs w:val="24"/>
        </w:rPr>
        <w:t>mauruts</w:t>
      </w:r>
      <w:r w:rsidRPr="00CC04A0">
        <w:rPr>
          <w:rFonts w:asciiTheme="majorBidi" w:hAnsiTheme="majorBidi" w:cstheme="majorBidi"/>
          <w:sz w:val="24"/>
          <w:szCs w:val="24"/>
        </w:rPr>
        <w:t xml:space="preserve"> hanya terbatas</w:t>
      </w:r>
      <w:r>
        <w:rPr>
          <w:rFonts w:asciiTheme="majorBidi" w:hAnsiTheme="majorBidi" w:cstheme="majorBidi"/>
          <w:sz w:val="24"/>
          <w:szCs w:val="24"/>
        </w:rPr>
        <w:t xml:space="preserve"> </w:t>
      </w:r>
      <w:r w:rsidRPr="00CC04A0">
        <w:rPr>
          <w:rFonts w:asciiTheme="majorBidi" w:hAnsiTheme="majorBidi" w:cstheme="majorBidi"/>
          <w:sz w:val="24"/>
          <w:szCs w:val="24"/>
        </w:rPr>
        <w:t>pada sisa harta yang setelah dikeluarkan untuk biaya pengurusan mayat, pelunasan hutang dan pelaksanaan wasiat.</w:t>
      </w:r>
      <w:r w:rsidRPr="00CC04A0">
        <w:rPr>
          <w:rStyle w:val="FootnoteReference"/>
          <w:rFonts w:asciiTheme="majorBidi" w:hAnsiTheme="majorBidi" w:cstheme="majorBidi"/>
          <w:sz w:val="24"/>
          <w:szCs w:val="24"/>
        </w:rPr>
        <w:footnoteReference w:id="740"/>
      </w:r>
    </w:p>
    <w:p w:rsidR="00343B61" w:rsidRPr="00D70F25" w:rsidRDefault="00343B61" w:rsidP="002C0A33">
      <w:pPr>
        <w:pStyle w:val="ListParagraph"/>
        <w:numPr>
          <w:ilvl w:val="0"/>
          <w:numId w:val="47"/>
        </w:numPr>
        <w:autoSpaceDE w:val="0"/>
        <w:autoSpaceDN w:val="0"/>
        <w:adjustRightInd w:val="0"/>
        <w:spacing w:after="0" w:line="360" w:lineRule="auto"/>
        <w:ind w:left="1170" w:hanging="360"/>
        <w:jc w:val="both"/>
        <w:rPr>
          <w:rFonts w:asciiTheme="majorBidi" w:hAnsiTheme="majorBidi" w:cstheme="majorBidi"/>
          <w:sz w:val="24"/>
          <w:szCs w:val="24"/>
        </w:rPr>
      </w:pPr>
      <w:r w:rsidRPr="006E0442">
        <w:rPr>
          <w:rFonts w:asciiTheme="majorBidi" w:hAnsiTheme="majorBidi" w:cstheme="majorBidi"/>
          <w:sz w:val="24"/>
          <w:szCs w:val="24"/>
        </w:rPr>
        <w:lastRenderedPageBreak/>
        <w:t xml:space="preserve">Tidak ada penghalang </w:t>
      </w:r>
    </w:p>
    <w:p w:rsidR="00343B61" w:rsidRDefault="00343B61" w:rsidP="00343B61">
      <w:pPr>
        <w:autoSpaceDE w:val="0"/>
        <w:autoSpaceDN w:val="0"/>
        <w:adjustRightInd w:val="0"/>
        <w:spacing w:after="0" w:line="360" w:lineRule="auto"/>
        <w:ind w:left="720" w:firstLine="720"/>
        <w:jc w:val="both"/>
        <w:rPr>
          <w:rFonts w:asciiTheme="majorBidi" w:hAnsiTheme="majorBidi" w:cstheme="majorBidi"/>
          <w:sz w:val="24"/>
          <w:szCs w:val="24"/>
        </w:rPr>
      </w:pPr>
      <w:r w:rsidRPr="00CC04A0">
        <w:rPr>
          <w:rFonts w:asciiTheme="majorBidi" w:hAnsiTheme="majorBidi" w:cstheme="majorBidi"/>
          <w:sz w:val="24"/>
          <w:szCs w:val="24"/>
        </w:rPr>
        <w:t>Meskipun telah terpenuhi ketiga unsur dan syarat</w:t>
      </w:r>
      <w:r>
        <w:rPr>
          <w:rFonts w:asciiTheme="majorBidi" w:hAnsiTheme="majorBidi" w:cstheme="majorBidi"/>
          <w:sz w:val="24"/>
          <w:szCs w:val="24"/>
        </w:rPr>
        <w:t xml:space="preserve"> </w:t>
      </w:r>
      <w:r w:rsidRPr="00CC04A0">
        <w:rPr>
          <w:rFonts w:asciiTheme="majorBidi" w:hAnsiTheme="majorBidi" w:cstheme="majorBidi"/>
          <w:sz w:val="24"/>
          <w:szCs w:val="24"/>
        </w:rPr>
        <w:t>pewarisan di atas, jika masih ada penghalang mewarisi maka</w:t>
      </w:r>
      <w:r>
        <w:rPr>
          <w:rFonts w:asciiTheme="majorBidi" w:hAnsiTheme="majorBidi" w:cstheme="majorBidi"/>
          <w:sz w:val="24"/>
          <w:szCs w:val="24"/>
        </w:rPr>
        <w:t xml:space="preserve"> pewarisan tidak akan </w:t>
      </w:r>
      <w:r w:rsidRPr="00CC04A0">
        <w:rPr>
          <w:rFonts w:asciiTheme="majorBidi" w:hAnsiTheme="majorBidi" w:cstheme="majorBidi"/>
          <w:sz w:val="24"/>
          <w:szCs w:val="24"/>
        </w:rPr>
        <w:t>terjadi. Adapun penghalang-penghalang</w:t>
      </w:r>
      <w:r>
        <w:rPr>
          <w:rFonts w:asciiTheme="majorBidi" w:hAnsiTheme="majorBidi" w:cstheme="majorBidi"/>
          <w:sz w:val="24"/>
          <w:szCs w:val="24"/>
        </w:rPr>
        <w:t xml:space="preserve"> </w:t>
      </w:r>
      <w:r w:rsidRPr="00CC04A0">
        <w:rPr>
          <w:rFonts w:asciiTheme="majorBidi" w:hAnsiTheme="majorBidi" w:cstheme="majorBidi"/>
          <w:sz w:val="24"/>
          <w:szCs w:val="24"/>
        </w:rPr>
        <w:t>pewarisan itu adalah perbudakan, pembunuhan dan berlainan</w:t>
      </w:r>
      <w:r>
        <w:rPr>
          <w:rFonts w:asciiTheme="majorBidi" w:hAnsiTheme="majorBidi" w:cstheme="majorBidi"/>
          <w:sz w:val="24"/>
          <w:szCs w:val="24"/>
        </w:rPr>
        <w:t xml:space="preserve"> </w:t>
      </w:r>
      <w:r w:rsidRPr="00CC04A0">
        <w:rPr>
          <w:rFonts w:asciiTheme="majorBidi" w:hAnsiTheme="majorBidi" w:cstheme="majorBidi"/>
          <w:sz w:val="24"/>
          <w:szCs w:val="24"/>
        </w:rPr>
        <w:t>agama</w:t>
      </w:r>
      <w:r>
        <w:rPr>
          <w:rFonts w:asciiTheme="majorBidi" w:hAnsiTheme="majorBidi" w:cstheme="majorBidi"/>
          <w:sz w:val="24"/>
          <w:szCs w:val="24"/>
        </w:rPr>
        <w:t>.</w:t>
      </w:r>
      <w:r>
        <w:rPr>
          <w:rStyle w:val="FootnoteReference"/>
          <w:rFonts w:asciiTheme="majorBidi" w:hAnsiTheme="majorBidi" w:cstheme="majorBidi"/>
          <w:sz w:val="24"/>
          <w:szCs w:val="24"/>
        </w:rPr>
        <w:footnoteReference w:id="741"/>
      </w:r>
      <w:r>
        <w:rPr>
          <w:rFonts w:asciiTheme="majorBidi" w:hAnsiTheme="majorBidi" w:cstheme="majorBidi"/>
          <w:sz w:val="24"/>
          <w:szCs w:val="24"/>
        </w:rPr>
        <w:t xml:space="preserve"> </w:t>
      </w: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6515C8">
        <w:rPr>
          <w:rFonts w:asciiTheme="majorBidi" w:hAnsiTheme="majorBidi" w:cstheme="majorBidi"/>
          <w:sz w:val="24"/>
          <w:szCs w:val="24"/>
        </w:rPr>
        <w:t>Para ulama bersepakat bahwa budak tidak dapat</w:t>
      </w:r>
      <w:r>
        <w:rPr>
          <w:rFonts w:asciiTheme="majorBidi" w:hAnsiTheme="majorBidi" w:cstheme="majorBidi"/>
          <w:sz w:val="24"/>
          <w:szCs w:val="24"/>
        </w:rPr>
        <w:t xml:space="preserve"> </w:t>
      </w:r>
      <w:r w:rsidRPr="006515C8">
        <w:rPr>
          <w:rFonts w:asciiTheme="majorBidi" w:hAnsiTheme="majorBidi" w:cstheme="majorBidi"/>
          <w:sz w:val="24"/>
          <w:szCs w:val="24"/>
        </w:rPr>
        <w:t>menerima harta warisan serta tidak dapat mewariskan hartanya.</w:t>
      </w:r>
      <w:r>
        <w:rPr>
          <w:rFonts w:asciiTheme="majorBidi" w:hAnsiTheme="majorBidi" w:cstheme="majorBidi"/>
          <w:sz w:val="24"/>
          <w:szCs w:val="24"/>
        </w:rPr>
        <w:t xml:space="preserve"> </w:t>
      </w:r>
      <w:r w:rsidRPr="006515C8">
        <w:rPr>
          <w:rFonts w:asciiTheme="majorBidi" w:hAnsiTheme="majorBidi" w:cstheme="majorBidi"/>
          <w:sz w:val="24"/>
          <w:szCs w:val="24"/>
        </w:rPr>
        <w:t>Sebab, dalam statusnya sebagai budak, dia sama sekali tidak</w:t>
      </w:r>
      <w:r>
        <w:rPr>
          <w:rFonts w:asciiTheme="majorBidi" w:hAnsiTheme="majorBidi" w:cstheme="majorBidi"/>
          <w:sz w:val="24"/>
          <w:szCs w:val="24"/>
        </w:rPr>
        <w:t xml:space="preserve"> </w:t>
      </w:r>
      <w:r w:rsidRPr="006515C8">
        <w:rPr>
          <w:rFonts w:asciiTheme="majorBidi" w:hAnsiTheme="majorBidi" w:cstheme="majorBidi"/>
          <w:sz w:val="24"/>
          <w:szCs w:val="24"/>
        </w:rPr>
        <w:t>memiliki kecakapan untuk memiliki dan mengelola harta benda.</w:t>
      </w:r>
      <w:r>
        <w:rPr>
          <w:rFonts w:asciiTheme="majorBidi" w:hAnsiTheme="majorBidi" w:cstheme="majorBidi"/>
          <w:sz w:val="24"/>
          <w:szCs w:val="24"/>
        </w:rPr>
        <w:t xml:space="preserve"> </w:t>
      </w:r>
      <w:r w:rsidRPr="006515C8">
        <w:rPr>
          <w:rFonts w:asciiTheme="majorBidi" w:hAnsiTheme="majorBidi" w:cstheme="majorBidi"/>
          <w:sz w:val="24"/>
          <w:szCs w:val="24"/>
        </w:rPr>
        <w:t>Bahkan, lebih dari itu, dia sebagai harta dan hak milik tuannya</w:t>
      </w:r>
      <w:r>
        <w:rPr>
          <w:rFonts w:asciiTheme="majorBidi" w:hAnsiTheme="majorBidi" w:cstheme="majorBidi"/>
          <w:sz w:val="24"/>
          <w:szCs w:val="24"/>
        </w:rPr>
        <w:t xml:space="preserve"> </w:t>
      </w:r>
      <w:r w:rsidRPr="006515C8">
        <w:rPr>
          <w:rFonts w:asciiTheme="majorBidi" w:hAnsiTheme="majorBidi" w:cstheme="majorBidi"/>
          <w:sz w:val="24"/>
          <w:szCs w:val="24"/>
        </w:rPr>
        <w:t>yang bisa diwariskan. Kalaupun budak tersebut memiliki harta</w:t>
      </w:r>
      <w:r>
        <w:rPr>
          <w:rFonts w:asciiTheme="majorBidi" w:hAnsiTheme="majorBidi" w:cstheme="majorBidi"/>
          <w:sz w:val="24"/>
          <w:szCs w:val="24"/>
        </w:rPr>
        <w:t xml:space="preserve"> </w:t>
      </w:r>
      <w:r w:rsidRPr="006515C8">
        <w:rPr>
          <w:rFonts w:asciiTheme="majorBidi" w:hAnsiTheme="majorBidi" w:cstheme="majorBidi"/>
          <w:sz w:val="24"/>
          <w:szCs w:val="24"/>
        </w:rPr>
        <w:t>kekayaan, maka harta tersebut secara otomatis sepenuhnya</w:t>
      </w:r>
      <w:r>
        <w:rPr>
          <w:rFonts w:asciiTheme="majorBidi" w:hAnsiTheme="majorBidi" w:cstheme="majorBidi"/>
          <w:sz w:val="24"/>
          <w:szCs w:val="24"/>
        </w:rPr>
        <w:t xml:space="preserve"> </w:t>
      </w:r>
      <w:r w:rsidRPr="006515C8">
        <w:rPr>
          <w:rFonts w:asciiTheme="majorBidi" w:hAnsiTheme="majorBidi" w:cstheme="majorBidi"/>
          <w:sz w:val="24"/>
          <w:szCs w:val="24"/>
        </w:rPr>
        <w:t>menjadi hak milik tuannya</w:t>
      </w:r>
      <w:r>
        <w:rPr>
          <w:rFonts w:asciiTheme="majorBidi" w:hAnsiTheme="majorBidi" w:cstheme="majorBidi"/>
          <w:sz w:val="24"/>
          <w:szCs w:val="24"/>
        </w:rPr>
        <w:t>.</w:t>
      </w:r>
      <w:r>
        <w:rPr>
          <w:rStyle w:val="FootnoteReference"/>
          <w:rFonts w:asciiTheme="majorBidi" w:hAnsiTheme="majorBidi" w:cstheme="majorBidi"/>
          <w:sz w:val="24"/>
          <w:szCs w:val="24"/>
        </w:rPr>
        <w:footnoteReference w:id="742"/>
      </w: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Pr>
          <w:rFonts w:asciiTheme="majorBidi" w:hAnsiTheme="majorBidi" w:cstheme="majorBidi"/>
          <w:sz w:val="24"/>
          <w:szCs w:val="24"/>
        </w:rPr>
        <w:t xml:space="preserve">Sementara </w:t>
      </w:r>
      <w:r w:rsidRPr="006515C8">
        <w:rPr>
          <w:rFonts w:asciiTheme="majorBidi" w:hAnsiTheme="majorBidi" w:cstheme="majorBidi"/>
          <w:sz w:val="24"/>
          <w:szCs w:val="24"/>
        </w:rPr>
        <w:t>pembunuhan (</w:t>
      </w:r>
      <w:r w:rsidRPr="006515C8">
        <w:rPr>
          <w:rFonts w:asciiTheme="majorBidi" w:hAnsiTheme="majorBidi" w:cstheme="majorBidi"/>
          <w:i/>
          <w:iCs/>
          <w:sz w:val="24"/>
          <w:szCs w:val="24"/>
        </w:rPr>
        <w:t>al-qatl</w:t>
      </w:r>
      <w:r w:rsidRPr="006515C8">
        <w:rPr>
          <w:rFonts w:asciiTheme="majorBidi" w:hAnsiTheme="majorBidi" w:cstheme="majorBidi"/>
          <w:sz w:val="24"/>
          <w:szCs w:val="24"/>
        </w:rPr>
        <w:t>)</w:t>
      </w:r>
      <w:r>
        <w:rPr>
          <w:rFonts w:asciiTheme="majorBidi" w:hAnsiTheme="majorBidi" w:cstheme="majorBidi"/>
          <w:sz w:val="24"/>
          <w:szCs w:val="24"/>
        </w:rPr>
        <w:t xml:space="preserve">, </w:t>
      </w:r>
      <w:r w:rsidRPr="006515C8">
        <w:rPr>
          <w:rFonts w:asciiTheme="majorBidi" w:hAnsiTheme="majorBidi" w:cstheme="majorBidi"/>
          <w:sz w:val="24"/>
          <w:szCs w:val="24"/>
        </w:rPr>
        <w:t>secara umum para ulama bersepakat bahwa ahli waris yang membunuh orang yang akan mewariskan harta kepadanya (</w:t>
      </w:r>
      <w:r w:rsidRPr="00CE27DD">
        <w:rPr>
          <w:rFonts w:asciiTheme="majorBidi" w:hAnsiTheme="majorBidi" w:cstheme="majorBidi"/>
          <w:i/>
          <w:iCs/>
          <w:sz w:val="24"/>
          <w:szCs w:val="24"/>
        </w:rPr>
        <w:t>muwarrits</w:t>
      </w:r>
      <w:r w:rsidRPr="006515C8">
        <w:rPr>
          <w:rFonts w:asciiTheme="majorBidi" w:hAnsiTheme="majorBidi" w:cstheme="majorBidi"/>
          <w:sz w:val="24"/>
          <w:szCs w:val="24"/>
        </w:rPr>
        <w:t>), terutama diberi sanksi tegas tidak dapat menerima harta warisan. Selain berpijak kepada hadits di bawah ini:</w:t>
      </w:r>
    </w:p>
    <w:p w:rsidR="00343B61" w:rsidRPr="00AE433A" w:rsidRDefault="00343B61" w:rsidP="00343B61">
      <w:pPr>
        <w:autoSpaceDE w:val="0"/>
        <w:autoSpaceDN w:val="0"/>
        <w:bidi/>
        <w:adjustRightInd w:val="0"/>
        <w:spacing w:after="0" w:line="240" w:lineRule="auto"/>
        <w:ind w:left="17"/>
        <w:jc w:val="both"/>
        <w:rPr>
          <w:rFonts w:ascii="Traditional Arabic" w:hAnsi="Times New Roman" w:cs="Traditional Arabic"/>
          <w:color w:val="000000"/>
          <w:sz w:val="32"/>
          <w:szCs w:val="32"/>
        </w:rPr>
      </w:pPr>
      <w:r>
        <w:rPr>
          <w:rFonts w:ascii="Arial" w:hAnsi="Arial" w:cs="Traditional Arabic"/>
          <w:sz w:val="32"/>
          <w:szCs w:val="32"/>
          <w:rtl/>
        </w:rPr>
        <w:t>لَيْسَ لِقَاتِلٍ مِيرَاثٌ</w:t>
      </w:r>
      <w:r w:rsidRPr="00AE433A">
        <w:rPr>
          <w:rFonts w:ascii="Arial" w:hAnsi="Arial" w:cs="Traditional Arabic"/>
          <w:sz w:val="32"/>
          <w:szCs w:val="32"/>
          <w:rtl/>
        </w:rPr>
        <w:t xml:space="preserve"> (</w:t>
      </w:r>
      <w:r w:rsidRPr="00AE433A">
        <w:rPr>
          <w:rFonts w:ascii="Arial" w:hAnsi="Arial" w:cs="Traditional Arabic"/>
          <w:color w:val="000000"/>
          <w:sz w:val="32"/>
          <w:szCs w:val="32"/>
          <w:rtl/>
        </w:rPr>
        <w:t>البيهقي, ابن ماجه , الدارقطني)</w:t>
      </w:r>
      <w:r w:rsidRPr="00AE433A">
        <w:rPr>
          <w:rFonts w:ascii="Traditional Arabic" w:hAnsi="Times New Roman" w:cs="Traditional Arabic" w:hint="cs"/>
          <w:color w:val="000000"/>
          <w:sz w:val="32"/>
          <w:szCs w:val="32"/>
          <w:rtl/>
        </w:rPr>
        <w:t xml:space="preserve"> </w:t>
      </w:r>
      <w:r w:rsidRPr="00AE433A">
        <w:rPr>
          <w:rStyle w:val="FootnoteReference"/>
          <w:rFonts w:ascii="Traditional Arabic" w:hAnsi="Times New Roman" w:cs="Traditional Arabic"/>
          <w:color w:val="000000"/>
          <w:sz w:val="32"/>
          <w:szCs w:val="32"/>
          <w:rtl/>
        </w:rPr>
        <w:footnoteReference w:id="743"/>
      </w:r>
    </w:p>
    <w:p w:rsidR="00343B61" w:rsidRDefault="00343B61" w:rsidP="00343B61">
      <w:pPr>
        <w:autoSpaceDE w:val="0"/>
        <w:autoSpaceDN w:val="0"/>
        <w:adjustRightInd w:val="0"/>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Artinya: “</w:t>
      </w:r>
      <w:r w:rsidRPr="002644F3">
        <w:rPr>
          <w:rFonts w:asciiTheme="majorBidi" w:hAnsiTheme="majorBidi" w:cstheme="majorBidi"/>
          <w:i/>
          <w:iCs/>
          <w:sz w:val="24"/>
          <w:szCs w:val="24"/>
        </w:rPr>
        <w:t>Seorang pembunuh (orang yang mewariskan harta kepadanya) tidak berhak menerima harta warisan apapun</w:t>
      </w:r>
      <w:r w:rsidRPr="006515C8">
        <w:rPr>
          <w:rFonts w:asciiTheme="majorBidi" w:hAnsiTheme="majorBidi" w:cstheme="majorBidi"/>
          <w:sz w:val="24"/>
          <w:szCs w:val="24"/>
        </w:rPr>
        <w:t>.</w:t>
      </w:r>
      <w:r>
        <w:rPr>
          <w:rFonts w:asciiTheme="majorBidi" w:hAnsiTheme="majorBidi" w:cstheme="majorBidi"/>
          <w:sz w:val="24"/>
          <w:szCs w:val="24"/>
        </w:rPr>
        <w:t xml:space="preserve"> </w:t>
      </w:r>
      <w:r w:rsidRPr="006515C8">
        <w:rPr>
          <w:rFonts w:asciiTheme="majorBidi" w:hAnsiTheme="majorBidi" w:cstheme="majorBidi"/>
          <w:sz w:val="24"/>
          <w:szCs w:val="24"/>
        </w:rPr>
        <w:t>(H.R. al-Nasa’i).</w:t>
      </w:r>
    </w:p>
    <w:p w:rsidR="00343B61" w:rsidRDefault="00343B61" w:rsidP="00343B61">
      <w:pPr>
        <w:autoSpaceDE w:val="0"/>
        <w:autoSpaceDN w:val="0"/>
        <w:adjustRightInd w:val="0"/>
        <w:spacing w:after="0" w:line="240" w:lineRule="auto"/>
        <w:ind w:left="1440"/>
        <w:jc w:val="both"/>
        <w:rPr>
          <w:rFonts w:asciiTheme="majorBidi" w:hAnsiTheme="majorBidi" w:cstheme="majorBidi"/>
          <w:sz w:val="24"/>
          <w:szCs w:val="24"/>
        </w:rPr>
      </w:pP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6515C8">
        <w:rPr>
          <w:rFonts w:asciiTheme="majorBidi" w:hAnsiTheme="majorBidi" w:cstheme="majorBidi"/>
          <w:sz w:val="24"/>
          <w:szCs w:val="24"/>
        </w:rPr>
        <w:t>Kesepakatan ulama tersebut juga berpijak kepada</w:t>
      </w:r>
      <w:r>
        <w:rPr>
          <w:rFonts w:asciiTheme="majorBidi" w:hAnsiTheme="majorBidi" w:cstheme="majorBidi"/>
          <w:sz w:val="24"/>
          <w:szCs w:val="24"/>
        </w:rPr>
        <w:t xml:space="preserve"> </w:t>
      </w:r>
      <w:r w:rsidRPr="006515C8">
        <w:rPr>
          <w:rFonts w:asciiTheme="majorBidi" w:hAnsiTheme="majorBidi" w:cstheme="majorBidi"/>
          <w:sz w:val="24"/>
          <w:szCs w:val="24"/>
        </w:rPr>
        <w:t>argumentasi bahwa sang ahli waris telah menempuh cara</w:t>
      </w:r>
      <w:r>
        <w:rPr>
          <w:rFonts w:asciiTheme="majorBidi" w:hAnsiTheme="majorBidi" w:cstheme="majorBidi"/>
          <w:sz w:val="24"/>
          <w:szCs w:val="24"/>
        </w:rPr>
        <w:t xml:space="preserve"> </w:t>
      </w:r>
      <w:r w:rsidRPr="006515C8">
        <w:rPr>
          <w:rFonts w:asciiTheme="majorBidi" w:hAnsiTheme="majorBidi" w:cstheme="majorBidi"/>
          <w:sz w:val="24"/>
          <w:szCs w:val="24"/>
        </w:rPr>
        <w:t xml:space="preserve">kekerasan yang keji terhadap </w:t>
      </w:r>
      <w:r w:rsidRPr="006515C8">
        <w:rPr>
          <w:rFonts w:asciiTheme="majorBidi" w:hAnsiTheme="majorBidi" w:cstheme="majorBidi"/>
          <w:sz w:val="24"/>
          <w:szCs w:val="24"/>
        </w:rPr>
        <w:lastRenderedPageBreak/>
        <w:t>orang yang akan mewariskan harta</w:t>
      </w:r>
      <w:r>
        <w:rPr>
          <w:rFonts w:asciiTheme="majorBidi" w:hAnsiTheme="majorBidi" w:cstheme="majorBidi"/>
          <w:sz w:val="24"/>
          <w:szCs w:val="24"/>
        </w:rPr>
        <w:t xml:space="preserve"> </w:t>
      </w:r>
      <w:r w:rsidRPr="006515C8">
        <w:rPr>
          <w:rFonts w:asciiTheme="majorBidi" w:hAnsiTheme="majorBidi" w:cstheme="majorBidi"/>
          <w:sz w:val="24"/>
          <w:szCs w:val="24"/>
        </w:rPr>
        <w:t>kepadanya. Akibatnya, dia patut diberi sanksi kehilangan hak</w:t>
      </w:r>
      <w:r>
        <w:rPr>
          <w:rFonts w:asciiTheme="majorBidi" w:hAnsiTheme="majorBidi" w:cstheme="majorBidi"/>
          <w:sz w:val="24"/>
          <w:szCs w:val="24"/>
        </w:rPr>
        <w:t xml:space="preserve"> </w:t>
      </w:r>
      <w:r w:rsidRPr="006515C8">
        <w:rPr>
          <w:rFonts w:asciiTheme="majorBidi" w:hAnsiTheme="majorBidi" w:cstheme="majorBidi"/>
          <w:sz w:val="24"/>
          <w:szCs w:val="24"/>
        </w:rPr>
        <w:t>untuk mendapatkan harta tersebut</w:t>
      </w:r>
      <w:r>
        <w:rPr>
          <w:rFonts w:asciiTheme="majorBidi" w:hAnsiTheme="majorBidi" w:cstheme="majorBidi"/>
          <w:sz w:val="24"/>
          <w:szCs w:val="24"/>
        </w:rPr>
        <w:t>.</w:t>
      </w:r>
      <w:r>
        <w:rPr>
          <w:rStyle w:val="FootnoteReference"/>
          <w:rFonts w:asciiTheme="majorBidi" w:hAnsiTheme="majorBidi" w:cstheme="majorBidi"/>
          <w:sz w:val="24"/>
          <w:szCs w:val="24"/>
        </w:rPr>
        <w:footnoteReference w:id="744"/>
      </w:r>
    </w:p>
    <w:p w:rsidR="00343B61"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1C70FD">
        <w:rPr>
          <w:rFonts w:asciiTheme="majorBidi" w:hAnsiTheme="majorBidi" w:cstheme="majorBidi"/>
          <w:sz w:val="24"/>
          <w:szCs w:val="24"/>
        </w:rPr>
        <w:t>Para ulama berbeda pendapat tentang jenis-jenis pembunuhan selain yang disengaja atau direncanakan sebag</w:t>
      </w:r>
      <w:r>
        <w:rPr>
          <w:rFonts w:asciiTheme="majorBidi" w:hAnsiTheme="majorBidi" w:cstheme="majorBidi"/>
          <w:sz w:val="24"/>
          <w:szCs w:val="24"/>
        </w:rPr>
        <w:t xml:space="preserve">ai penghalang sang pelaku untuk mendapatkan harta warisan. </w:t>
      </w:r>
      <w:r w:rsidRPr="001C70FD">
        <w:rPr>
          <w:rFonts w:asciiTheme="majorBidi" w:hAnsiTheme="majorBidi" w:cstheme="majorBidi"/>
          <w:sz w:val="24"/>
          <w:szCs w:val="24"/>
        </w:rPr>
        <w:t>Perbedaan pendapat tersebut dilatarbelakangi oleh perbedaan tolok ukur yang dipakai:</w:t>
      </w:r>
    </w:p>
    <w:p w:rsidR="00343B61" w:rsidRDefault="00343B61" w:rsidP="00343B61">
      <w:pPr>
        <w:pStyle w:val="ListParagraph"/>
        <w:autoSpaceDE w:val="0"/>
        <w:autoSpaceDN w:val="0"/>
        <w:adjustRightInd w:val="0"/>
        <w:spacing w:after="0" w:line="360" w:lineRule="auto"/>
        <w:ind w:left="810" w:firstLine="630"/>
        <w:jc w:val="both"/>
        <w:rPr>
          <w:rFonts w:asciiTheme="majorBidi" w:hAnsiTheme="majorBidi" w:cstheme="majorBidi"/>
          <w:sz w:val="24"/>
          <w:szCs w:val="24"/>
        </w:rPr>
      </w:pPr>
      <w:r>
        <w:rPr>
          <w:rFonts w:asciiTheme="majorBidi" w:hAnsiTheme="majorBidi" w:cstheme="majorBidi"/>
          <w:sz w:val="24"/>
          <w:szCs w:val="24"/>
        </w:rPr>
        <w:t xml:space="preserve">Menurut </w:t>
      </w:r>
      <w:r w:rsidRPr="001C70FD">
        <w:rPr>
          <w:rFonts w:asciiTheme="majorBidi" w:hAnsiTheme="majorBidi" w:cstheme="majorBidi"/>
          <w:sz w:val="24"/>
          <w:szCs w:val="24"/>
        </w:rPr>
        <w:t xml:space="preserve">Hanafiyyah dan Hanabilah </w:t>
      </w:r>
      <w:r>
        <w:rPr>
          <w:rFonts w:asciiTheme="majorBidi" w:hAnsiTheme="majorBidi" w:cstheme="majorBidi"/>
          <w:sz w:val="24"/>
          <w:szCs w:val="24"/>
        </w:rPr>
        <w:t xml:space="preserve">memakai </w:t>
      </w:r>
      <w:r w:rsidRPr="001C70FD">
        <w:rPr>
          <w:rFonts w:asciiTheme="majorBidi" w:hAnsiTheme="majorBidi" w:cstheme="majorBidi"/>
          <w:sz w:val="24"/>
          <w:szCs w:val="24"/>
        </w:rPr>
        <w:t xml:space="preserve">tolok ukur adanya sanksi </w:t>
      </w:r>
      <w:r w:rsidRPr="00772BB5">
        <w:rPr>
          <w:rFonts w:asciiTheme="majorBidi" w:hAnsiTheme="majorBidi" w:cstheme="majorBidi"/>
          <w:i/>
          <w:iCs/>
          <w:sz w:val="24"/>
          <w:szCs w:val="24"/>
        </w:rPr>
        <w:t>qishash</w:t>
      </w:r>
      <w:r w:rsidRPr="001C70FD">
        <w:rPr>
          <w:rFonts w:asciiTheme="majorBidi" w:hAnsiTheme="majorBidi" w:cstheme="majorBidi"/>
          <w:sz w:val="24"/>
          <w:szCs w:val="24"/>
        </w:rPr>
        <w:t xml:space="preserve"> atau tebusan (</w:t>
      </w:r>
      <w:r w:rsidRPr="00772BB5">
        <w:rPr>
          <w:rFonts w:asciiTheme="majorBidi" w:hAnsiTheme="majorBidi" w:cstheme="majorBidi"/>
          <w:i/>
          <w:iCs/>
          <w:sz w:val="24"/>
          <w:szCs w:val="24"/>
        </w:rPr>
        <w:t>kaffarah</w:t>
      </w:r>
      <w:r>
        <w:rPr>
          <w:rFonts w:asciiTheme="majorBidi" w:hAnsiTheme="majorBidi" w:cstheme="majorBidi"/>
          <w:sz w:val="24"/>
          <w:szCs w:val="24"/>
        </w:rPr>
        <w:t xml:space="preserve">) </w:t>
      </w:r>
      <w:r w:rsidRPr="001C70FD">
        <w:rPr>
          <w:rFonts w:asciiTheme="majorBidi" w:hAnsiTheme="majorBidi" w:cstheme="majorBidi"/>
          <w:sz w:val="24"/>
          <w:szCs w:val="24"/>
        </w:rPr>
        <w:t>berdasarkan tolok ukur tersebut, hanya pembunuhan yang</w:t>
      </w:r>
      <w:r>
        <w:rPr>
          <w:rFonts w:asciiTheme="majorBidi" w:hAnsiTheme="majorBidi" w:cstheme="majorBidi"/>
          <w:sz w:val="24"/>
          <w:szCs w:val="24"/>
        </w:rPr>
        <w:t xml:space="preserve"> </w:t>
      </w:r>
      <w:r w:rsidRPr="001C70FD">
        <w:rPr>
          <w:rFonts w:asciiTheme="majorBidi" w:hAnsiTheme="majorBidi" w:cstheme="majorBidi"/>
          <w:sz w:val="24"/>
          <w:szCs w:val="24"/>
        </w:rPr>
        <w:t xml:space="preserve">dijatuhi sanksi </w:t>
      </w:r>
      <w:r w:rsidRPr="00772BB5">
        <w:rPr>
          <w:rFonts w:asciiTheme="majorBidi" w:hAnsiTheme="majorBidi" w:cstheme="majorBidi"/>
          <w:i/>
          <w:iCs/>
          <w:sz w:val="24"/>
          <w:szCs w:val="24"/>
        </w:rPr>
        <w:t>qishash</w:t>
      </w:r>
      <w:r w:rsidRPr="001C70FD">
        <w:rPr>
          <w:rFonts w:asciiTheme="majorBidi" w:hAnsiTheme="majorBidi" w:cstheme="majorBidi"/>
          <w:sz w:val="24"/>
          <w:szCs w:val="24"/>
        </w:rPr>
        <w:t xml:space="preserve"> atau </w:t>
      </w:r>
      <w:r w:rsidRPr="00772BB5">
        <w:rPr>
          <w:rFonts w:asciiTheme="majorBidi" w:hAnsiTheme="majorBidi" w:cstheme="majorBidi"/>
          <w:i/>
          <w:iCs/>
          <w:sz w:val="24"/>
          <w:szCs w:val="24"/>
        </w:rPr>
        <w:t>kaffarah</w:t>
      </w:r>
      <w:r w:rsidRPr="001C70FD">
        <w:rPr>
          <w:rFonts w:asciiTheme="majorBidi" w:hAnsiTheme="majorBidi" w:cstheme="majorBidi"/>
          <w:sz w:val="24"/>
          <w:szCs w:val="24"/>
        </w:rPr>
        <w:t xml:space="preserve"> saja yang dianggap</w:t>
      </w:r>
      <w:r>
        <w:rPr>
          <w:rFonts w:asciiTheme="majorBidi" w:hAnsiTheme="majorBidi" w:cstheme="majorBidi"/>
          <w:sz w:val="24"/>
          <w:szCs w:val="24"/>
        </w:rPr>
        <w:t xml:space="preserve"> </w:t>
      </w:r>
      <w:r w:rsidRPr="001C70FD">
        <w:rPr>
          <w:rFonts w:asciiTheme="majorBidi" w:hAnsiTheme="majorBidi" w:cstheme="majorBidi"/>
          <w:sz w:val="24"/>
          <w:szCs w:val="24"/>
        </w:rPr>
        <w:t>sebagai penghalang menerima warisan, yakni pembunuhan</w:t>
      </w:r>
      <w:r>
        <w:rPr>
          <w:rFonts w:asciiTheme="majorBidi" w:hAnsiTheme="majorBidi" w:cstheme="majorBidi"/>
          <w:sz w:val="24"/>
          <w:szCs w:val="24"/>
        </w:rPr>
        <w:t xml:space="preserve"> </w:t>
      </w:r>
      <w:r w:rsidRPr="001C70FD">
        <w:rPr>
          <w:rFonts w:asciiTheme="majorBidi" w:hAnsiTheme="majorBidi" w:cstheme="majorBidi"/>
          <w:sz w:val="24"/>
          <w:szCs w:val="24"/>
        </w:rPr>
        <w:t>yang dilakukan secara disengaja atau direncanakan, pembunuhan semi disengaja dan pembunuhan karena sematamata</w:t>
      </w:r>
      <w:r>
        <w:rPr>
          <w:rFonts w:asciiTheme="majorBidi" w:hAnsiTheme="majorBidi" w:cstheme="majorBidi"/>
          <w:sz w:val="24"/>
          <w:szCs w:val="24"/>
        </w:rPr>
        <w:t xml:space="preserve"> </w:t>
      </w:r>
      <w:r w:rsidRPr="001C70FD">
        <w:rPr>
          <w:rFonts w:asciiTheme="majorBidi" w:hAnsiTheme="majorBidi" w:cstheme="majorBidi"/>
          <w:sz w:val="24"/>
          <w:szCs w:val="24"/>
        </w:rPr>
        <w:t>kekeliruan.</w:t>
      </w:r>
    </w:p>
    <w:p w:rsidR="00343B61" w:rsidRPr="00CE27DD" w:rsidRDefault="00343B61" w:rsidP="00343B61">
      <w:pPr>
        <w:pStyle w:val="ListParagraph"/>
        <w:spacing w:line="360" w:lineRule="auto"/>
        <w:ind w:left="810" w:firstLine="630"/>
        <w:jc w:val="both"/>
        <w:rPr>
          <w:rFonts w:asciiTheme="majorBidi" w:hAnsiTheme="majorBidi" w:cstheme="majorBidi"/>
          <w:i/>
          <w:iCs/>
        </w:rPr>
      </w:pPr>
      <w:r>
        <w:rPr>
          <w:rFonts w:asciiTheme="majorBidi" w:hAnsiTheme="majorBidi" w:cstheme="majorBidi"/>
          <w:sz w:val="24"/>
          <w:szCs w:val="24"/>
        </w:rPr>
        <w:t xml:space="preserve">Sementara menurut </w:t>
      </w:r>
      <w:r w:rsidRPr="001C70FD">
        <w:rPr>
          <w:rFonts w:asciiTheme="majorBidi" w:hAnsiTheme="majorBidi" w:cstheme="majorBidi"/>
          <w:sz w:val="24"/>
          <w:szCs w:val="24"/>
        </w:rPr>
        <w:t>Ma</w:t>
      </w:r>
      <w:r>
        <w:rPr>
          <w:rFonts w:asciiTheme="majorBidi" w:hAnsiTheme="majorBidi" w:cstheme="majorBidi"/>
          <w:sz w:val="24"/>
          <w:szCs w:val="24"/>
        </w:rPr>
        <w:t>likiyyah memakai</w:t>
      </w:r>
      <w:r w:rsidRPr="001C70FD">
        <w:rPr>
          <w:rFonts w:asciiTheme="majorBidi" w:hAnsiTheme="majorBidi" w:cstheme="majorBidi"/>
          <w:sz w:val="24"/>
          <w:szCs w:val="24"/>
        </w:rPr>
        <w:t xml:space="preserve"> tolok ukur motivasi keji (</w:t>
      </w:r>
      <w:r w:rsidRPr="002B537E">
        <w:rPr>
          <w:rFonts w:asciiTheme="majorBidi" w:hAnsiTheme="majorBidi" w:cstheme="majorBidi"/>
          <w:i/>
          <w:iCs/>
          <w:sz w:val="24"/>
          <w:szCs w:val="24"/>
        </w:rPr>
        <w:t>al-‘udw</w:t>
      </w:r>
      <w:r w:rsidRPr="00294C3D">
        <w:rPr>
          <w:rFonts w:asciiTheme="majorBidi" w:hAnsiTheme="majorBidi" w:cstheme="majorBidi"/>
          <w:i/>
          <w:iCs/>
        </w:rPr>
        <w:t>ā</w:t>
      </w:r>
      <w:r w:rsidRPr="00CE27DD">
        <w:rPr>
          <w:rFonts w:asciiTheme="majorBidi" w:hAnsiTheme="majorBidi" w:cstheme="majorBidi"/>
          <w:i/>
          <w:iCs/>
          <w:sz w:val="24"/>
          <w:szCs w:val="24"/>
        </w:rPr>
        <w:t>n</w:t>
      </w:r>
      <w:r w:rsidRPr="00CE27DD">
        <w:rPr>
          <w:rFonts w:asciiTheme="majorBidi" w:hAnsiTheme="majorBidi" w:cstheme="majorBidi"/>
          <w:sz w:val="24"/>
          <w:szCs w:val="24"/>
        </w:rPr>
        <w:t>) sang pelaku. Berpijak kepada tolok ukur tersebut, pembunuhan yang bisa menjadi penghalang menerima warisan adalah pembunuhan yang dilakukan atas dasar motivasi untuk menyakiti ataupun menghilangkan nyawa korban. Motivasi seperti ini hanya terdapat pada tindakan pembunuhan secara disengaja atau direncanakan (</w:t>
      </w:r>
      <w:r w:rsidRPr="00CE27DD">
        <w:rPr>
          <w:rFonts w:asciiTheme="majorBidi" w:hAnsiTheme="majorBidi" w:cstheme="majorBidi"/>
          <w:i/>
          <w:iCs/>
          <w:sz w:val="24"/>
          <w:szCs w:val="24"/>
        </w:rPr>
        <w:t>al-qatl al-‘amd</w:t>
      </w:r>
      <w:r w:rsidRPr="00CE27DD">
        <w:rPr>
          <w:rFonts w:asciiTheme="majorBidi" w:hAnsiTheme="majorBidi" w:cstheme="majorBidi"/>
          <w:sz w:val="24"/>
          <w:szCs w:val="24"/>
        </w:rPr>
        <w:t>), baik secara langsung ataupun tidak langsung. Termasuk dalam jenis ini adalah persaksian palsu yang menyebabkan korban disanksi hukuman mati.</w:t>
      </w:r>
      <w:r>
        <w:rPr>
          <w:rStyle w:val="FootnoteReference"/>
          <w:rFonts w:asciiTheme="majorBidi" w:hAnsiTheme="majorBidi" w:cstheme="majorBidi"/>
          <w:sz w:val="24"/>
          <w:szCs w:val="24"/>
        </w:rPr>
        <w:footnoteReference w:id="745"/>
      </w:r>
    </w:p>
    <w:p w:rsidR="00343B61" w:rsidRPr="00985D98" w:rsidRDefault="00343B61" w:rsidP="00343B61">
      <w:pPr>
        <w:pStyle w:val="ListParagraph"/>
        <w:autoSpaceDE w:val="0"/>
        <w:autoSpaceDN w:val="0"/>
        <w:adjustRightInd w:val="0"/>
        <w:spacing w:after="0" w:line="360" w:lineRule="auto"/>
        <w:ind w:left="810" w:firstLine="630"/>
        <w:jc w:val="both"/>
        <w:rPr>
          <w:rFonts w:asciiTheme="majorBidi" w:hAnsiTheme="majorBidi" w:cstheme="majorBidi"/>
          <w:sz w:val="24"/>
          <w:szCs w:val="24"/>
        </w:rPr>
      </w:pPr>
      <w:r>
        <w:rPr>
          <w:rFonts w:asciiTheme="majorBidi" w:hAnsiTheme="majorBidi" w:cstheme="majorBidi"/>
          <w:sz w:val="24"/>
          <w:szCs w:val="24"/>
        </w:rPr>
        <w:t xml:space="preserve">Sedangkan menurut </w:t>
      </w:r>
      <w:r w:rsidRPr="00DA0584">
        <w:rPr>
          <w:rFonts w:asciiTheme="majorBidi" w:hAnsiTheme="majorBidi" w:cstheme="majorBidi"/>
          <w:sz w:val="24"/>
          <w:szCs w:val="24"/>
        </w:rPr>
        <w:t>Syafi‘iyyah memakai tolok ukur efek tindakan, yakni hilangnya nyawa orang lain. Mengacu kepada tolok ukur tersebut, semua tindakan yang bisa menyebabkan hilangnya nyawa orang lain, baik secara disengaja ataupun tidak, baik</w:t>
      </w:r>
      <w:r>
        <w:rPr>
          <w:rFonts w:asciiTheme="majorBidi" w:hAnsiTheme="majorBidi" w:cstheme="majorBidi"/>
          <w:sz w:val="24"/>
          <w:szCs w:val="24"/>
        </w:rPr>
        <w:t xml:space="preserve"> yang dilakukan karena ada alas</w:t>
      </w:r>
      <w:r w:rsidRPr="00DA0584">
        <w:rPr>
          <w:rFonts w:asciiTheme="majorBidi" w:hAnsiTheme="majorBidi" w:cstheme="majorBidi"/>
          <w:sz w:val="24"/>
          <w:szCs w:val="24"/>
        </w:rPr>
        <w:t xml:space="preserve">an </w:t>
      </w:r>
      <w:r w:rsidRPr="00DA0584">
        <w:rPr>
          <w:rFonts w:asciiTheme="majorBidi" w:hAnsiTheme="majorBidi" w:cstheme="majorBidi"/>
          <w:sz w:val="24"/>
          <w:szCs w:val="24"/>
        </w:rPr>
        <w:lastRenderedPageBreak/>
        <w:t>syar‘i ataupun tidak, tetap dianggap sebagai penghalang hak menerima warisan.</w:t>
      </w:r>
      <w:r>
        <w:rPr>
          <w:rStyle w:val="FootnoteReference"/>
          <w:rFonts w:asciiTheme="majorBidi" w:hAnsiTheme="majorBidi" w:cstheme="majorBidi"/>
          <w:sz w:val="24"/>
          <w:szCs w:val="24"/>
        </w:rPr>
        <w:footnoteReference w:id="746"/>
      </w:r>
    </w:p>
    <w:p w:rsidR="00343B61" w:rsidRPr="002644F3"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Pr>
          <w:rFonts w:asciiTheme="majorBidi" w:hAnsiTheme="majorBidi" w:cstheme="majorBidi"/>
          <w:sz w:val="24"/>
          <w:szCs w:val="24"/>
        </w:rPr>
        <w:t xml:space="preserve">Adapun </w:t>
      </w:r>
      <w:r w:rsidRPr="002644F3">
        <w:rPr>
          <w:rFonts w:asciiTheme="majorBidi" w:hAnsiTheme="majorBidi" w:cstheme="majorBidi"/>
          <w:sz w:val="24"/>
          <w:szCs w:val="24"/>
        </w:rPr>
        <w:t>perbedaan agama (</w:t>
      </w:r>
      <w:r w:rsidRPr="002644F3">
        <w:rPr>
          <w:rFonts w:asciiTheme="majorBidi" w:hAnsiTheme="majorBidi" w:cstheme="majorBidi"/>
          <w:i/>
          <w:iCs/>
          <w:sz w:val="24"/>
          <w:szCs w:val="24"/>
        </w:rPr>
        <w:t>ikhtilaf al-din</w:t>
      </w:r>
      <w:r w:rsidRPr="002644F3">
        <w:rPr>
          <w:rFonts w:asciiTheme="majorBidi" w:hAnsiTheme="majorBidi" w:cstheme="majorBidi"/>
          <w:sz w:val="24"/>
          <w:szCs w:val="24"/>
        </w:rPr>
        <w:t>)</w:t>
      </w:r>
      <w:r>
        <w:rPr>
          <w:rFonts w:asciiTheme="majorBidi" w:hAnsiTheme="majorBidi" w:cstheme="majorBidi"/>
          <w:sz w:val="24"/>
          <w:szCs w:val="24"/>
        </w:rPr>
        <w:t xml:space="preserve"> </w:t>
      </w:r>
      <w:r w:rsidRPr="002644F3">
        <w:rPr>
          <w:rFonts w:asciiTheme="majorBidi" w:hAnsiTheme="majorBidi" w:cstheme="majorBidi"/>
          <w:sz w:val="24"/>
          <w:szCs w:val="24"/>
        </w:rPr>
        <w:t>menjadi halangan bagi</w:t>
      </w:r>
      <w:r>
        <w:rPr>
          <w:rFonts w:asciiTheme="majorBidi" w:hAnsiTheme="majorBidi" w:cstheme="majorBidi"/>
          <w:sz w:val="24"/>
          <w:szCs w:val="24"/>
        </w:rPr>
        <w:t xml:space="preserve"> </w:t>
      </w:r>
      <w:r w:rsidRPr="002644F3">
        <w:rPr>
          <w:rFonts w:asciiTheme="majorBidi" w:hAnsiTheme="majorBidi" w:cstheme="majorBidi"/>
          <w:sz w:val="24"/>
          <w:szCs w:val="24"/>
        </w:rPr>
        <w:t>seorang ahli waris untuk bisa menerima harta warisan, baik</w:t>
      </w:r>
      <w:r>
        <w:rPr>
          <w:rFonts w:asciiTheme="majorBidi" w:hAnsiTheme="majorBidi" w:cstheme="majorBidi"/>
          <w:sz w:val="24"/>
          <w:szCs w:val="24"/>
        </w:rPr>
        <w:t xml:space="preserve"> </w:t>
      </w:r>
      <w:r w:rsidRPr="002644F3">
        <w:rPr>
          <w:rFonts w:asciiTheme="majorBidi" w:hAnsiTheme="majorBidi" w:cstheme="majorBidi"/>
          <w:sz w:val="24"/>
          <w:szCs w:val="24"/>
        </w:rPr>
        <w:t>sebagai muslim maupun non muslim. Ahli waris muslim tidak bisa</w:t>
      </w:r>
      <w:r>
        <w:rPr>
          <w:rFonts w:asciiTheme="majorBidi" w:hAnsiTheme="majorBidi" w:cstheme="majorBidi"/>
          <w:sz w:val="24"/>
          <w:szCs w:val="24"/>
        </w:rPr>
        <w:t xml:space="preserve"> </w:t>
      </w:r>
      <w:r w:rsidRPr="002644F3">
        <w:rPr>
          <w:rFonts w:asciiTheme="majorBidi" w:hAnsiTheme="majorBidi" w:cstheme="majorBidi"/>
          <w:sz w:val="24"/>
          <w:szCs w:val="24"/>
        </w:rPr>
        <w:t>menerima warisan dari orang non muslim. Begitu pula sebaliknya,</w:t>
      </w:r>
      <w:r>
        <w:rPr>
          <w:rFonts w:asciiTheme="majorBidi" w:hAnsiTheme="majorBidi" w:cstheme="majorBidi"/>
          <w:sz w:val="24"/>
          <w:szCs w:val="24"/>
        </w:rPr>
        <w:t xml:space="preserve"> </w:t>
      </w:r>
      <w:r w:rsidRPr="002644F3">
        <w:rPr>
          <w:rFonts w:asciiTheme="majorBidi" w:hAnsiTheme="majorBidi" w:cstheme="majorBidi"/>
          <w:sz w:val="24"/>
          <w:szCs w:val="24"/>
        </w:rPr>
        <w:t>ahli waris non muslim tidak bisa menerima warisan dari orang</w:t>
      </w:r>
      <w:r>
        <w:rPr>
          <w:rFonts w:asciiTheme="majorBidi" w:hAnsiTheme="majorBidi" w:cstheme="majorBidi"/>
          <w:sz w:val="24"/>
          <w:szCs w:val="24"/>
        </w:rPr>
        <w:t xml:space="preserve"> </w:t>
      </w:r>
      <w:r w:rsidRPr="002644F3">
        <w:rPr>
          <w:rFonts w:asciiTheme="majorBidi" w:hAnsiTheme="majorBidi" w:cstheme="majorBidi"/>
          <w:sz w:val="24"/>
          <w:szCs w:val="24"/>
        </w:rPr>
        <w:t>muslim. Pandangan ini berpijak kepada hadits berikut ini:</w:t>
      </w:r>
    </w:p>
    <w:p w:rsidR="00343B61" w:rsidRPr="00591577" w:rsidRDefault="00343B61" w:rsidP="00343B61">
      <w:pPr>
        <w:pStyle w:val="ListParagraph"/>
        <w:autoSpaceDE w:val="0"/>
        <w:autoSpaceDN w:val="0"/>
        <w:bidi/>
        <w:adjustRightInd w:val="0"/>
        <w:spacing w:after="0" w:line="240" w:lineRule="auto"/>
        <w:ind w:left="17"/>
        <w:jc w:val="both"/>
        <w:rPr>
          <w:rFonts w:ascii="Arial" w:hAnsi="Arial"/>
          <w:sz w:val="28"/>
          <w:szCs w:val="28"/>
          <w:lang w:val="sv-SE"/>
        </w:rPr>
      </w:pPr>
      <w:r w:rsidRPr="00AE433A">
        <w:rPr>
          <w:rFonts w:ascii="Arial" w:hAnsi="Arial" w:cs="Traditional Arabic"/>
          <w:sz w:val="32"/>
          <w:szCs w:val="32"/>
          <w:rtl/>
        </w:rPr>
        <w:t>لَا</w:t>
      </w:r>
      <w:r w:rsidRPr="00591577">
        <w:rPr>
          <w:rFonts w:ascii="Arial" w:hAnsi="Arial"/>
          <w:b/>
          <w:bCs/>
          <w:sz w:val="28"/>
          <w:szCs w:val="28"/>
          <w:rtl/>
        </w:rPr>
        <w:t xml:space="preserve"> </w:t>
      </w:r>
      <w:r w:rsidRPr="00AE433A">
        <w:rPr>
          <w:rFonts w:ascii="Arial" w:hAnsi="Arial" w:cs="Traditional Arabic"/>
          <w:sz w:val="32"/>
          <w:szCs w:val="32"/>
          <w:rtl/>
        </w:rPr>
        <w:t>يَرِثُ الْمُسْلِمُ الْكَافِرَ وَلَا الْكَافِرُ الْمُسْلِمَ</w:t>
      </w:r>
      <w:r w:rsidRPr="00AE433A">
        <w:rPr>
          <w:rFonts w:ascii="Arial" w:hAnsi="Arial" w:cs="Traditional Arabic" w:hint="cs"/>
          <w:sz w:val="28"/>
          <w:szCs w:val="28"/>
          <w:rtl/>
        </w:rPr>
        <w:t xml:space="preserve"> </w:t>
      </w:r>
      <w:r w:rsidRPr="00AE433A">
        <w:rPr>
          <w:rStyle w:val="FootnoteReference"/>
          <w:rFonts w:ascii="Arial" w:hAnsi="Arial" w:cs="Traditional Arabic"/>
          <w:sz w:val="28"/>
          <w:szCs w:val="28"/>
          <w:rtl/>
        </w:rPr>
        <w:footnoteReference w:id="747"/>
      </w:r>
    </w:p>
    <w:p w:rsidR="00343B61" w:rsidRDefault="00343B61" w:rsidP="00343B61">
      <w:pPr>
        <w:autoSpaceDE w:val="0"/>
        <w:autoSpaceDN w:val="0"/>
        <w:adjustRightInd w:val="0"/>
        <w:spacing w:after="0" w:line="240" w:lineRule="auto"/>
        <w:ind w:left="1440"/>
        <w:jc w:val="both"/>
        <w:rPr>
          <w:rFonts w:ascii="Georgia" w:hAnsi="Georgia" w:cs="Georgia"/>
          <w:sz w:val="24"/>
          <w:szCs w:val="24"/>
          <w:lang w:val="sv-SE"/>
        </w:rPr>
      </w:pPr>
      <w:r w:rsidRPr="00143012">
        <w:rPr>
          <w:rFonts w:ascii="Georgia-Italic" w:hAnsi="Georgia-Italic" w:cs="Georgia-Italic"/>
          <w:sz w:val="24"/>
          <w:szCs w:val="24"/>
          <w:lang w:val="sv-SE"/>
        </w:rPr>
        <w:t>Artinya</w:t>
      </w:r>
      <w:r>
        <w:rPr>
          <w:rFonts w:ascii="Georgia-Italic" w:hAnsi="Georgia-Italic" w:cs="Georgia-Italic"/>
          <w:i/>
          <w:iCs/>
          <w:sz w:val="24"/>
          <w:szCs w:val="24"/>
          <w:lang w:val="sv-SE"/>
        </w:rPr>
        <w:t xml:space="preserve">: </w:t>
      </w:r>
      <w:r w:rsidRPr="00143012">
        <w:rPr>
          <w:rFonts w:ascii="Georgia-Italic" w:hAnsi="Georgia-Italic" w:cs="Georgia-Italic"/>
          <w:i/>
          <w:iCs/>
          <w:sz w:val="24"/>
          <w:szCs w:val="24"/>
          <w:lang w:val="sv-SE"/>
        </w:rPr>
        <w:t>“Orang Muslim tidak (boleh) mewarisi orang Kafir, dan orang Kafir</w:t>
      </w:r>
      <w:r>
        <w:rPr>
          <w:rFonts w:ascii="Georgia-Italic" w:hAnsi="Georgia-Italic" w:cs="Georgia-Italic"/>
          <w:i/>
          <w:iCs/>
          <w:sz w:val="24"/>
          <w:szCs w:val="24"/>
          <w:lang w:val="sv-SE"/>
        </w:rPr>
        <w:t xml:space="preserve"> </w:t>
      </w:r>
      <w:r w:rsidRPr="00143012">
        <w:rPr>
          <w:rFonts w:ascii="Georgia-Italic" w:hAnsi="Georgia-Italic" w:cs="Georgia-Italic"/>
          <w:i/>
          <w:iCs/>
          <w:sz w:val="24"/>
          <w:szCs w:val="24"/>
          <w:lang w:val="sv-SE"/>
        </w:rPr>
        <w:t xml:space="preserve">tidak (boleh) mewarisi orang Muslim” </w:t>
      </w:r>
      <w:r w:rsidRPr="00143012">
        <w:rPr>
          <w:rFonts w:ascii="Georgia" w:hAnsi="Georgia" w:cs="Georgia"/>
          <w:sz w:val="24"/>
          <w:szCs w:val="24"/>
          <w:lang w:val="sv-SE"/>
        </w:rPr>
        <w:t>(</w:t>
      </w:r>
      <w:r>
        <w:rPr>
          <w:rFonts w:ascii="Georgia" w:hAnsi="Georgia" w:cs="Georgia"/>
          <w:sz w:val="24"/>
          <w:szCs w:val="24"/>
          <w:lang w:val="sv-SE"/>
        </w:rPr>
        <w:t>HR.</w:t>
      </w:r>
      <w:r>
        <w:rPr>
          <w:rFonts w:ascii="Georgia-Italic" w:hAnsi="Georgia-Italic" w:cs="Georgia-Italic"/>
          <w:i/>
          <w:iCs/>
          <w:sz w:val="24"/>
          <w:szCs w:val="24"/>
          <w:lang w:val="sv-SE"/>
        </w:rPr>
        <w:t xml:space="preserve"> </w:t>
      </w:r>
      <w:r w:rsidRPr="00143012">
        <w:rPr>
          <w:rFonts w:ascii="Georgia" w:hAnsi="Georgia" w:cs="Georgia"/>
          <w:sz w:val="24"/>
          <w:szCs w:val="24"/>
          <w:lang w:val="sv-SE"/>
        </w:rPr>
        <w:t>muttafaq alaih).</w:t>
      </w:r>
    </w:p>
    <w:p w:rsidR="00343B61" w:rsidRDefault="00343B61" w:rsidP="00343B61">
      <w:pPr>
        <w:autoSpaceDE w:val="0"/>
        <w:autoSpaceDN w:val="0"/>
        <w:adjustRightInd w:val="0"/>
        <w:spacing w:after="0" w:line="240" w:lineRule="auto"/>
        <w:ind w:left="1440"/>
        <w:jc w:val="both"/>
        <w:rPr>
          <w:rFonts w:ascii="Georgia" w:hAnsi="Georgia" w:cs="Georgia"/>
          <w:sz w:val="24"/>
          <w:szCs w:val="24"/>
          <w:lang w:val="sv-SE"/>
        </w:rPr>
      </w:pPr>
    </w:p>
    <w:p w:rsidR="00343B61" w:rsidRPr="002B537E" w:rsidRDefault="00343B61" w:rsidP="00343B61">
      <w:pPr>
        <w:autoSpaceDE w:val="0"/>
        <w:autoSpaceDN w:val="0"/>
        <w:adjustRightInd w:val="0"/>
        <w:spacing w:after="0" w:line="360" w:lineRule="auto"/>
        <w:ind w:left="810" w:firstLine="630"/>
        <w:jc w:val="both"/>
        <w:rPr>
          <w:rFonts w:asciiTheme="majorBidi" w:hAnsiTheme="majorBidi" w:cstheme="majorBidi"/>
          <w:sz w:val="24"/>
          <w:szCs w:val="24"/>
        </w:rPr>
      </w:pPr>
      <w:r w:rsidRPr="00985D98">
        <w:rPr>
          <w:rFonts w:asciiTheme="majorBidi" w:hAnsiTheme="majorBidi" w:cstheme="majorBidi"/>
          <w:sz w:val="24"/>
          <w:szCs w:val="24"/>
        </w:rPr>
        <w:t>Pandangan ini, secara turun-temurun, memang menjadi</w:t>
      </w:r>
      <w:r>
        <w:rPr>
          <w:rFonts w:asciiTheme="majorBidi" w:hAnsiTheme="majorBidi" w:cstheme="majorBidi"/>
          <w:sz w:val="24"/>
          <w:szCs w:val="24"/>
        </w:rPr>
        <w:t xml:space="preserve"> </w:t>
      </w:r>
      <w:r w:rsidRPr="00985D98">
        <w:rPr>
          <w:rFonts w:asciiTheme="majorBidi" w:hAnsiTheme="majorBidi" w:cstheme="majorBidi"/>
          <w:sz w:val="24"/>
          <w:szCs w:val="24"/>
        </w:rPr>
        <w:t>pandangan mainstream dalam wacana hukum waris Islam. Pada</w:t>
      </w:r>
      <w:r>
        <w:rPr>
          <w:rFonts w:asciiTheme="majorBidi" w:hAnsiTheme="majorBidi" w:cstheme="majorBidi"/>
          <w:sz w:val="24"/>
          <w:szCs w:val="24"/>
        </w:rPr>
        <w:t xml:space="preserve"> </w:t>
      </w:r>
      <w:r w:rsidRPr="00985D98">
        <w:rPr>
          <w:rFonts w:asciiTheme="majorBidi" w:hAnsiTheme="majorBidi" w:cstheme="majorBidi"/>
          <w:sz w:val="24"/>
          <w:szCs w:val="24"/>
        </w:rPr>
        <w:t>setiap literatur dan materi hukum waris Islam yang diajarkan baik</w:t>
      </w:r>
      <w:r>
        <w:rPr>
          <w:rFonts w:asciiTheme="majorBidi" w:hAnsiTheme="majorBidi" w:cstheme="majorBidi"/>
          <w:sz w:val="24"/>
          <w:szCs w:val="24"/>
        </w:rPr>
        <w:t xml:space="preserve"> </w:t>
      </w:r>
      <w:r w:rsidRPr="00985D98">
        <w:rPr>
          <w:rFonts w:asciiTheme="majorBidi" w:hAnsiTheme="majorBidi" w:cstheme="majorBidi"/>
          <w:sz w:val="24"/>
          <w:szCs w:val="24"/>
        </w:rPr>
        <w:t>di lembaga pendidikan formal maupun non formal, pandangan</w:t>
      </w:r>
      <w:r>
        <w:rPr>
          <w:rFonts w:asciiTheme="majorBidi" w:hAnsiTheme="majorBidi" w:cstheme="majorBidi"/>
          <w:sz w:val="24"/>
          <w:szCs w:val="24"/>
        </w:rPr>
        <w:t xml:space="preserve"> </w:t>
      </w:r>
      <w:r w:rsidRPr="00985D98">
        <w:rPr>
          <w:rFonts w:asciiTheme="majorBidi" w:hAnsiTheme="majorBidi" w:cstheme="majorBidi"/>
          <w:sz w:val="24"/>
          <w:szCs w:val="24"/>
        </w:rPr>
        <w:t>inilah yang menjadi menu dan acuan utama.</w:t>
      </w:r>
    </w:p>
    <w:p w:rsidR="00343B61" w:rsidRPr="002B537E" w:rsidRDefault="00343B61" w:rsidP="002C0A33">
      <w:pPr>
        <w:pStyle w:val="ListParagraph"/>
        <w:numPr>
          <w:ilvl w:val="0"/>
          <w:numId w:val="56"/>
        </w:numPr>
        <w:tabs>
          <w:tab w:val="left" w:pos="990"/>
        </w:tabs>
        <w:spacing w:line="360" w:lineRule="auto"/>
        <w:ind w:left="810" w:hanging="450"/>
        <w:jc w:val="both"/>
        <w:rPr>
          <w:rFonts w:asciiTheme="majorBidi" w:hAnsiTheme="majorBidi" w:cstheme="majorBidi"/>
          <w:sz w:val="24"/>
          <w:szCs w:val="24"/>
          <w:lang w:val="sv-SE"/>
        </w:rPr>
      </w:pPr>
      <w:r w:rsidRPr="000C7982">
        <w:rPr>
          <w:rFonts w:asciiTheme="majorBidi" w:hAnsiTheme="majorBidi" w:cstheme="majorBidi"/>
          <w:sz w:val="24"/>
          <w:szCs w:val="24"/>
          <w:lang w:val="sv-SE"/>
        </w:rPr>
        <w:t xml:space="preserve">Fatwa </w:t>
      </w:r>
      <w:r>
        <w:rPr>
          <w:rFonts w:asciiTheme="majorBidi" w:hAnsiTheme="majorBidi" w:cstheme="majorBidi"/>
          <w:sz w:val="24"/>
          <w:szCs w:val="24"/>
          <w:lang w:val="sv-SE"/>
        </w:rPr>
        <w:t xml:space="preserve">MUI Tentang </w:t>
      </w:r>
      <w:r w:rsidRPr="000C7982">
        <w:rPr>
          <w:rFonts w:asciiTheme="majorBidi" w:hAnsiTheme="majorBidi" w:cstheme="majorBidi"/>
          <w:sz w:val="24"/>
          <w:szCs w:val="24"/>
          <w:lang w:val="sv-SE"/>
        </w:rPr>
        <w:t>Kewarisan Beda Agama</w:t>
      </w:r>
    </w:p>
    <w:p w:rsidR="00343B61" w:rsidRPr="002D0F8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0F8F">
        <w:rPr>
          <w:rFonts w:asciiTheme="majorBidi" w:hAnsiTheme="majorBidi" w:cstheme="majorBidi"/>
          <w:sz w:val="24"/>
          <w:szCs w:val="24"/>
        </w:rPr>
        <w:t>Majelis Ulama Indonesia (MUI</w:t>
      </w:r>
      <w:r>
        <w:rPr>
          <w:rFonts w:asciiTheme="majorBidi" w:hAnsiTheme="majorBidi" w:cstheme="majorBidi"/>
          <w:sz w:val="24"/>
          <w:szCs w:val="24"/>
        </w:rPr>
        <w:t>), dalam Musyawarah Nasional</w:t>
      </w:r>
      <w:r w:rsidRPr="002D0F8F">
        <w:rPr>
          <w:rFonts w:asciiTheme="majorBidi" w:hAnsiTheme="majorBidi" w:cstheme="majorBidi"/>
          <w:sz w:val="24"/>
          <w:szCs w:val="24"/>
        </w:rPr>
        <w:t xml:space="preserve"> VII,  pada 19-22 Jumadil Akhir 1426 H/ 26-29 Juli 2005 M,  menetapkan fatwa</w:t>
      </w:r>
      <w:r>
        <w:rPr>
          <w:rFonts w:asciiTheme="majorBidi" w:hAnsiTheme="majorBidi" w:cstheme="majorBidi"/>
          <w:sz w:val="24"/>
          <w:szCs w:val="24"/>
        </w:rPr>
        <w:t xml:space="preserve"> nomor: 5/MUNAS VII/ MUI / 9/ 2005</w:t>
      </w:r>
      <w:r w:rsidRPr="002D0F8F">
        <w:rPr>
          <w:rFonts w:asciiTheme="majorBidi" w:hAnsiTheme="majorBidi" w:cstheme="majorBidi"/>
          <w:sz w:val="24"/>
          <w:szCs w:val="24"/>
        </w:rPr>
        <w:t xml:space="preserve"> tentang Waris Beda Agama sebagai berikut; 1. Hukum waris Islam tidak memberikan hak saling mewarisi antar orang-orang yang berbeda agama (antara Muslim dengan n</w:t>
      </w:r>
      <w:r>
        <w:rPr>
          <w:rFonts w:asciiTheme="majorBidi" w:hAnsiTheme="majorBidi" w:cstheme="majorBidi"/>
          <w:sz w:val="24"/>
          <w:szCs w:val="24"/>
        </w:rPr>
        <w:t xml:space="preserve">on Muslim); </w:t>
      </w:r>
      <w:r w:rsidRPr="002D0F8F">
        <w:rPr>
          <w:rFonts w:asciiTheme="majorBidi" w:hAnsiTheme="majorBidi" w:cstheme="majorBidi"/>
          <w:sz w:val="24"/>
          <w:szCs w:val="24"/>
        </w:rPr>
        <w:t>2. Pemberian harta antar orang yang berbeda agama hanya dapat dilakukan dalam bentuk hibah, wasiat dan hadiah.</w:t>
      </w:r>
      <w:r w:rsidRPr="002D0F8F">
        <w:rPr>
          <w:rStyle w:val="FootnoteReference"/>
          <w:rFonts w:asciiTheme="majorBidi" w:hAnsiTheme="majorBidi" w:cstheme="majorBidi"/>
          <w:sz w:val="24"/>
          <w:szCs w:val="24"/>
        </w:rPr>
        <w:footnoteReference w:id="748"/>
      </w:r>
    </w:p>
    <w:p w:rsidR="00343B61" w:rsidRPr="002D0F8F"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2D0F8F">
        <w:rPr>
          <w:rFonts w:asciiTheme="majorBidi" w:hAnsiTheme="majorBidi" w:cstheme="majorBidi"/>
          <w:sz w:val="24"/>
          <w:szCs w:val="24"/>
        </w:rPr>
        <w:lastRenderedPageBreak/>
        <w:t>Sebagai pertimbangan MUI untuk mengeluarkan fatwa ini adalah ; 1) bahwa bahwa belakangan ini sering terjadi kewarisan beda agama; 2) bahwa sering dimunculkan pendapat-pendapat yang membolehkan kewarisan beda agama;  dari dua hal tersebut MUI memandang perlu untuk menetapkan fatwa tentang kewarisan beda agama.</w:t>
      </w:r>
      <w:r w:rsidRPr="002D0F8F">
        <w:rPr>
          <w:rStyle w:val="FootnoteReference"/>
          <w:rFonts w:asciiTheme="majorBidi" w:hAnsiTheme="majorBidi" w:cstheme="majorBidi"/>
          <w:sz w:val="24"/>
          <w:szCs w:val="24"/>
        </w:rPr>
        <w:footnoteReference w:id="749"/>
      </w:r>
    </w:p>
    <w:p w:rsidR="00343B61" w:rsidRPr="002D0F8F"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2D0F8F">
        <w:rPr>
          <w:rFonts w:asciiTheme="majorBidi" w:hAnsiTheme="majorBidi" w:cstheme="majorBidi"/>
          <w:sz w:val="24"/>
          <w:szCs w:val="24"/>
          <w:lang w:val="sv-SE"/>
        </w:rPr>
        <w:t xml:space="preserve">Adapun dalil yang dijadikan MUI sebagai landasan dalam memutuskan fatwa ini adalah dua ayat </w:t>
      </w:r>
      <w:r>
        <w:rPr>
          <w:rFonts w:asciiTheme="majorBidi" w:hAnsiTheme="majorBidi" w:cstheme="majorBidi"/>
          <w:sz w:val="24"/>
          <w:szCs w:val="24"/>
          <w:lang w:val="sv-SE"/>
        </w:rPr>
        <w:t>Al-Qur’ān</w:t>
      </w:r>
      <w:r w:rsidRPr="002D0F8F">
        <w:rPr>
          <w:rFonts w:asciiTheme="majorBidi" w:hAnsiTheme="majorBidi" w:cstheme="majorBidi"/>
          <w:sz w:val="24"/>
          <w:szCs w:val="24"/>
          <w:lang w:val="sv-SE"/>
        </w:rPr>
        <w:t xml:space="preserve"> dan dua Hadis Nabi SAW. Dan juga dengan memperhatikan beberapa hal; 1) Undang-undang nomor 1 tahun 1974 tentang perkawinan.2)  PP. no 9 tahun 1975 tentang Pelaksanaan UU no 1/1974 tentang Perkawinan. 3. Instruksi Presiden no 1 tahun 1990 tentang Kompilasi Hukum Islam. Dan 4. Pendapat Sidang Komisi C Bidang Fatwa pada Munas VII MUI 2005.</w:t>
      </w:r>
      <w:r w:rsidRPr="002D0F8F">
        <w:rPr>
          <w:rStyle w:val="FootnoteReference"/>
          <w:rFonts w:asciiTheme="majorBidi" w:hAnsiTheme="majorBidi" w:cstheme="majorBidi"/>
          <w:sz w:val="24"/>
          <w:szCs w:val="24"/>
          <w:lang w:val="sv-SE"/>
        </w:rPr>
        <w:footnoteReference w:id="750"/>
      </w:r>
    </w:p>
    <w:p w:rsidR="00343B61"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2D0F8F">
        <w:rPr>
          <w:rFonts w:asciiTheme="majorBidi" w:hAnsiTheme="majorBidi" w:cstheme="majorBidi"/>
          <w:sz w:val="24"/>
          <w:szCs w:val="24"/>
          <w:lang w:val="sv-SE"/>
        </w:rPr>
        <w:t>Adapun dalil dari ayat</w:t>
      </w:r>
      <w:r>
        <w:rPr>
          <w:rFonts w:asciiTheme="majorBidi" w:hAnsiTheme="majorBidi" w:cstheme="majorBidi"/>
          <w:sz w:val="24"/>
          <w:szCs w:val="24"/>
          <w:lang w:val="sv-SE"/>
        </w:rPr>
        <w:t xml:space="preserve"> Al-Qur’ān</w:t>
      </w:r>
      <w:r w:rsidRPr="002D0F8F">
        <w:rPr>
          <w:rFonts w:asciiTheme="majorBidi" w:hAnsiTheme="majorBidi" w:cstheme="majorBidi"/>
          <w:sz w:val="24"/>
          <w:szCs w:val="24"/>
          <w:lang w:val="sv-SE"/>
        </w:rPr>
        <w:t xml:space="preserve"> dan Hadis Nabi SAW</w:t>
      </w:r>
      <w:r>
        <w:rPr>
          <w:rFonts w:asciiTheme="majorBidi" w:hAnsiTheme="majorBidi" w:cstheme="majorBidi"/>
          <w:sz w:val="24"/>
          <w:szCs w:val="24"/>
          <w:lang w:val="sv-SE"/>
        </w:rPr>
        <w:t xml:space="preserve"> </w:t>
      </w:r>
      <w:r w:rsidRPr="002D0F8F">
        <w:rPr>
          <w:rFonts w:asciiTheme="majorBidi" w:hAnsiTheme="majorBidi" w:cstheme="majorBidi"/>
          <w:sz w:val="24"/>
          <w:szCs w:val="24"/>
          <w:lang w:val="sv-SE"/>
        </w:rPr>
        <w:t xml:space="preserve"> sebagai berikut:</w:t>
      </w:r>
    </w:p>
    <w:p w:rsidR="00343B61" w:rsidRDefault="00343B61" w:rsidP="002C0A33">
      <w:pPr>
        <w:pStyle w:val="ListParagraph"/>
        <w:numPr>
          <w:ilvl w:val="0"/>
          <w:numId w:val="48"/>
        </w:numPr>
        <w:autoSpaceDE w:val="0"/>
        <w:autoSpaceDN w:val="0"/>
        <w:adjustRightInd w:val="0"/>
        <w:spacing w:after="0" w:line="360" w:lineRule="auto"/>
        <w:ind w:left="1080" w:hanging="270"/>
        <w:jc w:val="both"/>
        <w:rPr>
          <w:rFonts w:asciiTheme="majorBidi" w:hAnsiTheme="majorBidi" w:cstheme="majorBidi"/>
          <w:sz w:val="24"/>
          <w:szCs w:val="24"/>
        </w:rPr>
      </w:pPr>
      <w:r w:rsidRPr="002D0F8F">
        <w:rPr>
          <w:rFonts w:asciiTheme="majorBidi" w:hAnsiTheme="majorBidi" w:cstheme="majorBidi"/>
          <w:sz w:val="24"/>
          <w:szCs w:val="24"/>
        </w:rPr>
        <w:t xml:space="preserve">Firman Allah </w:t>
      </w:r>
      <w:r>
        <w:rPr>
          <w:rFonts w:asciiTheme="majorBidi" w:hAnsiTheme="majorBidi" w:cstheme="majorBidi"/>
          <w:sz w:val="24"/>
          <w:szCs w:val="24"/>
        </w:rPr>
        <w:t>Al-Qur’ān</w:t>
      </w:r>
      <w:r w:rsidRPr="002D0F8F">
        <w:rPr>
          <w:rFonts w:asciiTheme="majorBidi" w:hAnsiTheme="majorBidi" w:cstheme="majorBidi"/>
          <w:sz w:val="24"/>
          <w:szCs w:val="24"/>
        </w:rPr>
        <w:t xml:space="preserve"> Surat Al-Nisa [4] : 11 yaitu: </w:t>
      </w:r>
    </w:p>
    <w:p w:rsidR="00343B61" w:rsidRPr="00554E56" w:rsidRDefault="00343B61" w:rsidP="00343B61">
      <w:pPr>
        <w:bidi/>
        <w:spacing w:after="0" w:line="240" w:lineRule="auto"/>
        <w:jc w:val="both"/>
        <w:rPr>
          <w:rFonts w:ascii="Adobe نسخ Medium" w:hAnsi="Adobe نسخ Medium" w:cs="Adobe نسخ Medium"/>
          <w:sz w:val="28"/>
          <w:szCs w:val="28"/>
          <w:rtl/>
        </w:rPr>
      </w:pPr>
      <w:r w:rsidRPr="00554E56">
        <w:rPr>
          <w:sz w:val="28"/>
          <w:szCs w:val="28"/>
        </w:rPr>
        <w:sym w:font="HQPB4" w:char="F0DE"/>
      </w:r>
      <w:r w:rsidRPr="00554E56">
        <w:rPr>
          <w:sz w:val="28"/>
          <w:szCs w:val="28"/>
        </w:rPr>
        <w:sym w:font="HQPB2" w:char="F04F"/>
      </w:r>
      <w:r w:rsidRPr="00554E56">
        <w:rPr>
          <w:sz w:val="28"/>
          <w:szCs w:val="28"/>
        </w:rPr>
        <w:sym w:font="HQPB4" w:char="F0E4"/>
      </w:r>
      <w:r w:rsidRPr="00554E56">
        <w:rPr>
          <w:sz w:val="28"/>
          <w:szCs w:val="28"/>
        </w:rPr>
        <w:sym w:font="HQPB2" w:char="F033"/>
      </w:r>
      <w:r w:rsidRPr="00554E56">
        <w:rPr>
          <w:sz w:val="28"/>
          <w:szCs w:val="28"/>
        </w:rPr>
        <w:sym w:font="HQPB2" w:char="F08A"/>
      </w:r>
      <w:r w:rsidRPr="00554E56">
        <w:rPr>
          <w:sz w:val="28"/>
          <w:szCs w:val="28"/>
        </w:rPr>
        <w:sym w:font="HQPB4" w:char="F0CF"/>
      </w:r>
      <w:r w:rsidRPr="00554E56">
        <w:rPr>
          <w:sz w:val="28"/>
          <w:szCs w:val="28"/>
        </w:rPr>
        <w:sym w:font="HQPB1" w:char="F0B9"/>
      </w:r>
      <w:r w:rsidRPr="00554E56">
        <w:rPr>
          <w:sz w:val="28"/>
          <w:szCs w:val="28"/>
        </w:rPr>
        <w:sym w:font="HQPB2" w:char="F071"/>
      </w:r>
      <w:r w:rsidRPr="00554E56">
        <w:rPr>
          <w:sz w:val="28"/>
          <w:szCs w:val="28"/>
        </w:rPr>
        <w:sym w:font="HQPB4" w:char="F0E3"/>
      </w:r>
      <w:r w:rsidRPr="00554E56">
        <w:rPr>
          <w:sz w:val="28"/>
          <w:szCs w:val="28"/>
        </w:rPr>
        <w:sym w:font="HQPB2" w:char="F083"/>
      </w:r>
      <w:r w:rsidRPr="00554E56">
        <w:rPr>
          <w:rFonts w:ascii="(normal text)" w:hAnsi="(normal text)"/>
          <w:sz w:val="28"/>
          <w:szCs w:val="28"/>
          <w:rtl/>
        </w:rPr>
        <w:t xml:space="preserve"> </w:t>
      </w:r>
      <w:r w:rsidRPr="00554E56">
        <w:rPr>
          <w:sz w:val="28"/>
          <w:szCs w:val="28"/>
        </w:rPr>
        <w:sym w:font="HQPB1" w:char="F023"/>
      </w:r>
      <w:r w:rsidRPr="00554E56">
        <w:rPr>
          <w:rFonts w:ascii="Adobe نسخ Medium" w:hAnsi="Adobe نسخ Medium" w:cs="Adobe نسخ Medium"/>
          <w:sz w:val="28"/>
          <w:szCs w:val="28"/>
          <w:rtl/>
        </w:rPr>
        <w:t>للهُ</w:t>
      </w:r>
      <w:r w:rsidRPr="00554E56">
        <w:rPr>
          <w:rFonts w:ascii="(normal text)" w:hAnsi="(normal text)"/>
          <w:sz w:val="28"/>
          <w:szCs w:val="28"/>
          <w:rtl/>
        </w:rPr>
        <w:t xml:space="preserve"> </w:t>
      </w:r>
      <w:r w:rsidRPr="00554E56">
        <w:rPr>
          <w:sz w:val="28"/>
          <w:szCs w:val="28"/>
        </w:rPr>
        <w:sym w:font="HQPB4" w:char="F0FE"/>
      </w:r>
      <w:r w:rsidRPr="00554E56">
        <w:rPr>
          <w:sz w:val="28"/>
          <w:szCs w:val="28"/>
        </w:rPr>
        <w:sym w:font="HQPB2" w:char="F092"/>
      </w:r>
      <w:r w:rsidRPr="00554E56">
        <w:rPr>
          <w:sz w:val="28"/>
          <w:szCs w:val="28"/>
        </w:rPr>
        <w:sym w:font="HQPB4" w:char="F0CE"/>
      </w:r>
      <w:r w:rsidRPr="00554E56">
        <w:rPr>
          <w:sz w:val="28"/>
          <w:szCs w:val="28"/>
        </w:rPr>
        <w:sym w:font="HQPB1" w:char="F0FB"/>
      </w:r>
      <w:r w:rsidRPr="00554E56">
        <w:rPr>
          <w:rFonts w:ascii="(normal text)" w:hAnsi="(normal text)"/>
          <w:sz w:val="28"/>
          <w:szCs w:val="28"/>
          <w:rtl/>
        </w:rPr>
        <w:t xml:space="preserve"> </w:t>
      </w:r>
      <w:r w:rsidRPr="00554E56">
        <w:rPr>
          <w:sz w:val="28"/>
          <w:szCs w:val="28"/>
        </w:rPr>
        <w:sym w:font="HQPB4" w:char="F0F6"/>
      </w:r>
      <w:r w:rsidRPr="00554E56">
        <w:rPr>
          <w:sz w:val="28"/>
          <w:szCs w:val="28"/>
        </w:rPr>
        <w:sym w:font="HQPB2" w:char="F04E"/>
      </w:r>
      <w:r w:rsidRPr="00554E56">
        <w:rPr>
          <w:sz w:val="28"/>
          <w:szCs w:val="28"/>
        </w:rPr>
        <w:sym w:font="HQPB4" w:char="F0E0"/>
      </w:r>
      <w:r w:rsidRPr="00554E56">
        <w:rPr>
          <w:sz w:val="28"/>
          <w:szCs w:val="28"/>
        </w:rPr>
        <w:sym w:font="HQPB2" w:char="F032"/>
      </w:r>
      <w:r w:rsidRPr="00554E56">
        <w:rPr>
          <w:sz w:val="28"/>
          <w:szCs w:val="28"/>
        </w:rPr>
        <w:sym w:font="HQPB4" w:char="F0CF"/>
      </w:r>
      <w:r w:rsidRPr="00554E56">
        <w:rPr>
          <w:sz w:val="28"/>
          <w:szCs w:val="28"/>
        </w:rPr>
        <w:sym w:font="HQPB1" w:char="F089"/>
      </w:r>
      <w:r w:rsidRPr="00554E56">
        <w:rPr>
          <w:sz w:val="28"/>
          <w:szCs w:val="28"/>
        </w:rPr>
        <w:sym w:font="HQPB2" w:char="F0BB"/>
      </w:r>
      <w:r w:rsidRPr="00554E56">
        <w:rPr>
          <w:sz w:val="28"/>
          <w:szCs w:val="28"/>
        </w:rPr>
        <w:sym w:font="HQPB5" w:char="F073"/>
      </w:r>
      <w:r w:rsidRPr="00554E56">
        <w:rPr>
          <w:sz w:val="28"/>
          <w:szCs w:val="28"/>
        </w:rPr>
        <w:sym w:font="HQPB2" w:char="F039"/>
      </w:r>
      <w:r w:rsidRPr="00554E56">
        <w:rPr>
          <w:sz w:val="28"/>
          <w:szCs w:val="28"/>
        </w:rPr>
        <w:sym w:font="HQPB4" w:char="F0F7"/>
      </w:r>
      <w:r w:rsidRPr="00554E56">
        <w:rPr>
          <w:sz w:val="28"/>
          <w:szCs w:val="28"/>
        </w:rPr>
        <w:sym w:font="HQPB2" w:char="F072"/>
      </w:r>
      <w:r w:rsidRPr="00554E56">
        <w:rPr>
          <w:sz w:val="28"/>
          <w:szCs w:val="28"/>
        </w:rPr>
        <w:sym w:font="HQPB5" w:char="F072"/>
      </w:r>
      <w:r w:rsidRPr="00554E56">
        <w:rPr>
          <w:sz w:val="28"/>
          <w:szCs w:val="28"/>
        </w:rPr>
        <w:sym w:font="HQPB1" w:char="F026"/>
      </w:r>
      <w:r w:rsidRPr="00554E56">
        <w:rPr>
          <w:rFonts w:ascii="(normal text)" w:hAnsi="(normal text)"/>
          <w:sz w:val="28"/>
          <w:szCs w:val="28"/>
          <w:rtl/>
        </w:rPr>
        <w:t xml:space="preserve"> </w:t>
      </w:r>
      <w:r w:rsidRPr="00554E56">
        <w:rPr>
          <w:sz w:val="28"/>
          <w:szCs w:val="28"/>
        </w:rPr>
        <w:sym w:font="HQPB4" w:char="F028"/>
      </w:r>
      <w:r w:rsidRPr="00554E56">
        <w:rPr>
          <w:rFonts w:ascii="(normal text)" w:hAnsi="(normal text)"/>
          <w:sz w:val="28"/>
          <w:szCs w:val="28"/>
          <w:rtl/>
        </w:rPr>
        <w:t xml:space="preserve"> </w:t>
      </w:r>
      <w:r w:rsidRPr="00554E56">
        <w:rPr>
          <w:sz w:val="28"/>
          <w:szCs w:val="28"/>
        </w:rPr>
        <w:sym w:font="HQPB4" w:char="F0CC"/>
      </w:r>
      <w:r w:rsidRPr="00554E56">
        <w:rPr>
          <w:sz w:val="28"/>
          <w:szCs w:val="28"/>
        </w:rPr>
        <w:sym w:font="HQPB1" w:char="F08D"/>
      </w:r>
      <w:r w:rsidRPr="00554E56">
        <w:rPr>
          <w:sz w:val="28"/>
          <w:szCs w:val="28"/>
        </w:rPr>
        <w:sym w:font="HQPB5" w:char="F078"/>
      </w:r>
      <w:r w:rsidRPr="00554E56">
        <w:rPr>
          <w:sz w:val="28"/>
          <w:szCs w:val="28"/>
        </w:rPr>
        <w:sym w:font="HQPB2" w:char="F02E"/>
      </w:r>
      <w:r w:rsidRPr="00554E56">
        <w:rPr>
          <w:sz w:val="28"/>
          <w:szCs w:val="28"/>
        </w:rPr>
        <w:sym w:font="HQPB4" w:char="F0A9"/>
      </w:r>
      <w:r w:rsidRPr="00554E56">
        <w:rPr>
          <w:sz w:val="28"/>
          <w:szCs w:val="28"/>
        </w:rPr>
        <w:sym w:font="HQPB3" w:char="F025"/>
      </w:r>
      <w:r w:rsidRPr="00554E56">
        <w:rPr>
          <w:sz w:val="28"/>
          <w:szCs w:val="28"/>
        </w:rPr>
        <w:sym w:font="HQPB3" w:char="F023"/>
      </w:r>
      <w:r w:rsidRPr="00554E56">
        <w:rPr>
          <w:sz w:val="28"/>
          <w:szCs w:val="28"/>
        </w:rPr>
        <w:sym w:font="HQPB4" w:char="F0CF"/>
      </w:r>
      <w:r w:rsidRPr="00554E56">
        <w:rPr>
          <w:sz w:val="28"/>
          <w:szCs w:val="28"/>
        </w:rPr>
        <w:sym w:font="HQPB2" w:char="F039"/>
      </w:r>
      <w:r w:rsidRPr="00554E56">
        <w:rPr>
          <w:rFonts w:ascii="(normal text)" w:hAnsi="(normal text)"/>
          <w:sz w:val="28"/>
          <w:szCs w:val="28"/>
          <w:rtl/>
        </w:rPr>
        <w:t xml:space="preserve"> </w:t>
      </w:r>
      <w:r w:rsidRPr="00554E56">
        <w:rPr>
          <w:sz w:val="28"/>
          <w:szCs w:val="28"/>
        </w:rPr>
        <w:sym w:font="HQPB4" w:char="F0E3"/>
      </w:r>
      <w:r w:rsidRPr="00554E56">
        <w:rPr>
          <w:sz w:val="28"/>
          <w:szCs w:val="28"/>
        </w:rPr>
        <w:sym w:font="HQPB2" w:char="F040"/>
      </w:r>
      <w:r w:rsidRPr="00554E56">
        <w:rPr>
          <w:sz w:val="28"/>
          <w:szCs w:val="28"/>
        </w:rPr>
        <w:sym w:font="HQPB4" w:char="F0F7"/>
      </w:r>
      <w:r w:rsidRPr="00554E56">
        <w:rPr>
          <w:sz w:val="28"/>
          <w:szCs w:val="28"/>
        </w:rPr>
        <w:sym w:font="HQPB1" w:char="F056"/>
      </w:r>
      <w:r w:rsidRPr="00554E56">
        <w:rPr>
          <w:sz w:val="28"/>
          <w:szCs w:val="28"/>
        </w:rPr>
        <w:sym w:font="HQPB4" w:char="F0CF"/>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4" w:char="F0C5"/>
      </w:r>
      <w:r w:rsidRPr="00554E56">
        <w:rPr>
          <w:sz w:val="28"/>
          <w:szCs w:val="28"/>
        </w:rPr>
        <w:sym w:font="HQPB4" w:char="F065"/>
      </w:r>
      <w:r w:rsidRPr="00554E56">
        <w:rPr>
          <w:sz w:val="28"/>
          <w:szCs w:val="28"/>
        </w:rPr>
        <w:sym w:font="HQPB1" w:char="F0E1"/>
      </w:r>
      <w:r w:rsidRPr="00554E56">
        <w:rPr>
          <w:sz w:val="28"/>
          <w:szCs w:val="28"/>
        </w:rPr>
        <w:sym w:font="HQPB5" w:char="F079"/>
      </w:r>
      <w:r w:rsidRPr="00554E56">
        <w:rPr>
          <w:sz w:val="28"/>
          <w:szCs w:val="28"/>
        </w:rPr>
        <w:sym w:font="HQPB1" w:char="F06D"/>
      </w:r>
      <w:r w:rsidRPr="00554E56">
        <w:rPr>
          <w:rFonts w:ascii="(normal text)" w:hAnsi="(normal text)"/>
          <w:sz w:val="28"/>
          <w:szCs w:val="28"/>
          <w:rtl/>
        </w:rPr>
        <w:t xml:space="preserve"> </w:t>
      </w:r>
      <w:r w:rsidRPr="00554E56">
        <w:rPr>
          <w:sz w:val="28"/>
          <w:szCs w:val="28"/>
        </w:rPr>
        <w:sym w:font="HQPB4" w:char="F0C8"/>
      </w:r>
      <w:r w:rsidRPr="00554E56">
        <w:rPr>
          <w:sz w:val="28"/>
          <w:szCs w:val="28"/>
        </w:rPr>
        <w:sym w:font="HQPB2" w:char="F0FB"/>
      </w:r>
      <w:r w:rsidRPr="00554E56">
        <w:rPr>
          <w:sz w:val="28"/>
          <w:szCs w:val="28"/>
        </w:rPr>
        <w:sym w:font="HQPB4" w:char="F0F7"/>
      </w:r>
      <w:r w:rsidRPr="00554E56">
        <w:rPr>
          <w:sz w:val="28"/>
          <w:szCs w:val="28"/>
        </w:rPr>
        <w:sym w:font="HQPB2" w:char="F0FC"/>
      </w:r>
      <w:r w:rsidRPr="00554E56">
        <w:rPr>
          <w:sz w:val="28"/>
          <w:szCs w:val="28"/>
        </w:rPr>
        <w:sym w:font="HQPB5" w:char="F075"/>
      </w:r>
      <w:r w:rsidRPr="00554E56">
        <w:rPr>
          <w:sz w:val="28"/>
          <w:szCs w:val="28"/>
        </w:rPr>
        <w:sym w:font="HQPB2" w:char="F08B"/>
      </w:r>
      <w:r w:rsidRPr="00554E56">
        <w:rPr>
          <w:sz w:val="28"/>
          <w:szCs w:val="28"/>
        </w:rPr>
        <w:sym w:font="HQPB5" w:char="F073"/>
      </w:r>
      <w:r w:rsidRPr="00554E56">
        <w:rPr>
          <w:sz w:val="28"/>
          <w:szCs w:val="28"/>
        </w:rPr>
        <w:sym w:font="HQPB1" w:char="F056"/>
      </w:r>
      <w:r w:rsidRPr="00554E56">
        <w:rPr>
          <w:sz w:val="28"/>
          <w:szCs w:val="28"/>
        </w:rPr>
        <w:sym w:font="HQPB2" w:char="F052"/>
      </w:r>
      <w:r w:rsidRPr="00554E56">
        <w:rPr>
          <w:sz w:val="28"/>
          <w:szCs w:val="28"/>
        </w:rPr>
        <w:sym w:font="HQPB5" w:char="F057"/>
      </w:r>
      <w:r w:rsidRPr="00554E56">
        <w:rPr>
          <w:sz w:val="28"/>
          <w:szCs w:val="28"/>
        </w:rPr>
        <w:sym w:font="HQPB2" w:char="F07B"/>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2" w:char="F062"/>
      </w:r>
      <w:r w:rsidRPr="00554E56">
        <w:rPr>
          <w:sz w:val="28"/>
          <w:szCs w:val="28"/>
        </w:rPr>
        <w:sym w:font="HQPB4" w:char="F0CE"/>
      </w:r>
      <w:r w:rsidRPr="00554E56">
        <w:rPr>
          <w:sz w:val="28"/>
          <w:szCs w:val="28"/>
        </w:rPr>
        <w:sym w:font="HQPB1" w:char="F02A"/>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A3"/>
      </w:r>
      <w:r w:rsidRPr="00554E56">
        <w:rPr>
          <w:sz w:val="28"/>
          <w:szCs w:val="28"/>
        </w:rPr>
        <w:sym w:font="HQPB2" w:char="F060"/>
      </w:r>
      <w:r w:rsidRPr="00554E56">
        <w:rPr>
          <w:sz w:val="28"/>
          <w:szCs w:val="28"/>
        </w:rPr>
        <w:sym w:font="HQPB4" w:char="F0E4"/>
      </w:r>
      <w:r w:rsidRPr="00554E56">
        <w:rPr>
          <w:sz w:val="28"/>
          <w:szCs w:val="28"/>
        </w:rPr>
        <w:sym w:font="HQPB2" w:char="F02E"/>
      </w:r>
      <w:r w:rsidRPr="00554E56">
        <w:rPr>
          <w:rFonts w:ascii="(normal text)" w:hAnsi="(normal text)"/>
          <w:sz w:val="28"/>
          <w:szCs w:val="28"/>
          <w:rtl/>
        </w:rPr>
        <w:t xml:space="preserve"> </w:t>
      </w:r>
      <w:r w:rsidRPr="00554E56">
        <w:rPr>
          <w:sz w:val="28"/>
          <w:szCs w:val="28"/>
        </w:rPr>
        <w:sym w:font="HQPB4" w:char="F05B"/>
      </w:r>
      <w:r w:rsidRPr="00554E56">
        <w:rPr>
          <w:sz w:val="28"/>
          <w:szCs w:val="28"/>
        </w:rPr>
        <w:sym w:font="HQPB2" w:char="F0E4"/>
      </w:r>
      <w:r w:rsidRPr="00554E56">
        <w:rPr>
          <w:sz w:val="28"/>
          <w:szCs w:val="28"/>
        </w:rPr>
        <w:sym w:font="HQPB5" w:char="F021"/>
      </w:r>
      <w:r w:rsidRPr="00554E56">
        <w:rPr>
          <w:sz w:val="28"/>
          <w:szCs w:val="28"/>
        </w:rPr>
        <w:sym w:font="HQPB1" w:char="F024"/>
      </w:r>
      <w:r w:rsidRPr="00554E56">
        <w:rPr>
          <w:sz w:val="28"/>
          <w:szCs w:val="28"/>
        </w:rPr>
        <w:sym w:font="HQPB5" w:char="F07C"/>
      </w:r>
      <w:r w:rsidRPr="00554E56">
        <w:rPr>
          <w:sz w:val="28"/>
          <w:szCs w:val="28"/>
        </w:rPr>
        <w:sym w:font="HQPB1" w:char="F0A1"/>
      </w:r>
      <w:r w:rsidRPr="00554E56">
        <w:rPr>
          <w:sz w:val="28"/>
          <w:szCs w:val="28"/>
        </w:rPr>
        <w:sym w:font="HQPB4" w:char="F0CE"/>
      </w:r>
      <w:r w:rsidRPr="00554E56">
        <w:rPr>
          <w:sz w:val="28"/>
          <w:szCs w:val="28"/>
        </w:rPr>
        <w:sym w:font="HQPB2" w:char="F053"/>
      </w:r>
      <w:r w:rsidRPr="00554E56">
        <w:rPr>
          <w:rFonts w:ascii="(normal text)" w:hAnsi="(normal text)"/>
          <w:sz w:val="28"/>
          <w:szCs w:val="28"/>
          <w:rtl/>
        </w:rPr>
        <w:t xml:space="preserve"> </w:t>
      </w:r>
      <w:r w:rsidRPr="00554E56">
        <w:rPr>
          <w:sz w:val="28"/>
          <w:szCs w:val="28"/>
        </w:rPr>
        <w:sym w:font="HQPB5" w:char="F073"/>
      </w:r>
      <w:r w:rsidRPr="00554E56">
        <w:rPr>
          <w:sz w:val="28"/>
          <w:szCs w:val="28"/>
        </w:rPr>
        <w:sym w:font="HQPB2" w:char="F02D"/>
      </w:r>
      <w:r w:rsidRPr="00554E56">
        <w:rPr>
          <w:sz w:val="28"/>
          <w:szCs w:val="28"/>
        </w:rPr>
        <w:sym w:font="HQPB4" w:char="F0F6"/>
      </w:r>
      <w:r w:rsidRPr="00554E56">
        <w:rPr>
          <w:sz w:val="28"/>
          <w:szCs w:val="28"/>
        </w:rPr>
        <w:sym w:font="HQPB2" w:char="F071"/>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C8"/>
      </w:r>
      <w:r w:rsidRPr="00554E56">
        <w:rPr>
          <w:sz w:val="28"/>
          <w:szCs w:val="28"/>
        </w:rPr>
        <w:sym w:font="HQPB2" w:char="F0FB"/>
      </w:r>
      <w:r w:rsidRPr="00554E56">
        <w:rPr>
          <w:sz w:val="28"/>
          <w:szCs w:val="28"/>
        </w:rPr>
        <w:sym w:font="HQPB4" w:char="F0F7"/>
      </w:r>
      <w:r w:rsidRPr="00554E56">
        <w:rPr>
          <w:sz w:val="28"/>
          <w:szCs w:val="28"/>
        </w:rPr>
        <w:sym w:font="HQPB2" w:char="F0FC"/>
      </w:r>
      <w:r w:rsidRPr="00554E56">
        <w:rPr>
          <w:sz w:val="28"/>
          <w:szCs w:val="28"/>
        </w:rPr>
        <w:sym w:font="HQPB5" w:char="F074"/>
      </w:r>
      <w:r w:rsidRPr="00554E56">
        <w:rPr>
          <w:sz w:val="28"/>
          <w:szCs w:val="28"/>
        </w:rPr>
        <w:sym w:font="HQPB1" w:char="F047"/>
      </w:r>
      <w:r w:rsidRPr="00554E56">
        <w:rPr>
          <w:sz w:val="28"/>
          <w:szCs w:val="28"/>
        </w:rPr>
        <w:sym w:font="HQPB5" w:char="F074"/>
      </w:r>
      <w:r w:rsidRPr="00554E56">
        <w:rPr>
          <w:sz w:val="28"/>
          <w:szCs w:val="28"/>
        </w:rPr>
        <w:sym w:font="HQPB2" w:char="F05E"/>
      </w:r>
      <w:r w:rsidRPr="00554E56">
        <w:rPr>
          <w:sz w:val="28"/>
          <w:szCs w:val="28"/>
        </w:rPr>
        <w:sym w:font="HQPB4" w:char="F0F8"/>
      </w:r>
      <w:r w:rsidRPr="00554E56">
        <w:rPr>
          <w:sz w:val="28"/>
          <w:szCs w:val="28"/>
        </w:rPr>
        <w:sym w:font="HQPB1" w:char="F04F"/>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4" w:char="F0A3"/>
      </w:r>
      <w:r w:rsidRPr="00554E56">
        <w:rPr>
          <w:sz w:val="28"/>
          <w:szCs w:val="28"/>
        </w:rPr>
        <w:sym w:font="HQPB2" w:char="F060"/>
      </w:r>
      <w:r w:rsidRPr="00554E56">
        <w:rPr>
          <w:sz w:val="28"/>
          <w:szCs w:val="28"/>
        </w:rPr>
        <w:sym w:font="HQPB4" w:char="F0DF"/>
      </w:r>
      <w:r w:rsidRPr="00554E56">
        <w:rPr>
          <w:sz w:val="28"/>
          <w:szCs w:val="28"/>
        </w:rPr>
        <w:sym w:font="HQPB2" w:char="F067"/>
      </w:r>
      <w:r w:rsidRPr="00554E56">
        <w:rPr>
          <w:sz w:val="28"/>
          <w:szCs w:val="28"/>
        </w:rPr>
        <w:sym w:font="HQPB5" w:char="F06E"/>
      </w:r>
      <w:r w:rsidRPr="00554E56">
        <w:rPr>
          <w:sz w:val="28"/>
          <w:szCs w:val="28"/>
        </w:rPr>
        <w:sym w:font="HQPB2" w:char="F03D"/>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5" w:char="F073"/>
      </w:r>
      <w:r w:rsidRPr="00554E56">
        <w:rPr>
          <w:sz w:val="28"/>
          <w:szCs w:val="28"/>
        </w:rPr>
        <w:sym w:font="HQPB1" w:char="F056"/>
      </w:r>
      <w:r w:rsidRPr="00554E56">
        <w:rPr>
          <w:sz w:val="28"/>
          <w:szCs w:val="28"/>
        </w:rPr>
        <w:sym w:font="HQPB4" w:char="F0E8"/>
      </w:r>
      <w:r w:rsidRPr="00554E56">
        <w:rPr>
          <w:sz w:val="28"/>
          <w:szCs w:val="28"/>
        </w:rPr>
        <w:sym w:font="HQPB2" w:char="F03D"/>
      </w:r>
      <w:r w:rsidRPr="00554E56">
        <w:rPr>
          <w:sz w:val="28"/>
          <w:szCs w:val="28"/>
        </w:rPr>
        <w:sym w:font="HQPB4" w:char="F0E8"/>
      </w:r>
      <w:r w:rsidRPr="00554E56">
        <w:rPr>
          <w:sz w:val="28"/>
          <w:szCs w:val="28"/>
        </w:rPr>
        <w:sym w:font="HQPB1" w:char="F04F"/>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5" w:char="F074"/>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5" w:char="F078"/>
      </w:r>
      <w:r w:rsidRPr="00554E56">
        <w:rPr>
          <w:sz w:val="28"/>
          <w:szCs w:val="28"/>
        </w:rPr>
        <w:sym w:font="HQPB2" w:char="F038"/>
      </w:r>
      <w:r w:rsidRPr="00554E56">
        <w:rPr>
          <w:sz w:val="28"/>
          <w:szCs w:val="28"/>
        </w:rPr>
        <w:sym w:font="HQPB5" w:char="F074"/>
      </w:r>
      <w:r w:rsidRPr="00554E56">
        <w:rPr>
          <w:sz w:val="28"/>
          <w:szCs w:val="28"/>
        </w:rPr>
        <w:sym w:font="HQPB1" w:char="F08D"/>
      </w:r>
      <w:r w:rsidRPr="00554E56">
        <w:rPr>
          <w:sz w:val="28"/>
          <w:szCs w:val="28"/>
        </w:rPr>
        <w:sym w:font="HQPB5" w:char="F073"/>
      </w:r>
      <w:r w:rsidRPr="00554E56">
        <w:rPr>
          <w:sz w:val="28"/>
          <w:szCs w:val="28"/>
        </w:rPr>
        <w:sym w:font="HQPB1" w:char="F03F"/>
      </w:r>
      <w:r w:rsidRPr="00554E56">
        <w:rPr>
          <w:rFonts w:ascii="(normal text)" w:hAnsi="(normal text)"/>
          <w:sz w:val="28"/>
          <w:szCs w:val="28"/>
          <w:rtl/>
        </w:rPr>
        <w:t xml:space="preserve"> </w:t>
      </w:r>
      <w:r w:rsidRPr="00554E56">
        <w:rPr>
          <w:sz w:val="28"/>
          <w:szCs w:val="28"/>
        </w:rPr>
        <w:sym w:font="HQPB4" w:char="F028"/>
      </w:r>
      <w:r w:rsidRPr="00554E56">
        <w:rPr>
          <w:rFonts w:ascii="(normal text)" w:hAnsi="(normal text)"/>
          <w:sz w:val="28"/>
          <w:szCs w:val="28"/>
          <w:rtl/>
        </w:rPr>
        <w:t xml:space="preserve"> </w:t>
      </w:r>
      <w:r w:rsidRPr="00554E56">
        <w:rPr>
          <w:sz w:val="28"/>
          <w:szCs w:val="28"/>
        </w:rPr>
        <w:sym w:font="HQPB2" w:char="F062"/>
      </w:r>
      <w:r w:rsidRPr="00554E56">
        <w:rPr>
          <w:sz w:val="28"/>
          <w:szCs w:val="28"/>
        </w:rPr>
        <w:sym w:font="HQPB4" w:char="F0CE"/>
      </w:r>
      <w:r w:rsidRPr="00554E56">
        <w:rPr>
          <w:sz w:val="28"/>
          <w:szCs w:val="28"/>
        </w:rPr>
        <w:sym w:font="HQPB1" w:char="F029"/>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4" w:char="F0F4"/>
      </w:r>
      <w:r w:rsidRPr="00554E56">
        <w:rPr>
          <w:sz w:val="28"/>
          <w:szCs w:val="28"/>
        </w:rPr>
        <w:sym w:font="HQPB1" w:char="F04D"/>
      </w:r>
      <w:r w:rsidRPr="00554E56">
        <w:rPr>
          <w:sz w:val="28"/>
          <w:szCs w:val="28"/>
        </w:rPr>
        <w:sym w:font="HQPB5" w:char="F074"/>
      </w:r>
      <w:r w:rsidRPr="00554E56">
        <w:rPr>
          <w:sz w:val="28"/>
          <w:szCs w:val="28"/>
        </w:rPr>
        <w:sym w:font="HQPB2" w:char="F052"/>
      </w:r>
      <w:r w:rsidRPr="00554E56">
        <w:rPr>
          <w:sz w:val="28"/>
          <w:szCs w:val="28"/>
        </w:rPr>
        <w:sym w:font="HQPB1" w:char="F025"/>
      </w:r>
      <w:r w:rsidRPr="00554E56">
        <w:rPr>
          <w:sz w:val="28"/>
          <w:szCs w:val="28"/>
        </w:rPr>
        <w:sym w:font="HQPB5" w:char="F078"/>
      </w:r>
      <w:r w:rsidRPr="00554E56">
        <w:rPr>
          <w:sz w:val="28"/>
          <w:szCs w:val="28"/>
        </w:rPr>
        <w:sym w:font="HQPB2" w:char="F02E"/>
      </w:r>
      <w:r w:rsidRPr="00554E56">
        <w:rPr>
          <w:rFonts w:ascii="(normal text)" w:hAnsi="(normal text)"/>
          <w:sz w:val="28"/>
          <w:szCs w:val="28"/>
          <w:rtl/>
        </w:rPr>
        <w:t xml:space="preserve"> </w:t>
      </w:r>
      <w:r w:rsidRPr="00554E56">
        <w:rPr>
          <w:sz w:val="28"/>
          <w:szCs w:val="28"/>
        </w:rPr>
        <w:sym w:font="HQPB4" w:char="F05A"/>
      </w:r>
      <w:r w:rsidRPr="00554E56">
        <w:rPr>
          <w:sz w:val="28"/>
          <w:szCs w:val="28"/>
        </w:rPr>
        <w:sym w:font="HQPB2" w:char="F06F"/>
      </w:r>
      <w:r w:rsidRPr="00554E56">
        <w:rPr>
          <w:sz w:val="28"/>
          <w:szCs w:val="28"/>
        </w:rPr>
        <w:sym w:font="HQPB5" w:char="F079"/>
      </w:r>
      <w:r w:rsidRPr="00554E56">
        <w:rPr>
          <w:sz w:val="28"/>
          <w:szCs w:val="28"/>
        </w:rPr>
        <w:sym w:font="HQPB1" w:char="F089"/>
      </w:r>
      <w:r w:rsidRPr="00554E56">
        <w:rPr>
          <w:sz w:val="28"/>
          <w:szCs w:val="28"/>
        </w:rPr>
        <w:sym w:font="HQPB4" w:char="F0CF"/>
      </w:r>
      <w:r w:rsidRPr="00554E56">
        <w:rPr>
          <w:sz w:val="28"/>
          <w:szCs w:val="28"/>
        </w:rPr>
        <w:sym w:font="HQPB1" w:char="F06D"/>
      </w:r>
      <w:r w:rsidRPr="00554E56">
        <w:rPr>
          <w:sz w:val="28"/>
          <w:szCs w:val="28"/>
        </w:rPr>
        <w:sym w:font="HQPB2" w:char="F0BA"/>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5" w:char="F079"/>
      </w:r>
      <w:r w:rsidRPr="00554E56">
        <w:rPr>
          <w:sz w:val="28"/>
          <w:szCs w:val="28"/>
        </w:rPr>
        <w:sym w:font="HQPB2" w:char="F067"/>
      </w:r>
      <w:r w:rsidRPr="00554E56">
        <w:rPr>
          <w:sz w:val="28"/>
          <w:szCs w:val="28"/>
        </w:rPr>
        <w:sym w:font="HQPB5" w:char="F06E"/>
      </w:r>
      <w:r w:rsidRPr="00554E56">
        <w:rPr>
          <w:sz w:val="28"/>
          <w:szCs w:val="28"/>
        </w:rPr>
        <w:sym w:font="HQPB2" w:char="F03D"/>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DF"/>
      </w:r>
      <w:r w:rsidRPr="00554E56">
        <w:rPr>
          <w:sz w:val="28"/>
          <w:szCs w:val="28"/>
        </w:rPr>
        <w:sym w:font="HQPB2" w:char="F023"/>
      </w:r>
      <w:r w:rsidRPr="00554E56">
        <w:rPr>
          <w:sz w:val="28"/>
          <w:szCs w:val="28"/>
        </w:rPr>
        <w:sym w:font="HQPB4" w:char="F0F3"/>
      </w:r>
      <w:r w:rsidRPr="00554E56">
        <w:rPr>
          <w:sz w:val="28"/>
          <w:szCs w:val="28"/>
        </w:rPr>
        <w:sym w:font="HQPB1" w:char="F0C1"/>
      </w:r>
      <w:r w:rsidRPr="00554E56">
        <w:rPr>
          <w:sz w:val="28"/>
          <w:szCs w:val="28"/>
        </w:rPr>
        <w:sym w:font="HQPB4" w:char="F0CF"/>
      </w:r>
      <w:r w:rsidRPr="00554E56">
        <w:rPr>
          <w:sz w:val="28"/>
          <w:szCs w:val="28"/>
        </w:rPr>
        <w:sym w:font="HQPB4" w:char="F069"/>
      </w:r>
      <w:r w:rsidRPr="00554E56">
        <w:rPr>
          <w:sz w:val="28"/>
          <w:szCs w:val="28"/>
        </w:rPr>
        <w:sym w:font="HQPB2" w:char="F05A"/>
      </w:r>
      <w:r w:rsidRPr="00554E56">
        <w:rPr>
          <w:sz w:val="28"/>
          <w:szCs w:val="28"/>
        </w:rPr>
        <w:sym w:font="HQPB2" w:char="F039"/>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4" w:char="F0CF"/>
      </w:r>
      <w:r w:rsidRPr="00554E56">
        <w:rPr>
          <w:sz w:val="28"/>
          <w:szCs w:val="28"/>
        </w:rPr>
        <w:sym w:font="HQPB2" w:char="F06D"/>
      </w:r>
      <w:r w:rsidRPr="00554E56">
        <w:rPr>
          <w:sz w:val="28"/>
          <w:szCs w:val="28"/>
        </w:rPr>
        <w:sym w:font="HQPB4" w:char="F0F7"/>
      </w:r>
      <w:r w:rsidRPr="00554E56">
        <w:rPr>
          <w:sz w:val="28"/>
          <w:szCs w:val="28"/>
        </w:rPr>
        <w:sym w:font="HQPB2" w:char="F083"/>
      </w:r>
      <w:r w:rsidRPr="00554E56">
        <w:rPr>
          <w:sz w:val="28"/>
          <w:szCs w:val="28"/>
        </w:rPr>
        <w:sym w:font="HQPB5" w:char="F075"/>
      </w:r>
      <w:r w:rsidRPr="00554E56">
        <w:rPr>
          <w:sz w:val="28"/>
          <w:szCs w:val="28"/>
        </w:rPr>
        <w:sym w:font="HQPB2" w:char="F071"/>
      </w:r>
      <w:r w:rsidRPr="00554E56">
        <w:rPr>
          <w:sz w:val="28"/>
          <w:szCs w:val="28"/>
        </w:rPr>
        <w:sym w:font="HQPB5" w:char="F074"/>
      </w:r>
      <w:r w:rsidRPr="00554E56">
        <w:rPr>
          <w:sz w:val="28"/>
          <w:szCs w:val="28"/>
        </w:rPr>
        <w:sym w:font="HQPB1" w:char="F02F"/>
      </w:r>
      <w:r w:rsidRPr="00554E56">
        <w:rPr>
          <w:sz w:val="28"/>
          <w:szCs w:val="28"/>
        </w:rPr>
        <w:sym w:font="HQPB5" w:char="F04C"/>
      </w:r>
      <w:r w:rsidRPr="00554E56">
        <w:rPr>
          <w:sz w:val="28"/>
          <w:szCs w:val="28"/>
        </w:rPr>
        <w:sym w:font="HQPB2" w:char="F07B"/>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4" w:char="F0C8"/>
      </w:r>
      <w:r w:rsidRPr="00554E56">
        <w:rPr>
          <w:sz w:val="28"/>
          <w:szCs w:val="28"/>
        </w:rPr>
        <w:sym w:font="HQPB4" w:char="F065"/>
      </w:r>
      <w:r w:rsidRPr="00554E56">
        <w:rPr>
          <w:sz w:val="28"/>
          <w:szCs w:val="28"/>
        </w:rPr>
        <w:sym w:font="HQPB2" w:char="F040"/>
      </w:r>
      <w:r w:rsidRPr="00554E56">
        <w:rPr>
          <w:sz w:val="28"/>
          <w:szCs w:val="28"/>
        </w:rPr>
        <w:sym w:font="HQPB4" w:char="F0E4"/>
      </w:r>
      <w:r w:rsidRPr="00554E56">
        <w:rPr>
          <w:sz w:val="28"/>
          <w:szCs w:val="28"/>
        </w:rPr>
        <w:sym w:font="HQPB2" w:char="F033"/>
      </w:r>
      <w:r w:rsidRPr="00554E56">
        <w:rPr>
          <w:sz w:val="28"/>
          <w:szCs w:val="28"/>
        </w:rPr>
        <w:sym w:font="HQPB4" w:char="F0CF"/>
      </w:r>
      <w:r w:rsidRPr="00554E56">
        <w:rPr>
          <w:sz w:val="28"/>
          <w:szCs w:val="28"/>
        </w:rPr>
        <w:sym w:font="HQPB2" w:char="F039"/>
      </w:r>
      <w:r w:rsidRPr="00554E56">
        <w:rPr>
          <w:rFonts w:ascii="(normal text)" w:hAnsi="(normal text)"/>
          <w:sz w:val="28"/>
          <w:szCs w:val="28"/>
          <w:rtl/>
        </w:rPr>
        <w:t xml:space="preserve"> </w:t>
      </w:r>
      <w:r w:rsidRPr="00554E56">
        <w:rPr>
          <w:sz w:val="28"/>
          <w:szCs w:val="28"/>
        </w:rPr>
        <w:sym w:font="HQPB4" w:char="F037"/>
      </w:r>
      <w:r w:rsidRPr="00554E56">
        <w:rPr>
          <w:sz w:val="28"/>
          <w:szCs w:val="28"/>
        </w:rPr>
        <w:sym w:font="HQPB1" w:char="F089"/>
      </w:r>
      <w:r w:rsidRPr="00554E56">
        <w:rPr>
          <w:sz w:val="28"/>
          <w:szCs w:val="28"/>
        </w:rPr>
        <w:sym w:font="HQPB4" w:char="F0CF"/>
      </w:r>
      <w:r w:rsidRPr="00554E56">
        <w:rPr>
          <w:sz w:val="28"/>
          <w:szCs w:val="28"/>
        </w:rPr>
        <w:sym w:font="HQPB1" w:char="F06E"/>
      </w:r>
      <w:r w:rsidRPr="00554E56">
        <w:rPr>
          <w:sz w:val="28"/>
          <w:szCs w:val="28"/>
        </w:rPr>
        <w:sym w:font="HQPB2" w:char="F0BA"/>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5" w:char="F079"/>
      </w:r>
      <w:r w:rsidRPr="00554E56">
        <w:rPr>
          <w:sz w:val="28"/>
          <w:szCs w:val="28"/>
        </w:rPr>
        <w:sym w:font="HQPB2" w:char="F04A"/>
      </w:r>
      <w:r w:rsidRPr="00554E56">
        <w:rPr>
          <w:sz w:val="28"/>
          <w:szCs w:val="28"/>
        </w:rPr>
        <w:sym w:font="HQPB4" w:char="F0E5"/>
      </w:r>
      <w:r w:rsidRPr="00554E56">
        <w:rPr>
          <w:sz w:val="28"/>
          <w:szCs w:val="28"/>
        </w:rPr>
        <w:sym w:font="HQPB2" w:char="F06B"/>
      </w:r>
      <w:r w:rsidRPr="00554E56">
        <w:rPr>
          <w:sz w:val="28"/>
          <w:szCs w:val="28"/>
        </w:rPr>
        <w:sym w:font="HQPB4" w:char="F0F7"/>
      </w:r>
      <w:r w:rsidRPr="00554E56">
        <w:rPr>
          <w:sz w:val="28"/>
          <w:szCs w:val="28"/>
        </w:rPr>
        <w:sym w:font="HQPB2" w:char="F05D"/>
      </w:r>
      <w:r w:rsidRPr="00554E56">
        <w:rPr>
          <w:sz w:val="28"/>
          <w:szCs w:val="28"/>
        </w:rPr>
        <w:sym w:font="HQPB4" w:char="F0CF"/>
      </w:r>
      <w:r w:rsidRPr="00554E56">
        <w:rPr>
          <w:sz w:val="28"/>
          <w:szCs w:val="28"/>
        </w:rPr>
        <w:sym w:font="HQPB4" w:char="F069"/>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4" w:char="F0E2"/>
      </w:r>
      <w:r w:rsidRPr="00554E56">
        <w:rPr>
          <w:sz w:val="28"/>
          <w:szCs w:val="28"/>
        </w:rPr>
        <w:sym w:font="HQPB1" w:char="F0A8"/>
      </w:r>
      <w:r w:rsidRPr="00554E56">
        <w:rPr>
          <w:sz w:val="28"/>
          <w:szCs w:val="28"/>
        </w:rPr>
        <w:sym w:font="HQPB4" w:char="F0DF"/>
      </w:r>
      <w:r w:rsidRPr="00554E56">
        <w:rPr>
          <w:sz w:val="28"/>
          <w:szCs w:val="28"/>
        </w:rPr>
        <w:sym w:font="HQPB1" w:char="F089"/>
      </w:r>
      <w:r w:rsidRPr="00554E56">
        <w:rPr>
          <w:sz w:val="28"/>
          <w:szCs w:val="28"/>
        </w:rPr>
        <w:sym w:font="HQPB4" w:char="F08F"/>
      </w:r>
      <w:r w:rsidRPr="00554E56">
        <w:rPr>
          <w:sz w:val="28"/>
          <w:szCs w:val="28"/>
        </w:rPr>
        <w:sym w:font="HQPB1" w:char="F0A1"/>
      </w:r>
      <w:r w:rsidRPr="00554E56">
        <w:rPr>
          <w:sz w:val="28"/>
          <w:szCs w:val="28"/>
        </w:rPr>
        <w:sym w:font="HQPB2" w:char="F039"/>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4" w:char="F0A3"/>
      </w:r>
      <w:r w:rsidRPr="00554E56">
        <w:rPr>
          <w:sz w:val="28"/>
          <w:szCs w:val="28"/>
        </w:rPr>
        <w:sym w:font="HQPB2" w:char="F04A"/>
      </w:r>
      <w:r w:rsidRPr="00554E56">
        <w:rPr>
          <w:sz w:val="28"/>
          <w:szCs w:val="28"/>
        </w:rPr>
        <w:sym w:font="HQPB4" w:char="F0CF"/>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5" w:char="F078"/>
      </w:r>
      <w:r w:rsidRPr="00554E56">
        <w:rPr>
          <w:sz w:val="28"/>
          <w:szCs w:val="28"/>
        </w:rPr>
        <w:sym w:font="HQPB2" w:char="F038"/>
      </w:r>
      <w:r w:rsidRPr="00554E56">
        <w:rPr>
          <w:sz w:val="28"/>
          <w:szCs w:val="28"/>
        </w:rPr>
        <w:sym w:font="HQPB5" w:char="F074"/>
      </w:r>
      <w:r w:rsidRPr="00554E56">
        <w:rPr>
          <w:sz w:val="28"/>
          <w:szCs w:val="28"/>
        </w:rPr>
        <w:sym w:font="HQPB1" w:char="F08D"/>
      </w:r>
      <w:r w:rsidRPr="00554E56">
        <w:rPr>
          <w:sz w:val="28"/>
          <w:szCs w:val="28"/>
        </w:rPr>
        <w:sym w:font="HQPB5" w:char="F073"/>
      </w:r>
      <w:r w:rsidRPr="00554E56">
        <w:rPr>
          <w:sz w:val="28"/>
          <w:szCs w:val="28"/>
        </w:rPr>
        <w:sym w:font="HQPB1" w:char="F03F"/>
      </w:r>
      <w:r w:rsidRPr="00554E56">
        <w:rPr>
          <w:rFonts w:ascii="(normal text)" w:hAnsi="(normal text)"/>
          <w:sz w:val="28"/>
          <w:szCs w:val="28"/>
          <w:rtl/>
        </w:rPr>
        <w:t xml:space="preserve"> </w:t>
      </w:r>
      <w:r w:rsidRPr="00554E56">
        <w:rPr>
          <w:sz w:val="28"/>
          <w:szCs w:val="28"/>
        </w:rPr>
        <w:sym w:font="HQPB2" w:char="F062"/>
      </w:r>
      <w:r w:rsidRPr="00554E56">
        <w:rPr>
          <w:sz w:val="28"/>
          <w:szCs w:val="28"/>
        </w:rPr>
        <w:sym w:font="HQPB4" w:char="F0CE"/>
      </w:r>
      <w:r w:rsidRPr="00554E56">
        <w:rPr>
          <w:sz w:val="28"/>
          <w:szCs w:val="28"/>
        </w:rPr>
        <w:sym w:font="HQPB1" w:char="F029"/>
      </w:r>
      <w:r w:rsidRPr="00554E56">
        <w:rPr>
          <w:rFonts w:ascii="(normal text)" w:hAnsi="(normal text)"/>
          <w:sz w:val="28"/>
          <w:szCs w:val="28"/>
          <w:rtl/>
        </w:rPr>
        <w:t xml:space="preserve"> </w:t>
      </w:r>
      <w:r w:rsidRPr="00554E56">
        <w:rPr>
          <w:sz w:val="28"/>
          <w:szCs w:val="28"/>
        </w:rPr>
        <w:sym w:font="HQPB5" w:char="F074"/>
      </w:r>
      <w:r w:rsidRPr="00554E56">
        <w:rPr>
          <w:sz w:val="28"/>
          <w:szCs w:val="28"/>
        </w:rPr>
        <w:sym w:font="HQPB2" w:char="F062"/>
      </w:r>
      <w:r w:rsidRPr="00554E56">
        <w:rPr>
          <w:sz w:val="28"/>
          <w:szCs w:val="28"/>
        </w:rPr>
        <w:sym w:font="HQPB1" w:char="F025"/>
      </w:r>
      <w:r w:rsidRPr="00554E56">
        <w:rPr>
          <w:sz w:val="28"/>
          <w:szCs w:val="28"/>
        </w:rPr>
        <w:sym w:font="HQPB5" w:char="F078"/>
      </w:r>
      <w:r w:rsidRPr="00554E56">
        <w:rPr>
          <w:sz w:val="28"/>
          <w:szCs w:val="28"/>
        </w:rPr>
        <w:sym w:font="HQPB2" w:char="F02E"/>
      </w:r>
      <w:r w:rsidRPr="00554E56">
        <w:rPr>
          <w:rFonts w:ascii="(normal text)" w:hAnsi="(normal text)"/>
          <w:sz w:val="28"/>
          <w:szCs w:val="28"/>
          <w:rtl/>
        </w:rPr>
        <w:t xml:space="preserve"> </w:t>
      </w:r>
      <w:r w:rsidRPr="00554E56">
        <w:rPr>
          <w:sz w:val="28"/>
          <w:szCs w:val="28"/>
        </w:rPr>
        <w:sym w:font="HQPB2" w:char="F0BC"/>
      </w:r>
      <w:r w:rsidRPr="00554E56">
        <w:rPr>
          <w:sz w:val="28"/>
          <w:szCs w:val="28"/>
        </w:rPr>
        <w:sym w:font="HQPB4" w:char="F0E7"/>
      </w:r>
      <w:r w:rsidRPr="00554E56">
        <w:rPr>
          <w:sz w:val="28"/>
          <w:szCs w:val="28"/>
        </w:rPr>
        <w:sym w:font="HQPB2" w:char="F06D"/>
      </w:r>
      <w:r w:rsidRPr="00554E56">
        <w:rPr>
          <w:sz w:val="28"/>
          <w:szCs w:val="28"/>
        </w:rPr>
        <w:sym w:font="HQPB5" w:char="F073"/>
      </w:r>
      <w:r w:rsidRPr="00554E56">
        <w:rPr>
          <w:sz w:val="28"/>
          <w:szCs w:val="28"/>
        </w:rPr>
        <w:sym w:font="HQPB2" w:char="F039"/>
      </w:r>
      <w:r w:rsidRPr="00554E56">
        <w:rPr>
          <w:rFonts w:ascii="(normal text)" w:hAnsi="(normal text)"/>
          <w:sz w:val="28"/>
          <w:szCs w:val="28"/>
          <w:rtl/>
        </w:rPr>
        <w:t xml:space="preserve"> </w:t>
      </w:r>
      <w:r w:rsidRPr="00554E56">
        <w:rPr>
          <w:sz w:val="28"/>
          <w:szCs w:val="28"/>
        </w:rPr>
        <w:sym w:font="HQPB4" w:char="F0D3"/>
      </w:r>
      <w:r w:rsidRPr="00554E56">
        <w:rPr>
          <w:sz w:val="28"/>
          <w:szCs w:val="28"/>
        </w:rPr>
        <w:sym w:font="HQPB3" w:char="F024"/>
      </w:r>
      <w:r w:rsidRPr="00554E56">
        <w:rPr>
          <w:sz w:val="28"/>
          <w:szCs w:val="28"/>
        </w:rPr>
        <w:sym w:font="HQPB5" w:char="F073"/>
      </w:r>
      <w:r w:rsidRPr="00554E56">
        <w:rPr>
          <w:sz w:val="28"/>
          <w:szCs w:val="28"/>
        </w:rPr>
        <w:sym w:font="HQPB3" w:char="F021"/>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2" w:char="F062"/>
      </w:r>
      <w:r w:rsidRPr="00554E56">
        <w:rPr>
          <w:sz w:val="28"/>
          <w:szCs w:val="28"/>
        </w:rPr>
        <w:sym w:font="HQPB4" w:char="F0CE"/>
      </w:r>
      <w:r w:rsidRPr="00554E56">
        <w:rPr>
          <w:sz w:val="28"/>
          <w:szCs w:val="28"/>
        </w:rPr>
        <w:sym w:font="HQPB1" w:char="F02A"/>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F3"/>
      </w:r>
      <w:r w:rsidRPr="00554E56">
        <w:rPr>
          <w:sz w:val="28"/>
          <w:szCs w:val="28"/>
        </w:rPr>
        <w:sym w:font="HQPB2" w:char="F04F"/>
      </w:r>
      <w:r w:rsidRPr="00554E56">
        <w:rPr>
          <w:sz w:val="28"/>
          <w:szCs w:val="28"/>
        </w:rPr>
        <w:sym w:font="HQPB4" w:char="F0A9"/>
      </w:r>
      <w:r w:rsidRPr="00554E56">
        <w:rPr>
          <w:sz w:val="28"/>
          <w:szCs w:val="28"/>
        </w:rPr>
        <w:sym w:font="HQPB2" w:char="F039"/>
      </w:r>
      <w:r w:rsidRPr="00554E56">
        <w:rPr>
          <w:rFonts w:ascii="(normal text)" w:hAnsi="(normal text)"/>
          <w:sz w:val="28"/>
          <w:szCs w:val="28"/>
          <w:rtl/>
        </w:rPr>
        <w:t xml:space="preserve"> </w:t>
      </w:r>
      <w:r w:rsidRPr="00554E56">
        <w:rPr>
          <w:sz w:val="28"/>
          <w:szCs w:val="28"/>
        </w:rPr>
        <w:sym w:font="HQPB2" w:char="F060"/>
      </w:r>
      <w:r w:rsidRPr="00554E56">
        <w:rPr>
          <w:sz w:val="28"/>
          <w:szCs w:val="28"/>
        </w:rPr>
        <w:sym w:font="HQPB4" w:char="F0E4"/>
      </w:r>
      <w:r w:rsidRPr="00554E56">
        <w:rPr>
          <w:sz w:val="28"/>
          <w:szCs w:val="28"/>
        </w:rPr>
        <w:sym w:font="HQPB2" w:char="F033"/>
      </w:r>
      <w:r w:rsidRPr="00554E56">
        <w:rPr>
          <w:sz w:val="28"/>
          <w:szCs w:val="28"/>
        </w:rPr>
        <w:sym w:font="HQPB5" w:char="F074"/>
      </w:r>
      <w:r w:rsidRPr="00554E56">
        <w:rPr>
          <w:sz w:val="28"/>
          <w:szCs w:val="28"/>
        </w:rPr>
        <w:sym w:font="HQPB2" w:char="F083"/>
      </w:r>
      <w:r w:rsidRPr="00554E56">
        <w:rPr>
          <w:rFonts w:ascii="(normal text)" w:hAnsi="(normal text)"/>
          <w:sz w:val="28"/>
          <w:szCs w:val="28"/>
          <w:rtl/>
        </w:rPr>
        <w:t xml:space="preserve"> </w:t>
      </w:r>
      <w:r w:rsidRPr="00554E56">
        <w:rPr>
          <w:sz w:val="28"/>
          <w:szCs w:val="28"/>
        </w:rPr>
        <w:sym w:font="HQPB2" w:char="F0BC"/>
      </w:r>
      <w:r w:rsidRPr="00554E56">
        <w:rPr>
          <w:sz w:val="28"/>
          <w:szCs w:val="28"/>
        </w:rPr>
        <w:sym w:font="HQPB4" w:char="F0E3"/>
      </w:r>
      <w:r w:rsidRPr="00554E56">
        <w:rPr>
          <w:sz w:val="28"/>
          <w:szCs w:val="28"/>
        </w:rPr>
        <w:sym w:font="HQPB3" w:char="F026"/>
      </w:r>
      <w:r w:rsidRPr="00554E56">
        <w:rPr>
          <w:sz w:val="28"/>
          <w:szCs w:val="28"/>
        </w:rPr>
        <w:sym w:font="HQPB4" w:char="F0A9"/>
      </w:r>
      <w:r w:rsidRPr="00554E56">
        <w:rPr>
          <w:sz w:val="28"/>
          <w:szCs w:val="28"/>
        </w:rPr>
        <w:sym w:font="HQPB3" w:char="F021"/>
      </w:r>
      <w:r w:rsidRPr="00554E56">
        <w:rPr>
          <w:rFonts w:ascii="(normal text)" w:hAnsi="(normal text)"/>
          <w:sz w:val="28"/>
          <w:szCs w:val="28"/>
          <w:rtl/>
        </w:rPr>
        <w:t xml:space="preserve"> </w:t>
      </w:r>
      <w:r w:rsidRPr="00554E56">
        <w:rPr>
          <w:sz w:val="28"/>
          <w:szCs w:val="28"/>
        </w:rPr>
        <w:sym w:font="HQPB4" w:char="F0D3"/>
      </w:r>
      <w:r w:rsidRPr="00554E56">
        <w:rPr>
          <w:sz w:val="28"/>
          <w:szCs w:val="28"/>
        </w:rPr>
        <w:sym w:font="HQPB3" w:char="F024"/>
      </w:r>
      <w:r w:rsidRPr="00554E56">
        <w:rPr>
          <w:sz w:val="28"/>
          <w:szCs w:val="28"/>
        </w:rPr>
        <w:sym w:font="HQPB5" w:char="F073"/>
      </w:r>
      <w:r w:rsidRPr="00554E56">
        <w:rPr>
          <w:sz w:val="28"/>
          <w:szCs w:val="28"/>
        </w:rPr>
        <w:sym w:font="HQPB3" w:char="F021"/>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4" w:char="F0FF"/>
      </w:r>
      <w:r w:rsidRPr="00554E56">
        <w:rPr>
          <w:sz w:val="28"/>
          <w:szCs w:val="28"/>
        </w:rPr>
        <w:sym w:font="HQPB2" w:char="F0BC"/>
      </w:r>
      <w:r w:rsidRPr="00554E56">
        <w:rPr>
          <w:sz w:val="28"/>
          <w:szCs w:val="28"/>
        </w:rPr>
        <w:sym w:font="HQPB4" w:char="F0E7"/>
      </w:r>
      <w:r w:rsidRPr="00554E56">
        <w:rPr>
          <w:sz w:val="28"/>
          <w:szCs w:val="28"/>
        </w:rPr>
        <w:sym w:font="HQPB2" w:char="F06D"/>
      </w:r>
      <w:r w:rsidRPr="00554E56">
        <w:rPr>
          <w:sz w:val="28"/>
          <w:szCs w:val="28"/>
        </w:rPr>
        <w:sym w:font="HQPB5" w:char="F072"/>
      </w:r>
      <w:r w:rsidRPr="00554E56">
        <w:rPr>
          <w:sz w:val="28"/>
          <w:szCs w:val="28"/>
        </w:rPr>
        <w:sym w:font="HQPB1" w:char="F04F"/>
      </w:r>
      <w:r w:rsidRPr="00554E56">
        <w:rPr>
          <w:sz w:val="28"/>
          <w:szCs w:val="28"/>
        </w:rPr>
        <w:sym w:font="HQPB4" w:char="F0CD"/>
      </w:r>
      <w:r w:rsidRPr="00554E56">
        <w:rPr>
          <w:sz w:val="28"/>
          <w:szCs w:val="28"/>
        </w:rPr>
        <w:sym w:font="HQPB1" w:char="F091"/>
      </w:r>
      <w:r w:rsidRPr="00554E56">
        <w:rPr>
          <w:sz w:val="28"/>
          <w:szCs w:val="28"/>
        </w:rPr>
        <w:sym w:font="HQPB5" w:char="F075"/>
      </w:r>
      <w:r w:rsidRPr="00554E56">
        <w:rPr>
          <w:sz w:val="28"/>
          <w:szCs w:val="28"/>
        </w:rPr>
        <w:sym w:font="HQPB2" w:char="F072"/>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4" w:char="F0E7"/>
      </w:r>
      <w:r w:rsidRPr="00554E56">
        <w:rPr>
          <w:sz w:val="28"/>
          <w:szCs w:val="28"/>
        </w:rPr>
        <w:sym w:font="HQPB2" w:char="F06E"/>
      </w:r>
      <w:r w:rsidRPr="00554E56">
        <w:rPr>
          <w:sz w:val="28"/>
          <w:szCs w:val="28"/>
        </w:rPr>
        <w:sym w:font="HQPB1" w:char="F023"/>
      </w:r>
      <w:r w:rsidRPr="00554E56">
        <w:rPr>
          <w:sz w:val="28"/>
          <w:szCs w:val="28"/>
        </w:rPr>
        <w:sym w:font="HQPB5" w:char="F075"/>
      </w:r>
      <w:r w:rsidRPr="00554E56">
        <w:rPr>
          <w:sz w:val="28"/>
          <w:szCs w:val="28"/>
        </w:rPr>
        <w:sym w:font="HQPB2" w:char="F071"/>
      </w:r>
      <w:r w:rsidRPr="00554E56">
        <w:rPr>
          <w:sz w:val="28"/>
          <w:szCs w:val="28"/>
        </w:rPr>
        <w:sym w:font="HQPB5" w:char="F074"/>
      </w:r>
      <w:r w:rsidRPr="00554E56">
        <w:rPr>
          <w:sz w:val="28"/>
          <w:szCs w:val="28"/>
        </w:rPr>
        <w:sym w:font="HQPB1" w:char="F02F"/>
      </w:r>
      <w:r w:rsidRPr="00554E56">
        <w:rPr>
          <w:sz w:val="28"/>
          <w:szCs w:val="28"/>
        </w:rPr>
        <w:sym w:font="HQPB5" w:char="F072"/>
      </w:r>
      <w:r w:rsidRPr="00554E56">
        <w:rPr>
          <w:sz w:val="28"/>
          <w:szCs w:val="28"/>
        </w:rPr>
        <w:sym w:font="HQPB1" w:char="F026"/>
      </w:r>
      <w:r w:rsidRPr="00554E56">
        <w:rPr>
          <w:rFonts w:ascii="(normal text)" w:hAnsi="(normal text)"/>
          <w:sz w:val="28"/>
          <w:szCs w:val="28"/>
          <w:rtl/>
        </w:rPr>
        <w:t xml:space="preserve"> </w:t>
      </w:r>
      <w:r w:rsidRPr="00554E56">
        <w:rPr>
          <w:sz w:val="28"/>
          <w:szCs w:val="28"/>
        </w:rPr>
        <w:sym w:font="HQPB4" w:char="F0CF"/>
      </w:r>
      <w:r w:rsidRPr="00554E56">
        <w:rPr>
          <w:sz w:val="28"/>
          <w:szCs w:val="28"/>
        </w:rPr>
        <w:sym w:font="HQPB2" w:char="F06D"/>
      </w:r>
      <w:r w:rsidRPr="00554E56">
        <w:rPr>
          <w:sz w:val="28"/>
          <w:szCs w:val="28"/>
        </w:rPr>
        <w:sym w:font="HQPB4" w:char="F0CF"/>
      </w:r>
      <w:r w:rsidRPr="00554E56">
        <w:rPr>
          <w:sz w:val="28"/>
          <w:szCs w:val="28"/>
        </w:rPr>
        <w:sym w:font="HQPB4" w:char="F069"/>
      </w:r>
      <w:r w:rsidRPr="00554E56">
        <w:rPr>
          <w:sz w:val="28"/>
          <w:szCs w:val="28"/>
        </w:rPr>
        <w:sym w:font="HQPB2" w:char="F042"/>
      </w:r>
      <w:r w:rsidRPr="00554E56">
        <w:rPr>
          <w:sz w:val="28"/>
          <w:szCs w:val="28"/>
        </w:rPr>
        <w:sym w:font="HQPB5" w:char="F054"/>
      </w:r>
      <w:r w:rsidRPr="00554E56">
        <w:rPr>
          <w:sz w:val="28"/>
          <w:szCs w:val="28"/>
        </w:rPr>
        <w:sym w:font="HQPB2" w:char="F07C"/>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DF"/>
      </w:r>
      <w:r w:rsidRPr="00554E56">
        <w:rPr>
          <w:sz w:val="28"/>
          <w:szCs w:val="28"/>
        </w:rPr>
        <w:sym w:font="HQPB1" w:char="F05D"/>
      </w:r>
      <w:r w:rsidRPr="00554E56">
        <w:rPr>
          <w:sz w:val="28"/>
          <w:szCs w:val="28"/>
        </w:rPr>
        <w:sym w:font="HQPB4" w:char="F0E8"/>
      </w:r>
      <w:r w:rsidRPr="00554E56">
        <w:rPr>
          <w:sz w:val="28"/>
          <w:szCs w:val="28"/>
        </w:rPr>
        <w:sym w:font="HQPB2" w:char="F03D"/>
      </w:r>
      <w:r w:rsidRPr="00554E56">
        <w:rPr>
          <w:sz w:val="28"/>
          <w:szCs w:val="28"/>
        </w:rPr>
        <w:sym w:font="HQPB4" w:char="F09B"/>
      </w:r>
      <w:r w:rsidRPr="00554E56">
        <w:rPr>
          <w:sz w:val="28"/>
          <w:szCs w:val="28"/>
        </w:rPr>
        <w:sym w:font="HQPB1" w:char="F057"/>
      </w:r>
      <w:r w:rsidRPr="00554E56">
        <w:rPr>
          <w:sz w:val="28"/>
          <w:szCs w:val="28"/>
        </w:rPr>
        <w:sym w:font="HQPB2" w:char="F039"/>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2" w:char="F062"/>
      </w:r>
      <w:r w:rsidRPr="00554E56">
        <w:rPr>
          <w:sz w:val="28"/>
          <w:szCs w:val="28"/>
        </w:rPr>
        <w:sym w:font="HQPB4" w:char="F0CE"/>
      </w:r>
      <w:r w:rsidRPr="00554E56">
        <w:rPr>
          <w:sz w:val="28"/>
          <w:szCs w:val="28"/>
        </w:rPr>
        <w:sym w:font="HQPB1" w:char="F02A"/>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5" w:char="F074"/>
      </w:r>
      <w:r w:rsidRPr="00554E56">
        <w:rPr>
          <w:sz w:val="28"/>
          <w:szCs w:val="28"/>
        </w:rPr>
        <w:sym w:font="HQPB2" w:char="F062"/>
      </w:r>
      <w:r w:rsidRPr="00554E56">
        <w:rPr>
          <w:sz w:val="28"/>
          <w:szCs w:val="28"/>
        </w:rPr>
        <w:sym w:font="HQPB1" w:char="F025"/>
      </w:r>
      <w:r w:rsidRPr="00554E56">
        <w:rPr>
          <w:sz w:val="28"/>
          <w:szCs w:val="28"/>
        </w:rPr>
        <w:sym w:font="HQPB5" w:char="F078"/>
      </w:r>
      <w:r w:rsidRPr="00554E56">
        <w:rPr>
          <w:sz w:val="28"/>
          <w:szCs w:val="28"/>
        </w:rPr>
        <w:sym w:font="HQPB2" w:char="F02E"/>
      </w:r>
      <w:r w:rsidRPr="00554E56">
        <w:rPr>
          <w:rFonts w:ascii="(normal text)" w:hAnsi="(normal text)"/>
          <w:sz w:val="28"/>
          <w:szCs w:val="28"/>
          <w:rtl/>
        </w:rPr>
        <w:t xml:space="preserve"> </w:t>
      </w:r>
      <w:r w:rsidRPr="00554E56">
        <w:rPr>
          <w:sz w:val="28"/>
          <w:szCs w:val="28"/>
        </w:rPr>
        <w:sym w:font="HQPB4" w:char="F0FF"/>
      </w:r>
      <w:r w:rsidRPr="00554E56">
        <w:rPr>
          <w:sz w:val="28"/>
          <w:szCs w:val="28"/>
        </w:rPr>
        <w:sym w:font="HQPB2" w:char="F0BC"/>
      </w:r>
      <w:r w:rsidRPr="00554E56">
        <w:rPr>
          <w:sz w:val="28"/>
          <w:szCs w:val="28"/>
        </w:rPr>
        <w:sym w:font="HQPB4" w:char="F0E3"/>
      </w:r>
      <w:r w:rsidRPr="00554E56">
        <w:rPr>
          <w:sz w:val="28"/>
          <w:szCs w:val="28"/>
        </w:rPr>
        <w:sym w:font="HQPB3" w:char="F026"/>
      </w:r>
      <w:r w:rsidRPr="00554E56">
        <w:rPr>
          <w:sz w:val="28"/>
          <w:szCs w:val="28"/>
        </w:rPr>
        <w:sym w:font="HQPB5" w:char="F073"/>
      </w:r>
      <w:r w:rsidRPr="00554E56">
        <w:rPr>
          <w:sz w:val="28"/>
          <w:szCs w:val="28"/>
        </w:rPr>
        <w:sym w:font="HQPB3" w:char="F021"/>
      </w:r>
      <w:r w:rsidRPr="00554E56">
        <w:rPr>
          <w:rFonts w:ascii="(normal text)" w:hAnsi="(normal text)"/>
          <w:sz w:val="28"/>
          <w:szCs w:val="28"/>
          <w:rtl/>
        </w:rPr>
        <w:t xml:space="preserve"> </w:t>
      </w:r>
      <w:r w:rsidRPr="00554E56">
        <w:rPr>
          <w:sz w:val="28"/>
          <w:szCs w:val="28"/>
        </w:rPr>
        <w:sym w:font="HQPB4" w:char="F0D7"/>
      </w:r>
      <w:r w:rsidRPr="00554E56">
        <w:rPr>
          <w:sz w:val="28"/>
          <w:szCs w:val="28"/>
        </w:rPr>
        <w:sym w:font="HQPB2" w:char="F06F"/>
      </w:r>
      <w:r w:rsidRPr="00554E56">
        <w:rPr>
          <w:sz w:val="28"/>
          <w:szCs w:val="28"/>
        </w:rPr>
        <w:sym w:font="HQPB5" w:char="F075"/>
      </w:r>
      <w:r w:rsidRPr="00554E56">
        <w:rPr>
          <w:sz w:val="28"/>
          <w:szCs w:val="28"/>
        </w:rPr>
        <w:sym w:font="HQPB2" w:char="F071"/>
      </w:r>
      <w:r w:rsidRPr="00554E56">
        <w:rPr>
          <w:sz w:val="28"/>
          <w:szCs w:val="28"/>
        </w:rPr>
        <w:sym w:font="HQPB4" w:char="F0F7"/>
      </w:r>
      <w:r w:rsidRPr="00554E56">
        <w:rPr>
          <w:sz w:val="28"/>
          <w:szCs w:val="28"/>
        </w:rPr>
        <w:sym w:font="HQPB1" w:char="F07A"/>
      </w:r>
      <w:r w:rsidRPr="00554E56">
        <w:rPr>
          <w:sz w:val="28"/>
          <w:szCs w:val="28"/>
        </w:rPr>
        <w:sym w:font="HQPB4" w:char="F0CE"/>
      </w:r>
      <w:r w:rsidRPr="00554E56">
        <w:rPr>
          <w:sz w:val="28"/>
          <w:szCs w:val="28"/>
        </w:rPr>
        <w:sym w:font="HQPB1" w:char="F029"/>
      </w:r>
      <w:r w:rsidRPr="00554E56">
        <w:rPr>
          <w:rFonts w:ascii="(normal text)" w:hAnsi="(normal text)"/>
          <w:sz w:val="28"/>
          <w:szCs w:val="28"/>
          <w:rtl/>
        </w:rPr>
        <w:t xml:space="preserve"> </w:t>
      </w:r>
      <w:r w:rsidRPr="00554E56">
        <w:rPr>
          <w:sz w:val="28"/>
          <w:szCs w:val="28"/>
        </w:rPr>
        <w:sym w:font="HQPB4" w:char="F0CF"/>
      </w:r>
      <w:r w:rsidRPr="00554E56">
        <w:rPr>
          <w:sz w:val="28"/>
          <w:szCs w:val="28"/>
        </w:rPr>
        <w:sym w:font="HQPB2" w:char="F06D"/>
      </w:r>
      <w:r w:rsidRPr="00554E56">
        <w:rPr>
          <w:sz w:val="28"/>
          <w:szCs w:val="28"/>
        </w:rPr>
        <w:sym w:font="HQPB4" w:char="F0CF"/>
      </w:r>
      <w:r w:rsidRPr="00554E56">
        <w:rPr>
          <w:sz w:val="28"/>
          <w:szCs w:val="28"/>
        </w:rPr>
        <w:sym w:font="HQPB4" w:char="F069"/>
      </w:r>
      <w:r w:rsidRPr="00554E56">
        <w:rPr>
          <w:sz w:val="28"/>
          <w:szCs w:val="28"/>
        </w:rPr>
        <w:sym w:font="HQPB2" w:char="F042"/>
      </w:r>
      <w:r w:rsidRPr="00554E56">
        <w:rPr>
          <w:sz w:val="28"/>
          <w:szCs w:val="28"/>
        </w:rPr>
        <w:sym w:font="HQPB5" w:char="F054"/>
      </w:r>
      <w:r w:rsidRPr="00554E56">
        <w:rPr>
          <w:sz w:val="28"/>
          <w:szCs w:val="28"/>
        </w:rPr>
        <w:sym w:font="HQPB2" w:char="F07C"/>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4" w:char="F0E2"/>
      </w:r>
      <w:r w:rsidRPr="00554E56">
        <w:rPr>
          <w:sz w:val="28"/>
          <w:szCs w:val="28"/>
        </w:rPr>
        <w:sym w:font="HQPB1" w:char="F0A8"/>
      </w:r>
      <w:r w:rsidRPr="00554E56">
        <w:rPr>
          <w:sz w:val="28"/>
          <w:szCs w:val="28"/>
        </w:rPr>
        <w:sym w:font="HQPB4" w:char="F0DF"/>
      </w:r>
      <w:r w:rsidRPr="00554E56">
        <w:rPr>
          <w:sz w:val="28"/>
          <w:szCs w:val="28"/>
        </w:rPr>
        <w:sym w:font="HQPB1" w:char="F089"/>
      </w:r>
      <w:r w:rsidRPr="00554E56">
        <w:rPr>
          <w:sz w:val="28"/>
          <w:szCs w:val="28"/>
        </w:rPr>
        <w:sym w:font="HQPB4" w:char="F08F"/>
      </w:r>
      <w:r w:rsidRPr="00554E56">
        <w:rPr>
          <w:sz w:val="28"/>
          <w:szCs w:val="28"/>
        </w:rPr>
        <w:sym w:font="HQPB1" w:char="F0A1"/>
      </w:r>
      <w:r w:rsidRPr="00554E56">
        <w:rPr>
          <w:sz w:val="28"/>
          <w:szCs w:val="28"/>
        </w:rPr>
        <w:sym w:font="HQPB2" w:char="F039"/>
      </w:r>
      <w:r w:rsidRPr="00554E56">
        <w:rPr>
          <w:sz w:val="28"/>
          <w:szCs w:val="28"/>
        </w:rPr>
        <w:sym w:font="HQPB5" w:char="F024"/>
      </w:r>
      <w:r w:rsidRPr="00554E56">
        <w:rPr>
          <w:sz w:val="28"/>
          <w:szCs w:val="28"/>
        </w:rPr>
        <w:sym w:font="HQPB1" w:char="F023"/>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5" w:char="F02E"/>
      </w:r>
      <w:r w:rsidRPr="00554E56">
        <w:rPr>
          <w:sz w:val="28"/>
          <w:szCs w:val="28"/>
        </w:rPr>
        <w:sym w:font="HQPB2" w:char="F060"/>
      </w:r>
      <w:r w:rsidRPr="00554E56">
        <w:rPr>
          <w:sz w:val="28"/>
          <w:szCs w:val="28"/>
        </w:rPr>
        <w:sym w:font="HQPB4" w:char="F0CF"/>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4" w:char="F0CF"/>
      </w:r>
      <w:r w:rsidRPr="00554E56">
        <w:rPr>
          <w:sz w:val="28"/>
          <w:szCs w:val="28"/>
        </w:rPr>
        <w:sym w:font="HQPB1" w:char="F089"/>
      </w:r>
      <w:r w:rsidRPr="00554E56">
        <w:rPr>
          <w:sz w:val="28"/>
          <w:szCs w:val="28"/>
        </w:rPr>
        <w:sym w:font="HQPB4" w:char="F0F7"/>
      </w:r>
      <w:r w:rsidRPr="00554E56">
        <w:rPr>
          <w:sz w:val="28"/>
          <w:szCs w:val="28"/>
        </w:rPr>
        <w:sym w:font="HQPB1" w:char="F0E8"/>
      </w:r>
      <w:r w:rsidRPr="00554E56">
        <w:rPr>
          <w:sz w:val="28"/>
          <w:szCs w:val="28"/>
        </w:rPr>
        <w:sym w:font="HQPB5" w:char="F074"/>
      </w:r>
      <w:r w:rsidRPr="00554E56">
        <w:rPr>
          <w:sz w:val="28"/>
          <w:szCs w:val="28"/>
        </w:rPr>
        <w:sym w:font="HQPB1" w:char="F02F"/>
      </w:r>
      <w:r w:rsidRPr="00554E56">
        <w:rPr>
          <w:rFonts w:ascii="(normal text)" w:hAnsi="(normal text)"/>
          <w:sz w:val="28"/>
          <w:szCs w:val="28"/>
          <w:rtl/>
        </w:rPr>
        <w:t xml:space="preserve"> </w:t>
      </w:r>
      <w:r w:rsidRPr="00554E56">
        <w:rPr>
          <w:sz w:val="28"/>
          <w:szCs w:val="28"/>
        </w:rPr>
        <w:sym w:font="HQPB4" w:char="F037"/>
      </w:r>
      <w:r w:rsidRPr="00554E56">
        <w:rPr>
          <w:sz w:val="28"/>
          <w:szCs w:val="28"/>
        </w:rPr>
        <w:sym w:font="HQPB2" w:char="F070"/>
      </w:r>
      <w:r w:rsidRPr="00554E56">
        <w:rPr>
          <w:sz w:val="28"/>
          <w:szCs w:val="28"/>
        </w:rPr>
        <w:sym w:font="HQPB4" w:char="F0A7"/>
      </w:r>
      <w:r w:rsidRPr="00554E56">
        <w:rPr>
          <w:sz w:val="28"/>
          <w:szCs w:val="28"/>
        </w:rPr>
        <w:sym w:font="HQPB2" w:char="F08B"/>
      </w:r>
      <w:r w:rsidRPr="00554E56">
        <w:rPr>
          <w:sz w:val="28"/>
          <w:szCs w:val="28"/>
        </w:rPr>
        <w:sym w:font="HQPB4" w:char="F0CF"/>
      </w:r>
      <w:r w:rsidRPr="00554E56">
        <w:rPr>
          <w:sz w:val="28"/>
          <w:szCs w:val="28"/>
        </w:rPr>
        <w:sym w:font="HQPB1" w:char="F0B9"/>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2" w:char="F0D3"/>
      </w:r>
      <w:r w:rsidRPr="00554E56">
        <w:rPr>
          <w:sz w:val="28"/>
          <w:szCs w:val="28"/>
        </w:rPr>
        <w:sym w:font="HQPB4" w:char="F0C5"/>
      </w:r>
      <w:r w:rsidRPr="00554E56">
        <w:rPr>
          <w:sz w:val="28"/>
          <w:szCs w:val="28"/>
        </w:rPr>
        <w:sym w:font="HQPB1" w:char="F0BB"/>
      </w:r>
      <w:r w:rsidRPr="00554E56">
        <w:rPr>
          <w:sz w:val="28"/>
          <w:szCs w:val="28"/>
        </w:rPr>
        <w:sym w:font="HQPB2" w:char="F071"/>
      </w:r>
      <w:r w:rsidRPr="00554E56">
        <w:rPr>
          <w:sz w:val="28"/>
          <w:szCs w:val="28"/>
        </w:rPr>
        <w:sym w:font="HQPB4" w:char="F0E3"/>
      </w:r>
      <w:r w:rsidRPr="00554E56">
        <w:rPr>
          <w:sz w:val="28"/>
          <w:szCs w:val="28"/>
        </w:rPr>
        <w:sym w:font="HQPB2" w:char="F083"/>
      </w:r>
      <w:r w:rsidRPr="00554E56">
        <w:rPr>
          <w:rFonts w:ascii="(normal text)" w:hAnsi="(normal text)"/>
          <w:sz w:val="28"/>
          <w:szCs w:val="28"/>
          <w:rtl/>
        </w:rPr>
        <w:t xml:space="preserve"> </w:t>
      </w:r>
      <w:r w:rsidRPr="00554E56">
        <w:rPr>
          <w:sz w:val="28"/>
          <w:szCs w:val="28"/>
        </w:rPr>
        <w:sym w:font="HQPB5" w:char="F021"/>
      </w:r>
      <w:r w:rsidRPr="00554E56">
        <w:rPr>
          <w:sz w:val="28"/>
          <w:szCs w:val="28"/>
        </w:rPr>
        <w:sym w:font="HQPB1" w:char="F024"/>
      </w:r>
      <w:r w:rsidRPr="00554E56">
        <w:rPr>
          <w:sz w:val="28"/>
          <w:szCs w:val="28"/>
        </w:rPr>
        <w:sym w:font="HQPB5" w:char="F070"/>
      </w:r>
      <w:r w:rsidRPr="00554E56">
        <w:rPr>
          <w:sz w:val="28"/>
          <w:szCs w:val="28"/>
        </w:rPr>
        <w:sym w:font="HQPB2" w:char="F06B"/>
      </w:r>
      <w:r w:rsidRPr="00554E56">
        <w:rPr>
          <w:sz w:val="28"/>
          <w:szCs w:val="28"/>
        </w:rPr>
        <w:sym w:font="HQPB4" w:char="F0CD"/>
      </w:r>
      <w:r w:rsidRPr="00554E56">
        <w:rPr>
          <w:sz w:val="28"/>
          <w:szCs w:val="28"/>
        </w:rPr>
        <w:sym w:font="HQPB1" w:char="F035"/>
      </w:r>
      <w:r w:rsidRPr="00554E56">
        <w:rPr>
          <w:rFonts w:ascii="(normal text)" w:hAnsi="(normal text)"/>
          <w:sz w:val="28"/>
          <w:szCs w:val="28"/>
          <w:rtl/>
        </w:rPr>
        <w:t xml:space="preserve"> </w:t>
      </w:r>
      <w:r w:rsidRPr="00554E56">
        <w:rPr>
          <w:sz w:val="28"/>
          <w:szCs w:val="28"/>
        </w:rPr>
        <w:sym w:font="HQPB4" w:char="F0F7"/>
      </w:r>
      <w:r w:rsidRPr="00554E56">
        <w:rPr>
          <w:sz w:val="28"/>
          <w:szCs w:val="28"/>
        </w:rPr>
        <w:sym w:font="HQPB2" w:char="F072"/>
      </w:r>
      <w:r w:rsidRPr="00554E56">
        <w:rPr>
          <w:sz w:val="28"/>
          <w:szCs w:val="28"/>
        </w:rPr>
        <w:sym w:font="HQPB5" w:char="F072"/>
      </w:r>
      <w:r w:rsidRPr="00554E56">
        <w:rPr>
          <w:sz w:val="28"/>
          <w:szCs w:val="28"/>
        </w:rPr>
        <w:sym w:font="HQPB1" w:char="F026"/>
      </w:r>
      <w:r w:rsidRPr="00554E56">
        <w:rPr>
          <w:rFonts w:ascii="(normal text)" w:hAnsi="(normal text)"/>
          <w:sz w:val="28"/>
          <w:szCs w:val="28"/>
          <w:rtl/>
        </w:rPr>
        <w:t xml:space="preserve"> </w:t>
      </w:r>
      <w:r w:rsidRPr="00554E56">
        <w:rPr>
          <w:sz w:val="28"/>
          <w:szCs w:val="28"/>
        </w:rPr>
        <w:sym w:font="HQPB4" w:char="F041"/>
      </w:r>
      <w:r w:rsidRPr="00554E56">
        <w:rPr>
          <w:sz w:val="28"/>
          <w:szCs w:val="28"/>
        </w:rPr>
        <w:sym w:font="HQPB2" w:char="F0FB"/>
      </w:r>
      <w:r w:rsidRPr="00554E56">
        <w:rPr>
          <w:sz w:val="28"/>
          <w:szCs w:val="28"/>
        </w:rPr>
        <w:sym w:font="HQPB4" w:char="F0F8"/>
      </w:r>
      <w:r w:rsidRPr="00554E56">
        <w:rPr>
          <w:sz w:val="28"/>
          <w:szCs w:val="28"/>
        </w:rPr>
        <w:sym w:font="HQPB2" w:char="F0EF"/>
      </w:r>
      <w:r w:rsidRPr="00554E56">
        <w:rPr>
          <w:sz w:val="28"/>
          <w:szCs w:val="28"/>
        </w:rPr>
        <w:sym w:font="HQPB5" w:char="F079"/>
      </w:r>
      <w:r w:rsidRPr="00554E56">
        <w:rPr>
          <w:sz w:val="28"/>
          <w:szCs w:val="28"/>
        </w:rPr>
        <w:sym w:font="HQPB1" w:char="F08A"/>
      </w:r>
      <w:r w:rsidRPr="00554E56">
        <w:rPr>
          <w:rFonts w:ascii="(normal text)" w:hAnsi="(normal text)"/>
          <w:sz w:val="28"/>
          <w:szCs w:val="28"/>
          <w:rtl/>
        </w:rPr>
        <w:t xml:space="preserve"> </w:t>
      </w:r>
      <w:r w:rsidRPr="00554E56">
        <w:rPr>
          <w:sz w:val="28"/>
          <w:szCs w:val="28"/>
        </w:rPr>
        <w:sym w:font="HQPB4" w:char="F033"/>
      </w:r>
      <w:r w:rsidRPr="00554E56">
        <w:rPr>
          <w:rFonts w:ascii="(normal text)" w:hAnsi="(normal text)"/>
          <w:sz w:val="28"/>
          <w:szCs w:val="28"/>
          <w:rtl/>
        </w:rPr>
        <w:t xml:space="preserve"> </w:t>
      </w:r>
      <w:r w:rsidRPr="00554E56">
        <w:rPr>
          <w:sz w:val="28"/>
          <w:szCs w:val="28"/>
        </w:rPr>
        <w:sym w:font="HQPB4" w:char="F0F6"/>
      </w:r>
      <w:r w:rsidRPr="00554E56">
        <w:rPr>
          <w:sz w:val="28"/>
          <w:szCs w:val="28"/>
        </w:rPr>
        <w:sym w:font="HQPB2" w:char="F04E"/>
      </w:r>
      <w:r w:rsidRPr="00554E56">
        <w:rPr>
          <w:sz w:val="28"/>
          <w:szCs w:val="28"/>
        </w:rPr>
        <w:sym w:font="HQPB4" w:char="F0E4"/>
      </w:r>
      <w:r w:rsidRPr="00554E56">
        <w:rPr>
          <w:sz w:val="28"/>
          <w:szCs w:val="28"/>
        </w:rPr>
        <w:sym w:font="HQPB2" w:char="F02E"/>
      </w:r>
      <w:r w:rsidRPr="00554E56">
        <w:rPr>
          <w:sz w:val="28"/>
          <w:szCs w:val="28"/>
        </w:rPr>
        <w:sym w:font="HQPB4" w:char="F0E4"/>
      </w:r>
      <w:r w:rsidRPr="00554E56">
        <w:rPr>
          <w:sz w:val="28"/>
          <w:szCs w:val="28"/>
        </w:rPr>
        <w:sym w:font="HQPB2" w:char="F074"/>
      </w:r>
      <w:r w:rsidRPr="00554E56">
        <w:rPr>
          <w:sz w:val="28"/>
          <w:szCs w:val="28"/>
        </w:rPr>
        <w:sym w:font="HQPB5" w:char="F021"/>
      </w:r>
      <w:r w:rsidRPr="00554E56">
        <w:rPr>
          <w:sz w:val="28"/>
          <w:szCs w:val="28"/>
        </w:rPr>
        <w:sym w:font="HQPB1" w:char="F024"/>
      </w:r>
      <w:r w:rsidRPr="00554E56">
        <w:rPr>
          <w:sz w:val="28"/>
          <w:szCs w:val="28"/>
        </w:rPr>
        <w:sym w:font="HQPB5" w:char="F074"/>
      </w:r>
      <w:r w:rsidRPr="00554E56">
        <w:rPr>
          <w:sz w:val="28"/>
          <w:szCs w:val="28"/>
        </w:rPr>
        <w:sym w:font="HQPB1" w:char="F02F"/>
      </w:r>
      <w:r w:rsidRPr="00554E56">
        <w:rPr>
          <w:sz w:val="28"/>
          <w:szCs w:val="28"/>
        </w:rPr>
        <w:sym w:font="HQPB1" w:char="F023"/>
      </w:r>
      <w:r w:rsidRPr="00554E56">
        <w:rPr>
          <w:sz w:val="28"/>
          <w:szCs w:val="28"/>
        </w:rPr>
        <w:sym w:font="HQPB5" w:char="F075"/>
      </w:r>
      <w:r w:rsidRPr="00554E56">
        <w:rPr>
          <w:sz w:val="28"/>
          <w:szCs w:val="28"/>
        </w:rPr>
        <w:sym w:font="HQPB2" w:char="F0E4"/>
      </w:r>
      <w:r w:rsidRPr="00554E56">
        <w:rPr>
          <w:rFonts w:ascii="(normal text)" w:hAnsi="(normal text)"/>
          <w:sz w:val="28"/>
          <w:szCs w:val="28"/>
          <w:rtl/>
        </w:rPr>
        <w:t xml:space="preserve"> </w:t>
      </w:r>
      <w:r w:rsidRPr="00554E56">
        <w:rPr>
          <w:sz w:val="28"/>
          <w:szCs w:val="28"/>
        </w:rPr>
        <w:sym w:font="HQPB4" w:char="F0F6"/>
      </w:r>
      <w:r w:rsidRPr="00554E56">
        <w:rPr>
          <w:sz w:val="28"/>
          <w:szCs w:val="28"/>
        </w:rPr>
        <w:sym w:font="HQPB2" w:char="F04E"/>
      </w:r>
      <w:r w:rsidRPr="00554E56">
        <w:rPr>
          <w:sz w:val="28"/>
          <w:szCs w:val="28"/>
        </w:rPr>
        <w:sym w:font="HQPB4" w:char="F0E4"/>
      </w:r>
      <w:r w:rsidRPr="00554E56">
        <w:rPr>
          <w:sz w:val="28"/>
          <w:szCs w:val="28"/>
        </w:rPr>
        <w:sym w:font="HQPB2" w:char="F02E"/>
      </w:r>
      <w:r w:rsidRPr="00554E56">
        <w:rPr>
          <w:sz w:val="28"/>
          <w:szCs w:val="28"/>
        </w:rPr>
        <w:sym w:font="HQPB4" w:char="F0E4"/>
      </w:r>
      <w:r w:rsidRPr="00554E56">
        <w:rPr>
          <w:sz w:val="28"/>
          <w:szCs w:val="28"/>
        </w:rPr>
        <w:sym w:font="HQPB2" w:char="F074"/>
      </w:r>
      <w:r w:rsidRPr="00554E56">
        <w:rPr>
          <w:sz w:val="28"/>
          <w:szCs w:val="28"/>
        </w:rPr>
        <w:sym w:font="HQPB5" w:char="F021"/>
      </w:r>
      <w:r w:rsidRPr="00554E56">
        <w:rPr>
          <w:sz w:val="28"/>
          <w:szCs w:val="28"/>
        </w:rPr>
        <w:sym w:font="HQPB1" w:char="F024"/>
      </w:r>
      <w:r w:rsidRPr="00554E56">
        <w:rPr>
          <w:sz w:val="28"/>
          <w:szCs w:val="28"/>
        </w:rPr>
        <w:sym w:font="HQPB5" w:char="F06F"/>
      </w:r>
      <w:r w:rsidRPr="00554E56">
        <w:rPr>
          <w:sz w:val="28"/>
          <w:szCs w:val="28"/>
        </w:rPr>
        <w:sym w:font="HQPB2" w:char="F059"/>
      </w:r>
      <w:r w:rsidRPr="00554E56">
        <w:rPr>
          <w:sz w:val="28"/>
          <w:szCs w:val="28"/>
        </w:rPr>
        <w:sym w:font="HQPB4" w:char="F0F6"/>
      </w:r>
      <w:r w:rsidRPr="00554E56">
        <w:rPr>
          <w:sz w:val="28"/>
          <w:szCs w:val="28"/>
        </w:rPr>
        <w:sym w:font="HQPB1" w:char="F02F"/>
      </w:r>
      <w:r w:rsidRPr="00554E56">
        <w:rPr>
          <w:sz w:val="28"/>
          <w:szCs w:val="28"/>
        </w:rPr>
        <w:sym w:font="HQPB5" w:char="F072"/>
      </w:r>
      <w:r w:rsidRPr="00554E56">
        <w:rPr>
          <w:sz w:val="28"/>
          <w:szCs w:val="28"/>
        </w:rPr>
        <w:sym w:font="HQPB1" w:char="F026"/>
      </w:r>
      <w:r w:rsidRPr="00554E56">
        <w:rPr>
          <w:sz w:val="28"/>
          <w:szCs w:val="28"/>
        </w:rPr>
        <w:sym w:font="HQPB5" w:char="F075"/>
      </w:r>
      <w:r w:rsidRPr="00554E56">
        <w:rPr>
          <w:sz w:val="28"/>
          <w:szCs w:val="28"/>
        </w:rPr>
        <w:sym w:font="HQPB2" w:char="F072"/>
      </w:r>
      <w:r w:rsidRPr="00554E56">
        <w:rPr>
          <w:rFonts w:ascii="(normal text)" w:hAnsi="(normal text)"/>
          <w:sz w:val="28"/>
          <w:szCs w:val="28"/>
          <w:rtl/>
        </w:rPr>
        <w:t xml:space="preserve"> </w:t>
      </w:r>
      <w:r w:rsidRPr="00554E56">
        <w:rPr>
          <w:sz w:val="28"/>
          <w:szCs w:val="28"/>
        </w:rPr>
        <w:sym w:font="HQPB5" w:char="F09F"/>
      </w:r>
      <w:r w:rsidRPr="00554E56">
        <w:rPr>
          <w:sz w:val="28"/>
          <w:szCs w:val="28"/>
        </w:rPr>
        <w:sym w:font="HQPB2" w:char="F077"/>
      </w:r>
      <w:r w:rsidRPr="00554E56">
        <w:rPr>
          <w:rFonts w:ascii="(normal text)" w:hAnsi="(normal text)"/>
          <w:sz w:val="28"/>
          <w:szCs w:val="28"/>
          <w:rtl/>
        </w:rPr>
        <w:t xml:space="preserve"> </w:t>
      </w:r>
      <w:r w:rsidRPr="00554E56">
        <w:rPr>
          <w:sz w:val="28"/>
          <w:szCs w:val="28"/>
        </w:rPr>
        <w:sym w:font="HQPB5" w:char="F074"/>
      </w:r>
      <w:r w:rsidRPr="00554E56">
        <w:rPr>
          <w:sz w:val="28"/>
          <w:szCs w:val="28"/>
        </w:rPr>
        <w:sym w:font="HQPB2" w:char="F062"/>
      </w:r>
      <w:r w:rsidRPr="00554E56">
        <w:rPr>
          <w:sz w:val="28"/>
          <w:szCs w:val="28"/>
        </w:rPr>
        <w:sym w:font="HQPB2" w:char="F072"/>
      </w:r>
      <w:r w:rsidRPr="00554E56">
        <w:rPr>
          <w:sz w:val="28"/>
          <w:szCs w:val="28"/>
        </w:rPr>
        <w:sym w:font="HQPB4" w:char="F0E2"/>
      </w:r>
      <w:r w:rsidRPr="00554E56">
        <w:rPr>
          <w:sz w:val="28"/>
          <w:szCs w:val="28"/>
        </w:rPr>
        <w:sym w:font="HQPB1" w:char="F091"/>
      </w:r>
      <w:r w:rsidRPr="00554E56">
        <w:rPr>
          <w:sz w:val="28"/>
          <w:szCs w:val="28"/>
        </w:rPr>
        <w:sym w:font="HQPB4" w:char="F0F4"/>
      </w:r>
      <w:r w:rsidRPr="00554E56">
        <w:rPr>
          <w:sz w:val="28"/>
          <w:szCs w:val="28"/>
        </w:rPr>
        <w:sym w:font="HQPB1" w:char="F089"/>
      </w:r>
      <w:r w:rsidRPr="00554E56">
        <w:rPr>
          <w:sz w:val="28"/>
          <w:szCs w:val="28"/>
        </w:rPr>
        <w:sym w:font="HQPB5" w:char="F073"/>
      </w:r>
      <w:r w:rsidRPr="00554E56">
        <w:rPr>
          <w:sz w:val="28"/>
          <w:szCs w:val="28"/>
        </w:rPr>
        <w:sym w:font="HQPB1" w:char="F03F"/>
      </w:r>
      <w:r w:rsidRPr="00554E56">
        <w:rPr>
          <w:rFonts w:ascii="(normal text)" w:hAnsi="(normal text)"/>
          <w:sz w:val="28"/>
          <w:szCs w:val="28"/>
          <w:rtl/>
        </w:rPr>
        <w:t xml:space="preserve"> </w:t>
      </w:r>
      <w:r w:rsidRPr="00554E56">
        <w:rPr>
          <w:sz w:val="28"/>
          <w:szCs w:val="28"/>
        </w:rPr>
        <w:sym w:font="HQPB4" w:char="F0F6"/>
      </w:r>
      <w:r w:rsidRPr="00554E56">
        <w:rPr>
          <w:sz w:val="28"/>
          <w:szCs w:val="28"/>
        </w:rPr>
        <w:sym w:font="HQPB2" w:char="F04E"/>
      </w:r>
      <w:r w:rsidRPr="00554E56">
        <w:rPr>
          <w:sz w:val="28"/>
          <w:szCs w:val="28"/>
        </w:rPr>
        <w:sym w:font="HQPB4" w:char="F0DF"/>
      </w:r>
      <w:r w:rsidRPr="00554E56">
        <w:rPr>
          <w:sz w:val="28"/>
          <w:szCs w:val="28"/>
        </w:rPr>
        <w:sym w:font="HQPB2" w:char="F067"/>
      </w:r>
      <w:r w:rsidRPr="00554E56">
        <w:rPr>
          <w:sz w:val="28"/>
          <w:szCs w:val="28"/>
        </w:rPr>
        <w:sym w:font="HQPB4" w:char="F095"/>
      </w:r>
      <w:r w:rsidRPr="00554E56">
        <w:rPr>
          <w:sz w:val="28"/>
          <w:szCs w:val="28"/>
        </w:rPr>
        <w:sym w:font="HQPB2" w:char="F083"/>
      </w:r>
      <w:r w:rsidRPr="00554E56">
        <w:rPr>
          <w:sz w:val="28"/>
          <w:szCs w:val="28"/>
        </w:rPr>
        <w:sym w:font="HQPB5" w:char="F072"/>
      </w:r>
      <w:r w:rsidRPr="00554E56">
        <w:rPr>
          <w:sz w:val="28"/>
          <w:szCs w:val="28"/>
        </w:rPr>
        <w:sym w:font="HQPB1" w:char="F026"/>
      </w:r>
      <w:r w:rsidRPr="00554E56">
        <w:rPr>
          <w:rFonts w:ascii="(normal text)" w:hAnsi="(normal text)"/>
          <w:sz w:val="28"/>
          <w:szCs w:val="28"/>
          <w:rtl/>
        </w:rPr>
        <w:t xml:space="preserve"> </w:t>
      </w:r>
      <w:r w:rsidRPr="00554E56">
        <w:rPr>
          <w:sz w:val="28"/>
          <w:szCs w:val="28"/>
        </w:rPr>
        <w:sym w:font="HQPB4" w:char="F0DC"/>
      </w:r>
      <w:r w:rsidRPr="00554E56">
        <w:rPr>
          <w:sz w:val="28"/>
          <w:szCs w:val="28"/>
        </w:rPr>
        <w:sym w:font="HQPB1" w:char="F03E"/>
      </w:r>
      <w:r w:rsidRPr="00554E56">
        <w:rPr>
          <w:sz w:val="28"/>
          <w:szCs w:val="28"/>
        </w:rPr>
        <w:sym w:font="HQPB5" w:char="F074"/>
      </w:r>
      <w:r w:rsidRPr="00554E56">
        <w:rPr>
          <w:sz w:val="28"/>
          <w:szCs w:val="28"/>
        </w:rPr>
        <w:sym w:font="HQPB1" w:char="F08D"/>
      </w:r>
      <w:r w:rsidRPr="00554E56">
        <w:rPr>
          <w:sz w:val="28"/>
          <w:szCs w:val="28"/>
        </w:rPr>
        <w:sym w:font="HQPB4" w:char="F0F8"/>
      </w:r>
      <w:r w:rsidRPr="00554E56">
        <w:rPr>
          <w:sz w:val="28"/>
          <w:szCs w:val="28"/>
        </w:rPr>
        <w:sym w:font="HQPB2" w:char="F025"/>
      </w:r>
      <w:r w:rsidRPr="00554E56">
        <w:rPr>
          <w:sz w:val="28"/>
          <w:szCs w:val="28"/>
        </w:rPr>
        <w:sym w:font="HQPB5" w:char="F072"/>
      </w:r>
      <w:r w:rsidRPr="00554E56">
        <w:rPr>
          <w:sz w:val="28"/>
          <w:szCs w:val="28"/>
        </w:rPr>
        <w:sym w:font="HQPB1" w:char="F026"/>
      </w:r>
      <w:r w:rsidRPr="00554E56">
        <w:rPr>
          <w:rFonts w:ascii="(normal text)" w:hAnsi="(normal text)"/>
          <w:sz w:val="28"/>
          <w:szCs w:val="28"/>
          <w:rtl/>
        </w:rPr>
        <w:t xml:space="preserve"> </w:t>
      </w:r>
      <w:r w:rsidRPr="00554E56">
        <w:rPr>
          <w:sz w:val="28"/>
          <w:szCs w:val="28"/>
        </w:rPr>
        <w:sym w:font="HQPB4" w:char="F0F6"/>
      </w:r>
      <w:r w:rsidRPr="00554E56">
        <w:rPr>
          <w:sz w:val="28"/>
          <w:szCs w:val="28"/>
        </w:rPr>
        <w:sym w:font="HQPB3" w:char="F02F"/>
      </w:r>
      <w:r w:rsidRPr="00554E56">
        <w:rPr>
          <w:sz w:val="28"/>
          <w:szCs w:val="28"/>
        </w:rPr>
        <w:sym w:font="HQPB4" w:char="F0E4"/>
      </w:r>
      <w:r w:rsidRPr="00554E56">
        <w:rPr>
          <w:sz w:val="28"/>
          <w:szCs w:val="28"/>
        </w:rPr>
        <w:sym w:font="HQPB2" w:char="F033"/>
      </w:r>
      <w:r w:rsidRPr="00554E56">
        <w:rPr>
          <w:sz w:val="28"/>
          <w:szCs w:val="28"/>
        </w:rPr>
        <w:sym w:font="HQPB5" w:char="F073"/>
      </w:r>
      <w:r w:rsidRPr="00554E56">
        <w:rPr>
          <w:sz w:val="28"/>
          <w:szCs w:val="28"/>
        </w:rPr>
        <w:sym w:font="HQPB2" w:char="F039"/>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4" w:char="F059"/>
      </w:r>
      <w:r w:rsidRPr="00554E56">
        <w:rPr>
          <w:sz w:val="28"/>
          <w:szCs w:val="28"/>
        </w:rPr>
        <w:sym w:font="HQPB1" w:char="F0E8"/>
      </w:r>
      <w:r w:rsidRPr="00554E56">
        <w:rPr>
          <w:sz w:val="28"/>
          <w:szCs w:val="28"/>
        </w:rPr>
        <w:sym w:font="HQPB4" w:char="F0F8"/>
      </w:r>
      <w:r w:rsidRPr="00554E56">
        <w:rPr>
          <w:sz w:val="28"/>
          <w:szCs w:val="28"/>
        </w:rPr>
        <w:sym w:font="HQPB1" w:char="F0FF"/>
      </w:r>
      <w:r w:rsidRPr="00554E56">
        <w:rPr>
          <w:sz w:val="28"/>
          <w:szCs w:val="28"/>
        </w:rPr>
        <w:sym w:font="HQPB5" w:char="F074"/>
      </w:r>
      <w:r w:rsidRPr="00554E56">
        <w:rPr>
          <w:sz w:val="28"/>
          <w:szCs w:val="28"/>
        </w:rPr>
        <w:sym w:font="HQPB2" w:char="F052"/>
      </w:r>
      <w:r w:rsidRPr="00554E56">
        <w:rPr>
          <w:rFonts w:ascii="(normal text)" w:hAnsi="(normal text)"/>
          <w:sz w:val="28"/>
          <w:szCs w:val="28"/>
          <w:rtl/>
        </w:rPr>
        <w:t xml:space="preserve"> </w:t>
      </w:r>
      <w:r w:rsidRPr="00554E56">
        <w:rPr>
          <w:sz w:val="28"/>
          <w:szCs w:val="28"/>
        </w:rPr>
        <w:sym w:font="HQPB4" w:char="F034"/>
      </w:r>
      <w:r w:rsidRPr="00554E56">
        <w:rPr>
          <w:rFonts w:ascii="(normal text)" w:hAnsi="(normal text)"/>
          <w:sz w:val="28"/>
          <w:szCs w:val="28"/>
          <w:rtl/>
        </w:rPr>
        <w:t xml:space="preserve"> </w:t>
      </w:r>
      <w:r w:rsidRPr="00554E56">
        <w:rPr>
          <w:sz w:val="28"/>
          <w:szCs w:val="28"/>
        </w:rPr>
        <w:sym w:font="HQPB4" w:char="F05A"/>
      </w:r>
      <w:r w:rsidRPr="00554E56">
        <w:rPr>
          <w:sz w:val="28"/>
          <w:szCs w:val="28"/>
        </w:rPr>
        <w:sym w:font="HQPB2" w:char="F070"/>
      </w:r>
      <w:r w:rsidRPr="00554E56">
        <w:rPr>
          <w:sz w:val="28"/>
          <w:szCs w:val="28"/>
        </w:rPr>
        <w:sym w:font="HQPB5" w:char="F09F"/>
      </w:r>
      <w:r w:rsidRPr="00554E56">
        <w:rPr>
          <w:sz w:val="28"/>
          <w:szCs w:val="28"/>
        </w:rPr>
        <w:sym w:font="HQPB1" w:char="F0D2"/>
      </w:r>
      <w:r w:rsidRPr="00554E56">
        <w:rPr>
          <w:sz w:val="28"/>
          <w:szCs w:val="28"/>
        </w:rPr>
        <w:sym w:font="HQPB2" w:char="F083"/>
      </w:r>
      <w:r w:rsidRPr="00554E56">
        <w:rPr>
          <w:sz w:val="28"/>
          <w:szCs w:val="28"/>
        </w:rPr>
        <w:sym w:font="HQPB4" w:char="F0CC"/>
      </w:r>
      <w:r w:rsidRPr="00554E56">
        <w:rPr>
          <w:sz w:val="28"/>
          <w:szCs w:val="28"/>
        </w:rPr>
        <w:sym w:font="HQPB1" w:char="F08D"/>
      </w:r>
      <w:r w:rsidRPr="00554E56">
        <w:rPr>
          <w:sz w:val="28"/>
          <w:szCs w:val="28"/>
        </w:rPr>
        <w:sym w:font="HQPB5" w:char="F073"/>
      </w:r>
      <w:r w:rsidRPr="00554E56">
        <w:rPr>
          <w:sz w:val="28"/>
          <w:szCs w:val="28"/>
        </w:rPr>
        <w:sym w:font="HQPB1" w:char="F0F9"/>
      </w:r>
      <w:r w:rsidRPr="00554E56">
        <w:rPr>
          <w:rFonts w:ascii="(normal text)" w:hAnsi="(normal text)"/>
          <w:sz w:val="28"/>
          <w:szCs w:val="28"/>
          <w:rtl/>
        </w:rPr>
        <w:t xml:space="preserve"> </w:t>
      </w:r>
      <w:r w:rsidRPr="00554E56">
        <w:rPr>
          <w:sz w:val="28"/>
          <w:szCs w:val="28"/>
        </w:rPr>
        <w:sym w:font="HQPB5" w:char="F09A"/>
      </w:r>
      <w:r w:rsidRPr="00554E56">
        <w:rPr>
          <w:sz w:val="28"/>
          <w:szCs w:val="28"/>
        </w:rPr>
        <w:sym w:font="HQPB2" w:char="F0C6"/>
      </w:r>
      <w:r w:rsidRPr="00554E56">
        <w:rPr>
          <w:sz w:val="28"/>
          <w:szCs w:val="28"/>
        </w:rPr>
        <w:sym w:font="HQPB4" w:char="F0CF"/>
      </w:r>
      <w:r w:rsidRPr="00554E56">
        <w:rPr>
          <w:sz w:val="28"/>
          <w:szCs w:val="28"/>
        </w:rPr>
        <w:sym w:font="HQPB4" w:char="F069"/>
      </w:r>
      <w:r w:rsidRPr="00554E56">
        <w:rPr>
          <w:sz w:val="28"/>
          <w:szCs w:val="28"/>
        </w:rPr>
        <w:sym w:font="HQPB2" w:char="F042"/>
      </w:r>
      <w:r w:rsidRPr="00554E56">
        <w:rPr>
          <w:rFonts w:ascii="(normal text)" w:hAnsi="(normal text)"/>
          <w:sz w:val="28"/>
          <w:szCs w:val="28"/>
          <w:rtl/>
        </w:rPr>
        <w:t xml:space="preserve"> </w:t>
      </w:r>
      <w:r w:rsidRPr="00554E56">
        <w:rPr>
          <w:sz w:val="28"/>
          <w:szCs w:val="28"/>
        </w:rPr>
        <w:sym w:font="HQPB5" w:char="F0AB"/>
      </w:r>
      <w:r w:rsidRPr="00554E56">
        <w:rPr>
          <w:sz w:val="28"/>
          <w:szCs w:val="28"/>
        </w:rPr>
        <w:sym w:font="HQPB1" w:char="F023"/>
      </w:r>
      <w:r w:rsidRPr="00554E56">
        <w:rPr>
          <w:rFonts w:ascii="Adobe نسخ Medium" w:hAnsi="Adobe نسخ Medium" w:cs="Adobe نسخ Medium"/>
          <w:sz w:val="28"/>
          <w:szCs w:val="28"/>
          <w:rtl/>
        </w:rPr>
        <w:t>لله</w:t>
      </w:r>
      <w:r>
        <w:rPr>
          <w:rFonts w:ascii="Adobe نسخ Medium" w:hAnsi="Adobe نسخ Medium" w:cs="Adobe نسخ Medium" w:hint="cs"/>
          <w:sz w:val="28"/>
          <w:szCs w:val="28"/>
          <w:rtl/>
        </w:rPr>
        <w:t>ِ</w:t>
      </w:r>
      <w:r w:rsidRPr="00554E56">
        <w:rPr>
          <w:rFonts w:ascii="(normal text)" w:hAnsi="(normal text)"/>
          <w:sz w:val="28"/>
          <w:szCs w:val="28"/>
          <w:rtl/>
        </w:rPr>
        <w:t xml:space="preserve"> </w:t>
      </w:r>
      <w:r w:rsidRPr="00554E56">
        <w:rPr>
          <w:sz w:val="28"/>
          <w:szCs w:val="28"/>
        </w:rPr>
        <w:sym w:font="HQPB4" w:char="F033"/>
      </w:r>
      <w:r w:rsidRPr="00554E56">
        <w:rPr>
          <w:rFonts w:ascii="(normal text)" w:hAnsi="(normal text)"/>
          <w:sz w:val="28"/>
          <w:szCs w:val="28"/>
          <w:rtl/>
        </w:rPr>
        <w:t xml:space="preserve"> </w:t>
      </w:r>
      <w:r w:rsidRPr="00554E56">
        <w:rPr>
          <w:sz w:val="28"/>
          <w:szCs w:val="28"/>
        </w:rPr>
        <w:sym w:font="HQPB4" w:char="F0A8"/>
      </w:r>
      <w:r w:rsidRPr="00554E56">
        <w:rPr>
          <w:sz w:val="28"/>
          <w:szCs w:val="28"/>
        </w:rPr>
        <w:sym w:font="HQPB2" w:char="F062"/>
      </w:r>
      <w:r w:rsidRPr="00554E56">
        <w:rPr>
          <w:sz w:val="28"/>
          <w:szCs w:val="28"/>
        </w:rPr>
        <w:sym w:font="HQPB4" w:char="F0CE"/>
      </w:r>
      <w:r w:rsidRPr="00554E56">
        <w:rPr>
          <w:sz w:val="28"/>
          <w:szCs w:val="28"/>
        </w:rPr>
        <w:sym w:font="HQPB1" w:char="F029"/>
      </w:r>
      <w:r w:rsidRPr="00554E56">
        <w:rPr>
          <w:rFonts w:ascii="(normal text)" w:hAnsi="(normal text)"/>
          <w:sz w:val="28"/>
          <w:szCs w:val="28"/>
          <w:rtl/>
        </w:rPr>
        <w:t xml:space="preserve"> </w:t>
      </w:r>
      <w:r w:rsidRPr="00554E56">
        <w:rPr>
          <w:sz w:val="28"/>
          <w:szCs w:val="28"/>
        </w:rPr>
        <w:sym w:font="HQPB1" w:char="F023"/>
      </w:r>
      <w:r w:rsidRPr="00554E56">
        <w:rPr>
          <w:rFonts w:ascii="Adobe نسخ Medium" w:hAnsi="Adobe نسخ Medium" w:cs="Adobe نسخ Medium"/>
          <w:sz w:val="28"/>
          <w:szCs w:val="28"/>
          <w:rtl/>
        </w:rPr>
        <w:t>لله</w:t>
      </w:r>
      <w:r>
        <w:rPr>
          <w:rFonts w:ascii="Adobe نسخ Medium" w:hAnsi="Adobe نسخ Medium" w:cs="Adobe نسخ Medium" w:hint="cs"/>
          <w:sz w:val="28"/>
          <w:szCs w:val="28"/>
          <w:rtl/>
        </w:rPr>
        <w:t>َ</w:t>
      </w:r>
      <w:r w:rsidRPr="00554E56">
        <w:rPr>
          <w:rFonts w:ascii="(normal text)" w:hAnsi="(normal text)"/>
          <w:sz w:val="28"/>
          <w:szCs w:val="28"/>
          <w:rtl/>
        </w:rPr>
        <w:t xml:space="preserve"> </w:t>
      </w:r>
      <w:r w:rsidRPr="00554E56">
        <w:rPr>
          <w:sz w:val="28"/>
          <w:szCs w:val="28"/>
        </w:rPr>
        <w:sym w:font="HQPB5" w:char="F074"/>
      </w:r>
      <w:r w:rsidRPr="00554E56">
        <w:rPr>
          <w:sz w:val="28"/>
          <w:szCs w:val="28"/>
        </w:rPr>
        <w:sym w:font="HQPB2" w:char="F062"/>
      </w:r>
      <w:r w:rsidRPr="00554E56">
        <w:rPr>
          <w:sz w:val="28"/>
          <w:szCs w:val="28"/>
        </w:rPr>
        <w:sym w:font="HQPB1" w:char="F025"/>
      </w:r>
      <w:r w:rsidRPr="00554E56">
        <w:rPr>
          <w:sz w:val="28"/>
          <w:szCs w:val="28"/>
        </w:rPr>
        <w:sym w:font="HQPB5" w:char="F078"/>
      </w:r>
      <w:r w:rsidRPr="00554E56">
        <w:rPr>
          <w:sz w:val="28"/>
          <w:szCs w:val="28"/>
        </w:rPr>
        <w:sym w:font="HQPB2" w:char="F02E"/>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4" w:char="F0B8"/>
      </w:r>
      <w:r w:rsidRPr="00554E56">
        <w:rPr>
          <w:sz w:val="28"/>
          <w:szCs w:val="28"/>
        </w:rPr>
        <w:sym w:font="HQPB2" w:char="F04A"/>
      </w:r>
      <w:r w:rsidRPr="00554E56">
        <w:rPr>
          <w:sz w:val="28"/>
          <w:szCs w:val="28"/>
        </w:rPr>
        <w:sym w:font="HQPB2" w:char="F08A"/>
      </w:r>
      <w:r w:rsidRPr="00554E56">
        <w:rPr>
          <w:sz w:val="28"/>
          <w:szCs w:val="28"/>
        </w:rPr>
        <w:sym w:font="HQPB4" w:char="F0CE"/>
      </w:r>
      <w:r w:rsidRPr="00554E56">
        <w:rPr>
          <w:sz w:val="28"/>
          <w:szCs w:val="28"/>
        </w:rPr>
        <w:sym w:font="HQPB2" w:char="F03D"/>
      </w:r>
      <w:r w:rsidRPr="00554E56">
        <w:rPr>
          <w:sz w:val="28"/>
          <w:szCs w:val="28"/>
        </w:rPr>
        <w:sym w:font="HQPB5" w:char="F074"/>
      </w:r>
      <w:r w:rsidRPr="00554E56">
        <w:rPr>
          <w:sz w:val="28"/>
          <w:szCs w:val="28"/>
        </w:rPr>
        <w:sym w:font="HQPB1" w:char="F0E3"/>
      </w:r>
      <w:r w:rsidRPr="00554E56">
        <w:rPr>
          <w:rFonts w:ascii="(normal text)" w:hAnsi="(normal text)"/>
          <w:sz w:val="28"/>
          <w:szCs w:val="28"/>
          <w:rtl/>
        </w:rPr>
        <w:t xml:space="preserve"> </w:t>
      </w:r>
      <w:r w:rsidRPr="00554E56">
        <w:rPr>
          <w:sz w:val="28"/>
          <w:szCs w:val="28"/>
        </w:rPr>
        <w:sym w:font="HQPB1" w:char="F024"/>
      </w:r>
      <w:r w:rsidRPr="00554E56">
        <w:rPr>
          <w:sz w:val="28"/>
          <w:szCs w:val="28"/>
        </w:rPr>
        <w:sym w:font="HQPB4" w:char="F056"/>
      </w:r>
      <w:r w:rsidRPr="00554E56">
        <w:rPr>
          <w:sz w:val="28"/>
          <w:szCs w:val="28"/>
        </w:rPr>
        <w:sym w:font="HQPB2" w:char="F04A"/>
      </w:r>
      <w:r w:rsidRPr="00554E56">
        <w:rPr>
          <w:sz w:val="28"/>
          <w:szCs w:val="28"/>
        </w:rPr>
        <w:sym w:font="HQPB2" w:char="F08A"/>
      </w:r>
      <w:r w:rsidRPr="00554E56">
        <w:rPr>
          <w:sz w:val="28"/>
          <w:szCs w:val="28"/>
        </w:rPr>
        <w:sym w:font="HQPB4" w:char="F0C5"/>
      </w:r>
      <w:r w:rsidRPr="00554E56">
        <w:rPr>
          <w:sz w:val="28"/>
          <w:szCs w:val="28"/>
        </w:rPr>
        <w:sym w:font="HQPB2" w:char="F033"/>
      </w:r>
      <w:r w:rsidRPr="00554E56">
        <w:rPr>
          <w:sz w:val="28"/>
          <w:szCs w:val="28"/>
        </w:rPr>
        <w:sym w:font="HQPB5" w:char="F079"/>
      </w:r>
      <w:r w:rsidRPr="00554E56">
        <w:rPr>
          <w:sz w:val="28"/>
          <w:szCs w:val="28"/>
        </w:rPr>
        <w:sym w:font="HQPB1" w:char="F06D"/>
      </w:r>
      <w:r w:rsidRPr="00554E56">
        <w:rPr>
          <w:rFonts w:ascii="(normal text)" w:hAnsi="(normal text)"/>
          <w:sz w:val="28"/>
          <w:szCs w:val="28"/>
          <w:rtl/>
        </w:rPr>
        <w:t xml:space="preserve"> </w:t>
      </w:r>
      <w:r w:rsidRPr="00554E56">
        <w:rPr>
          <w:sz w:val="28"/>
          <w:szCs w:val="28"/>
        </w:rPr>
        <w:sym w:font="HQPB2" w:char="F0C7"/>
      </w:r>
      <w:r w:rsidRPr="00554E56">
        <w:rPr>
          <w:sz w:val="28"/>
          <w:szCs w:val="28"/>
        </w:rPr>
        <w:sym w:font="HQPB2" w:char="F0CA"/>
      </w:r>
      <w:r w:rsidRPr="00554E56">
        <w:rPr>
          <w:sz w:val="28"/>
          <w:szCs w:val="28"/>
        </w:rPr>
        <w:sym w:font="HQPB2" w:char="F0CA"/>
      </w:r>
      <w:r w:rsidRPr="00554E56">
        <w:rPr>
          <w:sz w:val="28"/>
          <w:szCs w:val="28"/>
        </w:rPr>
        <w:sym w:font="HQPB2" w:char="F0C8"/>
      </w:r>
      <w:r w:rsidRPr="00554E56">
        <w:rPr>
          <w:rFonts w:ascii="(normal text)" w:hAnsi="(normal text)"/>
          <w:sz w:val="28"/>
          <w:szCs w:val="28"/>
          <w:rtl/>
        </w:rPr>
        <w:t xml:space="preserve">   </w:t>
      </w:r>
    </w:p>
    <w:p w:rsidR="00343B61" w:rsidRDefault="00343B61" w:rsidP="00343B61">
      <w:pPr>
        <w:autoSpaceDE w:val="0"/>
        <w:autoSpaceDN w:val="0"/>
        <w:adjustRightInd w:val="0"/>
        <w:spacing w:after="0" w:line="240" w:lineRule="auto"/>
        <w:ind w:left="990"/>
        <w:jc w:val="both"/>
        <w:rPr>
          <w:rFonts w:asciiTheme="majorBidi" w:hAnsiTheme="majorBidi" w:cstheme="majorBidi"/>
          <w:sz w:val="24"/>
          <w:szCs w:val="24"/>
        </w:rPr>
      </w:pPr>
      <w:r w:rsidRPr="002D0F8F">
        <w:rPr>
          <w:rFonts w:ascii="(normal text)" w:hAnsi="(normal text)"/>
          <w:sz w:val="24"/>
          <w:szCs w:val="24"/>
        </w:rPr>
        <w:t>Artinya:</w:t>
      </w:r>
      <w:r w:rsidRPr="002D0F8F">
        <w:rPr>
          <w:rFonts w:asciiTheme="majorBidi" w:hAnsiTheme="majorBidi" w:cstheme="majorBidi"/>
          <w:i/>
          <w:iCs/>
          <w:sz w:val="24"/>
          <w:szCs w:val="24"/>
        </w:rPr>
        <w:t>“ Allah mensyari'atkan bagimu tentang (pembagian pusaka untuk) anak-anakmu. Yaitu : bahagian seorang anak lelaki sama dengan bagahi</w:t>
      </w:r>
      <w:r>
        <w:rPr>
          <w:rFonts w:asciiTheme="majorBidi" w:hAnsiTheme="majorBidi" w:cstheme="majorBidi"/>
          <w:i/>
          <w:iCs/>
          <w:sz w:val="24"/>
          <w:szCs w:val="24"/>
        </w:rPr>
        <w:t>an dua orang anak perempuan</w:t>
      </w:r>
      <w:r w:rsidRPr="002D0F8F">
        <w:rPr>
          <w:rFonts w:asciiTheme="majorBidi" w:hAnsiTheme="majorBidi" w:cstheme="majorBidi"/>
          <w:i/>
          <w:iCs/>
          <w:sz w:val="24"/>
          <w:szCs w:val="24"/>
        </w:rPr>
        <w:t xml:space="preserve">; dan jika anak itu semuanya perempuan lebih dari </w:t>
      </w:r>
      <w:r>
        <w:rPr>
          <w:rFonts w:asciiTheme="majorBidi" w:hAnsiTheme="majorBidi" w:cstheme="majorBidi"/>
          <w:i/>
          <w:iCs/>
          <w:sz w:val="24"/>
          <w:szCs w:val="24"/>
        </w:rPr>
        <w:t>dua</w:t>
      </w:r>
      <w:r w:rsidRPr="002D0F8F">
        <w:rPr>
          <w:rFonts w:asciiTheme="majorBidi" w:hAnsiTheme="majorBidi" w:cstheme="majorBidi"/>
          <w:i/>
          <w:iCs/>
          <w:sz w:val="24"/>
          <w:szCs w:val="24"/>
        </w:rPr>
        <w:t xml:space="preserve">, Maka bagi mereka dua pertiga </w:t>
      </w:r>
      <w:r w:rsidRPr="002D0F8F">
        <w:rPr>
          <w:rFonts w:asciiTheme="majorBidi" w:hAnsiTheme="majorBidi" w:cstheme="majorBidi"/>
          <w:i/>
          <w:iCs/>
          <w:sz w:val="24"/>
          <w:szCs w:val="24"/>
        </w:rPr>
        <w:lastRenderedPageBreak/>
        <w:t>dari harta yang ditinggalkan; jika anak perempuan itu seorang saja, Maka ia memperoleh separo harta. dan untuk dua orang ibu-bapa, bagi masing-masingnya seperenam dari harta yang ditinggalkan, jika yang meninggal itu mempunyai anak; jika orang yang meninggal tidak mempunyai anak dan ia diwarisi oleh ibu-bapanya (saja), Maka ibunya mendapat sepertiga; jika yang meninggal itu mempunyai beberapa saudara, Maka ibunya mendapat seperenam. (Pembagian-pembagian tersebut di atas) sesudah dipenuhi wasiat yang ia buat atau (dan) sesudah dibayar hutangnya. (Tentang) orang tuamu dan anak-anakmu, kamu tidak mengetahui siapa di antara mereka yang lebih dekat (banyak) manfaatnya bagimu. ini adalah ketetapan dari Allah. Sesungguhnya Allah Maha mengetahui lagi Maha Bijaksana”.</w:t>
      </w:r>
      <w:r>
        <w:rPr>
          <w:rFonts w:asciiTheme="majorBidi" w:hAnsiTheme="majorBidi" w:cstheme="majorBidi"/>
          <w:sz w:val="24"/>
          <w:szCs w:val="24"/>
        </w:rPr>
        <w:t>( QS.</w:t>
      </w:r>
      <w:r w:rsidRPr="002D0F8F">
        <w:rPr>
          <w:rFonts w:asciiTheme="majorBidi" w:hAnsiTheme="majorBidi" w:cstheme="majorBidi"/>
          <w:sz w:val="24"/>
          <w:szCs w:val="24"/>
        </w:rPr>
        <w:t xml:space="preserve"> Al-Nisa [4] : 11</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751"/>
      </w:r>
    </w:p>
    <w:p w:rsidR="00343B61" w:rsidRPr="0084475E" w:rsidRDefault="00343B61" w:rsidP="00343B61">
      <w:pPr>
        <w:autoSpaceDE w:val="0"/>
        <w:autoSpaceDN w:val="0"/>
        <w:adjustRightInd w:val="0"/>
        <w:spacing w:after="0" w:line="360" w:lineRule="auto"/>
        <w:jc w:val="both"/>
        <w:rPr>
          <w:rFonts w:ascii="(normal text)" w:hAnsi="(normal text)"/>
          <w:sz w:val="20"/>
        </w:rPr>
      </w:pPr>
    </w:p>
    <w:p w:rsidR="00343B61" w:rsidRDefault="00343B61" w:rsidP="002C0A33">
      <w:pPr>
        <w:pStyle w:val="ListParagraph"/>
        <w:numPr>
          <w:ilvl w:val="0"/>
          <w:numId w:val="48"/>
        </w:numPr>
        <w:autoSpaceDE w:val="0"/>
        <w:autoSpaceDN w:val="0"/>
        <w:adjustRightInd w:val="0"/>
        <w:spacing w:after="0" w:line="360" w:lineRule="auto"/>
        <w:ind w:left="1080" w:hanging="360"/>
        <w:jc w:val="both"/>
        <w:rPr>
          <w:rFonts w:asciiTheme="majorBidi" w:hAnsiTheme="majorBidi" w:cstheme="majorBidi"/>
          <w:sz w:val="24"/>
          <w:szCs w:val="24"/>
        </w:rPr>
      </w:pPr>
      <w:r w:rsidRPr="002D0F8F">
        <w:rPr>
          <w:rFonts w:asciiTheme="majorBidi" w:hAnsiTheme="majorBidi" w:cstheme="majorBidi"/>
          <w:sz w:val="24"/>
          <w:szCs w:val="24"/>
        </w:rPr>
        <w:t>Firman Allah</w:t>
      </w:r>
      <w:r>
        <w:rPr>
          <w:rFonts w:asciiTheme="majorBidi" w:hAnsiTheme="majorBidi" w:cstheme="majorBidi"/>
          <w:sz w:val="24"/>
          <w:szCs w:val="24"/>
        </w:rPr>
        <w:t xml:space="preserve"> SWT</w:t>
      </w:r>
      <w:r w:rsidRPr="002D0F8F">
        <w:rPr>
          <w:rFonts w:asciiTheme="majorBidi" w:hAnsiTheme="majorBidi" w:cstheme="majorBidi"/>
          <w:sz w:val="24"/>
          <w:szCs w:val="24"/>
        </w:rPr>
        <w:t xml:space="preserve"> </w:t>
      </w:r>
      <w:r>
        <w:rPr>
          <w:rFonts w:asciiTheme="majorBidi" w:hAnsiTheme="majorBidi" w:cstheme="majorBidi"/>
          <w:sz w:val="24"/>
          <w:szCs w:val="24"/>
        </w:rPr>
        <w:t>dalam Al-Qur’ān</w:t>
      </w:r>
      <w:r w:rsidRPr="002D0F8F">
        <w:rPr>
          <w:rFonts w:asciiTheme="majorBidi" w:hAnsiTheme="majorBidi" w:cstheme="majorBidi"/>
          <w:sz w:val="24"/>
          <w:szCs w:val="24"/>
        </w:rPr>
        <w:t xml:space="preserve"> Surat Al-Nisa [4] : 1</w:t>
      </w:r>
      <w:r>
        <w:rPr>
          <w:rFonts w:asciiTheme="majorBidi" w:hAnsiTheme="majorBidi" w:cstheme="majorBidi"/>
          <w:sz w:val="24"/>
          <w:szCs w:val="24"/>
        </w:rPr>
        <w:t>4</w:t>
      </w:r>
      <w:r w:rsidRPr="002D0F8F">
        <w:rPr>
          <w:rFonts w:asciiTheme="majorBidi" w:hAnsiTheme="majorBidi" w:cstheme="majorBidi"/>
          <w:sz w:val="24"/>
          <w:szCs w:val="24"/>
        </w:rPr>
        <w:t xml:space="preserve">1 yaitu: </w:t>
      </w:r>
    </w:p>
    <w:p w:rsidR="00343B61" w:rsidRPr="002D0F8F" w:rsidRDefault="00343B61" w:rsidP="00343B61">
      <w:pPr>
        <w:autoSpaceDE w:val="0"/>
        <w:autoSpaceDN w:val="0"/>
        <w:bidi/>
        <w:adjustRightInd w:val="0"/>
        <w:spacing w:after="0" w:line="240" w:lineRule="auto"/>
        <w:jc w:val="both"/>
        <w:rPr>
          <w:rFonts w:ascii="(normal text)" w:hAnsi="(normal text)"/>
          <w:rtl/>
        </w:rPr>
      </w:pPr>
      <w:r w:rsidRPr="00694D97">
        <w:rPr>
          <w:sz w:val="28"/>
          <w:szCs w:val="28"/>
        </w:rPr>
        <w:sym w:font="HQPB4" w:char="F033"/>
      </w:r>
      <w:r w:rsidRPr="00694D97">
        <w:rPr>
          <w:rFonts w:ascii="(normal text)" w:hAnsi="(normal text)"/>
          <w:sz w:val="28"/>
          <w:szCs w:val="28"/>
          <w:rtl/>
        </w:rPr>
        <w:t xml:space="preserve"> </w:t>
      </w:r>
      <w:r w:rsidRPr="00694D97">
        <w:rPr>
          <w:sz w:val="28"/>
          <w:szCs w:val="28"/>
        </w:rPr>
        <w:sym w:font="HQPB2" w:char="F060"/>
      </w:r>
      <w:r w:rsidRPr="00694D97">
        <w:rPr>
          <w:sz w:val="28"/>
          <w:szCs w:val="28"/>
        </w:rPr>
        <w:sym w:font="HQPB5" w:char="F073"/>
      </w:r>
      <w:r w:rsidRPr="00694D97">
        <w:rPr>
          <w:sz w:val="28"/>
          <w:szCs w:val="28"/>
        </w:rPr>
        <w:sym w:font="HQPB2" w:char="F039"/>
      </w:r>
      <w:r w:rsidRPr="00694D97">
        <w:rPr>
          <w:sz w:val="28"/>
          <w:szCs w:val="28"/>
        </w:rPr>
        <w:sym w:font="HQPB5" w:char="F075"/>
      </w:r>
      <w:r w:rsidRPr="00694D97">
        <w:rPr>
          <w:sz w:val="28"/>
          <w:szCs w:val="28"/>
        </w:rPr>
        <w:sym w:font="HQPB2" w:char="F072"/>
      </w:r>
      <w:r w:rsidRPr="00694D97">
        <w:rPr>
          <w:rFonts w:ascii="(normal text)" w:hAnsi="(normal text)"/>
          <w:sz w:val="28"/>
          <w:szCs w:val="28"/>
          <w:rtl/>
        </w:rPr>
        <w:t xml:space="preserve"> </w:t>
      </w:r>
      <w:r w:rsidRPr="00694D97">
        <w:rPr>
          <w:sz w:val="28"/>
          <w:szCs w:val="28"/>
        </w:rPr>
        <w:sym w:font="HQPB5" w:char="F09F"/>
      </w:r>
      <w:r>
        <w:rPr>
          <w:rFonts w:hint="cs"/>
          <w:sz w:val="28"/>
          <w:szCs w:val="28"/>
          <w:rtl/>
        </w:rPr>
        <w:t xml:space="preserve"> </w:t>
      </w:r>
      <w:r w:rsidRPr="00694D97">
        <w:rPr>
          <w:sz w:val="28"/>
          <w:szCs w:val="28"/>
        </w:rPr>
        <w:sym w:font="HQPB2" w:char="F040"/>
      </w:r>
      <w:r w:rsidRPr="00694D97">
        <w:rPr>
          <w:sz w:val="28"/>
          <w:szCs w:val="28"/>
        </w:rPr>
        <w:sym w:font="HQPB5" w:char="F079"/>
      </w:r>
      <w:r w:rsidRPr="00694D97">
        <w:rPr>
          <w:sz w:val="28"/>
          <w:szCs w:val="28"/>
        </w:rPr>
        <w:sym w:font="HQPB1" w:char="F0E8"/>
      </w:r>
      <w:r w:rsidRPr="00694D97">
        <w:rPr>
          <w:sz w:val="28"/>
          <w:szCs w:val="28"/>
        </w:rPr>
        <w:sym w:font="HQPB4" w:char="F0F8"/>
      </w:r>
      <w:r w:rsidRPr="00694D97">
        <w:rPr>
          <w:sz w:val="28"/>
          <w:szCs w:val="28"/>
        </w:rPr>
        <w:sym w:font="HQPB1" w:char="F067"/>
      </w:r>
      <w:r w:rsidRPr="00694D97">
        <w:rPr>
          <w:sz w:val="28"/>
          <w:szCs w:val="28"/>
        </w:rPr>
        <w:sym w:font="HQPB5" w:char="F073"/>
      </w:r>
      <w:r w:rsidRPr="00694D97">
        <w:rPr>
          <w:sz w:val="28"/>
          <w:szCs w:val="28"/>
        </w:rPr>
        <w:sym w:font="HQPB2" w:char="F086"/>
      </w:r>
      <w:r w:rsidRPr="00694D97">
        <w:rPr>
          <w:rFonts w:ascii="(normal text)" w:hAnsi="(normal text)"/>
          <w:sz w:val="28"/>
          <w:szCs w:val="28"/>
          <w:rtl/>
        </w:rPr>
        <w:t xml:space="preserve"> </w:t>
      </w:r>
      <w:r>
        <w:rPr>
          <w:rFonts w:hint="cs"/>
          <w:sz w:val="28"/>
          <w:szCs w:val="28"/>
          <w:rtl/>
        </w:rPr>
        <w:t>ا</w:t>
      </w:r>
      <w:r w:rsidRPr="00554E56">
        <w:rPr>
          <w:rFonts w:ascii="Adobe نسخ Medium" w:hAnsi="Adobe نسخ Medium" w:cs="Adobe نسخ Medium"/>
          <w:sz w:val="28"/>
          <w:szCs w:val="28"/>
          <w:rtl/>
        </w:rPr>
        <w:t>للهُ</w:t>
      </w:r>
      <w:r w:rsidRPr="00694D97">
        <w:rPr>
          <w:rFonts w:ascii="(normal text)" w:hAnsi="(normal text)"/>
          <w:sz w:val="28"/>
          <w:szCs w:val="28"/>
          <w:rtl/>
        </w:rPr>
        <w:t xml:space="preserve"> </w:t>
      </w:r>
      <w:r w:rsidRPr="00694D97">
        <w:rPr>
          <w:sz w:val="28"/>
          <w:szCs w:val="28"/>
        </w:rPr>
        <w:sym w:font="HQPB5" w:char="F074"/>
      </w:r>
      <w:r w:rsidRPr="00694D97">
        <w:rPr>
          <w:sz w:val="28"/>
          <w:szCs w:val="28"/>
        </w:rPr>
        <w:sym w:font="HQPB2" w:char="F0FB"/>
      </w:r>
      <w:r w:rsidRPr="00694D97">
        <w:rPr>
          <w:sz w:val="28"/>
          <w:szCs w:val="28"/>
        </w:rPr>
        <w:sym w:font="HQPB2" w:char="F0EF"/>
      </w:r>
      <w:r w:rsidRPr="00694D97">
        <w:rPr>
          <w:sz w:val="28"/>
          <w:szCs w:val="28"/>
        </w:rPr>
        <w:sym w:font="HQPB4" w:char="F0CC"/>
      </w:r>
      <w:r w:rsidRPr="00694D97">
        <w:rPr>
          <w:sz w:val="28"/>
          <w:szCs w:val="28"/>
        </w:rPr>
        <w:sym w:font="HQPB1" w:char="F08D"/>
      </w:r>
      <w:r w:rsidRPr="00694D97">
        <w:rPr>
          <w:sz w:val="28"/>
          <w:szCs w:val="28"/>
        </w:rPr>
        <w:sym w:font="HQPB4" w:char="F0CF"/>
      </w:r>
      <w:r w:rsidRPr="00694D97">
        <w:rPr>
          <w:sz w:val="28"/>
          <w:szCs w:val="28"/>
        </w:rPr>
        <w:sym w:font="HQPB1" w:char="F0FF"/>
      </w:r>
      <w:r w:rsidRPr="00694D97">
        <w:rPr>
          <w:sz w:val="28"/>
          <w:szCs w:val="28"/>
        </w:rPr>
        <w:sym w:font="HQPB2" w:char="F0BB"/>
      </w:r>
      <w:r w:rsidRPr="00694D97">
        <w:rPr>
          <w:sz w:val="28"/>
          <w:szCs w:val="28"/>
        </w:rPr>
        <w:sym w:font="HQPB5" w:char="F073"/>
      </w:r>
      <w:r w:rsidRPr="00694D97">
        <w:rPr>
          <w:sz w:val="28"/>
          <w:szCs w:val="28"/>
        </w:rPr>
        <w:sym w:font="HQPB2" w:char="F033"/>
      </w:r>
      <w:r w:rsidRPr="00694D97">
        <w:rPr>
          <w:sz w:val="28"/>
          <w:szCs w:val="28"/>
        </w:rPr>
        <w:sym w:font="HQPB4" w:char="F0F9"/>
      </w:r>
      <w:r w:rsidRPr="00694D97">
        <w:rPr>
          <w:sz w:val="28"/>
          <w:szCs w:val="28"/>
        </w:rPr>
        <w:sym w:font="HQPB2" w:char="F03D"/>
      </w:r>
      <w:r w:rsidRPr="00694D97">
        <w:rPr>
          <w:sz w:val="28"/>
          <w:szCs w:val="28"/>
        </w:rPr>
        <w:sym w:font="HQPB4" w:char="F0CF"/>
      </w:r>
      <w:r w:rsidRPr="00694D97">
        <w:rPr>
          <w:sz w:val="28"/>
          <w:szCs w:val="28"/>
        </w:rPr>
        <w:sym w:font="HQPB2" w:char="F039"/>
      </w:r>
      <w:r w:rsidRPr="00694D97">
        <w:rPr>
          <w:rFonts w:ascii="(normal text)" w:hAnsi="(normal text)"/>
          <w:sz w:val="28"/>
          <w:szCs w:val="28"/>
          <w:rtl/>
        </w:rPr>
        <w:t xml:space="preserve"> </w:t>
      </w:r>
      <w:r w:rsidRPr="00694D97">
        <w:rPr>
          <w:sz w:val="28"/>
          <w:szCs w:val="28"/>
        </w:rPr>
        <w:sym w:font="HQPB2" w:char="F092"/>
      </w:r>
      <w:r w:rsidRPr="00694D97">
        <w:rPr>
          <w:sz w:val="28"/>
          <w:szCs w:val="28"/>
        </w:rPr>
        <w:sym w:font="HQPB5" w:char="F06E"/>
      </w:r>
      <w:r w:rsidRPr="00694D97">
        <w:rPr>
          <w:sz w:val="28"/>
          <w:szCs w:val="28"/>
        </w:rPr>
        <w:sym w:font="HQPB2" w:char="F03F"/>
      </w:r>
      <w:r w:rsidRPr="00694D97">
        <w:rPr>
          <w:sz w:val="28"/>
          <w:szCs w:val="28"/>
        </w:rPr>
        <w:sym w:font="HQPB5" w:char="F074"/>
      </w:r>
      <w:r w:rsidRPr="00694D97">
        <w:rPr>
          <w:sz w:val="28"/>
          <w:szCs w:val="28"/>
        </w:rPr>
        <w:sym w:font="HQPB1" w:char="F0E3"/>
      </w:r>
      <w:r w:rsidRPr="00694D97">
        <w:rPr>
          <w:rFonts w:ascii="(normal text)" w:hAnsi="(normal text)"/>
          <w:sz w:val="28"/>
          <w:szCs w:val="28"/>
          <w:rtl/>
        </w:rPr>
        <w:t xml:space="preserve"> </w:t>
      </w:r>
      <w:r w:rsidRPr="00694D97">
        <w:rPr>
          <w:sz w:val="28"/>
          <w:szCs w:val="28"/>
        </w:rPr>
        <w:sym w:font="HQPB5" w:char="F074"/>
      </w:r>
      <w:r w:rsidRPr="00694D97">
        <w:rPr>
          <w:sz w:val="28"/>
          <w:szCs w:val="28"/>
        </w:rPr>
        <w:sym w:font="HQPB2" w:char="F0FB"/>
      </w:r>
      <w:r w:rsidRPr="00694D97">
        <w:rPr>
          <w:sz w:val="28"/>
          <w:szCs w:val="28"/>
        </w:rPr>
        <w:sym w:font="HQPB2" w:char="F0FC"/>
      </w:r>
      <w:r w:rsidRPr="00694D97">
        <w:rPr>
          <w:sz w:val="28"/>
          <w:szCs w:val="28"/>
        </w:rPr>
        <w:sym w:font="HQPB4" w:char="F0CF"/>
      </w:r>
      <w:r w:rsidRPr="00694D97">
        <w:rPr>
          <w:sz w:val="28"/>
          <w:szCs w:val="28"/>
        </w:rPr>
        <w:sym w:font="HQPB2" w:char="F05A"/>
      </w:r>
      <w:r w:rsidRPr="00694D97">
        <w:rPr>
          <w:sz w:val="28"/>
          <w:szCs w:val="28"/>
        </w:rPr>
        <w:sym w:font="HQPB4" w:char="F0CF"/>
      </w:r>
      <w:r w:rsidRPr="00694D97">
        <w:rPr>
          <w:sz w:val="28"/>
          <w:szCs w:val="28"/>
        </w:rPr>
        <w:sym w:font="HQPB2" w:char="F042"/>
      </w:r>
      <w:r w:rsidRPr="00694D97">
        <w:rPr>
          <w:sz w:val="28"/>
          <w:szCs w:val="28"/>
        </w:rPr>
        <w:sym w:font="HQPB4" w:char="F0F7"/>
      </w:r>
      <w:r w:rsidRPr="00694D97">
        <w:rPr>
          <w:sz w:val="28"/>
          <w:szCs w:val="28"/>
        </w:rPr>
        <w:sym w:font="HQPB2" w:char="F073"/>
      </w:r>
      <w:r w:rsidRPr="00694D97">
        <w:rPr>
          <w:sz w:val="28"/>
          <w:szCs w:val="28"/>
        </w:rPr>
        <w:sym w:font="HQPB4" w:char="F0E7"/>
      </w:r>
      <w:r w:rsidRPr="00694D97">
        <w:rPr>
          <w:sz w:val="28"/>
          <w:szCs w:val="28"/>
        </w:rPr>
        <w:sym w:font="HQPB3" w:char="F052"/>
      </w:r>
      <w:r w:rsidRPr="00694D97">
        <w:rPr>
          <w:sz w:val="28"/>
          <w:szCs w:val="28"/>
        </w:rPr>
        <w:sym w:font="HQPB4" w:char="F0F9"/>
      </w:r>
      <w:r w:rsidRPr="00694D97">
        <w:rPr>
          <w:sz w:val="28"/>
          <w:szCs w:val="28"/>
        </w:rPr>
        <w:sym w:font="HQPB3" w:char="F051"/>
      </w:r>
      <w:r w:rsidRPr="00694D97">
        <w:rPr>
          <w:sz w:val="28"/>
          <w:szCs w:val="28"/>
        </w:rPr>
        <w:sym w:font="HQPB5" w:char="F024"/>
      </w:r>
      <w:r w:rsidRPr="00694D97">
        <w:rPr>
          <w:sz w:val="28"/>
          <w:szCs w:val="28"/>
        </w:rPr>
        <w:sym w:font="HQPB1" w:char="F023"/>
      </w:r>
      <w:r w:rsidRPr="00694D97">
        <w:rPr>
          <w:rFonts w:ascii="(normal text)" w:hAnsi="(normal text)"/>
          <w:sz w:val="28"/>
          <w:szCs w:val="28"/>
          <w:rtl/>
        </w:rPr>
        <w:t xml:space="preserve"> </w:t>
      </w:r>
      <w:r w:rsidRPr="00694D97">
        <w:rPr>
          <w:sz w:val="28"/>
          <w:szCs w:val="28"/>
        </w:rPr>
        <w:sym w:font="HQPB4" w:char="F0B8"/>
      </w:r>
      <w:r w:rsidRPr="00694D97">
        <w:rPr>
          <w:sz w:val="28"/>
          <w:szCs w:val="28"/>
        </w:rPr>
        <w:sym w:font="HQPB2" w:char="F078"/>
      </w:r>
      <w:r w:rsidRPr="00694D97">
        <w:rPr>
          <w:sz w:val="28"/>
          <w:szCs w:val="28"/>
        </w:rPr>
        <w:sym w:font="HQPB2" w:char="F08B"/>
      </w:r>
      <w:r w:rsidRPr="00694D97">
        <w:rPr>
          <w:sz w:val="28"/>
          <w:szCs w:val="28"/>
        </w:rPr>
        <w:sym w:font="HQPB4" w:char="F0CE"/>
      </w:r>
      <w:r w:rsidRPr="00694D97">
        <w:rPr>
          <w:sz w:val="28"/>
          <w:szCs w:val="28"/>
        </w:rPr>
        <w:sym w:font="HQPB1" w:char="F036"/>
      </w:r>
      <w:r w:rsidRPr="00694D97">
        <w:rPr>
          <w:sz w:val="28"/>
          <w:szCs w:val="28"/>
        </w:rPr>
        <w:sym w:font="HQPB5" w:char="F079"/>
      </w:r>
      <w:r w:rsidRPr="00694D97">
        <w:rPr>
          <w:sz w:val="28"/>
          <w:szCs w:val="28"/>
        </w:rPr>
        <w:sym w:font="HQPB1" w:char="F099"/>
      </w:r>
      <w:r w:rsidRPr="002D0F8F">
        <w:rPr>
          <w:rFonts w:ascii="(normal text)" w:hAnsi="(normal text)"/>
          <w:rtl/>
        </w:rPr>
        <w:t xml:space="preserve"> </w:t>
      </w:r>
      <w:r>
        <w:sym w:font="HQPB2" w:char="F0C7"/>
      </w:r>
      <w:r>
        <w:sym w:font="HQPB2" w:char="F0CA"/>
      </w:r>
      <w:r>
        <w:sym w:font="HQPB2" w:char="F0CD"/>
      </w:r>
      <w:r>
        <w:sym w:font="HQPB2" w:char="F0CA"/>
      </w:r>
      <w:r>
        <w:sym w:font="HQPB2" w:char="F0C8"/>
      </w:r>
      <w:r w:rsidRPr="002D0F8F">
        <w:rPr>
          <w:rFonts w:ascii="(normal text)" w:hAnsi="(normal text)"/>
          <w:rtl/>
        </w:rPr>
        <w:t xml:space="preserve">   </w:t>
      </w:r>
    </w:p>
    <w:p w:rsidR="00343B61" w:rsidRDefault="00343B61" w:rsidP="00343B61">
      <w:pPr>
        <w:pStyle w:val="ListParagraph"/>
        <w:autoSpaceDE w:val="0"/>
        <w:autoSpaceDN w:val="0"/>
        <w:adjustRightInd w:val="0"/>
        <w:spacing w:after="0" w:line="240" w:lineRule="auto"/>
        <w:ind w:left="1170"/>
        <w:jc w:val="both"/>
        <w:rPr>
          <w:rFonts w:asciiTheme="majorBidi" w:hAnsiTheme="majorBidi" w:cstheme="majorBidi"/>
          <w:sz w:val="24"/>
          <w:szCs w:val="24"/>
        </w:rPr>
      </w:pPr>
      <w:r w:rsidRPr="002D0F8F">
        <w:rPr>
          <w:rFonts w:asciiTheme="majorBidi" w:hAnsiTheme="majorBidi" w:cstheme="majorBidi"/>
          <w:sz w:val="24"/>
          <w:szCs w:val="24"/>
        </w:rPr>
        <w:t>Artinya: “ …</w:t>
      </w:r>
      <w:r w:rsidRPr="00FE6295">
        <w:rPr>
          <w:rFonts w:asciiTheme="majorBidi" w:hAnsiTheme="majorBidi" w:cstheme="majorBidi"/>
          <w:i/>
          <w:iCs/>
          <w:sz w:val="24"/>
          <w:szCs w:val="24"/>
        </w:rPr>
        <w:t xml:space="preserve">Dan Allah sekali-kali tidak akan memberi jalan kepada orang-orang kafir untuk memusnahkan orang-orang yang beriman”. </w:t>
      </w:r>
      <w:r w:rsidRPr="009B40C7">
        <w:rPr>
          <w:rFonts w:asciiTheme="majorBidi" w:hAnsiTheme="majorBidi" w:cstheme="majorBidi"/>
          <w:sz w:val="24"/>
          <w:szCs w:val="24"/>
        </w:rPr>
        <w:t>( QS. Al-Nisa [4] : 141)</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752"/>
      </w:r>
    </w:p>
    <w:p w:rsidR="00343B61" w:rsidRPr="007F792F" w:rsidRDefault="00343B61" w:rsidP="00343B61">
      <w:pPr>
        <w:pStyle w:val="ListParagraph"/>
        <w:autoSpaceDE w:val="0"/>
        <w:autoSpaceDN w:val="0"/>
        <w:adjustRightInd w:val="0"/>
        <w:spacing w:after="0" w:line="360" w:lineRule="auto"/>
        <w:ind w:left="1170"/>
        <w:jc w:val="both"/>
        <w:rPr>
          <w:rFonts w:asciiTheme="majorBidi" w:hAnsiTheme="majorBidi" w:cstheme="majorBidi"/>
          <w:sz w:val="24"/>
          <w:szCs w:val="24"/>
        </w:rPr>
      </w:pPr>
    </w:p>
    <w:p w:rsidR="00343B61" w:rsidRPr="00143012" w:rsidRDefault="00343B61" w:rsidP="002C0A33">
      <w:pPr>
        <w:pStyle w:val="ListParagraph"/>
        <w:numPr>
          <w:ilvl w:val="0"/>
          <w:numId w:val="48"/>
        </w:numPr>
        <w:autoSpaceDE w:val="0"/>
        <w:autoSpaceDN w:val="0"/>
        <w:adjustRightInd w:val="0"/>
        <w:spacing w:after="0" w:line="360" w:lineRule="auto"/>
        <w:ind w:left="1170" w:hanging="360"/>
        <w:jc w:val="both"/>
        <w:rPr>
          <w:rFonts w:asciiTheme="majorBidi" w:hAnsiTheme="majorBidi" w:cstheme="majorBidi"/>
          <w:sz w:val="24"/>
          <w:szCs w:val="24"/>
          <w:lang w:val="sv-SE"/>
        </w:rPr>
      </w:pPr>
      <w:r w:rsidRPr="00143012">
        <w:rPr>
          <w:rFonts w:asciiTheme="majorBidi" w:hAnsiTheme="majorBidi" w:cstheme="majorBidi"/>
          <w:sz w:val="24"/>
          <w:szCs w:val="24"/>
        </w:rPr>
        <w:t>Hadis Rasul Allah SAW</w:t>
      </w:r>
      <w:r>
        <w:rPr>
          <w:rFonts w:asciiTheme="majorBidi" w:hAnsiTheme="majorBidi" w:cstheme="majorBidi"/>
          <w:sz w:val="24"/>
          <w:szCs w:val="24"/>
        </w:rPr>
        <w:t xml:space="preserve"> yang diriwayatkan oleh Bukhari Muslim, yaitu: </w:t>
      </w:r>
    </w:p>
    <w:p w:rsidR="00343B61" w:rsidRPr="00AE433A" w:rsidRDefault="00343B61" w:rsidP="00343B61">
      <w:pPr>
        <w:pStyle w:val="ListParagraph"/>
        <w:autoSpaceDE w:val="0"/>
        <w:autoSpaceDN w:val="0"/>
        <w:bidi/>
        <w:adjustRightInd w:val="0"/>
        <w:spacing w:after="0" w:line="240" w:lineRule="auto"/>
        <w:ind w:left="17" w:right="810"/>
        <w:jc w:val="both"/>
        <w:rPr>
          <w:rFonts w:ascii="Arial" w:hAnsi="Arial" w:cs="Traditional Arabic"/>
          <w:sz w:val="32"/>
          <w:szCs w:val="32"/>
          <w:lang w:val="sv-SE"/>
        </w:rPr>
      </w:pPr>
      <w:r w:rsidRPr="00AE433A">
        <w:rPr>
          <w:rFonts w:ascii="Arial" w:hAnsi="Arial" w:cs="Traditional Arabic"/>
          <w:sz w:val="32"/>
          <w:szCs w:val="32"/>
          <w:rtl/>
        </w:rPr>
        <w:t xml:space="preserve">عَنْ أُسَامَةَ بْنِ زَيْدٍ رَضِيَ اللَّهُ عَنْهُمَا أَنَّ النَّبِيَّ صَلَّى </w:t>
      </w:r>
      <w:r w:rsidRPr="00554E56">
        <w:rPr>
          <w:sz w:val="28"/>
          <w:szCs w:val="28"/>
        </w:rPr>
        <w:sym w:font="HQPB1" w:char="F023"/>
      </w:r>
      <w:r w:rsidRPr="00554E56">
        <w:rPr>
          <w:rFonts w:ascii="Adobe نسخ Medium" w:hAnsi="Adobe نسخ Medium" w:cs="Adobe نسخ Medium"/>
          <w:sz w:val="28"/>
          <w:szCs w:val="28"/>
          <w:rtl/>
        </w:rPr>
        <w:t>للهُ</w:t>
      </w:r>
      <w:r w:rsidRPr="00AE433A">
        <w:rPr>
          <w:rFonts w:ascii="Arial" w:hAnsi="Arial" w:cs="Traditional Arabic"/>
          <w:sz w:val="32"/>
          <w:szCs w:val="32"/>
          <w:rtl/>
        </w:rPr>
        <w:t xml:space="preserve"> عَلَيْهِ وَسَلَّمَ قَالَ لَا يَرِثُ الْمُسْلِمُ الْكَافِرَ وَلَا الْكَافِرُ الْمُسْلِمَ</w:t>
      </w:r>
      <w:r w:rsidRPr="00AE433A">
        <w:rPr>
          <w:rFonts w:ascii="Arial" w:hAnsi="Arial" w:cs="Traditional Arabic" w:hint="cs"/>
          <w:sz w:val="32"/>
          <w:szCs w:val="32"/>
          <w:rtl/>
        </w:rPr>
        <w:t xml:space="preserve"> </w:t>
      </w:r>
      <w:r w:rsidRPr="00AE433A">
        <w:rPr>
          <w:rStyle w:val="FootnoteReference"/>
          <w:rFonts w:ascii="Arial" w:hAnsi="Arial" w:cs="Traditional Arabic"/>
          <w:sz w:val="32"/>
          <w:szCs w:val="32"/>
          <w:rtl/>
        </w:rPr>
        <w:footnoteReference w:id="753"/>
      </w:r>
    </w:p>
    <w:p w:rsidR="00343B61" w:rsidRDefault="00343B61" w:rsidP="00343B61">
      <w:pPr>
        <w:autoSpaceDE w:val="0"/>
        <w:autoSpaceDN w:val="0"/>
        <w:adjustRightInd w:val="0"/>
        <w:spacing w:after="0" w:line="240" w:lineRule="auto"/>
        <w:ind w:left="900"/>
        <w:jc w:val="both"/>
        <w:rPr>
          <w:rFonts w:ascii="Georgia" w:hAnsi="Georgia" w:cs="Georgia"/>
          <w:sz w:val="24"/>
          <w:szCs w:val="24"/>
          <w:lang w:val="sv-SE"/>
        </w:rPr>
      </w:pPr>
      <w:r w:rsidRPr="00143012">
        <w:rPr>
          <w:rFonts w:ascii="Georgia-Italic" w:hAnsi="Georgia-Italic" w:cs="Georgia-Italic"/>
          <w:sz w:val="24"/>
          <w:szCs w:val="24"/>
          <w:lang w:val="sv-SE"/>
        </w:rPr>
        <w:t>Artinya</w:t>
      </w:r>
      <w:r>
        <w:rPr>
          <w:rFonts w:ascii="Georgia-Italic" w:hAnsi="Georgia-Italic" w:cs="Georgia-Italic"/>
          <w:i/>
          <w:iCs/>
          <w:sz w:val="24"/>
          <w:szCs w:val="24"/>
          <w:lang w:val="sv-SE"/>
        </w:rPr>
        <w:t xml:space="preserve">: </w:t>
      </w:r>
      <w:r w:rsidRPr="00143012">
        <w:rPr>
          <w:rFonts w:ascii="Georgia-Italic" w:hAnsi="Georgia-Italic" w:cs="Georgia-Italic"/>
          <w:i/>
          <w:iCs/>
          <w:sz w:val="24"/>
          <w:szCs w:val="24"/>
          <w:lang w:val="sv-SE"/>
        </w:rPr>
        <w:t>Dari Usamah bin Zaid r.a., sesungguhnya nabi s.a.w. bersabda: “Orang Muslim tidak (boleh) mewarisi orang Kafir, dan orang Kafir</w:t>
      </w:r>
      <w:r>
        <w:rPr>
          <w:rFonts w:ascii="Georgia-Italic" w:hAnsi="Georgia-Italic" w:cs="Georgia-Italic"/>
          <w:i/>
          <w:iCs/>
          <w:sz w:val="24"/>
          <w:szCs w:val="24"/>
          <w:lang w:val="sv-SE"/>
        </w:rPr>
        <w:t xml:space="preserve"> </w:t>
      </w:r>
      <w:r w:rsidRPr="00143012">
        <w:rPr>
          <w:rFonts w:ascii="Georgia-Italic" w:hAnsi="Georgia-Italic" w:cs="Georgia-Italic"/>
          <w:i/>
          <w:iCs/>
          <w:sz w:val="24"/>
          <w:szCs w:val="24"/>
          <w:lang w:val="sv-SE"/>
        </w:rPr>
        <w:t xml:space="preserve">tidak (boleh) mewarisi orang Muslim” </w:t>
      </w:r>
      <w:r w:rsidRPr="00143012">
        <w:rPr>
          <w:rFonts w:ascii="Georgia" w:hAnsi="Georgia" w:cs="Georgia"/>
          <w:sz w:val="24"/>
          <w:szCs w:val="24"/>
          <w:lang w:val="sv-SE"/>
        </w:rPr>
        <w:t>(</w:t>
      </w:r>
      <w:r>
        <w:rPr>
          <w:rFonts w:ascii="Georgia" w:hAnsi="Georgia" w:cs="Georgia"/>
          <w:sz w:val="24"/>
          <w:szCs w:val="24"/>
          <w:lang w:val="sv-SE"/>
        </w:rPr>
        <w:t>HR.</w:t>
      </w:r>
      <w:r>
        <w:rPr>
          <w:rFonts w:ascii="Georgia-Italic" w:hAnsi="Georgia-Italic" w:cs="Georgia-Italic"/>
          <w:i/>
          <w:iCs/>
          <w:sz w:val="24"/>
          <w:szCs w:val="24"/>
          <w:lang w:val="sv-SE"/>
        </w:rPr>
        <w:t xml:space="preserve"> </w:t>
      </w:r>
      <w:r w:rsidRPr="00143012">
        <w:rPr>
          <w:rFonts w:ascii="Georgia" w:hAnsi="Georgia" w:cs="Georgia"/>
          <w:sz w:val="24"/>
          <w:szCs w:val="24"/>
          <w:lang w:val="sv-SE"/>
        </w:rPr>
        <w:t>muttafaq alaih).</w:t>
      </w:r>
    </w:p>
    <w:p w:rsidR="00343B61" w:rsidRDefault="00343B61" w:rsidP="00343B61">
      <w:pPr>
        <w:autoSpaceDE w:val="0"/>
        <w:autoSpaceDN w:val="0"/>
        <w:adjustRightInd w:val="0"/>
        <w:spacing w:after="0" w:line="360" w:lineRule="auto"/>
        <w:ind w:left="900" w:hanging="900"/>
        <w:jc w:val="both"/>
        <w:rPr>
          <w:rFonts w:ascii="Georgia" w:hAnsi="Georgia" w:cs="Georgia"/>
          <w:sz w:val="24"/>
          <w:szCs w:val="24"/>
          <w:lang w:val="sv-SE"/>
        </w:rPr>
      </w:pPr>
    </w:p>
    <w:p w:rsidR="00343B61" w:rsidRPr="00620A1C" w:rsidRDefault="00343B61" w:rsidP="002C0A33">
      <w:pPr>
        <w:pStyle w:val="ListParagraph"/>
        <w:numPr>
          <w:ilvl w:val="0"/>
          <w:numId w:val="48"/>
        </w:numPr>
        <w:autoSpaceDE w:val="0"/>
        <w:autoSpaceDN w:val="0"/>
        <w:adjustRightInd w:val="0"/>
        <w:spacing w:after="0" w:line="360" w:lineRule="auto"/>
        <w:ind w:left="990" w:hanging="360"/>
        <w:jc w:val="both"/>
        <w:rPr>
          <w:rFonts w:asciiTheme="majorBidi" w:hAnsiTheme="majorBidi" w:cstheme="majorBidi"/>
          <w:sz w:val="24"/>
          <w:szCs w:val="24"/>
          <w:lang w:val="sv-SE"/>
        </w:rPr>
      </w:pPr>
      <w:r w:rsidRPr="00143012">
        <w:rPr>
          <w:rFonts w:asciiTheme="majorBidi" w:hAnsiTheme="majorBidi" w:cstheme="majorBidi"/>
          <w:sz w:val="24"/>
          <w:szCs w:val="24"/>
        </w:rPr>
        <w:t>Hadis Rasul Allah SAW</w:t>
      </w:r>
      <w:r>
        <w:rPr>
          <w:rFonts w:asciiTheme="majorBidi" w:hAnsiTheme="majorBidi" w:cstheme="majorBidi"/>
          <w:sz w:val="24"/>
          <w:szCs w:val="24"/>
        </w:rPr>
        <w:t xml:space="preserve"> yang diriwayatkan oleh Ahmad dan Turmudzi, yaitu :</w:t>
      </w:r>
    </w:p>
    <w:p w:rsidR="00343B61" w:rsidRPr="004F02CC" w:rsidRDefault="00343B61" w:rsidP="00343B61">
      <w:pPr>
        <w:pStyle w:val="ListParagraph"/>
        <w:autoSpaceDE w:val="0"/>
        <w:autoSpaceDN w:val="0"/>
        <w:bidi/>
        <w:adjustRightInd w:val="0"/>
        <w:spacing w:after="0" w:line="240" w:lineRule="auto"/>
        <w:ind w:left="1080" w:hanging="1063"/>
        <w:jc w:val="both"/>
        <w:rPr>
          <w:rFonts w:ascii="Arial" w:hAnsi="Arial"/>
          <w:sz w:val="28"/>
          <w:szCs w:val="28"/>
          <w:lang w:val="sv-SE"/>
        </w:rPr>
      </w:pPr>
      <w:r w:rsidRPr="00AE433A">
        <w:rPr>
          <w:rFonts w:ascii="Arial" w:hAnsi="Arial" w:cs="Traditional Arabic"/>
          <w:sz w:val="32"/>
          <w:szCs w:val="32"/>
          <w:rtl/>
        </w:rPr>
        <w:lastRenderedPageBreak/>
        <w:t>لاَ يَتَوَارَثُ أَهْلُ مِلَّتَيْنِ</w:t>
      </w:r>
      <w:r>
        <w:rPr>
          <w:rFonts w:ascii="Arial" w:hAnsi="Arial" w:hint="cs"/>
          <w:b/>
          <w:bCs/>
          <w:sz w:val="28"/>
          <w:szCs w:val="28"/>
          <w:rtl/>
        </w:rPr>
        <w:t xml:space="preserve"> </w:t>
      </w:r>
      <w:r w:rsidRPr="004F02CC">
        <w:rPr>
          <w:rStyle w:val="FootnoteReference"/>
          <w:rFonts w:ascii="Arial" w:hAnsi="Arial"/>
          <w:sz w:val="28"/>
          <w:szCs w:val="28"/>
          <w:rtl/>
        </w:rPr>
        <w:footnoteReference w:id="754"/>
      </w:r>
    </w:p>
    <w:p w:rsidR="00343B61" w:rsidRPr="000D4B99" w:rsidRDefault="00343B61" w:rsidP="00343B61">
      <w:pPr>
        <w:autoSpaceDE w:val="0"/>
        <w:autoSpaceDN w:val="0"/>
        <w:adjustRightInd w:val="0"/>
        <w:spacing w:after="0" w:line="240" w:lineRule="auto"/>
        <w:ind w:left="900"/>
        <w:rPr>
          <w:rFonts w:asciiTheme="majorBidi" w:hAnsiTheme="majorBidi" w:cstheme="majorBidi"/>
          <w:sz w:val="24"/>
          <w:szCs w:val="24"/>
          <w:lang w:val="sv-SE"/>
        </w:rPr>
      </w:pPr>
      <w:r w:rsidRPr="005C7422">
        <w:rPr>
          <w:rFonts w:asciiTheme="majorBidi" w:hAnsiTheme="majorBidi" w:cstheme="majorBidi"/>
          <w:sz w:val="24"/>
          <w:szCs w:val="24"/>
          <w:lang w:val="sv-SE"/>
        </w:rPr>
        <w:t>Artinya :</w:t>
      </w:r>
      <w:r>
        <w:rPr>
          <w:rFonts w:asciiTheme="majorBidi" w:hAnsiTheme="majorBidi" w:cstheme="majorBidi"/>
          <w:i/>
          <w:iCs/>
          <w:sz w:val="24"/>
          <w:szCs w:val="24"/>
          <w:lang w:val="sv-SE"/>
        </w:rPr>
        <w:t xml:space="preserve"> </w:t>
      </w:r>
      <w:r w:rsidRPr="005C7422">
        <w:rPr>
          <w:rFonts w:asciiTheme="majorBidi" w:hAnsiTheme="majorBidi" w:cstheme="majorBidi"/>
          <w:i/>
          <w:iCs/>
          <w:sz w:val="24"/>
          <w:szCs w:val="24"/>
          <w:lang w:val="sv-SE"/>
        </w:rPr>
        <w:t xml:space="preserve">Dari Abdullah bin Umar r.a., dia berkata: Rasul Allah s.a.w. bersabda: “tidak ada saling mewarisi antara dua pemeluk agama (yang berbeda) </w:t>
      </w:r>
      <w:r w:rsidRPr="005C7422">
        <w:rPr>
          <w:rFonts w:asciiTheme="majorBidi" w:hAnsiTheme="majorBidi" w:cstheme="majorBidi"/>
          <w:sz w:val="24"/>
          <w:szCs w:val="24"/>
          <w:lang w:val="sv-SE"/>
        </w:rPr>
        <w:t>(</w:t>
      </w:r>
      <w:r>
        <w:rPr>
          <w:rFonts w:asciiTheme="majorBidi" w:hAnsiTheme="majorBidi" w:cstheme="majorBidi"/>
          <w:sz w:val="24"/>
          <w:szCs w:val="24"/>
          <w:lang w:val="sv-SE"/>
        </w:rPr>
        <w:t xml:space="preserve">HR. </w:t>
      </w:r>
      <w:r w:rsidRPr="005C7422">
        <w:rPr>
          <w:rFonts w:asciiTheme="majorBidi" w:hAnsiTheme="majorBidi" w:cstheme="majorBidi"/>
          <w:sz w:val="24"/>
          <w:szCs w:val="24"/>
          <w:lang w:val="sv-SE"/>
        </w:rPr>
        <w:t xml:space="preserve"> Ahmad, dan Turmudzi).</w:t>
      </w:r>
    </w:p>
    <w:p w:rsidR="00343B61" w:rsidRPr="00075A64" w:rsidRDefault="00343B61" w:rsidP="00343B61">
      <w:pPr>
        <w:autoSpaceDE w:val="0"/>
        <w:autoSpaceDN w:val="0"/>
        <w:adjustRightInd w:val="0"/>
        <w:spacing w:after="0" w:line="360" w:lineRule="auto"/>
        <w:ind w:firstLine="720"/>
        <w:jc w:val="both"/>
        <w:rPr>
          <w:rFonts w:asciiTheme="majorBidi" w:hAnsiTheme="majorBidi" w:cstheme="majorBidi"/>
          <w:sz w:val="24"/>
          <w:szCs w:val="24"/>
          <w:lang w:val="sv-SE"/>
        </w:rPr>
      </w:pPr>
      <w:r w:rsidRPr="00075A64">
        <w:rPr>
          <w:rFonts w:asciiTheme="majorBidi" w:hAnsiTheme="majorBidi" w:cstheme="majorBidi"/>
          <w:sz w:val="24"/>
          <w:szCs w:val="24"/>
          <w:lang w:val="sv-SE"/>
        </w:rPr>
        <w:t>Fatwa ini dibubuhi tandatangan oleh K.H. Ma’ruf Amin sebagai ketua  pimpinan sidang komisi C bidang fatwa dan Drs. H. Hasanuddin, M.Ag sebagai sekretaris.</w:t>
      </w:r>
    </w:p>
    <w:p w:rsidR="00343B61" w:rsidRPr="00075A64"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r w:rsidRPr="00075A64">
        <w:rPr>
          <w:rFonts w:ascii="Z@R7589.tmp" w:eastAsiaTheme="minorHAnsi" w:hAnsi="Z@R7589.tmp" w:cs="Z@R7589.tmp"/>
          <w:sz w:val="24"/>
          <w:szCs w:val="24"/>
        </w:rPr>
        <w:t xml:space="preserve">Atas dasar pertimbangan dalil-dalil dan </w:t>
      </w:r>
      <w:r w:rsidRPr="00075A64">
        <w:rPr>
          <w:rFonts w:ascii="Z@R758F.tmp,Italic" w:eastAsiaTheme="minorHAnsi" w:hAnsi="Z@R758F.tmp,Italic" w:cs="Z@R758F.tmp,Italic"/>
          <w:i/>
          <w:iCs/>
          <w:sz w:val="24"/>
          <w:szCs w:val="24"/>
        </w:rPr>
        <w:t xml:space="preserve">nash </w:t>
      </w:r>
      <w:r w:rsidRPr="00075A64">
        <w:rPr>
          <w:rFonts w:asciiTheme="majorBidi" w:hAnsiTheme="majorBidi" w:cstheme="majorBidi"/>
          <w:sz w:val="24"/>
          <w:szCs w:val="24"/>
        </w:rPr>
        <w:t>Al-Qur’ān</w:t>
      </w:r>
      <w:r w:rsidRPr="00075A64">
        <w:rPr>
          <w:rFonts w:ascii="Z@R7589.tmp" w:eastAsiaTheme="minorHAnsi" w:hAnsi="Z@R7589.tmp" w:cs="Z@R7589.tmp"/>
          <w:sz w:val="24"/>
          <w:szCs w:val="24"/>
        </w:rPr>
        <w:t xml:space="preserve"> dan hadis nabi saw di atas, yang menegaskan tentang </w:t>
      </w:r>
      <w:r>
        <w:rPr>
          <w:rFonts w:ascii="Z@R7589.tmp" w:eastAsiaTheme="minorHAnsi" w:hAnsi="Z@R7589.tmp" w:cs="Z@R7589.tmp"/>
          <w:sz w:val="24"/>
          <w:szCs w:val="24"/>
        </w:rPr>
        <w:t xml:space="preserve">hukum-hukum waris, </w:t>
      </w:r>
      <w:r w:rsidRPr="00075A64">
        <w:rPr>
          <w:rFonts w:ascii="Z@R7589.tmp" w:eastAsiaTheme="minorHAnsi" w:hAnsi="Z@R7589.tmp" w:cs="Z@R7589.tmp"/>
          <w:sz w:val="24"/>
          <w:szCs w:val="24"/>
        </w:rPr>
        <w:t xml:space="preserve">maka MUI menetapkan bahwa </w:t>
      </w:r>
      <w:r w:rsidRPr="00075A64">
        <w:rPr>
          <w:rFonts w:asciiTheme="majorBidi" w:hAnsiTheme="majorBidi" w:cstheme="majorBidi"/>
          <w:sz w:val="24"/>
          <w:szCs w:val="24"/>
        </w:rPr>
        <w:t>Hukum waris Islam tidak memberikan hak saling mewarisi antar orang-orang yang berbeda agama (antara Muslim dengan non Muslim);  Pemberian harta antar orang yang berbeda agama hanya dapat dilakukan dalam bentuk hibah, wasiat dan hadiah.</w:t>
      </w:r>
    </w:p>
    <w:p w:rsidR="00343B61" w:rsidRPr="00CF7BB6" w:rsidRDefault="00343B61" w:rsidP="00343B61">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CF7BB6">
        <w:rPr>
          <w:rFonts w:asciiTheme="majorBidi" w:eastAsiaTheme="minorHAnsi" w:hAnsiTheme="majorBidi" w:cstheme="majorBidi"/>
          <w:sz w:val="24"/>
          <w:szCs w:val="24"/>
        </w:rPr>
        <w:t xml:space="preserve">Dari sisi penggunaan dalil, fatwa tentang Kewarisan Beda Agama ini menggunakan pendekatan nash, yaitu  </w:t>
      </w:r>
      <w:r w:rsidRPr="00CF7BB6">
        <w:rPr>
          <w:rFonts w:asciiTheme="majorBidi" w:eastAsiaTheme="minorHAnsi" w:hAnsiTheme="majorBidi" w:cstheme="majorBidi"/>
          <w:i/>
          <w:iCs/>
          <w:sz w:val="24"/>
          <w:szCs w:val="24"/>
        </w:rPr>
        <w:t xml:space="preserve">nash </w:t>
      </w:r>
      <w:r w:rsidRPr="00CF7BB6">
        <w:rPr>
          <w:rFonts w:asciiTheme="majorBidi" w:hAnsiTheme="majorBidi" w:cstheme="majorBidi"/>
          <w:sz w:val="24"/>
          <w:szCs w:val="24"/>
        </w:rPr>
        <w:t>Al-Qur’ān</w:t>
      </w:r>
      <w:r w:rsidRPr="00CF7BB6">
        <w:rPr>
          <w:rFonts w:asciiTheme="majorBidi" w:eastAsiaTheme="minorHAnsi" w:hAnsiTheme="majorBidi" w:cstheme="majorBidi"/>
          <w:sz w:val="24"/>
          <w:szCs w:val="24"/>
        </w:rPr>
        <w:t xml:space="preserve"> dan hadis Nabi saw yang disebutkan dalam konsideransi fatwa. Penulis menilai fatwa MUI ini sangat bijak, karena walaupun yang berlainan Agama tidak bisa saling mewarisi lewat aturan hukum waris Islam, namun ada jalan untuk mendapatkan harta waris dengan cara hibah, wasiat dan hadiah. Dengan demikian ditanjau dari siayasah syar’iyah fatwa ini benar-benar memberikan maslahat dan jalan keluar untuk supaya ahli waris yang berbeda agama bisa mendapatkan harta waris tersebut. </w:t>
      </w:r>
    </w:p>
    <w:p w:rsidR="00343B61" w:rsidRPr="00940ABB" w:rsidRDefault="00343B61" w:rsidP="002C0A33">
      <w:pPr>
        <w:pStyle w:val="ListParagraph"/>
        <w:numPr>
          <w:ilvl w:val="0"/>
          <w:numId w:val="53"/>
        </w:numPr>
        <w:tabs>
          <w:tab w:val="left" w:pos="1800"/>
        </w:tabs>
        <w:spacing w:line="360" w:lineRule="auto"/>
        <w:ind w:left="360"/>
        <w:jc w:val="both"/>
        <w:rPr>
          <w:rFonts w:asciiTheme="majorBidi" w:hAnsiTheme="majorBidi" w:cstheme="majorBidi"/>
          <w:sz w:val="24"/>
          <w:szCs w:val="24"/>
          <w:lang w:val="sv-SE"/>
        </w:rPr>
      </w:pPr>
      <w:r w:rsidRPr="002A6DCA">
        <w:rPr>
          <w:rFonts w:asciiTheme="majorBidi" w:hAnsiTheme="majorBidi" w:cstheme="majorBidi"/>
          <w:sz w:val="24"/>
          <w:szCs w:val="24"/>
          <w:lang w:val="sv-SE"/>
        </w:rPr>
        <w:t xml:space="preserve">Fatwa MUI Tentang Anak Luar Nikah </w:t>
      </w:r>
      <w:r w:rsidRPr="00940ABB">
        <w:rPr>
          <w:rFonts w:ascii="Times New Roman" w:hAnsi="Times New Roman" w:cs="Times New Roman"/>
          <w:color w:val="000000"/>
          <w:sz w:val="24"/>
          <w:szCs w:val="24"/>
          <w:lang w:val="sv-SE"/>
        </w:rPr>
        <w:t xml:space="preserve"> </w:t>
      </w:r>
    </w:p>
    <w:p w:rsidR="00343B61" w:rsidRDefault="00343B61" w:rsidP="00343B61">
      <w:pPr>
        <w:pStyle w:val="ListParagraph"/>
        <w:autoSpaceDE w:val="0"/>
        <w:autoSpaceDN w:val="0"/>
        <w:adjustRightInd w:val="0"/>
        <w:spacing w:after="0" w:line="360" w:lineRule="auto"/>
        <w:ind w:left="90" w:firstLine="630"/>
        <w:jc w:val="lowKashida"/>
        <w:rPr>
          <w:rFonts w:ascii="Times New Roman" w:hAnsi="Times New Roman" w:cs="Times New Roman"/>
          <w:sz w:val="24"/>
          <w:szCs w:val="24"/>
          <w:lang w:val="sv-SE"/>
        </w:rPr>
      </w:pPr>
      <w:r w:rsidRPr="002A6DCA">
        <w:rPr>
          <w:rFonts w:ascii="Times New Roman" w:hAnsi="Times New Roman" w:cs="Times New Roman"/>
          <w:color w:val="000000"/>
          <w:sz w:val="24"/>
          <w:szCs w:val="24"/>
          <w:lang w:val="sv-SE"/>
        </w:rPr>
        <w:t xml:space="preserve">Fatwa Majelis Ulama Indonesia  Nomor: 11 Tahun 2012 Tentang  Kedudukan Anak Hasil Zina Dan Perlakuan Terhadapnya merupakan respon terhadap keresahan Masyarakat atas keluarnya Fatwa </w:t>
      </w:r>
      <w:r w:rsidRPr="002A6DCA">
        <w:rPr>
          <w:rFonts w:ascii="Times New Roman" w:hAnsi="Times New Roman" w:cs="Times New Roman"/>
          <w:sz w:val="24"/>
          <w:szCs w:val="24"/>
          <w:lang w:val="sv-SE"/>
        </w:rPr>
        <w:t xml:space="preserve">Mahkamah Konsitusi </w:t>
      </w:r>
      <w:r>
        <w:rPr>
          <w:rFonts w:ascii="Times New Roman" w:hAnsi="Times New Roman" w:cs="Times New Roman"/>
          <w:sz w:val="24"/>
          <w:szCs w:val="24"/>
          <w:lang w:val="sv-SE"/>
        </w:rPr>
        <w:t xml:space="preserve">        </w:t>
      </w:r>
      <w:r w:rsidRPr="002A6DCA">
        <w:rPr>
          <w:rFonts w:ascii="Times New Roman" w:hAnsi="Times New Roman" w:cs="Times New Roman"/>
          <w:sz w:val="24"/>
          <w:szCs w:val="24"/>
          <w:lang w:val="sv-SE"/>
        </w:rPr>
        <w:t xml:space="preserve">Nomor 46/PUU-VIII/2010 terkait dengan hubungan hukum antara anak yang </w:t>
      </w:r>
      <w:r w:rsidRPr="002A6DCA">
        <w:rPr>
          <w:rFonts w:ascii="Times New Roman" w:hAnsi="Times New Roman" w:cs="Times New Roman"/>
          <w:sz w:val="24"/>
          <w:szCs w:val="24"/>
          <w:lang w:val="sv-SE"/>
        </w:rPr>
        <w:lastRenderedPageBreak/>
        <w:t>lahir diluar perkawinan dengan orang tua laki-lakinya</w:t>
      </w:r>
      <w:r>
        <w:rPr>
          <w:rStyle w:val="FootnoteReference"/>
          <w:rFonts w:ascii="Times New Roman" w:hAnsi="Times New Roman" w:cs="Times New Roman"/>
          <w:sz w:val="24"/>
          <w:szCs w:val="24"/>
          <w:lang w:val="sv-SE"/>
        </w:rPr>
        <w:footnoteReference w:id="755"/>
      </w:r>
      <w:r w:rsidRPr="002A6DCA">
        <w:rPr>
          <w:rFonts w:ascii="Times New Roman" w:hAnsi="Times New Roman" w:cs="Times New Roman"/>
          <w:sz w:val="24"/>
          <w:szCs w:val="24"/>
          <w:lang w:val="sv-SE"/>
        </w:rPr>
        <w:t>.</w:t>
      </w:r>
      <w:r>
        <w:rPr>
          <w:rFonts w:ascii="Times New Roman" w:hAnsi="Times New Roman" w:cs="Times New Roman"/>
          <w:sz w:val="24"/>
          <w:szCs w:val="24"/>
          <w:lang w:val="sv-SE"/>
        </w:rPr>
        <w:t xml:space="preserve"> Terhadap putusan tersebut, </w:t>
      </w:r>
      <w:r w:rsidRPr="00D74A0E">
        <w:rPr>
          <w:rFonts w:ascii="Times New Roman" w:hAnsi="Times New Roman" w:cs="Times New Roman"/>
          <w:sz w:val="24"/>
          <w:szCs w:val="24"/>
          <w:lang w:val="sv-SE"/>
        </w:rPr>
        <w:t>muncul pertanyaan dari masyarakat mengenai kedudukan anak hasil zina, terutama terkait dengan hubungan nasab, waris, dan wali nikah dari anak hasil zina dengan laki-laki yang menyebabkan kel</w:t>
      </w:r>
      <w:r>
        <w:rPr>
          <w:rFonts w:ascii="Times New Roman" w:hAnsi="Times New Roman" w:cs="Times New Roman"/>
          <w:sz w:val="24"/>
          <w:szCs w:val="24"/>
          <w:lang w:val="sv-SE"/>
        </w:rPr>
        <w:t xml:space="preserve">ahirannya menurut hukum Islam. </w:t>
      </w:r>
      <w:r w:rsidRPr="00D74A0E">
        <w:rPr>
          <w:rFonts w:ascii="Times New Roman" w:hAnsi="Times New Roman" w:cs="Times New Roman"/>
          <w:sz w:val="24"/>
          <w:szCs w:val="24"/>
          <w:lang w:val="sv-SE"/>
        </w:rPr>
        <w:t>Oleh Karena adanya pro dan kontra ini, MUI merasa perlu menetapkan fatwa tentang kedudukan anak hasil zina dan perlakuan terhadapnya guna dijadikan pedoman.</w:t>
      </w:r>
      <w:r>
        <w:rPr>
          <w:rStyle w:val="FootnoteReference"/>
          <w:rFonts w:ascii="Times New Roman" w:hAnsi="Times New Roman" w:cs="Times New Roman"/>
          <w:sz w:val="24"/>
          <w:szCs w:val="24"/>
          <w:lang w:val="sv-SE"/>
        </w:rPr>
        <w:footnoteReference w:id="756"/>
      </w:r>
    </w:p>
    <w:p w:rsidR="00343B61" w:rsidRPr="00777697" w:rsidRDefault="00343B61" w:rsidP="00343B61">
      <w:pPr>
        <w:autoSpaceDE w:val="0"/>
        <w:autoSpaceDN w:val="0"/>
        <w:adjustRightInd w:val="0"/>
        <w:spacing w:after="0" w:line="360" w:lineRule="auto"/>
        <w:ind w:left="90" w:firstLine="720"/>
        <w:jc w:val="both"/>
        <w:rPr>
          <w:rFonts w:ascii="Times New Roman" w:hAnsi="Times New Roman" w:cs="Times New Roman"/>
          <w:color w:val="000000"/>
          <w:sz w:val="24"/>
          <w:szCs w:val="24"/>
          <w:lang w:val="sv-SE"/>
        </w:rPr>
      </w:pPr>
      <w:r w:rsidRPr="00777697">
        <w:rPr>
          <w:rFonts w:ascii="Times New Roman" w:hAnsi="Times New Roman" w:cs="Times New Roman"/>
          <w:color w:val="000000"/>
          <w:sz w:val="24"/>
          <w:szCs w:val="24"/>
          <w:lang w:val="sv-SE"/>
        </w:rPr>
        <w:t xml:space="preserve">Yang dimaksud dengan anak hasil zina dalam Fatwa MUI adalah” adalah anak yang lahir sebagai akibat dari hubungan badan di luar pernikahan yang sah menurut ketentuan agama, dan merupakan </w:t>
      </w:r>
      <w:r w:rsidRPr="00777697">
        <w:rPr>
          <w:rFonts w:ascii="Times New Roman" w:hAnsi="Times New Roman" w:cs="Times New Roman"/>
          <w:i/>
          <w:iCs/>
          <w:color w:val="000000"/>
          <w:sz w:val="24"/>
          <w:szCs w:val="24"/>
          <w:lang w:val="sv-SE"/>
        </w:rPr>
        <w:t xml:space="preserve">jarimah </w:t>
      </w:r>
      <w:r w:rsidRPr="00777697">
        <w:rPr>
          <w:rFonts w:ascii="Times New Roman" w:hAnsi="Times New Roman" w:cs="Times New Roman"/>
          <w:color w:val="000000"/>
          <w:sz w:val="24"/>
          <w:szCs w:val="24"/>
          <w:lang w:val="sv-SE"/>
        </w:rPr>
        <w:t>(tindak pidana kejahatan).</w:t>
      </w:r>
      <w:r w:rsidRPr="00777697">
        <w:rPr>
          <w:rStyle w:val="FootnoteReference"/>
          <w:rFonts w:ascii="Times New Roman" w:hAnsi="Times New Roman" w:cs="Times New Roman"/>
          <w:color w:val="000000"/>
          <w:sz w:val="24"/>
          <w:szCs w:val="24"/>
          <w:lang w:val="sv-SE"/>
        </w:rPr>
        <w:footnoteReference w:id="757"/>
      </w:r>
      <w:r w:rsidRPr="00777697">
        <w:rPr>
          <w:rFonts w:ascii="Times New Roman" w:hAnsi="Times New Roman" w:cs="Times New Roman"/>
          <w:color w:val="000000"/>
          <w:sz w:val="24"/>
          <w:szCs w:val="24"/>
          <w:lang w:val="sv-SE"/>
        </w:rPr>
        <w:t xml:space="preserve"> </w:t>
      </w:r>
    </w:p>
    <w:p w:rsidR="00343B61" w:rsidRPr="00777697" w:rsidRDefault="00343B61" w:rsidP="00343B61">
      <w:pPr>
        <w:pStyle w:val="ListParagraph"/>
        <w:autoSpaceDE w:val="0"/>
        <w:autoSpaceDN w:val="0"/>
        <w:adjustRightInd w:val="0"/>
        <w:spacing w:after="0" w:line="360" w:lineRule="auto"/>
        <w:ind w:left="90" w:firstLine="630"/>
        <w:jc w:val="lowKashida"/>
        <w:rPr>
          <w:rFonts w:ascii="Times New Roman" w:hAnsi="Times New Roman" w:cs="Times New Roman"/>
          <w:sz w:val="24"/>
          <w:szCs w:val="24"/>
          <w:lang w:val="sv-SE"/>
        </w:rPr>
      </w:pPr>
      <w:r w:rsidRPr="00777697">
        <w:rPr>
          <w:rFonts w:ascii="Times New Roman" w:hAnsi="Times New Roman" w:cs="Times New Roman"/>
          <w:sz w:val="24"/>
          <w:szCs w:val="24"/>
          <w:lang w:val="sv-SE"/>
        </w:rPr>
        <w:t xml:space="preserve">Sebagaimana pertanyaan dari </w:t>
      </w:r>
      <w:r w:rsidRPr="00777697">
        <w:rPr>
          <w:rFonts w:ascii="Times New Roman" w:hAnsi="Times New Roman" w:cs="Times New Roman"/>
          <w:i/>
          <w:iCs/>
          <w:sz w:val="24"/>
          <w:szCs w:val="24"/>
          <w:lang w:val="sv-SE"/>
        </w:rPr>
        <w:t>mustafti</w:t>
      </w:r>
      <w:r w:rsidRPr="00777697">
        <w:rPr>
          <w:rFonts w:ascii="Times New Roman" w:hAnsi="Times New Roman" w:cs="Times New Roman"/>
          <w:sz w:val="24"/>
          <w:szCs w:val="24"/>
          <w:lang w:val="sv-SE"/>
        </w:rPr>
        <w:t xml:space="preserve"> (peminta fatwa) yang mananyakan kedudukan anak hasil zina, hubungan nasab, waris, dan wali nikah dengan laki-laki yang menyebabkan kelahirannya, maka putusan fatwa MUI ini juga memuat empat hal tersebut: </w:t>
      </w:r>
    </w:p>
    <w:p w:rsidR="00343B61" w:rsidRPr="00401464" w:rsidRDefault="00343B61" w:rsidP="002C0A33">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sz w:val="23"/>
          <w:szCs w:val="23"/>
          <w:lang w:val="sv-SE"/>
        </w:rPr>
      </w:pPr>
      <w:r w:rsidRPr="00401464">
        <w:rPr>
          <w:rFonts w:ascii="Times New Roman" w:hAnsi="Times New Roman" w:cs="Times New Roman"/>
          <w:color w:val="000000"/>
          <w:sz w:val="24"/>
          <w:szCs w:val="24"/>
          <w:lang w:val="sv-SE"/>
        </w:rPr>
        <w:t>Setatus Sosial anak Zina Menurut Fatwa MUI</w:t>
      </w:r>
    </w:p>
    <w:p w:rsidR="00343B61" w:rsidRPr="00777697" w:rsidRDefault="00343B61" w:rsidP="00343B61">
      <w:pPr>
        <w:autoSpaceDE w:val="0"/>
        <w:autoSpaceDN w:val="0"/>
        <w:adjustRightInd w:val="0"/>
        <w:spacing w:after="0" w:line="360" w:lineRule="auto"/>
        <w:ind w:firstLine="720"/>
        <w:jc w:val="both"/>
        <w:rPr>
          <w:rFonts w:ascii="Times New Roman" w:hAnsi="Times New Roman" w:cs="Times New Roman"/>
          <w:color w:val="000000"/>
          <w:sz w:val="24"/>
          <w:szCs w:val="24"/>
          <w:lang w:val="sv-SE"/>
        </w:rPr>
      </w:pPr>
      <w:r w:rsidRPr="00777697">
        <w:rPr>
          <w:rFonts w:ascii="Times New Roman" w:hAnsi="Times New Roman" w:cs="Times New Roman"/>
          <w:color w:val="000000"/>
          <w:sz w:val="24"/>
          <w:szCs w:val="24"/>
          <w:lang w:val="sv-SE"/>
        </w:rPr>
        <w:t xml:space="preserve"> Bahwa dalam Islam, anak terlahir dalam kondisi suci dan tidak membawa dosa turunan, sekalipun ia terlahir sebagai hasil zina;</w:t>
      </w:r>
      <w:r w:rsidRPr="00777697">
        <w:rPr>
          <w:rStyle w:val="FootnoteReference"/>
          <w:rFonts w:ascii="Times New Roman" w:hAnsi="Times New Roman" w:cs="Times New Roman"/>
          <w:color w:val="000000"/>
          <w:sz w:val="24"/>
          <w:szCs w:val="24"/>
        </w:rPr>
        <w:footnoteReference w:id="758"/>
      </w:r>
      <w:r w:rsidRPr="00777697">
        <w:rPr>
          <w:rFonts w:ascii="Times New Roman" w:hAnsi="Times New Roman" w:cs="Times New Roman"/>
          <w:color w:val="000000"/>
          <w:sz w:val="24"/>
          <w:szCs w:val="24"/>
          <w:lang w:val="sv-SE"/>
        </w:rPr>
        <w:t xml:space="preserve"> Pemerintah wajib mengedukasi masyarakat untuk tidak mendiskriminasi anak hasil zina dengan memperlakukannya sebagaimana anak yang lain. Penetapan nasab anak hasil zina kepada ibu dimaksudkan untuk melindungi nasab anak dan ketentuan keagamaan lain yang terkait, bukan sebagai bentuk diskriminasi. </w:t>
      </w:r>
    </w:p>
    <w:p w:rsidR="00343B61" w:rsidRPr="00777697" w:rsidRDefault="00343B61" w:rsidP="00343B6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77697">
        <w:rPr>
          <w:rFonts w:ascii="Times New Roman" w:hAnsi="Times New Roman" w:cs="Times New Roman"/>
          <w:color w:val="000000"/>
          <w:sz w:val="24"/>
          <w:szCs w:val="24"/>
        </w:rPr>
        <w:t>Anak hasil zina tidak menanggung dosa perzinaan yang dilakukan oleh orang yang mengakibatkan kelahirannya.</w:t>
      </w:r>
      <w:r w:rsidRPr="00777697">
        <w:rPr>
          <w:rStyle w:val="FootnoteReference"/>
          <w:rFonts w:ascii="Times New Roman" w:hAnsi="Times New Roman" w:cs="Times New Roman"/>
          <w:color w:val="000000"/>
          <w:sz w:val="24"/>
          <w:szCs w:val="24"/>
        </w:rPr>
        <w:footnoteReference w:id="759"/>
      </w:r>
      <w:r>
        <w:rPr>
          <w:rFonts w:ascii="Times New Roman" w:hAnsi="Times New Roman" w:cs="Times New Roman"/>
          <w:color w:val="000000"/>
          <w:sz w:val="24"/>
          <w:szCs w:val="24"/>
        </w:rPr>
        <w:t xml:space="preserve"> </w:t>
      </w:r>
      <w:r w:rsidRPr="00777697">
        <w:rPr>
          <w:rFonts w:ascii="Times New Roman" w:hAnsi="Times New Roman" w:cs="Times New Roman"/>
          <w:color w:val="000000"/>
          <w:sz w:val="24"/>
          <w:szCs w:val="24"/>
        </w:rPr>
        <w:t xml:space="preserve">Pemerintah diminta untuk </w:t>
      </w:r>
      <w:r w:rsidRPr="00777697">
        <w:rPr>
          <w:rFonts w:ascii="Times New Roman" w:hAnsi="Times New Roman" w:cs="Times New Roman"/>
          <w:color w:val="000000"/>
          <w:sz w:val="24"/>
          <w:szCs w:val="24"/>
        </w:rPr>
        <w:lastRenderedPageBreak/>
        <w:t xml:space="preserve">memberikan kemudahan layanan akte kelahiran kepada anak hasil zina, tetapi tidak menasabkannya kepada lelaki yang mengakibatkan kelahirannya. </w:t>
      </w:r>
    </w:p>
    <w:p w:rsidR="00343B61" w:rsidRPr="00777697" w:rsidRDefault="00343B61" w:rsidP="00343B6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77697">
        <w:rPr>
          <w:rFonts w:ascii="Times New Roman" w:hAnsi="Times New Roman" w:cs="Times New Roman"/>
          <w:color w:val="000000"/>
          <w:sz w:val="24"/>
          <w:szCs w:val="24"/>
        </w:rPr>
        <w:t xml:space="preserve">Pemerintah wajib melindungi anak hasil zina dan mencegah terjadinya penelantaran, terutama dengan memberikan hukuman kepada laki-laki yang menyebabkan kelahirannya untuk memenuhi kebutuhan hidupnya. </w:t>
      </w:r>
    </w:p>
    <w:p w:rsidR="00343B61" w:rsidRPr="00777697" w:rsidRDefault="00343B61" w:rsidP="00343B6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77697">
        <w:rPr>
          <w:rFonts w:ascii="Times New Roman" w:hAnsi="Times New Roman" w:cs="Times New Roman"/>
          <w:color w:val="000000"/>
          <w:sz w:val="24"/>
          <w:szCs w:val="24"/>
        </w:rPr>
        <w:t>Adapun Ayat Al-Quran dan Hadis Nabis SAW yang dijadikan oleh MUI sebagai dalil atas poin ini adalah;</w:t>
      </w:r>
    </w:p>
    <w:p w:rsidR="00343B61" w:rsidRPr="00C71D31" w:rsidRDefault="00343B61" w:rsidP="00343B61">
      <w:pPr>
        <w:spacing w:before="100" w:beforeAutospacing="1" w:after="0" w:line="360" w:lineRule="auto"/>
        <w:ind w:left="900" w:hanging="180"/>
        <w:jc w:val="both"/>
        <w:rPr>
          <w:rFonts w:ascii="Times New Roman" w:hAnsi="Times New Roman" w:cs="Times New Roman"/>
          <w:sz w:val="24"/>
          <w:szCs w:val="24"/>
        </w:rPr>
      </w:pPr>
      <w:r>
        <w:rPr>
          <w:rFonts w:ascii="Times New Roman" w:hAnsi="Times New Roman" w:cs="Times New Roman"/>
          <w:sz w:val="24"/>
          <w:szCs w:val="24"/>
        </w:rPr>
        <w:t>i</w:t>
      </w:r>
      <w:r w:rsidRPr="00C71D31">
        <w:rPr>
          <w:rFonts w:ascii="Times New Roman" w:hAnsi="Times New Roman" w:cs="Times New Roman"/>
          <w:sz w:val="24"/>
          <w:szCs w:val="24"/>
        </w:rPr>
        <w:t>. Firman Allah yang menegaskan bahwa seseorang itu tidak memikul dosa orang lain, demikian juga anak hasil zina tidak memikul dosa pezina, sebagaimana firman-Nya:</w:t>
      </w:r>
    </w:p>
    <w:p w:rsidR="00343B61" w:rsidRPr="00382DE7" w:rsidRDefault="00343B61" w:rsidP="00343B61">
      <w:pPr>
        <w:bidi/>
        <w:spacing w:after="0" w:line="240" w:lineRule="auto"/>
        <w:ind w:left="17" w:right="810"/>
        <w:jc w:val="both"/>
        <w:rPr>
          <w:rFonts w:ascii="(normal text)" w:hAnsi="(normal text)"/>
        </w:rPr>
      </w:pP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C"/>
      </w:r>
      <w:r>
        <w:rPr>
          <w:sz w:val="28"/>
          <w:szCs w:val="28"/>
        </w:rPr>
        <w:sym w:font="HQPB1" w:char="F03D"/>
      </w:r>
      <w:r>
        <w:rPr>
          <w:sz w:val="28"/>
          <w:szCs w:val="28"/>
        </w:rPr>
        <w:sym w:font="HQPB4" w:char="F0C5"/>
      </w:r>
      <w:r>
        <w:rPr>
          <w:sz w:val="28"/>
          <w:szCs w:val="28"/>
        </w:rPr>
        <w:sym w:font="HQPB1" w:char="F0A1"/>
      </w:r>
      <w:r>
        <w:rPr>
          <w:sz w:val="28"/>
          <w:szCs w:val="28"/>
        </w:rPr>
        <w:sym w:font="HQPB4" w:char="F0F5"/>
      </w:r>
      <w:r>
        <w:rPr>
          <w:sz w:val="28"/>
          <w:szCs w:val="28"/>
        </w:rPr>
        <w:sym w:font="HQPB2" w:char="F03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E0"/>
      </w:r>
      <w:r>
        <w:rPr>
          <w:sz w:val="28"/>
          <w:szCs w:val="28"/>
        </w:rPr>
        <w:sym w:font="HQPB2" w:char="F032"/>
      </w:r>
      <w:r>
        <w:rPr>
          <w:rFonts w:ascii="(normal text)" w:hAnsi="(normal text)"/>
          <w:rtl/>
        </w:rPr>
        <w:t xml:space="preserve"> </w:t>
      </w:r>
      <w:r>
        <w:rPr>
          <w:sz w:val="28"/>
          <w:szCs w:val="28"/>
        </w:rPr>
        <w:sym w:font="HQPB4" w:char="F043"/>
      </w:r>
      <w:r>
        <w:rPr>
          <w:sz w:val="28"/>
          <w:szCs w:val="28"/>
        </w:rPr>
        <w:sym w:font="HQPB1" w:char="F0A7"/>
      </w:r>
      <w:r>
        <w:rPr>
          <w:sz w:val="28"/>
          <w:szCs w:val="28"/>
        </w:rPr>
        <w:sym w:font="HQPB4" w:char="F0F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2"/>
      </w:r>
      <w:r>
        <w:rPr>
          <w:sz w:val="28"/>
          <w:szCs w:val="28"/>
        </w:rPr>
        <w:sym w:font="HQPB1" w:char="F091"/>
      </w:r>
      <w:r>
        <w:rPr>
          <w:sz w:val="28"/>
          <w:szCs w:val="28"/>
        </w:rPr>
        <w:sym w:font="HQPB4" w:char="F0CC"/>
      </w:r>
      <w:r>
        <w:rPr>
          <w:sz w:val="28"/>
          <w:szCs w:val="28"/>
        </w:rPr>
        <w:sym w:font="HQPB1" w:char="F09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2" w:char="F06F"/>
      </w:r>
      <w:r>
        <w:rPr>
          <w:sz w:val="28"/>
          <w:szCs w:val="28"/>
        </w:rPr>
        <w:sym w:font="HQPB5" w:char="F075"/>
      </w:r>
      <w:r>
        <w:rPr>
          <w:sz w:val="28"/>
          <w:szCs w:val="28"/>
        </w:rPr>
        <w:sym w:font="HQPB1" w:char="F091"/>
      </w:r>
      <w:r>
        <w:rPr>
          <w:sz w:val="28"/>
          <w:szCs w:val="28"/>
        </w:rPr>
        <w:sym w:font="HQPB4" w:char="F0CE"/>
      </w:r>
      <w:r>
        <w:rPr>
          <w:sz w:val="28"/>
          <w:szCs w:val="28"/>
        </w:rPr>
        <w:sym w:font="HQPB1" w:char="F097"/>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1" w:char="F091"/>
      </w:r>
      <w:r>
        <w:rPr>
          <w:sz w:val="28"/>
          <w:szCs w:val="28"/>
        </w:rPr>
        <w:sym w:font="HQPB4" w:char="F0F8"/>
      </w:r>
      <w:r>
        <w:rPr>
          <w:sz w:val="28"/>
          <w:szCs w:val="28"/>
        </w:rPr>
        <w:sym w:font="HQPB1" w:char="F097"/>
      </w:r>
      <w:r>
        <w:rPr>
          <w:sz w:val="28"/>
          <w:szCs w:val="28"/>
        </w:rPr>
        <w:sym w:font="HQPB4" w:char="F0CD"/>
      </w:r>
      <w:r>
        <w:rPr>
          <w:sz w:val="28"/>
          <w:szCs w:val="28"/>
        </w:rPr>
        <w:sym w:font="HQPB2" w:char="F072"/>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4"/>
      </w:r>
      <w:r>
        <w:rPr>
          <w:sz w:val="28"/>
          <w:szCs w:val="28"/>
        </w:rPr>
        <w:sym w:font="HQPB1" w:char="F08D"/>
      </w:r>
      <w:r>
        <w:rPr>
          <w:sz w:val="28"/>
          <w:szCs w:val="28"/>
        </w:rPr>
        <w:sym w:font="HQPB4" w:char="F0F7"/>
      </w:r>
      <w:r>
        <w:rPr>
          <w:sz w:val="28"/>
          <w:szCs w:val="28"/>
        </w:rPr>
        <w:sym w:font="HQPB1" w:char="F07A"/>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7"/>
      </w:r>
      <w:r>
        <w:rPr>
          <w:sz w:val="28"/>
          <w:szCs w:val="28"/>
        </w:rPr>
        <w:sym w:font="HQPB2" w:char="F04E"/>
      </w:r>
      <w:r>
        <w:rPr>
          <w:sz w:val="28"/>
          <w:szCs w:val="28"/>
        </w:rPr>
        <w:sym w:font="HQPB4" w:char="F0E8"/>
      </w:r>
      <w:r>
        <w:rPr>
          <w:sz w:val="28"/>
          <w:szCs w:val="28"/>
        </w:rPr>
        <w:sym w:font="HQPB1" w:char="F04F"/>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E3"/>
      </w:r>
      <w:r>
        <w:rPr>
          <w:sz w:val="28"/>
          <w:szCs w:val="28"/>
        </w:rPr>
        <w:sym w:font="HQPB1" w:char="F0E8"/>
      </w:r>
      <w:r>
        <w:rPr>
          <w:sz w:val="28"/>
          <w:szCs w:val="28"/>
        </w:rPr>
        <w:sym w:font="HQPB4" w:char="F0C5"/>
      </w:r>
      <w:r>
        <w:rPr>
          <w:sz w:val="28"/>
          <w:szCs w:val="28"/>
        </w:rPr>
        <w:sym w:font="HQPB1" w:char="F05F"/>
      </w:r>
      <w:r>
        <w:rPr>
          <w:sz w:val="28"/>
          <w:szCs w:val="28"/>
        </w:rPr>
        <w:sym w:font="HQPB4" w:char="F0F3"/>
      </w:r>
      <w:r>
        <w:rPr>
          <w:sz w:val="28"/>
          <w:szCs w:val="28"/>
        </w:rPr>
        <w:sym w:font="HQPB1" w:char="F090"/>
      </w:r>
      <w:r>
        <w:rPr>
          <w:sz w:val="28"/>
          <w:szCs w:val="28"/>
        </w:rPr>
        <w:sym w:font="HQPB4" w:char="F0A3"/>
      </w:r>
      <w:r>
        <w:rPr>
          <w:sz w:val="28"/>
          <w:szCs w:val="28"/>
        </w:rPr>
        <w:sym w:font="HQPB2" w:char="F044"/>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4" w:char="F0E3"/>
      </w:r>
      <w:r>
        <w:rPr>
          <w:sz w:val="28"/>
          <w:szCs w:val="28"/>
        </w:rPr>
        <w:sym w:font="HQPB2" w:char="F0A5"/>
      </w:r>
      <w:r>
        <w:rPr>
          <w:sz w:val="28"/>
          <w:szCs w:val="28"/>
        </w:rPr>
        <w:sym w:font="HQPB4" w:char="F0CE"/>
      </w:r>
      <w:r>
        <w:rPr>
          <w:sz w:val="28"/>
          <w:szCs w:val="28"/>
        </w:rPr>
        <w:sym w:font="HQPB4" w:char="F06D"/>
      </w:r>
      <w:r>
        <w:rPr>
          <w:sz w:val="28"/>
          <w:szCs w:val="28"/>
        </w:rPr>
        <w:sym w:font="HQPB1" w:char="F037"/>
      </w:r>
      <w:r>
        <w:rPr>
          <w:sz w:val="28"/>
          <w:szCs w:val="28"/>
        </w:rPr>
        <w:sym w:font="HQPB5" w:char="F074"/>
      </w:r>
      <w:r>
        <w:rPr>
          <w:sz w:val="28"/>
          <w:szCs w:val="28"/>
        </w:rPr>
        <w:sym w:font="HQPB2" w:char="F05E"/>
      </w:r>
      <w:r>
        <w:rPr>
          <w:sz w:val="28"/>
          <w:szCs w:val="28"/>
        </w:rPr>
        <w:sym w:font="HQPB4" w:char="F0E3"/>
      </w:r>
      <w:r>
        <w:rPr>
          <w:sz w:val="28"/>
          <w:szCs w:val="28"/>
        </w:rPr>
        <w:sym w:font="HQPB2" w:char="F08B"/>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1" w:char="F046"/>
      </w:r>
      <w:r>
        <w:rPr>
          <w:sz w:val="28"/>
          <w:szCs w:val="28"/>
        </w:rPr>
        <w:sym w:font="HQPB2" w:char="F05A"/>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1" w:char="F0FF"/>
      </w:r>
      <w:r>
        <w:rPr>
          <w:sz w:val="28"/>
          <w:szCs w:val="28"/>
        </w:rPr>
        <w:sym w:font="HQPB4" w:char="F0CE"/>
      </w:r>
      <w:r>
        <w:rPr>
          <w:sz w:val="28"/>
          <w:szCs w:val="28"/>
        </w:rPr>
        <w:sym w:font="HQPB2" w:char="F03D"/>
      </w:r>
      <w:r>
        <w:rPr>
          <w:sz w:val="28"/>
          <w:szCs w:val="28"/>
        </w:rPr>
        <w:sym w:font="HQPB5" w:char="F074"/>
      </w:r>
      <w:r>
        <w:rPr>
          <w:sz w:val="28"/>
          <w:szCs w:val="28"/>
        </w:rPr>
        <w:sym w:font="HQPB1" w:char="F047"/>
      </w:r>
      <w:r>
        <w:rPr>
          <w:sz w:val="28"/>
          <w:szCs w:val="28"/>
        </w:rPr>
        <w:sym w:font="HQPB4" w:char="F0F8"/>
      </w:r>
      <w:r>
        <w:rPr>
          <w:sz w:val="28"/>
          <w:szCs w:val="28"/>
        </w:rPr>
        <w:sym w:font="HQPB1" w:char="F083"/>
      </w:r>
      <w:r>
        <w:rPr>
          <w:sz w:val="28"/>
          <w:szCs w:val="28"/>
        </w:rPr>
        <w:sym w:font="HQPB5" w:char="F072"/>
      </w:r>
      <w:r>
        <w:rPr>
          <w:sz w:val="28"/>
          <w:szCs w:val="28"/>
        </w:rPr>
        <w:sym w:font="HQPB1" w:char="F04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F"/>
      </w:r>
      <w:r>
        <w:rPr>
          <w:sz w:val="28"/>
          <w:szCs w:val="28"/>
        </w:rPr>
        <w:sym w:font="HQPB2" w:char="F0CD"/>
      </w:r>
      <w:r>
        <w:rPr>
          <w:sz w:val="28"/>
          <w:szCs w:val="28"/>
        </w:rPr>
        <w:sym w:font="HQPB2" w:char="F0C8"/>
      </w:r>
      <w:r>
        <w:rPr>
          <w:rFonts w:ascii="(normal text)" w:hAnsi="(normal text)"/>
          <w:rtl/>
        </w:rPr>
        <w:t xml:space="preserve">   </w:t>
      </w:r>
    </w:p>
    <w:p w:rsidR="00343B61" w:rsidRDefault="00343B61" w:rsidP="00343B61">
      <w:pPr>
        <w:spacing w:after="0" w:line="240" w:lineRule="auto"/>
        <w:ind w:left="720"/>
        <w:jc w:val="both"/>
        <w:rPr>
          <w:rFonts w:ascii="Times New Roman" w:hAnsi="Times New Roman" w:cs="Times New Roman"/>
          <w:sz w:val="24"/>
          <w:szCs w:val="24"/>
        </w:rPr>
      </w:pPr>
      <w:r w:rsidRPr="00382DE7">
        <w:rPr>
          <w:rFonts w:ascii="Times New Roman" w:hAnsi="Times New Roman" w:cs="Times New Roman"/>
          <w:sz w:val="24"/>
          <w:szCs w:val="24"/>
        </w:rPr>
        <w:t>“</w:t>
      </w:r>
      <w:r w:rsidRPr="00C71D31">
        <w:rPr>
          <w:rFonts w:ascii="Times New Roman" w:hAnsi="Times New Roman" w:cs="Times New Roman"/>
          <w:i/>
          <w:iCs/>
          <w:sz w:val="24"/>
          <w:szCs w:val="24"/>
        </w:rPr>
        <w:t>Dan tidaklah seorang membuat dosa melainkan kemudharatannya kembali kepada dirinya sendiri; dan seorang yang berdosa tidak akan memikul dosa orang lain. Kemudian kepada Tuhanmulah kamu kembali, dan akan diberitakan-Nya kepadamu apa yang kamu perselisihkan</w:t>
      </w:r>
      <w:r>
        <w:rPr>
          <w:rFonts w:ascii="Times New Roman" w:hAnsi="Times New Roman" w:cs="Times New Roman"/>
          <w:i/>
          <w:iCs/>
          <w:sz w:val="24"/>
          <w:szCs w:val="24"/>
        </w:rPr>
        <w:t>”</w:t>
      </w:r>
      <w:r w:rsidRPr="00C71D31">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760"/>
      </w:r>
      <w:r w:rsidRPr="00C71D31">
        <w:rPr>
          <w:rFonts w:ascii="Times New Roman" w:hAnsi="Times New Roman" w:cs="Times New Roman"/>
          <w:i/>
          <w:iCs/>
          <w:sz w:val="24"/>
          <w:szCs w:val="24"/>
        </w:rPr>
        <w:t xml:space="preserve"> </w:t>
      </w:r>
      <w:r w:rsidRPr="0079101B">
        <w:rPr>
          <w:rFonts w:ascii="Times New Roman" w:hAnsi="Times New Roman" w:cs="Times New Roman"/>
          <w:sz w:val="24"/>
          <w:szCs w:val="24"/>
        </w:rPr>
        <w:t>(QS. Al-An’am : 164)</w:t>
      </w:r>
    </w:p>
    <w:p w:rsidR="00343B61" w:rsidRDefault="00343B61" w:rsidP="00343B61">
      <w:pPr>
        <w:spacing w:after="0" w:line="240" w:lineRule="auto"/>
        <w:ind w:left="720"/>
        <w:jc w:val="both"/>
        <w:rPr>
          <w:rFonts w:ascii="Times New Roman" w:hAnsi="Times New Roman" w:cs="Times New Roman"/>
          <w:i/>
          <w:iCs/>
          <w:sz w:val="24"/>
          <w:szCs w:val="24"/>
        </w:rPr>
      </w:pPr>
    </w:p>
    <w:p w:rsidR="00343B61" w:rsidRDefault="00343B61" w:rsidP="00343B6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Dan Firman Allah SWT:</w:t>
      </w:r>
    </w:p>
    <w:p w:rsidR="00343B61" w:rsidRDefault="00343B61" w:rsidP="00343B61">
      <w:pPr>
        <w:bidi/>
        <w:spacing w:after="0" w:line="240" w:lineRule="auto"/>
        <w:ind w:left="17" w:right="720"/>
        <w:jc w:val="both"/>
        <w:rPr>
          <w:rFonts w:ascii="(normal text)" w:hAnsi="(normal text)"/>
          <w:rtl/>
        </w:rPr>
      </w:pP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2"/>
      </w:r>
      <w:r>
        <w:rPr>
          <w:sz w:val="28"/>
          <w:szCs w:val="28"/>
        </w:rPr>
        <w:sym w:font="HQPB1" w:char="F091"/>
      </w:r>
      <w:r>
        <w:rPr>
          <w:sz w:val="28"/>
          <w:szCs w:val="28"/>
        </w:rPr>
        <w:sym w:font="HQPB4" w:char="F0CC"/>
      </w:r>
      <w:r>
        <w:rPr>
          <w:sz w:val="28"/>
          <w:szCs w:val="28"/>
        </w:rPr>
        <w:sym w:font="HQPB1" w:char="F09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2" w:char="F06F"/>
      </w:r>
      <w:r>
        <w:rPr>
          <w:sz w:val="28"/>
          <w:szCs w:val="28"/>
        </w:rPr>
        <w:sym w:font="HQPB5" w:char="F075"/>
      </w:r>
      <w:r>
        <w:rPr>
          <w:sz w:val="28"/>
          <w:szCs w:val="28"/>
        </w:rPr>
        <w:sym w:font="HQPB1" w:char="F091"/>
      </w:r>
      <w:r>
        <w:rPr>
          <w:sz w:val="28"/>
          <w:szCs w:val="28"/>
        </w:rPr>
        <w:sym w:font="HQPB4" w:char="F0CE"/>
      </w:r>
      <w:r>
        <w:rPr>
          <w:sz w:val="28"/>
          <w:szCs w:val="28"/>
        </w:rPr>
        <w:sym w:font="HQPB1" w:char="F097"/>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1" w:char="F091"/>
      </w:r>
      <w:r>
        <w:rPr>
          <w:sz w:val="28"/>
          <w:szCs w:val="28"/>
        </w:rPr>
        <w:sym w:font="HQPB4" w:char="F0F8"/>
      </w:r>
      <w:r>
        <w:rPr>
          <w:sz w:val="28"/>
          <w:szCs w:val="28"/>
        </w:rPr>
        <w:sym w:font="HQPB1" w:char="F097"/>
      </w:r>
      <w:r>
        <w:rPr>
          <w:sz w:val="28"/>
          <w:szCs w:val="28"/>
        </w:rPr>
        <w:sym w:font="HQPB4" w:char="F0CD"/>
      </w:r>
      <w:r>
        <w:rPr>
          <w:sz w:val="28"/>
          <w:szCs w:val="28"/>
        </w:rPr>
        <w:sym w:font="HQPB2" w:char="F072"/>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4"/>
      </w:r>
      <w:r>
        <w:rPr>
          <w:sz w:val="28"/>
          <w:szCs w:val="28"/>
        </w:rPr>
        <w:sym w:font="HQPB1" w:char="F08D"/>
      </w:r>
      <w:r>
        <w:rPr>
          <w:sz w:val="28"/>
          <w:szCs w:val="28"/>
        </w:rPr>
        <w:sym w:font="HQPB4" w:char="F0F7"/>
      </w:r>
      <w:r>
        <w:rPr>
          <w:sz w:val="28"/>
          <w:szCs w:val="28"/>
        </w:rPr>
        <w:sym w:font="HQPB1" w:char="F07A"/>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A7"/>
      </w:r>
      <w:r>
        <w:rPr>
          <w:sz w:val="28"/>
          <w:szCs w:val="28"/>
        </w:rPr>
        <w:sym w:font="HQPB2" w:char="F04E"/>
      </w:r>
      <w:r>
        <w:rPr>
          <w:sz w:val="28"/>
          <w:szCs w:val="28"/>
        </w:rPr>
        <w:sym w:font="HQPB4" w:char="F0E8"/>
      </w:r>
      <w:r>
        <w:rPr>
          <w:sz w:val="28"/>
          <w:szCs w:val="28"/>
        </w:rPr>
        <w:sym w:font="HQPB1" w:char="F04F"/>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E3"/>
      </w:r>
      <w:r>
        <w:rPr>
          <w:sz w:val="28"/>
          <w:szCs w:val="28"/>
        </w:rPr>
        <w:sym w:font="HQPB1" w:char="F0E8"/>
      </w:r>
      <w:r>
        <w:rPr>
          <w:sz w:val="28"/>
          <w:szCs w:val="28"/>
        </w:rPr>
        <w:sym w:font="HQPB4" w:char="F0C5"/>
      </w:r>
      <w:r>
        <w:rPr>
          <w:sz w:val="28"/>
          <w:szCs w:val="28"/>
        </w:rPr>
        <w:sym w:font="HQPB1" w:char="F05F"/>
      </w:r>
      <w:r>
        <w:rPr>
          <w:sz w:val="28"/>
          <w:szCs w:val="28"/>
        </w:rPr>
        <w:sym w:font="HQPB4" w:char="F0F6"/>
      </w:r>
      <w:r>
        <w:rPr>
          <w:sz w:val="28"/>
          <w:szCs w:val="28"/>
        </w:rPr>
        <w:sym w:font="HQPB1" w:char="F08D"/>
      </w:r>
      <w:r>
        <w:rPr>
          <w:sz w:val="28"/>
          <w:szCs w:val="28"/>
        </w:rPr>
        <w:sym w:font="HQPB4" w:char="F0A8"/>
      </w:r>
      <w:r>
        <w:rPr>
          <w:sz w:val="28"/>
          <w:szCs w:val="28"/>
        </w:rPr>
        <w:sym w:font="HQPB2" w:char="F042"/>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A5"/>
      </w:r>
      <w:r>
        <w:rPr>
          <w:sz w:val="28"/>
          <w:szCs w:val="28"/>
        </w:rPr>
        <w:sym w:font="HQPB4" w:char="F0CE"/>
      </w:r>
      <w:r>
        <w:rPr>
          <w:sz w:val="28"/>
          <w:szCs w:val="28"/>
        </w:rPr>
        <w:sym w:font="HQPB4" w:char="F06D"/>
      </w:r>
      <w:r>
        <w:rPr>
          <w:sz w:val="28"/>
          <w:szCs w:val="28"/>
        </w:rPr>
        <w:sym w:font="HQPB1" w:char="F037"/>
      </w:r>
      <w:r>
        <w:rPr>
          <w:sz w:val="28"/>
          <w:szCs w:val="28"/>
        </w:rPr>
        <w:sym w:font="HQPB5" w:char="F074"/>
      </w:r>
      <w:r>
        <w:rPr>
          <w:sz w:val="28"/>
          <w:szCs w:val="28"/>
        </w:rPr>
        <w:sym w:font="HQPB2" w:char="F05E"/>
      </w:r>
      <w:r>
        <w:rPr>
          <w:sz w:val="28"/>
          <w:szCs w:val="28"/>
        </w:rPr>
        <w:sym w:font="HQPB4" w:char="F0E3"/>
      </w:r>
      <w:r>
        <w:rPr>
          <w:sz w:val="28"/>
          <w:szCs w:val="28"/>
        </w:rPr>
        <w:sym w:font="HQPB2" w:char="F08B"/>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7"/>
      </w:r>
      <w:r>
        <w:rPr>
          <w:sz w:val="28"/>
          <w:szCs w:val="28"/>
        </w:rPr>
        <w:sym w:font="HQPB2" w:char="F04C"/>
      </w:r>
      <w:r>
        <w:rPr>
          <w:sz w:val="28"/>
          <w:szCs w:val="28"/>
        </w:rPr>
        <w:sym w:font="HQPB4" w:char="F0E4"/>
      </w:r>
      <w:r>
        <w:rPr>
          <w:sz w:val="28"/>
          <w:szCs w:val="28"/>
        </w:rPr>
        <w:sym w:font="HQPB2" w:char="F0EA"/>
      </w:r>
      <w:r>
        <w:rPr>
          <w:sz w:val="28"/>
          <w:szCs w:val="28"/>
        </w:rPr>
        <w:sym w:font="HQPB2" w:char="F05A"/>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37"/>
      </w:r>
      <w:r>
        <w:rPr>
          <w:sz w:val="28"/>
          <w:szCs w:val="28"/>
        </w:rPr>
        <w:sym w:font="HQPB2" w:char="F04F"/>
      </w:r>
      <w:r>
        <w:rPr>
          <w:sz w:val="28"/>
          <w:szCs w:val="28"/>
        </w:rPr>
        <w:sym w:font="HQPB2" w:char="F08A"/>
      </w:r>
      <w:r>
        <w:rPr>
          <w:sz w:val="28"/>
          <w:szCs w:val="28"/>
        </w:rPr>
        <w:sym w:font="HQPB4" w:char="F0C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CF"/>
      </w:r>
      <w:r>
        <w:rPr>
          <w:sz w:val="28"/>
          <w:szCs w:val="28"/>
        </w:rPr>
        <w:sym w:font="HQPB1" w:char="F04E"/>
      </w:r>
      <w:r>
        <w:rPr>
          <w:sz w:val="28"/>
          <w:szCs w:val="28"/>
        </w:rPr>
        <w:sym w:font="HQPB1" w:char="F023"/>
      </w:r>
      <w:r>
        <w:rPr>
          <w:sz w:val="28"/>
          <w:szCs w:val="28"/>
        </w:rPr>
        <w:sym w:font="HQPB5" w:char="F078"/>
      </w:r>
      <w:r>
        <w:rPr>
          <w:sz w:val="28"/>
          <w:szCs w:val="28"/>
        </w:rPr>
        <w:sym w:font="HQPB1" w:char="F08B"/>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D"/>
      </w:r>
      <w:r>
        <w:rPr>
          <w:sz w:val="28"/>
          <w:szCs w:val="28"/>
        </w:rPr>
        <w:sym w:font="HQPB1" w:char="F091"/>
      </w:r>
      <w:r>
        <w:rPr>
          <w:sz w:val="28"/>
          <w:szCs w:val="28"/>
        </w:rPr>
        <w:sym w:font="HQPB2" w:char="F072"/>
      </w:r>
      <w:r>
        <w:rPr>
          <w:sz w:val="28"/>
          <w:szCs w:val="28"/>
        </w:rPr>
        <w:sym w:font="HQPB4" w:char="F0DF"/>
      </w:r>
      <w:r>
        <w:rPr>
          <w:sz w:val="28"/>
          <w:szCs w:val="28"/>
        </w:rPr>
        <w:sym w:font="HQPB1" w:char="F089"/>
      </w:r>
      <w:r>
        <w:rPr>
          <w:sz w:val="28"/>
          <w:szCs w:val="28"/>
        </w:rPr>
        <w:sym w:font="HQPB4" w:char="F090"/>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8"/>
      </w:r>
      <w:r>
        <w:rPr>
          <w:rFonts w:ascii="(normal text)" w:hAnsi="(normal text)"/>
          <w:rtl/>
        </w:rPr>
        <w:t xml:space="preserve">   </w:t>
      </w:r>
    </w:p>
    <w:p w:rsidR="00343B61" w:rsidRDefault="00343B61" w:rsidP="00343B61">
      <w:pPr>
        <w:spacing w:after="0" w:line="240" w:lineRule="auto"/>
        <w:ind w:left="720"/>
        <w:jc w:val="both"/>
        <w:rPr>
          <w:rFonts w:asciiTheme="majorBidi" w:hAnsiTheme="majorBidi" w:cstheme="majorBidi"/>
          <w:sz w:val="24"/>
          <w:szCs w:val="24"/>
        </w:rPr>
      </w:pPr>
      <w:r w:rsidRPr="00287155">
        <w:rPr>
          <w:rFonts w:asciiTheme="majorBidi" w:hAnsiTheme="majorBidi" w:cstheme="majorBidi"/>
          <w:i/>
          <w:iCs/>
          <w:sz w:val="24"/>
          <w:szCs w:val="24"/>
        </w:rPr>
        <w:t>“..dan seorang yang berdosa tidak akan memikul dosa orang lain[1308]. kemudian kepada Tuhanmulah kembalimu lalu Dia memberitakan kepadamu apa yang telah kamu kerjakan. Sesungguhnya Dia Maha mengetahui apa yang tersimpan dalam (dada)mu.”</w:t>
      </w:r>
      <w:r>
        <w:rPr>
          <w:rStyle w:val="FootnoteReference"/>
          <w:rFonts w:asciiTheme="majorBidi" w:hAnsiTheme="majorBidi" w:cstheme="majorBidi"/>
          <w:i/>
          <w:iCs/>
          <w:sz w:val="24"/>
          <w:szCs w:val="24"/>
        </w:rPr>
        <w:footnoteReference w:id="761"/>
      </w:r>
      <w:r w:rsidRPr="00287155">
        <w:rPr>
          <w:rFonts w:asciiTheme="majorBidi" w:hAnsiTheme="majorBidi" w:cstheme="majorBidi"/>
          <w:i/>
          <w:iCs/>
          <w:sz w:val="24"/>
          <w:szCs w:val="24"/>
        </w:rPr>
        <w:t xml:space="preserve"> </w:t>
      </w:r>
      <w:r w:rsidRPr="00287155">
        <w:rPr>
          <w:rFonts w:asciiTheme="majorBidi" w:hAnsiTheme="majorBidi" w:cstheme="majorBidi"/>
          <w:sz w:val="24"/>
          <w:szCs w:val="24"/>
        </w:rPr>
        <w:t>( QS. Al-Zumar:7)</w:t>
      </w:r>
    </w:p>
    <w:p w:rsidR="00343B61" w:rsidRDefault="00343B61" w:rsidP="00343B61">
      <w:pPr>
        <w:spacing w:after="0" w:line="240" w:lineRule="auto"/>
        <w:ind w:left="720"/>
        <w:jc w:val="both"/>
        <w:rPr>
          <w:rFonts w:asciiTheme="majorBidi" w:hAnsiTheme="majorBidi" w:cstheme="majorBidi"/>
          <w:sz w:val="24"/>
          <w:szCs w:val="24"/>
        </w:rPr>
      </w:pPr>
    </w:p>
    <w:p w:rsidR="00343B61" w:rsidRPr="00C71D31" w:rsidRDefault="00343B61" w:rsidP="00343B61">
      <w:p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ii</w:t>
      </w:r>
      <w:r w:rsidRPr="00C71D31">
        <w:rPr>
          <w:rFonts w:ascii="Times New Roman" w:hAnsi="Times New Roman" w:cs="Times New Roman"/>
          <w:sz w:val="24"/>
          <w:szCs w:val="24"/>
        </w:rPr>
        <w:t>. Hadis yang menerangkan bahwa anak terlahir di dunia itu dalam keadaan fitrah, tanpa dosa, antara lain:</w:t>
      </w:r>
    </w:p>
    <w:p w:rsidR="00343B61" w:rsidRPr="00482F70" w:rsidRDefault="00343B61" w:rsidP="00343B61">
      <w:pPr>
        <w:spacing w:after="0" w:line="240" w:lineRule="auto"/>
        <w:ind w:firstLine="720"/>
        <w:jc w:val="right"/>
        <w:rPr>
          <w:rFonts w:ascii="Times New Roman" w:hAnsi="Times New Roman" w:cs="Traditional Arabic"/>
          <w:sz w:val="32"/>
          <w:szCs w:val="32"/>
        </w:rPr>
      </w:pPr>
      <w:r w:rsidRPr="00981A01">
        <w:rPr>
          <w:rFonts w:ascii="Times New Roman" w:hAnsi="Times New Roman" w:cs="Traditional Arabic"/>
          <w:sz w:val="36"/>
          <w:szCs w:val="36"/>
          <w:rtl/>
        </w:rPr>
        <w:t>عن ‏أبي هريرة ‏رضي الله عنه قال ‏‏قال النبي ‏صلى الله عليه وسلم ‏كل مولود يولد على الفطرة فأبواه يهودانه أو ينصرانه أو يمجسانه  . رواه البخارى ومس</w:t>
      </w:r>
      <w:r>
        <w:rPr>
          <w:rFonts w:ascii="Times New Roman" w:hAnsi="Times New Roman" w:cs="Traditional Arabic" w:hint="cs"/>
          <w:sz w:val="36"/>
          <w:szCs w:val="36"/>
          <w:rtl/>
        </w:rPr>
        <w:t>لم</w:t>
      </w:r>
    </w:p>
    <w:p w:rsidR="00343B61" w:rsidRDefault="00343B61" w:rsidP="00343B61">
      <w:pPr>
        <w:spacing w:after="0" w:line="240" w:lineRule="auto"/>
        <w:ind w:left="720"/>
        <w:jc w:val="both"/>
        <w:rPr>
          <w:rFonts w:ascii="Times New Roman" w:hAnsi="Times New Roman" w:cs="Times New Roman"/>
          <w:sz w:val="24"/>
          <w:szCs w:val="24"/>
        </w:rPr>
      </w:pPr>
      <w:r>
        <w:rPr>
          <w:rFonts w:ascii="Times New Roman" w:hAnsi="Times New Roman" w:cs="Times New Roman"/>
          <w:i/>
          <w:iCs/>
          <w:sz w:val="24"/>
          <w:szCs w:val="24"/>
        </w:rPr>
        <w:t>“</w:t>
      </w:r>
      <w:r w:rsidRPr="00C71D31">
        <w:rPr>
          <w:rFonts w:ascii="Times New Roman" w:hAnsi="Times New Roman" w:cs="Times New Roman"/>
          <w:i/>
          <w:iCs/>
          <w:sz w:val="24"/>
          <w:szCs w:val="24"/>
        </w:rPr>
        <w:t>Dari Abi Hurairah ra ia berkata: Nabi saw bersabda: “Setiap anak terlahir dalam kondisi fitrah, kedua orang tuanyalah yang menjadikannya seorang yahudi, nasrani, atau majusi</w:t>
      </w:r>
      <w:r w:rsidRPr="007A4115">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62"/>
      </w:r>
      <w:r w:rsidRPr="007A4115">
        <w:rPr>
          <w:rFonts w:ascii="Times New Roman" w:hAnsi="Times New Roman" w:cs="Times New Roman"/>
          <w:sz w:val="24"/>
          <w:szCs w:val="24"/>
        </w:rPr>
        <w:t xml:space="preserve"> (HR al-Bukhari dan Muslim)</w:t>
      </w:r>
    </w:p>
    <w:p w:rsidR="00343B61" w:rsidRPr="00C71D31" w:rsidRDefault="00343B61" w:rsidP="00343B61">
      <w:pPr>
        <w:spacing w:after="0" w:line="240" w:lineRule="auto"/>
        <w:ind w:left="720"/>
        <w:jc w:val="both"/>
        <w:rPr>
          <w:rFonts w:ascii="Times New Roman" w:hAnsi="Times New Roman" w:cs="Times New Roman"/>
          <w:sz w:val="24"/>
          <w:szCs w:val="24"/>
        </w:rPr>
      </w:pPr>
    </w:p>
    <w:p w:rsidR="00343B61" w:rsidRPr="005D388D" w:rsidRDefault="00343B61" w:rsidP="00343B61">
      <w:p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iii</w:t>
      </w:r>
      <w:r w:rsidRPr="00C71D31">
        <w:rPr>
          <w:rFonts w:ascii="Times New Roman" w:hAnsi="Times New Roman" w:cs="Times New Roman"/>
          <w:sz w:val="24"/>
          <w:szCs w:val="24"/>
        </w:rPr>
        <w:t>.  Atsar Shahabat, Khalifah ‘Umar ibn al-Khattab ra berwasiat untuk senantiasa memperlakukan anak hasil zina dengan baik, sebagaimana ditulis oleh Imam al-Shan’ani dalam “</w:t>
      </w:r>
      <w:r w:rsidRPr="00715728">
        <w:rPr>
          <w:rFonts w:ascii="Times New Roman" w:hAnsi="Times New Roman" w:cs="Times New Roman"/>
          <w:i/>
          <w:iCs/>
          <w:sz w:val="24"/>
          <w:szCs w:val="24"/>
        </w:rPr>
        <w:t>al-Mushannaf</w:t>
      </w:r>
      <w:r w:rsidRPr="00C71D31">
        <w:rPr>
          <w:rFonts w:ascii="Times New Roman" w:hAnsi="Times New Roman" w:cs="Times New Roman"/>
          <w:sz w:val="24"/>
          <w:szCs w:val="24"/>
        </w:rPr>
        <w:t xml:space="preserve">” Bab </w:t>
      </w:r>
      <w:r w:rsidRPr="00715728">
        <w:rPr>
          <w:rFonts w:ascii="Times New Roman" w:hAnsi="Times New Roman" w:cs="Times New Roman"/>
          <w:i/>
          <w:iCs/>
          <w:sz w:val="24"/>
          <w:szCs w:val="24"/>
        </w:rPr>
        <w:t>‘Itq walad al-zina</w:t>
      </w:r>
      <w:r w:rsidRPr="00C71D31">
        <w:rPr>
          <w:rFonts w:ascii="Times New Roman" w:hAnsi="Times New Roman" w:cs="Times New Roman"/>
          <w:sz w:val="24"/>
          <w:szCs w:val="24"/>
        </w:rPr>
        <w:t>” hadits nomor 13871.</w:t>
      </w:r>
    </w:p>
    <w:p w:rsidR="00343B61" w:rsidRPr="00777697" w:rsidRDefault="00343B61" w:rsidP="002C0A33">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sz w:val="24"/>
          <w:szCs w:val="24"/>
          <w:lang w:val="sv-SE"/>
        </w:rPr>
      </w:pPr>
      <w:r w:rsidRPr="00777697">
        <w:rPr>
          <w:rFonts w:ascii="Times New Roman" w:hAnsi="Times New Roman" w:cs="Times New Roman"/>
          <w:color w:val="000000"/>
          <w:sz w:val="24"/>
          <w:szCs w:val="24"/>
          <w:lang w:val="sv-SE"/>
        </w:rPr>
        <w:t>Hukuman Kepada Pelaku Zina Menurut Fatwa MUI</w:t>
      </w:r>
    </w:p>
    <w:p w:rsidR="00343B61" w:rsidRPr="00777697" w:rsidRDefault="00343B61" w:rsidP="00343B61">
      <w:pPr>
        <w:autoSpaceDE w:val="0"/>
        <w:autoSpaceDN w:val="0"/>
        <w:adjustRightInd w:val="0"/>
        <w:spacing w:after="0" w:line="360" w:lineRule="auto"/>
        <w:ind w:left="270" w:firstLine="720"/>
        <w:jc w:val="both"/>
        <w:rPr>
          <w:rFonts w:ascii="Times New Roman" w:hAnsi="Times New Roman" w:cs="Times New Roman"/>
          <w:color w:val="000000"/>
          <w:sz w:val="24"/>
          <w:szCs w:val="24"/>
        </w:rPr>
      </w:pPr>
      <w:r w:rsidRPr="00777697">
        <w:rPr>
          <w:rFonts w:ascii="Times New Roman" w:hAnsi="Times New Roman" w:cs="Times New Roman"/>
          <w:color w:val="000000"/>
          <w:sz w:val="24"/>
          <w:szCs w:val="24"/>
        </w:rPr>
        <w:t xml:space="preserve">Pemerintah wajib mencegah terjadinya perzinaan disertai dengan penegakan hukum yang keras dan tegas. Pezina dikenakan hukuman </w:t>
      </w:r>
      <w:r w:rsidRPr="00777697">
        <w:rPr>
          <w:rFonts w:ascii="Times New Roman" w:hAnsi="Times New Roman" w:cs="Times New Roman"/>
          <w:i/>
          <w:iCs/>
          <w:color w:val="000000"/>
          <w:sz w:val="24"/>
          <w:szCs w:val="24"/>
        </w:rPr>
        <w:t xml:space="preserve">hadd </w:t>
      </w:r>
      <w:r w:rsidRPr="00777697">
        <w:rPr>
          <w:rFonts w:ascii="Times New Roman" w:hAnsi="Times New Roman" w:cs="Times New Roman"/>
          <w:color w:val="000000"/>
          <w:sz w:val="24"/>
          <w:szCs w:val="24"/>
        </w:rPr>
        <w:t>oleh pihak yang berwenang</w:t>
      </w:r>
      <w:r w:rsidRPr="00777697">
        <w:rPr>
          <w:rFonts w:ascii="Times New Roman" w:hAnsi="Times New Roman" w:cs="Times New Roman"/>
          <w:i/>
          <w:iCs/>
          <w:color w:val="000000"/>
          <w:sz w:val="24"/>
          <w:szCs w:val="24"/>
        </w:rPr>
        <w:t xml:space="preserve">, </w:t>
      </w:r>
      <w:r w:rsidRPr="00777697">
        <w:rPr>
          <w:rFonts w:ascii="Times New Roman" w:hAnsi="Times New Roman" w:cs="Times New Roman"/>
          <w:color w:val="000000"/>
          <w:sz w:val="24"/>
          <w:szCs w:val="24"/>
        </w:rPr>
        <w:t>untuk kepentingan menjaga keturunan yang sah (</w:t>
      </w:r>
      <w:r w:rsidRPr="00777697">
        <w:rPr>
          <w:rFonts w:ascii="Times New Roman" w:hAnsi="Times New Roman" w:cs="Times New Roman"/>
          <w:i/>
          <w:iCs/>
          <w:color w:val="000000"/>
          <w:sz w:val="24"/>
          <w:szCs w:val="24"/>
        </w:rPr>
        <w:t>hifzh al-nasl)</w:t>
      </w:r>
      <w:r w:rsidRPr="00777697">
        <w:rPr>
          <w:rFonts w:ascii="Times New Roman" w:hAnsi="Times New Roman" w:cs="Times New Roman"/>
          <w:color w:val="000000"/>
          <w:sz w:val="24"/>
          <w:szCs w:val="24"/>
        </w:rPr>
        <w:t xml:space="preserve">.  Pemerintah berwenang menjatuhkan hukuman </w:t>
      </w:r>
      <w:r w:rsidRPr="00777697">
        <w:rPr>
          <w:rFonts w:ascii="Times New Roman" w:hAnsi="Times New Roman" w:cs="Times New Roman"/>
          <w:i/>
          <w:iCs/>
          <w:color w:val="000000"/>
          <w:sz w:val="24"/>
          <w:szCs w:val="24"/>
        </w:rPr>
        <w:t xml:space="preserve">ta’zir </w:t>
      </w:r>
      <w:r w:rsidRPr="00777697">
        <w:rPr>
          <w:rFonts w:ascii="Times New Roman" w:hAnsi="Times New Roman" w:cs="Times New Roman"/>
          <w:color w:val="000000"/>
          <w:sz w:val="24"/>
          <w:szCs w:val="24"/>
        </w:rPr>
        <w:t xml:space="preserve">kepada lelaki pezina yang mengakibatkan lahirnya anak dengan mewajibkannya untuk : a. mencukupi kebutuhan hidup anak tersebut;  b. memberikan harta setelah ia meninggal melalui </w:t>
      </w:r>
      <w:r w:rsidRPr="00777697">
        <w:rPr>
          <w:rFonts w:ascii="Times New Roman" w:hAnsi="Times New Roman" w:cs="Times New Roman"/>
          <w:i/>
          <w:iCs/>
          <w:color w:val="000000"/>
          <w:sz w:val="24"/>
          <w:szCs w:val="24"/>
        </w:rPr>
        <w:t>wasiat wajibah</w:t>
      </w:r>
      <w:r w:rsidRPr="00777697">
        <w:rPr>
          <w:rFonts w:ascii="Times New Roman" w:hAnsi="Times New Roman" w:cs="Times New Roman"/>
          <w:color w:val="000000"/>
          <w:sz w:val="24"/>
          <w:szCs w:val="24"/>
        </w:rPr>
        <w:t xml:space="preserve">.  Hukuman sebagaimana dimaksud nomor 5 bertujuan melindungi anak, bukan untuk mensahkan hubungan nasab antara anak. </w:t>
      </w:r>
      <w:r w:rsidRPr="00777697">
        <w:rPr>
          <w:rStyle w:val="FootnoteReference"/>
          <w:rFonts w:ascii="Times New Roman" w:hAnsi="Times New Roman" w:cs="Times New Roman"/>
          <w:color w:val="000000"/>
          <w:sz w:val="24"/>
          <w:szCs w:val="24"/>
        </w:rPr>
        <w:footnoteReference w:id="763"/>
      </w:r>
    </w:p>
    <w:p w:rsidR="00343B61" w:rsidRPr="00777697" w:rsidRDefault="00343B61" w:rsidP="00343B61">
      <w:pPr>
        <w:pStyle w:val="ListParagraph"/>
        <w:autoSpaceDE w:val="0"/>
        <w:autoSpaceDN w:val="0"/>
        <w:adjustRightInd w:val="0"/>
        <w:spacing w:after="0" w:line="360" w:lineRule="auto"/>
        <w:ind w:left="270" w:firstLine="720"/>
        <w:jc w:val="both"/>
        <w:rPr>
          <w:rFonts w:asciiTheme="majorBidi" w:hAnsiTheme="majorBidi" w:cstheme="majorBidi"/>
          <w:color w:val="000000"/>
          <w:sz w:val="24"/>
          <w:szCs w:val="24"/>
        </w:rPr>
      </w:pPr>
      <w:r w:rsidRPr="00777697">
        <w:rPr>
          <w:rFonts w:asciiTheme="majorBidi" w:eastAsia="TTE22F8E60t00" w:hAnsiTheme="majorBidi" w:cstheme="majorBidi"/>
          <w:sz w:val="24"/>
          <w:szCs w:val="24"/>
        </w:rPr>
        <w:t>Dalam Rekomendasinya, MUI juga memohon kepada</w:t>
      </w:r>
      <w:r w:rsidRPr="00777697">
        <w:rPr>
          <w:rFonts w:asciiTheme="majorBidi" w:hAnsiTheme="majorBidi" w:cstheme="majorBidi"/>
          <w:color w:val="000000"/>
          <w:sz w:val="24"/>
          <w:szCs w:val="24"/>
        </w:rPr>
        <w:t xml:space="preserve"> DPR-RI dan Pemerintah untuk segera menyusun peraturan perundang-undangan yang mengatur:  hukuman berat terhadap pelaku perzinaan yang dapat berfungsi sebagai </w:t>
      </w:r>
      <w:r w:rsidRPr="00777697">
        <w:rPr>
          <w:rFonts w:asciiTheme="majorBidi" w:hAnsiTheme="majorBidi" w:cstheme="majorBidi"/>
          <w:i/>
          <w:iCs/>
          <w:color w:val="000000"/>
          <w:sz w:val="24"/>
          <w:szCs w:val="24"/>
        </w:rPr>
        <w:t xml:space="preserve">zawajir </w:t>
      </w:r>
      <w:r w:rsidRPr="00777697">
        <w:rPr>
          <w:rFonts w:asciiTheme="majorBidi" w:hAnsiTheme="majorBidi" w:cstheme="majorBidi"/>
          <w:color w:val="000000"/>
          <w:sz w:val="24"/>
          <w:szCs w:val="24"/>
        </w:rPr>
        <w:t xml:space="preserve">dan </w:t>
      </w:r>
      <w:r w:rsidRPr="00777697">
        <w:rPr>
          <w:rFonts w:asciiTheme="majorBidi" w:hAnsiTheme="majorBidi" w:cstheme="majorBidi"/>
          <w:i/>
          <w:iCs/>
          <w:color w:val="000000"/>
          <w:sz w:val="24"/>
          <w:szCs w:val="24"/>
        </w:rPr>
        <w:t xml:space="preserve">mawani’ </w:t>
      </w:r>
      <w:r w:rsidRPr="00777697">
        <w:rPr>
          <w:rFonts w:asciiTheme="majorBidi" w:hAnsiTheme="majorBidi" w:cstheme="majorBidi"/>
          <w:color w:val="000000"/>
          <w:sz w:val="24"/>
          <w:szCs w:val="24"/>
        </w:rPr>
        <w:t xml:space="preserve">(membuat pelaku menjadi jera dan orang yang belum melakukan menjadi takut untuk melakukannya); kemudian memasukkan </w:t>
      </w:r>
      <w:r w:rsidRPr="00777697">
        <w:rPr>
          <w:rFonts w:asciiTheme="majorBidi" w:hAnsiTheme="majorBidi" w:cstheme="majorBidi"/>
          <w:color w:val="000000"/>
          <w:sz w:val="24"/>
          <w:szCs w:val="24"/>
        </w:rPr>
        <w:lastRenderedPageBreak/>
        <w:t>zina sebagai delik umum, bukan delik aduan karena zina merupakan kejahatan yang menodai martabat luhur manusia. Serta Pemerintah wajib mencegah terjadinya perzinaan disertai dengan penegakan hukum yang keras dan tegas.</w:t>
      </w:r>
      <w:r w:rsidRPr="00777697">
        <w:rPr>
          <w:rStyle w:val="FootnoteReference"/>
          <w:rFonts w:asciiTheme="majorBidi" w:hAnsiTheme="majorBidi" w:cstheme="majorBidi"/>
          <w:color w:val="000000"/>
          <w:sz w:val="24"/>
          <w:szCs w:val="24"/>
        </w:rPr>
        <w:footnoteReference w:id="764"/>
      </w:r>
      <w:r w:rsidRPr="00777697">
        <w:rPr>
          <w:rFonts w:asciiTheme="majorBidi" w:hAnsiTheme="majorBidi" w:cstheme="majorBidi"/>
          <w:color w:val="000000"/>
          <w:sz w:val="24"/>
          <w:szCs w:val="24"/>
        </w:rPr>
        <w:t xml:space="preserve"> </w:t>
      </w:r>
    </w:p>
    <w:p w:rsidR="00343B61" w:rsidRPr="00777697" w:rsidRDefault="00343B61" w:rsidP="00343B61">
      <w:pPr>
        <w:autoSpaceDE w:val="0"/>
        <w:autoSpaceDN w:val="0"/>
        <w:adjustRightInd w:val="0"/>
        <w:spacing w:after="0" w:line="360" w:lineRule="auto"/>
        <w:ind w:left="270" w:firstLine="810"/>
        <w:jc w:val="both"/>
        <w:rPr>
          <w:rFonts w:ascii="Times New Roman" w:hAnsi="Times New Roman" w:cs="Times New Roman"/>
          <w:color w:val="000000"/>
          <w:sz w:val="24"/>
          <w:szCs w:val="24"/>
        </w:rPr>
      </w:pPr>
      <w:r w:rsidRPr="00777697">
        <w:rPr>
          <w:rFonts w:ascii="Times New Roman" w:hAnsi="Times New Roman" w:cs="Times New Roman"/>
          <w:color w:val="000000"/>
          <w:sz w:val="24"/>
          <w:szCs w:val="24"/>
        </w:rPr>
        <w:t>Adapun Ayat Al-Quran dan Hadis Nabi SAW yang dijadikan oleh MUI sebagai dalil atas poin ini adalah;</w:t>
      </w:r>
    </w:p>
    <w:p w:rsidR="00343B61" w:rsidRDefault="00343B61" w:rsidP="00343B61">
      <w:pPr>
        <w:spacing w:before="100" w:beforeAutospacing="1" w:after="0" w:line="360" w:lineRule="auto"/>
        <w:ind w:left="900" w:hanging="180"/>
        <w:jc w:val="both"/>
        <w:rPr>
          <w:rFonts w:ascii="Times New Roman" w:hAnsi="Times New Roman" w:cs="Times New Roman"/>
          <w:sz w:val="24"/>
          <w:szCs w:val="24"/>
        </w:rPr>
      </w:pPr>
      <w:r>
        <w:rPr>
          <w:rFonts w:ascii="Times New Roman" w:hAnsi="Times New Roman" w:cs="Times New Roman"/>
          <w:sz w:val="24"/>
          <w:szCs w:val="24"/>
        </w:rPr>
        <w:t>i</w:t>
      </w:r>
      <w:r w:rsidRPr="00C71D31">
        <w:rPr>
          <w:rFonts w:ascii="Times New Roman" w:hAnsi="Times New Roman" w:cs="Times New Roman"/>
          <w:sz w:val="24"/>
          <w:szCs w:val="24"/>
        </w:rPr>
        <w:t>. Firman Allah yang melarang perbuatan zina dan seluruh hal yang mendekatkan ke zina, antara lain:</w:t>
      </w:r>
    </w:p>
    <w:p w:rsidR="00343B61" w:rsidRPr="00776821" w:rsidRDefault="00343B61" w:rsidP="00343B61">
      <w:pPr>
        <w:bidi/>
        <w:spacing w:after="0"/>
        <w:ind w:left="900" w:hanging="883"/>
        <w:jc w:val="both"/>
        <w:rPr>
          <w:rFonts w:ascii="(normal text)" w:hAnsi="(normal text)"/>
        </w:rPr>
      </w:pP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2F"/>
      </w:r>
      <w:r>
        <w:rPr>
          <w:sz w:val="28"/>
          <w:szCs w:val="28"/>
        </w:rPr>
        <w:sym w:font="HQPB5" w:char="F074"/>
      </w:r>
      <w:r>
        <w:rPr>
          <w:sz w:val="28"/>
          <w:szCs w:val="28"/>
        </w:rPr>
        <w:sym w:font="HQPB1" w:char="F08D"/>
      </w:r>
      <w:r>
        <w:rPr>
          <w:sz w:val="28"/>
          <w:szCs w:val="28"/>
        </w:rPr>
        <w:sym w:font="HQPB4" w:char="F0F8"/>
      </w:r>
      <w:r>
        <w:rPr>
          <w:sz w:val="28"/>
          <w:szCs w:val="28"/>
        </w:rPr>
        <w:sym w:font="HQPB2" w:char="F029"/>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F"/>
      </w:r>
      <w:r>
        <w:rPr>
          <w:sz w:val="28"/>
          <w:szCs w:val="28"/>
        </w:rPr>
        <w:sym w:font="HQPB2" w:char="F054"/>
      </w:r>
      <w:r>
        <w:rPr>
          <w:sz w:val="28"/>
          <w:szCs w:val="28"/>
        </w:rPr>
        <w:sym w:font="HQPB4" w:char="F0CC"/>
      </w:r>
      <w:r>
        <w:rPr>
          <w:sz w:val="28"/>
          <w:szCs w:val="28"/>
        </w:rPr>
        <w:sym w:font="HQPB4" w:char="F068"/>
      </w:r>
      <w:r>
        <w:rPr>
          <w:sz w:val="28"/>
          <w:szCs w:val="28"/>
        </w:rPr>
        <w:sym w:font="HQPB1" w:char="F093"/>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4"/>
      </w:r>
      <w:r>
        <w:rPr>
          <w:sz w:val="28"/>
          <w:szCs w:val="28"/>
        </w:rPr>
        <w:sym w:font="HQPB1" w:char="F0B1"/>
      </w:r>
      <w:r>
        <w:rPr>
          <w:sz w:val="28"/>
          <w:szCs w:val="28"/>
        </w:rPr>
        <w:sym w:font="HQPB4" w:char="F0C5"/>
      </w:r>
      <w:r>
        <w:rPr>
          <w:sz w:val="28"/>
          <w:szCs w:val="28"/>
        </w:rPr>
        <w:sym w:font="HQPB1" w:char="F073"/>
      </w:r>
      <w:r>
        <w:rPr>
          <w:sz w:val="28"/>
          <w:szCs w:val="28"/>
        </w:rPr>
        <w:sym w:font="HQPB2" w:char="F0BB"/>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9"/>
      </w:r>
      <w:r>
        <w:rPr>
          <w:sz w:val="28"/>
          <w:szCs w:val="28"/>
        </w:rPr>
        <w:sym w:font="HQPB1" w:char="F09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57"/>
      </w:r>
      <w:r>
        <w:rPr>
          <w:sz w:val="28"/>
          <w:szCs w:val="28"/>
        </w:rPr>
        <w:sym w:font="HQPB2" w:char="F078"/>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B"/>
      </w:r>
      <w:r>
        <w:rPr>
          <w:sz w:val="28"/>
          <w:szCs w:val="28"/>
        </w:rPr>
        <w:sym w:font="HQPB2" w:char="F0C8"/>
      </w:r>
      <w:r>
        <w:rPr>
          <w:rFonts w:ascii="(normal text)" w:hAnsi="(normal text)"/>
          <w:rtl/>
        </w:rPr>
        <w:t xml:space="preserve">   </w:t>
      </w:r>
    </w:p>
    <w:p w:rsidR="00343B61" w:rsidRPr="00E1329D" w:rsidRDefault="00343B61" w:rsidP="00343B61">
      <w:pPr>
        <w:spacing w:after="0" w:line="240" w:lineRule="auto"/>
        <w:ind w:left="720"/>
        <w:jc w:val="both"/>
        <w:rPr>
          <w:rFonts w:ascii="Times New Roman" w:hAnsi="Times New Roman" w:cs="Times New Roman"/>
          <w:sz w:val="24"/>
          <w:szCs w:val="24"/>
        </w:rPr>
      </w:pPr>
      <w:r w:rsidRPr="00C71D31">
        <w:rPr>
          <w:rFonts w:ascii="Times New Roman" w:hAnsi="Times New Roman" w:cs="Times New Roman"/>
          <w:i/>
          <w:iCs/>
          <w:sz w:val="24"/>
          <w:szCs w:val="24"/>
        </w:rPr>
        <w:t xml:space="preserve"> “Dan janganlah kamu mendekati zina; sesungguhnya zina itu adalah suatu perbuatan yang keji. Dan suatu jalan yang buruk “</w:t>
      </w:r>
      <w:r>
        <w:rPr>
          <w:rStyle w:val="FootnoteReference"/>
          <w:rFonts w:ascii="Times New Roman" w:hAnsi="Times New Roman" w:cs="Times New Roman"/>
          <w:i/>
          <w:iCs/>
          <w:sz w:val="24"/>
          <w:szCs w:val="24"/>
        </w:rPr>
        <w:footnoteReference w:id="765"/>
      </w:r>
      <w:r w:rsidRPr="00C71D31">
        <w:rPr>
          <w:rFonts w:ascii="Times New Roman" w:hAnsi="Times New Roman" w:cs="Times New Roman"/>
          <w:i/>
          <w:iCs/>
          <w:sz w:val="24"/>
          <w:szCs w:val="24"/>
        </w:rPr>
        <w:t xml:space="preserve"> </w:t>
      </w:r>
      <w:r w:rsidRPr="00E1329D">
        <w:rPr>
          <w:rFonts w:ascii="Times New Roman" w:hAnsi="Times New Roman" w:cs="Times New Roman"/>
          <w:sz w:val="24"/>
          <w:szCs w:val="24"/>
        </w:rPr>
        <w:t>(QS. Al-Isra : 32).</w:t>
      </w:r>
    </w:p>
    <w:p w:rsidR="00343B61" w:rsidRDefault="00343B61" w:rsidP="00343B61">
      <w:pPr>
        <w:pStyle w:val="ListParagraph"/>
        <w:autoSpaceDE w:val="0"/>
        <w:autoSpaceDN w:val="0"/>
        <w:adjustRightInd w:val="0"/>
        <w:spacing w:after="0" w:line="360" w:lineRule="auto"/>
        <w:jc w:val="both"/>
        <w:rPr>
          <w:rFonts w:asciiTheme="majorBidi" w:eastAsia="TTE22F8E60t00" w:hAnsiTheme="majorBidi" w:cstheme="majorBidi"/>
          <w:sz w:val="24"/>
          <w:szCs w:val="24"/>
        </w:rPr>
      </w:pPr>
      <w:r>
        <w:rPr>
          <w:rFonts w:asciiTheme="majorBidi" w:eastAsia="TTE22F8E60t00" w:hAnsiTheme="majorBidi" w:cstheme="majorBidi"/>
          <w:sz w:val="24"/>
          <w:szCs w:val="24"/>
        </w:rPr>
        <w:t xml:space="preserve">ii. Dan juga firman Allah SWT : </w:t>
      </w:r>
    </w:p>
    <w:p w:rsidR="00343B61" w:rsidRDefault="00343B61" w:rsidP="00343B61">
      <w:pPr>
        <w:pStyle w:val="ListParagraph"/>
        <w:autoSpaceDE w:val="0"/>
        <w:autoSpaceDN w:val="0"/>
        <w:bidi/>
        <w:adjustRightInd w:val="0"/>
        <w:spacing w:after="0" w:line="240" w:lineRule="auto"/>
        <w:ind w:left="17" w:right="720"/>
        <w:jc w:val="both"/>
        <w:rPr>
          <w:rFonts w:ascii="(normal text)" w:hAnsi="(normal text)"/>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2" w:char="F042"/>
      </w:r>
      <w:r w:rsidRPr="00350273">
        <w:rPr>
          <w:rFonts w:hint="cs"/>
          <w:sz w:val="32"/>
          <w:szCs w:val="32"/>
          <w:rtl/>
        </w:rPr>
        <w:t>ا</w:t>
      </w:r>
      <w:r w:rsidRPr="00350273">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1" w:char="F024"/>
      </w:r>
      <w:r>
        <w:rPr>
          <w:sz w:val="28"/>
          <w:szCs w:val="28"/>
        </w:rPr>
        <w:sym w:font="HQPB4" w:char="F0B7"/>
      </w:r>
      <w:r>
        <w:rPr>
          <w:sz w:val="28"/>
          <w:szCs w:val="28"/>
        </w:rPr>
        <w:sym w:font="HQPB2" w:char="F067"/>
      </w:r>
      <w:r>
        <w:rPr>
          <w:sz w:val="28"/>
          <w:szCs w:val="28"/>
        </w:rPr>
        <w:sym w:font="HQPB2" w:char="F0BB"/>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9"/>
      </w:r>
      <w:r>
        <w:rPr>
          <w:sz w:val="28"/>
          <w:szCs w:val="28"/>
        </w:rPr>
        <w:sym w:font="HQPB1" w:char="F07A"/>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4" w:char="F0E7"/>
      </w:r>
      <w:r>
        <w:rPr>
          <w:sz w:val="28"/>
          <w:szCs w:val="28"/>
        </w:rPr>
        <w:sym w:font="HQPB1" w:char="F046"/>
      </w:r>
      <w:r>
        <w:rPr>
          <w:sz w:val="28"/>
          <w:szCs w:val="28"/>
        </w:rPr>
        <w:sym w:font="HQPB4" w:char="F0F8"/>
      </w:r>
      <w:r>
        <w:rPr>
          <w:sz w:val="28"/>
          <w:szCs w:val="28"/>
        </w:rPr>
        <w:sym w:font="HQPB2" w:char="F029"/>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D"/>
      </w:r>
      <w:r>
        <w:rPr>
          <w:sz w:val="28"/>
          <w:szCs w:val="28"/>
        </w:rPr>
        <w:sym w:font="HQPB1" w:char="F0A7"/>
      </w:r>
      <w:r>
        <w:rPr>
          <w:sz w:val="28"/>
          <w:szCs w:val="28"/>
        </w:rPr>
        <w:sym w:font="HQPB4" w:char="F0F8"/>
      </w:r>
      <w:r>
        <w:rPr>
          <w:sz w:val="28"/>
          <w:szCs w:val="28"/>
        </w:rPr>
        <w:sym w:font="HQPB1" w:char="F0FF"/>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A7"/>
      </w:r>
      <w:r>
        <w:rPr>
          <w:sz w:val="28"/>
          <w:szCs w:val="28"/>
        </w:rPr>
        <w:sym w:font="HQPB1" w:char="F08D"/>
      </w:r>
      <w:r>
        <w:rPr>
          <w:sz w:val="28"/>
          <w:szCs w:val="28"/>
        </w:rPr>
        <w:sym w:font="HQPB5" w:char="F079"/>
      </w:r>
      <w:r>
        <w:rPr>
          <w:sz w:val="28"/>
          <w:szCs w:val="28"/>
        </w:rPr>
        <w:sym w:font="HQPB1" w:char="F06D"/>
      </w:r>
      <w:r>
        <w:rPr>
          <w:rFonts w:ascii="(normal text)" w:hAnsi="(normal text)"/>
          <w:rtl/>
        </w:rPr>
        <w:t xml:space="preserve"> </w:t>
      </w:r>
      <w:r w:rsidRPr="00350273">
        <w:rPr>
          <w:rFonts w:hint="cs"/>
          <w:sz w:val="32"/>
          <w:szCs w:val="32"/>
          <w:rtl/>
        </w:rPr>
        <w:t xml:space="preserve"> ا</w:t>
      </w:r>
      <w:r w:rsidRPr="00350273">
        <w:rPr>
          <w:rFonts w:ascii="Adobe نسخ Medium" w:hAnsi="Adobe نسخ Medium" w:cs="Adobe نسخ Medium"/>
          <w:sz w:val="32"/>
          <w:szCs w:val="32"/>
          <w:rtl/>
        </w:rPr>
        <w:t>للهُ</w:t>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4" w:char="F064"/>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7"/>
      </w:r>
      <w:r>
        <w:rPr>
          <w:sz w:val="28"/>
          <w:szCs w:val="28"/>
        </w:rPr>
        <w:sym w:font="HQPB2" w:char="F052"/>
      </w:r>
      <w:r>
        <w:rPr>
          <w:sz w:val="28"/>
          <w:szCs w:val="28"/>
        </w:rPr>
        <w:sym w:font="HQPB4" w:char="F0F7"/>
      </w:r>
      <w:r>
        <w:rPr>
          <w:sz w:val="28"/>
          <w:szCs w:val="28"/>
        </w:rPr>
        <w:sym w:font="HQPB1" w:char="F093"/>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0"/>
      </w:r>
      <w:r>
        <w:rPr>
          <w:sz w:val="28"/>
          <w:szCs w:val="28"/>
        </w:rPr>
        <w:sym w:font="HQPB5" w:char="F079"/>
      </w:r>
      <w:r>
        <w:rPr>
          <w:sz w:val="28"/>
          <w:szCs w:val="28"/>
        </w:rPr>
        <w:sym w:font="HQPB1" w:char="F0E8"/>
      </w:r>
      <w:r>
        <w:rPr>
          <w:sz w:val="28"/>
          <w:szCs w:val="28"/>
        </w:rPr>
        <w:sym w:font="HQPB4" w:char="F0F8"/>
      </w:r>
      <w:r>
        <w:rPr>
          <w:sz w:val="28"/>
          <w:szCs w:val="28"/>
        </w:rPr>
        <w:sym w:font="HQPB1" w:char="F0FF"/>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5" w:char="F074"/>
      </w:r>
      <w:r>
        <w:rPr>
          <w:sz w:val="28"/>
          <w:szCs w:val="28"/>
        </w:rPr>
        <w:sym w:font="HQPB2" w:char="F02C"/>
      </w:r>
      <w:r>
        <w:rPr>
          <w:sz w:val="28"/>
          <w:szCs w:val="28"/>
        </w:rPr>
        <w:sym w:font="HQPB4" w:char="F0F9"/>
      </w:r>
      <w:r>
        <w:rPr>
          <w:sz w:val="28"/>
          <w:szCs w:val="28"/>
        </w:rPr>
        <w:sym w:font="HQPB2" w:char="F03D"/>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4" w:char="F059"/>
      </w:r>
      <w:r>
        <w:rPr>
          <w:sz w:val="28"/>
          <w:szCs w:val="28"/>
        </w:rPr>
        <w:sym w:font="HQPB2" w:char="F042"/>
      </w:r>
      <w:r>
        <w:rPr>
          <w:sz w:val="28"/>
          <w:szCs w:val="28"/>
        </w:rPr>
        <w:sym w:font="HQPB1" w:char="F024"/>
      </w:r>
      <w:r>
        <w:rPr>
          <w:sz w:val="28"/>
          <w:szCs w:val="28"/>
        </w:rPr>
        <w:sym w:font="HQPB5" w:char="F072"/>
      </w:r>
      <w:r>
        <w:rPr>
          <w:sz w:val="28"/>
          <w:szCs w:val="28"/>
        </w:rPr>
        <w:sym w:font="HQPB1" w:char="F04F"/>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D1"/>
      </w:r>
      <w:r>
        <w:rPr>
          <w:sz w:val="28"/>
          <w:szCs w:val="28"/>
        </w:rPr>
        <w:sym w:font="HQPB2" w:char="F0C8"/>
      </w:r>
      <w:r>
        <w:rPr>
          <w:rFonts w:ascii="(normal text)" w:hAnsi="(normal text)"/>
          <w:rtl/>
        </w:rPr>
        <w:t xml:space="preserve">   </w:t>
      </w:r>
      <w:r>
        <w:rPr>
          <w:sz w:val="28"/>
          <w:szCs w:val="28"/>
        </w:rPr>
        <w:sym w:font="HQPB4" w:char="F0F4"/>
      </w:r>
      <w:r>
        <w:rPr>
          <w:sz w:val="28"/>
          <w:szCs w:val="28"/>
        </w:rPr>
        <w:sym w:font="HQPB2" w:char="F023"/>
      </w:r>
      <w:r>
        <w:rPr>
          <w:sz w:val="28"/>
          <w:szCs w:val="28"/>
        </w:rPr>
        <w:sym w:font="HQPB5" w:char="F079"/>
      </w:r>
      <w:r>
        <w:rPr>
          <w:sz w:val="28"/>
          <w:szCs w:val="28"/>
        </w:rPr>
        <w:sym w:font="HQPB1" w:char="F0E8"/>
      </w:r>
      <w:r>
        <w:rPr>
          <w:sz w:val="28"/>
          <w:szCs w:val="28"/>
        </w:rPr>
        <w:sym w:font="HQPB2" w:char="F0BB"/>
      </w:r>
      <w:r>
        <w:rPr>
          <w:sz w:val="28"/>
          <w:szCs w:val="28"/>
        </w:rPr>
        <w:sym w:font="HQPB5" w:char="F09F"/>
      </w:r>
      <w:r>
        <w:rPr>
          <w:sz w:val="28"/>
          <w:szCs w:val="28"/>
        </w:rPr>
        <w:sym w:font="HQPB1" w:char="F0D2"/>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E3"/>
      </w:r>
      <w:r>
        <w:rPr>
          <w:sz w:val="28"/>
          <w:szCs w:val="28"/>
        </w:rPr>
        <w:sym w:font="HQPB3" w:char="F026"/>
      </w:r>
      <w:r>
        <w:rPr>
          <w:sz w:val="28"/>
          <w:szCs w:val="28"/>
        </w:rPr>
        <w:sym w:font="HQPB5" w:char="F073"/>
      </w:r>
      <w:r>
        <w:rPr>
          <w:sz w:val="28"/>
          <w:szCs w:val="28"/>
        </w:rPr>
        <w:sym w:font="HQPB3" w:char="F021"/>
      </w:r>
      <w:r>
        <w:rPr>
          <w:rFonts w:ascii="(normal text)" w:hAnsi="(normal text)"/>
          <w:rtl/>
        </w:rPr>
        <w:t xml:space="preserve"> </w:t>
      </w:r>
      <w:r>
        <w:rPr>
          <w:sz w:val="28"/>
          <w:szCs w:val="28"/>
        </w:rPr>
        <w:sym w:font="HQPB4" w:char="F0DC"/>
      </w:r>
      <w:r>
        <w:rPr>
          <w:sz w:val="28"/>
          <w:szCs w:val="28"/>
        </w:rPr>
        <w:sym w:font="HQPB1" w:char="F03E"/>
      </w:r>
      <w:r>
        <w:rPr>
          <w:sz w:val="28"/>
          <w:szCs w:val="28"/>
        </w:rPr>
        <w:sym w:font="HQPB1" w:char="F023"/>
      </w:r>
      <w:r>
        <w:rPr>
          <w:sz w:val="28"/>
          <w:szCs w:val="28"/>
        </w:rPr>
        <w:sym w:font="HQPB5" w:char="F078"/>
      </w:r>
      <w:r>
        <w:rPr>
          <w:sz w:val="28"/>
          <w:szCs w:val="28"/>
        </w:rPr>
        <w:sym w:font="HQPB1" w:char="F08B"/>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2" w:char="F0BB"/>
      </w:r>
      <w:r>
        <w:rPr>
          <w:sz w:val="28"/>
          <w:szCs w:val="28"/>
        </w:rPr>
        <w:sym w:font="HQPB5" w:char="F075"/>
      </w:r>
      <w:r>
        <w:rPr>
          <w:sz w:val="28"/>
          <w:szCs w:val="28"/>
        </w:rPr>
        <w:sym w:font="HQPB2" w:char="F08A"/>
      </w:r>
      <w:r>
        <w:rPr>
          <w:sz w:val="28"/>
          <w:szCs w:val="28"/>
        </w:rPr>
        <w:sym w:font="HQPB4" w:char="F0C9"/>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3" w:char="F024"/>
      </w:r>
      <w:r>
        <w:rPr>
          <w:sz w:val="28"/>
          <w:szCs w:val="28"/>
        </w:rPr>
        <w:sym w:font="HQPB4" w:char="F0E9"/>
      </w:r>
      <w:r>
        <w:rPr>
          <w:sz w:val="28"/>
          <w:szCs w:val="28"/>
        </w:rPr>
        <w:sym w:font="HQPB3" w:char="F023"/>
      </w:r>
      <w:r>
        <w:rPr>
          <w:sz w:val="28"/>
          <w:szCs w:val="28"/>
        </w:rPr>
        <w:sym w:font="HQPB4" w:char="F0F8"/>
      </w:r>
      <w:r>
        <w:rPr>
          <w:sz w:val="28"/>
          <w:szCs w:val="28"/>
        </w:rPr>
        <w:sym w:font="HQPB1" w:char="F083"/>
      </w:r>
      <w:r>
        <w:rPr>
          <w:sz w:val="28"/>
          <w:szCs w:val="28"/>
        </w:rPr>
        <w:sym w:font="HQPB5" w:char="F073"/>
      </w:r>
      <w:r>
        <w:rPr>
          <w:sz w:val="28"/>
          <w:szCs w:val="28"/>
        </w:rPr>
        <w:sym w:font="HQPB2" w:char="F08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1" w:char="F024"/>
      </w:r>
      <w:r>
        <w:rPr>
          <w:sz w:val="28"/>
          <w:szCs w:val="28"/>
        </w:rPr>
        <w:sym w:font="HQPB4" w:char="F0BA"/>
      </w:r>
      <w:r>
        <w:rPr>
          <w:sz w:val="28"/>
          <w:szCs w:val="28"/>
        </w:rPr>
        <w:sym w:font="HQPB2" w:char="F052"/>
      </w:r>
      <w:r>
        <w:rPr>
          <w:sz w:val="28"/>
          <w:szCs w:val="28"/>
        </w:rPr>
        <w:sym w:font="HQPB1" w:char="F024"/>
      </w:r>
      <w:r>
        <w:rPr>
          <w:sz w:val="28"/>
          <w:szCs w:val="28"/>
        </w:rPr>
        <w:sym w:font="HQPB5" w:char="F079"/>
      </w:r>
      <w:r>
        <w:rPr>
          <w:sz w:val="28"/>
          <w:szCs w:val="28"/>
        </w:rPr>
        <w:sym w:font="HQPB2" w:char="F067"/>
      </w:r>
      <w:r>
        <w:rPr>
          <w:sz w:val="28"/>
          <w:szCs w:val="28"/>
        </w:rPr>
        <w:sym w:font="HQPB4" w:char="F0E3"/>
      </w:r>
      <w:r>
        <w:rPr>
          <w:sz w:val="28"/>
          <w:szCs w:val="28"/>
        </w:rPr>
        <w:sym w:font="HQPB2" w:char="F042"/>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D2"/>
      </w:r>
      <w:r>
        <w:rPr>
          <w:sz w:val="28"/>
          <w:szCs w:val="28"/>
        </w:rPr>
        <w:sym w:font="HQPB2" w:char="F0C8"/>
      </w:r>
      <w:r>
        <w:rPr>
          <w:rFonts w:ascii="(normal text)" w:hAnsi="(normal text)"/>
          <w:rtl/>
        </w:rPr>
        <w:t xml:space="preserve">   </w:t>
      </w:r>
    </w:p>
    <w:p w:rsidR="00343B61" w:rsidRDefault="00343B61" w:rsidP="00343B61">
      <w:pPr>
        <w:pStyle w:val="ListParagraph"/>
        <w:autoSpaceDE w:val="0"/>
        <w:autoSpaceDN w:val="0"/>
        <w:adjustRightInd w:val="0"/>
        <w:spacing w:after="0" w:line="240" w:lineRule="auto"/>
        <w:jc w:val="both"/>
        <w:rPr>
          <w:rFonts w:asciiTheme="majorBidi" w:hAnsiTheme="majorBidi" w:cstheme="majorBidi"/>
          <w:sz w:val="24"/>
          <w:szCs w:val="24"/>
        </w:rPr>
      </w:pPr>
      <w:r w:rsidRPr="00776821">
        <w:rPr>
          <w:rFonts w:asciiTheme="majorBidi" w:hAnsiTheme="majorBidi" w:cstheme="majorBidi"/>
          <w:i/>
          <w:iCs/>
          <w:sz w:val="24"/>
          <w:szCs w:val="24"/>
        </w:rPr>
        <w:t>“ Dan orang-orang yang tidak menyembah Tuhan yang lain beserta Allah dan tidak membunuh jiwa yang diharamkan Allah (membunuhnya) kecuali dengan (alasan) yang benar, dan tidak berzina, barang siapa yang melakukan yang demikian itu, niscaya Dia mendapat (pembalasan) dosa(nya),(yakni) akan dilipat gandakan azab untuknya pada hari kiamat dan Dia akan kekal dalam azab itu, dalam Keadaan terhina”</w:t>
      </w:r>
      <w:r w:rsidRPr="00F71FEA">
        <w:rPr>
          <w:rStyle w:val="FootnoteReference"/>
          <w:rFonts w:asciiTheme="majorBidi" w:hAnsiTheme="majorBidi" w:cstheme="majorBidi"/>
          <w:sz w:val="24"/>
          <w:szCs w:val="24"/>
        </w:rPr>
        <w:footnoteReference w:id="766"/>
      </w:r>
      <w:r w:rsidRPr="00776821">
        <w:rPr>
          <w:rFonts w:asciiTheme="majorBidi" w:hAnsiTheme="majorBidi" w:cstheme="majorBidi"/>
          <w:i/>
          <w:iCs/>
          <w:sz w:val="24"/>
          <w:szCs w:val="24"/>
        </w:rPr>
        <w:t xml:space="preserve"> </w:t>
      </w:r>
      <w:r w:rsidRPr="00776821">
        <w:rPr>
          <w:rFonts w:asciiTheme="majorBidi" w:hAnsiTheme="majorBidi" w:cstheme="majorBidi"/>
          <w:sz w:val="24"/>
          <w:szCs w:val="24"/>
        </w:rPr>
        <w:t xml:space="preserve">( QS. Al-Furqan: 68-69) </w:t>
      </w:r>
    </w:p>
    <w:p w:rsidR="00343B61" w:rsidRDefault="00343B61" w:rsidP="00343B61">
      <w:pPr>
        <w:pStyle w:val="ListParagraph"/>
        <w:autoSpaceDE w:val="0"/>
        <w:autoSpaceDN w:val="0"/>
        <w:adjustRightInd w:val="0"/>
        <w:spacing w:after="0" w:line="240" w:lineRule="auto"/>
        <w:jc w:val="both"/>
        <w:rPr>
          <w:rFonts w:asciiTheme="majorBidi" w:hAnsiTheme="majorBidi" w:cstheme="majorBidi"/>
          <w:sz w:val="24"/>
          <w:szCs w:val="24"/>
        </w:rPr>
      </w:pPr>
    </w:p>
    <w:p w:rsidR="00343B61" w:rsidRDefault="00343B61" w:rsidP="00343B61">
      <w:pPr>
        <w:pStyle w:val="ListParagraph"/>
        <w:autoSpaceDE w:val="0"/>
        <w:autoSpaceDN w:val="0"/>
        <w:adjustRightInd w:val="0"/>
        <w:spacing w:after="0" w:line="240" w:lineRule="auto"/>
        <w:jc w:val="both"/>
        <w:rPr>
          <w:rFonts w:asciiTheme="majorBidi" w:hAnsiTheme="majorBidi" w:cstheme="majorBidi"/>
          <w:sz w:val="24"/>
          <w:szCs w:val="24"/>
        </w:rPr>
      </w:pPr>
    </w:p>
    <w:p w:rsidR="00343B61" w:rsidRPr="00C71D31" w:rsidRDefault="00343B61" w:rsidP="00343B61">
      <w:pPr>
        <w:spacing w:before="100" w:beforeAutospacing="1"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iii</w:t>
      </w:r>
      <w:r w:rsidRPr="00C71D31">
        <w:rPr>
          <w:rFonts w:ascii="Times New Roman" w:hAnsi="Times New Roman" w:cs="Times New Roman"/>
          <w:sz w:val="24"/>
          <w:szCs w:val="24"/>
        </w:rPr>
        <w:t>. Hadis yang menerangkan larangan berzina, antara lain:</w:t>
      </w:r>
    </w:p>
    <w:p w:rsidR="00343B61" w:rsidRPr="001712CF" w:rsidRDefault="00343B61" w:rsidP="00343B61">
      <w:pPr>
        <w:bidi/>
        <w:spacing w:after="0" w:line="240" w:lineRule="auto"/>
        <w:ind w:left="17" w:right="810"/>
        <w:jc w:val="both"/>
        <w:rPr>
          <w:rFonts w:ascii="Times New Roman" w:hAnsi="Times New Roman" w:cs="Traditional Arabic"/>
          <w:sz w:val="36"/>
          <w:szCs w:val="36"/>
        </w:rPr>
      </w:pPr>
      <w:r w:rsidRPr="001712CF">
        <w:rPr>
          <w:rFonts w:ascii="Times New Roman" w:hAnsi="Times New Roman" w:cs="Traditional Arabic"/>
          <w:sz w:val="36"/>
          <w:szCs w:val="36"/>
          <w:rtl/>
        </w:rPr>
        <w:lastRenderedPageBreak/>
        <w:t>عن ‏أبي مرزوق  رَضِيَ اللَّهُ عَنْه قال ‏غزونا مع ‏‏رويفع بن ثابت الأنصاري ‏ ‏قرية من قرى ‏‏المغرب ‏يقال لها ‏ ‏جربة ‏ ‏فقام فينا خطيبا فقال أيها الناس إني لا أقول فيكم إلا ما سمعت رسول الله ‏ ‏صلى الله عليه وسلم ‏ ‏يقول قام فينا يوم ‏ ‏حنين ‏ ‏فقال ‏ ‏لا يحل لامرئ يؤمن بالله والي</w:t>
      </w:r>
      <w:r>
        <w:rPr>
          <w:rFonts w:ascii="Times New Roman" w:hAnsi="Times New Roman" w:cs="Traditional Arabic"/>
          <w:sz w:val="36"/>
          <w:szCs w:val="36"/>
          <w:rtl/>
        </w:rPr>
        <w:t xml:space="preserve">وم الآخر أن يسقي ماءه زرع غيره </w:t>
      </w:r>
      <w:r w:rsidRPr="001712CF">
        <w:rPr>
          <w:rFonts w:ascii="Times New Roman" w:hAnsi="Times New Roman" w:cs="Traditional Arabic"/>
          <w:sz w:val="36"/>
          <w:szCs w:val="36"/>
          <w:rtl/>
        </w:rPr>
        <w:t xml:space="preserve"> أخرجه الإمام أحمد و أبو داود</w:t>
      </w:r>
    </w:p>
    <w:p w:rsidR="00343B61" w:rsidRDefault="00343B61" w:rsidP="00343B61">
      <w:pPr>
        <w:spacing w:after="0" w:line="240" w:lineRule="auto"/>
        <w:ind w:left="720"/>
        <w:jc w:val="both"/>
        <w:rPr>
          <w:rFonts w:ascii="Times New Roman" w:hAnsi="Times New Roman" w:cs="Times New Roman"/>
          <w:sz w:val="24"/>
          <w:szCs w:val="24"/>
          <w:rtl/>
        </w:rPr>
      </w:pPr>
      <w:r w:rsidRPr="001712CF">
        <w:rPr>
          <w:rFonts w:ascii="Times New Roman" w:hAnsi="Times New Roman" w:cs="Times New Roman"/>
          <w:sz w:val="24"/>
          <w:szCs w:val="24"/>
        </w:rPr>
        <w:t>Artinya:</w:t>
      </w:r>
      <w:r>
        <w:rPr>
          <w:rFonts w:ascii="Times New Roman" w:hAnsi="Times New Roman" w:cs="Times New Roman"/>
          <w:i/>
          <w:iCs/>
          <w:sz w:val="24"/>
          <w:szCs w:val="24"/>
        </w:rPr>
        <w:t xml:space="preserve"> </w:t>
      </w:r>
      <w:r w:rsidRPr="00C71D31">
        <w:rPr>
          <w:rFonts w:ascii="Times New Roman" w:hAnsi="Times New Roman" w:cs="Times New Roman"/>
          <w:i/>
          <w:iCs/>
          <w:sz w:val="24"/>
          <w:szCs w:val="24"/>
        </w:rPr>
        <w:t>Dari Abi Marzuq ra ia berkata: Kami bersama  Ruwaifi’ ibn Tsabit berperang di Jarbah, sebuah desa di daerah Maghrib, lantas ia berpidato: “Wahai manusia, saya sampaikan apa yang saya dengar dari rasulullah saw pada saat perang Hunain seraya berliau bersabda: “Tidak halal bagi seseorang yang beriman kepada Allah dan rasul-Nya menyirampan air (mani)nya ke tanaman orang lain (berzina)’</w:t>
      </w:r>
      <w:r>
        <w:rPr>
          <w:rStyle w:val="FootnoteReference"/>
          <w:rFonts w:ascii="Times New Roman" w:hAnsi="Times New Roman" w:cs="Times New Roman"/>
          <w:i/>
          <w:iCs/>
          <w:sz w:val="24"/>
          <w:szCs w:val="24"/>
        </w:rPr>
        <w:footnoteReference w:id="767"/>
      </w:r>
      <w:r w:rsidRPr="00C71D31">
        <w:rPr>
          <w:rFonts w:ascii="Times New Roman" w:hAnsi="Times New Roman" w:cs="Times New Roman"/>
          <w:i/>
          <w:iCs/>
          <w:sz w:val="24"/>
          <w:szCs w:val="24"/>
        </w:rPr>
        <w:t xml:space="preserve"> </w:t>
      </w:r>
      <w:r w:rsidRPr="00512286">
        <w:rPr>
          <w:rFonts w:ascii="Times New Roman" w:hAnsi="Times New Roman" w:cs="Times New Roman"/>
          <w:sz w:val="24"/>
          <w:szCs w:val="24"/>
        </w:rPr>
        <w:t>(HR Ahmad dan Abu Dawud)</w:t>
      </w:r>
    </w:p>
    <w:p w:rsidR="00343B61" w:rsidRDefault="00343B61" w:rsidP="00343B61">
      <w:pPr>
        <w:spacing w:after="0" w:line="240" w:lineRule="auto"/>
        <w:ind w:left="720"/>
        <w:jc w:val="both"/>
        <w:rPr>
          <w:rFonts w:ascii="Times New Roman" w:hAnsi="Times New Roman" w:cs="Times New Roman"/>
          <w:i/>
          <w:iCs/>
          <w:sz w:val="24"/>
          <w:szCs w:val="24"/>
        </w:rPr>
      </w:pPr>
    </w:p>
    <w:p w:rsidR="00343B61" w:rsidRDefault="00343B61" w:rsidP="00343B61">
      <w:p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iv</w:t>
      </w:r>
      <w:r w:rsidRPr="00C71D31">
        <w:rPr>
          <w:rFonts w:ascii="Times New Roman" w:hAnsi="Times New Roman" w:cs="Times New Roman"/>
          <w:sz w:val="24"/>
          <w:szCs w:val="24"/>
        </w:rPr>
        <w:t>. Qaidah Sadd al-Dzari’ah, dengan menutup peluang sekecil apapun terjadinya zina serta akibat hukumnya.</w:t>
      </w:r>
    </w:p>
    <w:p w:rsidR="00343B61" w:rsidRPr="004F17CC" w:rsidRDefault="00343B61" w:rsidP="002C0A33">
      <w:pPr>
        <w:pStyle w:val="ListParagraph"/>
        <w:numPr>
          <w:ilvl w:val="0"/>
          <w:numId w:val="57"/>
        </w:numPr>
        <w:autoSpaceDE w:val="0"/>
        <w:autoSpaceDN w:val="0"/>
        <w:adjustRightInd w:val="0"/>
        <w:spacing w:after="0" w:line="360" w:lineRule="auto"/>
        <w:jc w:val="lowKashida"/>
        <w:rPr>
          <w:rFonts w:ascii="Times New Roman" w:hAnsi="Times New Roman" w:cs="Times New Roman"/>
          <w:sz w:val="24"/>
          <w:szCs w:val="24"/>
          <w:lang w:val="sv-SE"/>
        </w:rPr>
      </w:pPr>
      <w:r w:rsidRPr="004F17CC">
        <w:rPr>
          <w:rFonts w:ascii="Times New Roman" w:hAnsi="Times New Roman" w:cs="Times New Roman"/>
          <w:color w:val="000000"/>
          <w:sz w:val="24"/>
          <w:szCs w:val="24"/>
        </w:rPr>
        <w:t>Hubungan Nasab Anak Luar Nikah menurut Fatwa MUI</w:t>
      </w:r>
    </w:p>
    <w:p w:rsidR="00343B61" w:rsidRPr="00A74403" w:rsidRDefault="00343B61" w:rsidP="00343B61">
      <w:pPr>
        <w:autoSpaceDE w:val="0"/>
        <w:autoSpaceDN w:val="0"/>
        <w:adjustRightInd w:val="0"/>
        <w:spacing w:after="147" w:line="360" w:lineRule="auto"/>
        <w:ind w:left="360" w:firstLine="720"/>
        <w:jc w:val="both"/>
        <w:rPr>
          <w:rFonts w:asciiTheme="majorBidi" w:hAnsiTheme="majorBidi" w:cstheme="majorBidi"/>
          <w:color w:val="000000"/>
          <w:sz w:val="24"/>
          <w:szCs w:val="24"/>
        </w:rPr>
      </w:pPr>
      <w:r w:rsidRPr="00A74403">
        <w:rPr>
          <w:rFonts w:asciiTheme="majorBidi" w:hAnsiTheme="majorBidi" w:cstheme="majorBidi"/>
          <w:sz w:val="24"/>
          <w:szCs w:val="24"/>
          <w:lang w:val="sv-SE"/>
        </w:rPr>
        <w:t xml:space="preserve">Nasab dalam hukum pernikahan dapat didefinisikan sebagai sebuah hubungan darah (keturunan) antara seorang anak dengan ayahnya, karena adanya akad nikah yang sah. </w:t>
      </w:r>
      <w:r w:rsidRPr="00A74403">
        <w:rPr>
          <w:rFonts w:asciiTheme="majorBidi" w:hAnsiTheme="majorBidi" w:cstheme="majorBidi"/>
          <w:sz w:val="24"/>
          <w:szCs w:val="24"/>
        </w:rPr>
        <w:t>Perlu diketahui bahwa anak sah adalah Anak yang dilahirkan dalam atau sebagai akibat perkawinan yang sah. Selain itu penetapan asal-usul anak dalam memiliki arti yang sangat penting, karena dengan penetapan itulah dapat diketahui hubungan mahram (nasab) antara anak dengan ayahnya</w:t>
      </w:r>
      <w:r>
        <w:rPr>
          <w:rFonts w:asciiTheme="majorBidi" w:hAnsiTheme="majorBidi" w:cstheme="majorBidi"/>
          <w:sz w:val="24"/>
          <w:szCs w:val="24"/>
        </w:rPr>
        <w:t>.</w:t>
      </w:r>
      <w:r>
        <w:rPr>
          <w:rStyle w:val="FootnoteReference"/>
          <w:rFonts w:asciiTheme="majorBidi" w:hAnsiTheme="majorBidi" w:cstheme="majorBidi"/>
          <w:sz w:val="24"/>
          <w:szCs w:val="24"/>
        </w:rPr>
        <w:footnoteReference w:id="768"/>
      </w:r>
    </w:p>
    <w:p w:rsidR="00343B61" w:rsidRPr="004F17CC" w:rsidRDefault="00343B61" w:rsidP="00343B61">
      <w:pPr>
        <w:autoSpaceDE w:val="0"/>
        <w:autoSpaceDN w:val="0"/>
        <w:adjustRightInd w:val="0"/>
        <w:spacing w:after="0" w:line="360" w:lineRule="auto"/>
        <w:ind w:left="360" w:firstLine="720"/>
        <w:jc w:val="both"/>
        <w:rPr>
          <w:rFonts w:ascii="Times New Roman" w:hAnsi="Times New Roman" w:cs="Times New Roman"/>
          <w:color w:val="000000"/>
          <w:sz w:val="24"/>
          <w:szCs w:val="24"/>
        </w:rPr>
      </w:pPr>
      <w:r w:rsidRPr="004F17CC">
        <w:rPr>
          <w:rFonts w:ascii="Times New Roman" w:hAnsi="Times New Roman" w:cs="Times New Roman"/>
          <w:color w:val="000000"/>
          <w:sz w:val="24"/>
          <w:szCs w:val="24"/>
        </w:rPr>
        <w:t xml:space="preserve">Dalam Fatwa MUI tersebut dijelaskan bahwa “ Anak hasil zina tidak mempunyai hubungan nasab, wali nikah, waris, dan nafaqah dengan lelaki </w:t>
      </w:r>
      <w:r w:rsidRPr="004F17CC">
        <w:rPr>
          <w:rFonts w:ascii="Times New Roman" w:hAnsi="Times New Roman" w:cs="Times New Roman"/>
          <w:color w:val="000000"/>
          <w:sz w:val="24"/>
          <w:szCs w:val="24"/>
        </w:rPr>
        <w:lastRenderedPageBreak/>
        <w:t xml:space="preserve">yang mengakibatkan kelahirannya.  Anak hasil zina hanya mempunyai hubungan nasab, waris, dan nafaqah dengan ibunya dan keluarga ibunya”. </w:t>
      </w:r>
      <w:r w:rsidRPr="004F17CC">
        <w:rPr>
          <w:rStyle w:val="FootnoteReference"/>
          <w:rFonts w:ascii="Times New Roman" w:hAnsi="Times New Roman" w:cs="Times New Roman"/>
          <w:color w:val="000000"/>
          <w:sz w:val="24"/>
          <w:szCs w:val="24"/>
        </w:rPr>
        <w:footnoteReference w:id="769"/>
      </w:r>
    </w:p>
    <w:p w:rsidR="00343B61" w:rsidRDefault="00343B61" w:rsidP="00343B61">
      <w:pPr>
        <w:autoSpaceDE w:val="0"/>
        <w:autoSpaceDN w:val="0"/>
        <w:adjustRightInd w:val="0"/>
        <w:spacing w:after="0" w:line="360" w:lineRule="auto"/>
        <w:ind w:left="270" w:firstLine="990"/>
        <w:jc w:val="both"/>
        <w:rPr>
          <w:rFonts w:ascii="Times New Roman" w:hAnsi="Times New Roman" w:cs="Times New Roman"/>
          <w:color w:val="000000"/>
          <w:sz w:val="24"/>
          <w:szCs w:val="24"/>
        </w:rPr>
      </w:pPr>
      <w:r w:rsidRPr="004F17CC">
        <w:rPr>
          <w:rFonts w:ascii="Times New Roman" w:hAnsi="Times New Roman" w:cs="Times New Roman"/>
          <w:color w:val="000000"/>
          <w:sz w:val="24"/>
          <w:szCs w:val="24"/>
        </w:rPr>
        <w:t>Adapun ayat dan hadis yang dijadikan MUI sebagai dasar hukum terhadaip Fatwa ini adalah;</w:t>
      </w:r>
    </w:p>
    <w:p w:rsidR="00343B61" w:rsidRPr="00A020CA" w:rsidRDefault="00343B61" w:rsidP="00343B61">
      <w:pPr>
        <w:autoSpaceDE w:val="0"/>
        <w:autoSpaceDN w:val="0"/>
        <w:adjustRightInd w:val="0"/>
        <w:spacing w:after="0" w:line="360" w:lineRule="auto"/>
        <w:ind w:left="540" w:firstLine="90"/>
        <w:jc w:val="both"/>
        <w:rPr>
          <w:rFonts w:ascii="Times New Roman" w:hAnsi="Times New Roman" w:cs="Times New Roman"/>
          <w:color w:val="000000"/>
          <w:sz w:val="24"/>
          <w:szCs w:val="24"/>
        </w:rPr>
      </w:pPr>
      <w:r>
        <w:rPr>
          <w:rFonts w:ascii="Times New Roman" w:hAnsi="Times New Roman" w:cs="Times New Roman"/>
          <w:sz w:val="24"/>
          <w:szCs w:val="24"/>
        </w:rPr>
        <w:t>i</w:t>
      </w:r>
      <w:r w:rsidRPr="00C71D31">
        <w:rPr>
          <w:rFonts w:ascii="Times New Roman" w:hAnsi="Times New Roman" w:cs="Times New Roman"/>
          <w:sz w:val="24"/>
          <w:szCs w:val="24"/>
        </w:rPr>
        <w:t>. Firman Allah yang mengatur nasab, antara lain :</w:t>
      </w:r>
    </w:p>
    <w:p w:rsidR="00343B61" w:rsidRPr="00FF5F3F" w:rsidRDefault="00343B61" w:rsidP="00343B61">
      <w:pPr>
        <w:bidi/>
        <w:spacing w:after="0" w:line="240" w:lineRule="auto"/>
        <w:ind w:left="540" w:hanging="523"/>
        <w:jc w:val="both"/>
        <w:rPr>
          <w:rFonts w:ascii="(normal text)" w:hAnsi="(normal text)"/>
        </w:rPr>
      </w:pP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5" w:char="F07C"/>
      </w:r>
      <w:r>
        <w:rPr>
          <w:sz w:val="28"/>
          <w:szCs w:val="28"/>
        </w:rPr>
        <w:sym w:font="HQPB1" w:char="F0B3"/>
      </w:r>
      <w:r>
        <w:rPr>
          <w:sz w:val="28"/>
          <w:szCs w:val="28"/>
        </w:rPr>
        <w:sym w:font="HQPB5" w:char="F06F"/>
      </w:r>
      <w:r>
        <w:rPr>
          <w:sz w:val="28"/>
          <w:szCs w:val="28"/>
        </w:rPr>
        <w:sym w:font="HQPB1" w:char="F030"/>
      </w:r>
      <w:r>
        <w:rPr>
          <w:rFonts w:ascii="(normal text)" w:hAnsi="(normal text)"/>
          <w:rtl/>
        </w:rPr>
        <w:t xml:space="preserve"> </w:t>
      </w:r>
      <w:r>
        <w:rPr>
          <w:sz w:val="28"/>
          <w:szCs w:val="28"/>
        </w:rPr>
        <w:sym w:font="HQPB2" w:char="F0BC"/>
      </w:r>
      <w:r>
        <w:rPr>
          <w:sz w:val="28"/>
          <w:szCs w:val="28"/>
        </w:rPr>
        <w:sym w:font="HQPB4" w:char="F0E3"/>
      </w:r>
      <w:r>
        <w:rPr>
          <w:sz w:val="28"/>
          <w:szCs w:val="28"/>
        </w:rPr>
        <w:sym w:font="HQPB3" w:char="F026"/>
      </w:r>
      <w:r>
        <w:rPr>
          <w:sz w:val="28"/>
          <w:szCs w:val="28"/>
        </w:rPr>
        <w:sym w:font="HQPB5" w:char="F073"/>
      </w:r>
      <w:r>
        <w:rPr>
          <w:sz w:val="28"/>
          <w:szCs w:val="28"/>
        </w:rPr>
        <w:sym w:font="HQPB3" w:char="F023"/>
      </w:r>
      <w:r>
        <w:rPr>
          <w:sz w:val="28"/>
          <w:szCs w:val="28"/>
        </w:rPr>
        <w:sym w:font="HQPB5" w:char="F079"/>
      </w:r>
      <w:r>
        <w:rPr>
          <w:sz w:val="28"/>
          <w:szCs w:val="28"/>
        </w:rPr>
        <w:sym w:font="HQPB1" w:char="F0E8"/>
      </w:r>
      <w:r>
        <w:rPr>
          <w:sz w:val="28"/>
          <w:szCs w:val="28"/>
        </w:rPr>
        <w:sym w:font="HQPB5" w:char="F079"/>
      </w:r>
      <w:r>
        <w:rPr>
          <w:sz w:val="28"/>
          <w:szCs w:val="28"/>
        </w:rPr>
        <w:sym w:font="HQPB1" w:char="F066"/>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4" w:char="F059"/>
      </w:r>
      <w:r>
        <w:rPr>
          <w:sz w:val="28"/>
          <w:szCs w:val="28"/>
        </w:rPr>
        <w:sym w:font="HQPB1" w:char="F037"/>
      </w:r>
      <w:r>
        <w:rPr>
          <w:sz w:val="28"/>
          <w:szCs w:val="28"/>
        </w:rPr>
        <w:sym w:font="HQPB5" w:char="F07C"/>
      </w:r>
      <w:r>
        <w:rPr>
          <w:sz w:val="28"/>
          <w:szCs w:val="28"/>
        </w:rPr>
        <w:sym w:font="HQPB1" w:char="F0A1"/>
      </w:r>
      <w:r>
        <w:rPr>
          <w:sz w:val="28"/>
          <w:szCs w:val="28"/>
        </w:rPr>
        <w:sym w:font="HQPB5" w:char="F06E"/>
      </w:r>
      <w:r>
        <w:rPr>
          <w:sz w:val="28"/>
          <w:szCs w:val="28"/>
        </w:rPr>
        <w:sym w:font="HQPB2" w:char="F053"/>
      </w:r>
      <w:r>
        <w:rPr>
          <w:rFonts w:ascii="(normal text)" w:hAnsi="(normal text)"/>
          <w:rtl/>
        </w:rPr>
        <w:t xml:space="preserve"> </w:t>
      </w:r>
      <w:r>
        <w:rPr>
          <w:sz w:val="28"/>
          <w:szCs w:val="28"/>
        </w:rPr>
        <w:sym w:font="HQPB1" w:char="F023"/>
      </w:r>
      <w:r>
        <w:rPr>
          <w:sz w:val="28"/>
          <w:szCs w:val="28"/>
        </w:rPr>
        <w:sym w:font="HQPB4" w:char="F05C"/>
      </w:r>
      <w:r>
        <w:rPr>
          <w:sz w:val="28"/>
          <w:szCs w:val="28"/>
        </w:rPr>
        <w:sym w:font="HQPB1" w:char="F08D"/>
      </w:r>
      <w:r>
        <w:rPr>
          <w:sz w:val="28"/>
          <w:szCs w:val="28"/>
        </w:rPr>
        <w:sym w:font="HQPB4" w:char="F0F4"/>
      </w:r>
      <w:r>
        <w:rPr>
          <w:sz w:val="28"/>
          <w:szCs w:val="28"/>
        </w:rPr>
        <w:sym w:font="HQPB2" w:char="F067"/>
      </w:r>
      <w:r>
        <w:rPr>
          <w:sz w:val="28"/>
          <w:szCs w:val="28"/>
        </w:rPr>
        <w:sym w:font="HQPB4" w:char="F0CF"/>
      </w:r>
      <w:r>
        <w:rPr>
          <w:sz w:val="28"/>
          <w:szCs w:val="28"/>
        </w:rPr>
        <w:sym w:font="HQPB1" w:char="F0B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5"/>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1" w:char="F023"/>
      </w:r>
      <w:r>
        <w:rPr>
          <w:sz w:val="28"/>
          <w:szCs w:val="28"/>
        </w:rPr>
        <w:sym w:font="HQPB4" w:char="F05C"/>
      </w:r>
      <w:r>
        <w:rPr>
          <w:sz w:val="28"/>
          <w:szCs w:val="28"/>
        </w:rPr>
        <w:sym w:font="HQPB1" w:char="F08D"/>
      </w:r>
      <w:r>
        <w:rPr>
          <w:sz w:val="28"/>
          <w:szCs w:val="28"/>
        </w:rPr>
        <w:sym w:font="HQPB2" w:char="F083"/>
      </w:r>
      <w:r>
        <w:rPr>
          <w:sz w:val="28"/>
          <w:szCs w:val="28"/>
        </w:rPr>
        <w:sym w:font="HQPB4" w:char="F0CF"/>
      </w:r>
      <w:r>
        <w:rPr>
          <w:sz w:val="28"/>
          <w:szCs w:val="28"/>
        </w:rPr>
        <w:sym w:font="HQPB1" w:char="F089"/>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D"/>
      </w:r>
      <w:r>
        <w:rPr>
          <w:sz w:val="28"/>
          <w:szCs w:val="28"/>
        </w:rPr>
        <w:sym w:font="HQPB2" w:char="F0C8"/>
      </w:r>
      <w:r>
        <w:rPr>
          <w:rFonts w:ascii="(normal text)" w:hAnsi="(normal text)"/>
          <w:rtl/>
        </w:rPr>
        <w:t xml:space="preserve">   </w:t>
      </w:r>
    </w:p>
    <w:p w:rsidR="00343B61" w:rsidRDefault="00343B61" w:rsidP="00343B61">
      <w:pPr>
        <w:spacing w:after="0" w:line="240" w:lineRule="auto"/>
        <w:ind w:left="540"/>
        <w:jc w:val="both"/>
        <w:rPr>
          <w:rFonts w:ascii="Times New Roman" w:hAnsi="Times New Roman" w:cs="Times New Roman"/>
          <w:sz w:val="24"/>
          <w:szCs w:val="24"/>
          <w:rtl/>
        </w:rPr>
      </w:pPr>
      <w:r w:rsidRPr="00C71D31">
        <w:rPr>
          <w:rFonts w:ascii="Times New Roman" w:hAnsi="Times New Roman" w:cs="Times New Roman"/>
          <w:i/>
          <w:iCs/>
          <w:sz w:val="24"/>
          <w:szCs w:val="24"/>
        </w:rPr>
        <w:t xml:space="preserve"> “Dan Dia (pula) yang menciptakan manusia dari air lalu dia jadikan manusia itu (punya) keturunan dan mushaharah dan adalah Tuhanmu Maha Kuasa</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70"/>
      </w:r>
      <w:r w:rsidRPr="00F71FEA">
        <w:rPr>
          <w:rFonts w:ascii="Times New Roman" w:hAnsi="Times New Roman" w:cs="Times New Roman"/>
          <w:sz w:val="24"/>
          <w:szCs w:val="24"/>
        </w:rPr>
        <w:t>(QS. Al-Furqan : 54).</w:t>
      </w:r>
    </w:p>
    <w:p w:rsidR="00343B61" w:rsidRDefault="00343B61" w:rsidP="00343B61">
      <w:pPr>
        <w:spacing w:after="0" w:line="240" w:lineRule="auto"/>
        <w:ind w:left="540"/>
        <w:jc w:val="both"/>
        <w:rPr>
          <w:rFonts w:ascii="Times New Roman" w:hAnsi="Times New Roman" w:cs="Times New Roman"/>
          <w:i/>
          <w:iCs/>
          <w:sz w:val="24"/>
          <w:szCs w:val="24"/>
          <w:rtl/>
          <w:lang w:bidi="ar-EG"/>
        </w:rPr>
      </w:pPr>
    </w:p>
    <w:p w:rsidR="00343B61" w:rsidRDefault="00343B61" w:rsidP="00343B61">
      <w:pPr>
        <w:spacing w:after="0" w:line="360" w:lineRule="auto"/>
        <w:ind w:left="900" w:hanging="270"/>
        <w:rPr>
          <w:rFonts w:ascii="Times New Roman" w:hAnsi="Times New Roman" w:cs="Times New Roman"/>
          <w:sz w:val="24"/>
          <w:szCs w:val="24"/>
        </w:rPr>
      </w:pPr>
      <w:r>
        <w:rPr>
          <w:rFonts w:ascii="Times New Roman" w:hAnsi="Times New Roman" w:cs="Times New Roman"/>
          <w:sz w:val="24"/>
          <w:szCs w:val="24"/>
        </w:rPr>
        <w:t>ii</w:t>
      </w:r>
      <w:r w:rsidRPr="00C71D31">
        <w:rPr>
          <w:rFonts w:ascii="Times New Roman" w:hAnsi="Times New Roman" w:cs="Times New Roman"/>
          <w:sz w:val="24"/>
          <w:szCs w:val="24"/>
        </w:rPr>
        <w:t>. Firman Allah yang menjelaskan tentang pentingnya kejelasan nasab dan asal usul kekerabatan, antara lain:</w:t>
      </w:r>
    </w:p>
    <w:p w:rsidR="00343B61" w:rsidRPr="00F71FEA" w:rsidRDefault="00343B61" w:rsidP="00343B61">
      <w:pPr>
        <w:bidi/>
        <w:spacing w:after="0" w:line="240" w:lineRule="auto"/>
        <w:ind w:right="720"/>
        <w:jc w:val="both"/>
        <w:rPr>
          <w:rFonts w:ascii="(normal text)" w:hAnsi="(normal text)"/>
        </w:rPr>
      </w:pP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5" w:char="F0AA"/>
      </w:r>
      <w:r w:rsidRPr="005215EB">
        <w:rPr>
          <w:rFonts w:hint="cs"/>
          <w:sz w:val="32"/>
          <w:szCs w:val="32"/>
          <w:rtl/>
        </w:rPr>
        <w:t xml:space="preserve"> </w:t>
      </w:r>
      <w:r w:rsidRPr="00350273">
        <w:rPr>
          <w:rFonts w:hint="cs"/>
          <w:sz w:val="32"/>
          <w:szCs w:val="32"/>
          <w:rtl/>
        </w:rPr>
        <w:t>ا</w:t>
      </w:r>
      <w:r w:rsidRPr="00350273">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39"/>
      </w:r>
      <w:r>
        <w:rPr>
          <w:sz w:val="28"/>
          <w:szCs w:val="28"/>
        </w:rPr>
        <w:sym w:font="HQPB2" w:char="F040"/>
      </w:r>
      <w:r>
        <w:rPr>
          <w:sz w:val="28"/>
          <w:szCs w:val="28"/>
        </w:rPr>
        <w:sym w:font="HQPB4" w:char="F0E3"/>
      </w:r>
      <w:r>
        <w:rPr>
          <w:sz w:val="28"/>
          <w:szCs w:val="28"/>
        </w:rPr>
        <w:sym w:font="HQPB1" w:char="F05F"/>
      </w:r>
      <w:r>
        <w:rPr>
          <w:sz w:val="28"/>
          <w:szCs w:val="28"/>
        </w:rPr>
        <w:sym w:font="HQPB5" w:char="F074"/>
      </w:r>
      <w:r>
        <w:rPr>
          <w:sz w:val="28"/>
          <w:szCs w:val="28"/>
        </w:rPr>
        <w:sym w:font="HQPB1" w:char="F08D"/>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9"/>
      </w:r>
      <w:r>
        <w:rPr>
          <w:sz w:val="28"/>
          <w:szCs w:val="28"/>
        </w:rPr>
        <w:sym w:font="HQPB2" w:char="F0FA"/>
      </w:r>
      <w:r>
        <w:rPr>
          <w:sz w:val="28"/>
          <w:szCs w:val="28"/>
        </w:rPr>
        <w:sym w:font="HQPB4" w:char="F0F7"/>
      </w:r>
      <w:r>
        <w:rPr>
          <w:sz w:val="28"/>
          <w:szCs w:val="28"/>
        </w:rPr>
        <w:sym w:font="HQPB2" w:char="F0FC"/>
      </w:r>
      <w:r>
        <w:rPr>
          <w:sz w:val="28"/>
          <w:szCs w:val="28"/>
        </w:rPr>
        <w:sym w:font="HQPB5" w:char="F074"/>
      </w:r>
      <w:r>
        <w:rPr>
          <w:sz w:val="28"/>
          <w:szCs w:val="28"/>
        </w:rPr>
        <w:sym w:font="HQPB1" w:char="F037"/>
      </w:r>
      <w:r>
        <w:rPr>
          <w:sz w:val="28"/>
          <w:szCs w:val="28"/>
        </w:rPr>
        <w:sym w:font="HQPB4" w:char="F0F9"/>
      </w:r>
      <w:r>
        <w:rPr>
          <w:sz w:val="28"/>
          <w:szCs w:val="28"/>
        </w:rPr>
        <w:sym w:font="HQPB2" w:char="F03D"/>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F9"/>
      </w:r>
      <w:r>
        <w:rPr>
          <w:sz w:val="28"/>
          <w:szCs w:val="28"/>
        </w:rPr>
        <w:sym w:font="HQPB4" w:char="F0F6"/>
      </w:r>
      <w:r>
        <w:rPr>
          <w:sz w:val="28"/>
          <w:szCs w:val="28"/>
        </w:rPr>
        <w:sym w:font="HQPB2" w:char="F071"/>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9"/>
      </w:r>
      <w:r>
        <w:rPr>
          <w:sz w:val="28"/>
          <w:szCs w:val="28"/>
        </w:rPr>
        <w:sym w:font="HQPB1" w:char="F05F"/>
      </w:r>
      <w:r>
        <w:rPr>
          <w:sz w:val="28"/>
          <w:szCs w:val="28"/>
        </w:rPr>
        <w:sym w:font="HQPB2" w:char="F0BA"/>
      </w:r>
      <w:r>
        <w:rPr>
          <w:sz w:val="28"/>
          <w:szCs w:val="28"/>
        </w:rPr>
        <w:sym w:font="HQPB5" w:char="F075"/>
      </w:r>
      <w:r>
        <w:rPr>
          <w:sz w:val="28"/>
          <w:szCs w:val="28"/>
        </w:rPr>
        <w:sym w:font="HQPB2" w:char="F072"/>
      </w:r>
      <w:r>
        <w:rPr>
          <w:sz w:val="28"/>
          <w:szCs w:val="28"/>
        </w:rPr>
        <w:sym w:font="HQPB4" w:char="F0F8"/>
      </w:r>
      <w:r>
        <w:rPr>
          <w:sz w:val="28"/>
          <w:szCs w:val="28"/>
        </w:rPr>
        <w:sym w:font="HQPB1" w:char="F097"/>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91"/>
      </w:r>
      <w:r>
        <w:rPr>
          <w:sz w:val="28"/>
          <w:szCs w:val="28"/>
        </w:rPr>
        <w:sym w:font="HQPB4" w:char="F0CF"/>
      </w:r>
      <w:r>
        <w:rPr>
          <w:sz w:val="28"/>
          <w:szCs w:val="28"/>
        </w:rPr>
        <w:sym w:font="HQPB2" w:char="F0AB"/>
      </w:r>
      <w:r>
        <w:rPr>
          <w:sz w:val="28"/>
          <w:szCs w:val="28"/>
        </w:rPr>
        <w:sym w:font="HQPB5" w:char="F0AF"/>
      </w:r>
      <w:r>
        <w:rPr>
          <w:sz w:val="28"/>
          <w:szCs w:val="28"/>
        </w:rPr>
        <w:sym w:font="HQPB2" w:char="F0B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E"/>
      </w:r>
      <w:r>
        <w:rPr>
          <w:sz w:val="28"/>
          <w:szCs w:val="28"/>
        </w:rPr>
        <w:sym w:font="HQPB2" w:char="F067"/>
      </w:r>
      <w:r>
        <w:rPr>
          <w:sz w:val="28"/>
          <w:szCs w:val="28"/>
        </w:rPr>
        <w:sym w:font="HQPB2" w:char="F0BB"/>
      </w:r>
      <w:r>
        <w:rPr>
          <w:sz w:val="28"/>
          <w:szCs w:val="28"/>
        </w:rPr>
        <w:sym w:font="HQPB5" w:char="F073"/>
      </w:r>
      <w:r>
        <w:rPr>
          <w:sz w:val="28"/>
          <w:szCs w:val="28"/>
        </w:rPr>
        <w:sym w:font="HQPB1" w:char="F0E0"/>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CF"/>
      </w:r>
      <w:r>
        <w:rPr>
          <w:sz w:val="28"/>
          <w:szCs w:val="28"/>
        </w:rPr>
        <w:sym w:font="HQPB1" w:char="F047"/>
      </w:r>
      <w:r>
        <w:rPr>
          <w:sz w:val="28"/>
          <w:szCs w:val="28"/>
        </w:rPr>
        <w:sym w:font="HQPB2" w:char="F0BB"/>
      </w:r>
      <w:r>
        <w:rPr>
          <w:sz w:val="28"/>
          <w:szCs w:val="28"/>
        </w:rPr>
        <w:sym w:font="HQPB5" w:char="F079"/>
      </w:r>
      <w:r>
        <w:rPr>
          <w:sz w:val="28"/>
          <w:szCs w:val="28"/>
        </w:rPr>
        <w:sym w:font="HQPB2" w:char="F067"/>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8A"/>
      </w:r>
      <w:r>
        <w:rPr>
          <w:sz w:val="28"/>
          <w:szCs w:val="28"/>
        </w:rPr>
        <w:sym w:font="HQPB4" w:char="F0CF"/>
      </w:r>
      <w:r>
        <w:rPr>
          <w:sz w:val="28"/>
          <w:szCs w:val="28"/>
        </w:rPr>
        <w:sym w:font="HQPB1" w:char="F0E3"/>
      </w:r>
      <w:r>
        <w:rPr>
          <w:sz w:val="28"/>
          <w:szCs w:val="28"/>
        </w:rPr>
        <w:sym w:font="HQPB4" w:char="F0F7"/>
      </w:r>
      <w:r>
        <w:rPr>
          <w:sz w:val="28"/>
          <w:szCs w:val="28"/>
        </w:rPr>
        <w:sym w:font="HQPB1" w:char="F08A"/>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6F"/>
      </w:r>
      <w:r>
        <w:rPr>
          <w:sz w:val="28"/>
          <w:szCs w:val="28"/>
        </w:rPr>
        <w:sym w:font="HQPB2" w:char="F059"/>
      </w:r>
      <w:r>
        <w:rPr>
          <w:sz w:val="28"/>
          <w:szCs w:val="28"/>
        </w:rPr>
        <w:sym w:font="HQPB4" w:char="F0F6"/>
      </w:r>
      <w:r>
        <w:rPr>
          <w:sz w:val="28"/>
          <w:szCs w:val="28"/>
        </w:rPr>
        <w:sym w:font="HQPB1" w:char="F02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E4"/>
      </w:r>
      <w:r>
        <w:rPr>
          <w:sz w:val="28"/>
          <w:szCs w:val="28"/>
        </w:rPr>
        <w:sym w:font="HQPB2" w:char="F039"/>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64"/>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1" w:char="F0F9"/>
      </w:r>
      <w:r>
        <w:rPr>
          <w:sz w:val="28"/>
          <w:szCs w:val="28"/>
        </w:rPr>
        <w:sym w:font="HQPB5" w:char="F072"/>
      </w:r>
      <w:r>
        <w:rPr>
          <w:sz w:val="28"/>
          <w:szCs w:val="28"/>
        </w:rPr>
        <w:sym w:font="HQPB1" w:char="F027"/>
      </w:r>
      <w:r>
        <w:rPr>
          <w:sz w:val="28"/>
          <w:szCs w:val="28"/>
        </w:rPr>
        <w:sym w:font="HQPB4" w:char="F0CE"/>
      </w:r>
      <w:r>
        <w:rPr>
          <w:sz w:val="28"/>
          <w:szCs w:val="28"/>
        </w:rPr>
        <w:sym w:font="HQPB1" w:char="F02F"/>
      </w:r>
      <w:r>
        <w:rPr>
          <w:rFonts w:ascii="(normal text)" w:hAnsi="(normal text)"/>
          <w:rtl/>
        </w:rPr>
        <w:t xml:space="preserve"> </w:t>
      </w:r>
      <w:r>
        <w:rPr>
          <w:rFonts w:hint="cs"/>
          <w:sz w:val="28"/>
          <w:szCs w:val="28"/>
          <w:rtl/>
        </w:rPr>
        <w:t>وَ</w:t>
      </w:r>
      <w:r w:rsidRPr="00350273">
        <w:rPr>
          <w:rFonts w:hint="cs"/>
          <w:sz w:val="32"/>
          <w:szCs w:val="32"/>
          <w:rtl/>
        </w:rPr>
        <w:t>ا</w:t>
      </w:r>
      <w:r w:rsidRPr="00350273">
        <w:rPr>
          <w:rFonts w:ascii="Adobe نسخ Medium" w:hAnsi="Adobe نسخ Medium" w:cs="Adobe نسخ Medium"/>
          <w:sz w:val="32"/>
          <w:szCs w:val="32"/>
          <w:rtl/>
        </w:rPr>
        <w:t>للهُ</w:t>
      </w:r>
      <w:r>
        <w:rPr>
          <w:sz w:val="28"/>
          <w:szCs w:val="28"/>
        </w:rPr>
        <w:t xml:space="preserve"> </w:t>
      </w:r>
      <w:r>
        <w:rPr>
          <w:sz w:val="28"/>
          <w:szCs w:val="28"/>
        </w:rPr>
        <w:sym w:font="HQPB4" w:char="F0E3"/>
      </w:r>
      <w:r>
        <w:rPr>
          <w:sz w:val="28"/>
          <w:szCs w:val="28"/>
        </w:rPr>
        <w:sym w:font="HQPB2" w:char="F041"/>
      </w:r>
      <w:r>
        <w:rPr>
          <w:sz w:val="28"/>
          <w:szCs w:val="28"/>
        </w:rPr>
        <w:sym w:font="HQPB2" w:char="F071"/>
      </w:r>
      <w:r>
        <w:rPr>
          <w:sz w:val="28"/>
          <w:szCs w:val="28"/>
        </w:rPr>
        <w:sym w:font="HQPB4" w:char="F0E0"/>
      </w:r>
      <w:r>
        <w:rPr>
          <w:sz w:val="28"/>
          <w:szCs w:val="28"/>
        </w:rPr>
        <w:sym w:font="HQPB2" w:char="F029"/>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A8"/>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3"/>
      </w:r>
      <w:r>
        <w:rPr>
          <w:sz w:val="28"/>
          <w:szCs w:val="28"/>
        </w:rPr>
        <w:sym w:font="HQPB4" w:char="F0CF"/>
      </w:r>
      <w:r>
        <w:rPr>
          <w:sz w:val="28"/>
          <w:szCs w:val="28"/>
        </w:rPr>
        <w:sym w:font="HQPB1" w:char="F089"/>
      </w:r>
      <w:r>
        <w:rPr>
          <w:sz w:val="28"/>
          <w:szCs w:val="28"/>
        </w:rPr>
        <w:sym w:font="HQPB4" w:char="F0F4"/>
      </w:r>
      <w:r>
        <w:rPr>
          <w:sz w:val="28"/>
          <w:szCs w:val="28"/>
        </w:rPr>
        <w:sym w:font="HQPB2" w:char="F06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C8"/>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2" w:char="F071"/>
      </w:r>
      <w:r>
        <w:rPr>
          <w:sz w:val="28"/>
          <w:szCs w:val="28"/>
        </w:rPr>
        <w:sym w:font="HQPB4" w:char="F0E3"/>
      </w:r>
      <w:r>
        <w:rPr>
          <w:sz w:val="28"/>
          <w:szCs w:val="28"/>
        </w:rPr>
        <w:sym w:font="HQPB1" w:char="F0E3"/>
      </w:r>
      <w:r>
        <w:rPr>
          <w:sz w:val="28"/>
          <w:szCs w:val="28"/>
        </w:rPr>
        <w:sym w:font="HQPB4" w:char="F0F7"/>
      </w:r>
      <w:r>
        <w:rPr>
          <w:sz w:val="28"/>
          <w:szCs w:val="28"/>
        </w:rPr>
        <w:sym w:font="HQPB1" w:char="F08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E"/>
      </w:r>
      <w:r>
        <w:rPr>
          <w:sz w:val="28"/>
          <w:szCs w:val="28"/>
        </w:rPr>
        <w:sym w:font="HQPB2" w:char="F067"/>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4"/>
      </w:r>
      <w:r>
        <w:rPr>
          <w:sz w:val="28"/>
          <w:szCs w:val="28"/>
        </w:rPr>
        <w:sym w:font="HQPB1" w:char="F02F"/>
      </w:r>
      <w:r>
        <w:rPr>
          <w:sz w:val="28"/>
          <w:szCs w:val="28"/>
        </w:rPr>
        <w:sym w:font="HQPB5" w:char="F04B"/>
      </w:r>
      <w:r>
        <w:rPr>
          <w:sz w:val="28"/>
          <w:szCs w:val="28"/>
        </w:rPr>
        <w:sym w:font="HQPB2" w:char="F079"/>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E4"/>
      </w:r>
      <w:r>
        <w:rPr>
          <w:sz w:val="28"/>
          <w:szCs w:val="28"/>
        </w:rPr>
        <w:sym w:font="HQPB1" w:char="F0DD"/>
      </w:r>
      <w:r>
        <w:rPr>
          <w:sz w:val="28"/>
          <w:szCs w:val="28"/>
        </w:rPr>
        <w:sym w:font="HQPB5" w:char="F07C"/>
      </w:r>
      <w:r>
        <w:rPr>
          <w:sz w:val="28"/>
          <w:szCs w:val="28"/>
        </w:rPr>
        <w:sym w:font="HQPB1" w:char="F0A1"/>
      </w:r>
      <w:r>
        <w:rPr>
          <w:sz w:val="28"/>
          <w:szCs w:val="28"/>
        </w:rPr>
        <w:sym w:font="HQPB4" w:char="F0F8"/>
      </w:r>
      <w:r>
        <w:rPr>
          <w:sz w:val="28"/>
          <w:szCs w:val="28"/>
        </w:rPr>
        <w:sym w:font="HQPB2" w:char="F025"/>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9"/>
      </w:r>
      <w:r>
        <w:rPr>
          <w:sz w:val="28"/>
          <w:szCs w:val="28"/>
        </w:rPr>
        <w:sym w:font="HQPB1" w:char="F089"/>
      </w:r>
      <w:r>
        <w:rPr>
          <w:sz w:val="28"/>
          <w:szCs w:val="28"/>
        </w:rPr>
        <w:sym w:font="HQPB2" w:char="F05A"/>
      </w:r>
      <w:r>
        <w:rPr>
          <w:sz w:val="28"/>
          <w:szCs w:val="28"/>
        </w:rPr>
        <w:sym w:font="HQPB4" w:char="F0CF"/>
      </w:r>
      <w:r>
        <w:rPr>
          <w:sz w:val="28"/>
          <w:szCs w:val="28"/>
        </w:rPr>
        <w:sym w:font="HQPB1" w:char="F0E3"/>
      </w:r>
      <w:r w:rsidRPr="00350273">
        <w:rPr>
          <w:rFonts w:hint="cs"/>
          <w:sz w:val="32"/>
          <w:szCs w:val="32"/>
          <w:rtl/>
        </w:rPr>
        <w:t>ا</w:t>
      </w:r>
      <w:r w:rsidRPr="00350273">
        <w:rPr>
          <w:rFonts w:ascii="Adobe نسخ Medium" w:hAnsi="Adobe نسخ Medium" w:cs="Adobe نسخ Medium"/>
          <w:sz w:val="32"/>
          <w:szCs w:val="32"/>
          <w:rtl/>
        </w:rPr>
        <w:t>لله</w:t>
      </w:r>
      <w:r>
        <w:rPr>
          <w:rFonts w:ascii="Adobe نسخ Medium" w:hAnsi="Adobe نسخ Medium" w:cs="Adobe نسخ Medium" w:hint="cs"/>
          <w:sz w:val="32"/>
          <w:szCs w:val="32"/>
          <w:rtl/>
        </w:rPr>
        <w:t>ِ</w:t>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1" w:char="F02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E7"/>
      </w:r>
      <w:r>
        <w:rPr>
          <w:sz w:val="28"/>
          <w:szCs w:val="28"/>
        </w:rPr>
        <w:sym w:font="HQPB2" w:char="F052"/>
      </w:r>
      <w:r>
        <w:rPr>
          <w:sz w:val="28"/>
          <w:szCs w:val="28"/>
        </w:rPr>
        <w:sym w:font="HQPB2" w:char="F0BA"/>
      </w:r>
      <w:r>
        <w:rPr>
          <w:sz w:val="28"/>
          <w:szCs w:val="28"/>
        </w:rPr>
        <w:sym w:font="HQPB5" w:char="F075"/>
      </w:r>
      <w:r>
        <w:rPr>
          <w:sz w:val="28"/>
          <w:szCs w:val="28"/>
        </w:rPr>
        <w:sym w:font="HQPB2" w:char="F071"/>
      </w:r>
      <w:r>
        <w:rPr>
          <w:sz w:val="28"/>
          <w:szCs w:val="28"/>
        </w:rPr>
        <w:sym w:font="HQPB4" w:char="F0F7"/>
      </w:r>
      <w:r>
        <w:rPr>
          <w:sz w:val="28"/>
          <w:szCs w:val="28"/>
        </w:rPr>
        <w:sym w:font="HQPB1" w:char="F07A"/>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FB"/>
      </w:r>
      <w:r>
        <w:rPr>
          <w:sz w:val="28"/>
          <w:szCs w:val="28"/>
        </w:rPr>
        <w:sym w:font="HQPB2" w:char="F0EF"/>
      </w:r>
      <w:r>
        <w:rPr>
          <w:sz w:val="28"/>
          <w:szCs w:val="28"/>
        </w:rPr>
        <w:sym w:font="HQPB4" w:char="F0CF"/>
      </w:r>
      <w:r>
        <w:rPr>
          <w:sz w:val="28"/>
          <w:szCs w:val="28"/>
        </w:rPr>
        <w:sym w:font="HQPB4" w:char="F065"/>
      </w:r>
      <w:r>
        <w:rPr>
          <w:sz w:val="28"/>
          <w:szCs w:val="28"/>
        </w:rPr>
        <w:sym w:font="HQPB3" w:char="F024"/>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8B"/>
      </w:r>
      <w:r>
        <w:rPr>
          <w:sz w:val="28"/>
          <w:szCs w:val="28"/>
        </w:rPr>
        <w:sym w:font="HQPB4" w:char="F0CF"/>
      </w:r>
      <w:r>
        <w:rPr>
          <w:sz w:val="28"/>
          <w:szCs w:val="28"/>
        </w:rPr>
        <w:sym w:font="HQPB2" w:char="F039"/>
      </w:r>
      <w:r>
        <w:rPr>
          <w:sz w:val="28"/>
          <w:szCs w:val="28"/>
        </w:rPr>
        <w:sym w:font="HQPB2" w:char="F0BA"/>
      </w:r>
      <w:r>
        <w:rPr>
          <w:sz w:val="28"/>
          <w:szCs w:val="28"/>
        </w:rPr>
        <w:sym w:font="HQPB5" w:char="F075"/>
      </w:r>
      <w:r>
        <w:rPr>
          <w:sz w:val="28"/>
          <w:szCs w:val="28"/>
        </w:rPr>
        <w:sym w:font="HQPB2" w:char="F071"/>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p>
    <w:p w:rsidR="00343B61" w:rsidRPr="00C71D31" w:rsidRDefault="00343B61" w:rsidP="00343B61">
      <w:pPr>
        <w:spacing w:after="0" w:line="240" w:lineRule="auto"/>
        <w:ind w:left="720"/>
        <w:jc w:val="both"/>
        <w:rPr>
          <w:rFonts w:ascii="Times New Roman" w:hAnsi="Times New Roman" w:cs="Times New Roman"/>
          <w:sz w:val="24"/>
          <w:szCs w:val="24"/>
        </w:rPr>
      </w:pPr>
      <w:r w:rsidRPr="001712CF">
        <w:rPr>
          <w:rFonts w:ascii="Times New Roman" w:hAnsi="Times New Roman" w:cs="Times New Roman"/>
          <w:sz w:val="24"/>
          <w:szCs w:val="24"/>
        </w:rPr>
        <w:t>Artinya:</w:t>
      </w:r>
      <w:r>
        <w:rPr>
          <w:rFonts w:ascii="Times New Roman" w:hAnsi="Times New Roman" w:cs="Times New Roman"/>
          <w:i/>
          <w:iCs/>
          <w:sz w:val="24"/>
          <w:szCs w:val="24"/>
        </w:rPr>
        <w:t xml:space="preserve"> </w:t>
      </w:r>
      <w:r w:rsidRPr="00C71D31">
        <w:rPr>
          <w:rFonts w:ascii="Times New Roman" w:hAnsi="Times New Roman" w:cs="Times New Roman"/>
          <w:i/>
          <w:iCs/>
          <w:sz w:val="24"/>
          <w:szCs w:val="24"/>
        </w:rPr>
        <w:t xml:space="preserve"> “Dan Dia tidak menjadikan anak-anak angkatmu sebagai anak kandungmu (sendiri). Yang demikian itu hanyalah perkataanmu dimulutmu saja. Dan Allah mengatakan yang sebenarnya dan Dia menunjukkan jalan (yang benar). Panggilah mereka (anak-anak angkat itu) dengan (memakai) nama bapak-bapak mereka; itulah yang lebih adil pada sisi Allah, dan jika kamu tidak mengetahui bapak-bapak mereka, maka (panggilah mereka sebagai) saudara-saudaramu seagama dan maula-maulamu.</w:t>
      </w:r>
      <w:r>
        <w:rPr>
          <w:rStyle w:val="FootnoteReference"/>
          <w:rFonts w:ascii="Times New Roman" w:hAnsi="Times New Roman" w:cs="Times New Roman"/>
          <w:i/>
          <w:iCs/>
          <w:sz w:val="24"/>
          <w:szCs w:val="24"/>
        </w:rPr>
        <w:footnoteReference w:id="771"/>
      </w:r>
      <w:r w:rsidRPr="00C71D31">
        <w:rPr>
          <w:rFonts w:ascii="Times New Roman" w:hAnsi="Times New Roman" w:cs="Times New Roman"/>
          <w:i/>
          <w:iCs/>
          <w:sz w:val="24"/>
          <w:szCs w:val="24"/>
        </w:rPr>
        <w:t xml:space="preserve"> </w:t>
      </w:r>
      <w:r w:rsidRPr="00F71FEA">
        <w:rPr>
          <w:rFonts w:ascii="Times New Roman" w:hAnsi="Times New Roman" w:cs="Times New Roman"/>
          <w:sz w:val="24"/>
          <w:szCs w:val="24"/>
        </w:rPr>
        <w:t>(QS. Al-Ahzab: 4 – 5).</w:t>
      </w:r>
    </w:p>
    <w:p w:rsidR="00343B61" w:rsidRDefault="00343B61" w:rsidP="00343B6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Dan firman Allah SWT : </w:t>
      </w:r>
    </w:p>
    <w:p w:rsidR="00343B61" w:rsidRDefault="00343B61" w:rsidP="00343B61">
      <w:pPr>
        <w:bidi/>
        <w:spacing w:after="0" w:line="240" w:lineRule="auto"/>
        <w:ind w:left="540" w:hanging="523"/>
        <w:jc w:val="both"/>
        <w:rPr>
          <w:rFonts w:ascii="(normal text)" w:hAnsi="(normal text)"/>
          <w:rtl/>
        </w:rPr>
      </w:pPr>
      <w:r>
        <w:rPr>
          <w:sz w:val="28"/>
          <w:szCs w:val="28"/>
        </w:rPr>
        <w:sym w:font="HQPB4" w:char="F0E3"/>
      </w:r>
      <w:r>
        <w:rPr>
          <w:sz w:val="28"/>
          <w:szCs w:val="28"/>
        </w:rPr>
        <w:sym w:font="HQPB2" w:char="F040"/>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6E"/>
      </w:r>
      <w:r>
        <w:rPr>
          <w:sz w:val="28"/>
          <w:szCs w:val="28"/>
        </w:rPr>
        <w:sym w:font="HQPB2" w:char="F03D"/>
      </w:r>
      <w:r>
        <w:rPr>
          <w:sz w:val="28"/>
          <w:szCs w:val="28"/>
        </w:rPr>
        <w:sym w:font="HQPB5" w:char="F079"/>
      </w:r>
      <w:r>
        <w:rPr>
          <w:sz w:val="28"/>
          <w:szCs w:val="28"/>
        </w:rPr>
        <w:sym w:font="HQPB1" w:char="F06D"/>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0"/>
      </w:r>
      <w:r>
        <w:rPr>
          <w:sz w:val="28"/>
          <w:szCs w:val="28"/>
        </w:rPr>
        <w:sym w:font="HQPB2" w:char="F036"/>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6F"/>
      </w:r>
      <w:r>
        <w:rPr>
          <w:sz w:val="28"/>
          <w:szCs w:val="28"/>
        </w:rPr>
        <w:sym w:font="HQPB2" w:char="F059"/>
      </w:r>
      <w:r>
        <w:rPr>
          <w:sz w:val="28"/>
          <w:szCs w:val="28"/>
        </w:rPr>
        <w:sym w:font="HQPB4" w:char="F0F6"/>
      </w:r>
      <w:r>
        <w:rPr>
          <w:sz w:val="28"/>
          <w:szCs w:val="28"/>
        </w:rPr>
        <w:sym w:font="HQPB1" w:char="F02F"/>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9"/>
      </w:r>
      <w:r>
        <w:rPr>
          <w:sz w:val="28"/>
          <w:szCs w:val="28"/>
        </w:rPr>
        <w:sym w:font="HQPB1" w:char="F08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CE"/>
      </w:r>
      <w:r>
        <w:rPr>
          <w:sz w:val="28"/>
          <w:szCs w:val="28"/>
        </w:rPr>
        <w:sym w:font="HQPB1" w:char="F037"/>
      </w:r>
      <w:r>
        <w:rPr>
          <w:sz w:val="28"/>
          <w:szCs w:val="28"/>
        </w:rPr>
        <w:sym w:font="HQPB2" w:char="F0BB"/>
      </w:r>
      <w:r>
        <w:rPr>
          <w:sz w:val="28"/>
          <w:szCs w:val="28"/>
        </w:rPr>
        <w:sym w:font="HQPB5" w:char="F06E"/>
      </w:r>
      <w:r>
        <w:rPr>
          <w:sz w:val="28"/>
          <w:szCs w:val="28"/>
        </w:rPr>
        <w:sym w:font="HQPB2" w:char="F03D"/>
      </w:r>
      <w:r>
        <w:rPr>
          <w:sz w:val="28"/>
          <w:szCs w:val="28"/>
        </w:rPr>
        <w:sym w:font="HQPB4" w:char="F0F4"/>
      </w:r>
      <w:r>
        <w:rPr>
          <w:sz w:val="28"/>
          <w:szCs w:val="28"/>
        </w:rPr>
        <w:sym w:font="HQPB1" w:char="F0B9"/>
      </w:r>
      <w:r>
        <w:rPr>
          <w:sz w:val="28"/>
          <w:szCs w:val="28"/>
        </w:rPr>
        <w:sym w:font="HQPB5" w:char="F072"/>
      </w:r>
      <w:r>
        <w:rPr>
          <w:sz w:val="28"/>
          <w:szCs w:val="28"/>
        </w:rPr>
        <w:sym w:font="HQPB1" w:char="F026"/>
      </w:r>
      <w:r>
        <w:rPr>
          <w:rFonts w:ascii="(normal text)" w:hAnsi="(normal text)"/>
          <w:rtl/>
        </w:rPr>
        <w:t xml:space="preserve">   </w:t>
      </w:r>
    </w:p>
    <w:p w:rsidR="00343B61" w:rsidRDefault="00343B61" w:rsidP="00343B61">
      <w:pPr>
        <w:spacing w:after="0" w:line="240" w:lineRule="auto"/>
        <w:ind w:left="720" w:firstLine="180"/>
        <w:jc w:val="both"/>
        <w:rPr>
          <w:rFonts w:ascii="(normal text)" w:hAnsi="(normal text)"/>
          <w:sz w:val="24"/>
          <w:szCs w:val="24"/>
          <w:rtl/>
        </w:rPr>
      </w:pPr>
      <w:r w:rsidRPr="00EF0F21">
        <w:rPr>
          <w:rFonts w:ascii="(normal text)" w:hAnsi="(normal text)"/>
          <w:sz w:val="24"/>
          <w:szCs w:val="24"/>
        </w:rPr>
        <w:lastRenderedPageBreak/>
        <w:t>“...</w:t>
      </w:r>
      <w:r>
        <w:rPr>
          <w:rFonts w:ascii="(normal text)" w:hAnsi="(normal text)"/>
          <w:i/>
          <w:iCs/>
          <w:sz w:val="24"/>
          <w:szCs w:val="24"/>
        </w:rPr>
        <w:t xml:space="preserve">(dan </w:t>
      </w:r>
      <w:r w:rsidRPr="00EF0F21">
        <w:rPr>
          <w:rFonts w:ascii="(normal text)" w:hAnsi="(normal text)"/>
          <w:i/>
          <w:iCs/>
          <w:sz w:val="24"/>
          <w:szCs w:val="24"/>
        </w:rPr>
        <w:t>diharamkan bagimu) isteri-isteri anak kandungmu (menantu)”</w:t>
      </w:r>
      <w:r>
        <w:rPr>
          <w:rStyle w:val="FootnoteReference"/>
          <w:rFonts w:ascii="(normal text)" w:hAnsi="(normal text)"/>
          <w:i/>
          <w:iCs/>
          <w:sz w:val="24"/>
          <w:szCs w:val="24"/>
        </w:rPr>
        <w:footnoteReference w:id="772"/>
      </w:r>
      <w:r w:rsidRPr="00EF0F21">
        <w:rPr>
          <w:rFonts w:ascii="(normal text)" w:hAnsi="(normal text)"/>
          <w:sz w:val="24"/>
          <w:szCs w:val="24"/>
        </w:rPr>
        <w:t xml:space="preserve"> ( QS. Al-Nisa: 23</w:t>
      </w:r>
    </w:p>
    <w:p w:rsidR="00343B61" w:rsidRPr="00EF0F21" w:rsidRDefault="00343B61" w:rsidP="00343B61">
      <w:pPr>
        <w:spacing w:after="0" w:line="240" w:lineRule="auto"/>
        <w:ind w:left="720" w:firstLine="180"/>
        <w:jc w:val="both"/>
        <w:rPr>
          <w:rFonts w:ascii="(normal text)" w:hAnsi="(normal text)"/>
          <w:sz w:val="24"/>
          <w:szCs w:val="24"/>
        </w:rPr>
      </w:pPr>
    </w:p>
    <w:p w:rsidR="00343B61" w:rsidRPr="00C71D31" w:rsidRDefault="00343B61" w:rsidP="00343B61">
      <w:p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iii</w:t>
      </w:r>
      <w:r w:rsidRPr="00C71D31">
        <w:rPr>
          <w:rFonts w:ascii="Times New Roman" w:hAnsi="Times New Roman" w:cs="Times New Roman"/>
          <w:sz w:val="24"/>
          <w:szCs w:val="24"/>
        </w:rPr>
        <w:t>. hadis yang menerangkan bahwa anak itu dinasabkan kepada pemilik kasur/suami dari perempuan yang melahirkan (firasy), sementara pezina harus diberi hukuman, antara lain:</w:t>
      </w:r>
    </w:p>
    <w:p w:rsidR="00343B61" w:rsidRDefault="00343B61" w:rsidP="00343B61">
      <w:pPr>
        <w:bidi/>
        <w:spacing w:after="0" w:line="240" w:lineRule="auto"/>
        <w:ind w:left="17" w:right="720"/>
        <w:jc w:val="both"/>
        <w:rPr>
          <w:rFonts w:ascii="Simplified Arabic" w:hAnsi="Simplified Arabic" w:cs="Traditional Arabic"/>
          <w:sz w:val="36"/>
          <w:szCs w:val="36"/>
          <w:rtl/>
        </w:rPr>
      </w:pPr>
      <w:r w:rsidRPr="000D7BAE">
        <w:rPr>
          <w:rFonts w:ascii="Simplified Arabic" w:hAnsi="Simplified Arabic" w:cs="Traditional Arabic"/>
          <w:sz w:val="36"/>
          <w:szCs w:val="36"/>
          <w:rtl/>
        </w:rPr>
        <w:t>عَنْ عَائِشَةَ رَضِيَ اللَّهُ عَنْهَا أَنَّهَا قَالَتْ اخْتَصَمَ سَعْدُ بْنُ أَبِي وَقَّاصٍ وَعَبْدُ بْنُ زَمْعَةَ فِي غُلَامٍ فَقَالَ سَعْدٌ هَذَا يَا رَسُولَ اللَّهِ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بِنْتَ زَمْعَةَ قَالَتْ فَلَمْ يَرَ سَوْدَةَ قَطُّ.  </w:t>
      </w:r>
    </w:p>
    <w:p w:rsidR="00343B61" w:rsidRPr="000D7BAE" w:rsidRDefault="00343B61" w:rsidP="00343B61">
      <w:pPr>
        <w:bidi/>
        <w:spacing w:after="0" w:line="240" w:lineRule="auto"/>
        <w:ind w:left="17" w:right="720"/>
        <w:jc w:val="both"/>
        <w:rPr>
          <w:rFonts w:ascii="Simplified Arabic" w:hAnsi="Simplified Arabic" w:cs="Traditional Arabic"/>
          <w:sz w:val="36"/>
          <w:szCs w:val="36"/>
        </w:rPr>
      </w:pPr>
      <w:r w:rsidRPr="000D7BAE">
        <w:rPr>
          <w:rFonts w:ascii="Simplified Arabic" w:hAnsi="Simplified Arabic" w:cs="Traditional Arabic"/>
          <w:sz w:val="36"/>
          <w:szCs w:val="36"/>
          <w:rtl/>
        </w:rPr>
        <w:t xml:space="preserve"> رواه البخارى ومسلم</w:t>
      </w:r>
    </w:p>
    <w:p w:rsidR="00343B61" w:rsidRDefault="00343B61" w:rsidP="00343B61">
      <w:pPr>
        <w:spacing w:after="0" w:line="240" w:lineRule="auto"/>
        <w:ind w:left="720"/>
        <w:jc w:val="both"/>
        <w:rPr>
          <w:rFonts w:ascii="Times New Roman" w:hAnsi="Times New Roman" w:cs="Times New Roman"/>
          <w:sz w:val="24"/>
          <w:szCs w:val="24"/>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Dari ‘Aisyah ra bahwasanya ia berkata: Sa’d ibn Abi Waqqash dan Abd ibn Zam’ah berebut terhadap seorang anak lantas Sa’d berkata: Wahai Rasulallah, anak ini adalah anak saudara saya ‘Utbah ibn Abi Waqqash dia sampaikan ke saya bahwasanya ia adalah anaknya, lihatlah kemiripannya. ‘Abd ibn Zum’ah juga berkata: “Anak ini saudaraku wahai Rasulullah, ia terlahir dari pemilik kasur (firasy) ayahku dari ibunya. Lantas Rasulullah saw melihat rupa anak tersebut dan beliau melihat keserupaan yang jelas dengan ‘Utbah, lalu Rasul bersabda: “Anak ini saudaramu wahai ‘Abd ibn Zum’ah.  Anak itu adalah bagi pemilik kasur/suami dari perempuan yang melahirkan (firasy) dan bagi pezina adalah (dihukum) batu, dan berhijablah darinya wahai Saudah Binti Zam’ah. Aisyah berkata: ia tidak pernah melihat Saudah sama sekali.</w:t>
      </w:r>
      <w:r w:rsidRPr="002C393C">
        <w:rPr>
          <w:rStyle w:val="FootnoteReference"/>
          <w:rFonts w:ascii="Times New Roman" w:hAnsi="Times New Roman" w:cs="Times New Roman"/>
          <w:sz w:val="24"/>
          <w:szCs w:val="24"/>
        </w:rPr>
        <w:footnoteReference w:id="773"/>
      </w:r>
      <w:r w:rsidRPr="00C71D31">
        <w:rPr>
          <w:rFonts w:ascii="Times New Roman" w:hAnsi="Times New Roman" w:cs="Times New Roman"/>
          <w:i/>
          <w:iCs/>
          <w:sz w:val="24"/>
          <w:szCs w:val="24"/>
        </w:rPr>
        <w:t xml:space="preserve"> </w:t>
      </w:r>
      <w:r w:rsidRPr="00955A1D">
        <w:rPr>
          <w:rFonts w:ascii="Times New Roman" w:hAnsi="Times New Roman" w:cs="Times New Roman"/>
          <w:sz w:val="24"/>
          <w:szCs w:val="24"/>
        </w:rPr>
        <w:t>(HR. Al-Bukhari dan Muslim)</w:t>
      </w:r>
    </w:p>
    <w:p w:rsidR="00343B61" w:rsidRDefault="00343B61" w:rsidP="00343B61">
      <w:pPr>
        <w:spacing w:after="0" w:line="240" w:lineRule="auto"/>
        <w:ind w:left="720"/>
        <w:jc w:val="both"/>
        <w:rPr>
          <w:rFonts w:ascii="Times New Roman" w:hAnsi="Times New Roman" w:cs="Times New Roman"/>
          <w:sz w:val="24"/>
          <w:szCs w:val="24"/>
          <w:rtl/>
        </w:rPr>
      </w:pPr>
    </w:p>
    <w:p w:rsidR="00343B61" w:rsidRDefault="00343B61" w:rsidP="00343B61">
      <w:pPr>
        <w:spacing w:after="0" w:line="240" w:lineRule="auto"/>
        <w:ind w:left="720"/>
        <w:jc w:val="both"/>
        <w:rPr>
          <w:rFonts w:ascii="Times New Roman" w:hAnsi="Times New Roman" w:cs="Times New Roman"/>
          <w:sz w:val="24"/>
          <w:szCs w:val="24"/>
        </w:rPr>
      </w:pPr>
    </w:p>
    <w:p w:rsidR="00343B61" w:rsidRDefault="00343B61" w:rsidP="00343B61">
      <w:pPr>
        <w:spacing w:after="0" w:line="240" w:lineRule="auto"/>
        <w:ind w:left="720"/>
        <w:jc w:val="both"/>
        <w:rPr>
          <w:rFonts w:ascii="Times New Roman" w:hAnsi="Times New Roman" w:cs="Times New Roman"/>
          <w:sz w:val="24"/>
          <w:szCs w:val="24"/>
          <w:rtl/>
        </w:rPr>
      </w:pPr>
    </w:p>
    <w:p w:rsidR="00343B61" w:rsidRDefault="00343B61" w:rsidP="00343B61">
      <w:pPr>
        <w:spacing w:after="0" w:line="240" w:lineRule="auto"/>
        <w:ind w:left="720"/>
        <w:jc w:val="both"/>
        <w:rPr>
          <w:rFonts w:ascii="Times New Roman" w:hAnsi="Times New Roman" w:cs="Times New Roman"/>
          <w:i/>
          <w:iCs/>
          <w:sz w:val="24"/>
          <w:szCs w:val="24"/>
        </w:rPr>
      </w:pPr>
    </w:p>
    <w:p w:rsidR="00343B61" w:rsidRDefault="00343B61" w:rsidP="00343B61">
      <w:pPr>
        <w:spacing w:after="0" w:line="360" w:lineRule="auto"/>
        <w:ind w:left="720"/>
        <w:jc w:val="both"/>
        <w:rPr>
          <w:rFonts w:ascii="Times New Roman" w:hAnsi="Times New Roman" w:cs="Times New Roman"/>
          <w:sz w:val="24"/>
          <w:szCs w:val="24"/>
        </w:rPr>
      </w:pPr>
      <w:r w:rsidRPr="00BA7AE7">
        <w:rPr>
          <w:rFonts w:ascii="Times New Roman" w:hAnsi="Times New Roman" w:cs="Times New Roman"/>
          <w:sz w:val="24"/>
          <w:szCs w:val="24"/>
        </w:rPr>
        <w:t xml:space="preserve">Dan Juga Hadis Nabis SAW : </w:t>
      </w:r>
    </w:p>
    <w:p w:rsidR="00343B61" w:rsidRDefault="00343B61" w:rsidP="00343B61">
      <w:pPr>
        <w:bidi/>
        <w:spacing w:after="0" w:line="240" w:lineRule="auto"/>
        <w:ind w:right="720"/>
        <w:jc w:val="both"/>
        <w:rPr>
          <w:rFonts w:ascii="Times New Roman" w:hAnsi="Times New Roman" w:cs="Traditional Arabic"/>
          <w:sz w:val="36"/>
          <w:szCs w:val="36"/>
          <w:rtl/>
        </w:rPr>
      </w:pPr>
      <w:r w:rsidRPr="00D43BA3">
        <w:rPr>
          <w:rFonts w:ascii="Times New Roman" w:hAnsi="Times New Roman" w:cs="Traditional Arabic"/>
          <w:sz w:val="36"/>
          <w:szCs w:val="36"/>
          <w:rtl/>
        </w:rPr>
        <w:lastRenderedPageBreak/>
        <w:t xml:space="preserve">عن عمرو بن شعيب عن أبيه عن جده قال: قام رجل فقال: يا رسول الله، إن فلانًا ابني، عَاهَرْتُ بأمه في الجاهلية، فقال رسول الله صلى الله عليه وسلم: لا دعوة في الإسلام، ذهب أمر الجاهلية، الولد للفراش، وللعاهر الحجر. </w:t>
      </w:r>
    </w:p>
    <w:p w:rsidR="00343B61" w:rsidRPr="00D43BA3" w:rsidRDefault="00343B61" w:rsidP="00343B61">
      <w:pPr>
        <w:bidi/>
        <w:spacing w:after="0" w:line="240" w:lineRule="auto"/>
        <w:ind w:right="720"/>
        <w:jc w:val="both"/>
        <w:rPr>
          <w:rFonts w:ascii="Times New Roman" w:hAnsi="Times New Roman" w:cs="Traditional Arabic"/>
          <w:sz w:val="36"/>
          <w:szCs w:val="36"/>
        </w:rPr>
      </w:pPr>
      <w:r w:rsidRPr="00D43BA3">
        <w:rPr>
          <w:rFonts w:ascii="Times New Roman" w:hAnsi="Times New Roman" w:cs="Traditional Arabic"/>
          <w:sz w:val="36"/>
          <w:szCs w:val="36"/>
          <w:rtl/>
        </w:rPr>
        <w:t>رواه أبو داود</w:t>
      </w:r>
    </w:p>
    <w:p w:rsidR="00343B61" w:rsidRDefault="00343B61" w:rsidP="00343B61">
      <w:pPr>
        <w:spacing w:after="0" w:line="240" w:lineRule="auto"/>
        <w:ind w:left="720"/>
        <w:jc w:val="both"/>
        <w:rPr>
          <w:rFonts w:ascii="Times New Roman" w:hAnsi="Times New Roman" w:cs="Times New Roman"/>
          <w:sz w:val="24"/>
          <w:szCs w:val="24"/>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“Dari ‘Amr ibn Syu’aib ra dari ayahnya dari kakeknya ia berkata: seseorang berkata: Ya rasulallah, sesungguhnya si fulan itu anak saya, saya menzinai ibunya ketika masih masa jahiliyyah, rasulullah saw pun bersabda: “tidak ada pengakuan anak dalam Islam, telah lewat urusan di masa jahiliyyah. Anak itu adalah bagi pemilik kasur/suami dari perempuan yang melahirkan (firasy) dan bagi pezina adalah  batu (dihukum)”</w:t>
      </w:r>
      <w:r>
        <w:rPr>
          <w:rStyle w:val="FootnoteReference"/>
          <w:rFonts w:ascii="Times New Roman" w:hAnsi="Times New Roman" w:cs="Times New Roman"/>
          <w:i/>
          <w:iCs/>
          <w:sz w:val="24"/>
          <w:szCs w:val="24"/>
        </w:rPr>
        <w:footnoteReference w:id="774"/>
      </w:r>
      <w:r w:rsidRPr="00C71D31">
        <w:rPr>
          <w:rFonts w:ascii="Times New Roman" w:hAnsi="Times New Roman" w:cs="Times New Roman"/>
          <w:i/>
          <w:iCs/>
          <w:sz w:val="24"/>
          <w:szCs w:val="24"/>
        </w:rPr>
        <w:t xml:space="preserve"> </w:t>
      </w:r>
      <w:r w:rsidRPr="00BA7AE7">
        <w:rPr>
          <w:rFonts w:ascii="Times New Roman" w:hAnsi="Times New Roman" w:cs="Times New Roman"/>
          <w:sz w:val="24"/>
          <w:szCs w:val="24"/>
        </w:rPr>
        <w:t>(HR. Abu Dawud)</w:t>
      </w:r>
    </w:p>
    <w:p w:rsidR="00343B61" w:rsidRDefault="00343B61" w:rsidP="00343B61">
      <w:pPr>
        <w:spacing w:after="0" w:line="240" w:lineRule="auto"/>
        <w:ind w:left="720"/>
        <w:jc w:val="both"/>
        <w:rPr>
          <w:rFonts w:ascii="Times New Roman" w:hAnsi="Times New Roman" w:cs="Times New Roman"/>
          <w:sz w:val="24"/>
          <w:szCs w:val="24"/>
        </w:rPr>
      </w:pPr>
    </w:p>
    <w:p w:rsidR="00343B61" w:rsidRPr="00C71D31" w:rsidRDefault="00343B61" w:rsidP="00343B61">
      <w:p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iv</w:t>
      </w:r>
      <w:r w:rsidRPr="00C71D31">
        <w:rPr>
          <w:rFonts w:ascii="Times New Roman" w:hAnsi="Times New Roman" w:cs="Times New Roman"/>
          <w:sz w:val="24"/>
          <w:szCs w:val="24"/>
        </w:rPr>
        <w:t>. Hadis yang menerangkan bahwa anak hazil zina dinasabkan kepada ibunya, antara lain:</w:t>
      </w:r>
    </w:p>
    <w:p w:rsidR="00343B61" w:rsidRPr="00A31C77" w:rsidRDefault="00343B61" w:rsidP="00343B61">
      <w:pPr>
        <w:spacing w:after="0" w:line="240" w:lineRule="auto"/>
        <w:jc w:val="right"/>
        <w:rPr>
          <w:rFonts w:ascii="Times New Roman" w:hAnsi="Times New Roman" w:cs="Traditional Arabic"/>
          <w:sz w:val="32"/>
          <w:szCs w:val="32"/>
        </w:rPr>
      </w:pPr>
      <w:r w:rsidRPr="00A31C77">
        <w:rPr>
          <w:rFonts w:ascii="Times New Roman" w:hAnsi="Times New Roman" w:cs="Traditional Arabic"/>
          <w:sz w:val="32"/>
          <w:szCs w:val="32"/>
          <w:rtl/>
        </w:rPr>
        <w:t>قال النبي صلى الله عليه وسلم في ولد الزنا " لأهل أمه من كانوا" . رواه أبو داود</w:t>
      </w:r>
    </w:p>
    <w:p w:rsidR="00343B61" w:rsidRDefault="00343B61" w:rsidP="00343B61">
      <w:pPr>
        <w:spacing w:after="0" w:line="240" w:lineRule="auto"/>
        <w:ind w:left="810"/>
        <w:jc w:val="both"/>
        <w:rPr>
          <w:rFonts w:ascii="Times New Roman" w:hAnsi="Times New Roman" w:cs="Times New Roman"/>
          <w:i/>
          <w:iCs/>
          <w:sz w:val="24"/>
          <w:szCs w:val="24"/>
        </w:rPr>
      </w:pPr>
      <w:r w:rsidRPr="00C71D31">
        <w:rPr>
          <w:rFonts w:ascii="Times New Roman" w:hAnsi="Times New Roman" w:cs="Times New Roman"/>
          <w:i/>
          <w:iCs/>
          <w:sz w:val="24"/>
          <w:szCs w:val="24"/>
        </w:rPr>
        <w:t>Nabi saw bersabda tentang anak hasil zina: “Bagi keluarga ibunya ...” (HR. Abu Dawud)</w:t>
      </w:r>
    </w:p>
    <w:p w:rsidR="00343B61" w:rsidRDefault="00343B61" w:rsidP="00343B61">
      <w:pPr>
        <w:spacing w:after="0" w:line="240" w:lineRule="auto"/>
        <w:ind w:left="810"/>
        <w:jc w:val="both"/>
        <w:rPr>
          <w:rFonts w:ascii="Times New Roman" w:hAnsi="Times New Roman" w:cs="Times New Roman"/>
          <w:sz w:val="24"/>
          <w:szCs w:val="24"/>
        </w:rPr>
      </w:pPr>
    </w:p>
    <w:p w:rsidR="00343B61" w:rsidRPr="00C71D31" w:rsidRDefault="00343B61" w:rsidP="00343B61">
      <w:pPr>
        <w:spacing w:after="0"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v</w:t>
      </w:r>
      <w:r w:rsidRPr="00C71D31">
        <w:rPr>
          <w:rFonts w:ascii="Times New Roman" w:hAnsi="Times New Roman" w:cs="Times New Roman"/>
          <w:sz w:val="24"/>
          <w:szCs w:val="24"/>
        </w:rPr>
        <w:t>. Hadis yang menerangkan tidak adanya hubungan kewarisan antara anak hasil zina dengan lelaki yang mengakibatkan kelahirannya, antara lain:</w:t>
      </w:r>
    </w:p>
    <w:p w:rsidR="00343B61" w:rsidRPr="00A56EEC" w:rsidRDefault="00343B61" w:rsidP="00343B61">
      <w:pPr>
        <w:bidi/>
        <w:spacing w:after="0" w:line="240" w:lineRule="auto"/>
        <w:ind w:right="810"/>
        <w:jc w:val="both"/>
        <w:rPr>
          <w:rFonts w:ascii="Times New Roman" w:hAnsi="Times New Roman" w:cs="Traditional Arabic"/>
          <w:sz w:val="32"/>
          <w:szCs w:val="32"/>
        </w:rPr>
      </w:pPr>
      <w:r w:rsidRPr="00A56EEC">
        <w:rPr>
          <w:rFonts w:ascii="Times New Roman" w:hAnsi="Times New Roman" w:cs="Traditional Arabic"/>
          <w:sz w:val="32"/>
          <w:szCs w:val="32"/>
          <w:rtl/>
        </w:rPr>
        <w:t>عن عمرو بن شعيب عن أبيه عن جده أن رسول الله صلى الله عليه وسلم قال</w:t>
      </w:r>
      <w:r w:rsidRPr="00A56EEC">
        <w:rPr>
          <w:rFonts w:ascii="Times New Roman" w:hAnsi="Times New Roman" w:cs="Traditional Arabic"/>
          <w:sz w:val="32"/>
          <w:szCs w:val="32"/>
        </w:rPr>
        <w:t xml:space="preserve">: </w:t>
      </w:r>
      <w:r w:rsidRPr="00A56EEC">
        <w:rPr>
          <w:rFonts w:ascii="Times New Roman" w:hAnsi="Times New Roman" w:cs="Traditional Arabic"/>
          <w:sz w:val="32"/>
          <w:szCs w:val="32"/>
          <w:rtl/>
        </w:rPr>
        <w:t xml:space="preserve">أيما رجل عاهر بحرة أو أمة فالولد ولد زنا ، لا يرث ولا يورث "  رواه الترمذى </w:t>
      </w:r>
      <w:r w:rsidRPr="00A56EEC">
        <w:rPr>
          <w:rFonts w:ascii="Times New Roman" w:hAnsi="Times New Roman" w:cs="Traditional Arabic"/>
          <w:sz w:val="32"/>
          <w:szCs w:val="32"/>
        </w:rPr>
        <w:t xml:space="preserve">-  </w:t>
      </w:r>
      <w:r w:rsidRPr="00A56EEC">
        <w:rPr>
          <w:rFonts w:ascii="Times New Roman" w:hAnsi="Times New Roman" w:cs="Traditional Arabic"/>
          <w:sz w:val="32"/>
          <w:szCs w:val="32"/>
          <w:rtl/>
        </w:rPr>
        <w:t xml:space="preserve">سنن الترمذى </w:t>
      </w:r>
      <w:r w:rsidRPr="00A56EEC">
        <w:rPr>
          <w:rFonts w:ascii="Times New Roman" w:hAnsi="Times New Roman" w:cs="Traditional Arabic"/>
          <w:sz w:val="24"/>
          <w:szCs w:val="24"/>
          <w:rtl/>
        </w:rPr>
        <w:t>1717</w:t>
      </w:r>
    </w:p>
    <w:p w:rsidR="00343B61" w:rsidRDefault="00343B61" w:rsidP="00343B61">
      <w:pPr>
        <w:spacing w:after="0" w:line="240" w:lineRule="auto"/>
        <w:ind w:left="900"/>
        <w:jc w:val="both"/>
        <w:rPr>
          <w:rFonts w:ascii="Times New Roman" w:hAnsi="Times New Roman" w:cs="Times New Roman"/>
          <w:sz w:val="24"/>
          <w:szCs w:val="24"/>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“Dari ‘Amr ibn Syu’aib ra dari ayahnya dari kakeknya bahwa rasulullah saw bersabda: Setiap orang yang menzinai perempuan baik merdeka maupun budak, maka anaknya adalah anak hasil zina, tidak mewarisi dan tidak mewariskan“.</w:t>
      </w:r>
      <w:r>
        <w:rPr>
          <w:rStyle w:val="FootnoteReference"/>
          <w:rFonts w:ascii="Times New Roman" w:hAnsi="Times New Roman" w:cs="Times New Roman"/>
          <w:i/>
          <w:iCs/>
          <w:sz w:val="24"/>
          <w:szCs w:val="24"/>
        </w:rPr>
        <w:footnoteReference w:id="775"/>
      </w:r>
      <w:r w:rsidRPr="00C71D31">
        <w:rPr>
          <w:rFonts w:ascii="Times New Roman" w:hAnsi="Times New Roman" w:cs="Times New Roman"/>
          <w:i/>
          <w:iCs/>
          <w:sz w:val="24"/>
          <w:szCs w:val="24"/>
        </w:rPr>
        <w:t xml:space="preserve"> </w:t>
      </w:r>
      <w:r w:rsidRPr="00742D58">
        <w:rPr>
          <w:rFonts w:ascii="Times New Roman" w:hAnsi="Times New Roman" w:cs="Times New Roman"/>
          <w:sz w:val="24"/>
          <w:szCs w:val="24"/>
        </w:rPr>
        <w:t>(HR. Al-Turmudzi)</w:t>
      </w:r>
    </w:p>
    <w:p w:rsidR="00343B61" w:rsidRPr="00C71D31" w:rsidRDefault="00343B61" w:rsidP="00343B61">
      <w:pPr>
        <w:spacing w:after="0" w:line="240" w:lineRule="auto"/>
        <w:ind w:left="900"/>
        <w:jc w:val="both"/>
        <w:rPr>
          <w:rFonts w:ascii="Times New Roman" w:hAnsi="Times New Roman" w:cs="Times New Roman"/>
          <w:sz w:val="24"/>
          <w:szCs w:val="24"/>
        </w:rPr>
      </w:pPr>
    </w:p>
    <w:p w:rsidR="00343B61" w:rsidRDefault="00343B61" w:rsidP="00343B61">
      <w:pPr>
        <w:spacing w:after="0" w:line="360" w:lineRule="auto"/>
        <w:ind w:left="1260" w:hanging="360"/>
        <w:jc w:val="both"/>
        <w:rPr>
          <w:rFonts w:ascii="Times New Roman" w:hAnsi="Times New Roman" w:cs="Times New Roman"/>
          <w:sz w:val="24"/>
          <w:szCs w:val="24"/>
        </w:rPr>
      </w:pPr>
      <w:r>
        <w:rPr>
          <w:rFonts w:ascii="Times New Roman" w:hAnsi="Times New Roman" w:cs="Times New Roman"/>
          <w:sz w:val="24"/>
          <w:szCs w:val="24"/>
        </w:rPr>
        <w:lastRenderedPageBreak/>
        <w:t>vi</w:t>
      </w:r>
      <w:r w:rsidRPr="00C71D31">
        <w:rPr>
          <w:rFonts w:ascii="Times New Roman" w:hAnsi="Times New Roman" w:cs="Times New Roman"/>
          <w:sz w:val="24"/>
          <w:szCs w:val="24"/>
        </w:rPr>
        <w:t>. Ijma’ Ulama, sebagaimana disampaikan oleh Imam Ibn Abdil Barr dalam “al-Tamhid” (8/183) apabila ada seseorang berzina dengan perempuan yang memiliki suami, kemudian melahirkan anak, maka anak tidak dinasabkan kepada lelaki yang menzinainya, melainkan kepada suami dari ibunya tersebut, dengan ketentuan ia tidak menafikan anak tersebut.</w:t>
      </w:r>
    </w:p>
    <w:p w:rsidR="00343B61" w:rsidRPr="00A31C77" w:rsidRDefault="00343B61" w:rsidP="00343B61">
      <w:pPr>
        <w:bidi/>
        <w:spacing w:after="0" w:line="240" w:lineRule="auto"/>
        <w:ind w:right="900"/>
        <w:jc w:val="both"/>
        <w:rPr>
          <w:rFonts w:ascii="Times New Roman" w:hAnsi="Times New Roman" w:cs="Traditional Arabic"/>
          <w:sz w:val="32"/>
          <w:szCs w:val="32"/>
        </w:rPr>
      </w:pPr>
      <w:r w:rsidRPr="00A31C77">
        <w:rPr>
          <w:rFonts w:ascii="Times New Roman" w:hAnsi="Times New Roman" w:cs="Traditional Arabic"/>
          <w:sz w:val="32"/>
          <w:szCs w:val="32"/>
          <w:rtl/>
        </w:rPr>
        <w:t>وأجمعت الأمة على ذلك نقلاً عن نبيها صلى الله عليه وسلم، وجعل رسول الله صلى الله عليه وسلم كل ولد يولد على فراش لرجل لاحقًا به على كل حال، إلا أن ينفيه بلعان على حكم اللعان</w:t>
      </w:r>
    </w:p>
    <w:p w:rsidR="00343B61" w:rsidRDefault="00343B61" w:rsidP="00343B61">
      <w:pPr>
        <w:spacing w:after="0" w:line="240" w:lineRule="auto"/>
        <w:ind w:left="900"/>
        <w:jc w:val="both"/>
        <w:rPr>
          <w:rFonts w:ascii="Times New Roman" w:hAnsi="Times New Roman" w:cs="Times New Roman"/>
          <w:i/>
          <w:iCs/>
          <w:sz w:val="24"/>
          <w:szCs w:val="24"/>
        </w:rPr>
      </w:pPr>
      <w:r>
        <w:rPr>
          <w:rFonts w:ascii="Times New Roman" w:hAnsi="Times New Roman" w:cs="Times New Roman"/>
          <w:i/>
          <w:iCs/>
          <w:sz w:val="24"/>
          <w:szCs w:val="24"/>
        </w:rPr>
        <w:t>Artinya: “</w:t>
      </w:r>
      <w:r w:rsidRPr="00C71D31">
        <w:rPr>
          <w:rFonts w:ascii="Times New Roman" w:hAnsi="Times New Roman" w:cs="Times New Roman"/>
          <w:i/>
          <w:iCs/>
          <w:sz w:val="24"/>
          <w:szCs w:val="24"/>
        </w:rPr>
        <w:t>Umat telah ijma’ (bersepakat) tentang hal itu dengan dasar hadis nabi saw, dan rasul saw menetapkan setiap anak yang terlahir dari ibu, dan ada suaminya, dinasabkan kepada ayahnya (suami ibunya), kecuali ia menafikan anak tersebut dengan l</w:t>
      </w:r>
      <w:r>
        <w:rPr>
          <w:rFonts w:ascii="Times New Roman" w:hAnsi="Times New Roman" w:cs="Times New Roman"/>
          <w:i/>
          <w:iCs/>
          <w:sz w:val="24"/>
          <w:szCs w:val="24"/>
        </w:rPr>
        <w:t>i’an, maka hukumnya hukum li’an”.</w:t>
      </w:r>
    </w:p>
    <w:p w:rsidR="00343B61" w:rsidRPr="00C71D31" w:rsidRDefault="00343B61" w:rsidP="00343B61">
      <w:pPr>
        <w:spacing w:before="100" w:beforeAutospacing="1" w:after="0" w:line="360" w:lineRule="auto"/>
        <w:ind w:left="900"/>
        <w:jc w:val="both"/>
        <w:rPr>
          <w:rFonts w:ascii="Times New Roman" w:hAnsi="Times New Roman" w:cs="Times New Roman"/>
          <w:sz w:val="24"/>
          <w:szCs w:val="24"/>
        </w:rPr>
      </w:pPr>
      <w:r w:rsidRPr="00C71D31">
        <w:rPr>
          <w:rFonts w:ascii="Times New Roman" w:hAnsi="Times New Roman" w:cs="Times New Roman"/>
          <w:i/>
          <w:iCs/>
          <w:sz w:val="24"/>
          <w:szCs w:val="24"/>
        </w:rPr>
        <w:t xml:space="preserve"> </w:t>
      </w:r>
      <w:r w:rsidRPr="00C71D31">
        <w:rPr>
          <w:rFonts w:ascii="Times New Roman" w:hAnsi="Times New Roman" w:cs="Times New Roman"/>
          <w:sz w:val="24"/>
          <w:szCs w:val="24"/>
        </w:rPr>
        <w:t xml:space="preserve">Juga disampaikan oleh Imam Ibnu </w:t>
      </w:r>
      <w:r>
        <w:rPr>
          <w:rFonts w:ascii="Times New Roman" w:hAnsi="Times New Roman" w:cs="Times New Roman"/>
          <w:sz w:val="24"/>
          <w:szCs w:val="24"/>
        </w:rPr>
        <w:t>Qudamah dalam Kitab al-Mughni (7/1</w:t>
      </w:r>
      <w:r w:rsidRPr="00C71D31">
        <w:rPr>
          <w:rFonts w:ascii="Times New Roman" w:hAnsi="Times New Roman" w:cs="Times New Roman"/>
          <w:sz w:val="24"/>
          <w:szCs w:val="24"/>
        </w:rPr>
        <w:t>3</w:t>
      </w:r>
      <w:r>
        <w:rPr>
          <w:rFonts w:ascii="Times New Roman" w:hAnsi="Times New Roman" w:cs="Times New Roman"/>
          <w:sz w:val="24"/>
          <w:szCs w:val="24"/>
        </w:rPr>
        <w:t>0</w:t>
      </w:r>
      <w:r w:rsidRPr="00C71D31">
        <w:rPr>
          <w:rFonts w:ascii="Times New Roman" w:hAnsi="Times New Roman" w:cs="Times New Roman"/>
          <w:sz w:val="24"/>
          <w:szCs w:val="24"/>
        </w:rPr>
        <w:t>) sebagai berikut:</w:t>
      </w:r>
    </w:p>
    <w:p w:rsidR="00343B61" w:rsidRPr="00A31C77" w:rsidRDefault="00343B61" w:rsidP="00343B61">
      <w:pPr>
        <w:spacing w:after="0" w:line="240" w:lineRule="auto"/>
        <w:jc w:val="right"/>
        <w:rPr>
          <w:rFonts w:ascii="Times New Roman" w:hAnsi="Times New Roman" w:cs="Traditional Arabic"/>
          <w:sz w:val="32"/>
          <w:szCs w:val="32"/>
        </w:rPr>
      </w:pPr>
      <w:r w:rsidRPr="00A31C77">
        <w:rPr>
          <w:rFonts w:ascii="Times New Roman" w:hAnsi="Times New Roman" w:cs="Traditional Arabic"/>
          <w:sz w:val="32"/>
          <w:szCs w:val="32"/>
          <w:rtl/>
        </w:rPr>
        <w:t>وأجمعوا على أنه إذا ولد على فراش رجل فادعاه آخر أنه لا يلحقه</w:t>
      </w:r>
    </w:p>
    <w:p w:rsidR="00343B61" w:rsidRDefault="00343B61" w:rsidP="00343B61">
      <w:pPr>
        <w:spacing w:after="0" w:line="240" w:lineRule="auto"/>
        <w:ind w:left="900"/>
        <w:jc w:val="both"/>
        <w:rPr>
          <w:rFonts w:ascii="Times New Roman" w:hAnsi="Times New Roman" w:cs="Times New Roman"/>
          <w:i/>
          <w:iCs/>
          <w:sz w:val="24"/>
          <w:szCs w:val="24"/>
        </w:rPr>
      </w:pPr>
      <w:r>
        <w:rPr>
          <w:rFonts w:ascii="Times New Roman" w:hAnsi="Times New Roman" w:cs="Times New Roman"/>
          <w:i/>
          <w:iCs/>
          <w:sz w:val="24"/>
          <w:szCs w:val="24"/>
        </w:rPr>
        <w:t>Artinya: “</w:t>
      </w:r>
      <w:r w:rsidRPr="00C71D31">
        <w:rPr>
          <w:rFonts w:ascii="Times New Roman" w:hAnsi="Times New Roman" w:cs="Times New Roman"/>
          <w:i/>
          <w:iCs/>
          <w:sz w:val="24"/>
          <w:szCs w:val="24"/>
        </w:rPr>
        <w:t>Para Ulama bersepakat (ijma’) atas anak yang lahir dari ibu, dan ada suaminya, kemudian orang lain mengaku (menjadi ayahnya), maka tidak dinasabkan kepadanya.</w:t>
      </w:r>
      <w:r>
        <w:rPr>
          <w:rFonts w:ascii="Times New Roman" w:hAnsi="Times New Roman" w:cs="Times New Roman"/>
          <w:i/>
          <w:iCs/>
          <w:sz w:val="24"/>
          <w:szCs w:val="24"/>
        </w:rPr>
        <w:t>”</w:t>
      </w:r>
      <w:r w:rsidRPr="00C71D31">
        <w:rPr>
          <w:rFonts w:ascii="Times New Roman" w:hAnsi="Times New Roman" w:cs="Times New Roman"/>
          <w:i/>
          <w:iCs/>
          <w:sz w:val="24"/>
          <w:szCs w:val="24"/>
        </w:rPr>
        <w:t xml:space="preserve"> </w:t>
      </w:r>
      <w:r>
        <w:rPr>
          <w:rStyle w:val="FootnoteReference"/>
          <w:rFonts w:ascii="Times New Roman" w:hAnsi="Times New Roman" w:cs="Times New Roman"/>
          <w:i/>
          <w:iCs/>
          <w:sz w:val="24"/>
          <w:szCs w:val="24"/>
        </w:rPr>
        <w:footnoteReference w:id="776"/>
      </w:r>
    </w:p>
    <w:p w:rsidR="00343B61" w:rsidRPr="009C4F77" w:rsidRDefault="00343B61" w:rsidP="00343B61">
      <w:pPr>
        <w:spacing w:after="0" w:line="240" w:lineRule="auto"/>
        <w:ind w:left="900"/>
        <w:jc w:val="both"/>
        <w:rPr>
          <w:rFonts w:ascii="Times New Roman" w:hAnsi="Times New Roman" w:cs="Times New Roman"/>
          <w:sz w:val="24"/>
          <w:szCs w:val="24"/>
        </w:rPr>
      </w:pPr>
    </w:p>
    <w:p w:rsidR="00343B61" w:rsidRPr="00C71D31" w:rsidRDefault="00343B61" w:rsidP="00343B61">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vii</w:t>
      </w:r>
      <w:r w:rsidRPr="00C71D31">
        <w:rPr>
          <w:rFonts w:ascii="Times New Roman" w:hAnsi="Times New Roman" w:cs="Times New Roman"/>
          <w:sz w:val="24"/>
          <w:szCs w:val="24"/>
        </w:rPr>
        <w:t>.  Qaidah ushuliyyah :</w:t>
      </w: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الأ صل في النهي يقتضي فساد المنهي عنه</w:t>
      </w:r>
    </w:p>
    <w:p w:rsidR="00343B61" w:rsidRDefault="00343B61" w:rsidP="00343B61">
      <w:pPr>
        <w:spacing w:after="0" w:line="240" w:lineRule="auto"/>
        <w:ind w:left="900"/>
        <w:jc w:val="both"/>
        <w:rPr>
          <w:rFonts w:ascii="Times New Roman" w:hAnsi="Times New Roman" w:cs="Times New Roman"/>
          <w:i/>
          <w:iCs/>
          <w:sz w:val="24"/>
          <w:szCs w:val="24"/>
          <w:rtl/>
        </w:rPr>
      </w:pPr>
      <w:r w:rsidRPr="00C71D31">
        <w:rPr>
          <w:rFonts w:ascii="Times New Roman" w:hAnsi="Times New Roman" w:cs="Times New Roman"/>
          <w:i/>
          <w:iCs/>
          <w:sz w:val="24"/>
          <w:szCs w:val="24"/>
        </w:rPr>
        <w:t>“Pada dasarnya, di dalam larangan tentang sesuatu menuntut adanya rusaknya perbuatan yang terlarang tersebut”</w:t>
      </w:r>
    </w:p>
    <w:p w:rsidR="00343B61" w:rsidRPr="00C71D31" w:rsidRDefault="00343B61" w:rsidP="00343B61">
      <w:pPr>
        <w:spacing w:after="0" w:line="240" w:lineRule="auto"/>
        <w:ind w:left="900"/>
        <w:jc w:val="both"/>
        <w:rPr>
          <w:rFonts w:ascii="Times New Roman" w:hAnsi="Times New Roman" w:cs="Times New Roman"/>
          <w:sz w:val="24"/>
          <w:szCs w:val="24"/>
        </w:rPr>
      </w:pP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لا اجتهاد في مورد النص</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77"/>
      </w:r>
    </w:p>
    <w:p w:rsidR="00343B61" w:rsidRPr="00C71D31" w:rsidRDefault="00343B61" w:rsidP="00343B61">
      <w:pPr>
        <w:spacing w:after="100" w:afterAutospacing="1" w:line="240" w:lineRule="auto"/>
        <w:ind w:firstLine="900"/>
        <w:jc w:val="both"/>
        <w:rPr>
          <w:rFonts w:ascii="Times New Roman" w:hAnsi="Times New Roman" w:cs="Times New Roman"/>
          <w:sz w:val="24"/>
          <w:szCs w:val="24"/>
        </w:rPr>
      </w:pPr>
      <w:r w:rsidRPr="00C71D31">
        <w:rPr>
          <w:rFonts w:ascii="Times New Roman" w:hAnsi="Times New Roman" w:cs="Times New Roman"/>
          <w:i/>
          <w:iCs/>
          <w:sz w:val="24"/>
          <w:szCs w:val="24"/>
        </w:rPr>
        <w:t>“Tidak ada ijtihad di hadapan nash”</w:t>
      </w: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لِلْوَسَائِلَ حُكْمُ الْمَقَاصِدِ</w:t>
      </w:r>
    </w:p>
    <w:p w:rsidR="00343B61" w:rsidRDefault="00343B61" w:rsidP="00343B61">
      <w:pPr>
        <w:spacing w:after="0" w:line="240" w:lineRule="auto"/>
        <w:ind w:firstLine="900"/>
        <w:jc w:val="both"/>
        <w:rPr>
          <w:rFonts w:ascii="Times New Roman" w:hAnsi="Times New Roman" w:cs="Times New Roman"/>
          <w:i/>
          <w:iCs/>
          <w:sz w:val="24"/>
          <w:szCs w:val="24"/>
          <w:rtl/>
        </w:rPr>
      </w:pPr>
      <w:r w:rsidRPr="00C71D31">
        <w:rPr>
          <w:rFonts w:ascii="Times New Roman" w:hAnsi="Times New Roman" w:cs="Times New Roman"/>
          <w:i/>
          <w:iCs/>
          <w:sz w:val="24"/>
          <w:szCs w:val="24"/>
        </w:rPr>
        <w:lastRenderedPageBreak/>
        <w:t>“Hukum sarana adalah mengikuti hukum capaian yang akan dituju"</w:t>
      </w:r>
    </w:p>
    <w:p w:rsidR="00343B61" w:rsidRPr="00C71D31" w:rsidRDefault="00343B61" w:rsidP="00343B61">
      <w:pPr>
        <w:spacing w:after="0" w:line="240" w:lineRule="auto"/>
        <w:ind w:firstLine="900"/>
        <w:jc w:val="both"/>
        <w:rPr>
          <w:rFonts w:ascii="Times New Roman" w:hAnsi="Times New Roman" w:cs="Times New Roman"/>
          <w:sz w:val="24"/>
          <w:szCs w:val="24"/>
        </w:rPr>
      </w:pP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الضَّرَرُ يُدْفَعُ بِقَدْرِ الْإِمْكَانِ</w:t>
      </w:r>
    </w:p>
    <w:p w:rsidR="00343B61" w:rsidRPr="00C71D31" w:rsidRDefault="00343B61" w:rsidP="00343B61">
      <w:pPr>
        <w:spacing w:after="100" w:afterAutospacing="1" w:line="240" w:lineRule="auto"/>
        <w:ind w:firstLine="990"/>
        <w:jc w:val="both"/>
        <w:rPr>
          <w:rFonts w:ascii="Times New Roman" w:hAnsi="Times New Roman" w:cs="Times New Roman"/>
          <w:sz w:val="24"/>
          <w:szCs w:val="24"/>
        </w:rPr>
      </w:pPr>
      <w:r w:rsidRPr="00C71D31">
        <w:rPr>
          <w:rFonts w:ascii="Times New Roman" w:hAnsi="Times New Roman" w:cs="Times New Roman"/>
          <w:i/>
          <w:iCs/>
          <w:sz w:val="24"/>
          <w:szCs w:val="24"/>
        </w:rPr>
        <w:t>“Segala mudharat (bahaya) harus dihindarkan sedapat mungkin”.</w:t>
      </w: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الضَّرَرُ لاَ يُزَالُ بِالضَّرَرِ</w:t>
      </w:r>
    </w:p>
    <w:p w:rsidR="00343B61" w:rsidRPr="008F3925" w:rsidRDefault="00343B61" w:rsidP="00343B61">
      <w:pPr>
        <w:spacing w:after="0" w:line="240" w:lineRule="auto"/>
        <w:ind w:left="1080"/>
        <w:jc w:val="both"/>
        <w:rPr>
          <w:rFonts w:ascii="Times New Roman" w:hAnsi="Times New Roman" w:cs="Times New Roman"/>
          <w:i/>
          <w:iCs/>
          <w:sz w:val="24"/>
          <w:szCs w:val="24"/>
        </w:rPr>
      </w:pPr>
      <w:r w:rsidRPr="00C71D31">
        <w:rPr>
          <w:rFonts w:ascii="Times New Roman" w:hAnsi="Times New Roman" w:cs="Times New Roman"/>
          <w:i/>
          <w:iCs/>
          <w:sz w:val="24"/>
          <w:szCs w:val="24"/>
        </w:rPr>
        <w:t>“Bahaya itu tidak boleh dihilangkan dengan mendatangkan bahaya yang lain.”</w:t>
      </w: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دَرْءُ الْمَفَاسِدِ مُقَدَّمٌ عَلَى جَلْبِ الْمَصَالِحِ</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78"/>
      </w:r>
    </w:p>
    <w:p w:rsidR="00343B61" w:rsidRDefault="00343B61" w:rsidP="00343B61">
      <w:pPr>
        <w:spacing w:after="0" w:line="240" w:lineRule="auto"/>
        <w:ind w:firstLine="1080"/>
        <w:jc w:val="both"/>
        <w:rPr>
          <w:rFonts w:ascii="Times New Roman" w:hAnsi="Times New Roman" w:cs="Times New Roman"/>
          <w:i/>
          <w:iCs/>
          <w:sz w:val="24"/>
          <w:szCs w:val="24"/>
          <w:rtl/>
        </w:rPr>
      </w:pPr>
      <w:r w:rsidRPr="00C71D31">
        <w:rPr>
          <w:rFonts w:ascii="Times New Roman" w:hAnsi="Times New Roman" w:cs="Times New Roman"/>
          <w:i/>
          <w:iCs/>
          <w:sz w:val="24"/>
          <w:szCs w:val="24"/>
        </w:rPr>
        <w:t>“Menghindarkan mafsadat didahulukan atas mendatangkan maslahat.</w:t>
      </w:r>
    </w:p>
    <w:p w:rsidR="00343B61" w:rsidRPr="00C71D31" w:rsidRDefault="00343B61" w:rsidP="00343B61">
      <w:pPr>
        <w:spacing w:after="0" w:line="240" w:lineRule="auto"/>
        <w:ind w:firstLine="1080"/>
        <w:jc w:val="both"/>
        <w:rPr>
          <w:rFonts w:ascii="Times New Roman" w:hAnsi="Times New Roman" w:cs="Times New Roman"/>
          <w:sz w:val="24"/>
          <w:szCs w:val="24"/>
        </w:rPr>
      </w:pP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يُتَحَمَّلُ الضَّرَرُ الْخَاصُّ لِدَفْعِ الضَّرَرِ الْعَامِّ</w:t>
      </w:r>
    </w:p>
    <w:p w:rsidR="00343B61" w:rsidRPr="00C71D31" w:rsidRDefault="00343B61" w:rsidP="00343B61">
      <w:pPr>
        <w:spacing w:after="100" w:afterAutospacing="1" w:line="240" w:lineRule="auto"/>
        <w:ind w:left="1080"/>
        <w:jc w:val="both"/>
        <w:rPr>
          <w:rFonts w:ascii="Times New Roman" w:hAnsi="Times New Roman" w:cs="Times New Roman"/>
          <w:sz w:val="24"/>
          <w:szCs w:val="24"/>
        </w:rPr>
      </w:pPr>
      <w:r w:rsidRPr="00C71D31">
        <w:rPr>
          <w:rFonts w:ascii="Times New Roman" w:hAnsi="Times New Roman" w:cs="Times New Roman"/>
          <w:i/>
          <w:iCs/>
          <w:sz w:val="24"/>
          <w:szCs w:val="24"/>
        </w:rPr>
        <w:t>“Dharar yang bersifat khusus harus ditanggung untuk menghindarkan dharar yang bersifat umum (lebih luas).”</w:t>
      </w:r>
    </w:p>
    <w:p w:rsidR="00343B61" w:rsidRPr="00594207" w:rsidRDefault="00343B61" w:rsidP="00343B61">
      <w:pPr>
        <w:spacing w:after="0" w:line="240" w:lineRule="auto"/>
        <w:jc w:val="right"/>
        <w:rPr>
          <w:rFonts w:ascii="Times New Roman" w:hAnsi="Times New Roman" w:cs="Traditional Arabic"/>
          <w:sz w:val="32"/>
          <w:szCs w:val="32"/>
        </w:rPr>
      </w:pPr>
      <w:r w:rsidRPr="00594207">
        <w:rPr>
          <w:rFonts w:ascii="Times New Roman" w:hAnsi="Times New Roman" w:cs="Traditional Arabic"/>
          <w:sz w:val="32"/>
          <w:szCs w:val="32"/>
          <w:rtl/>
        </w:rPr>
        <w:t>إِذَا تَعَارَضَتْ مَفْسَدَتَانِ أَوْ ضَرَرَانِ رُوْعِيَ أَعْظَمُهُمَا ضَرَرًا بِارْتِكَابِ أَخَفِّهِمَا</w:t>
      </w:r>
    </w:p>
    <w:p w:rsidR="00343B61" w:rsidRDefault="00343B61" w:rsidP="00343B61">
      <w:pPr>
        <w:spacing w:after="0" w:line="240" w:lineRule="auto"/>
        <w:ind w:left="1170"/>
        <w:jc w:val="both"/>
        <w:rPr>
          <w:rFonts w:ascii="Times New Roman" w:hAnsi="Times New Roman" w:cs="Times New Roman"/>
          <w:i/>
          <w:iCs/>
          <w:sz w:val="24"/>
          <w:szCs w:val="24"/>
          <w:rtl/>
        </w:rPr>
      </w:pPr>
      <w:r w:rsidRPr="00C71D31">
        <w:rPr>
          <w:rFonts w:ascii="Times New Roman" w:hAnsi="Times New Roman" w:cs="Times New Roman"/>
          <w:i/>
          <w:iCs/>
          <w:sz w:val="24"/>
          <w:szCs w:val="24"/>
        </w:rPr>
        <w:t>"Apabila terdapat dua kerusakan atau bahaya yang saling bertentangan, maka kerusakan atau bahaya yang lebih besar dihindari dengan jalan melakukan perbuatan yang resiko bahayanya lebih kecil."</w:t>
      </w:r>
    </w:p>
    <w:p w:rsidR="00343B61" w:rsidRPr="00C71D31" w:rsidRDefault="00343B61" w:rsidP="00343B61">
      <w:pPr>
        <w:spacing w:after="0" w:line="240" w:lineRule="auto"/>
        <w:ind w:left="1170"/>
        <w:jc w:val="both"/>
        <w:rPr>
          <w:rFonts w:ascii="Times New Roman" w:hAnsi="Times New Roman" w:cs="Times New Roman"/>
          <w:sz w:val="24"/>
          <w:szCs w:val="24"/>
        </w:rPr>
      </w:pPr>
    </w:p>
    <w:p w:rsidR="00343B61" w:rsidRPr="00594207" w:rsidRDefault="00343B61" w:rsidP="00343B61">
      <w:pPr>
        <w:bidi/>
        <w:spacing w:after="0" w:line="240" w:lineRule="auto"/>
        <w:rPr>
          <w:rFonts w:ascii="Times New Roman" w:hAnsi="Times New Roman" w:cs="Traditional Arabic"/>
          <w:sz w:val="32"/>
          <w:szCs w:val="32"/>
        </w:rPr>
      </w:pPr>
      <w:r w:rsidRPr="00594207">
        <w:rPr>
          <w:rFonts w:ascii="Times New Roman" w:hAnsi="Times New Roman" w:cs="Traditional Arabic"/>
          <w:sz w:val="32"/>
          <w:szCs w:val="32"/>
          <w:rtl/>
        </w:rPr>
        <w:t>تَصَرُّفُ اْلإِمَامِ عَلَى الرَّعِيَّةِ مَنُوْطٌ بِالْمَصَلَحَةِ</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79"/>
      </w:r>
    </w:p>
    <w:p w:rsidR="00343B61" w:rsidRDefault="00343B61" w:rsidP="00343B61">
      <w:pPr>
        <w:spacing w:after="100" w:afterAutospacing="1" w:line="240" w:lineRule="auto"/>
        <w:ind w:left="1170"/>
        <w:jc w:val="both"/>
        <w:rPr>
          <w:rFonts w:ascii="Times New Roman" w:hAnsi="Times New Roman" w:cs="Times New Roman"/>
          <w:i/>
          <w:iCs/>
          <w:sz w:val="24"/>
          <w:szCs w:val="24"/>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“Kebijakan imam (pemerintah) terhadap rakyatnya didasarkan pada kemaslahatan.</w:t>
      </w:r>
    </w:p>
    <w:p w:rsidR="00343B61" w:rsidRDefault="00343B61" w:rsidP="00343B61">
      <w:pPr>
        <w:spacing w:after="0" w:line="360" w:lineRule="auto"/>
        <w:ind w:left="1170" w:firstLine="630"/>
        <w:jc w:val="both"/>
        <w:rPr>
          <w:rFonts w:ascii="Times New Roman" w:hAnsi="Times New Roman" w:cs="Times New Roman"/>
          <w:sz w:val="24"/>
          <w:szCs w:val="24"/>
        </w:rPr>
      </w:pPr>
      <w:r>
        <w:rPr>
          <w:rFonts w:ascii="Times New Roman" w:hAnsi="Times New Roman" w:cs="Times New Roman"/>
          <w:sz w:val="24"/>
          <w:szCs w:val="24"/>
        </w:rPr>
        <w:t>Selain Ayat Al-Quran, Hadis Nabi SAW dan Kaidah Fiqhiyah, MUI juga menjadi pendapat ahli fikih sebagai dasar pertimbangan terhadap fatwa Kedudukan Anak Hasil Luar Nikah ini. Ada beberapa pendapat ahli fiqh yang di kutipnya, yaitu;</w:t>
      </w:r>
    </w:p>
    <w:p w:rsidR="00343B61" w:rsidRPr="005C0DE4" w:rsidRDefault="00343B61" w:rsidP="002C0A33">
      <w:pPr>
        <w:pStyle w:val="ListParagraph"/>
        <w:numPr>
          <w:ilvl w:val="0"/>
          <w:numId w:val="43"/>
        </w:numPr>
        <w:spacing w:before="100" w:beforeAutospacing="1" w:after="0" w:line="360" w:lineRule="auto"/>
        <w:jc w:val="both"/>
        <w:rPr>
          <w:rFonts w:ascii="Times New Roman" w:hAnsi="Times New Roman" w:cs="Times New Roman"/>
          <w:sz w:val="24"/>
          <w:szCs w:val="24"/>
        </w:rPr>
      </w:pPr>
      <w:r w:rsidRPr="005C0DE4">
        <w:rPr>
          <w:rFonts w:ascii="Times New Roman" w:hAnsi="Times New Roman" w:cs="Times New Roman"/>
          <w:sz w:val="24"/>
          <w:szCs w:val="24"/>
        </w:rPr>
        <w:t xml:space="preserve">Pendapat Jumhur Madzhab Fikih Hanafiyyah, Malikiyyah, Syafi’iyyah, dan Hanabilah yang menyatakan bahwa prinsip </w:t>
      </w:r>
      <w:r w:rsidRPr="005C0DE4">
        <w:rPr>
          <w:rFonts w:ascii="Times New Roman" w:hAnsi="Times New Roman" w:cs="Times New Roman"/>
          <w:sz w:val="24"/>
          <w:szCs w:val="24"/>
        </w:rPr>
        <w:lastRenderedPageBreak/>
        <w:t>penetapan nasab adalah karena adanya hubungan pernikahan yang sah. Selain karena pernikahan yang sah, maka tidak ada akibat hukum hubungan nasab, dan dengan demikian anak zina dinasabkan kepada ibunya, tidak dinasabkan pada lelaki yang menzinai, sebagaimana termaktub dalam beberapa kutipan berikut:</w:t>
      </w:r>
    </w:p>
    <w:p w:rsidR="00343B61" w:rsidRDefault="00343B61" w:rsidP="002C0A33">
      <w:pPr>
        <w:pStyle w:val="ListParagraph"/>
        <w:numPr>
          <w:ilvl w:val="0"/>
          <w:numId w:val="44"/>
        </w:numPr>
        <w:spacing w:before="100" w:beforeAutospacing="1" w:after="100" w:afterAutospacing="1" w:line="360" w:lineRule="auto"/>
        <w:ind w:left="1800" w:hanging="270"/>
        <w:rPr>
          <w:rFonts w:ascii="Times New Roman" w:hAnsi="Times New Roman" w:cs="Times New Roman"/>
          <w:sz w:val="24"/>
          <w:szCs w:val="24"/>
        </w:rPr>
      </w:pPr>
      <w:r w:rsidRPr="005C0DE4">
        <w:rPr>
          <w:rFonts w:ascii="Times New Roman" w:hAnsi="Times New Roman" w:cs="Times New Roman"/>
          <w:sz w:val="24"/>
          <w:szCs w:val="24"/>
        </w:rPr>
        <w:t>Ibn Hajar al-‘Asqalani:</w:t>
      </w:r>
    </w:p>
    <w:p w:rsidR="00343B61" w:rsidRPr="005C0DE4" w:rsidRDefault="00343B61" w:rsidP="00343B61">
      <w:pPr>
        <w:pStyle w:val="ListParagraph"/>
        <w:bidi/>
        <w:spacing w:after="0" w:line="240" w:lineRule="auto"/>
        <w:ind w:left="17" w:right="1800"/>
        <w:jc w:val="both"/>
        <w:rPr>
          <w:rFonts w:ascii="Times New Roman" w:hAnsi="Times New Roman" w:cs="Traditional Arabic"/>
          <w:sz w:val="32"/>
          <w:szCs w:val="32"/>
        </w:rPr>
      </w:pPr>
      <w:r w:rsidRPr="005C0DE4">
        <w:rPr>
          <w:rFonts w:ascii="Times New Roman" w:hAnsi="Times New Roman" w:cs="Traditional Arabic"/>
          <w:sz w:val="32"/>
          <w:szCs w:val="32"/>
          <w:rtl/>
        </w:rPr>
        <w:t>نقل عن الشافعي أنه قال: لقوله “الولد للفراش” معنيان: أحدهما</w:t>
      </w:r>
      <w:r w:rsidRPr="005C0DE4">
        <w:rPr>
          <w:rFonts w:ascii="Times New Roman" w:hAnsi="Times New Roman" w:cs="Traditional Arabic"/>
          <w:sz w:val="32"/>
          <w:szCs w:val="32"/>
        </w:rPr>
        <w:br/>
      </w:r>
      <w:r w:rsidRPr="005C0DE4">
        <w:rPr>
          <w:rFonts w:ascii="Times New Roman" w:hAnsi="Times New Roman" w:cs="Traditional Arabic"/>
          <w:sz w:val="32"/>
          <w:szCs w:val="32"/>
          <w:rtl/>
        </w:rPr>
        <w:t>هو له مالم ينفه، فإذا نفاه بما شُرع له كاللعان انتفى عنه، والثاني: إذا تنازع رب الفراش والعاهر فالولد لرب الفراش” ثم قال: “وقوله: “وللعاهر الحجر”، أي: للزاني الخيبة والحرمان، والعَهَر بفتحتين: الزنا، وقيل: يختص بالليل، ومعنى الخيبة هنا: حرمان الولد الذي يدعيه، وجرت عادة العرب أن تقول لمن خاب: له الحجر وبفيه الحجر والتراب، ونحو ذلك، وقيل: المراد بالحجر هنا أنه يرجم. قال النووي: وهو ضعيف، لأن الرجم مختصّ بالمحصن، ولأنه لا يلزم من رجمه نفي الولد، والخبر إنما سيق لنفي الولد، وقال السبكي: والأول أشبه بمساق الحديث، لتعم الخيبة كل زان</w:t>
      </w:r>
    </w:p>
    <w:p w:rsidR="00343B61" w:rsidRPr="00C71D31" w:rsidRDefault="00343B61" w:rsidP="00343B61">
      <w:pPr>
        <w:spacing w:after="0" w:line="240" w:lineRule="auto"/>
        <w:ind w:left="1800"/>
        <w:jc w:val="both"/>
        <w:rPr>
          <w:rFonts w:ascii="Times New Roman" w:hAnsi="Times New Roman" w:cs="Times New Roman"/>
          <w:sz w:val="24"/>
          <w:szCs w:val="24"/>
        </w:rPr>
      </w:pPr>
      <w:r w:rsidRPr="00C71D31">
        <w:rPr>
          <w:rFonts w:ascii="Times New Roman" w:hAnsi="Times New Roman" w:cs="Times New Roman"/>
          <w:i/>
          <w:iCs/>
          <w:sz w:val="24"/>
          <w:szCs w:val="24"/>
        </w:rPr>
        <w:t>Diriwayatkan dari Imam Syafe’i dua pengertian tentang makna dari hadist “ Anak itu men</w:t>
      </w:r>
      <w:r>
        <w:rPr>
          <w:rFonts w:ascii="Times New Roman" w:hAnsi="Times New Roman" w:cs="Times New Roman"/>
          <w:i/>
          <w:iCs/>
          <w:sz w:val="24"/>
          <w:szCs w:val="24"/>
        </w:rPr>
        <w:t>jadi hak pemillik kasur/suami“</w:t>
      </w:r>
      <w:r w:rsidRPr="00C71D31">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C71D31">
        <w:rPr>
          <w:rFonts w:ascii="Times New Roman" w:hAnsi="Times New Roman" w:cs="Times New Roman"/>
          <w:i/>
          <w:iCs/>
          <w:sz w:val="24"/>
          <w:szCs w:val="24"/>
        </w:rPr>
        <w:t>Pertama : Anak menjadi hak pemilik kasur/suami selama ia tidak menafikan/mengingkarinya.  Apabila pemilik kasur/suami menafikan anak tersebut (tidak mengakuinya) dengan prosedur yang diakui keabsahannya dalam syariah, seperti  melakukan Li’an, maka anak tersebut dinyatakan bukan  sebagai anaknya.</w:t>
      </w:r>
    </w:p>
    <w:p w:rsidR="00343B61" w:rsidRDefault="00343B61" w:rsidP="00343B61">
      <w:pPr>
        <w:spacing w:after="0" w:line="240" w:lineRule="auto"/>
        <w:ind w:left="1800"/>
        <w:jc w:val="both"/>
        <w:rPr>
          <w:rFonts w:ascii="Times New Roman" w:hAnsi="Times New Roman" w:cs="Times New Roman"/>
          <w:i/>
          <w:iCs/>
          <w:sz w:val="24"/>
          <w:szCs w:val="24"/>
          <w:rtl/>
        </w:rPr>
      </w:pPr>
      <w:r w:rsidRPr="00C71D31">
        <w:rPr>
          <w:rFonts w:ascii="Times New Roman" w:hAnsi="Times New Roman" w:cs="Times New Roman"/>
          <w:i/>
          <w:iCs/>
          <w:sz w:val="24"/>
          <w:szCs w:val="24"/>
        </w:rPr>
        <w:t>Kedua : Apabila bersengketa (terkait kepemilikan anak) antara pemilik kasur/suami dengan laki-laki yang menzinai istri/budak wanitanya, maka anak tersebut menjadi hak pemilik kasur/suami.</w:t>
      </w:r>
      <w:r>
        <w:rPr>
          <w:rFonts w:ascii="Times New Roman" w:hAnsi="Times New Roman" w:cs="Times New Roman"/>
          <w:sz w:val="24"/>
          <w:szCs w:val="24"/>
        </w:rPr>
        <w:t xml:space="preserve"> </w:t>
      </w:r>
      <w:r w:rsidRPr="00C71D31">
        <w:rPr>
          <w:rFonts w:ascii="Times New Roman" w:hAnsi="Times New Roman" w:cs="Times New Roman"/>
          <w:i/>
          <w:iCs/>
          <w:sz w:val="24"/>
          <w:szCs w:val="24"/>
        </w:rPr>
        <w:t>Adapun maksud dari “ Bagi Pezina adalah Batu “ bahwa laki-laki pezina itu keterhalangan dan keputus-asaan. Maksud dari kata Al-‘AHAR dengan menggunakan dua fathah (pada huruf ‘ain dan ha’) adalah zina. Ada yang berpendapat bahwa kata tersebut digunakan untuk perzinaan yang dilakukan pada malam hari.</w:t>
      </w:r>
      <w:r>
        <w:rPr>
          <w:rFonts w:ascii="Times New Roman" w:hAnsi="Times New Roman" w:cs="Times New Roman"/>
          <w:sz w:val="24"/>
          <w:szCs w:val="24"/>
        </w:rPr>
        <w:t xml:space="preserve"> </w:t>
      </w:r>
      <w:r w:rsidRPr="00C71D31">
        <w:rPr>
          <w:rFonts w:ascii="Times New Roman" w:hAnsi="Times New Roman" w:cs="Times New Roman"/>
          <w:i/>
          <w:iCs/>
          <w:sz w:val="24"/>
          <w:szCs w:val="24"/>
        </w:rPr>
        <w:t xml:space="preserve">Oleh karenanya, makna dari keptus-asaan disini adalah bahwa laki-laki pezina tersebut tidak mendapatkan hak nasab atas anak yang dilahirkan dari perzinaannya.  Pemilihan kata keputus-asaan di sini sesuai dengan tradisi bangsa arab yang menyatakan “Baginya ada </w:t>
      </w:r>
      <w:r w:rsidRPr="00C71D31">
        <w:rPr>
          <w:rFonts w:ascii="Times New Roman" w:hAnsi="Times New Roman" w:cs="Times New Roman"/>
          <w:i/>
          <w:iCs/>
          <w:sz w:val="24"/>
          <w:szCs w:val="24"/>
        </w:rPr>
        <w:lastRenderedPageBreak/>
        <w:t>batu” atau : Di mulutnya ada batu” buat orang yang telah berputus asa dari harapan.</w:t>
      </w:r>
      <w:r>
        <w:rPr>
          <w:rFonts w:ascii="Times New Roman" w:hAnsi="Times New Roman" w:cs="Times New Roman"/>
          <w:sz w:val="24"/>
          <w:szCs w:val="24"/>
        </w:rPr>
        <w:t xml:space="preserve"> </w:t>
      </w:r>
      <w:r w:rsidRPr="00C71D31">
        <w:rPr>
          <w:rFonts w:ascii="Times New Roman" w:hAnsi="Times New Roman" w:cs="Times New Roman"/>
          <w:i/>
          <w:iCs/>
          <w:sz w:val="24"/>
          <w:szCs w:val="24"/>
        </w:rPr>
        <w:t xml:space="preserve">Ada yang berpendapat bahwa pengertian dari batu di sini adalah hukuman rajam.  Imam Nawawi menyatakan bahwa pendapat tersebut adalah lemah, karena hukuman rajam hanya diperuntukkan buat pezina yang mukhsan (sudah menikah).  Di sisi yang lain, hadist ini tidak </w:t>
      </w:r>
      <w:r>
        <w:rPr>
          <w:rFonts w:ascii="Times New Roman" w:hAnsi="Times New Roman" w:cs="Times New Roman"/>
          <w:i/>
          <w:iCs/>
          <w:sz w:val="24"/>
          <w:szCs w:val="24"/>
        </w:rPr>
        <w:t>dimaksudkan untuk menjelaskan hu</w:t>
      </w:r>
      <w:r w:rsidRPr="00C71D31">
        <w:rPr>
          <w:rFonts w:ascii="Times New Roman" w:hAnsi="Times New Roman" w:cs="Times New Roman"/>
          <w:i/>
          <w:iCs/>
          <w:sz w:val="24"/>
          <w:szCs w:val="24"/>
        </w:rPr>
        <w:t>kum rajam, tapi dimaksudkan untuk sekedar menafikan hak anak atas pezina tersebut. Oleh karena itu Imam Subki menyatakan bahwa pendapat yang pertama itu lebih sesuai dengan redaksi hadist tersebut, karena dapat menyatakan secara umum bahwa keputus-asaan (dari mendapatkan hak anak) mencakup seluruh kelompok pezina (mukhsan atau bukan mukhsan).</w:t>
      </w:r>
    </w:p>
    <w:p w:rsidR="00343B61" w:rsidRPr="00C71D31" w:rsidRDefault="00343B61" w:rsidP="00343B61">
      <w:pPr>
        <w:spacing w:after="0" w:line="240" w:lineRule="auto"/>
        <w:ind w:left="1800"/>
        <w:jc w:val="both"/>
        <w:rPr>
          <w:rFonts w:ascii="Times New Roman" w:hAnsi="Times New Roman" w:cs="Times New Roman"/>
          <w:sz w:val="24"/>
          <w:szCs w:val="24"/>
        </w:rPr>
      </w:pPr>
    </w:p>
    <w:p w:rsidR="00343B61" w:rsidRPr="00715728" w:rsidRDefault="00343B61" w:rsidP="00343B61">
      <w:pPr>
        <w:pStyle w:val="ListParagraph"/>
        <w:spacing w:line="360" w:lineRule="auto"/>
        <w:ind w:left="1800" w:hanging="270"/>
        <w:jc w:val="both"/>
        <w:rPr>
          <w:rFonts w:asciiTheme="majorBidi" w:hAnsiTheme="majorBidi" w:cstheme="majorBidi"/>
          <w:i/>
          <w:iCs/>
        </w:rPr>
      </w:pPr>
      <w:r>
        <w:rPr>
          <w:rFonts w:ascii="Times New Roman" w:hAnsi="Times New Roman" w:cs="Times New Roman"/>
          <w:sz w:val="24"/>
          <w:szCs w:val="24"/>
        </w:rPr>
        <w:t>ii</w:t>
      </w:r>
      <w:r w:rsidRPr="00C71D31">
        <w:rPr>
          <w:rFonts w:ascii="Times New Roman" w:hAnsi="Times New Roman" w:cs="Times New Roman"/>
          <w:sz w:val="24"/>
          <w:szCs w:val="24"/>
        </w:rPr>
        <w:t>. Pendapat Imam al-Sayyid al-Bakry dalam kitab “</w:t>
      </w:r>
      <w:r w:rsidRPr="00715728">
        <w:rPr>
          <w:rFonts w:asciiTheme="majorBidi" w:hAnsiTheme="majorBidi" w:cstheme="majorBidi"/>
          <w:i/>
          <w:iCs/>
          <w:sz w:val="24"/>
          <w:szCs w:val="24"/>
        </w:rPr>
        <w:t>I‘ānatu al-Thālibīn</w:t>
      </w:r>
      <w:r w:rsidRPr="00C71D31">
        <w:rPr>
          <w:rFonts w:ascii="Times New Roman" w:hAnsi="Times New Roman" w:cs="Times New Roman"/>
          <w:sz w:val="24"/>
          <w:szCs w:val="24"/>
        </w:rPr>
        <w:t>” juz 2 halaman 128 sebagai berikut:</w:t>
      </w:r>
    </w:p>
    <w:p w:rsidR="00343B61" w:rsidRPr="00B93DC8" w:rsidRDefault="00343B61" w:rsidP="00343B61">
      <w:pPr>
        <w:spacing w:after="0" w:line="240" w:lineRule="auto"/>
        <w:jc w:val="right"/>
        <w:rPr>
          <w:rFonts w:ascii="Times New Roman" w:hAnsi="Times New Roman" w:cs="Traditional Arabic"/>
          <w:sz w:val="32"/>
          <w:szCs w:val="32"/>
        </w:rPr>
      </w:pPr>
      <w:r w:rsidRPr="00B93DC8">
        <w:rPr>
          <w:rFonts w:ascii="Times New Roman" w:hAnsi="Times New Roman" w:cs="Traditional Arabic"/>
          <w:sz w:val="32"/>
          <w:szCs w:val="32"/>
          <w:rtl/>
        </w:rPr>
        <w:t>ولد الزنا لا ينسب لأب وإنما ينسب لأمه</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80"/>
      </w:r>
    </w:p>
    <w:p w:rsidR="00343B61" w:rsidRDefault="00343B61" w:rsidP="00343B61">
      <w:pPr>
        <w:spacing w:after="0" w:line="240" w:lineRule="auto"/>
        <w:ind w:left="1620"/>
        <w:jc w:val="both"/>
        <w:rPr>
          <w:rFonts w:ascii="Times New Roman" w:hAnsi="Times New Roman" w:cs="Times New Roman"/>
          <w:i/>
          <w:iCs/>
          <w:sz w:val="24"/>
          <w:szCs w:val="24"/>
          <w:rtl/>
        </w:rPr>
      </w:pPr>
      <w:r w:rsidRPr="00C71D31">
        <w:rPr>
          <w:rFonts w:ascii="Times New Roman" w:hAnsi="Times New Roman" w:cs="Times New Roman"/>
          <w:i/>
          <w:iCs/>
          <w:sz w:val="24"/>
          <w:szCs w:val="24"/>
        </w:rPr>
        <w:t>Anak zina itu tidak dinasabkan kepada ayah, ia hanya dinasabkan kepada ibunya.</w:t>
      </w:r>
    </w:p>
    <w:p w:rsidR="00343B61" w:rsidRPr="00C71D31" w:rsidRDefault="00343B61" w:rsidP="00343B61">
      <w:pPr>
        <w:spacing w:after="0" w:line="240" w:lineRule="auto"/>
        <w:ind w:left="1620"/>
        <w:jc w:val="both"/>
        <w:rPr>
          <w:rFonts w:ascii="Times New Roman" w:hAnsi="Times New Roman" w:cs="Times New Roman"/>
          <w:sz w:val="24"/>
          <w:szCs w:val="24"/>
        </w:rPr>
      </w:pPr>
    </w:p>
    <w:p w:rsidR="00343B61" w:rsidRPr="00C71D31" w:rsidRDefault="00343B61" w:rsidP="00343B61">
      <w:pPr>
        <w:spacing w:after="0" w:line="360" w:lineRule="auto"/>
        <w:ind w:left="1800" w:hanging="270"/>
        <w:jc w:val="both"/>
        <w:rPr>
          <w:rFonts w:ascii="Times New Roman" w:hAnsi="Times New Roman" w:cs="Times New Roman"/>
          <w:sz w:val="24"/>
          <w:szCs w:val="24"/>
        </w:rPr>
      </w:pPr>
      <w:r>
        <w:rPr>
          <w:rFonts w:ascii="Times New Roman" w:hAnsi="Times New Roman" w:cs="Times New Roman"/>
          <w:sz w:val="24"/>
          <w:szCs w:val="24"/>
        </w:rPr>
        <w:t>iii</w:t>
      </w:r>
      <w:r w:rsidRPr="00C71D31">
        <w:rPr>
          <w:rFonts w:ascii="Times New Roman" w:hAnsi="Times New Roman" w:cs="Times New Roman"/>
          <w:sz w:val="24"/>
          <w:szCs w:val="24"/>
        </w:rPr>
        <w:t xml:space="preserve">. Pendapat Imam Ibn Hazm dalam Kitab </w:t>
      </w:r>
      <w:r w:rsidRPr="00715728">
        <w:rPr>
          <w:rFonts w:ascii="Times New Roman" w:hAnsi="Times New Roman" w:cs="Times New Roman"/>
          <w:i/>
          <w:iCs/>
          <w:sz w:val="24"/>
          <w:szCs w:val="24"/>
        </w:rPr>
        <w:t>al-Muhalla</w:t>
      </w:r>
      <w:r w:rsidRPr="00C71D31">
        <w:rPr>
          <w:rFonts w:ascii="Times New Roman" w:hAnsi="Times New Roman" w:cs="Times New Roman"/>
          <w:sz w:val="24"/>
          <w:szCs w:val="24"/>
        </w:rPr>
        <w:t xml:space="preserve"> juz 10 halaman 323 sebagai berikut :</w:t>
      </w:r>
    </w:p>
    <w:p w:rsidR="00343B61" w:rsidRPr="00B93DC8" w:rsidRDefault="00343B61" w:rsidP="00343B61">
      <w:pPr>
        <w:spacing w:after="0" w:line="240" w:lineRule="auto"/>
        <w:jc w:val="right"/>
        <w:rPr>
          <w:rFonts w:ascii="Times New Roman" w:hAnsi="Times New Roman" w:cs="Traditional Arabic"/>
          <w:sz w:val="32"/>
          <w:szCs w:val="32"/>
        </w:rPr>
      </w:pPr>
      <w:r w:rsidRPr="00B93DC8">
        <w:rPr>
          <w:rFonts w:ascii="Times New Roman" w:hAnsi="Times New Roman" w:cs="Traditional Arabic"/>
          <w:sz w:val="32"/>
          <w:szCs w:val="32"/>
          <w:rtl/>
        </w:rPr>
        <w:t>والولد يلحق بالمرأة إذا زنت و حملت به ولا يلحق بالرجل</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81"/>
      </w:r>
    </w:p>
    <w:p w:rsidR="00343B61" w:rsidRDefault="00343B61" w:rsidP="00343B61">
      <w:pPr>
        <w:spacing w:after="0" w:line="240" w:lineRule="auto"/>
        <w:ind w:left="1530"/>
        <w:jc w:val="both"/>
        <w:rPr>
          <w:rFonts w:ascii="Times New Roman" w:hAnsi="Times New Roman" w:cs="Times New Roman"/>
          <w:i/>
          <w:iCs/>
          <w:sz w:val="24"/>
          <w:szCs w:val="24"/>
          <w:rtl/>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Anak itu dinasabkan kepada ibunya jika ibunya berzina dan kemudian mengandungnya, dan tidak dinasabkan kepada lelaki.</w:t>
      </w:r>
    </w:p>
    <w:p w:rsidR="00343B61" w:rsidRDefault="00343B61" w:rsidP="00343B61">
      <w:pPr>
        <w:spacing w:after="0" w:line="240" w:lineRule="auto"/>
        <w:ind w:left="1530"/>
        <w:jc w:val="both"/>
        <w:rPr>
          <w:rFonts w:ascii="Times New Roman" w:hAnsi="Times New Roman" w:cs="Times New Roman"/>
          <w:i/>
          <w:iCs/>
          <w:sz w:val="24"/>
          <w:szCs w:val="24"/>
        </w:rPr>
      </w:pPr>
    </w:p>
    <w:p w:rsidR="00343B61" w:rsidRPr="0057618A" w:rsidRDefault="00343B61" w:rsidP="002C0A33">
      <w:pPr>
        <w:pStyle w:val="ListParagraph"/>
        <w:numPr>
          <w:ilvl w:val="0"/>
          <w:numId w:val="48"/>
        </w:numPr>
        <w:spacing w:after="0" w:line="360" w:lineRule="auto"/>
        <w:ind w:left="1530" w:hanging="270"/>
        <w:jc w:val="both"/>
        <w:rPr>
          <w:rFonts w:ascii="Times New Roman" w:hAnsi="Times New Roman" w:cs="Times New Roman"/>
          <w:sz w:val="24"/>
          <w:szCs w:val="24"/>
        </w:rPr>
      </w:pPr>
      <w:r w:rsidRPr="0057618A">
        <w:rPr>
          <w:rFonts w:ascii="Times New Roman" w:hAnsi="Times New Roman" w:cs="Times New Roman"/>
          <w:sz w:val="24"/>
          <w:szCs w:val="24"/>
        </w:rPr>
        <w:t>Pendapat Imam Ibnu Nujaim dalam  kitab “</w:t>
      </w:r>
      <w:r w:rsidRPr="00715728">
        <w:rPr>
          <w:rFonts w:ascii="Times New Roman" w:hAnsi="Times New Roman" w:cs="Times New Roman"/>
          <w:i/>
          <w:iCs/>
          <w:sz w:val="24"/>
          <w:szCs w:val="24"/>
        </w:rPr>
        <w:t>al-Bahr al-R</w:t>
      </w:r>
      <w:r w:rsidRPr="00715728">
        <w:rPr>
          <w:rFonts w:asciiTheme="majorBidi" w:hAnsiTheme="majorBidi" w:cstheme="majorBidi"/>
          <w:i/>
          <w:iCs/>
          <w:sz w:val="24"/>
          <w:szCs w:val="24"/>
        </w:rPr>
        <w:t>ā</w:t>
      </w:r>
      <w:r w:rsidRPr="00715728">
        <w:rPr>
          <w:rFonts w:ascii="Times New Roman" w:hAnsi="Times New Roman" w:cs="Times New Roman"/>
          <w:i/>
          <w:iCs/>
          <w:sz w:val="24"/>
          <w:szCs w:val="24"/>
        </w:rPr>
        <w:t>iq Syarh Kanz ad-D</w:t>
      </w:r>
      <w:r w:rsidRPr="00715728">
        <w:rPr>
          <w:rFonts w:asciiTheme="majorBidi" w:hAnsiTheme="majorBidi" w:cstheme="majorBidi"/>
          <w:i/>
          <w:iCs/>
          <w:sz w:val="24"/>
          <w:szCs w:val="24"/>
        </w:rPr>
        <w:t>ā</w:t>
      </w:r>
      <w:r w:rsidRPr="00715728">
        <w:rPr>
          <w:rFonts w:ascii="Times New Roman" w:hAnsi="Times New Roman" w:cs="Times New Roman"/>
          <w:i/>
          <w:iCs/>
          <w:sz w:val="24"/>
          <w:szCs w:val="24"/>
        </w:rPr>
        <w:t>qaiq</w:t>
      </w:r>
      <w:r w:rsidRPr="0057618A">
        <w:rPr>
          <w:rFonts w:ascii="Times New Roman" w:hAnsi="Times New Roman" w:cs="Times New Roman"/>
          <w:sz w:val="24"/>
          <w:szCs w:val="24"/>
        </w:rPr>
        <w:t>”:</w:t>
      </w:r>
    </w:p>
    <w:p w:rsidR="00343B61" w:rsidRPr="00B93DC8" w:rsidRDefault="00343B61" w:rsidP="00343B61">
      <w:pPr>
        <w:bidi/>
        <w:spacing w:after="0" w:line="240" w:lineRule="auto"/>
        <w:ind w:left="17" w:right="1440"/>
        <w:jc w:val="both"/>
        <w:rPr>
          <w:rFonts w:ascii="Times New Roman" w:hAnsi="Times New Roman" w:cs="Traditional Arabic"/>
          <w:sz w:val="32"/>
          <w:szCs w:val="32"/>
        </w:rPr>
      </w:pPr>
      <w:r w:rsidRPr="00B93DC8">
        <w:rPr>
          <w:rFonts w:ascii="Times New Roman" w:hAnsi="Times New Roman" w:cs="Traditional Arabic"/>
          <w:sz w:val="32"/>
          <w:szCs w:val="32"/>
          <w:rtl/>
        </w:rPr>
        <w:t>وَيَرِثُ وَلَدُ الزِّنَا وَاللِّعَانِ مِنْ جِهَةِ الأمِّ فَقَطْ  ؛ لأنَّ نَسَبَهُ مِنْ جِهَةِ الأبِ مُنْقَطِعٌ فَلا يَرِثُ بِهِ وَمِنْ جِهَةِ الأمِّ ثَابِتٌ فَيَرِثُ بِهِ أُمَّهُ وَأُخْتَه مِنْ الأمِّ بِالْفَرْضِ لا غَيْرُ وَكَذَا تَرِثُهُ أُمُّهُ وَأُخْتُهُ مِنْ أُمِّهِ فَرْضًا لا غَيْرُ</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82"/>
      </w:r>
    </w:p>
    <w:p w:rsidR="00343B61" w:rsidRPr="00C71D31" w:rsidRDefault="00343B61" w:rsidP="00343B61">
      <w:pPr>
        <w:spacing w:after="100" w:afterAutospacing="1" w:line="240" w:lineRule="auto"/>
        <w:ind w:left="144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Artinya: </w:t>
      </w:r>
      <w:r w:rsidRPr="00C71D31">
        <w:rPr>
          <w:rFonts w:ascii="Times New Roman" w:hAnsi="Times New Roman" w:cs="Times New Roman"/>
          <w:i/>
          <w:iCs/>
          <w:sz w:val="24"/>
          <w:szCs w:val="24"/>
        </w:rPr>
        <w:t>Anak hasil zina atau li’an hanya mendapatkan hak waris dari pihak ibu saja, karena nasabnya dari pihak bapak telah terputus, maka ia tidak mendapatkan hak waris dari pihak bapak, sementara kejelasan nasabnya hanya melalui pihak ibu, maka ia memiliki hak waris dari pihak ibu, saudara perempuan seibu dengan fardh saja (bagian tertentu), demikian pula dengan ibu dan saudara perempuannya yang seibu, ia mendapatkan bagian fardh (tertentu), tidak dengan jalan lain.</w:t>
      </w:r>
    </w:p>
    <w:p w:rsidR="00343B61" w:rsidRPr="00C71D31" w:rsidRDefault="00343B61" w:rsidP="00343B61">
      <w:pPr>
        <w:spacing w:after="100" w:afterAutospacing="1" w:line="360" w:lineRule="auto"/>
        <w:ind w:left="1620" w:hanging="270"/>
        <w:jc w:val="both"/>
        <w:rPr>
          <w:rFonts w:ascii="Times New Roman" w:hAnsi="Times New Roman" w:cs="Times New Roman"/>
          <w:sz w:val="24"/>
          <w:szCs w:val="24"/>
        </w:rPr>
      </w:pPr>
      <w:r>
        <w:rPr>
          <w:rFonts w:ascii="Times New Roman" w:hAnsi="Times New Roman" w:cs="Times New Roman"/>
          <w:sz w:val="24"/>
          <w:szCs w:val="24"/>
        </w:rPr>
        <w:t>v</w:t>
      </w:r>
      <w:r w:rsidRPr="00C71D31">
        <w:rPr>
          <w:rFonts w:ascii="Times New Roman" w:hAnsi="Times New Roman" w:cs="Times New Roman"/>
          <w:sz w:val="24"/>
          <w:szCs w:val="24"/>
        </w:rPr>
        <w:t>. Pendapat Imam Ibn ‘Abidin dalam Kitab “</w:t>
      </w:r>
      <w:r w:rsidRPr="0045214F">
        <w:rPr>
          <w:rFonts w:ascii="Times New Roman" w:hAnsi="Times New Roman" w:cs="Times New Roman"/>
          <w:i/>
          <w:iCs/>
          <w:sz w:val="24"/>
          <w:szCs w:val="24"/>
        </w:rPr>
        <w:t>Radd al-Muht</w:t>
      </w:r>
      <w:r w:rsidRPr="00715728">
        <w:rPr>
          <w:rFonts w:asciiTheme="majorBidi" w:hAnsiTheme="majorBidi" w:cstheme="majorBidi"/>
          <w:i/>
          <w:iCs/>
          <w:sz w:val="24"/>
          <w:szCs w:val="24"/>
        </w:rPr>
        <w:t>ā</w:t>
      </w:r>
      <w:r w:rsidRPr="0045214F">
        <w:rPr>
          <w:rFonts w:ascii="Times New Roman" w:hAnsi="Times New Roman" w:cs="Times New Roman"/>
          <w:i/>
          <w:iCs/>
          <w:sz w:val="24"/>
          <w:szCs w:val="24"/>
        </w:rPr>
        <w:t>r ‘ala al-Dur</w:t>
      </w:r>
      <w:r>
        <w:rPr>
          <w:rFonts w:ascii="Times New Roman" w:hAnsi="Times New Roman" w:cs="Times New Roman"/>
          <w:i/>
          <w:iCs/>
          <w:sz w:val="24"/>
          <w:szCs w:val="24"/>
        </w:rPr>
        <w:t>a</w:t>
      </w:r>
      <w:r w:rsidRPr="0045214F">
        <w:rPr>
          <w:rFonts w:ascii="Times New Roman" w:hAnsi="Times New Roman" w:cs="Times New Roman"/>
          <w:i/>
          <w:iCs/>
          <w:sz w:val="24"/>
          <w:szCs w:val="24"/>
        </w:rPr>
        <w:t>r al-Mukht</w:t>
      </w:r>
      <w:r w:rsidRPr="00715728">
        <w:rPr>
          <w:rFonts w:asciiTheme="majorBidi" w:hAnsiTheme="majorBidi" w:cstheme="majorBidi"/>
          <w:i/>
          <w:iCs/>
          <w:sz w:val="24"/>
          <w:szCs w:val="24"/>
        </w:rPr>
        <w:t>ā</w:t>
      </w:r>
      <w:r w:rsidRPr="0045214F">
        <w:rPr>
          <w:rFonts w:ascii="Times New Roman" w:hAnsi="Times New Roman" w:cs="Times New Roman"/>
          <w:i/>
          <w:iCs/>
          <w:sz w:val="24"/>
          <w:szCs w:val="24"/>
        </w:rPr>
        <w:t>r” (Hasyiyah Ibn ‘Abidin)</w:t>
      </w:r>
      <w:r>
        <w:rPr>
          <w:rFonts w:ascii="Times New Roman" w:hAnsi="Times New Roman" w:cs="Times New Roman"/>
          <w:i/>
          <w:iCs/>
          <w:sz w:val="24"/>
          <w:szCs w:val="24"/>
        </w:rPr>
        <w:t xml:space="preserve"> </w:t>
      </w:r>
      <w:r w:rsidRPr="00C71D31">
        <w:rPr>
          <w:rFonts w:ascii="Times New Roman" w:hAnsi="Times New Roman" w:cs="Times New Roman"/>
          <w:sz w:val="24"/>
          <w:szCs w:val="24"/>
        </w:rPr>
        <w:t>sebagai berikut :</w:t>
      </w:r>
    </w:p>
    <w:p w:rsidR="00343B61" w:rsidRPr="00B93DC8" w:rsidRDefault="00343B61" w:rsidP="00343B61">
      <w:pPr>
        <w:spacing w:after="0" w:line="240" w:lineRule="auto"/>
        <w:jc w:val="right"/>
        <w:rPr>
          <w:rFonts w:ascii="Times New Roman" w:hAnsi="Times New Roman" w:cs="Traditional Arabic"/>
          <w:sz w:val="32"/>
          <w:szCs w:val="32"/>
        </w:rPr>
      </w:pPr>
      <w:r w:rsidRPr="00B93DC8">
        <w:rPr>
          <w:rFonts w:ascii="Times New Roman" w:hAnsi="Times New Roman" w:cs="Traditional Arabic"/>
          <w:sz w:val="32"/>
          <w:szCs w:val="32"/>
          <w:rtl/>
        </w:rPr>
        <w:t>ويرث ولد الزنا واللعان بجهة الأم فقط لما قد مناه فى العصبات أنه لا أب لهما</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83"/>
      </w:r>
    </w:p>
    <w:p w:rsidR="00343B61" w:rsidRDefault="00343B61" w:rsidP="00343B61">
      <w:pPr>
        <w:spacing w:after="0" w:line="240" w:lineRule="auto"/>
        <w:ind w:left="1530"/>
        <w:jc w:val="both"/>
        <w:rPr>
          <w:rFonts w:ascii="Times New Roman" w:hAnsi="Times New Roman" w:cs="Times New Roman"/>
          <w:i/>
          <w:iCs/>
          <w:sz w:val="24"/>
          <w:szCs w:val="24"/>
          <w:rtl/>
        </w:rPr>
      </w:pPr>
      <w:r>
        <w:rPr>
          <w:rFonts w:ascii="Times New Roman" w:hAnsi="Times New Roman" w:cs="Times New Roman"/>
          <w:i/>
          <w:iCs/>
          <w:sz w:val="24"/>
          <w:szCs w:val="24"/>
        </w:rPr>
        <w:t xml:space="preserve">Artinya: </w:t>
      </w:r>
      <w:r w:rsidRPr="00C71D31">
        <w:rPr>
          <w:rFonts w:ascii="Times New Roman" w:hAnsi="Times New Roman" w:cs="Times New Roman"/>
          <w:i/>
          <w:iCs/>
          <w:sz w:val="24"/>
          <w:szCs w:val="24"/>
        </w:rPr>
        <w:t>Anak hasil zina atau li’an hanya mendapatkan hak waris dari pihak ibu saja, sebagaimana telah kami jelaskan di bab yang menjelaskan tentang Ashabah, karena anak hasil zina tidaklah memiliki bapak.</w:t>
      </w:r>
    </w:p>
    <w:p w:rsidR="00343B61" w:rsidRPr="00C71D31" w:rsidRDefault="00343B61" w:rsidP="00343B61">
      <w:pPr>
        <w:spacing w:after="0" w:line="240" w:lineRule="auto"/>
        <w:jc w:val="both"/>
        <w:rPr>
          <w:rFonts w:ascii="Times New Roman" w:hAnsi="Times New Roman" w:cs="Times New Roman"/>
          <w:sz w:val="24"/>
          <w:szCs w:val="24"/>
        </w:rPr>
      </w:pPr>
    </w:p>
    <w:p w:rsidR="00343B61" w:rsidRPr="00C71D31" w:rsidRDefault="00343B61" w:rsidP="00343B61">
      <w:pPr>
        <w:spacing w:after="0" w:line="360" w:lineRule="auto"/>
        <w:ind w:firstLine="1440"/>
        <w:rPr>
          <w:rFonts w:ascii="Times New Roman" w:hAnsi="Times New Roman" w:cs="Times New Roman"/>
          <w:sz w:val="24"/>
          <w:szCs w:val="24"/>
        </w:rPr>
      </w:pPr>
      <w:r>
        <w:rPr>
          <w:rFonts w:ascii="Times New Roman" w:hAnsi="Times New Roman" w:cs="Times New Roman"/>
          <w:sz w:val="24"/>
          <w:szCs w:val="24"/>
        </w:rPr>
        <w:t>vi</w:t>
      </w:r>
      <w:r w:rsidRPr="00C71D31">
        <w:rPr>
          <w:rFonts w:ascii="Times New Roman" w:hAnsi="Times New Roman" w:cs="Times New Roman"/>
          <w:sz w:val="24"/>
          <w:szCs w:val="24"/>
        </w:rPr>
        <w:t>. Pendapat Ibnu Taymiyah dalam kitab “</w:t>
      </w:r>
      <w:r w:rsidRPr="0045214F">
        <w:rPr>
          <w:rFonts w:ascii="Times New Roman" w:hAnsi="Times New Roman" w:cs="Times New Roman"/>
          <w:i/>
          <w:iCs/>
          <w:sz w:val="24"/>
          <w:szCs w:val="24"/>
        </w:rPr>
        <w:t>al-Fat</w:t>
      </w:r>
      <w:r w:rsidRPr="00715728">
        <w:rPr>
          <w:rFonts w:asciiTheme="majorBidi" w:hAnsiTheme="majorBidi" w:cstheme="majorBidi"/>
          <w:i/>
          <w:iCs/>
          <w:sz w:val="24"/>
          <w:szCs w:val="24"/>
        </w:rPr>
        <w:t>ā</w:t>
      </w:r>
      <w:r w:rsidRPr="0045214F">
        <w:rPr>
          <w:rFonts w:ascii="Times New Roman" w:hAnsi="Times New Roman" w:cs="Times New Roman"/>
          <w:i/>
          <w:iCs/>
          <w:sz w:val="24"/>
          <w:szCs w:val="24"/>
        </w:rPr>
        <w:t>wa al-Kubr</w:t>
      </w:r>
      <w:r w:rsidRPr="00715728">
        <w:rPr>
          <w:rFonts w:asciiTheme="majorBidi" w:hAnsiTheme="majorBidi" w:cstheme="majorBidi"/>
          <w:i/>
          <w:iCs/>
          <w:sz w:val="24"/>
          <w:szCs w:val="24"/>
        </w:rPr>
        <w:t>ā</w:t>
      </w:r>
      <w:r w:rsidRPr="00C71D31">
        <w:rPr>
          <w:rFonts w:ascii="Times New Roman" w:hAnsi="Times New Roman" w:cs="Times New Roman"/>
          <w:sz w:val="24"/>
          <w:szCs w:val="24"/>
        </w:rPr>
        <w:t>” :</w:t>
      </w:r>
    </w:p>
    <w:p w:rsidR="00343B61" w:rsidRPr="00B77877" w:rsidRDefault="00343B61" w:rsidP="00343B61">
      <w:pPr>
        <w:bidi/>
        <w:spacing w:after="0" w:line="240" w:lineRule="auto"/>
        <w:ind w:right="1440"/>
        <w:jc w:val="both"/>
        <w:rPr>
          <w:rFonts w:ascii="Times New Roman" w:hAnsi="Times New Roman" w:cs="Traditional Arabic"/>
          <w:sz w:val="32"/>
          <w:szCs w:val="32"/>
        </w:rPr>
      </w:pPr>
      <w:r w:rsidRPr="00B77877">
        <w:rPr>
          <w:rFonts w:ascii="Times New Roman" w:hAnsi="Times New Roman" w:cs="Traditional Arabic"/>
          <w:sz w:val="32"/>
          <w:szCs w:val="32"/>
          <w:rtl/>
        </w:rPr>
        <w:t>وَاخْتَلَفَ الْعُلَمَاءُ فِي اسْتِلْحَاقِ وَلَدِ الزِّنَا إذَا لَمْ يَكُنْ فِرَاشًا ؟ عَلَى قَوْلَيْنِ .كَمَا ثَبَتَ عَنْ النَّبِيِّ { صَلَّى اللَّهُ عَلَيْهِ وَسَلَّمَ أَنَّهُ أَلْحَقَ ابْنَ وَلِيدَةِ زَمْعَةَ بْنِ الْأَسْوَدِ بْنِ زَمْعَةَ بْنِ الْأَسْوَدِ ، وَكَانَ قَدْ أَحْبَلَهَا عُتْبَةُ بْنُ أَبِي وَقَّاصٍ ، فَاخْتَصَمَ فِيهِ سَعْدٌ وَعَبْدُ بْنُ زَمْعَةَ ، فَقَالَ سَعْدٌ : ابْنُ أَخِي .عَهِدَ إلَيَّ أَنَّ ابْنَ وَلِيدَةِ زَمْعَةَ هَذَا ابْنِي . فَقَالَ عَبْدٌ : أَخِي وَابْنُ وَلِيدَةِ أَبِي ؛ وُلِدَ عَلَى فِرَاشِ أَبِي . فَقَالَ النَّبِيُّ صَلَّى اللَّهُ عَلَيْهِ وَسَلَّمَ : هُوَ لَك يَا عَبْدُ بْنُ زَمْعَةَ الْوَلَدُ لِلْفِرَاشِ ، وَلِلْعَاهِرِ الْحَجَرُ ؛ احْتَجِبِي مِنْهُ يَا سَوْدَةُ } لَمَّا رَأَى مِنْ شَبَهِهِ الْبَيِّنِ بِعُتْبَةَ ، فَجَعَلَهُ أَخَاهَا فِي الْمِيرَاثِ دُونَ الْحُرْمَةِ</w:t>
      </w:r>
      <w:r>
        <w:rPr>
          <w:rFonts w:ascii="Times New Roman" w:hAnsi="Times New Roman" w:cs="Traditional Arabic" w:hint="cs"/>
          <w:sz w:val="32"/>
          <w:szCs w:val="32"/>
          <w:rtl/>
        </w:rPr>
        <w:t xml:space="preserve"> </w:t>
      </w:r>
      <w:r>
        <w:rPr>
          <w:rStyle w:val="FootnoteReference"/>
          <w:rFonts w:ascii="Times New Roman" w:hAnsi="Times New Roman" w:cs="Traditional Arabic"/>
          <w:sz w:val="32"/>
          <w:szCs w:val="32"/>
          <w:rtl/>
        </w:rPr>
        <w:footnoteReference w:id="784"/>
      </w:r>
    </w:p>
    <w:p w:rsidR="00343B61" w:rsidRDefault="00343B61" w:rsidP="00343B61">
      <w:pPr>
        <w:spacing w:after="0" w:line="240" w:lineRule="auto"/>
        <w:ind w:left="1440"/>
        <w:jc w:val="both"/>
        <w:rPr>
          <w:rFonts w:ascii="Times New Roman" w:hAnsi="Times New Roman" w:cs="Times New Roman"/>
          <w:i/>
          <w:iCs/>
          <w:sz w:val="24"/>
          <w:szCs w:val="24"/>
        </w:rPr>
      </w:pPr>
      <w:r>
        <w:rPr>
          <w:rFonts w:ascii="Times New Roman" w:hAnsi="Times New Roman" w:cs="Times New Roman"/>
          <w:i/>
          <w:iCs/>
          <w:sz w:val="24"/>
          <w:szCs w:val="24"/>
        </w:rPr>
        <w:t>Artinya: “</w:t>
      </w:r>
      <w:r w:rsidRPr="00C71D31">
        <w:rPr>
          <w:rFonts w:ascii="Times New Roman" w:hAnsi="Times New Roman" w:cs="Times New Roman"/>
          <w:i/>
          <w:iCs/>
          <w:sz w:val="24"/>
          <w:szCs w:val="24"/>
        </w:rPr>
        <w:t xml:space="preserve">Para ulama berbeda pendapat terkait istilkhaq (penisbatan) anak hasil zina apabila si wanita tidak memiki pemilik </w:t>
      </w:r>
      <w:r w:rsidRPr="00C71D31">
        <w:rPr>
          <w:rFonts w:ascii="Times New Roman" w:hAnsi="Times New Roman" w:cs="Times New Roman"/>
          <w:i/>
          <w:iCs/>
          <w:sz w:val="24"/>
          <w:szCs w:val="24"/>
        </w:rPr>
        <w:lastRenderedPageBreak/>
        <w:t>kasur/suami atau sayyid (bagi budak wanita).  Diriwatkan dalam hadist bahwa Rasulullah SAW menisbatkan anak budak wanita Zam’ah ibn Aswad kepadanya (Zam’ah), padahal yang menghamili budak wanita tersebut adalah Uthbah ibn Abi Waqqosh. Sementara itu, Sa’ad menyatakan :  anak dari budak wanita tersebut adalah anak saudaraku (Uthbah), dan aku (kata sa’ad) ditugaskan untuk merawatnya seperti anakku sendiri”.  Abd ibn Zam’ah membantah dengan berkata : “anak itu adalah saudaraku dan anak dari budak wanita ayahku, ia dilahirkan di atas ranjang ayahku”.  Rasulullah SAW bersabda:  “anak itu menjadi milikmu wahai Abd ibn Zam’ah, anak itu menjadi hak pemilik kasur dan bagi pezina adalah batu”, kemudian Rasulullah bersabda : “Berhijablah engkau wahai Saudah (Saudah binti Zam’ah – Istri Rasulullah SAW)”, karena beliau melihat kemiripan anak tersebut dengan Utbah, maka beliau menjadikan anak tersebut saudara Saudah binti Zam’ah dalam hal hak waris, dan tidak menjadikannya sebagai mahram</w:t>
      </w:r>
      <w:r>
        <w:rPr>
          <w:rFonts w:ascii="Times New Roman" w:hAnsi="Times New Roman" w:cs="Times New Roman"/>
          <w:i/>
          <w:iCs/>
          <w:sz w:val="24"/>
          <w:szCs w:val="24"/>
        </w:rPr>
        <w:t>”</w:t>
      </w:r>
    </w:p>
    <w:p w:rsidR="00343B61" w:rsidRDefault="00343B61" w:rsidP="00343B61">
      <w:pPr>
        <w:spacing w:after="0" w:line="240" w:lineRule="auto"/>
        <w:ind w:left="1440"/>
        <w:jc w:val="both"/>
        <w:rPr>
          <w:rFonts w:ascii="Times New Roman" w:hAnsi="Times New Roman" w:cs="Times New Roman"/>
          <w:i/>
          <w:iCs/>
          <w:sz w:val="24"/>
          <w:szCs w:val="24"/>
        </w:rPr>
      </w:pPr>
    </w:p>
    <w:p w:rsidR="00343B61" w:rsidRPr="00EB5FCD" w:rsidRDefault="00343B61" w:rsidP="002C0A33">
      <w:pPr>
        <w:pStyle w:val="ListParagraph"/>
        <w:numPr>
          <w:ilvl w:val="0"/>
          <w:numId w:val="57"/>
        </w:numPr>
        <w:spacing w:after="0" w:line="360" w:lineRule="auto"/>
        <w:ind w:left="1440"/>
        <w:jc w:val="both"/>
        <w:rPr>
          <w:rFonts w:ascii="Times New Roman" w:hAnsi="Times New Roman" w:cs="Times New Roman"/>
          <w:sz w:val="24"/>
          <w:szCs w:val="24"/>
        </w:rPr>
      </w:pPr>
      <w:r w:rsidRPr="00EB5FCD">
        <w:rPr>
          <w:rFonts w:ascii="Times New Roman" w:hAnsi="Times New Roman" w:cs="Times New Roman"/>
          <w:sz w:val="24"/>
          <w:szCs w:val="24"/>
        </w:rPr>
        <w:t xml:space="preserve">Pendapat Dr. Wahbah al-Zuhaili dengan judul “Ahkam al-Aulad al-Natijin ‘an al-Zina” yang disampaikan pada Daurah ke-20 Majma’ Fiqh Islami di Makkah pada 25 – 29 Desember 2010 yang pada intinya menerangkan bahwa, jika ada seseorang laki-laki berzina dengan perempuan yang memiliki suami dan kemudian melahirkan anak, terdapat ijma ulama, sebagaimana disampaikan oleh Imam Ibn Abdil Barr dalam “al-Tamhid” (8/183) yang menegaskan bahwa anak tersebut tidak dinasabkan kepada lelaki yang menzinainya, melainkan kepada suami dari ibunya tersebut, dengan ketentuan ia tidak menafikan anak tersebut melalui </w:t>
      </w:r>
      <w:r w:rsidRPr="00EB5FCD">
        <w:rPr>
          <w:rFonts w:ascii="Times New Roman" w:hAnsi="Times New Roman" w:cs="Times New Roman"/>
          <w:i/>
          <w:iCs/>
          <w:sz w:val="24"/>
          <w:szCs w:val="24"/>
        </w:rPr>
        <w:t>li’an</w:t>
      </w:r>
      <w:r w:rsidRPr="00EB5FCD">
        <w:rPr>
          <w:rFonts w:ascii="Times New Roman" w:hAnsi="Times New Roman" w:cs="Times New Roman"/>
          <w:sz w:val="24"/>
          <w:szCs w:val="24"/>
        </w:rPr>
        <w:t xml:space="preserve">. Sementara, jika ia berzina dengan perempuan yang tidak sedang terikat pernikahan dan melahirkan seorang anak, maka menurut jumhur ulama madzhab delapan, anak tersebut hanya dinasabkan ke ibunya sekalipun ada pengakuan dari laki-laki yang menzinainya. Hal ini karena penasaban anak kepada lelaki yang pezina akan mendorong terbukanya pintu zina, padahal kita diperintahkan untuk menutup pintu yang mengantarkan pada </w:t>
      </w:r>
      <w:r w:rsidRPr="00EB5FCD">
        <w:rPr>
          <w:rFonts w:ascii="Times New Roman" w:hAnsi="Times New Roman" w:cs="Times New Roman"/>
          <w:sz w:val="24"/>
          <w:szCs w:val="24"/>
        </w:rPr>
        <w:lastRenderedPageBreak/>
        <w:t>keharaman (sadd al-dzari’ah) dalam rangka menjaga kesucian nasab dari perilaku munkarat.</w:t>
      </w:r>
      <w:r>
        <w:rPr>
          <w:rStyle w:val="FootnoteReference"/>
          <w:rFonts w:ascii="Times New Roman" w:hAnsi="Times New Roman" w:cs="Times New Roman"/>
          <w:sz w:val="24"/>
          <w:szCs w:val="24"/>
        </w:rPr>
        <w:footnoteReference w:id="785"/>
      </w:r>
    </w:p>
    <w:p w:rsidR="00343B61" w:rsidRPr="00EB5FCD" w:rsidRDefault="00343B61" w:rsidP="00343B61">
      <w:pPr>
        <w:pStyle w:val="Default"/>
        <w:spacing w:line="360" w:lineRule="auto"/>
        <w:ind w:left="900" w:firstLine="630"/>
        <w:jc w:val="both"/>
        <w:rPr>
          <w:rFonts w:asciiTheme="majorBidi" w:hAnsiTheme="majorBidi" w:cstheme="majorBidi"/>
        </w:rPr>
      </w:pPr>
      <w:r w:rsidRPr="00EB5FCD">
        <w:rPr>
          <w:rFonts w:asciiTheme="majorBidi" w:hAnsiTheme="majorBidi" w:cstheme="majorBidi"/>
        </w:rPr>
        <w:t>Fatwa ini dibubuhi tanda tangan oleh Prof. Dr. H. Hasanuddin AF, MA sebagai Ketua  Komisi Fatwa  Majelis Ulama Indonesia dan  DR. HM. Asrorun Ni’am Sholeh, MA sebagai sekretaris.</w:t>
      </w:r>
    </w:p>
    <w:p w:rsidR="00343B61" w:rsidRDefault="00343B61" w:rsidP="00343B61">
      <w:pPr>
        <w:pStyle w:val="Default"/>
        <w:spacing w:line="360" w:lineRule="auto"/>
        <w:ind w:left="900" w:firstLine="630"/>
        <w:jc w:val="both"/>
        <w:rPr>
          <w:rFonts w:asciiTheme="majorBidi" w:hAnsiTheme="majorBidi" w:cstheme="majorBidi"/>
        </w:rPr>
      </w:pPr>
      <w:r w:rsidRPr="00EB5FCD">
        <w:rPr>
          <w:rFonts w:asciiTheme="majorBidi" w:hAnsiTheme="majorBidi" w:cstheme="majorBidi"/>
        </w:rPr>
        <w:t xml:space="preserve">Dari sisi penggunaan dalil, fatwa tentang </w:t>
      </w:r>
      <w:r w:rsidRPr="00EB5FCD">
        <w:rPr>
          <w:rFonts w:asciiTheme="majorBidi" w:hAnsiTheme="majorBidi" w:cstheme="majorBidi"/>
          <w:lang w:val="sv-SE"/>
        </w:rPr>
        <w:t xml:space="preserve">anak luar nikah  </w:t>
      </w:r>
      <w:r w:rsidRPr="00EB5FCD">
        <w:rPr>
          <w:rFonts w:asciiTheme="majorBidi" w:hAnsiTheme="majorBidi" w:cstheme="majorBidi"/>
        </w:rPr>
        <w:t xml:space="preserve">ini menggunakan pendekatan nash, yaitu  </w:t>
      </w:r>
      <w:r w:rsidRPr="00EB5FCD">
        <w:rPr>
          <w:rFonts w:asciiTheme="majorBidi" w:hAnsiTheme="majorBidi" w:cstheme="majorBidi"/>
          <w:i/>
          <w:iCs/>
        </w:rPr>
        <w:t xml:space="preserve">nash </w:t>
      </w:r>
      <w:r w:rsidRPr="00EB5FCD">
        <w:rPr>
          <w:rFonts w:asciiTheme="majorBidi" w:hAnsiTheme="majorBidi" w:cstheme="majorBidi"/>
        </w:rPr>
        <w:t xml:space="preserve">Al-Qur’ān dan hadis Nabi SAW yang disebutkan dalam konsideransi fatwa. </w:t>
      </w:r>
    </w:p>
    <w:p w:rsidR="00343B61" w:rsidRPr="00E32859" w:rsidRDefault="00343B61" w:rsidP="002C0A33">
      <w:pPr>
        <w:pStyle w:val="ListParagraph"/>
        <w:numPr>
          <w:ilvl w:val="0"/>
          <w:numId w:val="53"/>
        </w:numPr>
        <w:tabs>
          <w:tab w:val="left" w:pos="360"/>
          <w:tab w:val="left" w:pos="1800"/>
        </w:tabs>
        <w:spacing w:line="360" w:lineRule="auto"/>
        <w:ind w:left="0" w:firstLine="0"/>
        <w:jc w:val="both"/>
        <w:rPr>
          <w:rFonts w:asciiTheme="majorBidi" w:hAnsiTheme="majorBidi" w:cstheme="majorBidi"/>
          <w:sz w:val="24"/>
          <w:szCs w:val="24"/>
          <w:lang w:val="sv-SE"/>
        </w:rPr>
      </w:pPr>
      <w:r w:rsidRPr="001F3B7F">
        <w:rPr>
          <w:rFonts w:asciiTheme="majorBidi" w:hAnsiTheme="majorBidi" w:cstheme="majorBidi"/>
          <w:sz w:val="24"/>
          <w:szCs w:val="24"/>
          <w:lang w:val="sv-SE"/>
        </w:rPr>
        <w:t xml:space="preserve">Fatwa MUI Tentang </w:t>
      </w:r>
      <w:r>
        <w:rPr>
          <w:rFonts w:asciiTheme="majorBidi" w:hAnsiTheme="majorBidi" w:cstheme="majorBidi"/>
          <w:sz w:val="24"/>
          <w:szCs w:val="24"/>
          <w:lang w:val="sv-SE"/>
        </w:rPr>
        <w:t>Hak Pengasuhan Anak Bagi Orangtua Yang Bercerai Karena Berbeda Agama.</w:t>
      </w:r>
    </w:p>
    <w:p w:rsidR="00343B61" w:rsidRPr="00E32859" w:rsidRDefault="00343B61" w:rsidP="00343B61">
      <w:pPr>
        <w:autoSpaceDE w:val="0"/>
        <w:autoSpaceDN w:val="0"/>
        <w:adjustRightInd w:val="0"/>
        <w:spacing w:after="0" w:line="360" w:lineRule="auto"/>
        <w:ind w:left="90" w:firstLine="630"/>
        <w:jc w:val="both"/>
        <w:rPr>
          <w:rFonts w:ascii="Times New Roman" w:eastAsiaTheme="minorHAnsi" w:hAnsi="Times New Roman" w:cs="Times New Roman"/>
          <w:sz w:val="24"/>
          <w:szCs w:val="24"/>
          <w:lang w:val="sv-SE"/>
        </w:rPr>
      </w:pPr>
      <w:r w:rsidRPr="00E32859">
        <w:rPr>
          <w:rFonts w:ascii="Times New Roman" w:eastAsiaTheme="minorHAnsi" w:hAnsi="Times New Roman" w:cs="Times New Roman"/>
          <w:sz w:val="24"/>
          <w:szCs w:val="24"/>
          <w:lang w:val="sv-SE"/>
        </w:rPr>
        <w:t xml:space="preserve">MUI mendefinisikan </w:t>
      </w:r>
      <w:r w:rsidRPr="00E32859">
        <w:rPr>
          <w:rFonts w:ascii="Times New Roman" w:eastAsiaTheme="minorHAnsi" w:hAnsi="Times New Roman" w:cs="Times New Roman"/>
          <w:i/>
          <w:iCs/>
          <w:sz w:val="24"/>
          <w:szCs w:val="24"/>
          <w:lang w:val="sv-SE"/>
        </w:rPr>
        <w:t xml:space="preserve">Hadhanah </w:t>
      </w:r>
      <w:r>
        <w:rPr>
          <w:rFonts w:ascii="Times New Roman" w:eastAsiaTheme="minorHAnsi" w:hAnsi="Times New Roman" w:cs="Times New Roman"/>
          <w:sz w:val="24"/>
          <w:szCs w:val="24"/>
          <w:lang w:val="sv-SE"/>
        </w:rPr>
        <w:t>sebagai</w:t>
      </w:r>
      <w:r w:rsidRPr="00E32859">
        <w:rPr>
          <w:rFonts w:ascii="Times New Roman" w:eastAsiaTheme="minorHAnsi" w:hAnsi="Times New Roman" w:cs="Times New Roman"/>
          <w:sz w:val="24"/>
          <w:szCs w:val="24"/>
          <w:lang w:val="sv-SE"/>
        </w:rPr>
        <w:t xml:space="preserve"> aktifitas melakukan pengasuhan anak yang masih kecil, baik laki-laki atau perempuan atau yang di bawah pengampuan yang belum </w:t>
      </w:r>
      <w:r w:rsidRPr="00E32859">
        <w:rPr>
          <w:rFonts w:ascii="Times New Roman" w:eastAsiaTheme="minorHAnsi" w:hAnsi="Times New Roman" w:cs="Times New Roman"/>
          <w:i/>
          <w:iCs/>
          <w:sz w:val="24"/>
          <w:szCs w:val="24"/>
          <w:lang w:val="sv-SE"/>
        </w:rPr>
        <w:t xml:space="preserve">mumayyiz </w:t>
      </w:r>
      <w:r w:rsidRPr="00E32859">
        <w:rPr>
          <w:rFonts w:ascii="Times New Roman" w:eastAsiaTheme="minorHAnsi" w:hAnsi="Times New Roman" w:cs="Times New Roman"/>
          <w:sz w:val="24"/>
          <w:szCs w:val="24"/>
          <w:lang w:val="sv-SE"/>
        </w:rPr>
        <w:t>dan tidak dapat mengurus semua urusannya dengan cara menyiapkan segala sesuatu yang mendatangkan kemaslahatannya, menjaganya dari segala sesuatu yang dapat menyakiti dan membahayakannya, mendidik jasmani, rohani dan akalnya agar mampu secara mandiri dalam menghadapi kehidupan dan memikul tanggung jawab.</w:t>
      </w:r>
    </w:p>
    <w:p w:rsidR="00343B61" w:rsidRDefault="00343B61" w:rsidP="00343B61">
      <w:pPr>
        <w:autoSpaceDE w:val="0"/>
        <w:autoSpaceDN w:val="0"/>
        <w:adjustRightInd w:val="0"/>
        <w:spacing w:after="0" w:line="360" w:lineRule="auto"/>
        <w:ind w:left="90" w:firstLine="630"/>
        <w:jc w:val="both"/>
        <w:rPr>
          <w:rFonts w:ascii="Times New Roman" w:eastAsiaTheme="minorHAnsi" w:hAnsi="Times New Roman" w:cs="Times New Roman"/>
          <w:sz w:val="24"/>
          <w:szCs w:val="24"/>
        </w:rPr>
      </w:pPr>
      <w:r w:rsidRPr="00204F22">
        <w:rPr>
          <w:rFonts w:ascii="Times New Roman" w:hAnsi="Times New Roman" w:cs="Times New Roman"/>
          <w:sz w:val="24"/>
          <w:szCs w:val="24"/>
        </w:rPr>
        <w:t>Hadhanah itu merupakan kewajiban kedua orang tua terhadap anak-anaknya dan menjadi hak anak dari kedua orang tuanya. Oleh karena itu, ketika kedua orang tuanya belum bercerai, kewajiban mengasuh anak itu menjadi tanggung jawab kedua orang tuanya.</w:t>
      </w:r>
      <w:r>
        <w:rPr>
          <w:rFonts w:ascii="Times New Roman" w:eastAsiaTheme="minorHAnsi" w:hAnsi="Times New Roman" w:cs="Times New Roman"/>
          <w:sz w:val="24"/>
          <w:szCs w:val="24"/>
        </w:rPr>
        <w:t xml:space="preserve"> </w:t>
      </w:r>
      <w:r w:rsidRPr="00204F22">
        <w:rPr>
          <w:rFonts w:ascii="Times New Roman" w:hAnsi="Times New Roman" w:cs="Times New Roman"/>
          <w:sz w:val="24"/>
          <w:szCs w:val="24"/>
        </w:rPr>
        <w:t>Apabila terjadi perceraian di pengadilan, hak asuh anak berada pada salah satu dari kedua orang tuanya atau pihak keluarganya dengan memperhatikan kemaslahatan anak.</w:t>
      </w:r>
      <w:r>
        <w:rPr>
          <w:rStyle w:val="FootnoteReference"/>
          <w:rFonts w:ascii="Times New Roman" w:hAnsi="Times New Roman" w:cs="Times New Roman"/>
          <w:sz w:val="24"/>
          <w:szCs w:val="24"/>
        </w:rPr>
        <w:footnoteReference w:id="786"/>
      </w:r>
    </w:p>
    <w:p w:rsidR="00343B61" w:rsidRDefault="00343B61" w:rsidP="00343B61">
      <w:pPr>
        <w:autoSpaceDE w:val="0"/>
        <w:autoSpaceDN w:val="0"/>
        <w:adjustRightInd w:val="0"/>
        <w:spacing w:after="0" w:line="360" w:lineRule="auto"/>
        <w:ind w:left="90" w:firstLine="63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Pada umumnya fukaha sepakat bahwa Ibu mempunyai keutamaan hak </w:t>
      </w:r>
      <w:r>
        <w:rPr>
          <w:rFonts w:ascii="Times New Roman" w:eastAsiaTheme="minorHAnsi" w:hAnsi="Times New Roman" w:cs="Times New Roman"/>
          <w:i/>
          <w:iCs/>
          <w:sz w:val="24"/>
          <w:szCs w:val="24"/>
        </w:rPr>
        <w:t>hadhanah</w:t>
      </w:r>
      <w:r>
        <w:rPr>
          <w:rFonts w:ascii="Times New Roman" w:eastAsiaTheme="minorHAnsi" w:hAnsi="Times New Roman" w:cs="Times New Roman"/>
          <w:sz w:val="24"/>
          <w:szCs w:val="24"/>
        </w:rPr>
        <w:t xml:space="preserve">. Namun hak </w:t>
      </w:r>
      <w:r>
        <w:rPr>
          <w:rFonts w:ascii="Times New Roman" w:eastAsiaTheme="minorHAnsi" w:hAnsi="Times New Roman" w:cs="Times New Roman"/>
          <w:i/>
          <w:iCs/>
          <w:sz w:val="24"/>
          <w:szCs w:val="24"/>
        </w:rPr>
        <w:t xml:space="preserve">hadhanah </w:t>
      </w:r>
      <w:r>
        <w:rPr>
          <w:rFonts w:ascii="Times New Roman" w:eastAsiaTheme="minorHAnsi" w:hAnsi="Times New Roman" w:cs="Times New Roman"/>
          <w:sz w:val="24"/>
          <w:szCs w:val="24"/>
        </w:rPr>
        <w:t>dapat dicabut dengan sebab murtad, berperilaku tidak terpuji seperti berzinah, mencuri, tidak dapat dipercaya, sering keluar rumah dan mengabaikan anak yang diasuhnya. Tujuan dari adanya sifat-</w:t>
      </w:r>
      <w:r>
        <w:rPr>
          <w:rFonts w:ascii="Times New Roman" w:eastAsiaTheme="minorHAnsi" w:hAnsi="Times New Roman" w:cs="Times New Roman"/>
          <w:sz w:val="24"/>
          <w:szCs w:val="24"/>
        </w:rPr>
        <w:lastRenderedPageBreak/>
        <w:t>sifat tersebut adalah dalam upaya memelihara dan menjamin kesehatan, pertumbuhan moral dan perkembangan psikologis anak.</w:t>
      </w:r>
      <w:r>
        <w:rPr>
          <w:rStyle w:val="FootnoteReference"/>
          <w:rFonts w:ascii="Times New Roman" w:eastAsiaTheme="minorHAnsi" w:hAnsi="Times New Roman" w:cs="Times New Roman"/>
          <w:sz w:val="24"/>
          <w:szCs w:val="24"/>
        </w:rPr>
        <w:footnoteReference w:id="787"/>
      </w:r>
    </w:p>
    <w:p w:rsidR="00343B61" w:rsidRDefault="00343B61" w:rsidP="00343B61">
      <w:pPr>
        <w:autoSpaceDE w:val="0"/>
        <w:autoSpaceDN w:val="0"/>
        <w:adjustRightInd w:val="0"/>
        <w:spacing w:after="0" w:line="360" w:lineRule="auto"/>
        <w:ind w:left="90" w:firstLine="63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Dari uraian diatas dapat disimpulkan bahwa fikih klasik tidak mengatur secara rinci tentang hal yang dapat mengugurkan dan pencabutan terhadap hak-hak </w:t>
      </w:r>
      <w:r>
        <w:rPr>
          <w:rFonts w:ascii="Times New Roman" w:eastAsiaTheme="minorHAnsi" w:hAnsi="Times New Roman" w:cs="Times New Roman"/>
          <w:i/>
          <w:iCs/>
          <w:sz w:val="24"/>
          <w:szCs w:val="24"/>
        </w:rPr>
        <w:t>hadhanah</w:t>
      </w:r>
      <w:r>
        <w:rPr>
          <w:rFonts w:ascii="Times New Roman" w:eastAsiaTheme="minorHAnsi" w:hAnsi="Times New Roman" w:cs="Times New Roman"/>
          <w:sz w:val="24"/>
          <w:szCs w:val="24"/>
        </w:rPr>
        <w:t xml:space="preserve">. Namun pencabutan hak </w:t>
      </w:r>
      <w:r>
        <w:rPr>
          <w:rFonts w:ascii="Times New Roman" w:eastAsiaTheme="minorHAnsi" w:hAnsi="Times New Roman" w:cs="Times New Roman"/>
          <w:i/>
          <w:iCs/>
          <w:sz w:val="24"/>
          <w:szCs w:val="24"/>
        </w:rPr>
        <w:t xml:space="preserve">hadhanah </w:t>
      </w:r>
      <w:r>
        <w:rPr>
          <w:rFonts w:ascii="Times New Roman" w:eastAsiaTheme="minorHAnsi" w:hAnsi="Times New Roman" w:cs="Times New Roman"/>
          <w:sz w:val="24"/>
          <w:szCs w:val="24"/>
        </w:rPr>
        <w:t xml:space="preserve">dapat difahami dari persyaratan-persyaratan terhadap pemegang hak </w:t>
      </w:r>
      <w:r>
        <w:rPr>
          <w:rFonts w:ascii="Times New Roman" w:eastAsiaTheme="minorHAnsi" w:hAnsi="Times New Roman" w:cs="Times New Roman"/>
          <w:i/>
          <w:iCs/>
          <w:sz w:val="24"/>
          <w:szCs w:val="24"/>
        </w:rPr>
        <w:t>hadhanah</w:t>
      </w:r>
      <w:r>
        <w:rPr>
          <w:rFonts w:ascii="Times New Roman" w:eastAsiaTheme="minorHAnsi" w:hAnsi="Times New Roman" w:cs="Times New Roman"/>
          <w:sz w:val="24"/>
          <w:szCs w:val="24"/>
        </w:rPr>
        <w:t xml:space="preserve">. Adapun alasan-alasan digugurkan dan dicabutnya </w:t>
      </w:r>
      <w:r>
        <w:rPr>
          <w:rFonts w:ascii="Times New Roman" w:eastAsiaTheme="minorHAnsi" w:hAnsi="Times New Roman" w:cs="Times New Roman"/>
          <w:i/>
          <w:iCs/>
          <w:sz w:val="24"/>
          <w:szCs w:val="24"/>
        </w:rPr>
        <w:t xml:space="preserve">hadhanah </w:t>
      </w:r>
      <w:r>
        <w:rPr>
          <w:rFonts w:ascii="Times New Roman" w:eastAsiaTheme="minorHAnsi" w:hAnsi="Times New Roman" w:cs="Times New Roman"/>
          <w:sz w:val="24"/>
          <w:szCs w:val="24"/>
        </w:rPr>
        <w:t>seseorang antara lain.</w:t>
      </w:r>
      <w:r>
        <w:rPr>
          <w:rStyle w:val="FootnoteReference"/>
          <w:rFonts w:ascii="Times New Roman" w:eastAsiaTheme="minorHAnsi" w:hAnsi="Times New Roman" w:cs="Times New Roman"/>
          <w:sz w:val="24"/>
          <w:szCs w:val="24"/>
        </w:rPr>
        <w:footnoteReference w:id="788"/>
      </w:r>
    </w:p>
    <w:p w:rsidR="00343B61" w:rsidRDefault="00343B61" w:rsidP="00343B61">
      <w:pPr>
        <w:autoSpaceDE w:val="0"/>
        <w:autoSpaceDN w:val="0"/>
        <w:adjustRightInd w:val="0"/>
        <w:spacing w:after="0" w:line="360" w:lineRule="auto"/>
        <w:ind w:firstLine="360"/>
        <w:rPr>
          <w:rFonts w:ascii="Times New Roman" w:eastAsiaTheme="minorHAnsi" w:hAnsi="Times New Roman" w:cs="Times New Roman"/>
          <w:sz w:val="24"/>
          <w:szCs w:val="24"/>
        </w:rPr>
      </w:pPr>
      <w:r>
        <w:rPr>
          <w:rFonts w:ascii="Times New Roman" w:eastAsiaTheme="minorHAnsi" w:hAnsi="Times New Roman" w:cs="Times New Roman"/>
          <w:sz w:val="24"/>
          <w:szCs w:val="24"/>
        </w:rPr>
        <w:t>1.  Hal-hal yang disepakati yaitu:</w:t>
      </w:r>
    </w:p>
    <w:p w:rsidR="00343B61" w:rsidRDefault="00343B61" w:rsidP="00343B61">
      <w:pPr>
        <w:autoSpaceDE w:val="0"/>
        <w:autoSpaceDN w:val="0"/>
        <w:adjustRightInd w:val="0"/>
        <w:spacing w:after="0" w:line="360" w:lineRule="auto"/>
        <w:ind w:firstLine="630"/>
        <w:rPr>
          <w:rFonts w:ascii="Times New Roman" w:eastAsiaTheme="minorHAnsi" w:hAnsi="Times New Roman" w:cs="Times New Roman"/>
          <w:sz w:val="24"/>
          <w:szCs w:val="24"/>
        </w:rPr>
      </w:pPr>
      <w:r>
        <w:rPr>
          <w:rFonts w:ascii="Times New Roman" w:eastAsiaTheme="minorHAnsi" w:hAnsi="Times New Roman" w:cs="Times New Roman"/>
          <w:sz w:val="24"/>
          <w:szCs w:val="24"/>
        </w:rPr>
        <w:t>i. Tidak bisa dipercaya</w:t>
      </w:r>
    </w:p>
    <w:p w:rsidR="00343B61" w:rsidRDefault="00343B61" w:rsidP="00343B61">
      <w:pPr>
        <w:autoSpaceDE w:val="0"/>
        <w:autoSpaceDN w:val="0"/>
        <w:adjustRightInd w:val="0"/>
        <w:spacing w:after="0" w:line="360" w:lineRule="auto"/>
        <w:ind w:firstLine="630"/>
        <w:rPr>
          <w:rFonts w:ascii="Times New Roman" w:eastAsiaTheme="minorHAnsi" w:hAnsi="Times New Roman" w:cs="Times New Roman"/>
          <w:sz w:val="24"/>
          <w:szCs w:val="24"/>
        </w:rPr>
      </w:pPr>
      <w:r>
        <w:rPr>
          <w:rFonts w:ascii="Times New Roman" w:eastAsiaTheme="minorHAnsi" w:hAnsi="Times New Roman" w:cs="Times New Roman"/>
          <w:sz w:val="24"/>
          <w:szCs w:val="24"/>
        </w:rPr>
        <w:t>ii. Berperilaku tidak terpuji</w:t>
      </w:r>
    </w:p>
    <w:p w:rsidR="00343B61" w:rsidRDefault="00343B61" w:rsidP="00343B61">
      <w:pPr>
        <w:autoSpaceDE w:val="0"/>
        <w:autoSpaceDN w:val="0"/>
        <w:adjustRightInd w:val="0"/>
        <w:spacing w:after="0" w:line="360" w:lineRule="auto"/>
        <w:ind w:firstLine="630"/>
        <w:rPr>
          <w:rFonts w:ascii="Times New Roman" w:eastAsiaTheme="minorHAnsi" w:hAnsi="Times New Roman" w:cs="Times New Roman"/>
          <w:sz w:val="24"/>
          <w:szCs w:val="24"/>
        </w:rPr>
      </w:pPr>
      <w:r>
        <w:rPr>
          <w:rFonts w:ascii="Times New Roman" w:eastAsiaTheme="minorHAnsi" w:hAnsi="Times New Roman" w:cs="Times New Roman"/>
          <w:sz w:val="24"/>
          <w:szCs w:val="24"/>
        </w:rPr>
        <w:t>iii. Membahayakan kepentingan anak</w:t>
      </w:r>
    </w:p>
    <w:p w:rsidR="00343B61" w:rsidRDefault="00343B61" w:rsidP="00343B61">
      <w:pPr>
        <w:autoSpaceDE w:val="0"/>
        <w:autoSpaceDN w:val="0"/>
        <w:adjustRightInd w:val="0"/>
        <w:spacing w:after="0" w:line="360" w:lineRule="auto"/>
        <w:ind w:firstLine="360"/>
        <w:rPr>
          <w:rFonts w:ascii="Times New Roman" w:eastAsiaTheme="minorHAnsi" w:hAnsi="Times New Roman" w:cs="Times New Roman"/>
          <w:sz w:val="24"/>
          <w:szCs w:val="24"/>
        </w:rPr>
      </w:pPr>
      <w:r>
        <w:rPr>
          <w:rFonts w:ascii="Times New Roman" w:eastAsiaTheme="minorHAnsi" w:hAnsi="Times New Roman" w:cs="Times New Roman"/>
          <w:sz w:val="24"/>
          <w:szCs w:val="24"/>
        </w:rPr>
        <w:t>2. Hal-hal yang masih diperdebatkan yaitu:</w:t>
      </w:r>
    </w:p>
    <w:p w:rsidR="00343B61" w:rsidRDefault="00343B61" w:rsidP="00343B61">
      <w:pPr>
        <w:autoSpaceDE w:val="0"/>
        <w:autoSpaceDN w:val="0"/>
        <w:adjustRightInd w:val="0"/>
        <w:spacing w:after="0" w:line="360" w:lineRule="auto"/>
        <w:ind w:firstLine="630"/>
        <w:rPr>
          <w:rFonts w:ascii="Times New Roman" w:eastAsiaTheme="minorHAnsi" w:hAnsi="Times New Roman" w:cs="Times New Roman"/>
          <w:sz w:val="24"/>
          <w:szCs w:val="24"/>
        </w:rPr>
      </w:pPr>
      <w:r>
        <w:rPr>
          <w:rFonts w:ascii="Times New Roman" w:eastAsiaTheme="minorHAnsi" w:hAnsi="Times New Roman" w:cs="Times New Roman"/>
          <w:sz w:val="24"/>
          <w:szCs w:val="24"/>
        </w:rPr>
        <w:t>i. Kafir dan murtad</w:t>
      </w:r>
    </w:p>
    <w:p w:rsidR="00343B61" w:rsidRDefault="00343B61" w:rsidP="00343B61">
      <w:pPr>
        <w:autoSpaceDE w:val="0"/>
        <w:autoSpaceDN w:val="0"/>
        <w:adjustRightInd w:val="0"/>
        <w:spacing w:after="0" w:line="360" w:lineRule="auto"/>
        <w:ind w:left="360" w:firstLine="27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ii. Isteri menikah lagi dengan laki-laki lain.</w:t>
      </w:r>
    </w:p>
    <w:p w:rsidR="00343B61" w:rsidRPr="00A233E3" w:rsidRDefault="00343B61" w:rsidP="00343B61">
      <w:pPr>
        <w:autoSpaceDE w:val="0"/>
        <w:autoSpaceDN w:val="0"/>
        <w:adjustRightInd w:val="0"/>
        <w:spacing w:after="0" w:line="360" w:lineRule="auto"/>
        <w:ind w:left="360" w:firstLine="63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Di dalam kitab </w:t>
      </w:r>
      <w:r w:rsidRPr="0045214F">
        <w:rPr>
          <w:rFonts w:ascii="Times New Roman" w:eastAsiaTheme="minorHAnsi" w:hAnsi="Times New Roman" w:cs="Times New Roman"/>
          <w:i/>
          <w:iCs/>
          <w:sz w:val="24"/>
          <w:szCs w:val="24"/>
        </w:rPr>
        <w:t>Al-Hid</w:t>
      </w:r>
      <w:r w:rsidRPr="00715728">
        <w:rPr>
          <w:rFonts w:asciiTheme="majorBidi" w:hAnsiTheme="majorBidi" w:cstheme="majorBidi"/>
          <w:i/>
          <w:iCs/>
          <w:sz w:val="24"/>
          <w:szCs w:val="24"/>
        </w:rPr>
        <w:t>ā</w:t>
      </w:r>
      <w:r w:rsidRPr="0045214F">
        <w:rPr>
          <w:rFonts w:ascii="Times New Roman" w:eastAsiaTheme="minorHAnsi" w:hAnsi="Times New Roman" w:cs="Times New Roman"/>
          <w:i/>
          <w:iCs/>
          <w:sz w:val="24"/>
          <w:szCs w:val="24"/>
        </w:rPr>
        <w:t>yah ‘Al</w:t>
      </w:r>
      <w:r w:rsidRPr="00715728">
        <w:rPr>
          <w:rFonts w:asciiTheme="majorBidi" w:hAnsiTheme="majorBidi" w:cstheme="majorBidi"/>
          <w:i/>
          <w:iCs/>
          <w:sz w:val="24"/>
          <w:szCs w:val="24"/>
        </w:rPr>
        <w:t>ā</w:t>
      </w:r>
      <w:r w:rsidRPr="0045214F">
        <w:rPr>
          <w:rFonts w:ascii="Times New Roman" w:eastAsiaTheme="minorHAnsi" w:hAnsi="Times New Roman" w:cs="Times New Roman"/>
          <w:i/>
          <w:iCs/>
          <w:sz w:val="24"/>
          <w:szCs w:val="24"/>
        </w:rPr>
        <w:t xml:space="preserve"> Mazhabi Al-Im</w:t>
      </w:r>
      <w:r w:rsidRPr="00715728">
        <w:rPr>
          <w:rFonts w:asciiTheme="majorBidi" w:hAnsiTheme="majorBidi" w:cstheme="majorBidi"/>
          <w:i/>
          <w:iCs/>
          <w:sz w:val="24"/>
          <w:szCs w:val="24"/>
        </w:rPr>
        <w:t>ā</w:t>
      </w:r>
      <w:r>
        <w:rPr>
          <w:rFonts w:ascii="Times New Roman" w:hAnsi="Times New Roman" w:cs="Times New Roman"/>
          <w:i/>
          <w:iCs/>
          <w:sz w:val="24"/>
          <w:szCs w:val="24"/>
        </w:rPr>
        <w:t xml:space="preserve">m </w:t>
      </w:r>
      <w:r w:rsidRPr="0045214F">
        <w:rPr>
          <w:rFonts w:ascii="Times New Roman" w:eastAsiaTheme="minorHAnsi" w:hAnsi="Times New Roman" w:cs="Times New Roman"/>
          <w:i/>
          <w:iCs/>
          <w:sz w:val="24"/>
          <w:szCs w:val="24"/>
        </w:rPr>
        <w:t>Ahmad</w:t>
      </w:r>
      <w:r w:rsidRPr="00D752E1">
        <w:rPr>
          <w:rFonts w:ascii="Times New Roman" w:eastAsiaTheme="minorHAnsi" w:hAnsi="Times New Roman" w:cs="Times New Roman"/>
          <w:sz w:val="24"/>
          <w:szCs w:val="24"/>
        </w:rPr>
        <w:t xml:space="preserve"> memberikan keterangan bahwa bagi orang tua yang tidak cakap perilaku</w:t>
      </w:r>
      <w:r>
        <w:rPr>
          <w:rFonts w:ascii="Times New Roman" w:eastAsiaTheme="minorHAnsi" w:hAnsi="Times New Roman" w:cs="Times New Roman"/>
          <w:sz w:val="24"/>
          <w:szCs w:val="24"/>
        </w:rPr>
        <w:t xml:space="preserve"> </w:t>
      </w:r>
      <w:r w:rsidRPr="00D752E1">
        <w:rPr>
          <w:rFonts w:ascii="Times New Roman" w:eastAsiaTheme="minorHAnsi" w:hAnsi="Times New Roman" w:cs="Times New Roman"/>
          <w:sz w:val="24"/>
          <w:szCs w:val="24"/>
        </w:rPr>
        <w:t>tidak berhak mendidik anaknya kecuali telah kembali sifat akhlaknya yang</w:t>
      </w:r>
      <w:r>
        <w:rPr>
          <w:rFonts w:ascii="Times New Roman" w:eastAsiaTheme="minorHAnsi" w:hAnsi="Times New Roman" w:cs="Times New Roman"/>
          <w:sz w:val="24"/>
          <w:szCs w:val="24"/>
        </w:rPr>
        <w:t xml:space="preserve"> </w:t>
      </w:r>
      <w:r w:rsidRPr="00D752E1">
        <w:rPr>
          <w:rFonts w:ascii="Times New Roman" w:eastAsiaTheme="minorHAnsi" w:hAnsi="Times New Roman" w:cs="Times New Roman"/>
          <w:sz w:val="24"/>
          <w:szCs w:val="24"/>
        </w:rPr>
        <w:t>bagus dan tidak fasik maka berhak medapatkan kembali hak sebagai</w:t>
      </w:r>
      <w:r>
        <w:rPr>
          <w:rFonts w:ascii="Times New Roman" w:eastAsiaTheme="minorHAnsi" w:hAnsi="Times New Roman" w:cs="Times New Roman"/>
          <w:sz w:val="24"/>
          <w:szCs w:val="24"/>
        </w:rPr>
        <w:t xml:space="preserve"> pengasuh.</w:t>
      </w:r>
      <w:r>
        <w:rPr>
          <w:rStyle w:val="FootnoteReference"/>
          <w:rFonts w:ascii="Times New Roman" w:eastAsiaTheme="minorHAnsi" w:hAnsi="Times New Roman" w:cs="Times New Roman"/>
          <w:sz w:val="24"/>
          <w:szCs w:val="24"/>
        </w:rPr>
        <w:footnoteReference w:id="789"/>
      </w:r>
      <w:r w:rsidRPr="00D752E1">
        <w:rPr>
          <w:rFonts w:ascii="Times New Roman" w:eastAsiaTheme="minorHAnsi" w:hAnsi="Times New Roman" w:cs="Times New Roman"/>
          <w:sz w:val="24"/>
          <w:szCs w:val="24"/>
        </w:rPr>
        <w:t>Alasan hak tersebut kembali ialah hilangnya pencegah yang</w:t>
      </w:r>
      <w:r>
        <w:rPr>
          <w:rFonts w:ascii="Times New Roman" w:eastAsiaTheme="minorHAnsi" w:hAnsi="Times New Roman" w:cs="Times New Roman"/>
          <w:sz w:val="24"/>
          <w:szCs w:val="24"/>
        </w:rPr>
        <w:t xml:space="preserve"> </w:t>
      </w:r>
      <w:r w:rsidRPr="00D752E1">
        <w:rPr>
          <w:rFonts w:ascii="Times New Roman" w:eastAsiaTheme="minorHAnsi" w:hAnsi="Times New Roman" w:cs="Times New Roman"/>
          <w:sz w:val="24"/>
          <w:szCs w:val="24"/>
        </w:rPr>
        <w:t>menyebabkan pengasuh tidak berhak mengasuh anak tersebut seperti fasik,</w:t>
      </w:r>
      <w:r>
        <w:rPr>
          <w:rFonts w:ascii="Times New Roman" w:eastAsiaTheme="minorHAnsi" w:hAnsi="Times New Roman" w:cs="Times New Roman"/>
          <w:sz w:val="24"/>
          <w:szCs w:val="24"/>
        </w:rPr>
        <w:t xml:space="preserve"> kafir dan tidak merdeka.</w:t>
      </w:r>
      <w:r>
        <w:rPr>
          <w:rStyle w:val="FootnoteReference"/>
          <w:rFonts w:ascii="Times New Roman" w:eastAsiaTheme="minorHAnsi" w:hAnsi="Times New Roman" w:cs="Times New Roman"/>
          <w:sz w:val="24"/>
          <w:szCs w:val="24"/>
        </w:rPr>
        <w:footnoteReference w:id="790"/>
      </w:r>
      <w:r>
        <w:rPr>
          <w:rFonts w:ascii="Times New Roman" w:eastAsiaTheme="minorHAnsi" w:hAnsi="Times New Roman" w:cs="Times New Roman"/>
          <w:sz w:val="24"/>
          <w:szCs w:val="24"/>
        </w:rPr>
        <w:t xml:space="preserve"> </w:t>
      </w:r>
      <w:r w:rsidRPr="00A233E3">
        <w:rPr>
          <w:rFonts w:ascii="Times New Roman" w:eastAsiaTheme="minorHAnsi" w:hAnsi="Times New Roman" w:cs="Times New Roman"/>
          <w:sz w:val="24"/>
          <w:szCs w:val="24"/>
        </w:rPr>
        <w:t xml:space="preserve">Diktum putusan fatwa MUI tentang </w:t>
      </w:r>
      <w:r w:rsidRPr="00A233E3">
        <w:rPr>
          <w:rFonts w:asciiTheme="majorBidi" w:hAnsiTheme="majorBidi" w:cstheme="majorBidi"/>
          <w:sz w:val="24"/>
          <w:szCs w:val="24"/>
          <w:lang w:val="sv-SE"/>
        </w:rPr>
        <w:t>Hak Pengasuhan Anak Bagi Orangtua Yang Bercerai Karena Berbeda Agama memuat dua poin putusan yaitu :</w:t>
      </w:r>
    </w:p>
    <w:p w:rsidR="00343B61" w:rsidRPr="00204F22" w:rsidRDefault="00343B61" w:rsidP="00343B61">
      <w:p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204F22">
        <w:rPr>
          <w:rFonts w:ascii="Times New Roman" w:hAnsi="Times New Roman" w:cs="Times New Roman"/>
          <w:sz w:val="24"/>
          <w:szCs w:val="24"/>
        </w:rPr>
        <w:t xml:space="preserve">Persyaratan orang yang akan mengasuh anak : </w:t>
      </w:r>
    </w:p>
    <w:p w:rsidR="00343B61" w:rsidRPr="00D61F3B" w:rsidRDefault="00343B61" w:rsidP="002C0A33">
      <w:pPr>
        <w:pStyle w:val="ListParagraph"/>
        <w:numPr>
          <w:ilvl w:val="1"/>
          <w:numId w:val="45"/>
        </w:numPr>
        <w:spacing w:after="0" w:line="360" w:lineRule="auto"/>
        <w:ind w:left="990"/>
        <w:jc w:val="both"/>
        <w:rPr>
          <w:rFonts w:ascii="Times New Roman" w:hAnsi="Times New Roman" w:cs="Times New Roman"/>
          <w:sz w:val="24"/>
          <w:szCs w:val="24"/>
        </w:rPr>
      </w:pPr>
      <w:r w:rsidRPr="00D61F3B">
        <w:rPr>
          <w:rFonts w:ascii="Times New Roman" w:hAnsi="Times New Roman" w:cs="Times New Roman"/>
          <w:sz w:val="24"/>
          <w:szCs w:val="24"/>
        </w:rPr>
        <w:t>berakal sehat</w:t>
      </w:r>
    </w:p>
    <w:p w:rsidR="00343B61" w:rsidRPr="00646322" w:rsidRDefault="00343B61" w:rsidP="002C0A33">
      <w:pPr>
        <w:pStyle w:val="ListParagraph"/>
        <w:numPr>
          <w:ilvl w:val="1"/>
          <w:numId w:val="45"/>
        </w:numPr>
        <w:spacing w:before="100" w:beforeAutospacing="1" w:after="100" w:afterAutospacing="1" w:line="360" w:lineRule="auto"/>
        <w:ind w:left="990"/>
        <w:jc w:val="both"/>
        <w:rPr>
          <w:rFonts w:ascii="Times New Roman" w:hAnsi="Times New Roman" w:cs="Times New Roman"/>
          <w:sz w:val="24"/>
          <w:szCs w:val="24"/>
        </w:rPr>
      </w:pPr>
      <w:r w:rsidRPr="00646322">
        <w:rPr>
          <w:rFonts w:ascii="Times New Roman" w:hAnsi="Times New Roman" w:cs="Times New Roman"/>
          <w:sz w:val="24"/>
          <w:szCs w:val="24"/>
        </w:rPr>
        <w:t>dewasa (baligh)</w:t>
      </w:r>
    </w:p>
    <w:p w:rsidR="00343B61" w:rsidRPr="00646322" w:rsidRDefault="00343B61" w:rsidP="002C0A33">
      <w:pPr>
        <w:pStyle w:val="ListParagraph"/>
        <w:numPr>
          <w:ilvl w:val="1"/>
          <w:numId w:val="45"/>
        </w:numPr>
        <w:spacing w:before="100" w:beforeAutospacing="1" w:after="100" w:afterAutospacing="1" w:line="360" w:lineRule="auto"/>
        <w:ind w:left="990"/>
        <w:jc w:val="both"/>
        <w:rPr>
          <w:rFonts w:ascii="Times New Roman" w:hAnsi="Times New Roman" w:cs="Times New Roman"/>
          <w:sz w:val="24"/>
          <w:szCs w:val="24"/>
        </w:rPr>
      </w:pPr>
      <w:r w:rsidRPr="00646322">
        <w:rPr>
          <w:rFonts w:ascii="Times New Roman" w:hAnsi="Times New Roman" w:cs="Times New Roman"/>
          <w:sz w:val="24"/>
          <w:szCs w:val="24"/>
        </w:rPr>
        <w:lastRenderedPageBreak/>
        <w:t>memiliki kemampuan untuk mengasuh, merawat dan mendidik anak</w:t>
      </w:r>
    </w:p>
    <w:p w:rsidR="00343B61" w:rsidRPr="00646322" w:rsidRDefault="00343B61" w:rsidP="002C0A33">
      <w:pPr>
        <w:pStyle w:val="ListParagraph"/>
        <w:numPr>
          <w:ilvl w:val="1"/>
          <w:numId w:val="45"/>
        </w:numPr>
        <w:spacing w:before="100" w:beforeAutospacing="1" w:after="100" w:afterAutospacing="1" w:line="360" w:lineRule="auto"/>
        <w:ind w:left="990"/>
        <w:jc w:val="both"/>
        <w:rPr>
          <w:rFonts w:ascii="Times New Roman" w:hAnsi="Times New Roman" w:cs="Times New Roman"/>
          <w:sz w:val="24"/>
          <w:szCs w:val="24"/>
        </w:rPr>
      </w:pPr>
      <w:r w:rsidRPr="00646322">
        <w:rPr>
          <w:rFonts w:ascii="Times New Roman" w:hAnsi="Times New Roman" w:cs="Times New Roman"/>
          <w:sz w:val="24"/>
          <w:szCs w:val="24"/>
        </w:rPr>
        <w:t>dapat dipercaya (amanah) dan berbudi pekerti yang baik</w:t>
      </w:r>
    </w:p>
    <w:p w:rsidR="00343B61" w:rsidRPr="00646322" w:rsidRDefault="00343B61" w:rsidP="002C0A33">
      <w:pPr>
        <w:pStyle w:val="ListParagraph"/>
        <w:numPr>
          <w:ilvl w:val="1"/>
          <w:numId w:val="45"/>
        </w:numPr>
        <w:spacing w:before="100" w:beforeAutospacing="1" w:after="0" w:line="360" w:lineRule="auto"/>
        <w:ind w:left="990"/>
        <w:jc w:val="both"/>
        <w:rPr>
          <w:rFonts w:ascii="Times New Roman" w:hAnsi="Times New Roman" w:cs="Times New Roman"/>
          <w:sz w:val="24"/>
          <w:szCs w:val="24"/>
        </w:rPr>
      </w:pPr>
      <w:r w:rsidRPr="00646322">
        <w:rPr>
          <w:rFonts w:ascii="Times New Roman" w:hAnsi="Times New Roman" w:cs="Times New Roman"/>
          <w:sz w:val="24"/>
          <w:szCs w:val="24"/>
        </w:rPr>
        <w:t>beragama Islam</w:t>
      </w:r>
    </w:p>
    <w:p w:rsidR="00343B61" w:rsidRDefault="00343B61" w:rsidP="00343B61">
      <w:pPr>
        <w:spacing w:after="0" w:line="360" w:lineRule="auto"/>
        <w:ind w:left="720" w:firstLine="540"/>
        <w:jc w:val="both"/>
        <w:rPr>
          <w:rFonts w:ascii="Times New Roman" w:hAnsi="Times New Roman" w:cs="Times New Roman"/>
          <w:sz w:val="24"/>
          <w:szCs w:val="24"/>
        </w:rPr>
      </w:pPr>
      <w:r w:rsidRPr="00204F22">
        <w:rPr>
          <w:rFonts w:ascii="Times New Roman" w:hAnsi="Times New Roman" w:cs="Times New Roman"/>
          <w:sz w:val="24"/>
          <w:szCs w:val="24"/>
        </w:rPr>
        <w:t xml:space="preserve">Apabila salah satu persyaratan tidak terpenuhi, maka yang bersangkutan tidak berhak untuk mengasuh anak dan hak asuh berpindah kepada anggota keluarga yang muslim dan memenuhi ketentuan persyaratan orang yang akan mengasuh anak tersebut di atas. </w:t>
      </w:r>
    </w:p>
    <w:p w:rsidR="00343B61" w:rsidRDefault="00343B61" w:rsidP="00343B61">
      <w:pPr>
        <w:spacing w:after="0" w:line="360" w:lineRule="auto"/>
        <w:ind w:left="720" w:firstLine="540"/>
        <w:jc w:val="both"/>
        <w:rPr>
          <w:rFonts w:ascii="Times New Roman" w:hAnsi="Times New Roman" w:cs="Times New Roman"/>
          <w:sz w:val="24"/>
          <w:szCs w:val="24"/>
        </w:rPr>
      </w:pPr>
      <w:r w:rsidRPr="00204F22">
        <w:rPr>
          <w:rFonts w:ascii="Times New Roman" w:hAnsi="Times New Roman" w:cs="Times New Roman"/>
          <w:sz w:val="24"/>
          <w:szCs w:val="24"/>
        </w:rPr>
        <w:t>Apabila kedua orang tuanya bercerai di pengadilan, maka yang lebih berhak mengasuhnya adalah salah satu dari kedua orang tuanya. Bila anak tersebut belum baligh, maka ibu lebi</w:t>
      </w:r>
      <w:r>
        <w:rPr>
          <w:rFonts w:ascii="Times New Roman" w:hAnsi="Times New Roman" w:cs="Times New Roman"/>
          <w:sz w:val="24"/>
          <w:szCs w:val="24"/>
        </w:rPr>
        <w:t>h</w:t>
      </w:r>
      <w:r w:rsidRPr="00204F22">
        <w:rPr>
          <w:rFonts w:ascii="Times New Roman" w:hAnsi="Times New Roman" w:cs="Times New Roman"/>
          <w:sz w:val="24"/>
          <w:szCs w:val="24"/>
        </w:rPr>
        <w:t xml:space="preserve"> berhak untuk mengasuh daripada ayahnya. Apabila sudah baligh, maka anak memiliki hak untuk menentukan apakah ia ikut ayahnya atau ibunya. Apabila kedua orang tuanya berbeda agama, maka hak pengasuhan anak jatuh pada orang tua yang beragama Islam.</w:t>
      </w:r>
      <w:r>
        <w:rPr>
          <w:rStyle w:val="FootnoteReference"/>
          <w:rFonts w:ascii="Times New Roman" w:hAnsi="Times New Roman" w:cs="Times New Roman"/>
          <w:sz w:val="24"/>
          <w:szCs w:val="24"/>
        </w:rPr>
        <w:footnoteReference w:id="791"/>
      </w:r>
    </w:p>
    <w:p w:rsidR="00343B61" w:rsidRDefault="00343B61" w:rsidP="00343B61">
      <w:pPr>
        <w:spacing w:after="0" w:line="360" w:lineRule="auto"/>
        <w:ind w:left="720" w:firstLine="540"/>
        <w:jc w:val="both"/>
        <w:rPr>
          <w:rFonts w:ascii="Times New Roman" w:hAnsi="Times New Roman" w:cs="Times New Roman"/>
          <w:sz w:val="24"/>
          <w:szCs w:val="24"/>
        </w:rPr>
      </w:pPr>
      <w:r>
        <w:rPr>
          <w:rFonts w:ascii="Times New Roman" w:hAnsi="Times New Roman" w:cs="Times New Roman"/>
          <w:sz w:val="24"/>
          <w:szCs w:val="24"/>
        </w:rPr>
        <w:t>Dalam fatwanya, MUI merekomendasikan satu hal, yaitu “</w:t>
      </w:r>
      <w:r w:rsidRPr="00204F22">
        <w:rPr>
          <w:rFonts w:ascii="Times New Roman" w:hAnsi="Times New Roman" w:cs="Times New Roman"/>
          <w:sz w:val="24"/>
          <w:szCs w:val="24"/>
        </w:rPr>
        <w:t>Dalam menetapkan hak pengasuhan anak harus mengacu pada kemaslahatan anak yaitu untuk masa depannya. Masa depan anak yang harus dipertimb</w:t>
      </w:r>
      <w:r>
        <w:rPr>
          <w:rFonts w:ascii="Times New Roman" w:hAnsi="Times New Roman" w:cs="Times New Roman"/>
          <w:sz w:val="24"/>
          <w:szCs w:val="24"/>
        </w:rPr>
        <w:t>angkan tidak hanya dalam kehidup</w:t>
      </w:r>
      <w:r w:rsidRPr="00204F22">
        <w:rPr>
          <w:rFonts w:ascii="Times New Roman" w:hAnsi="Times New Roman" w:cs="Times New Roman"/>
          <w:sz w:val="24"/>
          <w:szCs w:val="24"/>
        </w:rPr>
        <w:t>annya di dunia, tetapi juga untuk masa depannya di akhirat</w:t>
      </w:r>
      <w:r>
        <w:rPr>
          <w:rFonts w:ascii="Times New Roman" w:hAnsi="Times New Roman" w:cs="Times New Roman"/>
          <w:sz w:val="24"/>
          <w:szCs w:val="24"/>
        </w:rPr>
        <w:t>”</w:t>
      </w:r>
      <w:r w:rsidRPr="00204F22">
        <w:rPr>
          <w:rFonts w:ascii="Times New Roman" w:hAnsi="Times New Roman" w:cs="Times New Roman"/>
          <w:sz w:val="24"/>
          <w:szCs w:val="24"/>
        </w:rPr>
        <w:t>.</w:t>
      </w:r>
      <w:r>
        <w:rPr>
          <w:rStyle w:val="FootnoteReference"/>
          <w:rFonts w:ascii="Times New Roman" w:hAnsi="Times New Roman" w:cs="Times New Roman"/>
          <w:sz w:val="24"/>
          <w:szCs w:val="24"/>
        </w:rPr>
        <w:footnoteReference w:id="792"/>
      </w:r>
      <w:r w:rsidRPr="00204F22">
        <w:rPr>
          <w:rFonts w:ascii="Times New Roman" w:hAnsi="Times New Roman" w:cs="Times New Roman"/>
          <w:sz w:val="24"/>
          <w:szCs w:val="24"/>
        </w:rPr>
        <w:t xml:space="preserve"> </w:t>
      </w:r>
    </w:p>
    <w:p w:rsidR="00343B61" w:rsidRPr="00D3696C" w:rsidRDefault="00343B61" w:rsidP="00343B61">
      <w:pPr>
        <w:spacing w:after="0" w:line="36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Adapun ayat Al-Quran dan hadis yang dibuat oleh MUI sebagai dasar penetapan Fatwa ini adalah : </w:t>
      </w:r>
    </w:p>
    <w:p w:rsidR="00343B61" w:rsidRPr="00785532" w:rsidRDefault="00343B61" w:rsidP="002C0A33">
      <w:pPr>
        <w:pStyle w:val="Default"/>
        <w:numPr>
          <w:ilvl w:val="0"/>
          <w:numId w:val="49"/>
        </w:numPr>
        <w:spacing w:line="360" w:lineRule="auto"/>
        <w:ind w:left="1080" w:hanging="270"/>
        <w:rPr>
          <w:rFonts w:asciiTheme="majorBidi" w:hAnsiTheme="majorBidi" w:cstheme="majorBidi"/>
        </w:rPr>
      </w:pPr>
      <w:r w:rsidRPr="00785532">
        <w:rPr>
          <w:rFonts w:asciiTheme="majorBidi" w:hAnsiTheme="majorBidi" w:cstheme="majorBidi"/>
        </w:rPr>
        <w:t xml:space="preserve">Firman Allah SWT: </w:t>
      </w:r>
    </w:p>
    <w:p w:rsidR="00343B61" w:rsidRPr="00137183" w:rsidRDefault="00343B61" w:rsidP="00343B61">
      <w:pPr>
        <w:pStyle w:val="Default"/>
        <w:bidi/>
        <w:ind w:left="1080" w:hanging="1063"/>
        <w:jc w:val="both"/>
        <w:rPr>
          <w:rFonts w:ascii="(normal text)" w:hAnsi="(normal text)"/>
        </w:rPr>
      </w:pPr>
      <w:r>
        <w:rPr>
          <w:sz w:val="28"/>
          <w:szCs w:val="28"/>
        </w:rPr>
        <w:sym w:font="HQPB4" w:char="F02A"/>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1" w:char="F08A"/>
      </w:r>
      <w:r>
        <w:rPr>
          <w:sz w:val="28"/>
          <w:szCs w:val="28"/>
        </w:rPr>
        <w:sym w:font="HQPB2" w:char="F071"/>
      </w:r>
      <w:r>
        <w:rPr>
          <w:sz w:val="28"/>
          <w:szCs w:val="28"/>
        </w:rPr>
        <w:sym w:font="HQPB4" w:char="F0E4"/>
      </w:r>
      <w:r>
        <w:rPr>
          <w:sz w:val="28"/>
          <w:szCs w:val="28"/>
        </w:rPr>
        <w:sym w:font="HQPB2" w:char="F039"/>
      </w:r>
      <w:r>
        <w:rPr>
          <w:sz w:val="28"/>
          <w:szCs w:val="28"/>
        </w:rPr>
        <w:sym w:font="HQPB4" w:char="F0F6"/>
      </w:r>
      <w:r>
        <w:rPr>
          <w:sz w:val="28"/>
          <w:szCs w:val="28"/>
        </w:rPr>
        <w:sym w:font="HQPB2" w:char="F071"/>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C"/>
      </w:r>
      <w:r>
        <w:rPr>
          <w:sz w:val="28"/>
          <w:szCs w:val="28"/>
        </w:rPr>
        <w:sym w:font="HQPB4" w:char="F0E3"/>
      </w:r>
      <w:r>
        <w:rPr>
          <w:sz w:val="28"/>
          <w:szCs w:val="28"/>
        </w:rPr>
        <w:sym w:font="HQPB3" w:char="F026"/>
      </w:r>
      <w:r>
        <w:rPr>
          <w:sz w:val="28"/>
          <w:szCs w:val="28"/>
        </w:rPr>
        <w:sym w:font="HQPB5" w:char="F073"/>
      </w:r>
      <w:r>
        <w:rPr>
          <w:sz w:val="28"/>
          <w:szCs w:val="28"/>
        </w:rPr>
        <w:sym w:font="HQPB3" w:char="F021"/>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DF"/>
      </w:r>
      <w:r>
        <w:rPr>
          <w:sz w:val="28"/>
          <w:szCs w:val="28"/>
        </w:rPr>
        <w:sym w:font="HQPB2" w:char="F067"/>
      </w:r>
      <w:r>
        <w:rPr>
          <w:sz w:val="28"/>
          <w:szCs w:val="28"/>
        </w:rPr>
        <w:sym w:font="HQPB4" w:char="F0E8"/>
      </w:r>
      <w:r>
        <w:rPr>
          <w:sz w:val="28"/>
          <w:szCs w:val="28"/>
        </w:rPr>
        <w:sym w:font="HQPB2" w:char="F025"/>
      </w:r>
      <w:r>
        <w:rPr>
          <w:sz w:val="28"/>
          <w:szCs w:val="28"/>
        </w:rPr>
        <w:sym w:font="HQPB4" w:char="F0F8"/>
      </w:r>
      <w:r>
        <w:rPr>
          <w:sz w:val="28"/>
          <w:szCs w:val="28"/>
        </w:rPr>
        <w:sym w:font="HQPB1" w:char="F097"/>
      </w:r>
      <w:r>
        <w:rPr>
          <w:sz w:val="28"/>
          <w:szCs w:val="28"/>
        </w:rPr>
        <w:sym w:font="HQPB4" w:char="F0CD"/>
      </w:r>
      <w:r>
        <w:rPr>
          <w:sz w:val="28"/>
          <w:szCs w:val="28"/>
        </w:rPr>
        <w:sym w:font="HQPB1" w:char="F091"/>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E5"/>
      </w:r>
      <w:r>
        <w:rPr>
          <w:sz w:val="28"/>
          <w:szCs w:val="28"/>
        </w:rPr>
        <w:sym w:font="HQPB2" w:char="F06B"/>
      </w:r>
      <w:r>
        <w:rPr>
          <w:sz w:val="28"/>
          <w:szCs w:val="28"/>
        </w:rPr>
        <w:sym w:font="HQPB4" w:char="F0E8"/>
      </w:r>
      <w:r>
        <w:rPr>
          <w:sz w:val="28"/>
          <w:szCs w:val="28"/>
        </w:rPr>
        <w:sym w:font="HQPB1" w:char="F045"/>
      </w:r>
      <w:r>
        <w:rPr>
          <w:sz w:val="28"/>
          <w:szCs w:val="28"/>
        </w:rPr>
        <w:sym w:font="HQPB5" w:char="F075"/>
      </w:r>
      <w:r>
        <w:rPr>
          <w:sz w:val="28"/>
          <w:szCs w:val="28"/>
        </w:rPr>
        <w:sym w:font="HQPB2" w:char="F071"/>
      </w:r>
      <w:r>
        <w:rPr>
          <w:sz w:val="28"/>
          <w:szCs w:val="28"/>
        </w:rPr>
        <w:sym w:font="HQPB4" w:char="F0F3"/>
      </w:r>
      <w:r>
        <w:rPr>
          <w:sz w:val="28"/>
          <w:szCs w:val="28"/>
        </w:rPr>
        <w:sym w:font="HQPB1" w:char="F0A1"/>
      </w:r>
      <w:r>
        <w:rPr>
          <w:sz w:val="28"/>
          <w:szCs w:val="28"/>
        </w:rPr>
        <w:sym w:font="HQPB4" w:char="F0CF"/>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t>…</w:t>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C"/>
      </w:r>
      <w:r>
        <w:rPr>
          <w:sz w:val="28"/>
          <w:szCs w:val="28"/>
        </w:rPr>
        <w:sym w:font="HQPB2" w:char="F0CC"/>
      </w:r>
      <w:r>
        <w:rPr>
          <w:sz w:val="28"/>
          <w:szCs w:val="28"/>
        </w:rPr>
        <w:sym w:font="HQPB2" w:char="F0C8"/>
      </w:r>
      <w:r>
        <w:rPr>
          <w:rFonts w:ascii="(normal text)" w:hAnsi="(normal text)"/>
          <w:rtl/>
        </w:rPr>
        <w:t xml:space="preserve">   </w:t>
      </w:r>
    </w:p>
    <w:p w:rsidR="00343B61" w:rsidRDefault="00343B61" w:rsidP="00343B61">
      <w:pPr>
        <w:pStyle w:val="Default"/>
        <w:ind w:left="2070" w:hanging="900"/>
        <w:jc w:val="both"/>
        <w:rPr>
          <w:rFonts w:asciiTheme="majorBidi" w:hAnsiTheme="majorBidi" w:cstheme="majorBidi"/>
        </w:rPr>
      </w:pPr>
      <w:r w:rsidRPr="008650AC">
        <w:rPr>
          <w:rFonts w:asciiTheme="majorBidi" w:hAnsiTheme="majorBidi" w:cstheme="majorBidi"/>
        </w:rPr>
        <w:t xml:space="preserve">Artinta: </w:t>
      </w:r>
      <w:r w:rsidRPr="008650AC">
        <w:rPr>
          <w:rFonts w:asciiTheme="majorBidi" w:hAnsiTheme="majorBidi" w:cstheme="majorBidi"/>
          <w:i/>
          <w:iCs/>
        </w:rPr>
        <w:t>“adalah kewajiban ayah untuk memberi nafkah dan pakaian untuk anak dan istri dengan cara yang makruf”</w:t>
      </w:r>
      <w:r>
        <w:rPr>
          <w:rStyle w:val="FootnoteReference"/>
          <w:rFonts w:asciiTheme="majorBidi" w:hAnsiTheme="majorBidi" w:cstheme="majorBidi"/>
          <w:i/>
          <w:iCs/>
        </w:rPr>
        <w:footnoteReference w:id="793"/>
      </w:r>
      <w:r w:rsidRPr="008650AC">
        <w:rPr>
          <w:rFonts w:asciiTheme="majorBidi" w:hAnsiTheme="majorBidi" w:cstheme="majorBidi"/>
          <w:i/>
          <w:iCs/>
        </w:rPr>
        <w:t xml:space="preserve"> </w:t>
      </w:r>
      <w:r w:rsidRPr="008650AC">
        <w:rPr>
          <w:rFonts w:asciiTheme="majorBidi" w:hAnsiTheme="majorBidi" w:cstheme="majorBidi"/>
        </w:rPr>
        <w:t xml:space="preserve">(QS. Al-Baqarah [2] : 233) </w:t>
      </w:r>
    </w:p>
    <w:p w:rsidR="00343B61" w:rsidRPr="008650AC" w:rsidRDefault="00343B61" w:rsidP="00343B61">
      <w:pPr>
        <w:pStyle w:val="Default"/>
        <w:ind w:left="2070" w:hanging="900"/>
        <w:jc w:val="both"/>
        <w:rPr>
          <w:rFonts w:asciiTheme="majorBidi" w:hAnsiTheme="majorBidi" w:cstheme="majorBidi"/>
        </w:rPr>
      </w:pPr>
    </w:p>
    <w:p w:rsidR="00343B61" w:rsidRDefault="00343B61" w:rsidP="00343B61">
      <w:pPr>
        <w:spacing w:after="0" w:line="360" w:lineRule="auto"/>
        <w:ind w:left="720" w:firstLine="540"/>
        <w:jc w:val="both"/>
        <w:rPr>
          <w:rFonts w:asciiTheme="majorBidi" w:hAnsiTheme="majorBidi" w:cstheme="majorBidi"/>
          <w:sz w:val="24"/>
          <w:szCs w:val="24"/>
        </w:rPr>
      </w:pPr>
      <w:r w:rsidRPr="009C7164">
        <w:rPr>
          <w:rFonts w:asciiTheme="majorBidi" w:hAnsiTheme="majorBidi" w:cstheme="majorBidi"/>
          <w:sz w:val="24"/>
          <w:szCs w:val="24"/>
        </w:rPr>
        <w:t>Ayat ini menunjukkan bahwa ayah berkewajiban memberi nafkah kepada anak dan isterinya, termasuk juga pengasuhan terhadap anak-anaknya.</w:t>
      </w:r>
    </w:p>
    <w:p w:rsidR="00343B61" w:rsidRPr="009C7164" w:rsidRDefault="00343B61" w:rsidP="00343B61">
      <w:pPr>
        <w:bidi/>
        <w:spacing w:after="0" w:line="240" w:lineRule="auto"/>
        <w:ind w:left="720" w:hanging="703"/>
        <w:jc w:val="both"/>
        <w:rPr>
          <w:rFonts w:ascii="(normal text)" w:hAnsi="(normal text)"/>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5" w:char="F07C"/>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2" w:char="F08B"/>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91"/>
      </w:r>
      <w:r>
        <w:rPr>
          <w:sz w:val="28"/>
          <w:szCs w:val="28"/>
        </w:rPr>
        <w:sym w:font="HQPB1" w:char="F024"/>
      </w:r>
      <w:r>
        <w:rPr>
          <w:sz w:val="28"/>
          <w:szCs w:val="28"/>
        </w:rPr>
        <w:sym w:font="HQPB5" w:char="F074"/>
      </w:r>
      <w:r>
        <w:rPr>
          <w:sz w:val="28"/>
          <w:szCs w:val="28"/>
        </w:rPr>
        <w:sym w:font="HQPB2" w:char="F052"/>
      </w:r>
      <w:r>
        <w:rPr>
          <w:rFonts w:ascii="(normal text)" w:hAnsi="(normal text)"/>
          <w:rtl/>
        </w:rPr>
        <w:t xml:space="preserve"> </w:t>
      </w:r>
      <w:r>
        <w:rPr>
          <w:sz w:val="28"/>
          <w:szCs w:val="28"/>
        </w:rPr>
        <w:t>…</w:t>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8"/>
      </w:r>
      <w:r>
        <w:rPr>
          <w:rFonts w:ascii="(normal text)" w:hAnsi="(normal text)"/>
          <w:rtl/>
        </w:rPr>
        <w:t xml:space="preserve">   </w:t>
      </w:r>
    </w:p>
    <w:p w:rsidR="00343B61" w:rsidRDefault="00343B61" w:rsidP="00343B61">
      <w:pPr>
        <w:pStyle w:val="Default"/>
        <w:ind w:left="1980" w:hanging="810"/>
        <w:jc w:val="both"/>
        <w:rPr>
          <w:rFonts w:asciiTheme="majorBidi" w:hAnsiTheme="majorBidi" w:cstheme="majorBidi"/>
        </w:rPr>
      </w:pPr>
      <w:r w:rsidRPr="00DA39D0">
        <w:rPr>
          <w:rFonts w:asciiTheme="majorBidi" w:hAnsiTheme="majorBidi" w:cstheme="majorBidi"/>
        </w:rPr>
        <w:t>Artinya:</w:t>
      </w:r>
      <w:r w:rsidRPr="00DA39D0">
        <w:rPr>
          <w:rFonts w:asciiTheme="majorBidi" w:hAnsiTheme="majorBidi" w:cstheme="majorBidi"/>
          <w:i/>
          <w:iCs/>
        </w:rPr>
        <w:t xml:space="preserve"> Hai orang-orang yang beriman jagalah dirimu dan keluargamu dari api neraka </w:t>
      </w:r>
      <w:r w:rsidRPr="00DA39D0">
        <w:rPr>
          <w:rStyle w:val="FootnoteReference"/>
          <w:rFonts w:asciiTheme="majorBidi" w:hAnsiTheme="majorBidi" w:cstheme="majorBidi"/>
          <w:i/>
          <w:iCs/>
        </w:rPr>
        <w:footnoteReference w:id="794"/>
      </w:r>
      <w:r w:rsidRPr="00DA39D0">
        <w:rPr>
          <w:rFonts w:asciiTheme="majorBidi" w:hAnsiTheme="majorBidi" w:cstheme="majorBidi"/>
        </w:rPr>
        <w:t xml:space="preserve">(QS. at-Tahrim [66] : 6) </w:t>
      </w:r>
    </w:p>
    <w:p w:rsidR="00343B61" w:rsidRPr="00DA39D0" w:rsidRDefault="00343B61" w:rsidP="00343B61">
      <w:pPr>
        <w:pStyle w:val="Default"/>
        <w:ind w:left="1980" w:hanging="810"/>
        <w:jc w:val="both"/>
        <w:rPr>
          <w:rFonts w:asciiTheme="majorBidi" w:hAnsiTheme="majorBidi" w:cstheme="majorBidi"/>
        </w:rPr>
      </w:pPr>
    </w:p>
    <w:p w:rsidR="00343B61" w:rsidRDefault="00343B61" w:rsidP="00343B61">
      <w:pPr>
        <w:pStyle w:val="Default"/>
        <w:spacing w:line="360" w:lineRule="auto"/>
        <w:ind w:left="720" w:firstLine="540"/>
        <w:jc w:val="both"/>
        <w:rPr>
          <w:rFonts w:asciiTheme="majorBidi" w:hAnsiTheme="majorBidi" w:cstheme="majorBidi"/>
          <w:sz w:val="26"/>
          <w:szCs w:val="26"/>
        </w:rPr>
      </w:pPr>
      <w:r w:rsidRPr="009C7164">
        <w:rPr>
          <w:rFonts w:asciiTheme="majorBidi" w:hAnsiTheme="majorBidi" w:cstheme="majorBidi"/>
          <w:sz w:val="26"/>
          <w:szCs w:val="26"/>
        </w:rPr>
        <w:t xml:space="preserve">Ayat ini menunjukkan bahwa orang tua dalam hal ini ayah berkewajiban menjaga keluarganya yaitu isteri dan anaknya dari api neraka. Kuncinya adalah dengan agama Islam karena Islam merupakan agama yang diridai oleh Allah. </w:t>
      </w:r>
    </w:p>
    <w:p w:rsidR="00343B61" w:rsidRPr="002D440D" w:rsidRDefault="00343B61" w:rsidP="00343B61">
      <w:pPr>
        <w:bidi/>
        <w:spacing w:after="0" w:line="240" w:lineRule="auto"/>
        <w:rPr>
          <w:rFonts w:ascii="Adobe نسخ Medium" w:hAnsi="Adobe نسخ Medium" w:cs="Adobe نسخ Medium"/>
          <w:sz w:val="32"/>
          <w:szCs w:val="32"/>
        </w:rPr>
      </w:pPr>
      <w:r>
        <w:rPr>
          <w:sz w:val="28"/>
          <w:szCs w:val="28"/>
        </w:rPr>
        <w:sym w:font="HQPB5" w:char="F074"/>
      </w:r>
      <w:r>
        <w:rPr>
          <w:sz w:val="28"/>
          <w:szCs w:val="28"/>
        </w:rPr>
        <w:sym w:font="HQPB4" w:char="F033"/>
      </w:r>
      <w:r>
        <w:rPr>
          <w:sz w:val="28"/>
          <w:szCs w:val="28"/>
        </w:rPr>
        <w:sym w:font="HQPB2" w:char="F060"/>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4" w:char="F0F8"/>
      </w:r>
      <w:r>
        <w:rPr>
          <w:sz w:val="28"/>
          <w:szCs w:val="28"/>
        </w:rPr>
        <w:sym w:font="HQPB1" w:char="F067"/>
      </w:r>
      <w:r>
        <w:rPr>
          <w:sz w:val="28"/>
          <w:szCs w:val="28"/>
        </w:rPr>
        <w:sym w:font="HQPB5" w:char="F073"/>
      </w:r>
      <w:r>
        <w:rPr>
          <w:sz w:val="28"/>
          <w:szCs w:val="28"/>
        </w:rPr>
        <w:sym w:font="HQPB2" w:char="F086"/>
      </w:r>
      <w:r>
        <w:rPr>
          <w:rFonts w:ascii="(normal text)" w:hAnsi="(normal text)"/>
          <w:rtl/>
        </w:rPr>
        <w:t xml:space="preserve"> </w:t>
      </w:r>
      <w:r w:rsidRPr="009D028C">
        <w:rPr>
          <w:rFonts w:ascii="Adobe نسخ Medium" w:hAnsi="Adobe نسخ Medium" w:cs="Adobe نسخ Medium"/>
          <w:sz w:val="32"/>
          <w:szCs w:val="32"/>
          <w:rtl/>
        </w:rPr>
        <w:t>اللهُ</w:t>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C"/>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9"/>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7"/>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D"/>
      </w:r>
      <w:r>
        <w:rPr>
          <w:sz w:val="28"/>
          <w:szCs w:val="28"/>
        </w:rPr>
        <w:sym w:font="HQPB2" w:char="F0CA"/>
      </w:r>
      <w:r>
        <w:rPr>
          <w:sz w:val="28"/>
          <w:szCs w:val="28"/>
        </w:rPr>
        <w:sym w:font="HQPB2" w:char="F0C8"/>
      </w:r>
      <w:r>
        <w:rPr>
          <w:rFonts w:ascii="(normal text)" w:hAnsi="(normal text)"/>
          <w:rtl/>
        </w:rPr>
        <w:t xml:space="preserve">   </w:t>
      </w:r>
    </w:p>
    <w:p w:rsidR="00343B61" w:rsidRDefault="00343B61" w:rsidP="00343B61">
      <w:pPr>
        <w:pStyle w:val="Default"/>
        <w:ind w:left="1980" w:hanging="810"/>
        <w:jc w:val="both"/>
        <w:rPr>
          <w:rFonts w:asciiTheme="majorBidi" w:hAnsiTheme="majorBidi" w:cstheme="majorBidi"/>
          <w:rtl/>
        </w:rPr>
      </w:pPr>
      <w:r>
        <w:rPr>
          <w:rFonts w:asciiTheme="majorBidi" w:hAnsiTheme="majorBidi" w:cstheme="majorBidi"/>
        </w:rPr>
        <w:t>Artinya:</w:t>
      </w:r>
      <w:r w:rsidRPr="009C7164">
        <w:rPr>
          <w:rFonts w:asciiTheme="majorBidi" w:hAnsiTheme="majorBidi" w:cstheme="majorBidi"/>
          <w:i/>
          <w:iCs/>
        </w:rPr>
        <w:t>“ … dan Allah sekali-kali tidak akan memberikan jalan kepada orang-orang kafir untuk memusnahkan orang-orang yang beriman”</w:t>
      </w:r>
      <w:r>
        <w:rPr>
          <w:rStyle w:val="FootnoteReference"/>
          <w:rFonts w:asciiTheme="majorBidi" w:hAnsiTheme="majorBidi" w:cstheme="majorBidi"/>
          <w:i/>
          <w:iCs/>
        </w:rPr>
        <w:footnoteReference w:id="795"/>
      </w:r>
      <w:r w:rsidRPr="009C7164">
        <w:rPr>
          <w:rFonts w:asciiTheme="majorBidi" w:hAnsiTheme="majorBidi" w:cstheme="majorBidi"/>
          <w:i/>
          <w:iCs/>
        </w:rPr>
        <w:t xml:space="preserve"> </w:t>
      </w:r>
      <w:r w:rsidRPr="009C7164">
        <w:rPr>
          <w:rFonts w:asciiTheme="majorBidi" w:hAnsiTheme="majorBidi" w:cstheme="majorBidi"/>
        </w:rPr>
        <w:t xml:space="preserve">(Q.S. 4/al-Nisâ’: 141). </w:t>
      </w:r>
    </w:p>
    <w:p w:rsidR="00343B61" w:rsidRPr="009C7164" w:rsidRDefault="00343B61" w:rsidP="00343B61">
      <w:pPr>
        <w:pStyle w:val="Default"/>
        <w:ind w:left="1980" w:hanging="810"/>
        <w:jc w:val="both"/>
        <w:rPr>
          <w:rFonts w:asciiTheme="majorBidi" w:hAnsiTheme="majorBidi" w:cstheme="majorBidi"/>
        </w:rPr>
      </w:pPr>
    </w:p>
    <w:p w:rsidR="00343B61" w:rsidRDefault="00343B61" w:rsidP="00343B61">
      <w:pPr>
        <w:spacing w:after="0" w:line="360" w:lineRule="auto"/>
        <w:ind w:left="720" w:firstLine="630"/>
        <w:jc w:val="both"/>
        <w:rPr>
          <w:rFonts w:asciiTheme="majorBidi" w:hAnsiTheme="majorBidi" w:cstheme="majorBidi"/>
          <w:sz w:val="24"/>
          <w:szCs w:val="24"/>
        </w:rPr>
      </w:pPr>
      <w:r w:rsidRPr="009C7164">
        <w:rPr>
          <w:rFonts w:asciiTheme="majorBidi" w:hAnsiTheme="majorBidi" w:cstheme="majorBidi"/>
          <w:sz w:val="24"/>
          <w:szCs w:val="24"/>
        </w:rPr>
        <w:t>Ayat tersebut menunjukkan bahwa non-muslim tidak berhak melakukan perwaliyan terhadap kaum muslimin. Pengasuhan anak termasuk dalam perwalian sehingga orang tua non-muslim tidak berhak untuk mengasuh anaknya yang muslim.</w:t>
      </w:r>
      <w:r>
        <w:rPr>
          <w:rStyle w:val="FootnoteReference"/>
          <w:rFonts w:asciiTheme="majorBidi" w:hAnsiTheme="majorBidi" w:cstheme="majorBidi"/>
          <w:sz w:val="24"/>
          <w:szCs w:val="24"/>
        </w:rPr>
        <w:footnoteReference w:id="796"/>
      </w:r>
    </w:p>
    <w:p w:rsidR="00343B61" w:rsidRPr="00D3696C" w:rsidRDefault="00343B61" w:rsidP="00343B61">
      <w:pPr>
        <w:spacing w:after="0" w:line="360" w:lineRule="auto"/>
        <w:ind w:left="720"/>
        <w:rPr>
          <w:rFonts w:asciiTheme="majorBidi" w:hAnsiTheme="majorBidi" w:cstheme="majorBidi"/>
          <w:sz w:val="24"/>
          <w:szCs w:val="24"/>
        </w:rPr>
      </w:pPr>
      <w:r>
        <w:rPr>
          <w:rFonts w:asciiTheme="majorBidi" w:hAnsiTheme="majorBidi" w:cstheme="majorBidi"/>
          <w:sz w:val="24"/>
          <w:szCs w:val="24"/>
        </w:rPr>
        <w:t>ii</w:t>
      </w:r>
      <w:r w:rsidRPr="00D3696C">
        <w:rPr>
          <w:rFonts w:asciiTheme="majorBidi" w:hAnsiTheme="majorBidi" w:cstheme="majorBidi"/>
          <w:sz w:val="24"/>
          <w:szCs w:val="24"/>
        </w:rPr>
        <w:t>. Hadis-hadis Nabi saw:</w:t>
      </w:r>
    </w:p>
    <w:p w:rsidR="00343B61" w:rsidRDefault="00343B61" w:rsidP="00343B61">
      <w:pPr>
        <w:spacing w:after="0" w:line="360" w:lineRule="auto"/>
        <w:ind w:left="1260" w:hanging="270"/>
        <w:rPr>
          <w:rFonts w:asciiTheme="majorBidi" w:hAnsiTheme="majorBidi" w:cstheme="majorBidi"/>
          <w:sz w:val="24"/>
          <w:szCs w:val="24"/>
        </w:rPr>
      </w:pPr>
      <w:r w:rsidRPr="00D3696C">
        <w:rPr>
          <w:rFonts w:asciiTheme="majorBidi" w:hAnsiTheme="majorBidi" w:cstheme="majorBidi"/>
          <w:sz w:val="24"/>
          <w:szCs w:val="24"/>
        </w:rPr>
        <w:t>a. Hadis yang diriwayatkan oleh Ahmad, Abu Daud dan Al-Hakim dari Abdulllah bin ‘Amr :</w:t>
      </w:r>
    </w:p>
    <w:p w:rsidR="00343B61" w:rsidRPr="00AC5BBB" w:rsidRDefault="00343B61" w:rsidP="00343B61">
      <w:pPr>
        <w:bidi/>
        <w:spacing w:after="0" w:line="240" w:lineRule="auto"/>
        <w:ind w:left="180" w:right="1260"/>
        <w:jc w:val="both"/>
        <w:rPr>
          <w:rFonts w:asciiTheme="majorBidi" w:hAnsiTheme="majorBidi" w:cstheme="majorBidi"/>
          <w:sz w:val="32"/>
          <w:szCs w:val="32"/>
        </w:rPr>
      </w:pPr>
      <w:r w:rsidRPr="00AC5BBB">
        <w:rPr>
          <w:rFonts w:ascii="Traditional Arabic" w:eastAsiaTheme="minorHAnsi" w:hAnsiTheme="minorHAnsi" w:cs="Traditional Arabic" w:hint="cs"/>
          <w:sz w:val="32"/>
          <w:szCs w:val="32"/>
          <w:rtl/>
        </w:rPr>
        <w:t>أَنَّ</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امْرَأَةً</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قَالَتْ</w:t>
      </w:r>
      <w:r w:rsidRPr="00AC5BBB">
        <w:rPr>
          <w:rFonts w:ascii="Traditional Arabic" w:eastAsiaTheme="minorHAnsi" w:hAnsiTheme="minorHAnsi" w:cs="Traditional Arabic"/>
          <w:sz w:val="32"/>
          <w:szCs w:val="32"/>
          <w:rtl/>
        </w:rPr>
        <w:t xml:space="preserve"> : </w:t>
      </w:r>
      <w:r w:rsidRPr="00AC5BBB">
        <w:rPr>
          <w:rFonts w:ascii="Traditional Arabic" w:eastAsiaTheme="minorHAnsi" w:hAnsiTheme="minorHAnsi" w:cs="Traditional Arabic" w:hint="cs"/>
          <w:sz w:val="32"/>
          <w:szCs w:val="32"/>
          <w:rtl/>
        </w:rPr>
        <w:t>يَا</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رَسُولَ</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اللهِ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ابْنِي</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هَذَا</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كَانَ</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بَطْنِي</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وِعَاءً</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وَثَدْيِي</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سِقَاءً</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وَحِجْرِي</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حِوَاءً</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وَإِنَّ</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أَبَاهُ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طَلَّقَنِي</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وَأَرَادَ</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أَنْ</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يَنْزِعَهُ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عَنِّي</w:t>
      </w:r>
      <w:r w:rsidRPr="00AC5BBB">
        <w:rPr>
          <w:rFonts w:ascii="Traditional Arabic" w:eastAsiaTheme="minorHAnsi" w:hAnsiTheme="minorHAnsi" w:cs="Traditional Arabic"/>
          <w:sz w:val="32"/>
          <w:szCs w:val="32"/>
          <w:rtl/>
        </w:rPr>
        <w:t xml:space="preserve"> . </w:t>
      </w:r>
      <w:r w:rsidRPr="00AC5BBB">
        <w:rPr>
          <w:rFonts w:ascii="Traditional Arabic" w:eastAsiaTheme="minorHAnsi" w:hAnsiTheme="minorHAnsi" w:cs="Traditional Arabic" w:hint="cs"/>
          <w:sz w:val="32"/>
          <w:szCs w:val="32"/>
          <w:rtl/>
        </w:rPr>
        <w:t>قَالَ</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لَهَا</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رَسُولُ</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lastRenderedPageBreak/>
        <w:t>اللهِ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صَلَّى</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اللَّهُ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عَلَيْهِ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وَسَلَّمَ</w:t>
      </w:r>
      <w:r w:rsidRPr="00AC5BBB">
        <w:rPr>
          <w:rFonts w:ascii="Traditional Arabic" w:eastAsiaTheme="minorHAnsi" w:hAnsiTheme="minorHAnsi" w:cs="Traditional Arabic"/>
          <w:sz w:val="32"/>
          <w:szCs w:val="32"/>
          <w:rtl/>
        </w:rPr>
        <w:t xml:space="preserve"> : </w:t>
      </w:r>
      <w:r w:rsidRPr="00AC5BBB">
        <w:rPr>
          <w:rFonts w:ascii="Traditional Arabic" w:eastAsiaTheme="minorHAnsi" w:hAnsiTheme="minorHAnsi" w:cs="Traditional Arabic" w:hint="cs"/>
          <w:sz w:val="32"/>
          <w:szCs w:val="32"/>
          <w:rtl/>
        </w:rPr>
        <w:t>أَنْتِ</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أَحَقُّ</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بِهِ</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مَا</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لَمْ</w:t>
      </w:r>
      <w:r w:rsidRPr="00AC5BBB">
        <w:rPr>
          <w:rFonts w:ascii="Traditional Arabic" w:eastAsiaTheme="minorHAnsi" w:hAnsiTheme="minorHAnsi" w:cs="Traditional Arabic"/>
          <w:sz w:val="32"/>
          <w:szCs w:val="32"/>
          <w:rtl/>
        </w:rPr>
        <w:t xml:space="preserve"> </w:t>
      </w:r>
      <w:r w:rsidRPr="00AC5BBB">
        <w:rPr>
          <w:rFonts w:ascii="Traditional Arabic" w:eastAsiaTheme="minorHAnsi" w:hAnsiTheme="minorHAnsi" w:cs="Traditional Arabic" w:hint="cs"/>
          <w:sz w:val="32"/>
          <w:szCs w:val="32"/>
          <w:rtl/>
        </w:rPr>
        <w:t>تَنْكِحِي</w:t>
      </w:r>
      <w:r>
        <w:rPr>
          <w:rFonts w:ascii="Traditional Arabic" w:eastAsiaTheme="minorHAnsi" w:hAnsiTheme="minorHAnsi" w:cs="Traditional Arabic" w:hint="cs"/>
          <w:sz w:val="32"/>
          <w:szCs w:val="32"/>
          <w:rtl/>
        </w:rPr>
        <w:t xml:space="preserve">  (</w:t>
      </w:r>
      <w:r w:rsidRPr="00482F70">
        <w:rPr>
          <w:rFonts w:ascii="Times New Roman" w:hAnsi="Times New Roman" w:cs="Traditional Arabic"/>
          <w:sz w:val="32"/>
          <w:szCs w:val="32"/>
          <w:rtl/>
        </w:rPr>
        <w:t xml:space="preserve">رواه </w:t>
      </w:r>
      <w:r>
        <w:rPr>
          <w:rFonts w:ascii="Times New Roman" w:hAnsi="Times New Roman" w:cs="Traditional Arabic" w:hint="cs"/>
          <w:sz w:val="32"/>
          <w:szCs w:val="32"/>
          <w:rtl/>
        </w:rPr>
        <w:t xml:space="preserve">أحمد وأبو داود والحاكم) </w:t>
      </w:r>
      <w:r>
        <w:rPr>
          <w:rFonts w:ascii="Traditional Arabic" w:eastAsiaTheme="minorHAnsi" w:hAnsiTheme="minorHAnsi" w:cs="Traditional Arabic" w:hint="cs"/>
          <w:sz w:val="32"/>
          <w:szCs w:val="32"/>
          <w:rtl/>
        </w:rPr>
        <w:t xml:space="preserve"> </w:t>
      </w:r>
      <w:r>
        <w:rPr>
          <w:rStyle w:val="FootnoteReference"/>
          <w:rFonts w:ascii="Traditional Arabic" w:eastAsiaTheme="minorHAnsi" w:hAnsiTheme="minorHAnsi" w:cs="Traditional Arabic"/>
          <w:sz w:val="32"/>
          <w:szCs w:val="32"/>
          <w:rtl/>
        </w:rPr>
        <w:footnoteReference w:id="797"/>
      </w:r>
    </w:p>
    <w:p w:rsidR="00343B61" w:rsidRDefault="00343B61" w:rsidP="00343B61">
      <w:pPr>
        <w:spacing w:after="0" w:line="240" w:lineRule="auto"/>
        <w:ind w:left="1260"/>
        <w:jc w:val="both"/>
        <w:rPr>
          <w:rFonts w:asciiTheme="majorBidi" w:hAnsiTheme="majorBidi" w:cstheme="majorBidi"/>
          <w:sz w:val="24"/>
          <w:szCs w:val="24"/>
          <w:rtl/>
        </w:rPr>
      </w:pPr>
      <w:r>
        <w:rPr>
          <w:rFonts w:asciiTheme="majorBidi" w:hAnsiTheme="majorBidi" w:cstheme="majorBidi"/>
          <w:i/>
          <w:iCs/>
          <w:sz w:val="24"/>
          <w:szCs w:val="24"/>
        </w:rPr>
        <w:t xml:space="preserve">Artinya: </w:t>
      </w:r>
      <w:r w:rsidRPr="00D3696C">
        <w:rPr>
          <w:rFonts w:asciiTheme="majorBidi" w:hAnsiTheme="majorBidi" w:cstheme="majorBidi"/>
          <w:i/>
          <w:iCs/>
          <w:sz w:val="24"/>
          <w:szCs w:val="24"/>
        </w:rPr>
        <w:t xml:space="preserve">Bahwa seorang wanita </w:t>
      </w:r>
      <w:r>
        <w:rPr>
          <w:rFonts w:asciiTheme="majorBidi" w:hAnsiTheme="majorBidi" w:cstheme="majorBidi"/>
          <w:i/>
          <w:iCs/>
          <w:sz w:val="24"/>
          <w:szCs w:val="24"/>
        </w:rPr>
        <w:t>berkata,</w:t>
      </w:r>
      <w:r w:rsidRPr="00D3696C">
        <w:rPr>
          <w:rFonts w:asciiTheme="majorBidi" w:hAnsiTheme="majorBidi" w:cstheme="majorBidi"/>
          <w:i/>
          <w:iCs/>
          <w:sz w:val="24"/>
          <w:szCs w:val="24"/>
        </w:rPr>
        <w:t>“Wahai Rasululah, sesungguhnya anak saya ini, perut sayalah yang telah mengandungnya, dan tetek sayalah ya</w:t>
      </w:r>
      <w:r>
        <w:rPr>
          <w:rFonts w:asciiTheme="majorBidi" w:hAnsiTheme="majorBidi" w:cstheme="majorBidi"/>
          <w:i/>
          <w:iCs/>
          <w:sz w:val="24"/>
          <w:szCs w:val="24"/>
        </w:rPr>
        <w:t xml:space="preserve">ng telah menjadi minumannya dan </w:t>
      </w:r>
      <w:r w:rsidRPr="00D3696C">
        <w:rPr>
          <w:rFonts w:asciiTheme="majorBidi" w:hAnsiTheme="majorBidi" w:cstheme="majorBidi"/>
          <w:i/>
          <w:iCs/>
          <w:sz w:val="24"/>
          <w:szCs w:val="24"/>
        </w:rPr>
        <w:t>haribaanku</w:t>
      </w:r>
      <w:r>
        <w:rPr>
          <w:rFonts w:asciiTheme="majorBidi" w:hAnsiTheme="majorBidi" w:cstheme="majorBidi"/>
          <w:i/>
          <w:iCs/>
          <w:sz w:val="24"/>
          <w:szCs w:val="24"/>
        </w:rPr>
        <w:t xml:space="preserve">lah yang melindunginya. Ayahnya telah </w:t>
      </w:r>
      <w:r w:rsidRPr="00D3696C">
        <w:rPr>
          <w:rFonts w:asciiTheme="majorBidi" w:hAnsiTheme="majorBidi" w:cstheme="majorBidi"/>
          <w:i/>
          <w:iCs/>
          <w:sz w:val="24"/>
          <w:szCs w:val="24"/>
        </w:rPr>
        <w:t>menceraikanku dan bermak</w:t>
      </w:r>
      <w:r>
        <w:rPr>
          <w:rFonts w:asciiTheme="majorBidi" w:hAnsiTheme="majorBidi" w:cstheme="majorBidi"/>
          <w:i/>
          <w:iCs/>
          <w:sz w:val="24"/>
          <w:szCs w:val="24"/>
        </w:rPr>
        <w:t xml:space="preserve">sud memisahkannya dari sisiku”Maka </w:t>
      </w:r>
      <w:r w:rsidRPr="00D3696C">
        <w:rPr>
          <w:rFonts w:asciiTheme="majorBidi" w:hAnsiTheme="majorBidi" w:cstheme="majorBidi"/>
          <w:i/>
          <w:iCs/>
          <w:sz w:val="24"/>
          <w:szCs w:val="24"/>
        </w:rPr>
        <w:t>Rasullulah bersabda,”engkaulah yang lebih berhak terhadap anak itu, selagi belum menikah dengan orang lain”.</w:t>
      </w:r>
      <w:r>
        <w:rPr>
          <w:rFonts w:asciiTheme="majorBidi" w:hAnsiTheme="majorBidi" w:cstheme="majorBidi"/>
          <w:sz w:val="24"/>
          <w:szCs w:val="24"/>
        </w:rPr>
        <w:t xml:space="preserve"> ( HR. </w:t>
      </w:r>
      <w:r w:rsidRPr="00D3696C">
        <w:rPr>
          <w:rFonts w:asciiTheme="majorBidi" w:hAnsiTheme="majorBidi" w:cstheme="majorBidi"/>
          <w:sz w:val="24"/>
          <w:szCs w:val="24"/>
        </w:rPr>
        <w:t>Ahmad, Abu Daud dan Al-Hakim</w:t>
      </w:r>
      <w:r>
        <w:rPr>
          <w:rFonts w:asciiTheme="majorBidi" w:hAnsiTheme="majorBidi" w:cstheme="majorBidi"/>
          <w:sz w:val="24"/>
          <w:szCs w:val="24"/>
        </w:rPr>
        <w:t>)</w:t>
      </w:r>
    </w:p>
    <w:p w:rsidR="00343B61" w:rsidRPr="00D61061" w:rsidRDefault="00343B61" w:rsidP="00343B61">
      <w:pPr>
        <w:spacing w:after="0" w:line="240" w:lineRule="auto"/>
        <w:ind w:left="2160" w:hanging="900"/>
        <w:jc w:val="both"/>
        <w:rPr>
          <w:rFonts w:asciiTheme="majorBidi" w:hAnsiTheme="majorBidi" w:cstheme="majorBidi"/>
          <w:sz w:val="24"/>
          <w:szCs w:val="24"/>
        </w:rPr>
      </w:pPr>
    </w:p>
    <w:p w:rsidR="00343B61" w:rsidRDefault="00343B61" w:rsidP="00343B61">
      <w:pPr>
        <w:spacing w:after="0" w:line="360" w:lineRule="auto"/>
        <w:ind w:left="720" w:firstLine="630"/>
        <w:jc w:val="both"/>
        <w:rPr>
          <w:rFonts w:asciiTheme="majorBidi" w:hAnsiTheme="majorBidi" w:cstheme="majorBidi"/>
          <w:sz w:val="24"/>
          <w:szCs w:val="24"/>
        </w:rPr>
      </w:pPr>
      <w:r w:rsidRPr="00D3696C">
        <w:rPr>
          <w:rFonts w:asciiTheme="majorBidi" w:hAnsiTheme="majorBidi" w:cstheme="majorBidi"/>
          <w:sz w:val="24"/>
          <w:szCs w:val="24"/>
        </w:rPr>
        <w:t>Hadis ini menunjukkan bahwa ibu lebih berhak untuk mengasuh anak dari pada ayahnya selama ia belum menikah lagi karena ibu lebih mengerti dengan kebutuhan anak dalam masa tersebut dan lebih bisa memperlihatkan kasih sayangnya. Demikian pula anak pada masa itu sangat membutuhkan untuk hidup di dekat ibunya. Dengan demikian, prinsipnya adalah untuk kemaslahatan anak.</w:t>
      </w:r>
    </w:p>
    <w:p w:rsidR="00343B61" w:rsidRDefault="00343B61" w:rsidP="00343B61">
      <w:pPr>
        <w:spacing w:before="100" w:beforeAutospacing="1" w:after="100" w:afterAutospacing="1" w:line="360" w:lineRule="auto"/>
        <w:ind w:left="720" w:firstLine="270"/>
        <w:jc w:val="both"/>
        <w:rPr>
          <w:rFonts w:asciiTheme="majorBidi" w:hAnsiTheme="majorBidi" w:cstheme="majorBidi"/>
          <w:sz w:val="24"/>
          <w:szCs w:val="24"/>
        </w:rPr>
      </w:pPr>
      <w:r>
        <w:rPr>
          <w:rFonts w:asciiTheme="majorBidi" w:hAnsiTheme="majorBidi" w:cstheme="majorBidi"/>
          <w:sz w:val="24"/>
          <w:szCs w:val="24"/>
        </w:rPr>
        <w:t xml:space="preserve">b. Hadis yang diriwayatkan oleh </w:t>
      </w:r>
      <w:r w:rsidRPr="009570D2">
        <w:rPr>
          <w:rFonts w:asciiTheme="majorBidi" w:hAnsiTheme="majorBidi" w:cstheme="majorBidi"/>
          <w:sz w:val="24"/>
          <w:szCs w:val="24"/>
        </w:rPr>
        <w:t>Ashabus Sunan</w:t>
      </w:r>
      <w:r>
        <w:rPr>
          <w:rFonts w:asciiTheme="majorBidi" w:hAnsiTheme="majorBidi" w:cstheme="majorBidi"/>
          <w:sz w:val="24"/>
          <w:szCs w:val="24"/>
        </w:rPr>
        <w:t xml:space="preserve"> dari Abu Hurairah ra :</w:t>
      </w:r>
    </w:p>
    <w:p w:rsidR="00343B61" w:rsidRPr="00162F3D" w:rsidRDefault="00343B61" w:rsidP="00343B61">
      <w:pPr>
        <w:bidi/>
        <w:spacing w:after="0" w:line="240" w:lineRule="auto"/>
        <w:ind w:left="90" w:right="1260"/>
        <w:jc w:val="both"/>
        <w:rPr>
          <w:rFonts w:asciiTheme="majorBidi" w:hAnsiTheme="majorBidi" w:cstheme="majorBidi"/>
          <w:sz w:val="32"/>
          <w:szCs w:val="32"/>
        </w:rPr>
      </w:pPr>
      <w:r>
        <w:rPr>
          <w:rFonts w:ascii="Traditional Arabic" w:eastAsiaTheme="minorHAnsi" w:hAnsiTheme="minorHAnsi" w:cs="Traditional Arabic" w:hint="cs"/>
          <w:sz w:val="32"/>
          <w:szCs w:val="32"/>
          <w:rtl/>
        </w:rPr>
        <w:t>عن</w:t>
      </w:r>
      <w:r w:rsidRPr="00162F3D">
        <w:rPr>
          <w:rFonts w:ascii="Traditional Arabic" w:eastAsiaTheme="minorHAnsi" w:hAnsiTheme="minorHAnsi" w:cs="Traditional Arabic"/>
          <w:sz w:val="32"/>
          <w:szCs w:val="32"/>
          <w:rtl/>
        </w:rPr>
        <w:t xml:space="preserve"> </w:t>
      </w:r>
      <w:r>
        <w:rPr>
          <w:rFonts w:ascii="Traditional Arabic" w:eastAsiaTheme="minorHAnsi" w:hAnsiTheme="minorHAnsi" w:cs="Traditional Arabic" w:hint="cs"/>
          <w:sz w:val="32"/>
          <w:szCs w:val="32"/>
          <w:rtl/>
        </w:rPr>
        <w:t>أَبُي</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هُرَيْرَةَ</w:t>
      </w:r>
      <w:r w:rsidRPr="00162F3D">
        <w:rPr>
          <w:rFonts w:ascii="Traditional Arabic" w:eastAsiaTheme="minorHAnsi" w:hAnsiTheme="minorHAnsi" w:cs="Traditional Arabic"/>
          <w:sz w:val="32"/>
          <w:szCs w:val="32"/>
          <w:rtl/>
        </w:rPr>
        <w:t xml:space="preserve"> </w:t>
      </w:r>
      <w:r>
        <w:rPr>
          <w:rFonts w:ascii="Traditional Arabic" w:eastAsiaTheme="minorHAnsi" w:hAnsiTheme="minorHAnsi" w:cs="Traditional Arabic" w:hint="cs"/>
          <w:sz w:val="32"/>
          <w:szCs w:val="32"/>
          <w:rtl/>
        </w:rPr>
        <w:t xml:space="preserve"> كنت مع النبي </w:t>
      </w:r>
      <w:r w:rsidRPr="00162F3D">
        <w:rPr>
          <w:rFonts w:ascii="Traditional Arabic" w:eastAsiaTheme="minorHAnsi" w:hAnsiTheme="minorHAnsi" w:cs="Traditional Arabic"/>
          <w:sz w:val="32"/>
          <w:szCs w:val="32"/>
          <w:rtl/>
        </w:rPr>
        <w:t>-</w:t>
      </w:r>
      <w:r w:rsidRPr="00162F3D">
        <w:rPr>
          <w:rFonts w:ascii="Traditional Arabic" w:eastAsiaTheme="minorHAnsi" w:hAnsiTheme="minorHAnsi" w:cs="Traditional Arabic" w:hint="cs"/>
          <w:sz w:val="32"/>
          <w:szCs w:val="32"/>
          <w:rtl/>
        </w:rPr>
        <w:t>صلى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الله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عليه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وسلم</w:t>
      </w:r>
      <w:r w:rsidRPr="00162F3D">
        <w:rPr>
          <w:rFonts w:ascii="Traditional Arabic" w:eastAsiaTheme="minorHAnsi" w:hAnsiTheme="minorHAnsi" w:cs="Traditional Arabic"/>
          <w:sz w:val="32"/>
          <w:szCs w:val="32"/>
          <w:rtl/>
        </w:rPr>
        <w:t xml:space="preserve"> </w:t>
      </w:r>
      <w:r>
        <w:rPr>
          <w:rFonts w:ascii="Traditional Arabic" w:eastAsiaTheme="minorHAnsi" w:hAnsiTheme="minorHAnsi" w:cs="Traditional Arabic" w:hint="cs"/>
          <w:sz w:val="32"/>
          <w:szCs w:val="32"/>
          <w:rtl/>
        </w:rPr>
        <w:t>ف</w:t>
      </w:r>
      <w:r w:rsidRPr="00162F3D">
        <w:rPr>
          <w:rFonts w:ascii="Traditional Arabic" w:eastAsiaTheme="minorHAnsi" w:hAnsiTheme="minorHAnsi" w:cs="Traditional Arabic" w:hint="cs"/>
          <w:sz w:val="32"/>
          <w:szCs w:val="32"/>
          <w:rtl/>
        </w:rPr>
        <w:t>جَاءَتْ</w:t>
      </w:r>
      <w:r w:rsidRPr="00162F3D">
        <w:rPr>
          <w:rFonts w:ascii="Traditional Arabic" w:eastAsiaTheme="minorHAnsi" w:hAnsiTheme="minorHAnsi" w:cs="Traditional Arabic"/>
          <w:sz w:val="32"/>
          <w:szCs w:val="32"/>
          <w:rtl/>
        </w:rPr>
        <w:t xml:space="preserve"> </w:t>
      </w:r>
      <w:r>
        <w:rPr>
          <w:rFonts w:ascii="Traditional Arabic" w:eastAsiaTheme="minorHAnsi" w:hAnsiTheme="minorHAnsi" w:cs="Traditional Arabic" w:hint="cs"/>
          <w:sz w:val="32"/>
          <w:szCs w:val="32"/>
          <w:rtl/>
        </w:rPr>
        <w:t xml:space="preserve">امْرَأَةٌ </w:t>
      </w:r>
      <w:r w:rsidRPr="00162F3D">
        <w:rPr>
          <w:rFonts w:ascii="Traditional Arabic" w:eastAsiaTheme="minorHAnsi" w:hAnsiTheme="minorHAnsi" w:cs="Traditional Arabic" w:hint="cs"/>
          <w:sz w:val="32"/>
          <w:szCs w:val="32"/>
          <w:rtl/>
        </w:rPr>
        <w:t>َقَالَتْ</w:t>
      </w:r>
      <w:r>
        <w:rPr>
          <w:rFonts w:ascii="Traditional Arabic" w:eastAsiaTheme="minorHAnsi" w:hAnsiTheme="minorHAnsi" w:cs="Traditional Arabic" w:hint="cs"/>
          <w:sz w:val="32"/>
          <w:szCs w:val="32"/>
          <w:rtl/>
        </w:rPr>
        <w:t xml:space="preserve"> :</w:t>
      </w:r>
      <w:r w:rsidRPr="00162F3D">
        <w:rPr>
          <w:rFonts w:ascii="Traditional Arabic" w:eastAsiaTheme="minorHAnsi" w:hAnsiTheme="minorHAnsi" w:cs="Traditional Arabic" w:hint="cs"/>
          <w:sz w:val="32"/>
          <w:szCs w:val="32"/>
          <w:rtl/>
        </w:rPr>
        <w:t xml:space="preserve"> يَا</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رَسُولَ</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اللَّهِ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إِنَّ</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زَوْجِى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يُرِيدُ</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أَنْ</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يَذْهَبَ</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بِابْنِى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وَقَدْ</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سَقَانِى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مِنْ</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بِئْرِ</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أَبِى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عِنَبَةَ</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وَقَدْ</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نَفَعَنِى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فَقَالَ</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النَّبِىُّ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صلى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الله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عليه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وسلم</w:t>
      </w:r>
      <w:r w:rsidRPr="00162F3D">
        <w:rPr>
          <w:rFonts w:ascii="Traditional Arabic" w:eastAsiaTheme="minorHAnsi" w:hAnsiTheme="minorHAnsi" w:cs="Traditional Arabic"/>
          <w:sz w:val="32"/>
          <w:szCs w:val="32"/>
          <w:rtl/>
        </w:rPr>
        <w:t>- :</w:t>
      </w:r>
      <w:r w:rsidRPr="00162F3D">
        <w:rPr>
          <w:rFonts w:ascii="Traditional Arabic" w:eastAsiaTheme="minorHAnsi" w:hAnsiTheme="minorHAnsi" w:cs="Traditional Arabic" w:hint="eastAsia"/>
          <w:sz w:val="32"/>
          <w:szCs w:val="32"/>
          <w:rtl/>
        </w:rPr>
        <w:t>«</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اسْتَهِمَا</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عَلَيْهِ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eastAsia"/>
          <w:sz w:val="32"/>
          <w:szCs w:val="32"/>
          <w:rtl/>
        </w:rPr>
        <w:t>»</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فَقَالَ</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زَوْجُهَا</w:t>
      </w:r>
      <w:r w:rsidRPr="00162F3D">
        <w:rPr>
          <w:rFonts w:ascii="Traditional Arabic" w:eastAsiaTheme="minorHAnsi" w:hAnsiTheme="minorHAnsi" w:cs="Traditional Arabic"/>
          <w:sz w:val="32"/>
          <w:szCs w:val="32"/>
          <w:rtl/>
        </w:rPr>
        <w:t xml:space="preserve"> : </w:t>
      </w:r>
      <w:r w:rsidRPr="00162F3D">
        <w:rPr>
          <w:rFonts w:ascii="Traditional Arabic" w:eastAsiaTheme="minorHAnsi" w:hAnsiTheme="minorHAnsi" w:cs="Traditional Arabic" w:hint="cs"/>
          <w:sz w:val="32"/>
          <w:szCs w:val="32"/>
          <w:rtl/>
        </w:rPr>
        <w:t>مَنْ</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يُحَاقُّنِى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وَلَدِى؟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فَقَالَ</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النَّبِىُّ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صلى</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الله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عليه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وسلم</w:t>
      </w:r>
      <w:r w:rsidRPr="00162F3D">
        <w:rPr>
          <w:rFonts w:ascii="Traditional Arabic" w:eastAsiaTheme="minorHAnsi" w:hAnsiTheme="minorHAnsi" w:cs="Traditional Arabic"/>
          <w:sz w:val="32"/>
          <w:szCs w:val="32"/>
          <w:rtl/>
        </w:rPr>
        <w:t>- :</w:t>
      </w:r>
      <w:r w:rsidRPr="00162F3D">
        <w:rPr>
          <w:rFonts w:ascii="Traditional Arabic" w:eastAsiaTheme="minorHAnsi" w:hAnsiTheme="minorHAnsi" w:cs="Traditional Arabic" w:hint="eastAsia"/>
          <w:sz w:val="32"/>
          <w:szCs w:val="32"/>
          <w:rtl/>
        </w:rPr>
        <w:t>«</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هَذَا</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أَبُوكَ</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وَهَذِهِ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أُمُّكَ</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فَخُذْ</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بِيَدِ</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أَيِّهِمَا</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شِئْتَ</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eastAsia"/>
          <w:sz w:val="32"/>
          <w:szCs w:val="32"/>
          <w:rtl/>
        </w:rPr>
        <w:t>»</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فَأَخَذَ</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بِيَدِ</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أُمِّهِ</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فَانْطَلَقَتْ</w:t>
      </w:r>
      <w:r w:rsidRPr="00162F3D">
        <w:rPr>
          <w:rFonts w:ascii="Traditional Arabic" w:eastAsiaTheme="minorHAnsi" w:hAnsiTheme="minorHAnsi" w:cs="Traditional Arabic"/>
          <w:sz w:val="32"/>
          <w:szCs w:val="32"/>
          <w:rtl/>
        </w:rPr>
        <w:t xml:space="preserve"> </w:t>
      </w:r>
      <w:r w:rsidRPr="00162F3D">
        <w:rPr>
          <w:rFonts w:ascii="Traditional Arabic" w:eastAsiaTheme="minorHAnsi" w:hAnsiTheme="minorHAnsi" w:cs="Traditional Arabic" w:hint="cs"/>
          <w:sz w:val="32"/>
          <w:szCs w:val="32"/>
          <w:rtl/>
        </w:rPr>
        <w:t>بِهِ</w:t>
      </w:r>
      <w:r w:rsidRPr="00162F3D">
        <w:rPr>
          <w:rFonts w:ascii="Traditional Arabic" w:eastAsiaTheme="minorHAnsi" w:hAnsiTheme="minorHAnsi" w:cs="Traditional Arabic"/>
          <w:sz w:val="32"/>
          <w:szCs w:val="32"/>
          <w:rtl/>
        </w:rPr>
        <w:t>.</w:t>
      </w:r>
      <w:r w:rsidRPr="006E72EE">
        <w:rPr>
          <w:rFonts w:ascii="Times New Roman" w:hAnsi="Times New Roman" w:cs="Traditional Arabic"/>
          <w:sz w:val="32"/>
          <w:szCs w:val="32"/>
          <w:rtl/>
        </w:rPr>
        <w:t xml:space="preserve"> </w:t>
      </w:r>
      <w:r>
        <w:rPr>
          <w:rFonts w:ascii="Times New Roman" w:hAnsi="Times New Roman" w:cs="Traditional Arabic" w:hint="cs"/>
          <w:sz w:val="32"/>
          <w:szCs w:val="32"/>
          <w:rtl/>
        </w:rPr>
        <w:t xml:space="preserve">( </w:t>
      </w:r>
      <w:r w:rsidRPr="00482F70">
        <w:rPr>
          <w:rFonts w:ascii="Times New Roman" w:hAnsi="Times New Roman" w:cs="Traditional Arabic"/>
          <w:sz w:val="32"/>
          <w:szCs w:val="32"/>
          <w:rtl/>
        </w:rPr>
        <w:t xml:space="preserve">رواه </w:t>
      </w:r>
      <w:r>
        <w:rPr>
          <w:rFonts w:ascii="Times New Roman" w:hAnsi="Times New Roman" w:cs="Traditional Arabic" w:hint="cs"/>
          <w:sz w:val="32"/>
          <w:szCs w:val="32"/>
          <w:rtl/>
        </w:rPr>
        <w:t xml:space="preserve">أصحاب السنن ) </w:t>
      </w:r>
      <w:r>
        <w:rPr>
          <w:rStyle w:val="FootnoteReference"/>
          <w:rFonts w:ascii="Traditional Arabic" w:eastAsiaTheme="minorHAnsi" w:hAnsiTheme="minorHAnsi" w:cs="Traditional Arabic"/>
          <w:sz w:val="32"/>
          <w:szCs w:val="32"/>
          <w:rtl/>
        </w:rPr>
        <w:t xml:space="preserve"> </w:t>
      </w:r>
      <w:r>
        <w:rPr>
          <w:rStyle w:val="FootnoteReference"/>
          <w:rFonts w:ascii="Traditional Arabic" w:eastAsiaTheme="minorHAnsi" w:hAnsiTheme="minorHAnsi" w:cs="Traditional Arabic"/>
          <w:sz w:val="32"/>
          <w:szCs w:val="32"/>
          <w:rtl/>
        </w:rPr>
        <w:footnoteReference w:id="798"/>
      </w:r>
    </w:p>
    <w:p w:rsidR="00343B61" w:rsidRPr="009570D2" w:rsidRDefault="00343B61" w:rsidP="00343B61">
      <w:pPr>
        <w:pStyle w:val="Default"/>
        <w:ind w:left="1170"/>
        <w:jc w:val="both"/>
        <w:rPr>
          <w:rFonts w:asciiTheme="majorBidi" w:hAnsiTheme="majorBidi" w:cstheme="majorBidi"/>
        </w:rPr>
      </w:pPr>
      <w:r w:rsidRPr="009570D2">
        <w:rPr>
          <w:rFonts w:asciiTheme="majorBidi" w:hAnsiTheme="majorBidi" w:cstheme="majorBidi"/>
        </w:rPr>
        <w:lastRenderedPageBreak/>
        <w:t>Artinya:</w:t>
      </w:r>
      <w:r>
        <w:rPr>
          <w:rFonts w:asciiTheme="majorBidi" w:hAnsiTheme="majorBidi" w:cstheme="majorBidi"/>
          <w:i/>
          <w:iCs/>
        </w:rPr>
        <w:t xml:space="preserve"> </w:t>
      </w:r>
      <w:r w:rsidRPr="009570D2">
        <w:rPr>
          <w:rFonts w:asciiTheme="majorBidi" w:hAnsiTheme="majorBidi" w:cstheme="majorBidi"/>
          <w:i/>
          <w:iCs/>
        </w:rPr>
        <w:t>Dari Abu Hurairoh r.a berkata, “aku pernah bersama-sama Nabi SAW lalu datang seorang wanita dan berkata,”Wahai Rasullulah! Sesungguhnya suamiku hendak pergi membawa anakku dan sesungguhnya dia telah mengambilkan air untukku dari sumur Abu Inabah dan sungguh dia telah memberi manfaat kepadaku”. Lalu datanglah suaminya dan berkata,”siapa yang berani menghalangi aku dengan anakku ini?” Nabi bersabda (kepada anak tersebut) ,”ini bapakmu dan ini ibumu, maka ambillah tangan di antara keduanya yang engkau kehendaki”. Lalu diambillah tangan ibunya, maka berjalanlah perempuan itu dengan membawa anaknya” (HR. Ashabus Sunan)</w:t>
      </w:r>
      <w:r w:rsidRPr="009570D2">
        <w:rPr>
          <w:rFonts w:asciiTheme="majorBidi" w:hAnsiTheme="majorBidi" w:cstheme="majorBidi"/>
          <w:b/>
          <w:bCs/>
        </w:rPr>
        <w:t xml:space="preserve">. </w:t>
      </w:r>
    </w:p>
    <w:p w:rsidR="00343B61" w:rsidRDefault="00343B61" w:rsidP="00343B61">
      <w:pPr>
        <w:spacing w:before="100" w:beforeAutospacing="1" w:after="100" w:afterAutospacing="1" w:line="360" w:lineRule="auto"/>
        <w:ind w:left="720" w:firstLine="630"/>
        <w:jc w:val="both"/>
        <w:rPr>
          <w:rFonts w:asciiTheme="majorBidi" w:hAnsiTheme="majorBidi" w:cstheme="majorBidi"/>
          <w:sz w:val="24"/>
          <w:szCs w:val="24"/>
        </w:rPr>
      </w:pPr>
      <w:r w:rsidRPr="009570D2">
        <w:rPr>
          <w:rFonts w:asciiTheme="majorBidi" w:hAnsiTheme="majorBidi" w:cstheme="majorBidi"/>
          <w:sz w:val="24"/>
          <w:szCs w:val="24"/>
        </w:rPr>
        <w:t>Hadis ini menunjukkan bahwa hak pengasuhan anak yang sudah mumayyiz diserahkan pada pilihan anak karena anak tersebut sudah bisa menentukan pilihan yang terbaik untuk dirinya apakah ikut ibunya atau ayahnya.</w:t>
      </w:r>
    </w:p>
    <w:p w:rsidR="00343B61" w:rsidRDefault="00343B61" w:rsidP="00343B61">
      <w:pPr>
        <w:spacing w:before="100" w:beforeAutospacing="1" w:after="100" w:afterAutospacing="1" w:line="360" w:lineRule="auto"/>
        <w:ind w:left="720" w:firstLine="270"/>
        <w:jc w:val="both"/>
        <w:rPr>
          <w:rFonts w:asciiTheme="majorBidi" w:hAnsiTheme="majorBidi" w:cstheme="majorBidi"/>
          <w:sz w:val="24"/>
          <w:szCs w:val="24"/>
        </w:rPr>
      </w:pPr>
      <w:r>
        <w:rPr>
          <w:rFonts w:asciiTheme="majorBidi" w:hAnsiTheme="majorBidi" w:cstheme="majorBidi"/>
          <w:sz w:val="24"/>
          <w:szCs w:val="24"/>
        </w:rPr>
        <w:t>c. Hadis yang diriwayatkan oleh Imam Bukhari  :</w:t>
      </w:r>
    </w:p>
    <w:p w:rsidR="00343B61" w:rsidRPr="001968DD" w:rsidRDefault="00343B61" w:rsidP="00343B61">
      <w:pPr>
        <w:bidi/>
        <w:spacing w:before="100" w:beforeAutospacing="1" w:after="0" w:line="240" w:lineRule="auto"/>
        <w:ind w:left="90" w:right="1260"/>
        <w:jc w:val="both"/>
        <w:rPr>
          <w:rFonts w:asciiTheme="majorBidi" w:hAnsiTheme="majorBidi" w:cs="Traditional Arabic"/>
          <w:sz w:val="32"/>
          <w:szCs w:val="32"/>
        </w:rPr>
      </w:pPr>
      <w:r w:rsidRPr="001968DD">
        <w:rPr>
          <w:rFonts w:ascii="Traditional Arabic" w:eastAsiaTheme="minorHAnsi" w:hAnsiTheme="minorHAnsi" w:cs="Traditional Arabic" w:hint="cs"/>
          <w:sz w:val="32"/>
          <w:szCs w:val="32"/>
          <w:rtl/>
        </w:rPr>
        <w:t>عَنْ</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أَبِي</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هُرَيْرَةَ</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رَضِيَ</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اللَّهُ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عَنْهُ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قَالَ</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قَالَ</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النَّبِيُّ</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صَلَّى</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اللَّهُ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عَلَيْهِ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وَسَلَّمَ</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كُلُّ</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مَوْلُودٍ</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يُولَدُ</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عَلَى</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الْفِطْرَةِ</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فَأَبَوَاهُ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يُهَوِّدَانِهِ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أَوْ</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يُنَصِّرَانِهِ</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أَوْ</w:t>
      </w:r>
      <w:r w:rsidRPr="001968DD">
        <w:rPr>
          <w:rFonts w:ascii="Traditional Arabic" w:eastAsiaTheme="minorHAnsi" w:hAnsiTheme="minorHAnsi" w:cs="Traditional Arabic"/>
          <w:sz w:val="32"/>
          <w:szCs w:val="32"/>
          <w:rtl/>
        </w:rPr>
        <w:t xml:space="preserve"> </w:t>
      </w:r>
      <w:r w:rsidRPr="001968DD">
        <w:rPr>
          <w:rFonts w:ascii="Traditional Arabic" w:eastAsiaTheme="minorHAnsi" w:hAnsiTheme="minorHAnsi" w:cs="Traditional Arabic" w:hint="cs"/>
          <w:sz w:val="32"/>
          <w:szCs w:val="32"/>
          <w:rtl/>
        </w:rPr>
        <w:t>يُمَجِّسَانِهِ</w:t>
      </w:r>
      <w:r>
        <w:rPr>
          <w:rFonts w:ascii="Traditional Arabic" w:eastAsiaTheme="minorHAnsi" w:hAnsiTheme="minorHAnsi" w:cs="Traditional Arabic" w:hint="cs"/>
          <w:sz w:val="32"/>
          <w:szCs w:val="32"/>
          <w:rtl/>
        </w:rPr>
        <w:t xml:space="preserve">  ( </w:t>
      </w:r>
      <w:r w:rsidRPr="00482F70">
        <w:rPr>
          <w:rFonts w:ascii="Times New Roman" w:hAnsi="Times New Roman" w:cs="Traditional Arabic"/>
          <w:sz w:val="32"/>
          <w:szCs w:val="32"/>
          <w:rtl/>
        </w:rPr>
        <w:t>رواه البخارى ومسلم</w:t>
      </w:r>
      <w:r>
        <w:rPr>
          <w:rFonts w:ascii="Times New Roman" w:hAnsi="Times New Roman" w:cs="Traditional Arabic" w:hint="cs"/>
          <w:sz w:val="32"/>
          <w:szCs w:val="32"/>
          <w:rtl/>
        </w:rPr>
        <w:t>)</w:t>
      </w:r>
      <w:r>
        <w:rPr>
          <w:rStyle w:val="FootnoteReference"/>
          <w:rFonts w:ascii="Times New Roman" w:hAnsi="Times New Roman" w:cs="Traditional Arabic"/>
          <w:sz w:val="32"/>
          <w:szCs w:val="32"/>
          <w:rtl/>
        </w:rPr>
        <w:footnoteReference w:id="799"/>
      </w:r>
    </w:p>
    <w:p w:rsidR="00343B61" w:rsidRPr="009570D2" w:rsidRDefault="00343B61" w:rsidP="00343B61">
      <w:pPr>
        <w:pStyle w:val="Default"/>
        <w:ind w:left="1350"/>
        <w:jc w:val="both"/>
        <w:rPr>
          <w:rFonts w:asciiTheme="majorBidi" w:hAnsiTheme="majorBidi" w:cstheme="majorBidi"/>
        </w:rPr>
      </w:pPr>
      <w:r>
        <w:rPr>
          <w:rFonts w:asciiTheme="majorBidi" w:hAnsiTheme="majorBidi" w:cstheme="majorBidi"/>
          <w:i/>
          <w:iCs/>
        </w:rPr>
        <w:t xml:space="preserve">Artinya: </w:t>
      </w:r>
      <w:r w:rsidRPr="009570D2">
        <w:rPr>
          <w:rFonts w:asciiTheme="majorBidi" w:hAnsiTheme="majorBidi" w:cstheme="majorBidi"/>
          <w:i/>
          <w:iCs/>
        </w:rPr>
        <w:t xml:space="preserve">Rasulullah s.a.w bersabda: Setiap anak dilahirkan dalam keadaan fitrah. Kedua orang tuanyalah yang membuatnya menjadi Yahudi, Nasrani atau Majusi. (HR. Bukhari) </w:t>
      </w:r>
    </w:p>
    <w:p w:rsidR="00343B61" w:rsidRDefault="00343B61" w:rsidP="00343B61">
      <w:pPr>
        <w:spacing w:before="100" w:beforeAutospacing="1" w:after="0" w:line="360" w:lineRule="auto"/>
        <w:ind w:left="720" w:firstLine="630"/>
        <w:jc w:val="both"/>
        <w:rPr>
          <w:rFonts w:asciiTheme="majorBidi" w:hAnsiTheme="majorBidi" w:cstheme="majorBidi"/>
          <w:sz w:val="24"/>
          <w:szCs w:val="24"/>
        </w:rPr>
      </w:pPr>
      <w:r w:rsidRPr="009570D2">
        <w:rPr>
          <w:rFonts w:asciiTheme="majorBidi" w:hAnsiTheme="majorBidi" w:cstheme="majorBidi"/>
          <w:sz w:val="24"/>
          <w:szCs w:val="24"/>
        </w:rPr>
        <w:t>Hadis ini menunjukkan bahwa orang tua yang mengasuh anak sangat mempengaruhi agama yang akan dipeluk anaknya. Oleh karena itu, hendaknya pihak yang akan mengasuh anak harus beragama Islam sehingga anaknya menjadi generasi muslim.</w:t>
      </w:r>
    </w:p>
    <w:p w:rsidR="00343B61" w:rsidRDefault="00343B61" w:rsidP="00343B61">
      <w:pPr>
        <w:spacing w:before="100" w:beforeAutospacing="1" w:after="100" w:afterAutospacing="1" w:line="360" w:lineRule="auto"/>
        <w:ind w:left="720" w:firstLine="270"/>
        <w:jc w:val="both"/>
        <w:rPr>
          <w:rFonts w:asciiTheme="majorBidi" w:hAnsiTheme="majorBidi" w:cstheme="majorBidi"/>
          <w:sz w:val="24"/>
          <w:szCs w:val="24"/>
        </w:rPr>
      </w:pPr>
      <w:r>
        <w:rPr>
          <w:rFonts w:asciiTheme="majorBidi" w:hAnsiTheme="majorBidi" w:cstheme="majorBidi"/>
          <w:sz w:val="24"/>
          <w:szCs w:val="24"/>
        </w:rPr>
        <w:t>d. Hadis yang diriwayatkan oleh Abu Daud dari Rafi’ bin Sinan ra :</w:t>
      </w:r>
    </w:p>
    <w:p w:rsidR="00343B61" w:rsidRPr="000219BA" w:rsidRDefault="00343B61" w:rsidP="00343B61">
      <w:pPr>
        <w:bidi/>
        <w:spacing w:after="100" w:afterAutospacing="1" w:line="240" w:lineRule="auto"/>
        <w:ind w:right="1260"/>
        <w:jc w:val="both"/>
        <w:rPr>
          <w:rFonts w:asciiTheme="majorBidi" w:hAnsiTheme="majorBidi" w:cstheme="majorBidi"/>
          <w:sz w:val="32"/>
          <w:szCs w:val="32"/>
        </w:rPr>
      </w:pPr>
      <w:r w:rsidRPr="00D14183">
        <w:rPr>
          <w:rFonts w:ascii="Traditional Arabic" w:eastAsiaTheme="minorHAnsi" w:hAnsiTheme="minorHAnsi" w:cs="Traditional Arabic" w:hint="cs"/>
          <w:sz w:val="32"/>
          <w:szCs w:val="32"/>
          <w:rtl/>
        </w:rPr>
        <w:lastRenderedPageBreak/>
        <w:t>عن جدي رَافِعُ</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بْنُ</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سِنَانٍ</w:t>
      </w:r>
      <w:r w:rsidRPr="00D14183">
        <w:rPr>
          <w:rFonts w:ascii="Traditional Arabic" w:eastAsiaTheme="minorHAnsi" w:hAnsiTheme="minorHAnsi" w:cs="Traditional Arabic"/>
          <w:sz w:val="32"/>
          <w:szCs w:val="32"/>
          <w:rtl/>
        </w:rPr>
        <w:t xml:space="preserve"> : </w:t>
      </w:r>
      <w:r w:rsidRPr="00D14183">
        <w:rPr>
          <w:rFonts w:ascii="Traditional Arabic" w:eastAsiaTheme="minorHAnsi" w:hAnsiTheme="minorHAnsi" w:cs="Traditional Arabic" w:hint="cs"/>
          <w:sz w:val="32"/>
          <w:szCs w:val="32"/>
          <w:rtl/>
        </w:rPr>
        <w:t>أَنَّهُ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أَسْلَمَ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وَأَبَتِ</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امْرَأَتُهُ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أَنْ</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تُسْلِمَ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فَأَتَتِ</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النَّبِىَّ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صلى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الله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عليه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وسلم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فَقَالَتِ</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ابْنَتِى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وَهِىَ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فَطِيمٌ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رَافِعٌ</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ابْنَتِى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النَّبِىُّ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صلى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الله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عليه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وسلم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لِرَافِعٍ</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اقْعُدْ</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نَاحِيَةً</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لاِمْرَأَتِهِ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اقْعُدِى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نَاحِيَةً</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وَأَقْعَدَ</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الصَّبِيَّةَ</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بَيْنَهُمَا</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ثُمَّ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ادْعُوَاهَا</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فَمَالَتِ</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الصَّبِيَّةُ</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إِلَى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أُمِّهَا</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فَقَالَ</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النَّبِىُّ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صلى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الله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عليه</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وسلم</w:t>
      </w:r>
      <w:r w:rsidRPr="00D14183">
        <w:rPr>
          <w:rFonts w:ascii="Traditional Arabic" w:eastAsiaTheme="minorHAnsi" w:hAnsiTheme="minorHAnsi" w:cs="Traditional Arabic"/>
          <w:sz w:val="32"/>
          <w:szCs w:val="32"/>
          <w:rtl/>
        </w:rPr>
        <w:t>-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اللَّهُمَّ</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اهْدِهَا</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eastAsia"/>
          <w:sz w:val="32"/>
          <w:szCs w:val="32"/>
          <w:rtl/>
        </w:rPr>
        <w:t>»</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فَمَالَتْ</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إِلَى</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أَبِيهَا</w:t>
      </w:r>
      <w:r w:rsidRPr="00D14183">
        <w:rPr>
          <w:rFonts w:ascii="Traditional Arabic" w:eastAsiaTheme="minorHAnsi" w:hAnsiTheme="minorHAnsi" w:cs="Traditional Arabic"/>
          <w:sz w:val="32"/>
          <w:szCs w:val="32"/>
          <w:rtl/>
        </w:rPr>
        <w:t xml:space="preserve"> </w:t>
      </w:r>
      <w:r w:rsidRPr="00D14183">
        <w:rPr>
          <w:rFonts w:ascii="Traditional Arabic" w:eastAsiaTheme="minorHAnsi" w:hAnsiTheme="minorHAnsi" w:cs="Traditional Arabic" w:hint="cs"/>
          <w:sz w:val="32"/>
          <w:szCs w:val="32"/>
          <w:rtl/>
        </w:rPr>
        <w:t>فَأَخَذَهَا</w:t>
      </w:r>
      <w:r w:rsidRPr="00D14183">
        <w:rPr>
          <w:rFonts w:ascii="Traditional Arabic" w:eastAsiaTheme="minorHAnsi" w:hAnsiTheme="minorHAnsi" w:cs="Traditional Arabic"/>
          <w:sz w:val="32"/>
          <w:szCs w:val="32"/>
          <w:rtl/>
        </w:rPr>
        <w:t>.</w:t>
      </w:r>
      <w:r w:rsidRPr="00951BCB">
        <w:rPr>
          <w:rFonts w:ascii="Times New Roman" w:hAnsi="Times New Roman" w:cs="Traditional Arabic"/>
          <w:sz w:val="32"/>
          <w:szCs w:val="32"/>
          <w:rtl/>
        </w:rPr>
        <w:t xml:space="preserve"> </w:t>
      </w:r>
      <w:r>
        <w:rPr>
          <w:rFonts w:ascii="Times New Roman" w:hAnsi="Times New Roman" w:cs="Traditional Arabic" w:hint="cs"/>
          <w:sz w:val="32"/>
          <w:szCs w:val="32"/>
          <w:rtl/>
        </w:rPr>
        <w:t>(</w:t>
      </w:r>
      <w:r w:rsidRPr="00482F70">
        <w:rPr>
          <w:rFonts w:ascii="Times New Roman" w:hAnsi="Times New Roman" w:cs="Traditional Arabic"/>
          <w:sz w:val="32"/>
          <w:szCs w:val="32"/>
          <w:rtl/>
        </w:rPr>
        <w:t>رواه ا</w:t>
      </w:r>
      <w:r>
        <w:rPr>
          <w:rFonts w:ascii="Times New Roman" w:hAnsi="Times New Roman" w:cs="Traditional Arabic" w:hint="cs"/>
          <w:sz w:val="32"/>
          <w:szCs w:val="32"/>
          <w:rtl/>
        </w:rPr>
        <w:t>بو داود)</w:t>
      </w:r>
      <w:r w:rsidRPr="00951BCB">
        <w:rPr>
          <w:rStyle w:val="FootnoteReference"/>
          <w:rFonts w:ascii="Traditional Arabic" w:eastAsiaTheme="minorHAnsi" w:hAnsiTheme="minorHAnsi" w:cs="Traditional Arabic"/>
          <w:b/>
          <w:bCs/>
          <w:rtl/>
        </w:rPr>
        <w:footnoteReference w:id="800"/>
      </w:r>
      <w:r>
        <w:rPr>
          <w:rFonts w:ascii="Times New Roman" w:hAnsi="Times New Roman" w:cs="Traditional Arabic" w:hint="cs"/>
          <w:sz w:val="32"/>
          <w:szCs w:val="32"/>
          <w:rtl/>
        </w:rPr>
        <w:t xml:space="preserve"> (</w:t>
      </w:r>
      <w:r w:rsidRPr="00482F70">
        <w:rPr>
          <w:rFonts w:ascii="Times New Roman" w:hAnsi="Times New Roman" w:cs="Traditional Arabic"/>
          <w:sz w:val="32"/>
          <w:szCs w:val="32"/>
          <w:rtl/>
        </w:rPr>
        <w:t>رواه ا</w:t>
      </w:r>
      <w:r>
        <w:rPr>
          <w:rFonts w:ascii="Times New Roman" w:hAnsi="Times New Roman" w:cs="Traditional Arabic" w:hint="cs"/>
          <w:sz w:val="32"/>
          <w:szCs w:val="32"/>
          <w:rtl/>
        </w:rPr>
        <w:t>بو داود)</w:t>
      </w:r>
    </w:p>
    <w:p w:rsidR="00343B61" w:rsidRPr="009570D2" w:rsidRDefault="00343B61" w:rsidP="00343B61">
      <w:pPr>
        <w:spacing w:before="240" w:line="240" w:lineRule="auto"/>
        <w:ind w:left="1260"/>
        <w:jc w:val="both"/>
        <w:rPr>
          <w:rFonts w:asciiTheme="majorBidi" w:hAnsiTheme="majorBidi" w:cstheme="majorBidi"/>
          <w:i/>
          <w:iCs/>
          <w:sz w:val="24"/>
          <w:szCs w:val="24"/>
        </w:rPr>
      </w:pPr>
      <w:r w:rsidRPr="009570D2">
        <w:rPr>
          <w:rFonts w:asciiTheme="majorBidi" w:hAnsiTheme="majorBidi" w:cstheme="majorBidi"/>
          <w:sz w:val="24"/>
          <w:szCs w:val="24"/>
        </w:rPr>
        <w:t>Artinya</w:t>
      </w:r>
      <w:r w:rsidRPr="009570D2">
        <w:rPr>
          <w:rFonts w:asciiTheme="majorBidi" w:hAnsiTheme="majorBidi" w:cstheme="majorBidi"/>
          <w:i/>
          <w:iCs/>
          <w:sz w:val="24"/>
          <w:szCs w:val="24"/>
        </w:rPr>
        <w:t>: Dari kakekku yaitu Rafi' bin Sinan, bahwa ia telah masuk Islam sedangkan isterinya menolak untuk masuk Islam. Kemudian wanita tersebut datang kepada Nabi shallallahu 'alaihi wasallam dan berkata; anak wanitaku ia masih menyusu -atau yang serupa dengannya. Rafi' berkata; ia adalah anak wanitaku. Beliau berkata kepada wanita tersebut; duduklah di pojok. Dan mendudukkan anak kecil tersebut diantara mereka berdua, kemudian beliau berkata; panggillah ia. Kemudian anak tersebut menuju kepada ibunya. Lalu Nabi shallallahu 'alaihi wasallam berdoa: "Ya Allah, berilah dia petunjuk!" kemudian anak tersebut menuju kepada ayahnya. kemudian Rafi' bin Sinan membawa anak tersebut. (HR. Abu Dawud)</w:t>
      </w:r>
    </w:p>
    <w:p w:rsidR="00343B61" w:rsidRDefault="00343B61" w:rsidP="00343B61">
      <w:pPr>
        <w:spacing w:before="240" w:line="360" w:lineRule="auto"/>
        <w:ind w:left="720" w:firstLine="630"/>
        <w:jc w:val="both"/>
        <w:rPr>
          <w:rFonts w:asciiTheme="majorBidi" w:hAnsiTheme="majorBidi" w:cstheme="majorBidi"/>
          <w:sz w:val="24"/>
          <w:szCs w:val="24"/>
          <w:rtl/>
        </w:rPr>
      </w:pPr>
      <w:r w:rsidRPr="009570D2">
        <w:rPr>
          <w:rFonts w:asciiTheme="majorBidi" w:hAnsiTheme="majorBidi" w:cstheme="majorBidi"/>
          <w:sz w:val="24"/>
          <w:szCs w:val="24"/>
        </w:rPr>
        <w:t>Hadis ini menunjukkan bahwa Rasulullah menghendaki pengasuhan anak dilakukan oleh orang tua yang muslim.</w:t>
      </w:r>
      <w:r>
        <w:rPr>
          <w:rFonts w:asciiTheme="majorBidi" w:hAnsiTheme="majorBidi" w:cstheme="majorBidi"/>
          <w:sz w:val="24"/>
          <w:szCs w:val="24"/>
        </w:rPr>
        <w:t xml:space="preserve"> </w:t>
      </w:r>
    </w:p>
    <w:p w:rsidR="00343B61" w:rsidRDefault="00343B61" w:rsidP="00343B61">
      <w:pPr>
        <w:spacing w:after="100" w:afterAutospacing="1" w:line="360" w:lineRule="auto"/>
        <w:ind w:left="720" w:firstLine="630"/>
        <w:jc w:val="both"/>
        <w:rPr>
          <w:rFonts w:asciiTheme="majorBidi" w:hAnsiTheme="majorBidi" w:cstheme="majorBidi"/>
          <w:sz w:val="24"/>
          <w:szCs w:val="24"/>
        </w:rPr>
      </w:pPr>
      <w:r w:rsidRPr="00D2192A">
        <w:rPr>
          <w:rFonts w:asciiTheme="majorBidi" w:hAnsiTheme="majorBidi" w:cstheme="majorBidi"/>
          <w:sz w:val="24"/>
          <w:szCs w:val="24"/>
        </w:rPr>
        <w:t xml:space="preserve">Fatwa ini dibubuhi tanda tangan oleh Pimpinan Rapat Komisi B 1  </w:t>
      </w:r>
      <w:r w:rsidRPr="00B17B6D">
        <w:rPr>
          <w:rFonts w:asciiTheme="majorBidi" w:hAnsiTheme="majorBidi" w:cstheme="majorBidi"/>
          <w:i/>
          <w:iCs/>
          <w:sz w:val="24"/>
          <w:szCs w:val="24"/>
        </w:rPr>
        <w:t>Mas</w:t>
      </w:r>
      <w:r w:rsidRPr="00C86419">
        <w:rPr>
          <w:rFonts w:asciiTheme="majorBidi" w:hAnsiTheme="majorBidi" w:cstheme="majorBidi"/>
          <w:i/>
          <w:iCs/>
          <w:sz w:val="24"/>
          <w:szCs w:val="24"/>
        </w:rPr>
        <w:t>ā</w:t>
      </w:r>
      <w:r w:rsidRPr="00B17B6D">
        <w:rPr>
          <w:rFonts w:asciiTheme="majorBidi" w:hAnsiTheme="majorBidi" w:cstheme="majorBidi"/>
          <w:i/>
          <w:iCs/>
          <w:sz w:val="24"/>
          <w:szCs w:val="24"/>
        </w:rPr>
        <w:t>il Fiqhiyyah Mu'</w:t>
      </w:r>
      <w:r w:rsidRPr="00C86419">
        <w:rPr>
          <w:rFonts w:asciiTheme="majorBidi" w:hAnsiTheme="majorBidi" w:cstheme="majorBidi"/>
          <w:i/>
          <w:iCs/>
          <w:sz w:val="24"/>
          <w:szCs w:val="24"/>
        </w:rPr>
        <w:t>ā</w:t>
      </w:r>
      <w:r w:rsidRPr="00B17B6D">
        <w:rPr>
          <w:rFonts w:asciiTheme="majorBidi" w:hAnsiTheme="majorBidi" w:cstheme="majorBidi"/>
          <w:i/>
          <w:iCs/>
          <w:sz w:val="24"/>
          <w:szCs w:val="24"/>
        </w:rPr>
        <w:t>shirah</w:t>
      </w:r>
      <w:r w:rsidRPr="00D2192A">
        <w:rPr>
          <w:rFonts w:asciiTheme="majorBidi" w:hAnsiTheme="majorBidi" w:cstheme="majorBidi"/>
          <w:sz w:val="24"/>
          <w:szCs w:val="24"/>
        </w:rPr>
        <w:t xml:space="preserve"> (Masalah Fikih Kontemporer) Ijtima’ Ulama komisi fatwa Se Indonesia V Tahun 2015 Prof. Dr. Hj.Khuzaemah T. Yanggo sebagai ketua, dan H. M. Faiz Ali Syukron, Lc, MA sebagai sekretis.</w:t>
      </w: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spacing w:after="100" w:afterAutospacing="1" w:line="360" w:lineRule="auto"/>
        <w:ind w:left="720" w:firstLine="630"/>
        <w:jc w:val="both"/>
        <w:rPr>
          <w:rFonts w:asciiTheme="majorBidi" w:hAnsiTheme="majorBidi" w:cstheme="majorBidi"/>
          <w:sz w:val="24"/>
          <w:szCs w:val="24"/>
        </w:rPr>
      </w:pPr>
    </w:p>
    <w:p w:rsidR="00343B61" w:rsidRPr="002826DA" w:rsidRDefault="00343B61" w:rsidP="00343B61">
      <w:pPr>
        <w:spacing w:line="360" w:lineRule="auto"/>
        <w:jc w:val="center"/>
        <w:rPr>
          <w:rFonts w:ascii="Times New Roman" w:hAnsi="Times New Roman" w:cs="Times New Roman"/>
        </w:rPr>
      </w:pPr>
      <w:r w:rsidRPr="002826DA">
        <w:rPr>
          <w:rFonts w:ascii="Times New Roman" w:hAnsi="Times New Roman" w:cs="Times New Roman"/>
        </w:rPr>
        <w:t>BAB V</w:t>
      </w:r>
    </w:p>
    <w:p w:rsidR="00343B61" w:rsidRPr="008B6B48" w:rsidRDefault="00343B61" w:rsidP="00343B61">
      <w:pPr>
        <w:spacing w:line="360" w:lineRule="auto"/>
        <w:jc w:val="center"/>
        <w:rPr>
          <w:rFonts w:ascii="Times New Roman" w:hAnsi="Times New Roman" w:cs="Times New Roman"/>
          <w:lang w:val="sv-SE"/>
        </w:rPr>
      </w:pPr>
      <w:r w:rsidRPr="002826DA">
        <w:rPr>
          <w:rFonts w:ascii="Times New Roman" w:hAnsi="Times New Roman" w:cs="Times New Roman"/>
        </w:rPr>
        <w:t>RELEVANSI FATWA MAJELIS ULAMA INDONESIA</w:t>
      </w:r>
      <w:r>
        <w:rPr>
          <w:rFonts w:ascii="Times New Roman" w:hAnsi="Times New Roman" w:cs="Times New Roman"/>
        </w:rPr>
        <w:t xml:space="preserve"> (MUI)  DALAM PEMBA</w:t>
      </w:r>
      <w:r w:rsidRPr="002826DA">
        <w:rPr>
          <w:rFonts w:ascii="Times New Roman" w:hAnsi="Times New Roman" w:cs="Times New Roman"/>
        </w:rPr>
        <w:t xml:space="preserve">RUAN  HUKUM KELUARGA </w:t>
      </w:r>
      <w:r w:rsidRPr="002826DA">
        <w:rPr>
          <w:rFonts w:ascii="Times New Roman" w:hAnsi="Times New Roman" w:cs="Times New Roman"/>
          <w:lang w:val="sv-SE"/>
        </w:rPr>
        <w:t>DI INDONESIA.</w:t>
      </w:r>
    </w:p>
    <w:p w:rsidR="00343B61" w:rsidRPr="008B6B48" w:rsidRDefault="00343B61" w:rsidP="002C0A33">
      <w:pPr>
        <w:pStyle w:val="ListParagraph"/>
        <w:numPr>
          <w:ilvl w:val="0"/>
          <w:numId w:val="65"/>
        </w:numPr>
        <w:tabs>
          <w:tab w:val="left" w:pos="360"/>
        </w:tabs>
        <w:spacing w:after="0" w:line="360" w:lineRule="auto"/>
        <w:ind w:left="360"/>
        <w:jc w:val="both"/>
        <w:rPr>
          <w:rFonts w:asciiTheme="majorBidi" w:hAnsiTheme="majorBidi" w:cstheme="majorBidi"/>
          <w:lang w:val="sv-SE"/>
        </w:rPr>
      </w:pPr>
      <w:r w:rsidRPr="008B6B48">
        <w:rPr>
          <w:rFonts w:asciiTheme="majorBidi" w:hAnsiTheme="majorBidi" w:cstheme="majorBidi"/>
          <w:lang w:val="sv-SE"/>
        </w:rPr>
        <w:t xml:space="preserve">Peran Fatwa </w:t>
      </w:r>
      <w:r>
        <w:rPr>
          <w:rFonts w:asciiTheme="majorBidi" w:hAnsiTheme="majorBidi" w:cstheme="majorBidi"/>
          <w:lang w:val="sv-SE"/>
        </w:rPr>
        <w:t xml:space="preserve">Majelis Ulama Indonesia (MUI) Dalam </w:t>
      </w:r>
      <w:r>
        <w:rPr>
          <w:rFonts w:ascii="Times New Roman" w:hAnsi="Times New Roman" w:cs="Times New Roman"/>
          <w:lang w:val="sv-SE"/>
        </w:rPr>
        <w:t xml:space="preserve">Membangun </w:t>
      </w:r>
      <w:r w:rsidRPr="00DD7F11">
        <w:rPr>
          <w:rFonts w:ascii="Times New Roman" w:hAnsi="Times New Roman" w:cs="Times New Roman"/>
          <w:lang w:val="sv-SE"/>
        </w:rPr>
        <w:t xml:space="preserve">Hukum </w:t>
      </w:r>
      <w:r>
        <w:rPr>
          <w:rFonts w:ascii="Times New Roman" w:hAnsi="Times New Roman" w:cs="Times New Roman"/>
          <w:lang w:val="sv-SE"/>
        </w:rPr>
        <w:t xml:space="preserve">Keluarga </w:t>
      </w:r>
      <w:r w:rsidRPr="00DD7F11">
        <w:rPr>
          <w:rFonts w:ascii="Times New Roman" w:hAnsi="Times New Roman" w:cs="Times New Roman"/>
          <w:lang w:val="sv-SE"/>
        </w:rPr>
        <w:t>Islam Indonesia</w:t>
      </w:r>
      <w:r>
        <w:rPr>
          <w:rFonts w:ascii="Times New Roman" w:hAnsi="Times New Roman" w:cs="Times New Roman"/>
          <w:lang w:val="sv-SE"/>
        </w:rPr>
        <w:t>.</w:t>
      </w:r>
      <w:r w:rsidRPr="008B6B48">
        <w:rPr>
          <w:rFonts w:asciiTheme="majorBidi" w:hAnsiTheme="majorBidi" w:cstheme="majorBidi"/>
          <w:lang w:val="sv-SE"/>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lang w:val="sv-SE"/>
        </w:rPr>
        <w:t xml:space="preserve">Fatwa Majelis Ulama Indonesia (MUI), sebagaimana halnya fiqh merupakan hasil ijtihad dari mujtahid, telah memberikan kontribusi besar dalam pembentukan norma-norma hukum (agama) serta menjadi bintang pemandu dalam mengarahkan kehidupan </w:t>
      </w:r>
      <w:r w:rsidRPr="008B6B48">
        <w:rPr>
          <w:rFonts w:asciiTheme="majorBidi" w:hAnsiTheme="majorBidi" w:cstheme="majorBidi"/>
          <w:lang w:val="sv-SE"/>
        </w:rPr>
        <w:lastRenderedPageBreak/>
        <w:t xml:space="preserve">muslim berbasis syari’ah. </w:t>
      </w:r>
      <w:r w:rsidRPr="008B6B48">
        <w:rPr>
          <w:rFonts w:asciiTheme="majorBidi" w:hAnsiTheme="majorBidi" w:cstheme="majorBidi"/>
        </w:rPr>
        <w:t>Peran ulama di tanah air tidak bisa dipungkiri, sudah berlangsung lama yaitu sejak Islam masuk ke Nusantara sampai sekarang.</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Fatwa sebagai pendapat hukum mengenai masalah tertentu dalam rangka penerapan syari’ah tidak memiliki daya paksa secara hukum (</w:t>
      </w:r>
      <w:r w:rsidRPr="008B6B48">
        <w:rPr>
          <w:rFonts w:asciiTheme="majorBidi" w:hAnsiTheme="majorBidi" w:cstheme="majorBidi"/>
          <w:i/>
          <w:iCs/>
        </w:rPr>
        <w:t>law enforcement</w:t>
      </w:r>
      <w:r w:rsidRPr="008B6B48">
        <w:rPr>
          <w:rFonts w:asciiTheme="majorBidi" w:hAnsiTheme="majorBidi" w:cstheme="majorBidi"/>
        </w:rPr>
        <w:t>), melainkan terletak pada sanksi moral dan emosi keagamaan serta atau adanya perasaan bersalah (</w:t>
      </w:r>
      <w:r w:rsidRPr="00743108">
        <w:rPr>
          <w:rFonts w:asciiTheme="majorBidi" w:hAnsiTheme="majorBidi" w:cstheme="majorBidi"/>
          <w:i/>
          <w:iCs/>
        </w:rPr>
        <w:t>guilty feeling</w:t>
      </w:r>
      <w:r w:rsidRPr="008B6B48">
        <w:rPr>
          <w:rFonts w:asciiTheme="majorBidi" w:hAnsiTheme="majorBidi" w:cstheme="majorBidi"/>
        </w:rPr>
        <w:t>). Selain itu, pelanggaran secara sengaja dan terang-terangan terhadap fatwa sangat mungkin berhadapan dengan kekuatan pendapat umum (</w:t>
      </w:r>
      <w:r w:rsidRPr="008B6B48">
        <w:rPr>
          <w:rFonts w:asciiTheme="majorBidi" w:hAnsiTheme="majorBidi" w:cstheme="majorBidi"/>
          <w:i/>
          <w:iCs/>
        </w:rPr>
        <w:t>the force of public opinión</w:t>
      </w:r>
      <w:r w:rsidRPr="008B6B48">
        <w:rPr>
          <w:rFonts w:asciiTheme="majorBidi" w:hAnsiTheme="majorBidi" w:cstheme="majorBidi"/>
        </w:rPr>
        <w:t>), dan hal ini sebenarnya salah satu faktor yang mendorong penaatan terhadap suatu fatwa.</w:t>
      </w:r>
      <w:r w:rsidRPr="008B6B48">
        <w:rPr>
          <w:rStyle w:val="FootnoteReference"/>
          <w:rFonts w:asciiTheme="majorBidi" w:hAnsiTheme="majorBidi" w:cstheme="majorBidi"/>
        </w:rPr>
        <w:footnoteReference w:id="801"/>
      </w:r>
    </w:p>
    <w:p w:rsidR="00343B61" w:rsidRPr="008B6B48" w:rsidRDefault="00343B61" w:rsidP="00343B61">
      <w:pPr>
        <w:pStyle w:val="ListParagraph"/>
        <w:spacing w:after="0" w:line="360" w:lineRule="auto"/>
        <w:ind w:left="0" w:firstLine="720"/>
        <w:jc w:val="both"/>
        <w:rPr>
          <w:rFonts w:asciiTheme="majorBidi" w:hAnsiTheme="majorBidi" w:cstheme="majorBidi"/>
          <w:lang w:val="sv-SE"/>
        </w:rPr>
      </w:pPr>
      <w:r w:rsidRPr="008B6B48">
        <w:rPr>
          <w:rFonts w:asciiTheme="majorBidi" w:hAnsiTheme="majorBidi" w:cstheme="majorBidi"/>
          <w:lang w:val="sv-SE"/>
        </w:rPr>
        <w:t>MUI melalui fatwanya telah berusaha melakukan pembaruan hukum Islam. Pembaruan hukum Islam adalah suatau upaya dan perbuatan melalui</w:t>
      </w:r>
      <w:r>
        <w:rPr>
          <w:rFonts w:asciiTheme="majorBidi" w:hAnsiTheme="majorBidi" w:cstheme="majorBidi"/>
          <w:lang w:val="sv-SE"/>
        </w:rPr>
        <w:t xml:space="preserve"> proses tertentu (</w:t>
      </w:r>
      <w:r w:rsidRPr="008B6B48">
        <w:rPr>
          <w:rFonts w:asciiTheme="majorBidi" w:hAnsiTheme="majorBidi" w:cstheme="majorBidi"/>
          <w:lang w:val="sv-SE"/>
        </w:rPr>
        <w:t xml:space="preserve">dengan penuh kesungguhan) yang dilakukan oleh mereka yang mempunyai kompetensi dan otoritas dalam pengembangan hukum Islam </w:t>
      </w:r>
      <w:r>
        <w:rPr>
          <w:rFonts w:asciiTheme="majorBidi" w:hAnsiTheme="majorBidi" w:cstheme="majorBidi"/>
          <w:lang w:val="sv-SE"/>
        </w:rPr>
        <w:t xml:space="preserve">              </w:t>
      </w:r>
      <w:r w:rsidRPr="008B6B48">
        <w:rPr>
          <w:rFonts w:asciiTheme="majorBidi" w:hAnsiTheme="majorBidi" w:cstheme="majorBidi"/>
          <w:lang w:val="sv-SE"/>
        </w:rPr>
        <w:t>(</w:t>
      </w:r>
      <w:r w:rsidRPr="00742E8B">
        <w:rPr>
          <w:rFonts w:asciiTheme="majorBidi" w:hAnsiTheme="majorBidi" w:cstheme="majorBidi"/>
          <w:i/>
          <w:iCs/>
          <w:lang w:val="sv-SE"/>
        </w:rPr>
        <w:t>mujtahid</w:t>
      </w:r>
      <w:r w:rsidRPr="008B6B48">
        <w:rPr>
          <w:rFonts w:asciiTheme="majorBidi" w:hAnsiTheme="majorBidi" w:cstheme="majorBidi"/>
          <w:lang w:val="sv-SE"/>
        </w:rPr>
        <w:t xml:space="preserve">) dengan cara-cara tertentu (berdasarkan kaidah-kaidah instinbat atau ijtihad yang dibenarkan) untuk menjadikan hukum Islam dapat tampil lebih segar dan tanpak modern ( tidak ketinggalan zaman) atau menjadikan hukum Islam senantiasa </w:t>
      </w:r>
      <w:r w:rsidRPr="00743108">
        <w:rPr>
          <w:rFonts w:asciiTheme="majorBidi" w:hAnsiTheme="majorBidi" w:cstheme="majorBidi"/>
          <w:i/>
          <w:iCs/>
          <w:lang w:val="sv-SE"/>
        </w:rPr>
        <w:t>Ṣ</w:t>
      </w:r>
      <w:r w:rsidRPr="008B6B48">
        <w:rPr>
          <w:rFonts w:asciiTheme="majorBidi" w:hAnsiTheme="majorBidi" w:cstheme="majorBidi"/>
          <w:i/>
          <w:iCs/>
          <w:lang w:val="sv-SE"/>
        </w:rPr>
        <w:t>ālih likulli zamān wa makān</w:t>
      </w:r>
      <w:r w:rsidRPr="008B6B48">
        <w:rPr>
          <w:rFonts w:asciiTheme="majorBidi" w:hAnsiTheme="majorBidi" w:cstheme="majorBidi"/>
          <w:lang w:val="sv-SE"/>
        </w:rPr>
        <w:t>.</w:t>
      </w:r>
      <w:r w:rsidRPr="008B6B48">
        <w:rPr>
          <w:rStyle w:val="FootnoteReference"/>
          <w:rFonts w:asciiTheme="majorBidi" w:hAnsiTheme="majorBidi" w:cstheme="majorBidi"/>
        </w:rPr>
        <w:footnoteReference w:id="802"/>
      </w:r>
    </w:p>
    <w:p w:rsidR="00343B61" w:rsidRPr="001C636D" w:rsidRDefault="00343B61" w:rsidP="00343B61">
      <w:pPr>
        <w:autoSpaceDE w:val="0"/>
        <w:autoSpaceDN w:val="0"/>
        <w:adjustRightInd w:val="0"/>
        <w:spacing w:after="0" w:line="360" w:lineRule="auto"/>
        <w:ind w:firstLine="720"/>
        <w:jc w:val="both"/>
        <w:rPr>
          <w:rFonts w:asciiTheme="majorBidi" w:hAnsiTheme="majorBidi" w:cstheme="majorBidi"/>
          <w:lang w:val="sv-SE"/>
        </w:rPr>
      </w:pPr>
      <w:r w:rsidRPr="007623E5">
        <w:rPr>
          <w:rFonts w:asciiTheme="majorBidi" w:hAnsiTheme="majorBidi" w:cstheme="majorBidi"/>
          <w:lang w:val="sv-SE"/>
        </w:rPr>
        <w:t xml:space="preserve">Hasbi As-Shiddiqi menjelaskan bahwa pembaruan adalah hal yang harus dikerjakan terus menerus agar tidak ketinggalan zaman, namun bukan dengan meninggalkan </w:t>
      </w:r>
      <w:r w:rsidRPr="007623E5">
        <w:rPr>
          <w:rFonts w:asciiTheme="majorBidi" w:hAnsiTheme="majorBidi" w:cstheme="majorBidi"/>
          <w:i/>
          <w:iCs/>
          <w:lang w:val="sv-SE"/>
        </w:rPr>
        <w:t>nash</w:t>
      </w:r>
      <w:r w:rsidRPr="007623E5">
        <w:rPr>
          <w:rFonts w:asciiTheme="majorBidi" w:hAnsiTheme="majorBidi" w:cstheme="majorBidi"/>
          <w:lang w:val="sv-SE"/>
        </w:rPr>
        <w:t xml:space="preserve">, tapi memperbarui barang lama yang telah usang dengan mengembalikannya seperti keadaan semula. </w:t>
      </w:r>
      <w:r w:rsidRPr="001C636D">
        <w:rPr>
          <w:rFonts w:asciiTheme="majorBidi" w:hAnsiTheme="majorBidi" w:cstheme="majorBidi"/>
          <w:lang w:val="sv-SE"/>
        </w:rPr>
        <w:t>Hukum Islam yang telah berlalu beberapa masa, maka tentu ada sebagian yang telah dilekati kiambang dan lumut, maka tugas pembaharu hukum adalah menghilangkan kiambang dan lumut yang telah menutupi kemurniannya, bukan untuk merombak atau menghancurkannya</w:t>
      </w:r>
      <w:r w:rsidRPr="008B6B48">
        <w:rPr>
          <w:rStyle w:val="FootnoteReference"/>
          <w:rFonts w:asciiTheme="majorBidi" w:hAnsiTheme="majorBidi" w:cstheme="majorBidi"/>
        </w:rPr>
        <w:footnoteReference w:id="803"/>
      </w:r>
    </w:p>
    <w:p w:rsidR="00343B61" w:rsidRPr="00743108" w:rsidRDefault="00343B61" w:rsidP="00343B61">
      <w:pPr>
        <w:spacing w:after="0" w:line="360" w:lineRule="auto"/>
        <w:ind w:firstLine="630"/>
        <w:jc w:val="both"/>
        <w:rPr>
          <w:rFonts w:asciiTheme="majorBidi" w:hAnsiTheme="majorBidi" w:cstheme="majorBidi"/>
          <w:i/>
          <w:iCs/>
          <w:lang w:val="sv-SE"/>
        </w:rPr>
      </w:pPr>
      <w:r w:rsidRPr="001C636D">
        <w:rPr>
          <w:rFonts w:asciiTheme="majorBidi" w:hAnsiTheme="majorBidi" w:cstheme="majorBidi"/>
          <w:lang w:val="sv-SE"/>
        </w:rPr>
        <w:t>Tahir Mahmood yang melakukan studi terhadap sejumlah perundang-undangan hukum keluarga Islam kontemporer, menulis empat (4) metode yang digunakan sejumlah negara dalam melakukan</w:t>
      </w:r>
      <w:r>
        <w:rPr>
          <w:rFonts w:asciiTheme="majorBidi" w:hAnsiTheme="majorBidi" w:cstheme="majorBidi"/>
          <w:lang w:val="sv-SE"/>
        </w:rPr>
        <w:t xml:space="preserve"> pembaruan hukum keluarga Islam </w:t>
      </w:r>
      <w:r w:rsidRPr="001C636D">
        <w:rPr>
          <w:rFonts w:asciiTheme="majorBidi" w:hAnsiTheme="majorBidi" w:cstheme="majorBidi"/>
          <w:lang w:val="sv-SE"/>
        </w:rPr>
        <w:t xml:space="preserve">kontemporer, yakni: (1) </w:t>
      </w:r>
      <w:r w:rsidRPr="001C636D">
        <w:rPr>
          <w:rFonts w:asciiTheme="majorBidi" w:hAnsiTheme="majorBidi" w:cstheme="majorBidi"/>
          <w:i/>
          <w:iCs/>
          <w:lang w:val="sv-SE"/>
        </w:rPr>
        <w:t>takhayyur</w:t>
      </w:r>
      <w:r w:rsidRPr="001C636D">
        <w:rPr>
          <w:rFonts w:asciiTheme="majorBidi" w:hAnsiTheme="majorBidi" w:cstheme="majorBidi"/>
          <w:lang w:val="sv-SE"/>
        </w:rPr>
        <w:t xml:space="preserve">, (2) </w:t>
      </w:r>
      <w:r w:rsidRPr="001C636D">
        <w:rPr>
          <w:rFonts w:asciiTheme="majorBidi" w:hAnsiTheme="majorBidi" w:cstheme="majorBidi"/>
          <w:i/>
          <w:iCs/>
          <w:lang w:val="sv-SE"/>
        </w:rPr>
        <w:t xml:space="preserve">talfiq, </w:t>
      </w:r>
      <w:r w:rsidRPr="001C636D">
        <w:rPr>
          <w:rFonts w:asciiTheme="majorBidi" w:hAnsiTheme="majorBidi" w:cstheme="majorBidi"/>
          <w:lang w:val="sv-SE"/>
        </w:rPr>
        <w:t xml:space="preserve">(3) </w:t>
      </w:r>
      <w:r w:rsidRPr="001C636D">
        <w:rPr>
          <w:rFonts w:asciiTheme="majorBidi" w:hAnsiTheme="majorBidi" w:cstheme="majorBidi"/>
          <w:i/>
          <w:iCs/>
          <w:lang w:val="sv-SE"/>
        </w:rPr>
        <w:t>ijtihad</w:t>
      </w:r>
      <w:r w:rsidRPr="001C636D">
        <w:rPr>
          <w:rFonts w:asciiTheme="majorBidi" w:hAnsiTheme="majorBidi" w:cstheme="majorBidi"/>
          <w:lang w:val="sv-SE"/>
        </w:rPr>
        <w:t>, (4</w:t>
      </w:r>
      <w:r w:rsidRPr="001C636D">
        <w:rPr>
          <w:rFonts w:asciiTheme="majorBidi" w:hAnsiTheme="majorBidi" w:cstheme="majorBidi"/>
          <w:i/>
          <w:iCs/>
          <w:lang w:val="sv-SE"/>
        </w:rPr>
        <w:t xml:space="preserve">) </w:t>
      </w:r>
      <w:r w:rsidRPr="001C636D">
        <w:rPr>
          <w:rFonts w:asciiTheme="majorBidi" w:hAnsiTheme="majorBidi" w:cstheme="majorBidi"/>
          <w:lang w:val="sv-SE"/>
        </w:rPr>
        <w:t xml:space="preserve"> </w:t>
      </w:r>
      <w:r>
        <w:rPr>
          <w:rFonts w:asciiTheme="majorBidi" w:hAnsiTheme="majorBidi" w:cstheme="majorBidi"/>
          <w:i/>
          <w:iCs/>
          <w:lang w:val="id-ID"/>
        </w:rPr>
        <w:t>siyāsah</w:t>
      </w:r>
      <w:r w:rsidRPr="00743108">
        <w:rPr>
          <w:rFonts w:asciiTheme="majorBidi" w:hAnsiTheme="majorBidi" w:cstheme="majorBidi"/>
          <w:i/>
          <w:iCs/>
          <w:lang w:val="sv-SE"/>
        </w:rPr>
        <w:t xml:space="preserve"> </w:t>
      </w:r>
      <w:r>
        <w:rPr>
          <w:rFonts w:asciiTheme="majorBidi" w:hAnsiTheme="majorBidi" w:cstheme="majorBidi"/>
          <w:i/>
          <w:iCs/>
          <w:lang w:val="id-ID"/>
        </w:rPr>
        <w:t>syar‘iyyah</w:t>
      </w:r>
      <w:r w:rsidRPr="001C636D">
        <w:rPr>
          <w:rFonts w:asciiTheme="majorBidi" w:hAnsiTheme="majorBidi" w:cstheme="majorBidi"/>
          <w:lang w:val="sv-SE"/>
        </w:rPr>
        <w:t>.</w:t>
      </w:r>
      <w:r w:rsidRPr="00910CE3">
        <w:rPr>
          <w:rStyle w:val="FootnoteReference"/>
          <w:rFonts w:asciiTheme="majorBidi" w:hAnsiTheme="majorBidi" w:cstheme="majorBidi"/>
        </w:rPr>
        <w:footnoteReference w:id="804"/>
      </w:r>
      <w:r w:rsidRPr="001C636D">
        <w:rPr>
          <w:rFonts w:asciiTheme="majorBidi" w:hAnsiTheme="majorBidi" w:cstheme="majorBidi"/>
          <w:lang w:val="sv-SE"/>
        </w:rPr>
        <w:t xml:space="preserve">  </w:t>
      </w:r>
      <w:r w:rsidRPr="001C636D">
        <w:rPr>
          <w:rStyle w:val="Bodytext2Calibri"/>
          <w:rFonts w:asciiTheme="majorBidi" w:hAnsiTheme="majorBidi" w:cstheme="majorBidi"/>
          <w:sz w:val="24"/>
          <w:szCs w:val="24"/>
          <w:lang w:val="sv-SE"/>
        </w:rPr>
        <w:t xml:space="preserve">Sementara opjek </w:t>
      </w:r>
      <w:r>
        <w:rPr>
          <w:rFonts w:asciiTheme="majorBidi" w:hAnsiTheme="majorBidi" w:cstheme="majorBidi"/>
          <w:i/>
          <w:iCs/>
          <w:lang w:val="id-ID"/>
        </w:rPr>
        <w:t>siyāsah</w:t>
      </w:r>
      <w:r w:rsidRPr="00743108">
        <w:rPr>
          <w:rFonts w:asciiTheme="majorBidi" w:hAnsiTheme="majorBidi" w:cstheme="majorBidi"/>
          <w:i/>
          <w:iCs/>
          <w:lang w:val="sv-SE"/>
        </w:rPr>
        <w:t xml:space="preserve"> </w:t>
      </w:r>
      <w:r>
        <w:rPr>
          <w:rFonts w:asciiTheme="majorBidi" w:hAnsiTheme="majorBidi" w:cstheme="majorBidi"/>
          <w:i/>
          <w:iCs/>
          <w:lang w:val="id-ID"/>
        </w:rPr>
        <w:lastRenderedPageBreak/>
        <w:t>syar‘iyyah</w:t>
      </w:r>
      <w:r w:rsidRPr="001C636D">
        <w:rPr>
          <w:rStyle w:val="Bodytext2Calibri"/>
          <w:rFonts w:asciiTheme="majorBidi" w:hAnsiTheme="majorBidi" w:cstheme="majorBidi"/>
          <w:sz w:val="24"/>
          <w:szCs w:val="24"/>
          <w:lang w:val="sv-SE"/>
        </w:rPr>
        <w:t xml:space="preserve"> adalah membuat peraturan dan perundang-undangan yang dibutuhkan untuk mengurus negara sesuai dengan pokok-pokok ajaran Islam, realisasinya untuk tujuan kemaslahatan manusia dan untuk memenuhi kebutuhan meraka.</w:t>
      </w:r>
      <w:r w:rsidRPr="008815F6">
        <w:rPr>
          <w:rStyle w:val="FootnoteReference"/>
          <w:rFonts w:asciiTheme="majorBidi" w:hAnsiTheme="majorBidi" w:cstheme="majorBidi"/>
          <w:shd w:val="clear" w:color="auto" w:fill="FFFFFF"/>
        </w:rPr>
        <w:footnoteReference w:id="805"/>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742E8B">
        <w:rPr>
          <w:rFonts w:asciiTheme="majorBidi" w:hAnsiTheme="majorBidi" w:cstheme="majorBidi"/>
          <w:lang w:val="sv-SE"/>
        </w:rPr>
        <w:t xml:space="preserve">Jadi inti dari </w:t>
      </w:r>
      <w:r>
        <w:rPr>
          <w:rFonts w:asciiTheme="majorBidi" w:hAnsiTheme="majorBidi" w:cstheme="majorBidi"/>
          <w:i/>
          <w:iCs/>
          <w:lang w:val="id-ID"/>
        </w:rPr>
        <w:t>siyāsah</w:t>
      </w:r>
      <w:r w:rsidRPr="00743108">
        <w:rPr>
          <w:rFonts w:asciiTheme="majorBidi" w:hAnsiTheme="majorBidi" w:cstheme="majorBidi"/>
          <w:i/>
          <w:iCs/>
          <w:lang w:val="sv-SE"/>
        </w:rPr>
        <w:t xml:space="preserve"> </w:t>
      </w:r>
      <w:r>
        <w:rPr>
          <w:rFonts w:asciiTheme="majorBidi" w:hAnsiTheme="majorBidi" w:cstheme="majorBidi"/>
          <w:i/>
          <w:iCs/>
          <w:lang w:val="id-ID"/>
        </w:rPr>
        <w:t>syar‘iyyah</w:t>
      </w:r>
      <w:r w:rsidRPr="00742E8B">
        <w:rPr>
          <w:rFonts w:asciiTheme="majorBidi" w:hAnsiTheme="majorBidi" w:cstheme="majorBidi"/>
          <w:lang w:val="sv-SE"/>
        </w:rPr>
        <w:t xml:space="preserve"> sebagaimana dijelaskan sebelumnya adalah tindakan negara mensejahterakan rakyat dengan membuat peraturan</w:t>
      </w:r>
      <w:r>
        <w:rPr>
          <w:rFonts w:asciiTheme="majorBidi" w:hAnsiTheme="majorBidi" w:cstheme="majorBidi"/>
          <w:lang w:val="sv-SE"/>
        </w:rPr>
        <w:t xml:space="preserve">an dan undang-undang. </w:t>
      </w:r>
      <w:r w:rsidRPr="00742E8B">
        <w:rPr>
          <w:rFonts w:asciiTheme="majorBidi" w:hAnsiTheme="majorBidi" w:cstheme="majorBidi"/>
          <w:lang w:val="sv-SE"/>
        </w:rPr>
        <w:t xml:space="preserve">Dua poin inilah merupakan tujuan pokok dari </w:t>
      </w:r>
      <w:r>
        <w:rPr>
          <w:rFonts w:asciiTheme="majorBidi" w:hAnsiTheme="majorBidi" w:cstheme="majorBidi"/>
          <w:i/>
          <w:iCs/>
          <w:lang w:val="id-ID"/>
        </w:rPr>
        <w:t>siyāsah</w:t>
      </w:r>
      <w:r w:rsidRPr="00743108">
        <w:rPr>
          <w:rFonts w:asciiTheme="majorBidi" w:hAnsiTheme="majorBidi" w:cstheme="majorBidi"/>
          <w:i/>
          <w:iCs/>
          <w:lang w:val="sv-SE"/>
        </w:rPr>
        <w:t xml:space="preserve"> </w:t>
      </w:r>
      <w:r>
        <w:rPr>
          <w:rFonts w:asciiTheme="majorBidi" w:hAnsiTheme="majorBidi" w:cstheme="majorBidi"/>
          <w:i/>
          <w:iCs/>
          <w:lang w:val="id-ID"/>
        </w:rPr>
        <w:t>syar‘iyyah</w:t>
      </w:r>
      <w:r w:rsidRPr="00742E8B">
        <w:rPr>
          <w:rFonts w:asciiTheme="majorBidi" w:hAnsiTheme="majorBidi" w:cstheme="majorBidi"/>
          <w:lang w:val="sv-SE"/>
        </w:rPr>
        <w:t xml:space="preserve">, yakni kesejahteraan rakyat dan membuat peraturan atau hukum. </w:t>
      </w:r>
      <w:r w:rsidRPr="00F0797F">
        <w:rPr>
          <w:rFonts w:asciiTheme="majorBidi" w:hAnsiTheme="majorBidi" w:cstheme="majorBidi"/>
          <w:lang w:val="sv-SE"/>
        </w:rPr>
        <w:t xml:space="preserve">Dalam sejarah hukum Islam, sejak masa Nabi saw sampai sekarang dikenal setidaknya ada empat produk hukum Islam, yakni; fiqh, yurisprudensi dan kodifikasi dan fatwa. </w:t>
      </w:r>
      <w:r w:rsidRPr="00F95695">
        <w:rPr>
          <w:rFonts w:asciiTheme="majorBidi" w:hAnsiTheme="majorBidi" w:cstheme="majorBidi"/>
        </w:rPr>
        <w:t>Bagaimana peran empat</w:t>
      </w:r>
      <w:r>
        <w:rPr>
          <w:rFonts w:asciiTheme="majorBidi" w:hAnsiTheme="majorBidi" w:cstheme="majorBidi"/>
        </w:rPr>
        <w:t xml:space="preserve"> produk hukum Islam ini di Indo</w:t>
      </w:r>
      <w:r w:rsidRPr="00F95695">
        <w:rPr>
          <w:rFonts w:asciiTheme="majorBidi" w:hAnsiTheme="majorBidi" w:cstheme="majorBidi"/>
        </w:rPr>
        <w:t xml:space="preserve">nesia dalam berperan mengatur kehidupan masyarakat Indonesia, dapat dijelaskan </w:t>
      </w:r>
      <w:r>
        <w:rPr>
          <w:rFonts w:asciiTheme="majorBidi" w:hAnsiTheme="majorBidi" w:cstheme="majorBidi"/>
        </w:rPr>
        <w:t>sebagai berikut;</w:t>
      </w:r>
    </w:p>
    <w:p w:rsidR="00343B61" w:rsidRPr="008B6B48" w:rsidRDefault="00343B61" w:rsidP="00343B61">
      <w:pPr>
        <w:autoSpaceDE w:val="0"/>
        <w:autoSpaceDN w:val="0"/>
        <w:adjustRightInd w:val="0"/>
        <w:spacing w:line="360" w:lineRule="auto"/>
        <w:ind w:firstLine="720"/>
        <w:jc w:val="both"/>
        <w:rPr>
          <w:rFonts w:asciiTheme="majorBidi" w:hAnsiTheme="majorBidi" w:cstheme="majorBidi"/>
        </w:rPr>
      </w:pPr>
      <w:r>
        <w:rPr>
          <w:rFonts w:asciiTheme="majorBidi" w:hAnsiTheme="majorBidi" w:cstheme="majorBidi"/>
        </w:rPr>
        <w:t>1.</w:t>
      </w:r>
      <w:r w:rsidRPr="008B6B48">
        <w:rPr>
          <w:rFonts w:asciiTheme="majorBidi" w:hAnsiTheme="majorBidi" w:cstheme="majorBidi"/>
        </w:rPr>
        <w:t xml:space="preserve"> </w:t>
      </w:r>
      <w:r>
        <w:rPr>
          <w:rFonts w:asciiTheme="majorBidi" w:hAnsiTheme="majorBidi" w:cstheme="majorBidi"/>
        </w:rPr>
        <w:t xml:space="preserve">Bentuk </w:t>
      </w:r>
      <w:r w:rsidRPr="008B6B48">
        <w:rPr>
          <w:rFonts w:asciiTheme="majorBidi" w:hAnsiTheme="majorBidi" w:cstheme="majorBidi"/>
        </w:rPr>
        <w:t>Fiqh</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Salah satu wujud hukum Islam yang sistematis dan rinci adalah fiqh</w:t>
      </w:r>
      <w:r w:rsidRPr="008B6B48">
        <w:rPr>
          <w:rStyle w:val="FootnoteReference"/>
          <w:rFonts w:asciiTheme="majorBidi" w:hAnsiTheme="majorBidi" w:cstheme="majorBidi"/>
        </w:rPr>
        <w:footnoteReference w:id="806"/>
      </w:r>
      <w:r w:rsidRPr="008B6B48">
        <w:rPr>
          <w:rFonts w:asciiTheme="majorBidi" w:hAnsiTheme="majorBidi" w:cstheme="majorBidi"/>
        </w:rPr>
        <w:t>. Secara garis besarnya fiqh meliputi empat bidang, yaitu: pertama, ibadah merupakan penataan hubungan antara manusia dengan Tuhan. Kedua, bidang munakahat yang merupakan penataan hubungan antar manusia dalam lingkungan keluarga. Ketiga, bidang muamalah merupakan penataan hubungan antar manusia dalam pergaulan kemasyarakatan. keempat, bidang jinayah merupakan penataan pengamanan dalam suatu tertib pergaulan yang menjadi keselamatan dan ketenteraman dalam hidup bermasyarakat.</w:t>
      </w:r>
      <w:r w:rsidRPr="008B6B48">
        <w:rPr>
          <w:rStyle w:val="FootnoteReference"/>
          <w:rFonts w:asciiTheme="majorBidi" w:hAnsiTheme="majorBidi" w:cstheme="majorBidi"/>
        </w:rPr>
        <w:footnoteReference w:id="807"/>
      </w:r>
      <w:r w:rsidRPr="008B6B48">
        <w:rPr>
          <w:rFonts w:asciiTheme="majorBidi" w:hAnsiTheme="majorBidi" w:cstheme="majorBidi"/>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Fiqh sebagai produk pemikiran hukum Islam di Indonesia, karakteristiknya sangat kental dengan kepribadian Arab. Hal itu disebabkan oleh karena jaringan intelektual para </w:t>
      </w:r>
      <w:r w:rsidRPr="008B6B48">
        <w:rPr>
          <w:rFonts w:asciiTheme="majorBidi" w:hAnsiTheme="majorBidi" w:cstheme="majorBidi"/>
        </w:rPr>
        <w:lastRenderedPageBreak/>
        <w:t xml:space="preserve">fuqaha Indonesia terlalu </w:t>
      </w:r>
      <w:r w:rsidRPr="008B6B48">
        <w:rPr>
          <w:rFonts w:asciiTheme="majorBidi" w:hAnsiTheme="majorBidi" w:cstheme="majorBidi"/>
          <w:i/>
          <w:iCs/>
        </w:rPr>
        <w:t>Arab</w:t>
      </w:r>
      <w:r w:rsidRPr="008B6B48">
        <w:rPr>
          <w:rFonts w:asciiTheme="majorBidi" w:hAnsiTheme="majorBidi" w:cstheme="majorBidi"/>
        </w:rPr>
        <w:t xml:space="preserve"> </w:t>
      </w:r>
      <w:r w:rsidRPr="008B6B48">
        <w:rPr>
          <w:rFonts w:asciiTheme="majorBidi" w:hAnsiTheme="majorBidi" w:cstheme="majorBidi"/>
          <w:i/>
          <w:iCs/>
        </w:rPr>
        <w:t xml:space="preserve">oriented. </w:t>
      </w:r>
      <w:r w:rsidRPr="008B6B48">
        <w:rPr>
          <w:rFonts w:asciiTheme="majorBidi" w:hAnsiTheme="majorBidi" w:cstheme="majorBidi"/>
        </w:rPr>
        <w:t>Kondisi seperti ini berlangsung hingga paro pertama abad ke 20.</w:t>
      </w:r>
      <w:r w:rsidRPr="008B6B48">
        <w:rPr>
          <w:rStyle w:val="FootnoteReference"/>
          <w:rFonts w:asciiTheme="majorBidi" w:hAnsiTheme="majorBidi" w:cstheme="majorBidi"/>
        </w:rPr>
        <w:footnoteReference w:id="808"/>
      </w:r>
      <w:r w:rsidRPr="008B6B48">
        <w:rPr>
          <w:rFonts w:asciiTheme="majorBidi" w:hAnsiTheme="majorBidi" w:cstheme="majorBidi"/>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Pada konteks ini, Hasbi Ash-Shiddiqy mengatakan bahwa terdapat bagian-bagian fiqh kaum muslimin Indonesia yang didasarkan pada </w:t>
      </w:r>
      <w:r w:rsidRPr="008B6B48">
        <w:rPr>
          <w:rFonts w:asciiTheme="majorBidi" w:hAnsiTheme="majorBidi" w:cstheme="majorBidi"/>
          <w:i/>
          <w:iCs/>
        </w:rPr>
        <w:t xml:space="preserve">urf </w:t>
      </w:r>
      <w:r w:rsidRPr="008B6B48">
        <w:rPr>
          <w:rFonts w:asciiTheme="majorBidi" w:hAnsiTheme="majorBidi" w:cstheme="majorBidi"/>
        </w:rPr>
        <w:t>timur tengah yang tidak sesuai dengan rasa kesadaran hukum masyarakat Indonesia yang melembaga dalam hukum adat. Atas dasar itulah sehingga fiqh kurang mendapat sambutan hangat dari masyarakat Indonesia, karena dianggap tidak sesuai dengan kepribadian bangsa Indonesia.</w:t>
      </w:r>
      <w:r w:rsidRPr="008B6B48">
        <w:rPr>
          <w:rStyle w:val="FootnoteReference"/>
          <w:rFonts w:asciiTheme="majorBidi" w:hAnsiTheme="majorBidi" w:cstheme="majorBidi"/>
        </w:rPr>
        <w:footnoteReference w:id="809"/>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Keterasingan fiqh itu sebagaimana yang disinyalir oleh Hasbi ash-Shiddiqy tersebut antara lain juga disebabkan oleh pandangan fiqh yang terlalu formalistik. Kecenderungan fiqh yang demikian menjadikannya sebagai paradigma </w:t>
      </w:r>
      <w:r w:rsidRPr="008B6B48">
        <w:rPr>
          <w:rFonts w:asciiTheme="majorBidi" w:hAnsiTheme="majorBidi" w:cstheme="majorBidi"/>
          <w:i/>
          <w:iCs/>
        </w:rPr>
        <w:t>kebenaran</w:t>
      </w:r>
      <w:r w:rsidRPr="008B6B48">
        <w:rPr>
          <w:rFonts w:asciiTheme="majorBidi" w:hAnsiTheme="majorBidi" w:cstheme="majorBidi"/>
        </w:rPr>
        <w:t xml:space="preserve"> </w:t>
      </w:r>
      <w:r w:rsidRPr="008B6B48">
        <w:rPr>
          <w:rFonts w:asciiTheme="majorBidi" w:hAnsiTheme="majorBidi" w:cstheme="majorBidi"/>
          <w:i/>
          <w:iCs/>
        </w:rPr>
        <w:t xml:space="preserve">ortodoks, </w:t>
      </w:r>
      <w:r w:rsidRPr="008B6B48">
        <w:rPr>
          <w:rFonts w:asciiTheme="majorBidi" w:hAnsiTheme="majorBidi" w:cstheme="majorBidi"/>
        </w:rPr>
        <w:t>di mana semua realitas tunduk pada kebenaran fiqh. Penekanan yang terlalu berlebihan pada formalisme dan kecenderungan melakukan teologisasi fiqh, menyebabkan fiqh Indonesia seolah-olah menjauhi diri dari realitas sosial dan kultur masyarakat yang menjadi obyeknya.</w:t>
      </w:r>
      <w:r w:rsidRPr="008B6B48">
        <w:rPr>
          <w:rStyle w:val="FootnoteReference"/>
          <w:rFonts w:asciiTheme="majorBidi" w:hAnsiTheme="majorBidi" w:cstheme="majorBidi"/>
        </w:rPr>
        <w:footnoteReference w:id="810"/>
      </w:r>
    </w:p>
    <w:p w:rsidR="00343B61" w:rsidRPr="008B6B48" w:rsidRDefault="00343B61" w:rsidP="00343B61">
      <w:pPr>
        <w:pStyle w:val="ListParagraph"/>
        <w:spacing w:line="360" w:lineRule="auto"/>
        <w:ind w:left="0" w:firstLine="720"/>
        <w:jc w:val="both"/>
        <w:rPr>
          <w:rFonts w:asciiTheme="majorBidi" w:hAnsiTheme="majorBidi" w:cstheme="majorBidi"/>
        </w:rPr>
      </w:pPr>
      <w:r w:rsidRPr="008B6B48">
        <w:rPr>
          <w:rFonts w:asciiTheme="majorBidi" w:hAnsiTheme="majorBidi" w:cstheme="majorBidi"/>
        </w:rPr>
        <w:t xml:space="preserve">Fiqh merupakan hasil pemikiran dari para ahli. Dalam penggalian fiqh, para ulama sangat dipengaruhi kondisi sosialnya, sehingga kadang-kadang terjadi perbedaan pemikiran di kalangan para </w:t>
      </w:r>
      <w:r w:rsidRPr="008B6B48">
        <w:rPr>
          <w:rFonts w:asciiTheme="majorBidi" w:hAnsiTheme="majorBidi" w:cstheme="majorBidi"/>
          <w:i/>
          <w:iCs/>
        </w:rPr>
        <w:t>fuqahā</w:t>
      </w:r>
      <w:r w:rsidRPr="008B6B48">
        <w:rPr>
          <w:rFonts w:asciiTheme="majorBidi" w:hAnsiTheme="majorBidi" w:cstheme="majorBidi"/>
        </w:rPr>
        <w:t xml:space="preserve"> yang berada dalam kondisi zaman dan tempat yang berbeda. Hal ini sekaligus menandakan bahwa pada fiqh terbuka peluang untuk diadakan pemikiran ulang atau dilakukan pembaruan-pembaruan.</w:t>
      </w:r>
      <w:r w:rsidRPr="008B6B48">
        <w:rPr>
          <w:rStyle w:val="FootnoteReference"/>
          <w:rFonts w:asciiTheme="majorBidi" w:hAnsiTheme="majorBidi" w:cstheme="majorBidi"/>
        </w:rPr>
        <w:footnoteReference w:id="811"/>
      </w:r>
      <w:r w:rsidRPr="008B6B48">
        <w:rPr>
          <w:rFonts w:asciiTheme="majorBidi" w:hAnsiTheme="majorBidi" w:cstheme="majorBidi"/>
        </w:rPr>
        <w:t xml:space="preserve"> Kaitan dengan ini, Ibnu al-Qayyim al-Jauziyah berkata :</w:t>
      </w:r>
    </w:p>
    <w:p w:rsidR="00343B61" w:rsidRPr="008B6B48" w:rsidRDefault="00343B61" w:rsidP="00343B61">
      <w:pPr>
        <w:autoSpaceDE w:val="0"/>
        <w:autoSpaceDN w:val="0"/>
        <w:bidi/>
        <w:adjustRightInd w:val="0"/>
        <w:spacing w:line="360" w:lineRule="auto"/>
        <w:rPr>
          <w:rFonts w:asciiTheme="majorBidi" w:hAnsiTheme="majorBidi" w:cstheme="majorBidi"/>
        </w:rPr>
      </w:pPr>
      <w:r w:rsidRPr="008B6B48">
        <w:rPr>
          <w:rFonts w:asciiTheme="majorBidi" w:hAnsiTheme="majorBidi" w:cstheme="majorBidi"/>
          <w:rtl/>
        </w:rPr>
        <w:t>تغيرالفتوي</w:t>
      </w:r>
      <w:r w:rsidRPr="008B6B48">
        <w:rPr>
          <w:rFonts w:asciiTheme="majorBidi" w:hAnsiTheme="majorBidi" w:cstheme="majorBidi"/>
        </w:rPr>
        <w:t xml:space="preserve"> </w:t>
      </w:r>
      <w:r w:rsidRPr="008B6B48">
        <w:rPr>
          <w:rFonts w:asciiTheme="majorBidi" w:hAnsiTheme="majorBidi" w:cstheme="majorBidi"/>
          <w:rtl/>
        </w:rPr>
        <w:t>واختلا</w:t>
      </w:r>
      <w:r w:rsidRPr="008B6B48">
        <w:rPr>
          <w:rFonts w:asciiTheme="majorBidi" w:hAnsiTheme="majorBidi" w:cstheme="majorBidi"/>
        </w:rPr>
        <w:t xml:space="preserve"> </w:t>
      </w:r>
      <w:r w:rsidRPr="008B6B48">
        <w:rPr>
          <w:rFonts w:asciiTheme="majorBidi" w:hAnsiTheme="majorBidi" w:cstheme="majorBidi"/>
          <w:rtl/>
        </w:rPr>
        <w:t>فها</w:t>
      </w:r>
      <w:r w:rsidRPr="008B6B48">
        <w:rPr>
          <w:rFonts w:asciiTheme="majorBidi" w:hAnsiTheme="majorBidi" w:cstheme="majorBidi"/>
        </w:rPr>
        <w:t xml:space="preserve"> </w:t>
      </w:r>
      <w:r w:rsidRPr="008B6B48">
        <w:rPr>
          <w:rFonts w:asciiTheme="majorBidi" w:hAnsiTheme="majorBidi" w:cstheme="majorBidi"/>
          <w:rtl/>
        </w:rPr>
        <w:t>بحسب</w:t>
      </w:r>
      <w:r w:rsidRPr="008B6B48">
        <w:rPr>
          <w:rFonts w:asciiTheme="majorBidi" w:hAnsiTheme="majorBidi" w:cstheme="majorBidi"/>
        </w:rPr>
        <w:t xml:space="preserve"> </w:t>
      </w:r>
      <w:r w:rsidRPr="008B6B48">
        <w:rPr>
          <w:rFonts w:asciiTheme="majorBidi" w:hAnsiTheme="majorBidi" w:cstheme="majorBidi"/>
          <w:rtl/>
        </w:rPr>
        <w:t>تغيرالأزمنة</w:t>
      </w:r>
      <w:r w:rsidRPr="008B6B48">
        <w:rPr>
          <w:rFonts w:asciiTheme="majorBidi" w:hAnsiTheme="majorBidi" w:cstheme="majorBidi"/>
        </w:rPr>
        <w:t xml:space="preserve"> </w:t>
      </w:r>
      <w:r w:rsidRPr="008B6B48">
        <w:rPr>
          <w:rFonts w:asciiTheme="majorBidi" w:hAnsiTheme="majorBidi" w:cstheme="majorBidi"/>
          <w:rtl/>
        </w:rPr>
        <w:t>والأمكنة</w:t>
      </w:r>
      <w:r w:rsidRPr="008B6B48">
        <w:rPr>
          <w:rFonts w:asciiTheme="majorBidi" w:hAnsiTheme="majorBidi" w:cstheme="majorBidi"/>
        </w:rPr>
        <w:t xml:space="preserve"> </w:t>
      </w:r>
      <w:r w:rsidRPr="008B6B48">
        <w:rPr>
          <w:rFonts w:asciiTheme="majorBidi" w:hAnsiTheme="majorBidi" w:cstheme="majorBidi"/>
          <w:rtl/>
        </w:rPr>
        <w:t>والأحوال</w:t>
      </w:r>
      <w:r w:rsidRPr="008B6B48">
        <w:rPr>
          <w:rFonts w:asciiTheme="majorBidi" w:hAnsiTheme="majorBidi" w:cstheme="majorBidi"/>
        </w:rPr>
        <w:t xml:space="preserve"> </w:t>
      </w:r>
      <w:r w:rsidRPr="008B6B48">
        <w:rPr>
          <w:rFonts w:asciiTheme="majorBidi" w:hAnsiTheme="majorBidi" w:cstheme="majorBidi"/>
          <w:rtl/>
        </w:rPr>
        <w:t>والنيا</w:t>
      </w:r>
      <w:r w:rsidRPr="008B6B48">
        <w:rPr>
          <w:rFonts w:asciiTheme="majorBidi" w:hAnsiTheme="majorBidi" w:cstheme="majorBidi"/>
        </w:rPr>
        <w:t xml:space="preserve"> </w:t>
      </w:r>
      <w:r w:rsidRPr="008B6B48">
        <w:rPr>
          <w:rFonts w:asciiTheme="majorBidi" w:hAnsiTheme="majorBidi" w:cstheme="majorBidi"/>
          <w:rtl/>
        </w:rPr>
        <w:t>ت</w:t>
      </w:r>
      <w:r w:rsidRPr="008B6B48">
        <w:rPr>
          <w:rFonts w:asciiTheme="majorBidi" w:hAnsiTheme="majorBidi" w:cstheme="majorBidi"/>
        </w:rPr>
        <w:t xml:space="preserve"> </w:t>
      </w:r>
      <w:r w:rsidRPr="008B6B48">
        <w:rPr>
          <w:rFonts w:asciiTheme="majorBidi" w:hAnsiTheme="majorBidi" w:cstheme="majorBidi"/>
          <w:rtl/>
        </w:rPr>
        <w:t>والعوائد</w:t>
      </w:r>
      <w:r w:rsidRPr="008B6B48">
        <w:rPr>
          <w:rFonts w:asciiTheme="majorBidi" w:hAnsiTheme="majorBidi" w:cstheme="majorBidi"/>
        </w:rPr>
        <w:t xml:space="preserve"> </w:t>
      </w:r>
      <w:r w:rsidRPr="008B6B48">
        <w:rPr>
          <w:rStyle w:val="FootnoteReference"/>
          <w:rFonts w:asciiTheme="majorBidi" w:hAnsiTheme="majorBidi" w:cstheme="majorBidi"/>
        </w:rPr>
        <w:footnoteReference w:id="812"/>
      </w:r>
    </w:p>
    <w:p w:rsidR="00343B61" w:rsidRPr="008B6B48" w:rsidRDefault="00343B61" w:rsidP="00343B61">
      <w:pPr>
        <w:autoSpaceDE w:val="0"/>
        <w:autoSpaceDN w:val="0"/>
        <w:adjustRightInd w:val="0"/>
        <w:spacing w:line="240" w:lineRule="auto"/>
        <w:ind w:left="540"/>
        <w:jc w:val="both"/>
        <w:rPr>
          <w:rFonts w:asciiTheme="majorBidi" w:hAnsiTheme="majorBidi" w:cstheme="majorBidi"/>
        </w:rPr>
      </w:pPr>
      <w:r w:rsidRPr="008B6B48">
        <w:rPr>
          <w:rFonts w:asciiTheme="majorBidi" w:hAnsiTheme="majorBidi" w:cstheme="majorBidi"/>
        </w:rPr>
        <w:t xml:space="preserve">Artinya : “ </w:t>
      </w:r>
      <w:r w:rsidRPr="008B6B48">
        <w:rPr>
          <w:rFonts w:asciiTheme="majorBidi" w:hAnsiTheme="majorBidi" w:cstheme="majorBidi"/>
          <w:i/>
          <w:iCs/>
        </w:rPr>
        <w:t>Bahwasanya fatwa dapat berubah karena adanya perubahan zaman, tempat, keadaan, niat dan kebiasaan</w:t>
      </w:r>
      <w:r w:rsidRPr="008B6B48">
        <w:rPr>
          <w:rFonts w:asciiTheme="majorBidi" w:hAnsiTheme="majorBidi" w:cstheme="majorBidi"/>
        </w:rPr>
        <w:t>.”</w:t>
      </w:r>
    </w:p>
    <w:p w:rsidR="00343B61" w:rsidRPr="008B6B48" w:rsidRDefault="00343B61" w:rsidP="00343B61">
      <w:pPr>
        <w:autoSpaceDE w:val="0"/>
        <w:autoSpaceDN w:val="0"/>
        <w:adjustRightInd w:val="0"/>
        <w:spacing w:after="0" w:line="360" w:lineRule="auto"/>
        <w:ind w:firstLine="540"/>
        <w:jc w:val="both"/>
        <w:rPr>
          <w:rFonts w:asciiTheme="majorBidi" w:hAnsiTheme="majorBidi" w:cstheme="majorBidi"/>
        </w:rPr>
      </w:pPr>
      <w:r w:rsidRPr="008B6B48">
        <w:rPr>
          <w:rFonts w:asciiTheme="majorBidi" w:hAnsiTheme="majorBidi" w:cstheme="majorBidi"/>
        </w:rPr>
        <w:lastRenderedPageBreak/>
        <w:t>Berdasarkan penelitian Ibnu al-Qayyim terhadap teks-teks Al-Qur’ān dan Al- Sunnah, akhirnya beliau menyimpulkan bahwa syari’at Islam dibangun untuk kepentingan manusia dan tujuan-tujuan kemanusiaan yang universal yakni keadilan, kerahmatan, kemaslahatan dan kebijaksanaan atau mengandung makna (hikmah) bagi kehidupan. Jadi, prinsip-prinsip ini harus menjadi dasar dan substansi dari seluruh persoalan hukum Islam. Penyimpangan terhadap prinsip-prinsip ini berarti bertentangan dengan cita-cita syari’at atau agama. Dengan demikian, setiap hal yang zhalim, tidak memberi rahmat, bukanlah hukum Islam.</w:t>
      </w:r>
      <w:r w:rsidRPr="008B6B48">
        <w:rPr>
          <w:rStyle w:val="FootnoteReference"/>
          <w:rFonts w:asciiTheme="majorBidi" w:hAnsiTheme="majorBidi" w:cstheme="majorBidi"/>
        </w:rPr>
        <w:footnoteReference w:id="813"/>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Oleh karena itu, sudah saatnya dipikirkan upaya untuk menggeser paradigm fiqh ortodoksi kepada paradigma fiqh berwawasan sosial-budaya, yaitu melakukan pembaruan paradigma fiqh yang </w:t>
      </w:r>
      <w:r>
        <w:rPr>
          <w:rFonts w:asciiTheme="majorBidi" w:hAnsiTheme="majorBidi" w:cstheme="majorBidi"/>
        </w:rPr>
        <w:t>r</w:t>
      </w:r>
      <w:r w:rsidRPr="008B6B48">
        <w:rPr>
          <w:rFonts w:asciiTheme="majorBidi" w:hAnsiTheme="majorBidi" w:cstheme="majorBidi"/>
        </w:rPr>
        <w:t>amah dengan kultur dan budaya bangsa Indonesia dengan tetap berpegang pada prinsip-prinsip universal hukum Islam, yaitu memelihara agama, akal, jiwa, kehormatan dan harta. Jika paradigma pertama memperlihatkan hitam-putih dalam memandang realitas, maka yang kedua memperlihatkan watak yang bernuansa kultural. Kiranya gagasan Gus-Dur tentang pribumisasi Islam patut mendapat sambutan dan kajian lebih jauh dalam upaya pembaruan fiqh sebagai produk pemikiran hukum Islam yang berwawasan budaya yang mempertimbangkan kearifan-kearifan lokal.</w:t>
      </w:r>
    </w:p>
    <w:p w:rsidR="00343B61" w:rsidRPr="008B6B48" w:rsidRDefault="00343B61" w:rsidP="00343B61">
      <w:pPr>
        <w:autoSpaceDE w:val="0"/>
        <w:autoSpaceDN w:val="0"/>
        <w:adjustRightInd w:val="0"/>
        <w:spacing w:after="0" w:line="360" w:lineRule="auto"/>
        <w:ind w:firstLine="270"/>
        <w:rPr>
          <w:rFonts w:asciiTheme="majorBidi" w:hAnsiTheme="majorBidi" w:cstheme="majorBidi"/>
        </w:rPr>
      </w:pPr>
      <w:r w:rsidRPr="008B6B48">
        <w:rPr>
          <w:rFonts w:asciiTheme="majorBidi" w:hAnsiTheme="majorBidi" w:cstheme="majorBidi"/>
        </w:rPr>
        <w:t>2. Putusan hakim /Peradilan Agama (Yurisprudensi)</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Dalam kepustakaan hukum Indonesia, yang disebut yurisprudensi adalah kumpulan keputusan Mahkamah Agung (dan Pengadilan Tinggi) mengenai perkara tertentu berdasarkan pertimbangan (kebijaksanaan) hakim sendiri yang diikuti sebagai pedoman oleh hakim lain dalam memutus perkara yang sama atau hampir sama. </w:t>
      </w:r>
      <w:r w:rsidRPr="008B6B48">
        <w:rPr>
          <w:rStyle w:val="FootnoteReference"/>
          <w:rFonts w:asciiTheme="majorBidi" w:hAnsiTheme="majorBidi" w:cstheme="majorBidi"/>
        </w:rPr>
        <w:footnoteReference w:id="814"/>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Pembaruan produk pemikiran hukum Islam melalui yurisprudensi dipandang perlu dan baik. Dikatakan demikian karena yurisprudensi selain menggambarkan keadilan yang tumbuh dan berkembang dalam masyarakat, juga selaras dengan kesadaran hukum masyarakat muslim Indonesia, dengan catatan bahwa hakim peradilan Agama yang membuat yurisprudensi itu, selain paham benar tentang hukum Islam, juga memperhatikan dengan sungguh-sungguh nilai-nilai hukum pada umumnya yang terdapat dalam masyarakat.</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lastRenderedPageBreak/>
        <w:t>Lebih jauh dapat dikatakan bahwa pembaruan hukum Islam melalui yurisprudensi dianggap sebagai sesuatu yang baik, didasarkan atas beberapa alasan bahwa putusan hakim (yurisprudensi) mempunyai kekuatan mengikat, terutama kalau putusan itu dikeluarkan oleh Pengadilan Tinggi atau Mahkamah Agung.</w:t>
      </w:r>
      <w:r w:rsidRPr="008B6B48">
        <w:rPr>
          <w:rStyle w:val="FootnoteReference"/>
          <w:rFonts w:asciiTheme="majorBidi" w:hAnsiTheme="majorBidi" w:cstheme="majorBidi"/>
        </w:rPr>
        <w:footnoteReference w:id="815"/>
      </w:r>
      <w:r w:rsidRPr="008B6B48">
        <w:rPr>
          <w:rFonts w:asciiTheme="majorBidi" w:hAnsiTheme="majorBidi" w:cstheme="majorBidi"/>
        </w:rPr>
        <w:t xml:space="preserve"> Di samping itu, yurisprudensi secara psikologis dapat diterima oleh masyarakat karena ia lahir dari suatu perkara yang secara langsung terjadi dalam masyarakat. Itu artinya bahwa yurisprudensi lebih menyentuh masalah-masalah praktis dalam tatanan sosial kemasyarakatan.</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Dalam konteks tersebut, yurisprudensi sebagai produk pemikiran hukum Islam dapat dikatakan sangat dinamis karena merupakan respon terhadap perkara-perkara nyata yang dihadapi masyarakat. Keputusan-keputusan peradilan Agama memang tidak meliputi semua aspek pemikiran hukum Islam sebagaimana halnya dengan fiqh, akan tetapi dari</w:t>
      </w:r>
      <w:r>
        <w:rPr>
          <w:rFonts w:asciiTheme="majorBidi" w:hAnsiTheme="majorBidi" w:cstheme="majorBidi"/>
        </w:rPr>
        <w:t xml:space="preserve"> </w:t>
      </w:r>
      <w:r w:rsidRPr="008B6B48">
        <w:rPr>
          <w:rFonts w:asciiTheme="majorBidi" w:hAnsiTheme="majorBidi" w:cstheme="majorBidi"/>
        </w:rPr>
        <w:t>segi kekuatan hukumnya ia lebih mengikat terutama bagi pihak-pihak yang telah berperkara.</w:t>
      </w:r>
    </w:p>
    <w:p w:rsidR="00343B61" w:rsidRPr="008B6B48" w:rsidRDefault="00343B61" w:rsidP="00343B61">
      <w:pPr>
        <w:autoSpaceDE w:val="0"/>
        <w:autoSpaceDN w:val="0"/>
        <w:adjustRightInd w:val="0"/>
        <w:spacing w:after="0" w:line="360" w:lineRule="auto"/>
        <w:ind w:firstLine="180"/>
        <w:rPr>
          <w:rFonts w:asciiTheme="majorBidi" w:hAnsiTheme="majorBidi" w:cstheme="majorBidi"/>
        </w:rPr>
      </w:pPr>
      <w:r w:rsidRPr="008B6B48">
        <w:rPr>
          <w:rFonts w:asciiTheme="majorBidi" w:hAnsiTheme="majorBidi" w:cstheme="majorBidi"/>
        </w:rPr>
        <w:t>3. Perundang-Undangan</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Peraturan perundang-undangan sebag</w:t>
      </w:r>
      <w:r>
        <w:rPr>
          <w:rFonts w:asciiTheme="majorBidi" w:hAnsiTheme="majorBidi" w:cstheme="majorBidi"/>
        </w:rPr>
        <w:t>ai salah satu produk pemikiran hu</w:t>
      </w:r>
      <w:r w:rsidRPr="008B6B48">
        <w:rPr>
          <w:rFonts w:asciiTheme="majorBidi" w:hAnsiTheme="majorBidi" w:cstheme="majorBidi"/>
        </w:rPr>
        <w:t>kum Islam, seperti halnya dengan yurisprudensi atau putusan pengadilan ia bersifat mengikat. Bahkan daya ikatnya lebih luas dalam masyarakat, karena tidak hanya pada pihak-pihak tertentu, akan tetapi juga seluruh masyarakat yang ada di wilayah hukumnya. Unsur-unsur yang terlibat dalam perumusan perundang-undangan tidak terbatas pada golongan ulama (fuqaha) saja, akan tetapi juga melibatkan unsur-unsur lain dalam masyarakat seperti cendikiawan, politisi dan lain-lain. Masa berlakunya suatu Undang-Undang, berlangsung sampai ada peraturan perundang-undangan baru yang menggantikannya.</w:t>
      </w:r>
      <w:r w:rsidRPr="008B6B48">
        <w:rPr>
          <w:rStyle w:val="FootnoteReference"/>
          <w:rFonts w:asciiTheme="majorBidi" w:hAnsiTheme="majorBidi" w:cstheme="majorBidi"/>
        </w:rPr>
        <w:footnoteReference w:id="816"/>
      </w:r>
    </w:p>
    <w:p w:rsidR="00343B61" w:rsidRPr="008B6B48" w:rsidRDefault="00343B61" w:rsidP="00343B61">
      <w:pPr>
        <w:autoSpaceDE w:val="0"/>
        <w:autoSpaceDN w:val="0"/>
        <w:adjustRightInd w:val="0"/>
        <w:spacing w:line="360" w:lineRule="auto"/>
        <w:ind w:firstLine="720"/>
        <w:jc w:val="both"/>
        <w:rPr>
          <w:rFonts w:asciiTheme="majorBidi" w:hAnsiTheme="majorBidi" w:cstheme="majorBidi"/>
        </w:rPr>
      </w:pPr>
      <w:r w:rsidRPr="008B6B48">
        <w:rPr>
          <w:rFonts w:asciiTheme="majorBidi" w:hAnsiTheme="majorBidi" w:cstheme="majorBidi"/>
        </w:rPr>
        <w:t xml:space="preserve">Diantara produk pemikiran hukum Islam yang telah diakomodasi dalam kategori peraturan perundang-undangan antara lain; Undang-Undang Nomor 1 Tahun 1974 tentang perkawinan, Instruksi Presiden Nomor 1 Tahun 1991 tentang Kompilasi Hukum Islam yang mengatur tentang kewarisan, perkawinan, perwakafan, hibah, sadakah dan wasiat, dan lain-lain. Sebagai produk pemikiran hukum Islam, undang-undang memberikan sanksi hukum terhadap orang yang melakukan pelanggaran. Sebagaimana produk kolektif, Undang-Undang memiliki daya ikat yang lebih luas dari keputusan pengadilan. Dalam hal ini yang terpenting harus dimiliki oleh undang- Undang sebagai </w:t>
      </w:r>
      <w:r w:rsidRPr="008B6B48">
        <w:rPr>
          <w:rFonts w:asciiTheme="majorBidi" w:hAnsiTheme="majorBidi" w:cstheme="majorBidi"/>
        </w:rPr>
        <w:lastRenderedPageBreak/>
        <w:t>produk pemikiran hukum Islam adalah kualitas yang tinggi dan dapat mencerminkan realitas hukum yang tumbuh dan berkembang dalam masyarakat.</w:t>
      </w:r>
    </w:p>
    <w:p w:rsidR="00343B61" w:rsidRPr="008B6B48" w:rsidRDefault="00343B61" w:rsidP="00343B61">
      <w:pPr>
        <w:autoSpaceDE w:val="0"/>
        <w:autoSpaceDN w:val="0"/>
        <w:adjustRightInd w:val="0"/>
        <w:spacing w:after="0" w:line="360" w:lineRule="auto"/>
        <w:ind w:firstLine="180"/>
        <w:rPr>
          <w:rFonts w:asciiTheme="majorBidi" w:hAnsiTheme="majorBidi" w:cstheme="majorBidi"/>
        </w:rPr>
      </w:pPr>
      <w:r w:rsidRPr="008B6B48">
        <w:rPr>
          <w:rFonts w:asciiTheme="majorBidi" w:hAnsiTheme="majorBidi" w:cstheme="majorBidi"/>
        </w:rPr>
        <w:t>4. Bentuk Fatwa</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Fatwa adalah hasil ijtihad seorang muft</w:t>
      </w:r>
      <w:r>
        <w:rPr>
          <w:rFonts w:asciiTheme="majorBidi" w:hAnsiTheme="majorBidi" w:cstheme="majorBidi"/>
        </w:rPr>
        <w:t>i sehubungan dengan peristiwa hu</w:t>
      </w:r>
      <w:r w:rsidRPr="008B6B48">
        <w:rPr>
          <w:rFonts w:asciiTheme="majorBidi" w:hAnsiTheme="majorBidi" w:cstheme="majorBidi"/>
        </w:rPr>
        <w:t>kum yang diajukan kepadanya. Produk pemikiran hukum Islam dalam kategori fatwa, diantara cirinya ialah bersifat kasuistik, karena merupakan respon atau jawaban atas pertanyaan yang diajukan oleh peminta fatwa. Berbeda dengan putusan pengadilan, fatwa tidak mempunyai daya ikat dan daya paksa, dalam arti bahwa yang meminta fatwa tidak harus mengikuti isi atau hukum yang diberikan kepadanya. Demikian pula masyarakat luas tidak harus terikat dengan fatwa itu, karena fatwa seorang ulama di suatu tempat bisa saja berbeda dengan fatwa ulama lain di tempat yang sama. Biasanya fatwa cenderung bersifat dinamis karena merupakan respon terhadap perkembangan baru yang sedang dihadapi oleh orang atau kelompok yang meminta fatwa. Isi suatu fatwa belum tentu dinamis, akan tetapi sikap responnya itu sekurang-kurangnya dapat dikatakan dinamis. Meskipun fatwa itu dikeluarkan secara kasuistik, namun sejumlah fatwa dari ulama besar atau lembaga keagamaan dan hukum telah dibukukan, akan tetapi sistematikanya tetap berbeda dengan fiqh.</w:t>
      </w:r>
      <w:r w:rsidRPr="008B6B48">
        <w:rPr>
          <w:rStyle w:val="FootnoteReference"/>
          <w:rFonts w:asciiTheme="majorBidi" w:hAnsiTheme="majorBidi" w:cstheme="majorBidi"/>
        </w:rPr>
        <w:footnoteReference w:id="817"/>
      </w:r>
    </w:p>
    <w:p w:rsidR="00343B61" w:rsidRDefault="00343B61" w:rsidP="00343B61">
      <w:pPr>
        <w:tabs>
          <w:tab w:val="left" w:pos="0"/>
        </w:tabs>
        <w:spacing w:after="0" w:line="360" w:lineRule="auto"/>
        <w:ind w:firstLine="900"/>
        <w:jc w:val="both"/>
        <w:rPr>
          <w:rFonts w:asciiTheme="majorBidi" w:hAnsiTheme="majorBidi" w:cstheme="majorBidi"/>
        </w:rPr>
      </w:pPr>
      <w:r w:rsidRPr="008B6B48">
        <w:rPr>
          <w:rFonts w:asciiTheme="majorBidi" w:hAnsiTheme="majorBidi" w:cstheme="majorBidi"/>
        </w:rPr>
        <w:t>Di Indonesia, pembaruan hukum Islam dalam kategori fatwa dilakukan oleh organisasi-organisasi kemasyarakatan seperti MUI, NU,Muhammadiyah, Persis dan oraganisasi Islam lainnya</w:t>
      </w:r>
      <w:r w:rsidRPr="008B6B48">
        <w:rPr>
          <w:rStyle w:val="FootnoteReference"/>
          <w:rFonts w:asciiTheme="majorBidi" w:hAnsiTheme="majorBidi" w:cstheme="majorBidi"/>
        </w:rPr>
        <w:footnoteReference w:id="818"/>
      </w:r>
      <w:r w:rsidRPr="008B6B48">
        <w:rPr>
          <w:rFonts w:asciiTheme="majorBidi" w:hAnsiTheme="majorBidi" w:cstheme="majorBidi"/>
        </w:rPr>
        <w:t xml:space="preserve">. Masing-masing organisasi mempunyai lembaga khusus yang melakukan pembaruan hukum Islam dalam bentuk fatwa. Dalam lingkungan NU pembaruan hukum Islam dalam bentuk fatwa dilakukan Mejelis Syuriah dan majelis </w:t>
      </w:r>
      <w:r w:rsidRPr="008B6B48">
        <w:rPr>
          <w:rFonts w:asciiTheme="majorBidi" w:hAnsiTheme="majorBidi" w:cstheme="majorBidi"/>
          <w:i/>
          <w:iCs/>
        </w:rPr>
        <w:t>Ahlu al-Hall wa al- Aqdi</w:t>
      </w:r>
      <w:r w:rsidRPr="008B6B48">
        <w:rPr>
          <w:rFonts w:asciiTheme="majorBidi" w:hAnsiTheme="majorBidi" w:cstheme="majorBidi"/>
        </w:rPr>
        <w:t xml:space="preserve">, atau dalam </w:t>
      </w:r>
      <w:r w:rsidRPr="008B6B48">
        <w:rPr>
          <w:rFonts w:asciiTheme="majorBidi" w:hAnsiTheme="majorBidi" w:cstheme="majorBidi"/>
          <w:i/>
          <w:iCs/>
        </w:rPr>
        <w:t>Baths Masail al-Diniyah</w:t>
      </w:r>
      <w:r>
        <w:rPr>
          <w:rFonts w:asciiTheme="majorBidi" w:hAnsiTheme="majorBidi" w:cstheme="majorBidi"/>
        </w:rPr>
        <w:t xml:space="preserve">. Sementara </w:t>
      </w:r>
      <w:r w:rsidRPr="008B6B48">
        <w:rPr>
          <w:rFonts w:asciiTheme="majorBidi" w:hAnsiTheme="majorBidi" w:cstheme="majorBidi"/>
        </w:rPr>
        <w:t>di</w:t>
      </w:r>
      <w:r>
        <w:rPr>
          <w:rFonts w:asciiTheme="majorBidi" w:hAnsiTheme="majorBidi" w:cstheme="majorBidi"/>
        </w:rPr>
        <w:t xml:space="preserve"> </w:t>
      </w:r>
      <w:r w:rsidRPr="008B6B48">
        <w:rPr>
          <w:rFonts w:asciiTheme="majorBidi" w:hAnsiTheme="majorBidi" w:cstheme="majorBidi"/>
        </w:rPr>
        <w:t xml:space="preserve">lingkungan Muhammadiyah adalah </w:t>
      </w:r>
      <w:r w:rsidRPr="008B6B48">
        <w:rPr>
          <w:rFonts w:asciiTheme="majorBidi" w:hAnsiTheme="majorBidi" w:cstheme="majorBidi"/>
          <w:i/>
          <w:iCs/>
        </w:rPr>
        <w:t>Majelis Tarjih</w:t>
      </w:r>
      <w:r w:rsidRPr="008B6B48">
        <w:rPr>
          <w:rFonts w:asciiTheme="majorBidi" w:hAnsiTheme="majorBidi" w:cstheme="majorBidi"/>
        </w:rPr>
        <w:t xml:space="preserve">, dilingkungan Persis adalah Dewan Hisbah dan di lingkungan MUI adalah Komisi Fatwa MUI. Pembaruan hukum Islam melalui organisasi ini memiliki kegunaan praktis terutama bagi yang membutuhkannya, baik oleh pemerintah maupun oleh para pemimpin dan anggota masyarakat, pada gilirannya fatwa dapat menjadi acuan dalam </w:t>
      </w:r>
      <w:r>
        <w:rPr>
          <w:rFonts w:asciiTheme="majorBidi" w:hAnsiTheme="majorBidi" w:cstheme="majorBidi"/>
        </w:rPr>
        <w:t>membangun</w:t>
      </w:r>
      <w:r w:rsidRPr="008B6B48">
        <w:rPr>
          <w:rFonts w:asciiTheme="majorBidi" w:hAnsiTheme="majorBidi" w:cstheme="majorBidi"/>
        </w:rPr>
        <w:t xml:space="preserve"> hukum Islam.</w:t>
      </w:r>
      <w:r w:rsidRPr="008B6B48">
        <w:rPr>
          <w:rStyle w:val="FootnoteReference"/>
          <w:rFonts w:asciiTheme="majorBidi" w:hAnsiTheme="majorBidi" w:cstheme="majorBidi"/>
        </w:rPr>
        <w:footnoteReference w:id="819"/>
      </w:r>
      <w:r w:rsidRPr="008B6B48">
        <w:rPr>
          <w:rFonts w:asciiTheme="majorBidi" w:hAnsiTheme="majorBidi" w:cstheme="majorBidi"/>
        </w:rPr>
        <w:t xml:space="preserve"> </w:t>
      </w:r>
    </w:p>
    <w:p w:rsidR="00343B61" w:rsidRDefault="00343B61" w:rsidP="00343B61">
      <w:pPr>
        <w:tabs>
          <w:tab w:val="left" w:pos="0"/>
        </w:tabs>
        <w:spacing w:after="0" w:line="360" w:lineRule="auto"/>
        <w:ind w:firstLine="900"/>
        <w:jc w:val="both"/>
        <w:rPr>
          <w:rFonts w:asciiTheme="majorBidi" w:hAnsiTheme="majorBidi" w:cstheme="majorBidi"/>
        </w:rPr>
      </w:pPr>
      <w:r w:rsidRPr="008B6B48">
        <w:rPr>
          <w:rFonts w:asciiTheme="majorBidi" w:hAnsiTheme="majorBidi" w:cstheme="majorBidi"/>
        </w:rPr>
        <w:lastRenderedPageBreak/>
        <w:t xml:space="preserve">Sekarang pertanyaannya </w:t>
      </w:r>
      <w:r w:rsidRPr="008B6B48">
        <w:rPr>
          <w:rFonts w:asciiTheme="majorBidi" w:hAnsiTheme="majorBidi" w:cstheme="majorBidi"/>
          <w:lang w:val="sv-SE"/>
        </w:rPr>
        <w:t xml:space="preserve">Seperti apa peran Fatwa MUI </w:t>
      </w:r>
      <w:r>
        <w:rPr>
          <w:rFonts w:asciiTheme="majorBidi" w:hAnsiTheme="majorBidi" w:cstheme="majorBidi"/>
          <w:lang w:val="sv-SE"/>
        </w:rPr>
        <w:t>dalam membangun</w:t>
      </w:r>
      <w:r w:rsidRPr="008B6B48">
        <w:rPr>
          <w:rFonts w:asciiTheme="majorBidi" w:hAnsiTheme="majorBidi" w:cstheme="majorBidi"/>
          <w:lang w:val="sv-SE"/>
        </w:rPr>
        <w:t xml:space="preserve"> hukum Keluarga Islam</w:t>
      </w:r>
      <w:r>
        <w:rPr>
          <w:rFonts w:asciiTheme="majorBidi" w:hAnsiTheme="majorBidi" w:cstheme="majorBidi"/>
          <w:lang w:val="sv-SE"/>
        </w:rPr>
        <w:t xml:space="preserve"> Indonesia</w:t>
      </w:r>
      <w:r w:rsidRPr="008B6B48">
        <w:rPr>
          <w:rFonts w:asciiTheme="majorBidi" w:hAnsiTheme="majorBidi" w:cstheme="majorBidi"/>
          <w:lang w:val="sv-SE"/>
        </w:rPr>
        <w:t>?</w:t>
      </w:r>
      <w:r>
        <w:rPr>
          <w:rFonts w:asciiTheme="majorBidi" w:hAnsiTheme="majorBidi" w:cstheme="majorBidi"/>
          <w:lang w:val="sv-SE"/>
        </w:rPr>
        <w:t xml:space="preserve">. </w:t>
      </w:r>
      <w:r w:rsidRPr="00D30DE8">
        <w:rPr>
          <w:rFonts w:ascii="Times New Roman" w:hAnsi="Times New Roman" w:cs="Times New Roman"/>
          <w:lang w:val="sv-SE"/>
        </w:rPr>
        <w:t xml:space="preserve">Peran fatwa MUI </w:t>
      </w:r>
      <w:r>
        <w:rPr>
          <w:rFonts w:ascii="Times New Roman" w:hAnsi="Times New Roman" w:cs="Times New Roman"/>
          <w:lang w:val="sv-SE"/>
        </w:rPr>
        <w:t xml:space="preserve">dalam </w:t>
      </w:r>
      <w:r w:rsidRPr="00D30DE8">
        <w:rPr>
          <w:rFonts w:ascii="Times New Roman" w:hAnsi="Times New Roman" w:cs="Times New Roman"/>
          <w:lang w:val="sv-SE"/>
        </w:rPr>
        <w:t>membangun hukum</w:t>
      </w:r>
      <w:r>
        <w:rPr>
          <w:rFonts w:ascii="Times New Roman" w:hAnsi="Times New Roman" w:cs="Times New Roman"/>
          <w:lang w:val="sv-SE"/>
        </w:rPr>
        <w:t xml:space="preserve"> </w:t>
      </w:r>
      <w:r w:rsidRPr="008B6B48">
        <w:rPr>
          <w:rFonts w:asciiTheme="majorBidi" w:hAnsiTheme="majorBidi" w:cstheme="majorBidi"/>
          <w:lang w:val="sv-SE"/>
        </w:rPr>
        <w:t>Keluarga</w:t>
      </w:r>
      <w:r w:rsidRPr="00D30DE8">
        <w:rPr>
          <w:rFonts w:ascii="Times New Roman" w:hAnsi="Times New Roman" w:cs="Times New Roman"/>
          <w:lang w:val="sv-SE"/>
        </w:rPr>
        <w:t xml:space="preserve"> Isla</w:t>
      </w:r>
      <w:r>
        <w:rPr>
          <w:rFonts w:ascii="Times New Roman" w:hAnsi="Times New Roman" w:cs="Times New Roman"/>
          <w:lang w:val="sv-SE"/>
        </w:rPr>
        <w:t>m Indonesia setidaknya mencakup enam aspek</w:t>
      </w:r>
      <w:r w:rsidRPr="00D30DE8">
        <w:rPr>
          <w:rFonts w:ascii="Times New Roman" w:hAnsi="Times New Roman" w:cs="Times New Roman"/>
          <w:lang w:val="sv-SE"/>
        </w:rPr>
        <w:t>, yakni</w:t>
      </w:r>
      <w:r>
        <w:rPr>
          <w:rFonts w:ascii="Times New Roman" w:hAnsi="Times New Roman" w:cs="Times New Roman"/>
          <w:lang w:val="sv-SE"/>
        </w:rPr>
        <w:t>;</w:t>
      </w:r>
      <w:r>
        <w:rPr>
          <w:rFonts w:asciiTheme="majorBidi" w:hAnsiTheme="majorBidi" w:cstheme="majorBidi"/>
          <w:lang w:val="sv-SE"/>
        </w:rPr>
        <w:t xml:space="preserve"> (i)</w:t>
      </w:r>
      <w:r w:rsidRPr="008B6B48">
        <w:rPr>
          <w:rFonts w:asciiTheme="majorBidi" w:hAnsiTheme="majorBidi" w:cstheme="majorBidi"/>
        </w:rPr>
        <w:t xml:space="preserve"> Fatwa MUI berperan sebagai sumber hukum materil bagi Hukum Nasional.</w:t>
      </w:r>
      <w:r>
        <w:rPr>
          <w:rFonts w:asciiTheme="majorBidi" w:hAnsiTheme="majorBidi" w:cstheme="majorBidi"/>
          <w:lang w:val="sv-SE"/>
        </w:rPr>
        <w:t xml:space="preserve"> (ii)</w:t>
      </w:r>
      <w:r w:rsidRPr="008B6B48">
        <w:rPr>
          <w:rFonts w:asciiTheme="majorBidi" w:hAnsiTheme="majorBidi" w:cstheme="majorBidi"/>
        </w:rPr>
        <w:t xml:space="preserve"> Fatwa MUI berperan sebagai bahan dan ru</w:t>
      </w:r>
      <w:r>
        <w:rPr>
          <w:rFonts w:asciiTheme="majorBidi" w:hAnsiTheme="majorBidi" w:cstheme="majorBidi"/>
        </w:rPr>
        <w:t xml:space="preserve">jukan dalam pembuatan peraturan </w:t>
      </w:r>
      <w:r w:rsidRPr="008B6B48">
        <w:rPr>
          <w:rFonts w:asciiTheme="majorBidi" w:hAnsiTheme="majorBidi" w:cstheme="majorBidi"/>
        </w:rPr>
        <w:t>perundang-undangan.</w:t>
      </w:r>
      <w:r>
        <w:rPr>
          <w:rFonts w:asciiTheme="majorBidi" w:hAnsiTheme="majorBidi" w:cstheme="majorBidi"/>
          <w:lang w:val="sv-SE"/>
        </w:rPr>
        <w:t xml:space="preserve"> (iii)</w:t>
      </w:r>
      <w:r w:rsidRPr="008B6B48">
        <w:rPr>
          <w:rFonts w:asciiTheme="majorBidi" w:hAnsiTheme="majorBidi" w:cstheme="majorBidi"/>
        </w:rPr>
        <w:t xml:space="preserve"> Fatwa MUI berperan sebagai reprensentasi Fiqh Indonesia</w:t>
      </w:r>
      <w:r>
        <w:rPr>
          <w:rFonts w:asciiTheme="majorBidi" w:hAnsiTheme="majorBidi" w:cstheme="majorBidi"/>
        </w:rPr>
        <w:t>.</w:t>
      </w:r>
      <w:r>
        <w:rPr>
          <w:rFonts w:asciiTheme="majorBidi" w:hAnsiTheme="majorBidi" w:cstheme="majorBidi"/>
          <w:lang w:val="sv-SE"/>
        </w:rPr>
        <w:t xml:space="preserve"> (iv)</w:t>
      </w:r>
      <w:r w:rsidRPr="008B6B48">
        <w:rPr>
          <w:rFonts w:asciiTheme="majorBidi" w:hAnsiTheme="majorBidi" w:cstheme="majorBidi"/>
        </w:rPr>
        <w:t xml:space="preserve"> Fatwa MUI berperan sebagai pedoman dan rujukan berperilaku bagi masyarakat dan pemerintah dalam kehidupan berbangsa dan bernegara.</w:t>
      </w:r>
      <w:r>
        <w:rPr>
          <w:rFonts w:asciiTheme="majorBidi" w:hAnsiTheme="majorBidi" w:cstheme="majorBidi"/>
          <w:lang w:val="sv-SE"/>
        </w:rPr>
        <w:t xml:space="preserve"> (v)</w:t>
      </w:r>
      <w:r w:rsidRPr="008B6B48">
        <w:rPr>
          <w:rFonts w:asciiTheme="majorBidi" w:hAnsiTheme="majorBidi" w:cstheme="majorBidi"/>
        </w:rPr>
        <w:t xml:space="preserve"> Fatwa MUI berperan </w:t>
      </w:r>
      <w:r>
        <w:rPr>
          <w:rFonts w:asciiTheme="majorBidi" w:hAnsiTheme="majorBidi" w:cstheme="majorBidi"/>
        </w:rPr>
        <w:t>untuk</w:t>
      </w:r>
      <w:r w:rsidRPr="008B6B48">
        <w:rPr>
          <w:rFonts w:asciiTheme="majorBidi" w:hAnsiTheme="majorBidi" w:cstheme="majorBidi"/>
        </w:rPr>
        <w:t xml:space="preserve"> menjawab permasalahan hukum Islam yang semakin kompleks dihadapi umat Islam</w:t>
      </w:r>
      <w:r>
        <w:rPr>
          <w:rFonts w:asciiTheme="majorBidi" w:hAnsiTheme="majorBidi" w:cstheme="majorBidi"/>
        </w:rPr>
        <w:t xml:space="preserve"> Indonesia</w:t>
      </w:r>
      <w:r w:rsidRPr="008B6B48">
        <w:rPr>
          <w:rFonts w:asciiTheme="majorBidi" w:hAnsiTheme="majorBidi" w:cstheme="majorBidi"/>
        </w:rPr>
        <w:t>.</w:t>
      </w:r>
      <w:r>
        <w:rPr>
          <w:rFonts w:asciiTheme="majorBidi" w:hAnsiTheme="majorBidi" w:cstheme="majorBidi"/>
          <w:lang w:val="sv-SE"/>
        </w:rPr>
        <w:t xml:space="preserve"> (vi)</w:t>
      </w:r>
      <w:r w:rsidRPr="008B6B48">
        <w:rPr>
          <w:rFonts w:asciiTheme="majorBidi" w:hAnsiTheme="majorBidi" w:cstheme="majorBidi"/>
        </w:rPr>
        <w:t xml:space="preserve"> Fatwa </w:t>
      </w:r>
      <w:r>
        <w:rPr>
          <w:rFonts w:asciiTheme="majorBidi" w:hAnsiTheme="majorBidi" w:cstheme="majorBidi"/>
        </w:rPr>
        <w:t xml:space="preserve">MUI </w:t>
      </w:r>
      <w:r w:rsidRPr="008B6B48">
        <w:rPr>
          <w:rFonts w:asciiTheme="majorBidi" w:hAnsiTheme="majorBidi" w:cstheme="majorBidi"/>
        </w:rPr>
        <w:t xml:space="preserve">berperan </w:t>
      </w:r>
      <w:r>
        <w:rPr>
          <w:rFonts w:asciiTheme="majorBidi" w:hAnsiTheme="majorBidi" w:cstheme="majorBidi"/>
        </w:rPr>
        <w:t xml:space="preserve">mendukung undang-undang </w:t>
      </w:r>
      <w:r w:rsidRPr="008B6B48">
        <w:rPr>
          <w:rFonts w:asciiTheme="majorBidi" w:hAnsiTheme="majorBidi" w:cstheme="majorBidi"/>
        </w:rPr>
        <w:t>sekaligus melakukan koreksi terhadap undang-undang.</w:t>
      </w:r>
      <w:r>
        <w:rPr>
          <w:rFonts w:asciiTheme="majorBidi" w:hAnsiTheme="majorBidi" w:cstheme="majorBidi"/>
        </w:rPr>
        <w:t xml:space="preserve"> Penjelasan satu persatu dari enam poin ini bisa dilihat pada uraian beriku;</w:t>
      </w:r>
    </w:p>
    <w:p w:rsidR="00343B61" w:rsidRPr="00D30DE8" w:rsidRDefault="00343B61" w:rsidP="00343B61">
      <w:pPr>
        <w:tabs>
          <w:tab w:val="left" w:pos="0"/>
        </w:tabs>
        <w:spacing w:after="0" w:line="360" w:lineRule="auto"/>
        <w:ind w:firstLine="540"/>
        <w:jc w:val="both"/>
        <w:rPr>
          <w:rFonts w:asciiTheme="majorBidi" w:hAnsiTheme="majorBidi" w:cstheme="majorBidi"/>
          <w:lang w:val="sv-SE"/>
        </w:rPr>
      </w:pPr>
      <w:r w:rsidRPr="008B6B48">
        <w:rPr>
          <w:rFonts w:asciiTheme="majorBidi" w:hAnsiTheme="majorBidi" w:cstheme="majorBidi"/>
          <w:i/>
          <w:iCs/>
        </w:rPr>
        <w:t>Pertama</w:t>
      </w:r>
      <w:r w:rsidRPr="008B6B48">
        <w:rPr>
          <w:rFonts w:asciiTheme="majorBidi" w:hAnsiTheme="majorBidi" w:cstheme="majorBidi"/>
        </w:rPr>
        <w:t>, Fatwa MUI berperan sebagai Sumber Hukum Materil Bagi Hukum Nasional.</w:t>
      </w:r>
    </w:p>
    <w:p w:rsidR="00343B61" w:rsidRPr="008B6B48" w:rsidRDefault="00343B61" w:rsidP="00343B61">
      <w:pPr>
        <w:autoSpaceDE w:val="0"/>
        <w:autoSpaceDN w:val="0"/>
        <w:adjustRightInd w:val="0"/>
        <w:spacing w:after="0" w:line="360" w:lineRule="auto"/>
        <w:ind w:firstLine="540"/>
        <w:jc w:val="both"/>
        <w:rPr>
          <w:rFonts w:asciiTheme="majorBidi" w:hAnsiTheme="majorBidi" w:cstheme="majorBidi"/>
        </w:rPr>
      </w:pPr>
      <w:r w:rsidRPr="008B6B48">
        <w:rPr>
          <w:rFonts w:asciiTheme="majorBidi" w:hAnsiTheme="majorBidi" w:cstheme="majorBidi"/>
        </w:rPr>
        <w:t xml:space="preserve">Peran fatwa MUI </w:t>
      </w:r>
      <w:r>
        <w:rPr>
          <w:rFonts w:asciiTheme="majorBidi" w:hAnsiTheme="majorBidi" w:cstheme="majorBidi"/>
          <w:lang w:val="sv-SE"/>
        </w:rPr>
        <w:t xml:space="preserve">dalam membangun </w:t>
      </w:r>
      <w:r w:rsidRPr="008B6B48">
        <w:rPr>
          <w:rFonts w:asciiTheme="majorBidi" w:hAnsiTheme="majorBidi" w:cstheme="majorBidi"/>
          <w:lang w:val="sv-SE"/>
        </w:rPr>
        <w:t>hukum Keluarga Islam</w:t>
      </w:r>
      <w:r>
        <w:rPr>
          <w:rFonts w:asciiTheme="majorBidi" w:hAnsiTheme="majorBidi" w:cstheme="majorBidi"/>
          <w:lang w:val="sv-SE"/>
        </w:rPr>
        <w:t xml:space="preserve"> indonesia</w:t>
      </w:r>
      <w:r w:rsidRPr="008B6B48">
        <w:rPr>
          <w:rFonts w:asciiTheme="majorBidi" w:hAnsiTheme="majorBidi" w:cstheme="majorBidi"/>
        </w:rPr>
        <w:t xml:space="preserve"> </w:t>
      </w:r>
      <w:r>
        <w:rPr>
          <w:rFonts w:asciiTheme="majorBidi" w:hAnsiTheme="majorBidi" w:cstheme="majorBidi"/>
        </w:rPr>
        <w:t>tergambar dalam bentuk</w:t>
      </w:r>
      <w:r w:rsidRPr="008B6B48">
        <w:rPr>
          <w:rFonts w:asciiTheme="majorBidi" w:hAnsiTheme="majorBidi" w:cstheme="majorBidi"/>
        </w:rPr>
        <w:t xml:space="preserve"> dipakainya fatwa MUI tersebut sebagai sumber hukum materil bagi hukum nasional. Negara Republik Indonesia yang berdasarkan prinsip konstitusi (sistem konstitusional) atau Negara berdasarkan hukum (de rechtsstaat) yang dianut oleh Undang- Undang Dasar 1945 dimana hukum agama merupakan sumber hukum materil bagi hukum nasional. Bagir Manan, dengan mengutip pendapat N.E. Van Duyvendijk, menempatkan hukum Islam sebagai bagian dari sumber hukum materil dalam kelompok tradisi (pendapat keagamaan dan moral, tradisi di bidang hukum).</w:t>
      </w:r>
      <w:r w:rsidRPr="008B6B48">
        <w:rPr>
          <w:rStyle w:val="FootnoteReference"/>
          <w:rFonts w:asciiTheme="majorBidi" w:hAnsiTheme="majorBidi" w:cstheme="majorBidi"/>
        </w:rPr>
        <w:footnoteReference w:id="820"/>
      </w:r>
      <w:r w:rsidRPr="008B6B48">
        <w:rPr>
          <w:rFonts w:asciiTheme="majorBidi" w:hAnsiTheme="majorBidi" w:cstheme="majorBidi"/>
        </w:rPr>
        <w:t xml:space="preserve"> Sebaliknya Utrecht memasukkan agama (hukum agama) sebagai sumber hukum formil, dengan menjelaskan bahwa di daerah-daerah (Indonesia) yang pandangan hidup penduduknya sangat terikat oleh agama, sumber hukum (agama) penting sekali.</w:t>
      </w:r>
      <w:r w:rsidRPr="008B6B48">
        <w:rPr>
          <w:rStyle w:val="FootnoteReference"/>
          <w:rFonts w:asciiTheme="majorBidi" w:hAnsiTheme="majorBidi" w:cstheme="majorBidi"/>
        </w:rPr>
        <w:footnoteReference w:id="821"/>
      </w:r>
    </w:p>
    <w:p w:rsidR="00343B61" w:rsidRPr="00743108" w:rsidRDefault="00343B61" w:rsidP="00343B61">
      <w:pPr>
        <w:pStyle w:val="ListParagraph"/>
        <w:spacing w:after="0" w:line="360" w:lineRule="auto"/>
        <w:ind w:left="0" w:firstLine="720"/>
        <w:jc w:val="both"/>
        <w:rPr>
          <w:rFonts w:asciiTheme="majorBidi" w:hAnsiTheme="majorBidi" w:cstheme="majorBidi"/>
          <w:i/>
          <w:iCs/>
        </w:rPr>
      </w:pPr>
      <w:r w:rsidRPr="00743108">
        <w:rPr>
          <w:rFonts w:asciiTheme="majorBidi" w:hAnsiTheme="majorBidi" w:cstheme="majorBidi"/>
        </w:rPr>
        <w:t xml:space="preserve">Menjadikan hukum agama atau fatwa yang ditetapkan oleh mufti sebagai sumber hukum materil telah lama dipraktikkan dalam perjalanan historis penyelenggaraan pemerintahan di Indonesia, baik di zaman kolonial Belanda maupun setelah kemerdekaan. Sebelum hukum Islam ditetapkan sebagai aturan tertulis berdasarkan undang-undang, maka para hakim Pengadilan Agama/ Makamah Syari’yah dianjurkan agar mempergunakan sebagai pedoman kitab-kitab (fiqh) tersebut di bawah ini: 1. </w:t>
      </w:r>
      <w:r w:rsidRPr="00743108">
        <w:rPr>
          <w:rFonts w:asciiTheme="majorBidi" w:hAnsiTheme="majorBidi" w:cstheme="majorBidi"/>
          <w:i/>
          <w:iCs/>
        </w:rPr>
        <w:t>Al-Bājūri</w:t>
      </w:r>
      <w:r w:rsidRPr="00743108">
        <w:rPr>
          <w:rFonts w:asciiTheme="majorBidi" w:hAnsiTheme="majorBidi" w:cstheme="majorBidi"/>
        </w:rPr>
        <w:t xml:space="preserve">; 2. </w:t>
      </w:r>
      <w:r w:rsidRPr="00743108">
        <w:rPr>
          <w:rFonts w:asciiTheme="majorBidi" w:hAnsiTheme="majorBidi" w:cstheme="majorBidi"/>
          <w:i/>
          <w:iCs/>
        </w:rPr>
        <w:t>Fath al-Muīn</w:t>
      </w:r>
      <w:r w:rsidRPr="00743108">
        <w:rPr>
          <w:rFonts w:asciiTheme="majorBidi" w:hAnsiTheme="majorBidi" w:cstheme="majorBidi"/>
        </w:rPr>
        <w:t xml:space="preserve">; 3. </w:t>
      </w:r>
      <w:r w:rsidRPr="00743108">
        <w:rPr>
          <w:rFonts w:asciiTheme="majorBidi" w:hAnsiTheme="majorBidi" w:cstheme="majorBidi"/>
          <w:i/>
          <w:iCs/>
        </w:rPr>
        <w:t>Syarqāwi ‘ala at-Tahrīr</w:t>
      </w:r>
      <w:r w:rsidRPr="00743108">
        <w:rPr>
          <w:rFonts w:asciiTheme="majorBidi" w:hAnsiTheme="majorBidi" w:cstheme="majorBidi"/>
        </w:rPr>
        <w:t xml:space="preserve">; 4. </w:t>
      </w:r>
      <w:r w:rsidRPr="00743108">
        <w:rPr>
          <w:rFonts w:asciiTheme="majorBidi" w:hAnsiTheme="majorBidi" w:cstheme="majorBidi"/>
          <w:i/>
          <w:iCs/>
        </w:rPr>
        <w:t>Qalyūbi/Mahalli</w:t>
      </w:r>
      <w:r w:rsidRPr="00743108">
        <w:rPr>
          <w:rFonts w:asciiTheme="majorBidi" w:hAnsiTheme="majorBidi" w:cstheme="majorBidi"/>
        </w:rPr>
        <w:t xml:space="preserve">; 5. </w:t>
      </w:r>
      <w:r w:rsidRPr="00743108">
        <w:rPr>
          <w:rFonts w:asciiTheme="majorBidi" w:hAnsiTheme="majorBidi" w:cstheme="majorBidi"/>
          <w:i/>
          <w:iCs/>
        </w:rPr>
        <w:t>Fath al-Wahhāb</w:t>
      </w:r>
      <w:r w:rsidRPr="00743108">
        <w:rPr>
          <w:rFonts w:asciiTheme="majorBidi" w:hAnsiTheme="majorBidi" w:cstheme="majorBidi"/>
        </w:rPr>
        <w:t xml:space="preserve"> dengan </w:t>
      </w:r>
      <w:r w:rsidRPr="00743108">
        <w:rPr>
          <w:rFonts w:asciiTheme="majorBidi" w:hAnsiTheme="majorBidi" w:cstheme="majorBidi"/>
        </w:rPr>
        <w:lastRenderedPageBreak/>
        <w:t xml:space="preserve">syarahnya; 6. </w:t>
      </w:r>
      <w:r w:rsidRPr="00743108">
        <w:rPr>
          <w:rFonts w:asciiTheme="majorBidi" w:hAnsiTheme="majorBidi" w:cstheme="majorBidi"/>
          <w:i/>
          <w:iCs/>
        </w:rPr>
        <w:t>Tuhfah</w:t>
      </w:r>
      <w:r w:rsidRPr="00743108">
        <w:rPr>
          <w:rFonts w:asciiTheme="majorBidi" w:hAnsiTheme="majorBidi" w:cstheme="majorBidi"/>
        </w:rPr>
        <w:t xml:space="preserve">; 7. </w:t>
      </w:r>
      <w:r w:rsidRPr="00743108">
        <w:rPr>
          <w:rFonts w:asciiTheme="majorBidi" w:hAnsiTheme="majorBidi" w:cstheme="majorBidi"/>
          <w:i/>
          <w:iCs/>
        </w:rPr>
        <w:t>Targhib al-Musytāq</w:t>
      </w:r>
      <w:r w:rsidRPr="00743108">
        <w:rPr>
          <w:rFonts w:asciiTheme="majorBidi" w:hAnsiTheme="majorBidi" w:cstheme="majorBidi"/>
        </w:rPr>
        <w:t>; 8.</w:t>
      </w:r>
      <w:r w:rsidRPr="00743108">
        <w:rPr>
          <w:rFonts w:asciiTheme="majorBidi" w:hAnsiTheme="majorBidi" w:cstheme="majorBidi"/>
          <w:i/>
          <w:iCs/>
        </w:rPr>
        <w:t>Qawānīn al-Syar‘iyyah li Sayid Ibnu Yahya</w:t>
      </w:r>
      <w:r w:rsidRPr="00743108">
        <w:rPr>
          <w:rFonts w:asciiTheme="majorBidi" w:hAnsiTheme="majorBidi" w:cstheme="majorBidi"/>
        </w:rPr>
        <w:t xml:space="preserve">; 9. </w:t>
      </w:r>
      <w:r w:rsidRPr="00743108">
        <w:rPr>
          <w:rFonts w:asciiTheme="majorBidi" w:hAnsiTheme="majorBidi" w:cstheme="majorBidi"/>
          <w:i/>
          <w:iCs/>
        </w:rPr>
        <w:t>Qawānīn al-Syar‘iyyah li Sayid Shadaqah Dahlan</w:t>
      </w:r>
      <w:r w:rsidRPr="00743108">
        <w:rPr>
          <w:rFonts w:asciiTheme="majorBidi" w:hAnsiTheme="majorBidi" w:cstheme="majorBidi"/>
        </w:rPr>
        <w:t xml:space="preserve">; 10. </w:t>
      </w:r>
      <w:r w:rsidRPr="00743108">
        <w:rPr>
          <w:rFonts w:asciiTheme="majorBidi" w:hAnsiTheme="majorBidi" w:cstheme="majorBidi"/>
          <w:i/>
          <w:iCs/>
        </w:rPr>
        <w:t>Syamsūri fi al-Farāidh</w:t>
      </w:r>
      <w:r w:rsidRPr="00743108">
        <w:rPr>
          <w:rFonts w:asciiTheme="majorBidi" w:hAnsiTheme="majorBidi" w:cstheme="majorBidi"/>
        </w:rPr>
        <w:t xml:space="preserve">; 11. </w:t>
      </w:r>
      <w:r w:rsidRPr="00743108">
        <w:rPr>
          <w:rFonts w:asciiTheme="majorBidi" w:hAnsiTheme="majorBidi" w:cstheme="majorBidi"/>
          <w:i/>
          <w:iCs/>
        </w:rPr>
        <w:t>Bughyah al-Musytarsyidīn</w:t>
      </w:r>
      <w:r w:rsidRPr="00743108">
        <w:rPr>
          <w:rFonts w:asciiTheme="majorBidi" w:hAnsiTheme="majorBidi" w:cstheme="majorBidi"/>
        </w:rPr>
        <w:t xml:space="preserve">; 12. </w:t>
      </w:r>
      <w:r w:rsidRPr="00743108">
        <w:rPr>
          <w:rFonts w:asciiTheme="majorBidi" w:hAnsiTheme="majorBidi" w:cstheme="majorBidi"/>
          <w:i/>
          <w:iCs/>
        </w:rPr>
        <w:t>Al-Fiqh ‘alā Madzahib al-Arba‘ah</w:t>
      </w:r>
      <w:r w:rsidRPr="00743108">
        <w:rPr>
          <w:rFonts w:asciiTheme="majorBidi" w:hAnsiTheme="majorBidi" w:cstheme="majorBidi"/>
        </w:rPr>
        <w:t xml:space="preserve">; dan 13. </w:t>
      </w:r>
      <w:r w:rsidRPr="00743108">
        <w:rPr>
          <w:rFonts w:asciiTheme="majorBidi" w:hAnsiTheme="majorBidi" w:cstheme="majorBidi"/>
          <w:i/>
          <w:iCs/>
        </w:rPr>
        <w:t xml:space="preserve">Mughni al-Muhtāj.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Penetapan kitab-kitab fiqh sebagai stándar rujukan bagi para hakim pengadilan agama merupakan langkah awal ke arah kepastian hukum, yang kemudian melahirkan gagasan untuk pembentukan Kompilasi Hukum Islam yang ditetapkan sebagai bagian dari sumber hukum formal di Indonesia berdasarkan Instruksi Presiden Nomor 1 Tahun 1991.</w:t>
      </w:r>
      <w:r w:rsidRPr="008B6B48">
        <w:rPr>
          <w:rStyle w:val="FootnoteReference"/>
          <w:rFonts w:asciiTheme="majorBidi" w:hAnsiTheme="majorBidi" w:cstheme="majorBidi"/>
        </w:rPr>
        <w:footnoteReference w:id="822"/>
      </w:r>
    </w:p>
    <w:p w:rsidR="00343B61" w:rsidRPr="008B6B48" w:rsidRDefault="00343B61" w:rsidP="00343B61">
      <w:pPr>
        <w:autoSpaceDE w:val="0"/>
        <w:autoSpaceDN w:val="0"/>
        <w:adjustRightInd w:val="0"/>
        <w:spacing w:after="0" w:line="360" w:lineRule="auto"/>
        <w:ind w:firstLine="540"/>
        <w:jc w:val="both"/>
        <w:rPr>
          <w:rFonts w:asciiTheme="majorBidi" w:hAnsiTheme="majorBidi" w:cstheme="majorBidi"/>
        </w:rPr>
      </w:pPr>
      <w:r w:rsidRPr="008B6B48">
        <w:rPr>
          <w:rFonts w:asciiTheme="majorBidi" w:hAnsiTheme="majorBidi" w:cstheme="majorBidi"/>
          <w:i/>
          <w:iCs/>
        </w:rPr>
        <w:t>Kedua</w:t>
      </w:r>
      <w:r w:rsidRPr="008B6B48">
        <w:rPr>
          <w:rFonts w:asciiTheme="majorBidi" w:hAnsiTheme="majorBidi" w:cstheme="majorBidi"/>
        </w:rPr>
        <w:t>, Fatwa MUI berperan sebagai bahan dan rujukan dalam pembuatan peraturan perundang-undangan. Hal tersebut dibuktikan dengan banyaknya produk fakwa MUI yang diadopsi jadi Undang-Undang. Wahiduddin Adams, dalam penelitiannya tentang fatwa MUI menyebutkan, dalam catatan sejarah sejak berdirinya MUI sampai dengan sekarang, telah banyak fatwa dan nasihat MUI sebagai produk pemikiran hukum Islam yang terserap dalam berbagai Peraturan Perundang-undangan. Indikator yang mendukung kecenderungan tersebut dapat dilihat dari lahirnya beberapa Peraturan Perundang-undangan, antara lain: 1) Undang-Undang Nomor 1 Tahun 1974 tentang Perkawinan dan berbagai peraturan pelaksanaannya; 2) Peraturan Pemerintah Nomor 28 Tahun 1977 tentang Perwakafan Tanah Milik; 3) Undang-Undang Nomor 7 Tahun 1989 tentang Peradilan Agama; 4) Instruksi Presiden Nomor 2 Tahun 1991 tentang Kompilasi Hukum Islam; 5) Undang-Undang Nomor 17 Tahun 1999 tentang Penyelenggaraan Ibadah Haji; 6) Undang-Undang Nomor 38 Tahun 1999 tentang Pengelolaan Zakat; 7) Undang-Undang Nomor 44 Tahun 1999 tentang Nangroe Aceh Darussalam; 8) Undang-Undang Nomor 41 Tahun 2004 tentang Wakaf; 9) Undang-Undang Nomor 3 Tahun 2006 tentang Perubahan atas Undang-Undang Nomor 7 Tahun 1989 Tentang Peradilan Agama. 10) Undang-Undang Nomor 11 Tahun 2006 tentang Pemerintahan Aceh yang menggantikan Undang-Undang Nomor 44 Tahun 1999 tentang Nangroe Aceh Darussalam; dan 11) Undang-Undang Nomor 13 Tahun 2008 tentang Penyelenggaraan Haji yang menggantikan Undang- Undang Nomor 17 Tahun 1999 tentang Penyelenggaraan Ibadah Haji.</w:t>
      </w:r>
      <w:r w:rsidRPr="008B6B48">
        <w:rPr>
          <w:rStyle w:val="FootnoteReference"/>
          <w:rFonts w:asciiTheme="majorBidi" w:hAnsiTheme="majorBidi" w:cstheme="majorBidi"/>
        </w:rPr>
        <w:footnoteReference w:id="823"/>
      </w:r>
      <w:r>
        <w:rPr>
          <w:rFonts w:asciiTheme="majorBidi" w:hAnsiTheme="majorBidi" w:cstheme="majorBidi"/>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lastRenderedPageBreak/>
        <w:t>Disatu sisi, fatwa MUI merupakan perangkat aturan kehidupan masyarakat yang bersifat tidak mengikat dan tidak ada paksaan secara hukum bagi addresat-nya untuk mematuhi ketentuan fatwa tersebut. Namun di sisi lain, melalui pola-pola tertentu, materi muatan yang terkandung dalam Fatwa MUI dapat diserap dan ditransformasikan menjadi materi muatan Peraturan Perundang-undangan yang memiliki kekuatan hukum dan mengikat umum.</w:t>
      </w:r>
      <w:r w:rsidRPr="008B6B48">
        <w:rPr>
          <w:rStyle w:val="FootnoteReference"/>
          <w:rFonts w:asciiTheme="majorBidi" w:hAnsiTheme="majorBidi" w:cstheme="majorBidi"/>
        </w:rPr>
        <w:footnoteReference w:id="824"/>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Perkembangan dewasa ini menunjukan bahwa fatwa dan nasihat MUI memiliki kedudukan yang semakin kuat sebagai sebagai bahan dan rujukan dalam pembentukan Peraturan Perundang-undangan. Hal ini dapat dilihat dalam berbagai Peraturan Perundang-undangan, sebagai contoh  Undang-Undang Nomor 40 Tahun 2007 tentang Perseroan Terbatas Dalam Pasal 109 Undang-Undang Nomor 40 Tahun 2007 dinyatakan: (1) Perseroan yang menjalankan kegiatan usaha berdasarkan prinsip syariah selain mempunyai Dewan Komisaris wajib mempunyai Dewan Pengawas Syariah. (2) Dewan Pengawas Syariah sebagaimana dimaksud pada ayat (1) terdiri atas seorang ahli syariah atau lebih yang diangkat oleh RUPS atas rekomendasi Majelis Ulama Indonesia. (3) Dewan Pengawas Syariah sebagaimana dimaksud pada ayat (1) bertugas memberikan nasihat dan saran kepada Direksi serta mengawasi kegiatan Perseroan agar sesuai dengan prinsip syariah.</w:t>
      </w:r>
      <w:r w:rsidRPr="008B6B48">
        <w:rPr>
          <w:rStyle w:val="FootnoteReference"/>
          <w:rFonts w:asciiTheme="majorBidi" w:hAnsiTheme="majorBidi" w:cstheme="majorBidi"/>
        </w:rPr>
        <w:footnoteReference w:id="825"/>
      </w:r>
    </w:p>
    <w:p w:rsidR="00343B61" w:rsidRPr="008B6B48" w:rsidRDefault="00343B61" w:rsidP="00343B61">
      <w:pPr>
        <w:autoSpaceDE w:val="0"/>
        <w:autoSpaceDN w:val="0"/>
        <w:adjustRightInd w:val="0"/>
        <w:spacing w:after="0" w:line="360" w:lineRule="auto"/>
        <w:ind w:firstLine="450"/>
        <w:jc w:val="both"/>
        <w:rPr>
          <w:rFonts w:asciiTheme="majorBidi" w:hAnsiTheme="majorBidi" w:cstheme="majorBidi"/>
        </w:rPr>
      </w:pPr>
      <w:r w:rsidRPr="008B6B48">
        <w:rPr>
          <w:rFonts w:asciiTheme="majorBidi" w:hAnsiTheme="majorBidi" w:cstheme="majorBidi"/>
          <w:i/>
          <w:iCs/>
        </w:rPr>
        <w:t>Ketiga</w:t>
      </w:r>
      <w:r w:rsidRPr="008B6B48">
        <w:rPr>
          <w:rFonts w:asciiTheme="majorBidi" w:hAnsiTheme="majorBidi" w:cstheme="majorBidi"/>
        </w:rPr>
        <w:t>, Fatwa MUI berperan sebagai reprensentasi Fiqh Indonesia. Fiqh Indonesia adalah fiqh yang dirumuskan oleh orang-orang Indonesia dengan menyesuaikan kondisi-kondisi masyarakat Indonesia.</w:t>
      </w:r>
      <w:r w:rsidRPr="008B6B48">
        <w:rPr>
          <w:rStyle w:val="FootnoteReference"/>
          <w:rFonts w:asciiTheme="majorBidi" w:hAnsiTheme="majorBidi" w:cstheme="majorBidi"/>
        </w:rPr>
        <w:footnoteReference w:id="826"/>
      </w:r>
      <w:r w:rsidRPr="008B6B48">
        <w:rPr>
          <w:rFonts w:asciiTheme="majorBidi" w:hAnsiTheme="majorBidi" w:cstheme="majorBidi"/>
        </w:rPr>
        <w:t xml:space="preserve"> </w:t>
      </w:r>
      <w:r w:rsidRPr="008B6B48">
        <w:rPr>
          <w:rFonts w:asciiTheme="majorBidi" w:hAnsiTheme="majorBidi" w:cstheme="majorBidi"/>
          <w:color w:val="000000"/>
        </w:rPr>
        <w:t>Hukum Islam di Indonesia dewasa ini sebagian merupakan hukum yang tidak tertulis dalam kitab perundang-undangan, di samping masih lekat dengan trade mark Timur Tengahnya. Karena itu, sejumlah kalangan cendekiawan muslim Indonesia kemudian memunculkan wacana pribumisasi hukum Islam dengan beragam gagasan dan penamaan.</w:t>
      </w:r>
      <w:r w:rsidRPr="008B6B48">
        <w:rPr>
          <w:rStyle w:val="FootnoteReference"/>
          <w:rFonts w:asciiTheme="majorBidi" w:hAnsiTheme="majorBidi" w:cstheme="majorBidi"/>
          <w:color w:val="000000"/>
        </w:rPr>
        <w:footnoteReference w:id="827"/>
      </w:r>
      <w:r w:rsidRPr="008B6B48">
        <w:rPr>
          <w:rFonts w:asciiTheme="majorBidi" w:hAnsiTheme="majorBidi" w:cstheme="majorBidi"/>
          <w:color w:val="000000"/>
        </w:rPr>
        <w:t xml:space="preserve"> </w:t>
      </w:r>
    </w:p>
    <w:p w:rsidR="00343B61" w:rsidRPr="008B6B48" w:rsidRDefault="00343B61" w:rsidP="00343B61">
      <w:pPr>
        <w:pStyle w:val="ListParagraph"/>
        <w:spacing w:line="360" w:lineRule="auto"/>
        <w:ind w:left="0" w:firstLine="720"/>
        <w:jc w:val="both"/>
        <w:rPr>
          <w:rFonts w:asciiTheme="majorBidi" w:hAnsiTheme="majorBidi" w:cstheme="majorBidi"/>
          <w:color w:val="000000"/>
        </w:rPr>
      </w:pPr>
      <w:r w:rsidRPr="008B6B48">
        <w:rPr>
          <w:rFonts w:asciiTheme="majorBidi" w:hAnsiTheme="majorBidi" w:cstheme="majorBidi"/>
          <w:color w:val="000000"/>
        </w:rPr>
        <w:t xml:space="preserve">Ada beberapa tokoh yang banyak memberikan tawaran konstrukstif dan paradigmatik format fiqh ala Indonesia. yaitu Hasbi ash-Shiddieqy sebagai penggagas </w:t>
      </w:r>
      <w:r w:rsidRPr="008B6B48">
        <w:rPr>
          <w:rFonts w:asciiTheme="majorBidi" w:hAnsiTheme="majorBidi" w:cstheme="majorBidi"/>
          <w:color w:val="000000"/>
        </w:rPr>
        <w:lastRenderedPageBreak/>
        <w:t>awal fiqh Indonesia, kemudian Hazairin yang menggagas Indonesian mazhab atau Syafi’i plus Indonesia mazhab dengan proyek diantaranya rancangan hukum kewarisan nasional. Lalu KH Sahal Mahfuzh, penggagas fikih sosial ke Indonesiaan, dan Gus Dur (KH Abdurrahman Wahid) yang menawarkan gagasan pribumisasi Islam dan kontekstualisasi fiqh.</w:t>
      </w:r>
      <w:r w:rsidRPr="008B6B48">
        <w:rPr>
          <w:rStyle w:val="FootnoteReference"/>
          <w:rFonts w:asciiTheme="majorBidi" w:hAnsiTheme="majorBidi" w:cstheme="majorBidi"/>
          <w:color w:val="000000"/>
        </w:rPr>
        <w:footnoteReference w:id="828"/>
      </w:r>
    </w:p>
    <w:p w:rsidR="00343B61" w:rsidRPr="008B6B48" w:rsidRDefault="00343B61" w:rsidP="00343B61">
      <w:pPr>
        <w:pStyle w:val="ListParagraph"/>
        <w:spacing w:after="0" w:line="360" w:lineRule="auto"/>
        <w:ind w:left="0" w:firstLine="720"/>
        <w:jc w:val="both"/>
        <w:rPr>
          <w:rFonts w:asciiTheme="majorBidi" w:hAnsiTheme="majorBidi" w:cstheme="majorBidi"/>
        </w:rPr>
      </w:pPr>
      <w:r w:rsidRPr="008B6B48">
        <w:rPr>
          <w:rFonts w:asciiTheme="majorBidi" w:hAnsiTheme="majorBidi" w:cstheme="majorBidi"/>
        </w:rPr>
        <w:t>Dari madrasah, pesantren, hingga perguruan tinggi Islam, tradisi khas ke Indonesia</w:t>
      </w:r>
      <w:r>
        <w:rPr>
          <w:rFonts w:asciiTheme="majorBidi" w:hAnsiTheme="majorBidi" w:cstheme="majorBidi"/>
        </w:rPr>
        <w:t>a</w:t>
      </w:r>
      <w:r w:rsidRPr="008B6B48">
        <w:rPr>
          <w:rFonts w:asciiTheme="majorBidi" w:hAnsiTheme="majorBidi" w:cstheme="majorBidi"/>
        </w:rPr>
        <w:t>n lahir, di mana agama dan tradisi lokal diramu menjadi identitas Islam tersendiri, yang berbeda dengan Islam yang berkonteks Timur Tengah, India, maupun Pakistan. Tugas para ulama dan cedekiawan sejak awal telah mengarah pada penciptaan dan sokongan terhadap pilar tradisi ke</w:t>
      </w:r>
      <w:r>
        <w:rPr>
          <w:rFonts w:asciiTheme="majorBidi" w:hAnsiTheme="majorBidi" w:cstheme="majorBidi"/>
        </w:rPr>
        <w:t xml:space="preserve"> </w:t>
      </w:r>
      <w:r w:rsidRPr="008B6B48">
        <w:rPr>
          <w:rFonts w:asciiTheme="majorBidi" w:hAnsiTheme="majorBidi" w:cstheme="majorBidi"/>
        </w:rPr>
        <w:t xml:space="preserve">Indonesiaan itu sendiri. </w:t>
      </w:r>
      <w:r w:rsidRPr="008B6B48">
        <w:rPr>
          <w:rStyle w:val="FootnoteReference"/>
          <w:rFonts w:asciiTheme="majorBidi" w:hAnsiTheme="majorBidi" w:cstheme="majorBidi"/>
        </w:rPr>
        <w:footnoteReference w:id="829"/>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Pembuatan suatu fatwa (formulasi hukum Islam) ternyata memang tidak bisa mengabaikan latar belakang sosio-politik di mana hukum Islam itu dikeluarkan. An-Na'im, disamping ia menegaskan sebuah tesis bahwa ada aspek-aspek Islam dan Syari'ah tertentu yang bersifat universal, namun ia membenarkan bahwa penafsiran dan praktek semua agama, termasuk system hukum Islam, sangat dipengaruhi oleh kondisi sosiologis, ekonomi dan politik masyarakat tertentu, yang di dalamnya terdapat variasi dan kekhasan lokalnya sendiri.</w:t>
      </w:r>
      <w:r w:rsidRPr="008B6B48">
        <w:rPr>
          <w:rStyle w:val="FootnoteReference"/>
          <w:rFonts w:asciiTheme="majorBidi" w:hAnsiTheme="majorBidi" w:cstheme="majorBidi"/>
        </w:rPr>
        <w:footnoteReference w:id="830"/>
      </w:r>
      <w:r w:rsidRPr="008B6B48">
        <w:rPr>
          <w:rFonts w:asciiTheme="majorBidi" w:hAnsiTheme="majorBidi" w:cstheme="majorBidi"/>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Hal ini senada dengan penegasan K.H. Sahal Mahfudh bahwa dalam pembentukannva fiqh selalu mempunyai konteks dengan kehidupan nyata dan karena itu bersifat dinamis.</w:t>
      </w:r>
      <w:r w:rsidRPr="008B6B48">
        <w:rPr>
          <w:rStyle w:val="FootnoteReference"/>
          <w:rFonts w:asciiTheme="majorBidi" w:hAnsiTheme="majorBidi" w:cstheme="majorBidi"/>
        </w:rPr>
        <w:footnoteReference w:id="831"/>
      </w:r>
      <w:r w:rsidRPr="008B6B48">
        <w:rPr>
          <w:rFonts w:asciiTheme="majorBidi" w:hAnsiTheme="majorBidi" w:cstheme="majorBidi"/>
        </w:rPr>
        <w:t xml:space="preserve"> Seperti dalam fatwa MUI tentang masalah perkawinan dan keluarga ternyata telah diwarnai oleh faktor sosio</w:t>
      </w:r>
      <w:r>
        <w:rPr>
          <w:rFonts w:asciiTheme="majorBidi" w:hAnsiTheme="majorBidi" w:cstheme="majorBidi"/>
        </w:rPr>
        <w:t xml:space="preserve"> </w:t>
      </w:r>
      <w:r w:rsidRPr="008B6B48">
        <w:rPr>
          <w:rFonts w:asciiTheme="majorBidi" w:hAnsiTheme="majorBidi" w:cstheme="majorBidi"/>
        </w:rPr>
        <w:t>politik tertentu yaitu persaingan Islam-Kristen. Faktor inilah yang juga harus dilihat dalam formulasi suatu hukum Islam sehingga sampai pada suatu kesimpulan tertentu.</w:t>
      </w:r>
    </w:p>
    <w:p w:rsidR="00343B61" w:rsidRPr="008B6B48" w:rsidRDefault="00343B61" w:rsidP="00343B61">
      <w:pPr>
        <w:spacing w:after="0" w:line="360" w:lineRule="auto"/>
        <w:ind w:firstLine="360"/>
        <w:jc w:val="both"/>
        <w:rPr>
          <w:rFonts w:asciiTheme="majorBidi" w:hAnsiTheme="majorBidi" w:cstheme="majorBidi"/>
        </w:rPr>
      </w:pPr>
      <w:r w:rsidRPr="008B6B48">
        <w:rPr>
          <w:rFonts w:asciiTheme="majorBidi" w:hAnsiTheme="majorBidi" w:cstheme="majorBidi"/>
        </w:rPr>
        <w:t xml:space="preserve"> </w:t>
      </w:r>
      <w:r w:rsidRPr="008B6B48">
        <w:rPr>
          <w:rFonts w:asciiTheme="majorBidi" w:hAnsiTheme="majorBidi" w:cstheme="majorBidi"/>
          <w:i/>
          <w:iCs/>
        </w:rPr>
        <w:t>Keempat,</w:t>
      </w:r>
      <w:r w:rsidRPr="008B6B48">
        <w:rPr>
          <w:rFonts w:asciiTheme="majorBidi" w:hAnsiTheme="majorBidi" w:cstheme="majorBidi"/>
        </w:rPr>
        <w:t xml:space="preserve"> Fatwa MUI berperan sebagai pedoman dan rujukan berperilaku bagi masyarakat dan pemerintah dalam kehidupan berbangsa dan bernegara. Kenyataan selama ini menunjukkan bahwa meskipun fatwa MUI tidak mengikat secara hukum, tetapi dalam prakteknya selalu dijadikan rujukan berperilaku oleh masyarakat dan pemerintah dalam </w:t>
      </w:r>
      <w:r w:rsidRPr="008B6B48">
        <w:rPr>
          <w:rFonts w:asciiTheme="majorBidi" w:hAnsiTheme="majorBidi" w:cstheme="majorBidi"/>
        </w:rPr>
        <w:lastRenderedPageBreak/>
        <w:t>berbagai aspek kehidupan berbangsa dan bernegara. Sebagaimana yang diungkapkan oleh M. Atho Mudzhar, bahwa Majelis Ulama Indonesia (MUI) merupakan salah satu lembaga keagamaan di Indonesia sebagai pemegang otoritas yang mengeluarkan dan menetapkan fatwa-fatwa keagamaan (mufti) sebagai tempat rujukan bagi masyarakat muslim Indonesia.</w:t>
      </w:r>
      <w:r w:rsidRPr="008B6B48">
        <w:rPr>
          <w:rFonts w:asciiTheme="majorBidi" w:hAnsiTheme="majorBidi" w:cstheme="majorBidi"/>
          <w:vertAlign w:val="superscript"/>
        </w:rPr>
        <w:footnoteReference w:id="832"/>
      </w:r>
      <w:r w:rsidRPr="008B6B48">
        <w:rPr>
          <w:rFonts w:asciiTheme="majorBidi" w:hAnsiTheme="majorBidi" w:cstheme="majorBidi"/>
        </w:rPr>
        <w:t xml:space="preserve"> Hal ini senada dengan apa yang dikemukakan oleh Siti Musdah Mulia, yang menyatakan, bahwa fatwa-fatwa MUI memiliki makna penting dalam masyarakat muslim Indonesia.</w:t>
      </w:r>
      <w:r w:rsidRPr="008B6B48">
        <w:rPr>
          <w:rFonts w:asciiTheme="majorBidi" w:hAnsiTheme="majorBidi" w:cstheme="majorBidi"/>
          <w:vertAlign w:val="superscript"/>
        </w:rPr>
        <w:footnoteReference w:id="833"/>
      </w:r>
      <w:r w:rsidRPr="008B6B48">
        <w:rPr>
          <w:rFonts w:asciiTheme="majorBidi" w:hAnsiTheme="majorBidi" w:cstheme="majorBidi"/>
        </w:rPr>
        <w:t xml:space="preserve"> </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Salah satu faktor yang menjadikan fatwa MUI demikian penting dan mempunyai pengaruh besar bagi masyarakat adalah faktor proses lahirnya oraginasasi ini. Secara historis lembaga MUI dibentuk pada masa pemeritahan Orde Baru di bawah rezim Soeharto. Presiden Soeharto sendiri yang mengusulkan, agar di Indonesia dibentuk sebuah organisasi ulama. Terkait usulan pendirian MUI ini, presiden secara terus terang mengemukakan dua alasan; Pertama, keinginan pemerintah agar kaum muslimin bersatu. Kedua, munculnya kesadaran pemerintah bahwa permasalahan yang dihadapi bangsa Indonesia tidak dapat diselesaikan tanpa melibatkan peran para ulama.</w:t>
      </w:r>
      <w:r w:rsidRPr="008B6B48">
        <w:rPr>
          <w:rStyle w:val="FootnoteReference"/>
          <w:rFonts w:asciiTheme="majorBidi" w:hAnsiTheme="majorBidi" w:cstheme="majorBidi"/>
        </w:rPr>
        <w:footnoteReference w:id="834"/>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Keterlibatan pemerintah dalam proses kelahiran MUI sebagaimana tersebut di atas, dinilai oleh beberapa pihak bahwa MUI telah menjadi organisasi semi-negara, dalam arti secara struktural MUI tidak termasuk dalam lembaga resmi negara, semacam DPR atau Komas HAM, tetapi lembaga ini didanai oleh pemerintah melalui Departemen Agama, dan mendapatkan dukungan dari negara.  Kondisi semacam ini yang menyebabkan MUI memiliki hubungan yang dekat dengan pemerintah. Posisi MUI yang relatif dekat dengan pemerintah tersebut, kemudian menjadikan MUI sebagai organisasi </w:t>
      </w:r>
      <w:r w:rsidRPr="008B6B48">
        <w:rPr>
          <w:rFonts w:asciiTheme="majorBidi" w:hAnsiTheme="majorBidi" w:cstheme="majorBidi"/>
        </w:rPr>
        <w:lastRenderedPageBreak/>
        <w:t xml:space="preserve">yang mempunyai pengaruh lebih luas dibanding organisasi independent, seperti NU atau Muhammadiyah. </w:t>
      </w:r>
      <w:r w:rsidRPr="008B6B48">
        <w:rPr>
          <w:rStyle w:val="FootnoteReference"/>
          <w:rFonts w:asciiTheme="majorBidi" w:hAnsiTheme="majorBidi" w:cstheme="majorBidi"/>
        </w:rPr>
        <w:footnoteReference w:id="835"/>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Hal tersebut dapat dilihat ketika MUI mengeluarkan fatwa akan lebih mendapatkan perhatian dan pengaruhnya lebih kuat bagi masyarakat jika dibandingkan dengan fatwa lembaga-lembaga lainnya. Karena suatu keputusan akan mempunyai pengaruh yang kuat atau tidak, sangat tergantung pada relasi kuasa (</w:t>
      </w:r>
      <w:r w:rsidRPr="00743108">
        <w:rPr>
          <w:rFonts w:asciiTheme="majorBidi" w:hAnsiTheme="majorBidi" w:cstheme="majorBidi"/>
          <w:i/>
          <w:iCs/>
        </w:rPr>
        <w:t>power relations</w:t>
      </w:r>
      <w:r w:rsidRPr="008B6B48">
        <w:rPr>
          <w:rFonts w:asciiTheme="majorBidi" w:hAnsiTheme="majorBidi" w:cstheme="majorBidi"/>
        </w:rPr>
        <w:t>) di negara/masyarakat yang bersangkutan. Pemikiran (wacana) yang dikeluarkan oleh seseorang tanpa latar belakang organisasi tertentu akan berbeda dengan seorang tokoh yang memimpin sebuah organisasi besar. Demikian juga fatwa yang dikeluarkan oleh sebuah organisasi yang mempunyai relasi kuat dengan kekuasaan negara akan mempunyai dampak yang berbeda dengan sebuah organisasi yang tidak mempunyai relasi yang dekat dengan kekuasaan negara. Maka dari itu, fatwa yang dikeluarkan oleh MUI pengaruhnya jauh lebih besar dibandingkan fatwa-fatwa yang dikeluarkan oleh organisasi semacam Muhammadiyah, NU ataupun Persis.</w:t>
      </w:r>
      <w:r w:rsidRPr="008B6B48">
        <w:rPr>
          <w:rStyle w:val="FootnoteReference"/>
          <w:rFonts w:asciiTheme="majorBidi" w:hAnsiTheme="majorBidi" w:cstheme="majorBidi"/>
        </w:rPr>
        <w:footnoteReference w:id="836"/>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Dalam konteks tata perundangan nasional, fatwa MUI memang tidak menjadi bagian dalam sistem hukum dan perundang-undangan di Indonesia, bahkan dalam struktur kelembagaan negara juga tidak dikenal apa yang disebut dengan mufti ataupun lembaga fatwa. Selain itu, hakekat dasar fatwa sesungguhnya berfungsi sebagai sebuah pendapat hukum (</w:t>
      </w:r>
      <w:r w:rsidRPr="008B6B48">
        <w:rPr>
          <w:rFonts w:asciiTheme="majorBidi" w:hAnsiTheme="majorBidi" w:cstheme="majorBidi"/>
          <w:i/>
          <w:iCs/>
        </w:rPr>
        <w:t>legal opinion</w:t>
      </w:r>
      <w:r w:rsidRPr="008B6B48">
        <w:rPr>
          <w:rFonts w:asciiTheme="majorBidi" w:hAnsiTheme="majorBidi" w:cstheme="majorBidi"/>
        </w:rPr>
        <w:t>) yang daya ikatnya berbeda dengan putusan hukum (</w:t>
      </w:r>
      <w:r w:rsidRPr="008B6B48">
        <w:rPr>
          <w:rFonts w:asciiTheme="majorBidi" w:hAnsiTheme="majorBidi" w:cstheme="majorBidi"/>
          <w:i/>
          <w:iCs/>
        </w:rPr>
        <w:t>qadla'</w:t>
      </w:r>
      <w:r w:rsidRPr="008B6B48">
        <w:rPr>
          <w:rFonts w:asciiTheme="majorBidi" w:hAnsiTheme="majorBidi" w:cstheme="majorBidi"/>
        </w:rPr>
        <w:t>)</w:t>
      </w:r>
      <w:r w:rsidRPr="008B6B48">
        <w:rPr>
          <w:rStyle w:val="FootnoteReference"/>
          <w:rFonts w:asciiTheme="majorBidi" w:hAnsiTheme="majorBidi" w:cstheme="majorBidi"/>
        </w:rPr>
        <w:footnoteReference w:id="837"/>
      </w:r>
      <w:r w:rsidRPr="008B6B48">
        <w:rPr>
          <w:rFonts w:asciiTheme="majorBidi" w:hAnsiTheme="majorBidi" w:cstheme="majorBidi"/>
        </w:rPr>
        <w:t>.</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Namun kenyataan yang terjadi, fatwa bagi sebagian besar umat Islam Indonesia tidak hanya dipahami sebagai pendapat hukum yang tidak mengikat, tapi lebih jauh dari itu fatwa ulama sudah menjadi acuan dan pedoman pelaksanaan ajaran agama dalam kehidupan sehari-hari.</w:t>
      </w:r>
      <w:r w:rsidRPr="008B6B48">
        <w:rPr>
          <w:rStyle w:val="FootnoteReference"/>
          <w:rFonts w:asciiTheme="majorBidi" w:hAnsiTheme="majorBidi" w:cstheme="majorBidi"/>
        </w:rPr>
        <w:footnoteReference w:id="838"/>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Dari sini diperoleh fakta bahwa fatwa Majelis Ulama Indonesia memberikan pengaruh bagi tatanan sosial kemasyarakatan bangsa Indonesia secara keseluruhan </w:t>
      </w:r>
      <w:r w:rsidRPr="008B6B48">
        <w:rPr>
          <w:rFonts w:asciiTheme="majorBidi" w:hAnsiTheme="majorBidi" w:cstheme="majorBidi"/>
        </w:rPr>
        <w:lastRenderedPageBreak/>
        <w:t xml:space="preserve">menunjukkan dua hal penting: Pertama, fatwa-fatwa MUI memiliki makna penting dalam masyarakat Indonesia, khususnya umat Islam. Kenyataan selama ini menunjukkan meskipun fatwa MUI tidak mengikat secara hukum, tetapi dalam prakteknya sering dijadikan rujukan berperilaku oleh masyarakat dan pemerintah dalam berbagai aspek kehidupan berbangsa dan bernegara. Kedua, karena mempunyai efek dan pengaruh ke masyarakat demikian kuat, meniscayakan MUI untuk responsif atas dinamika dan kecenderungan di masyarakat, sehingga fatwa yang dikeluarkan diharapkan sejalan dengan kemaslahatan mereka. </w:t>
      </w:r>
    </w:p>
    <w:p w:rsidR="00343B61" w:rsidRPr="008B6B48" w:rsidRDefault="00343B61" w:rsidP="00343B61">
      <w:pPr>
        <w:autoSpaceDE w:val="0"/>
        <w:autoSpaceDN w:val="0"/>
        <w:adjustRightInd w:val="0"/>
        <w:spacing w:after="0" w:line="360" w:lineRule="auto"/>
        <w:ind w:firstLine="450"/>
        <w:jc w:val="both"/>
        <w:rPr>
          <w:rFonts w:asciiTheme="majorBidi" w:hAnsiTheme="majorBidi" w:cstheme="majorBidi"/>
        </w:rPr>
      </w:pPr>
      <w:r w:rsidRPr="008B6B48">
        <w:rPr>
          <w:rFonts w:asciiTheme="majorBidi" w:hAnsiTheme="majorBidi" w:cstheme="majorBidi"/>
          <w:i/>
          <w:iCs/>
        </w:rPr>
        <w:t>Kelima</w:t>
      </w:r>
      <w:r w:rsidRPr="008B6B48">
        <w:rPr>
          <w:rFonts w:asciiTheme="majorBidi" w:hAnsiTheme="majorBidi" w:cstheme="majorBidi"/>
        </w:rPr>
        <w:t xml:space="preserve">. Fatwa MUI berperan </w:t>
      </w:r>
      <w:r>
        <w:rPr>
          <w:rFonts w:asciiTheme="majorBidi" w:hAnsiTheme="majorBidi" w:cstheme="majorBidi"/>
        </w:rPr>
        <w:t>untuk</w:t>
      </w:r>
      <w:r w:rsidRPr="008B6B48">
        <w:rPr>
          <w:rFonts w:asciiTheme="majorBidi" w:hAnsiTheme="majorBidi" w:cstheme="majorBidi"/>
        </w:rPr>
        <w:t xml:space="preserve"> menjawab permasalahan hukum Islam yang semakin kompleks dihadapi umat Islam</w:t>
      </w:r>
      <w:r>
        <w:rPr>
          <w:rFonts w:asciiTheme="majorBidi" w:hAnsiTheme="majorBidi" w:cstheme="majorBidi"/>
        </w:rPr>
        <w:t xml:space="preserve"> Indonesia</w:t>
      </w:r>
      <w:r w:rsidRPr="008B6B48">
        <w:rPr>
          <w:rFonts w:asciiTheme="majorBidi" w:hAnsiTheme="majorBidi" w:cstheme="majorBidi"/>
        </w:rPr>
        <w:t xml:space="preserve">. </w:t>
      </w:r>
      <w:r w:rsidRPr="008B6B48">
        <w:rPr>
          <w:rFonts w:asciiTheme="majorBidi" w:hAnsiTheme="majorBidi" w:cstheme="majorBidi"/>
          <w:lang w:val="sv-SE"/>
        </w:rPr>
        <w:t xml:space="preserve">J.N.D Anderson menyebutkan, </w:t>
      </w:r>
      <w:r w:rsidRPr="008B6B48">
        <w:rPr>
          <w:rFonts w:asciiTheme="majorBidi" w:hAnsiTheme="majorBidi" w:cstheme="majorBidi"/>
        </w:rPr>
        <w:t xml:space="preserve">dengan model hukum Tata Negara di zaman modern ini, fungsi fatwa dalam suatu negara dapat dikelompokkan menjadi tiga fungsi. </w:t>
      </w:r>
      <w:r w:rsidRPr="008B6B48">
        <w:rPr>
          <w:rFonts w:asciiTheme="majorBidi" w:hAnsiTheme="majorBidi" w:cstheme="majorBidi"/>
          <w:i/>
          <w:iCs/>
        </w:rPr>
        <w:t>Pertama</w:t>
      </w:r>
      <w:r w:rsidRPr="008B6B48">
        <w:rPr>
          <w:rFonts w:asciiTheme="majorBidi" w:hAnsiTheme="majorBidi" w:cstheme="majorBidi"/>
        </w:rPr>
        <w:t xml:space="preserve">, negara yang menempatkan Syari’at Islam sebagai dasar dan Undang-undang Negara yang diterapkan secara </w:t>
      </w:r>
      <w:r w:rsidRPr="008B6B48">
        <w:rPr>
          <w:rFonts w:asciiTheme="majorBidi" w:hAnsiTheme="majorBidi" w:cstheme="majorBidi"/>
          <w:lang w:val="sv-SE"/>
        </w:rPr>
        <w:t xml:space="preserve">utuh dan sempurna, sehingga fatwa menjadi keputusan hukum yang mengikat. </w:t>
      </w:r>
      <w:r w:rsidRPr="008B6B48">
        <w:rPr>
          <w:rFonts w:asciiTheme="majorBidi" w:hAnsiTheme="majorBidi" w:cstheme="majorBidi"/>
          <w:i/>
          <w:iCs/>
          <w:lang w:val="sv-SE"/>
        </w:rPr>
        <w:t>Kedua</w:t>
      </w:r>
      <w:r w:rsidRPr="008B6B48">
        <w:rPr>
          <w:rFonts w:asciiTheme="majorBidi" w:hAnsiTheme="majorBidi" w:cstheme="majorBidi"/>
          <w:lang w:val="sv-SE"/>
        </w:rPr>
        <w:t xml:space="preserve">, Negara yang berdasarkan hukum sekuler, maka fatwa tidak berperan dan tidak berfungsi apa pun dalam kehidupan bernegara. </w:t>
      </w:r>
      <w:r w:rsidRPr="008B6B48">
        <w:rPr>
          <w:rFonts w:asciiTheme="majorBidi" w:hAnsiTheme="majorBidi" w:cstheme="majorBidi"/>
          <w:i/>
          <w:iCs/>
          <w:lang w:val="sv-SE"/>
        </w:rPr>
        <w:t>Ketiga</w:t>
      </w:r>
      <w:r w:rsidRPr="008B6B48">
        <w:rPr>
          <w:rFonts w:asciiTheme="majorBidi" w:hAnsiTheme="majorBidi" w:cstheme="majorBidi"/>
          <w:lang w:val="sv-SE"/>
        </w:rPr>
        <w:t>, Negara yang menggabungkan antara hukum sekuler dengan hukum Islam, maka fatwa berfungsi hanya dalam ranah hukum Islam.</w:t>
      </w:r>
      <w:r w:rsidRPr="008B6B48">
        <w:rPr>
          <w:rStyle w:val="FootnoteReference"/>
          <w:rFonts w:asciiTheme="majorBidi" w:hAnsiTheme="majorBidi" w:cstheme="majorBidi"/>
          <w:lang w:val="sv-SE"/>
        </w:rPr>
        <w:footnoteReference w:id="839"/>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Melihat kenyataan yang ada di Indonesia, Indonesia dapat dikategorikan sebagai Negara yang menggunakan pola ketiga. Sehingga kajian fatwa di Indonesia terasa sangat menarik dan relevan karena mayoritas penduduk Indonesia beragama Islam penganut madzhab Sunni, namun negara berdasarkan Pancasila. </w:t>
      </w:r>
      <w:r w:rsidRPr="008B6B48">
        <w:rPr>
          <w:rStyle w:val="FootnoteReference"/>
          <w:rFonts w:asciiTheme="majorBidi" w:hAnsiTheme="majorBidi" w:cstheme="majorBidi"/>
        </w:rPr>
        <w:footnoteReference w:id="840"/>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Indonesia sebagai negara yang memberlakukan hukum kompromi antara hukum sekuler dan hukum Islam posisi fatwa dapat diharapkan akan menunjukkan hal-hal yang khas, terutama dalam upaya mempertahankan syariat sebagaimana tersurat dalam naskah-naskah fiqh klasik yang bervariasi dan bersamaan dengan itu juga menghadapai tantangan-tangan modern.</w:t>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Keunikan Indonesia yang ber-pancasila adalah tetap dipertahankannya lembaga agama, seperti Kementerian Agama dan Majelis Ulama, yang tetap memegang peranan penting dalam bermasyarakat. Dua lembaga yang mewakili aspirasi umat Islam sejak </w:t>
      </w:r>
      <w:r w:rsidRPr="008B6B48">
        <w:rPr>
          <w:rFonts w:asciiTheme="majorBidi" w:hAnsiTheme="majorBidi" w:cstheme="majorBidi"/>
        </w:rPr>
        <w:lastRenderedPageBreak/>
        <w:t>lama, yang kini juga patut dipikirkan ulang tentang peta, kiprah, dan masa depan keduanya.</w:t>
      </w:r>
      <w:r w:rsidRPr="008B6B48">
        <w:rPr>
          <w:rStyle w:val="FootnoteReference"/>
          <w:rFonts w:asciiTheme="majorBidi" w:hAnsiTheme="majorBidi" w:cstheme="majorBidi"/>
        </w:rPr>
        <w:footnoteReference w:id="841"/>
      </w:r>
    </w:p>
    <w:p w:rsidR="00343B61" w:rsidRPr="008B6B48" w:rsidRDefault="00343B61" w:rsidP="00343B61">
      <w:pPr>
        <w:pStyle w:val="ListParagraph"/>
        <w:spacing w:after="0" w:line="360" w:lineRule="auto"/>
        <w:ind w:left="0" w:firstLine="720"/>
        <w:jc w:val="both"/>
        <w:rPr>
          <w:rFonts w:asciiTheme="majorBidi" w:hAnsiTheme="majorBidi" w:cstheme="majorBidi"/>
          <w:i/>
          <w:iCs/>
        </w:rPr>
      </w:pPr>
      <w:r w:rsidRPr="008B6B48">
        <w:rPr>
          <w:rFonts w:asciiTheme="majorBidi" w:hAnsiTheme="majorBidi" w:cstheme="majorBidi"/>
        </w:rPr>
        <w:t xml:space="preserve">Rifyal Ka’bah yang meneliti tentang perkembangan hukum Islam di Indonesia menjelaskan bahwa hukum Islam dapat dilaksanakan dengan atau tanpa kekuasaan negara. Misalnya adalah hukum mengenai zakat dan haji. Di masa lalu, tanpa campur tangan kekuasaan negara, ibadah zakat dan haji masih dapat dilaksanakan oleh masyarakat muslim sekalipun tidak begitu efektif, namun sekarang ini, masyarakat dan negara telah mengatur tentang penyelenggaraan haji demikian pula zakat. Dalam hal ini, kata Rifyal Ka’bah, hukum Islam ada yang bersifat </w:t>
      </w:r>
      <w:r w:rsidRPr="008B6B48">
        <w:rPr>
          <w:rFonts w:asciiTheme="majorBidi" w:hAnsiTheme="majorBidi" w:cstheme="majorBidi"/>
          <w:i/>
        </w:rPr>
        <w:t>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i/>
        </w:rPr>
        <w:t xml:space="preserve"> </w:t>
      </w:r>
      <w:r w:rsidRPr="008B6B48">
        <w:rPr>
          <w:rFonts w:asciiTheme="majorBidi" w:hAnsiTheme="majorBidi" w:cstheme="majorBidi"/>
        </w:rPr>
        <w:t xml:space="preserve">semata dan ada yang bersifat </w:t>
      </w:r>
      <w:r w:rsidRPr="008B6B48">
        <w:rPr>
          <w:rFonts w:asciiTheme="majorBidi" w:hAnsiTheme="majorBidi" w:cstheme="majorBidi"/>
          <w:i/>
        </w:rPr>
        <w:t>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i/>
        </w:rPr>
        <w:t xml:space="preserve"> </w:t>
      </w:r>
      <w:r w:rsidRPr="008B6B48">
        <w:rPr>
          <w:rFonts w:asciiTheme="majorBidi" w:hAnsiTheme="majorBidi" w:cstheme="majorBidi"/>
        </w:rPr>
        <w:t xml:space="preserve">dan </w:t>
      </w:r>
      <w:r w:rsidRPr="008B6B48">
        <w:rPr>
          <w:rFonts w:asciiTheme="majorBidi" w:hAnsiTheme="majorBidi" w:cstheme="majorBidi"/>
          <w:i/>
        </w:rPr>
        <w:t>qadh</w:t>
      </w:r>
      <w:r w:rsidRPr="008B6B48">
        <w:rPr>
          <w:rFonts w:asciiTheme="majorBidi" w:hAnsiTheme="majorBidi" w:cstheme="majorBidi"/>
          <w:i/>
          <w:iCs/>
        </w:rPr>
        <w:t>ā</w:t>
      </w:r>
      <w:r w:rsidRPr="008B6B48">
        <w:rPr>
          <w:rFonts w:asciiTheme="majorBidi" w:hAnsiTheme="majorBidi" w:cstheme="majorBidi"/>
          <w:i/>
        </w:rPr>
        <w:t>’</w:t>
      </w:r>
      <w:r w:rsidRPr="008B6B48">
        <w:rPr>
          <w:rFonts w:asciiTheme="majorBidi" w:hAnsiTheme="majorBidi" w:cstheme="majorBidi"/>
          <w:i/>
          <w:iCs/>
        </w:rPr>
        <w:t>ī</w:t>
      </w:r>
      <w:r w:rsidRPr="008B6B48">
        <w:rPr>
          <w:rFonts w:asciiTheme="majorBidi" w:hAnsiTheme="majorBidi" w:cstheme="majorBidi"/>
        </w:rPr>
        <w:t xml:space="preserve"> dalam waktu yang sama. Disebut </w:t>
      </w:r>
      <w:r w:rsidRPr="008B6B48">
        <w:rPr>
          <w:rFonts w:asciiTheme="majorBidi" w:hAnsiTheme="majorBidi" w:cstheme="majorBidi"/>
          <w:i/>
        </w:rPr>
        <w:t>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rPr>
        <w:t xml:space="preserve"> karena ia sangat mengandalkan ketaatan individu yang menjadi subyek hukum.</w:t>
      </w:r>
      <w:r w:rsidRPr="008B6B48">
        <w:rPr>
          <w:rFonts w:asciiTheme="majorBidi" w:hAnsiTheme="majorBidi" w:cstheme="majorBidi"/>
          <w:i/>
        </w:rPr>
        <w:t xml:space="preserve"> 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rPr>
        <w:t xml:space="preserve"> adalah kata sifat yang berasal dari </w:t>
      </w:r>
      <w:r w:rsidRPr="008B6B48">
        <w:rPr>
          <w:rFonts w:asciiTheme="majorBidi" w:hAnsiTheme="majorBidi" w:cstheme="majorBidi"/>
          <w:i/>
          <w:iCs/>
        </w:rPr>
        <w:t>dīn</w:t>
      </w:r>
      <w:r w:rsidRPr="008B6B48">
        <w:rPr>
          <w:rFonts w:asciiTheme="majorBidi" w:hAnsiTheme="majorBidi" w:cstheme="majorBidi"/>
        </w:rPr>
        <w:t xml:space="preserve"> yang berarti antara lain ketaatan dan ketundukan. Seluruh hukum Islam pada dasarnya bersifat </w:t>
      </w:r>
      <w:r w:rsidRPr="008B6B48">
        <w:rPr>
          <w:rFonts w:asciiTheme="majorBidi" w:hAnsiTheme="majorBidi" w:cstheme="majorBidi"/>
          <w:i/>
        </w:rPr>
        <w:t>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rPr>
        <w:t>, karena itu terserah kepada kesadaran masyarakat secara individu untuk pelaksanaannya.</w:t>
      </w:r>
      <w:r w:rsidRPr="008B6B48">
        <w:rPr>
          <w:rStyle w:val="FootnoteReference"/>
          <w:rFonts w:asciiTheme="majorBidi" w:hAnsiTheme="majorBidi" w:cstheme="majorBidi"/>
        </w:rPr>
        <w:footnoteReference w:id="842"/>
      </w:r>
      <w:r w:rsidRPr="008B6B48">
        <w:rPr>
          <w:rFonts w:asciiTheme="majorBidi" w:hAnsiTheme="majorBidi" w:cstheme="majorBidi"/>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Hukum Islam selain sebagai hukum yang berciri sendiri adalah hukum yang berasal dari ketentuan Ilahi. Karena itu, pertama-tama ia berdasarkan kepada keyakinan yang bersifat pribadi di mana seseorang merasa terikat secara keagamaan untuk pelaksanaannya. Sungguhpun demikian, sebagian hukum Islam, disamping bersifat </w:t>
      </w:r>
      <w:r w:rsidRPr="008B6B48">
        <w:rPr>
          <w:rFonts w:asciiTheme="majorBidi" w:hAnsiTheme="majorBidi" w:cstheme="majorBidi"/>
          <w:i/>
        </w:rPr>
        <w:t>diy</w:t>
      </w:r>
      <w:r w:rsidRPr="008B6B48">
        <w:rPr>
          <w:rFonts w:asciiTheme="majorBidi" w:hAnsiTheme="majorBidi" w:cstheme="majorBidi"/>
          <w:i/>
          <w:iCs/>
        </w:rPr>
        <w:t>ā</w:t>
      </w:r>
      <w:r w:rsidRPr="008B6B48">
        <w:rPr>
          <w:rFonts w:asciiTheme="majorBidi" w:hAnsiTheme="majorBidi" w:cstheme="majorBidi"/>
          <w:i/>
        </w:rPr>
        <w:t>n</w:t>
      </w:r>
      <w:r w:rsidRPr="008B6B48">
        <w:rPr>
          <w:rFonts w:asciiTheme="majorBidi" w:hAnsiTheme="majorBidi" w:cstheme="majorBidi"/>
          <w:i/>
          <w:iCs/>
        </w:rPr>
        <w:t>ī</w:t>
      </w:r>
      <w:r w:rsidRPr="008B6B48">
        <w:rPr>
          <w:rFonts w:asciiTheme="majorBidi" w:hAnsiTheme="majorBidi" w:cstheme="majorBidi"/>
        </w:rPr>
        <w:t xml:space="preserve">, juga bersifat </w:t>
      </w:r>
      <w:r w:rsidRPr="008B6B48">
        <w:rPr>
          <w:rFonts w:asciiTheme="majorBidi" w:hAnsiTheme="majorBidi" w:cstheme="majorBidi"/>
          <w:i/>
        </w:rPr>
        <w:t>qadh</w:t>
      </w:r>
      <w:r w:rsidRPr="008B6B48">
        <w:rPr>
          <w:rFonts w:asciiTheme="majorBidi" w:hAnsiTheme="majorBidi" w:cstheme="majorBidi"/>
          <w:i/>
          <w:iCs/>
        </w:rPr>
        <w:t>ā</w:t>
      </w:r>
      <w:r w:rsidRPr="008B6B48">
        <w:rPr>
          <w:rFonts w:asciiTheme="majorBidi" w:hAnsiTheme="majorBidi" w:cstheme="majorBidi"/>
          <w:i/>
        </w:rPr>
        <w:t>’</w:t>
      </w:r>
      <w:r w:rsidRPr="008B6B48">
        <w:rPr>
          <w:rFonts w:asciiTheme="majorBidi" w:hAnsiTheme="majorBidi" w:cstheme="majorBidi"/>
          <w:i/>
          <w:iCs/>
        </w:rPr>
        <w:t>ī.</w:t>
      </w:r>
      <w:r w:rsidRPr="008B6B48">
        <w:rPr>
          <w:rFonts w:asciiTheme="majorBidi" w:hAnsiTheme="majorBidi" w:cstheme="majorBidi"/>
        </w:rPr>
        <w:t xml:space="preserve"> Disebut </w:t>
      </w:r>
      <w:r w:rsidRPr="008B6B48">
        <w:rPr>
          <w:rFonts w:asciiTheme="majorBidi" w:hAnsiTheme="majorBidi" w:cstheme="majorBidi"/>
          <w:i/>
        </w:rPr>
        <w:t>qadh</w:t>
      </w:r>
      <w:r w:rsidRPr="008B6B48">
        <w:rPr>
          <w:rFonts w:asciiTheme="majorBidi" w:hAnsiTheme="majorBidi" w:cstheme="majorBidi"/>
          <w:i/>
          <w:iCs/>
        </w:rPr>
        <w:t>ā</w:t>
      </w:r>
      <w:r w:rsidRPr="008B6B48">
        <w:rPr>
          <w:rFonts w:asciiTheme="majorBidi" w:hAnsiTheme="majorBidi" w:cstheme="majorBidi"/>
          <w:i/>
        </w:rPr>
        <w:t>’</w:t>
      </w:r>
      <w:r w:rsidRPr="008B6B48">
        <w:rPr>
          <w:rFonts w:asciiTheme="majorBidi" w:hAnsiTheme="majorBidi" w:cstheme="majorBidi"/>
          <w:i/>
          <w:iCs/>
        </w:rPr>
        <w:t>ī</w:t>
      </w:r>
      <w:r w:rsidRPr="008B6B48">
        <w:rPr>
          <w:rFonts w:asciiTheme="majorBidi" w:hAnsiTheme="majorBidi" w:cstheme="majorBidi"/>
        </w:rPr>
        <w:t xml:space="preserve"> karena ia berhubungan dengan permasalahan yuridis (</w:t>
      </w:r>
      <w:r w:rsidRPr="008B6B48">
        <w:rPr>
          <w:rFonts w:asciiTheme="majorBidi" w:hAnsiTheme="majorBidi" w:cstheme="majorBidi"/>
          <w:i/>
          <w:iCs/>
        </w:rPr>
        <w:t>juridisch</w:t>
      </w:r>
      <w:r w:rsidRPr="008B6B48">
        <w:rPr>
          <w:rFonts w:asciiTheme="majorBidi" w:hAnsiTheme="majorBidi" w:cstheme="majorBidi"/>
        </w:rPr>
        <w:t xml:space="preserve">, </w:t>
      </w:r>
      <w:r w:rsidRPr="008B6B48">
        <w:rPr>
          <w:rFonts w:asciiTheme="majorBidi" w:hAnsiTheme="majorBidi" w:cstheme="majorBidi"/>
          <w:i/>
          <w:iCs/>
        </w:rPr>
        <w:t>juridical</w:t>
      </w:r>
      <w:r w:rsidRPr="008B6B48">
        <w:rPr>
          <w:rFonts w:asciiTheme="majorBidi" w:hAnsiTheme="majorBidi" w:cstheme="majorBidi"/>
        </w:rPr>
        <w:t xml:space="preserve">). </w:t>
      </w:r>
      <w:r w:rsidRPr="008B6B48">
        <w:rPr>
          <w:rFonts w:asciiTheme="majorBidi" w:hAnsiTheme="majorBidi" w:cstheme="majorBidi"/>
          <w:i/>
        </w:rPr>
        <w:t>Qadh</w:t>
      </w:r>
      <w:r w:rsidRPr="008B6B48">
        <w:rPr>
          <w:rFonts w:asciiTheme="majorBidi" w:hAnsiTheme="majorBidi" w:cstheme="majorBidi"/>
          <w:i/>
          <w:iCs/>
        </w:rPr>
        <w:t>ā</w:t>
      </w:r>
      <w:r w:rsidRPr="008B6B48">
        <w:rPr>
          <w:rFonts w:asciiTheme="majorBidi" w:hAnsiTheme="majorBidi" w:cstheme="majorBidi"/>
          <w:i/>
        </w:rPr>
        <w:t>’</w:t>
      </w:r>
      <w:r w:rsidRPr="008B6B48">
        <w:rPr>
          <w:rFonts w:asciiTheme="majorBidi" w:hAnsiTheme="majorBidi" w:cstheme="majorBidi"/>
          <w:i/>
          <w:iCs/>
        </w:rPr>
        <w:t>ī</w:t>
      </w:r>
      <w:r w:rsidRPr="008B6B48">
        <w:rPr>
          <w:rFonts w:asciiTheme="majorBidi" w:hAnsiTheme="majorBidi" w:cstheme="majorBidi"/>
        </w:rPr>
        <w:t xml:space="preserve"> adalah kata sifat dari qadha’ antara lain berarti pengadilan atau keputusan pengadilan. Hukum Islam yang bersifat </w:t>
      </w:r>
      <w:r w:rsidRPr="008B6B48">
        <w:rPr>
          <w:rFonts w:asciiTheme="majorBidi" w:hAnsiTheme="majorBidi" w:cstheme="majorBidi"/>
          <w:i/>
        </w:rPr>
        <w:t>qadh</w:t>
      </w:r>
      <w:r w:rsidRPr="008B6B48">
        <w:rPr>
          <w:rFonts w:asciiTheme="majorBidi" w:hAnsiTheme="majorBidi" w:cstheme="majorBidi"/>
          <w:i/>
          <w:iCs/>
        </w:rPr>
        <w:t>ā</w:t>
      </w:r>
      <w:r w:rsidRPr="008B6B48">
        <w:rPr>
          <w:rFonts w:asciiTheme="majorBidi" w:hAnsiTheme="majorBidi" w:cstheme="majorBidi"/>
          <w:i/>
        </w:rPr>
        <w:t>’</w:t>
      </w:r>
      <w:r w:rsidRPr="008B6B48">
        <w:rPr>
          <w:rFonts w:asciiTheme="majorBidi" w:hAnsiTheme="majorBidi" w:cstheme="majorBidi"/>
          <w:i/>
          <w:iCs/>
        </w:rPr>
        <w:t>ī</w:t>
      </w:r>
      <w:r w:rsidRPr="008B6B48">
        <w:rPr>
          <w:rFonts w:asciiTheme="majorBidi" w:hAnsiTheme="majorBidi" w:cstheme="majorBidi"/>
        </w:rPr>
        <w:t xml:space="preserve"> tidak lagi terbatas pada keputusan seseorang, tetapi telah menyentuh kepentingan orang lain dan karena itu dilaksanakan oleh masyarakat melalui kekuasaan negara.</w:t>
      </w:r>
      <w:r w:rsidRPr="008B6B48">
        <w:rPr>
          <w:rStyle w:val="FootnoteReference"/>
          <w:rFonts w:asciiTheme="majorBidi" w:hAnsiTheme="majorBidi" w:cstheme="majorBidi"/>
        </w:rPr>
        <w:footnoteReference w:id="843"/>
      </w:r>
      <w:r>
        <w:rPr>
          <w:rFonts w:asciiTheme="majorBidi" w:hAnsiTheme="majorBidi" w:cstheme="majorBidi"/>
        </w:rPr>
        <w:t xml:space="preserve"> </w:t>
      </w:r>
    </w:p>
    <w:p w:rsidR="00343B61" w:rsidRPr="008B6B48" w:rsidRDefault="00343B61" w:rsidP="00343B61">
      <w:pPr>
        <w:spacing w:after="0" w:line="360" w:lineRule="auto"/>
        <w:ind w:firstLine="720"/>
        <w:jc w:val="both"/>
        <w:rPr>
          <w:rFonts w:asciiTheme="majorBidi" w:hAnsiTheme="majorBidi" w:cstheme="majorBidi"/>
        </w:rPr>
      </w:pPr>
      <w:r w:rsidRPr="008B6B48">
        <w:rPr>
          <w:rFonts w:asciiTheme="majorBidi" w:hAnsiTheme="majorBidi" w:cstheme="majorBidi"/>
          <w:i/>
          <w:iCs/>
        </w:rPr>
        <w:t>Keenam</w:t>
      </w:r>
      <w:r w:rsidRPr="008B6B48">
        <w:rPr>
          <w:rFonts w:asciiTheme="majorBidi" w:hAnsiTheme="majorBidi" w:cstheme="majorBidi"/>
        </w:rPr>
        <w:t xml:space="preserve">. Fatwa berperan </w:t>
      </w:r>
      <w:r>
        <w:rPr>
          <w:rFonts w:asciiTheme="majorBidi" w:hAnsiTheme="majorBidi" w:cstheme="majorBidi"/>
        </w:rPr>
        <w:t xml:space="preserve">mendukung undang-undang </w:t>
      </w:r>
      <w:r w:rsidRPr="008B6B48">
        <w:rPr>
          <w:rFonts w:asciiTheme="majorBidi" w:hAnsiTheme="majorBidi" w:cstheme="majorBidi"/>
        </w:rPr>
        <w:t>sekaligus melakukan koreksi terhadap undang-undang. Fatwa-fatwa MUI dikeluarkan selain memenuhi permintaan fatwa dari perseorangan maupun lembaga (</w:t>
      </w:r>
      <w:r w:rsidRPr="00A763AA">
        <w:rPr>
          <w:rFonts w:asciiTheme="majorBidi" w:hAnsiTheme="majorBidi" w:cstheme="majorBidi"/>
          <w:i/>
          <w:iCs/>
        </w:rPr>
        <w:t>mustafti</w:t>
      </w:r>
      <w:r>
        <w:rPr>
          <w:rFonts w:asciiTheme="majorBidi" w:hAnsiTheme="majorBidi" w:cstheme="majorBidi"/>
        </w:rPr>
        <w:t xml:space="preserve">), juga </w:t>
      </w:r>
      <w:r w:rsidRPr="008B6B48">
        <w:rPr>
          <w:rFonts w:asciiTheme="majorBidi" w:hAnsiTheme="majorBidi" w:cstheme="majorBidi"/>
        </w:rPr>
        <w:t xml:space="preserve">dikeluarkan fatwa, nasihat (tausiyah), atau rekomendasi untuk merespon berbagai persoalan dalam kehidupan bermasyarakat, berbangsa, dan bernegara. Respon terhadap kehidupan bermasyarakat, </w:t>
      </w:r>
      <w:r w:rsidRPr="008B6B48">
        <w:rPr>
          <w:rFonts w:asciiTheme="majorBidi" w:hAnsiTheme="majorBidi" w:cstheme="majorBidi"/>
        </w:rPr>
        <w:lastRenderedPageBreak/>
        <w:t>berbangsa, dan bernegara terutama ditujukan terhadap berbagai kebijakan (</w:t>
      </w:r>
      <w:r w:rsidRPr="00743108">
        <w:rPr>
          <w:rFonts w:asciiTheme="majorBidi" w:hAnsiTheme="majorBidi" w:cstheme="majorBidi"/>
          <w:i/>
          <w:iCs/>
        </w:rPr>
        <w:t>policy</w:t>
      </w:r>
      <w:r w:rsidRPr="008B6B48">
        <w:rPr>
          <w:rFonts w:asciiTheme="majorBidi" w:hAnsiTheme="majorBidi" w:cstheme="majorBidi"/>
        </w:rPr>
        <w:t>) baik yang telah diambil (disahkan atau ditetapkan dalam berbagai Peraturan Perundang-undangan) maupun yang belum dan terutama yang sedang dibahas untuk disahkan atau ditetapkan menjadi Peraturan Perundang-undangan.</w:t>
      </w:r>
      <w:r w:rsidRPr="008B6B48">
        <w:rPr>
          <w:rStyle w:val="FootnoteReference"/>
          <w:rFonts w:asciiTheme="majorBidi" w:hAnsiTheme="majorBidi" w:cstheme="majorBidi"/>
        </w:rPr>
        <w:footnoteReference w:id="844"/>
      </w:r>
    </w:p>
    <w:p w:rsidR="00343B61" w:rsidRPr="008B6B48"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K.H. Hasan Basri, ketua umum </w:t>
      </w:r>
      <w:r>
        <w:rPr>
          <w:rFonts w:asciiTheme="majorBidi" w:hAnsiTheme="majorBidi" w:cstheme="majorBidi"/>
        </w:rPr>
        <w:t xml:space="preserve">MUI periode </w:t>
      </w:r>
      <w:r w:rsidRPr="008B6B48">
        <w:rPr>
          <w:rFonts w:asciiTheme="majorBidi" w:hAnsiTheme="majorBidi" w:cstheme="majorBidi"/>
        </w:rPr>
        <w:t>ketiga menegaskan bahwa “M</w:t>
      </w:r>
      <w:r>
        <w:rPr>
          <w:rFonts w:asciiTheme="majorBidi" w:hAnsiTheme="majorBidi" w:cstheme="majorBidi"/>
        </w:rPr>
        <w:t>ajelis Ulama Indonesia (M</w:t>
      </w:r>
      <w:r w:rsidRPr="008B6B48">
        <w:rPr>
          <w:rFonts w:asciiTheme="majorBidi" w:hAnsiTheme="majorBidi" w:cstheme="majorBidi"/>
        </w:rPr>
        <w:t>UI</w:t>
      </w:r>
      <w:r>
        <w:rPr>
          <w:rFonts w:asciiTheme="majorBidi" w:hAnsiTheme="majorBidi" w:cstheme="majorBidi"/>
        </w:rPr>
        <w:t>)</w:t>
      </w:r>
      <w:r w:rsidRPr="008B6B48">
        <w:rPr>
          <w:rFonts w:asciiTheme="majorBidi" w:hAnsiTheme="majorBidi" w:cstheme="majorBidi"/>
        </w:rPr>
        <w:t xml:space="preserve"> berfungsi sebagai pengawas (</w:t>
      </w:r>
      <w:r w:rsidRPr="008B6B48">
        <w:rPr>
          <w:rFonts w:asciiTheme="majorBidi" w:hAnsiTheme="majorBidi" w:cstheme="majorBidi"/>
          <w:i/>
          <w:iCs/>
        </w:rPr>
        <w:t>wacth dog</w:t>
      </w:r>
      <w:r w:rsidRPr="008B6B48">
        <w:rPr>
          <w:rFonts w:asciiTheme="majorBidi" w:hAnsiTheme="majorBidi" w:cstheme="majorBidi"/>
        </w:rPr>
        <w:t>) supaya tidak ada hukum dalam Negara ini yang bertentangan dengan ajaran Islam”.</w:t>
      </w:r>
      <w:r w:rsidRPr="008B6B48">
        <w:rPr>
          <w:rStyle w:val="FootnoteReference"/>
          <w:rFonts w:asciiTheme="majorBidi" w:hAnsiTheme="majorBidi" w:cstheme="majorBidi"/>
        </w:rPr>
        <w:footnoteReference w:id="845"/>
      </w:r>
      <w:r w:rsidRPr="008B6B48">
        <w:rPr>
          <w:rFonts w:asciiTheme="majorBidi" w:hAnsiTheme="majorBidi" w:cstheme="majorBidi"/>
        </w:rPr>
        <w:t xml:space="preserve"> Sebagai contoh fatwa status anak yang lahir diluar perkawinan, fatwa ini meluruskan </w:t>
      </w:r>
      <w:r>
        <w:rPr>
          <w:rFonts w:asciiTheme="majorBidi" w:hAnsiTheme="majorBidi" w:cstheme="majorBidi"/>
        </w:rPr>
        <w:t xml:space="preserve">pemahaman masyarakat terhadapa </w:t>
      </w:r>
      <w:r w:rsidRPr="008B6B48">
        <w:rPr>
          <w:rFonts w:asciiTheme="majorBidi" w:hAnsiTheme="majorBidi" w:cstheme="majorBidi"/>
        </w:rPr>
        <w:t xml:space="preserve">putusan MK No 46 Tahun 2010. Sementara fatwa MUI tentang Hak pengasuhan anak bagi orangtua yang bercerai karena beda agama menguatkan </w:t>
      </w:r>
      <w:r w:rsidRPr="008B6B48">
        <w:rPr>
          <w:rFonts w:asciiTheme="majorBidi" w:hAnsiTheme="majorBidi" w:cstheme="majorBidi"/>
          <w:lang w:val="sv-SE"/>
        </w:rPr>
        <w:t>Yurisprudensi Mahkamah Agung RI. No.: 210/K/AG/1996. yang mengandung abstraksi hukum bahwa agama merupakan syarat untuk menentukan gugur tidaknya hak seorang ibu atas pemeliharaan dan pengasuhan (</w:t>
      </w:r>
      <w:r w:rsidRPr="008B6B48">
        <w:rPr>
          <w:rFonts w:asciiTheme="majorBidi" w:hAnsiTheme="majorBidi" w:cstheme="majorBidi"/>
          <w:i/>
          <w:iCs/>
          <w:lang w:val="sv-SE"/>
        </w:rPr>
        <w:t>hadhanah</w:t>
      </w:r>
      <w:r w:rsidRPr="008B6B48">
        <w:rPr>
          <w:rFonts w:asciiTheme="majorBidi" w:hAnsiTheme="majorBidi" w:cstheme="majorBidi"/>
          <w:lang w:val="sv-SE"/>
        </w:rPr>
        <w:t xml:space="preserve">) terhadap anaknya yang belum </w:t>
      </w:r>
      <w:r w:rsidRPr="008B6B48">
        <w:rPr>
          <w:rFonts w:asciiTheme="majorBidi" w:hAnsiTheme="majorBidi" w:cstheme="majorBidi"/>
          <w:i/>
          <w:iCs/>
          <w:lang w:val="sv-SE"/>
        </w:rPr>
        <w:t>mumayyiz</w:t>
      </w:r>
      <w:r w:rsidRPr="008B6B48">
        <w:rPr>
          <w:rFonts w:asciiTheme="majorBidi" w:hAnsiTheme="majorBidi" w:cstheme="majorBidi"/>
          <w:lang w:val="sv-SE"/>
        </w:rPr>
        <w:t>.</w:t>
      </w:r>
    </w:p>
    <w:p w:rsidR="00343B61" w:rsidRPr="008B6B48" w:rsidRDefault="00343B61" w:rsidP="00343B61">
      <w:pPr>
        <w:spacing w:after="0" w:line="360" w:lineRule="auto"/>
        <w:ind w:firstLine="720"/>
        <w:jc w:val="both"/>
        <w:rPr>
          <w:rFonts w:asciiTheme="majorBidi" w:hAnsiTheme="majorBidi" w:cstheme="majorBidi"/>
        </w:rPr>
      </w:pPr>
      <w:r w:rsidRPr="008B6B48">
        <w:rPr>
          <w:rFonts w:asciiTheme="majorBidi" w:hAnsiTheme="majorBidi" w:cstheme="majorBidi"/>
        </w:rPr>
        <w:t xml:space="preserve">Dari enam poin yang sudah dipaparkan di atas membuktikan bahwa fatwa Majelis Ulama Indonesia (MUI) sangat berperan terhadap </w:t>
      </w:r>
      <w:r>
        <w:rPr>
          <w:rFonts w:asciiTheme="majorBidi" w:hAnsiTheme="majorBidi" w:cstheme="majorBidi"/>
        </w:rPr>
        <w:t xml:space="preserve">pembangunan hukum keluarga Islam Indonesia. </w:t>
      </w:r>
      <w:r w:rsidRPr="008B6B48">
        <w:rPr>
          <w:rFonts w:asciiTheme="majorBidi" w:hAnsiTheme="majorBidi" w:cstheme="majorBidi"/>
        </w:rPr>
        <w:t>Pembaruan hukum Islam di Indonesia dilakukan dalam dua jalur, yaitu jalur struktural dan kultural. Jalur structural pembaruan hukum Islam dihadapkan pada kekuasaan Negara. Hal ini berarti bahwa pembaruan hukum Islam dilakukan melalui intervensi kekuasaan negara. Intervensi negara terhadap pembaruan hukum Islam terdapat dua keniscayaan, yaitu boleh jadi menguntungkan dan boleh jadi merugikan. Sedangkan pembaruan hukum Islam melalui jalur kultural, dilakukan oleh lembaga-lembaga keagamaan, seperti NU, Muhammadiyah, MUI, dan lain-lain.</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8B6B48">
        <w:rPr>
          <w:rFonts w:asciiTheme="majorBidi" w:hAnsiTheme="majorBidi" w:cstheme="majorBidi"/>
        </w:rPr>
        <w:t xml:space="preserve">Pembaruan hukum Islam telah terjadi dalam bidang-bidang tertentu yang disebabkan karena nilai-nilai yang terkandung dalam fiqh sudah tidak mampu lagi memberikan solusi terhadap berbagai masalah baru yang pada waktu fiqh ditulis oleh para fuqaha masalah-masalah baru itu belum terjadi atau belum ada. Sebagai contoh adalah </w:t>
      </w:r>
      <w:r>
        <w:rPr>
          <w:rFonts w:asciiTheme="majorBidi" w:hAnsiTheme="majorBidi" w:cstheme="majorBidi"/>
        </w:rPr>
        <w:t xml:space="preserve">perceraian mesti di depan pengadilan, </w:t>
      </w:r>
      <w:r w:rsidRPr="008B6B48">
        <w:rPr>
          <w:rFonts w:asciiTheme="majorBidi" w:hAnsiTheme="majorBidi" w:cstheme="majorBidi"/>
        </w:rPr>
        <w:t xml:space="preserve">perkawinan yang ijab qabulnya dilakukan melalui telepon, pemberian waris untuk ahli waris yang berbeda agama dengan pewaris, mendudukkan anak angkat sebagai orang yang dapat menerima harta waris dengan wasiat </w:t>
      </w:r>
      <w:r w:rsidRPr="008B6B48">
        <w:rPr>
          <w:rFonts w:asciiTheme="majorBidi" w:hAnsiTheme="majorBidi" w:cstheme="majorBidi"/>
        </w:rPr>
        <w:lastRenderedPageBreak/>
        <w:t xml:space="preserve">wajibah, wakaf dalam bentuk uang tunai, dan sebagainya. Hal ini mendorong </w:t>
      </w:r>
      <w:r>
        <w:rPr>
          <w:rFonts w:asciiTheme="majorBidi" w:hAnsiTheme="majorBidi" w:cstheme="majorBidi"/>
        </w:rPr>
        <w:t>Negara (</w:t>
      </w:r>
      <w:r w:rsidRPr="0081312D">
        <w:rPr>
          <w:rFonts w:asciiTheme="majorBidi" w:hAnsiTheme="majorBidi" w:cstheme="majorBidi"/>
          <w:i/>
          <w:iCs/>
        </w:rPr>
        <w:t>ulil amr</w:t>
      </w:r>
      <w:r>
        <w:rPr>
          <w:rFonts w:asciiTheme="majorBidi" w:hAnsiTheme="majorBidi" w:cstheme="majorBidi"/>
        </w:rPr>
        <w:t>)</w:t>
      </w:r>
      <w:r w:rsidRPr="008B6B48">
        <w:rPr>
          <w:rFonts w:asciiTheme="majorBidi" w:hAnsiTheme="majorBidi" w:cstheme="majorBidi"/>
        </w:rPr>
        <w:t xml:space="preserve"> untuk mengaturnya dalam peraturan perundang-undangan agar tidak terjadi kekacauan.</w:t>
      </w:r>
      <w:r>
        <w:rPr>
          <w:rFonts w:asciiTheme="majorBidi" w:hAnsiTheme="majorBidi" w:cstheme="majorBidi"/>
        </w:rPr>
        <w:t xml:space="preserve"> Pada saat Negara tidak melaksanakan kewajibannya dalam membuat aturan, dan undang-undang, atau aturan dan hukum yang dibuat Negara dianggap masih banyak kekurangannya, maka disinilah MUI melalui fatwanya menempatnya perannya untuk membantu Negara dalam pembuatan aturan dan hukum demi kemaslahatan umat. Sebab tujuan dari </w:t>
      </w:r>
      <w:r w:rsidRPr="008C6192">
        <w:rPr>
          <w:rFonts w:asciiTheme="majorBidi" w:hAnsiTheme="majorBidi" w:cstheme="majorBidi"/>
          <w:i/>
          <w:iCs/>
        </w:rPr>
        <w:t>siyasah syar</w:t>
      </w:r>
      <w:r>
        <w:t>‘</w:t>
      </w:r>
      <w:r w:rsidRPr="008C6192">
        <w:rPr>
          <w:rFonts w:asciiTheme="majorBidi" w:hAnsiTheme="majorBidi" w:cstheme="majorBidi"/>
          <w:i/>
          <w:iCs/>
        </w:rPr>
        <w:t>iyah</w:t>
      </w:r>
      <w:r>
        <w:rPr>
          <w:rFonts w:asciiTheme="majorBidi" w:hAnsiTheme="majorBidi" w:cstheme="majorBidi"/>
        </w:rPr>
        <w:t xml:space="preserve"> itu adalah bagaimana peraturan dan undang-undang yang diciptakan itu bertujuan menciptakan masyarakat yang harmoni dan stabil, mendapatkan maslahat, menjauhkan mudhorat.</w:t>
      </w:r>
    </w:p>
    <w:p w:rsidR="00343B61" w:rsidRDefault="00343B61" w:rsidP="00343B61">
      <w:pPr>
        <w:spacing w:after="0" w:line="360" w:lineRule="auto"/>
        <w:ind w:firstLine="540"/>
        <w:jc w:val="both"/>
        <w:rPr>
          <w:rFonts w:asciiTheme="majorBidi" w:hAnsiTheme="majorBidi" w:cstheme="majorBidi"/>
        </w:rPr>
      </w:pPr>
      <w:r w:rsidRPr="00AA493D">
        <w:rPr>
          <w:rFonts w:asciiTheme="majorBidi" w:hAnsiTheme="majorBidi" w:cstheme="majorBidi"/>
        </w:rPr>
        <w:t xml:space="preserve">Selain </w:t>
      </w:r>
      <w:r>
        <w:rPr>
          <w:rFonts w:asciiTheme="majorBidi" w:hAnsiTheme="majorBidi" w:cstheme="majorBidi"/>
        </w:rPr>
        <w:t>dari</w:t>
      </w:r>
      <w:r w:rsidRPr="00AA493D">
        <w:rPr>
          <w:rFonts w:asciiTheme="majorBidi" w:hAnsiTheme="majorBidi" w:cstheme="majorBidi"/>
        </w:rPr>
        <w:t xml:space="preserve">pada itu, </w:t>
      </w:r>
      <w:r>
        <w:rPr>
          <w:rFonts w:asciiTheme="majorBidi" w:hAnsiTheme="majorBidi" w:cstheme="majorBidi"/>
        </w:rPr>
        <w:t xml:space="preserve">kewajiban membuat aturan dan undang-udang dengan tujuan untuk mensejahterakan rakyat memang kewajiban pemerintah ( </w:t>
      </w:r>
      <w:r w:rsidRPr="00DE3DAF">
        <w:rPr>
          <w:rFonts w:asciiTheme="majorBidi" w:hAnsiTheme="majorBidi" w:cstheme="majorBidi"/>
          <w:i/>
          <w:iCs/>
        </w:rPr>
        <w:t>ulil amr</w:t>
      </w:r>
      <w:r>
        <w:rPr>
          <w:rFonts w:asciiTheme="majorBidi" w:hAnsiTheme="majorBidi" w:cstheme="majorBidi"/>
        </w:rPr>
        <w:t xml:space="preserve">), namun pemerintah sendiri mengakui bahwa permasalahan bangsa dan negara yang begitu kompleks dan rumit tidak dapat diselesaikan kalau tidak mengikut sertakan para ulama, hal itu terlihat jelas pada alasan presiden yang mengusulkan </w:t>
      </w:r>
      <w:r w:rsidRPr="00DE3DAF">
        <w:rPr>
          <w:rFonts w:asciiTheme="majorBidi" w:hAnsiTheme="majorBidi" w:cstheme="majorBidi"/>
        </w:rPr>
        <w:t>agar di Indonesia dibentuk sebuah organisasi ulama.</w:t>
      </w:r>
      <w:r>
        <w:rPr>
          <w:rFonts w:asciiTheme="majorBidi" w:hAnsiTheme="majorBidi" w:cstheme="majorBidi"/>
        </w:rPr>
        <w:t xml:space="preserve"> </w:t>
      </w:r>
      <w:r w:rsidRPr="00DE3DAF">
        <w:rPr>
          <w:rFonts w:asciiTheme="majorBidi" w:hAnsiTheme="majorBidi" w:cstheme="majorBidi"/>
        </w:rPr>
        <w:t>Soeharto</w:t>
      </w:r>
      <w:r>
        <w:rPr>
          <w:rFonts w:asciiTheme="majorBidi" w:hAnsiTheme="majorBidi" w:cstheme="majorBidi"/>
        </w:rPr>
        <w:t xml:space="preserve"> saat itu sebagai presiden </w:t>
      </w:r>
      <w:r w:rsidRPr="00DE3DAF">
        <w:rPr>
          <w:rFonts w:asciiTheme="majorBidi" w:hAnsiTheme="majorBidi" w:cstheme="majorBidi"/>
        </w:rPr>
        <w:t>secara terus terang mengemukakan dua alasan</w:t>
      </w:r>
      <w:r>
        <w:rPr>
          <w:rFonts w:asciiTheme="majorBidi" w:hAnsiTheme="majorBidi" w:cstheme="majorBidi"/>
        </w:rPr>
        <w:t xml:space="preserve"> penting dibentuk organisasi ulama</w:t>
      </w:r>
      <w:r w:rsidRPr="00DE3DAF">
        <w:rPr>
          <w:rFonts w:asciiTheme="majorBidi" w:hAnsiTheme="majorBidi" w:cstheme="majorBidi"/>
        </w:rPr>
        <w:t xml:space="preserve">; </w:t>
      </w:r>
      <w:r w:rsidRPr="00D5746C">
        <w:rPr>
          <w:rFonts w:asciiTheme="majorBidi" w:hAnsiTheme="majorBidi" w:cstheme="majorBidi"/>
          <w:i/>
          <w:iCs/>
        </w:rPr>
        <w:t>Pertama</w:t>
      </w:r>
      <w:r w:rsidRPr="00DE3DAF">
        <w:rPr>
          <w:rFonts w:asciiTheme="majorBidi" w:hAnsiTheme="majorBidi" w:cstheme="majorBidi"/>
        </w:rPr>
        <w:t xml:space="preserve">, keinginan pemerintah agar kaum muslimin bersatu. </w:t>
      </w:r>
      <w:r w:rsidRPr="00D5746C">
        <w:rPr>
          <w:rFonts w:asciiTheme="majorBidi" w:hAnsiTheme="majorBidi" w:cstheme="majorBidi"/>
          <w:i/>
          <w:iCs/>
        </w:rPr>
        <w:t>Kedua</w:t>
      </w:r>
      <w:r w:rsidRPr="00DE3DAF">
        <w:rPr>
          <w:rFonts w:asciiTheme="majorBidi" w:hAnsiTheme="majorBidi" w:cstheme="majorBidi"/>
        </w:rPr>
        <w:t>, munculnya kesadaran pemerintah bahwa permasalahan yang dihadapi bangsa Indonesia tidak dapat diselesaikan tanpa melibatkan peran para ulama</w:t>
      </w:r>
      <w:r>
        <w:rPr>
          <w:rFonts w:asciiTheme="majorBidi" w:hAnsiTheme="majorBidi" w:cstheme="majorBidi"/>
        </w:rPr>
        <w:t>.</w:t>
      </w:r>
    </w:p>
    <w:p w:rsidR="00343B61" w:rsidRPr="00E105E3" w:rsidRDefault="00343B61" w:rsidP="00343B61">
      <w:pPr>
        <w:spacing w:after="0" w:line="360" w:lineRule="auto"/>
        <w:ind w:firstLine="720"/>
        <w:jc w:val="both"/>
        <w:rPr>
          <w:rFonts w:asciiTheme="majorBidi" w:hAnsiTheme="majorBidi" w:cstheme="majorBidi"/>
        </w:rPr>
      </w:pPr>
      <w:r>
        <w:rPr>
          <w:rFonts w:asciiTheme="majorBidi" w:hAnsiTheme="majorBidi" w:cstheme="majorBidi"/>
        </w:rPr>
        <w:t>Maka para Ulama yang tergabung dalam organisasi MUI melaksanakan perannya dalam menasehati umat, dan membantu pemerintah (</w:t>
      </w:r>
      <w:r w:rsidRPr="00DE3DAF">
        <w:rPr>
          <w:rFonts w:asciiTheme="majorBidi" w:hAnsiTheme="majorBidi" w:cstheme="majorBidi"/>
          <w:i/>
          <w:iCs/>
        </w:rPr>
        <w:t>ulil amr</w:t>
      </w:r>
      <w:r>
        <w:rPr>
          <w:rFonts w:asciiTheme="majorBidi" w:hAnsiTheme="majorBidi" w:cstheme="majorBidi"/>
        </w:rPr>
        <w:t xml:space="preserve">) untuk membangun bangsa dan mensejahterakan umat melalui pembuatan norma-norma aturan dengan fatwanya. </w:t>
      </w:r>
      <w:r>
        <w:rPr>
          <w:rFonts w:ascii="Times New Roman" w:hAnsi="Times New Roman" w:cs="Times New Roman"/>
        </w:rPr>
        <w:t xml:space="preserve">Perlu dicatat, bahwa istilah </w:t>
      </w:r>
      <w:r>
        <w:rPr>
          <w:rFonts w:ascii="Times New Roman" w:hAnsi="Times New Roman" w:cs="Times New Roman"/>
          <w:i/>
          <w:iCs/>
        </w:rPr>
        <w:t>ulil amr</w:t>
      </w:r>
      <w:r>
        <w:rPr>
          <w:rFonts w:ascii="Times New Roman" w:hAnsi="Times New Roman" w:cs="Times New Roman"/>
        </w:rPr>
        <w:t xml:space="preserve"> yang disebutkan dua kali dalam Al-Qur’ān, yakni dalam Surat</w:t>
      </w:r>
      <w:r w:rsidRPr="00907C6A">
        <w:rPr>
          <w:rFonts w:ascii="Times New Roman" w:hAnsi="Times New Roman" w:cs="Times New Roman"/>
        </w:rPr>
        <w:t xml:space="preserve"> al-Nisa’</w:t>
      </w:r>
      <w:r>
        <w:rPr>
          <w:rFonts w:ascii="Times New Roman" w:hAnsi="Times New Roman" w:cs="Times New Roman"/>
        </w:rPr>
        <w:t>[4] ayat: 59</w:t>
      </w:r>
      <w:r w:rsidRPr="00907C6A">
        <w:rPr>
          <w:rFonts w:ascii="Times New Roman" w:hAnsi="Times New Roman" w:cs="Times New Roman"/>
        </w:rPr>
        <w:t xml:space="preserve"> </w:t>
      </w:r>
      <w:r>
        <w:rPr>
          <w:rFonts w:ascii="Times New Roman" w:hAnsi="Times New Roman" w:cs="Times New Roman"/>
        </w:rPr>
        <w:t xml:space="preserve">dan ayat 83 </w:t>
      </w:r>
      <w:r w:rsidRPr="00907C6A">
        <w:rPr>
          <w:rFonts w:ascii="Times New Roman" w:hAnsi="Times New Roman" w:cs="Times New Roman"/>
        </w:rPr>
        <w:t>tidak semua ulama mengartikan</w:t>
      </w:r>
      <w:r>
        <w:rPr>
          <w:rFonts w:ascii="Times New Roman" w:hAnsi="Times New Roman" w:cs="Times New Roman"/>
        </w:rPr>
        <w:t xml:space="preserve">nya </w:t>
      </w:r>
      <w:r w:rsidRPr="00907C6A">
        <w:rPr>
          <w:rFonts w:ascii="Times New Roman" w:hAnsi="Times New Roman" w:cs="Times New Roman"/>
        </w:rPr>
        <w:t>dengan khalifah, imam atau penguasa</w:t>
      </w:r>
      <w:r>
        <w:rPr>
          <w:rFonts w:ascii="Times New Roman" w:hAnsi="Times New Roman" w:cs="Times New Roman"/>
        </w:rPr>
        <w:t xml:space="preserve"> saja</w:t>
      </w:r>
      <w:r w:rsidRPr="00907C6A">
        <w:rPr>
          <w:rFonts w:ascii="Times New Roman" w:hAnsi="Times New Roman" w:cs="Times New Roman"/>
        </w:rPr>
        <w:t xml:space="preserve">. </w:t>
      </w:r>
      <w:r>
        <w:rPr>
          <w:rFonts w:ascii="Times New Roman" w:hAnsi="Times New Roman" w:cs="Times New Roman"/>
        </w:rPr>
        <w:t xml:space="preserve">Namun lebih luas dari itu yaitu termasuk para ulama. </w:t>
      </w:r>
      <w:r w:rsidRPr="00715F11">
        <w:rPr>
          <w:rFonts w:asciiTheme="majorBidi" w:hAnsiTheme="majorBidi" w:cstheme="majorBidi"/>
          <w:color w:val="000000"/>
        </w:rPr>
        <w:t xml:space="preserve">Rasyid Ridha berkata: </w:t>
      </w:r>
      <w:r>
        <w:rPr>
          <w:rFonts w:asciiTheme="majorBidi" w:hAnsiTheme="majorBidi" w:cstheme="majorBidi"/>
          <w:i/>
          <w:iCs/>
          <w:color w:val="000000"/>
        </w:rPr>
        <w:t>ulil amr</w:t>
      </w:r>
      <w:r w:rsidRPr="00715F11">
        <w:rPr>
          <w:rFonts w:asciiTheme="majorBidi" w:hAnsiTheme="majorBidi" w:cstheme="majorBidi"/>
          <w:color w:val="000000"/>
        </w:rPr>
        <w:t xml:space="preserve"> adalah meraka </w:t>
      </w:r>
      <w:r>
        <w:rPr>
          <w:rFonts w:asciiTheme="majorBidi" w:hAnsiTheme="majorBidi" w:cstheme="majorBidi"/>
          <w:i/>
          <w:iCs/>
          <w:color w:val="000000"/>
        </w:rPr>
        <w:t>ahl al-hil</w:t>
      </w:r>
      <w:r w:rsidRPr="00715F11">
        <w:rPr>
          <w:rFonts w:asciiTheme="majorBidi" w:hAnsiTheme="majorBidi" w:cstheme="majorBidi"/>
          <w:i/>
          <w:iCs/>
          <w:color w:val="000000"/>
        </w:rPr>
        <w:t xml:space="preserve"> wa</w:t>
      </w:r>
      <w:r>
        <w:rPr>
          <w:rFonts w:asciiTheme="majorBidi" w:hAnsiTheme="majorBidi" w:cstheme="majorBidi"/>
          <w:i/>
          <w:iCs/>
          <w:color w:val="000000"/>
        </w:rPr>
        <w:t xml:space="preserve"> al‘</w:t>
      </w:r>
      <w:r w:rsidRPr="00715F11">
        <w:rPr>
          <w:rFonts w:asciiTheme="majorBidi" w:hAnsiTheme="majorBidi" w:cstheme="majorBidi"/>
          <w:i/>
          <w:iCs/>
          <w:color w:val="000000"/>
        </w:rPr>
        <w:t>aqd</w:t>
      </w:r>
      <w:r w:rsidRPr="00715F11">
        <w:rPr>
          <w:rFonts w:asciiTheme="majorBidi" w:hAnsiTheme="majorBidi" w:cstheme="majorBidi"/>
          <w:color w:val="000000"/>
        </w:rPr>
        <w:t xml:space="preserve">, </w:t>
      </w:r>
      <w:r>
        <w:rPr>
          <w:rFonts w:asciiTheme="majorBidi" w:hAnsiTheme="majorBidi" w:cstheme="majorBidi"/>
          <w:color w:val="000000"/>
        </w:rPr>
        <w:t>kumpulan ulama yang dipatuhi, para ahli hukum, dan Majelis Permusyaratan yang berada mendampingi Imam (Presiden).</w:t>
      </w:r>
      <w:r>
        <w:rPr>
          <w:rStyle w:val="FootnoteReference"/>
          <w:rFonts w:asciiTheme="majorBidi" w:hAnsiTheme="majorBidi" w:cstheme="majorBidi"/>
          <w:color w:val="000000"/>
        </w:rPr>
        <w:footnoteReference w:id="846"/>
      </w:r>
    </w:p>
    <w:p w:rsidR="00343B61" w:rsidRPr="00743108" w:rsidRDefault="00343B61" w:rsidP="00343B61">
      <w:pPr>
        <w:pStyle w:val="ListParagraph"/>
        <w:spacing w:line="360" w:lineRule="auto"/>
        <w:ind w:left="0" w:firstLine="630"/>
        <w:jc w:val="both"/>
        <w:rPr>
          <w:rFonts w:asciiTheme="majorBidi" w:hAnsiTheme="majorBidi" w:cstheme="majorBidi"/>
        </w:rPr>
      </w:pPr>
      <w:r w:rsidRPr="00743108">
        <w:rPr>
          <w:rFonts w:asciiTheme="majorBidi" w:hAnsiTheme="majorBidi" w:cstheme="majorBidi"/>
        </w:rPr>
        <w:t xml:space="preserve">Imam Nawawi mengatakannya </w:t>
      </w:r>
      <w:r w:rsidRPr="00743108">
        <w:rPr>
          <w:rFonts w:asciiTheme="majorBidi" w:hAnsiTheme="majorBidi" w:cstheme="majorBidi"/>
          <w:i/>
          <w:iCs/>
        </w:rPr>
        <w:t xml:space="preserve">ulil amr </w:t>
      </w:r>
      <w:r w:rsidRPr="00743108">
        <w:rPr>
          <w:rFonts w:asciiTheme="majorBidi" w:hAnsiTheme="majorBidi" w:cstheme="majorBidi"/>
        </w:rPr>
        <w:t xml:space="preserve">sebagai istilah yang mencakup para penguasa dan ulama ( </w:t>
      </w:r>
      <w:r w:rsidRPr="00743108">
        <w:rPr>
          <w:rFonts w:asciiTheme="majorBidi" w:hAnsiTheme="majorBidi" w:cstheme="majorBidi"/>
          <w:i/>
          <w:iCs/>
        </w:rPr>
        <w:t>al-umarā’</w:t>
      </w:r>
      <w:r w:rsidRPr="00743108">
        <w:rPr>
          <w:rFonts w:asciiTheme="majorBidi" w:hAnsiTheme="majorBidi" w:cstheme="majorBidi"/>
        </w:rPr>
        <w:t xml:space="preserve"> </w:t>
      </w:r>
      <w:r w:rsidRPr="00743108">
        <w:rPr>
          <w:rFonts w:asciiTheme="majorBidi" w:hAnsiTheme="majorBidi" w:cstheme="majorBidi"/>
          <w:i/>
          <w:iCs/>
        </w:rPr>
        <w:t>wa</w:t>
      </w:r>
      <w:r w:rsidRPr="00743108">
        <w:rPr>
          <w:rFonts w:asciiTheme="majorBidi" w:hAnsiTheme="majorBidi" w:cstheme="majorBidi"/>
        </w:rPr>
        <w:t xml:space="preserve"> </w:t>
      </w:r>
      <w:r w:rsidRPr="00743108">
        <w:rPr>
          <w:rFonts w:asciiTheme="majorBidi" w:hAnsiTheme="majorBidi" w:cstheme="majorBidi"/>
          <w:i/>
          <w:iCs/>
        </w:rPr>
        <w:t>al-</w:t>
      </w:r>
      <w:r w:rsidRPr="00743108">
        <w:rPr>
          <w:rFonts w:asciiTheme="majorBidi" w:hAnsiTheme="majorBidi" w:cstheme="majorBidi"/>
        </w:rPr>
        <w:t>‘</w:t>
      </w:r>
      <w:r w:rsidRPr="00743108">
        <w:rPr>
          <w:rFonts w:asciiTheme="majorBidi" w:hAnsiTheme="majorBidi" w:cstheme="majorBidi"/>
          <w:i/>
          <w:iCs/>
        </w:rPr>
        <w:t>ulamā’</w:t>
      </w:r>
      <w:r w:rsidRPr="00743108">
        <w:rPr>
          <w:rFonts w:asciiTheme="majorBidi" w:hAnsiTheme="majorBidi" w:cstheme="majorBidi"/>
        </w:rPr>
        <w:t>)</w:t>
      </w:r>
      <w:r>
        <w:rPr>
          <w:rFonts w:asciiTheme="majorBidi" w:hAnsiTheme="majorBidi" w:cstheme="majorBidi"/>
        </w:rPr>
        <w:t xml:space="preserve"> </w:t>
      </w:r>
      <w:r w:rsidRPr="00743108">
        <w:rPr>
          <w:rFonts w:asciiTheme="majorBidi" w:hAnsiTheme="majorBidi" w:cstheme="majorBidi"/>
        </w:rPr>
        <w:t>yang wajib ditaati.</w:t>
      </w:r>
      <w:r w:rsidRPr="00743108">
        <w:rPr>
          <w:rStyle w:val="FootnoteReference"/>
          <w:rFonts w:asciiTheme="majorBidi" w:hAnsiTheme="majorBidi" w:cstheme="majorBidi"/>
        </w:rPr>
        <w:footnoteReference w:id="847"/>
      </w:r>
      <w:r w:rsidRPr="00743108">
        <w:rPr>
          <w:rFonts w:asciiTheme="majorBidi" w:hAnsiTheme="majorBidi" w:cstheme="majorBidi"/>
        </w:rPr>
        <w:t xml:space="preserve"> </w:t>
      </w:r>
      <w:r w:rsidRPr="00743108">
        <w:rPr>
          <w:rFonts w:asciiTheme="majorBidi" w:hAnsiTheme="majorBidi" w:cstheme="majorBidi"/>
          <w:color w:val="000000"/>
        </w:rPr>
        <w:t xml:space="preserve">Jabir ibn Abdullah, </w:t>
      </w:r>
      <w:r w:rsidRPr="00743108">
        <w:rPr>
          <w:rFonts w:asciiTheme="majorBidi" w:hAnsiTheme="majorBidi" w:cstheme="majorBidi"/>
          <w:color w:val="000000"/>
        </w:rPr>
        <w:lastRenderedPageBreak/>
        <w:t xml:space="preserve">Hasan, Al-Dhohak dan Mujahid berpendapat bahwa </w:t>
      </w:r>
      <w:r w:rsidRPr="00743108">
        <w:rPr>
          <w:rFonts w:asciiTheme="majorBidi" w:hAnsiTheme="majorBidi" w:cstheme="majorBidi"/>
          <w:i/>
          <w:iCs/>
          <w:color w:val="000000"/>
        </w:rPr>
        <w:t>ulil amr</w:t>
      </w:r>
      <w:r w:rsidRPr="00743108">
        <w:rPr>
          <w:rFonts w:asciiTheme="majorBidi" w:hAnsiTheme="majorBidi" w:cstheme="majorBidi"/>
          <w:color w:val="000000"/>
        </w:rPr>
        <w:t xml:space="preserve"> itu adalah para Ahli fiqh dan para Ulama, mereka yang ahli agama dan yang memiliki keahlian, mereka orang-orang yang mengajari menusia masalah agama, melaksanakan amar makruf  nahi mungkar.</w:t>
      </w:r>
      <w:r w:rsidRPr="00743108">
        <w:rPr>
          <w:rStyle w:val="FootnoteReference"/>
          <w:rFonts w:asciiTheme="majorBidi" w:hAnsiTheme="majorBidi" w:cstheme="majorBidi"/>
          <w:color w:val="000000"/>
        </w:rPr>
        <w:footnoteReference w:id="848"/>
      </w:r>
      <w:r w:rsidRPr="00743108">
        <w:rPr>
          <w:rFonts w:asciiTheme="majorBidi" w:hAnsiTheme="majorBidi" w:cstheme="majorBidi"/>
          <w:color w:val="000000"/>
        </w:rPr>
        <w:t xml:space="preserve"> </w:t>
      </w:r>
      <w:r w:rsidRPr="00743108">
        <w:rPr>
          <w:rFonts w:asciiTheme="majorBidi" w:hAnsiTheme="majorBidi" w:cstheme="majorBidi"/>
        </w:rPr>
        <w:t xml:space="preserve">Sejumlah  </w:t>
      </w:r>
      <w:r w:rsidRPr="00743108">
        <w:rPr>
          <w:rFonts w:asciiTheme="majorBidi" w:hAnsiTheme="majorBidi" w:cstheme="majorBidi"/>
          <w:color w:val="000000"/>
        </w:rPr>
        <w:t xml:space="preserve">pendapat di atas diperkuat oleh firman Allah dalam Al-Qur’an surat Al-Nisa </w:t>
      </w:r>
      <w:r w:rsidRPr="00743108">
        <w:rPr>
          <w:rFonts w:asciiTheme="majorBidi" w:hAnsiTheme="majorBidi" w:cstheme="majorBidi"/>
        </w:rPr>
        <w:t xml:space="preserve">[4] </w:t>
      </w:r>
      <w:r w:rsidRPr="00743108">
        <w:rPr>
          <w:rFonts w:asciiTheme="majorBidi" w:hAnsiTheme="majorBidi" w:cstheme="majorBidi"/>
          <w:color w:val="000000"/>
        </w:rPr>
        <w:t xml:space="preserve"> ayat 83 yaitu: </w:t>
      </w:r>
    </w:p>
    <w:p w:rsidR="00343B61" w:rsidRPr="005D41DC" w:rsidRDefault="00343B61" w:rsidP="00343B61">
      <w:pPr>
        <w:bidi/>
        <w:spacing w:line="240" w:lineRule="auto"/>
        <w:jc w:val="both"/>
        <w:rPr>
          <w:rFonts w:ascii="(normal text)" w:hAnsi="(normal text)"/>
          <w:sz w:val="20"/>
          <w:szCs w:val="20"/>
        </w:rPr>
      </w:pPr>
      <w:r w:rsidRPr="005D41DC">
        <w:rPr>
          <w:sz w:val="26"/>
          <w:szCs w:val="26"/>
        </w:rPr>
        <w:sym w:font="HQPB1" w:char="F023"/>
      </w:r>
      <w:r w:rsidRPr="005D41DC">
        <w:rPr>
          <w:sz w:val="26"/>
          <w:szCs w:val="26"/>
        </w:rPr>
        <w:sym w:font="HQPB5" w:char="F073"/>
      </w:r>
      <w:r w:rsidRPr="005D41DC">
        <w:rPr>
          <w:sz w:val="26"/>
          <w:szCs w:val="26"/>
        </w:rPr>
        <w:sym w:font="HQPB1" w:char="F08C"/>
      </w:r>
      <w:r w:rsidRPr="005D41DC">
        <w:rPr>
          <w:sz w:val="26"/>
          <w:szCs w:val="26"/>
        </w:rPr>
        <w:sym w:font="HQPB4" w:char="F0CE"/>
      </w:r>
      <w:r w:rsidRPr="005D41DC">
        <w:rPr>
          <w:sz w:val="26"/>
          <w:szCs w:val="26"/>
        </w:rPr>
        <w:sym w:font="HQPB1" w:char="F029"/>
      </w:r>
      <w:r w:rsidRPr="005D41DC">
        <w:rPr>
          <w:sz w:val="26"/>
          <w:szCs w:val="26"/>
        </w:rPr>
        <w:sym w:font="HQPB5" w:char="F075"/>
      </w:r>
      <w:r w:rsidRPr="005D41DC">
        <w:rPr>
          <w:sz w:val="26"/>
          <w:szCs w:val="26"/>
        </w:rPr>
        <w:sym w:font="HQPB2" w:char="F072"/>
      </w:r>
      <w:r w:rsidRPr="005D41DC">
        <w:rPr>
          <w:rFonts w:ascii="(normal text)" w:hAnsi="(normal text)"/>
          <w:sz w:val="20"/>
          <w:szCs w:val="20"/>
          <w:rtl/>
        </w:rPr>
        <w:t xml:space="preserve"> </w:t>
      </w:r>
      <w:r w:rsidRPr="005D41DC">
        <w:rPr>
          <w:sz w:val="26"/>
          <w:szCs w:val="26"/>
        </w:rPr>
        <w:sym w:font="HQPB4" w:char="F0F6"/>
      </w:r>
      <w:r w:rsidRPr="005D41DC">
        <w:rPr>
          <w:sz w:val="26"/>
          <w:szCs w:val="26"/>
        </w:rPr>
        <w:sym w:font="HQPB2" w:char="F04E"/>
      </w:r>
      <w:r w:rsidRPr="005D41DC">
        <w:rPr>
          <w:sz w:val="26"/>
          <w:szCs w:val="26"/>
        </w:rPr>
        <w:sym w:font="HQPB4" w:char="F0E8"/>
      </w:r>
      <w:r w:rsidRPr="005D41DC">
        <w:rPr>
          <w:sz w:val="26"/>
          <w:szCs w:val="26"/>
        </w:rPr>
        <w:sym w:font="HQPB2" w:char="F064"/>
      </w:r>
      <w:r w:rsidRPr="005D41DC">
        <w:rPr>
          <w:sz w:val="26"/>
          <w:szCs w:val="26"/>
        </w:rPr>
        <w:sym w:font="HQPB5" w:char="F075"/>
      </w:r>
      <w:r w:rsidRPr="005D41DC">
        <w:rPr>
          <w:sz w:val="26"/>
          <w:szCs w:val="26"/>
        </w:rPr>
        <w:sym w:font="HQPB2" w:char="F0E4"/>
      </w:r>
      <w:r w:rsidRPr="005D41DC">
        <w:rPr>
          <w:sz w:val="26"/>
          <w:szCs w:val="26"/>
        </w:rPr>
        <w:sym w:font="HQPB5" w:char="F021"/>
      </w:r>
      <w:r w:rsidRPr="005D41DC">
        <w:rPr>
          <w:sz w:val="26"/>
          <w:szCs w:val="26"/>
        </w:rPr>
        <w:sym w:font="HQPB1" w:char="F025"/>
      </w:r>
      <w:r w:rsidRPr="005D41DC">
        <w:rPr>
          <w:sz w:val="26"/>
          <w:szCs w:val="26"/>
        </w:rPr>
        <w:sym w:font="HQPB5" w:char="F079"/>
      </w:r>
      <w:r w:rsidRPr="005D41DC">
        <w:rPr>
          <w:sz w:val="26"/>
          <w:szCs w:val="26"/>
        </w:rPr>
        <w:sym w:font="HQPB1" w:char="F060"/>
      </w:r>
      <w:r w:rsidRPr="005D41DC">
        <w:rPr>
          <w:rFonts w:ascii="(normal text)" w:hAnsi="(normal text)"/>
          <w:sz w:val="20"/>
          <w:szCs w:val="20"/>
          <w:rtl/>
        </w:rPr>
        <w:t xml:space="preserve"> </w:t>
      </w:r>
      <w:r w:rsidRPr="005D41DC">
        <w:rPr>
          <w:sz w:val="26"/>
          <w:szCs w:val="26"/>
        </w:rPr>
        <w:sym w:font="HQPB4" w:char="F0D6"/>
      </w:r>
      <w:r w:rsidRPr="005D41DC">
        <w:rPr>
          <w:sz w:val="26"/>
          <w:szCs w:val="26"/>
        </w:rPr>
        <w:sym w:font="HQPB1" w:char="F08D"/>
      </w:r>
      <w:r w:rsidRPr="005D41DC">
        <w:rPr>
          <w:sz w:val="26"/>
          <w:szCs w:val="26"/>
        </w:rPr>
        <w:sym w:font="HQPB4" w:char="F0F8"/>
      </w:r>
      <w:r w:rsidRPr="005D41DC">
        <w:rPr>
          <w:sz w:val="26"/>
          <w:szCs w:val="26"/>
        </w:rPr>
        <w:sym w:font="HQPB2" w:char="F042"/>
      </w:r>
      <w:r w:rsidRPr="005D41DC">
        <w:rPr>
          <w:sz w:val="26"/>
          <w:szCs w:val="26"/>
        </w:rPr>
        <w:sym w:font="HQPB5" w:char="F072"/>
      </w:r>
      <w:r w:rsidRPr="005D41DC">
        <w:rPr>
          <w:sz w:val="26"/>
          <w:szCs w:val="26"/>
        </w:rPr>
        <w:sym w:font="HQPB1" w:char="F026"/>
      </w:r>
      <w:r w:rsidRPr="005D41DC">
        <w:rPr>
          <w:rFonts w:ascii="(normal text)" w:hAnsi="(normal text)"/>
          <w:sz w:val="20"/>
          <w:szCs w:val="20"/>
          <w:rtl/>
        </w:rPr>
        <w:t xml:space="preserve"> </w:t>
      </w:r>
      <w:r w:rsidRPr="005D41DC">
        <w:rPr>
          <w:sz w:val="26"/>
          <w:szCs w:val="26"/>
        </w:rPr>
        <w:sym w:font="HQPB5" w:char="F07A"/>
      </w:r>
      <w:r w:rsidRPr="005D41DC">
        <w:rPr>
          <w:sz w:val="26"/>
          <w:szCs w:val="26"/>
        </w:rPr>
        <w:sym w:font="HQPB2" w:char="F060"/>
      </w:r>
      <w:r w:rsidRPr="005D41DC">
        <w:rPr>
          <w:sz w:val="26"/>
          <w:szCs w:val="26"/>
        </w:rPr>
        <w:sym w:font="HQPB4" w:char="F0CF"/>
      </w:r>
      <w:r w:rsidRPr="005D41DC">
        <w:rPr>
          <w:sz w:val="26"/>
          <w:szCs w:val="26"/>
        </w:rPr>
        <w:sym w:font="HQPB4" w:char="F069"/>
      </w:r>
      <w:r w:rsidRPr="005D41DC">
        <w:rPr>
          <w:sz w:val="26"/>
          <w:szCs w:val="26"/>
        </w:rPr>
        <w:sym w:font="HQPB2" w:char="F042"/>
      </w:r>
      <w:r w:rsidRPr="005D41DC">
        <w:rPr>
          <w:rFonts w:ascii="(normal text)" w:hAnsi="(normal text)"/>
          <w:sz w:val="20"/>
          <w:szCs w:val="20"/>
          <w:rtl/>
        </w:rPr>
        <w:t xml:space="preserve"> </w:t>
      </w:r>
      <w:r w:rsidRPr="005D41DC">
        <w:rPr>
          <w:sz w:val="26"/>
          <w:szCs w:val="26"/>
        </w:rPr>
        <w:sym w:font="HQPB4" w:char="F0C7"/>
      </w:r>
      <w:r w:rsidRPr="005D41DC">
        <w:rPr>
          <w:sz w:val="26"/>
          <w:szCs w:val="26"/>
        </w:rPr>
        <w:sym w:font="HQPB2" w:char="F060"/>
      </w:r>
      <w:r w:rsidRPr="005D41DC">
        <w:rPr>
          <w:sz w:val="26"/>
          <w:szCs w:val="26"/>
        </w:rPr>
        <w:sym w:font="HQPB4" w:char="F0F8"/>
      </w:r>
      <w:r w:rsidRPr="005D41DC">
        <w:rPr>
          <w:sz w:val="26"/>
          <w:szCs w:val="26"/>
        </w:rPr>
        <w:sym w:font="HQPB2" w:char="F042"/>
      </w:r>
      <w:r w:rsidRPr="005D41DC">
        <w:rPr>
          <w:sz w:val="26"/>
          <w:szCs w:val="26"/>
        </w:rPr>
        <w:sym w:font="HQPB5" w:char="F046"/>
      </w:r>
      <w:r w:rsidRPr="005D41DC">
        <w:rPr>
          <w:sz w:val="26"/>
          <w:szCs w:val="26"/>
        </w:rPr>
        <w:sym w:font="HQPB2" w:char="F07B"/>
      </w:r>
      <w:r w:rsidRPr="005D41DC">
        <w:rPr>
          <w:sz w:val="26"/>
          <w:szCs w:val="26"/>
        </w:rPr>
        <w:sym w:font="HQPB5" w:char="F024"/>
      </w:r>
      <w:r w:rsidRPr="005D41DC">
        <w:rPr>
          <w:sz w:val="26"/>
          <w:szCs w:val="26"/>
        </w:rPr>
        <w:sym w:font="HQPB1" w:char="F023"/>
      </w:r>
      <w:r w:rsidRPr="005D41DC">
        <w:rPr>
          <w:rFonts w:ascii="(normal text)" w:hAnsi="(normal text)"/>
          <w:sz w:val="20"/>
          <w:szCs w:val="20"/>
          <w:rtl/>
        </w:rPr>
        <w:t xml:space="preserve"> </w:t>
      </w:r>
      <w:r w:rsidRPr="005D41DC">
        <w:rPr>
          <w:sz w:val="26"/>
          <w:szCs w:val="26"/>
        </w:rPr>
        <w:sym w:font="HQPB4" w:char="F0CD"/>
      </w:r>
      <w:r w:rsidRPr="005D41DC">
        <w:rPr>
          <w:sz w:val="26"/>
          <w:szCs w:val="26"/>
        </w:rPr>
        <w:sym w:font="HQPB2" w:char="F072"/>
      </w:r>
      <w:r w:rsidRPr="005D41DC">
        <w:rPr>
          <w:sz w:val="26"/>
          <w:szCs w:val="26"/>
        </w:rPr>
        <w:sym w:font="HQPB5" w:char="F072"/>
      </w:r>
      <w:r w:rsidRPr="005D41DC">
        <w:rPr>
          <w:sz w:val="26"/>
          <w:szCs w:val="26"/>
        </w:rPr>
        <w:sym w:font="HQPB1" w:char="F026"/>
      </w:r>
      <w:r w:rsidRPr="005D41DC">
        <w:rPr>
          <w:rFonts w:ascii="(normal text)" w:hAnsi="(normal text)"/>
          <w:sz w:val="20"/>
          <w:szCs w:val="20"/>
          <w:rtl/>
        </w:rPr>
        <w:t xml:space="preserve"> </w:t>
      </w:r>
      <w:r w:rsidRPr="005D41DC">
        <w:rPr>
          <w:sz w:val="26"/>
          <w:szCs w:val="26"/>
        </w:rPr>
        <w:sym w:font="HQPB4" w:char="F0C5"/>
      </w:r>
      <w:r w:rsidRPr="005D41DC">
        <w:rPr>
          <w:sz w:val="26"/>
          <w:szCs w:val="26"/>
        </w:rPr>
        <w:sym w:font="HQPB2" w:char="F024"/>
      </w:r>
      <w:r w:rsidRPr="005D41DC">
        <w:rPr>
          <w:sz w:val="26"/>
          <w:szCs w:val="26"/>
        </w:rPr>
        <w:sym w:font="HQPB4" w:char="F0F6"/>
      </w:r>
      <w:r w:rsidRPr="005D41DC">
        <w:rPr>
          <w:sz w:val="26"/>
          <w:szCs w:val="26"/>
        </w:rPr>
        <w:sym w:font="HQPB2" w:char="F071"/>
      </w:r>
      <w:r w:rsidRPr="005D41DC">
        <w:rPr>
          <w:sz w:val="26"/>
          <w:szCs w:val="26"/>
        </w:rPr>
        <w:sym w:font="HQPB5" w:char="F079"/>
      </w:r>
      <w:r w:rsidRPr="005D41DC">
        <w:rPr>
          <w:sz w:val="26"/>
          <w:szCs w:val="26"/>
        </w:rPr>
        <w:sym w:font="HQPB1" w:char="F082"/>
      </w:r>
      <w:r w:rsidRPr="005D41DC">
        <w:rPr>
          <w:sz w:val="26"/>
          <w:szCs w:val="26"/>
        </w:rPr>
        <w:sym w:font="HQPB4" w:char="F0F8"/>
      </w:r>
      <w:r w:rsidRPr="005D41DC">
        <w:rPr>
          <w:sz w:val="26"/>
          <w:szCs w:val="26"/>
        </w:rPr>
        <w:sym w:font="HQPB2" w:char="F039"/>
      </w:r>
      <w:r w:rsidRPr="005D41DC">
        <w:rPr>
          <w:sz w:val="26"/>
          <w:szCs w:val="26"/>
        </w:rPr>
        <w:sym w:font="HQPB5" w:char="F024"/>
      </w:r>
      <w:r w:rsidRPr="005D41DC">
        <w:rPr>
          <w:sz w:val="26"/>
          <w:szCs w:val="26"/>
        </w:rPr>
        <w:sym w:font="HQPB1" w:char="F023"/>
      </w:r>
      <w:r w:rsidRPr="005D41DC">
        <w:rPr>
          <w:rFonts w:ascii="(normal text)" w:hAnsi="(normal text)"/>
          <w:sz w:val="20"/>
          <w:szCs w:val="20"/>
          <w:rtl/>
        </w:rPr>
        <w:t xml:space="preserve"> </w:t>
      </w:r>
      <w:r w:rsidRPr="005D41DC">
        <w:rPr>
          <w:sz w:val="26"/>
          <w:szCs w:val="26"/>
        </w:rPr>
        <w:sym w:font="HQPB5" w:char="F028"/>
      </w:r>
      <w:r w:rsidRPr="005D41DC">
        <w:rPr>
          <w:sz w:val="26"/>
          <w:szCs w:val="26"/>
        </w:rPr>
        <w:sym w:font="HQPB1" w:char="F023"/>
      </w:r>
      <w:r w:rsidRPr="005D41DC">
        <w:rPr>
          <w:sz w:val="26"/>
          <w:szCs w:val="26"/>
        </w:rPr>
        <w:sym w:font="HQPB2" w:char="F071"/>
      </w:r>
      <w:r w:rsidRPr="005D41DC">
        <w:rPr>
          <w:sz w:val="26"/>
          <w:szCs w:val="26"/>
        </w:rPr>
        <w:sym w:font="HQPB4" w:char="F0E3"/>
      </w:r>
      <w:r w:rsidRPr="005D41DC">
        <w:rPr>
          <w:sz w:val="26"/>
          <w:szCs w:val="26"/>
        </w:rPr>
        <w:sym w:font="HQPB1" w:char="F0E3"/>
      </w:r>
      <w:r w:rsidRPr="005D41DC">
        <w:rPr>
          <w:sz w:val="26"/>
          <w:szCs w:val="26"/>
        </w:rPr>
        <w:sym w:font="HQPB1" w:char="F023"/>
      </w:r>
      <w:r w:rsidRPr="005D41DC">
        <w:rPr>
          <w:sz w:val="26"/>
          <w:szCs w:val="26"/>
        </w:rPr>
        <w:sym w:font="HQPB5" w:char="F073"/>
      </w:r>
      <w:r w:rsidRPr="005D41DC">
        <w:rPr>
          <w:sz w:val="26"/>
          <w:szCs w:val="26"/>
        </w:rPr>
        <w:sym w:font="HQPB1" w:char="F08C"/>
      </w:r>
      <w:r w:rsidRPr="005D41DC">
        <w:rPr>
          <w:sz w:val="26"/>
          <w:szCs w:val="26"/>
        </w:rPr>
        <w:sym w:font="HQPB5" w:char="F072"/>
      </w:r>
      <w:r w:rsidRPr="005D41DC">
        <w:rPr>
          <w:sz w:val="26"/>
          <w:szCs w:val="26"/>
        </w:rPr>
        <w:sym w:font="HQPB1" w:char="F026"/>
      </w:r>
      <w:r w:rsidRPr="005D41DC">
        <w:rPr>
          <w:rFonts w:ascii="(normal text)" w:hAnsi="(normal text)"/>
          <w:sz w:val="20"/>
          <w:szCs w:val="20"/>
          <w:rtl/>
        </w:rPr>
        <w:t xml:space="preserve"> </w:t>
      </w:r>
      <w:r w:rsidRPr="005D41DC">
        <w:rPr>
          <w:sz w:val="26"/>
          <w:szCs w:val="26"/>
        </w:rPr>
        <w:sym w:font="HQPB2" w:char="F0BE"/>
      </w:r>
      <w:r w:rsidRPr="005D41DC">
        <w:rPr>
          <w:sz w:val="26"/>
          <w:szCs w:val="26"/>
        </w:rPr>
        <w:sym w:font="HQPB4" w:char="F0CF"/>
      </w:r>
      <w:r w:rsidRPr="005D41DC">
        <w:rPr>
          <w:sz w:val="26"/>
          <w:szCs w:val="26"/>
        </w:rPr>
        <w:sym w:font="HQPB2" w:char="F06D"/>
      </w:r>
      <w:r w:rsidRPr="005D41DC">
        <w:rPr>
          <w:sz w:val="26"/>
          <w:szCs w:val="26"/>
        </w:rPr>
        <w:sym w:font="HQPB4" w:char="F0CE"/>
      </w:r>
      <w:r w:rsidRPr="005D41DC">
        <w:rPr>
          <w:sz w:val="26"/>
          <w:szCs w:val="26"/>
        </w:rPr>
        <w:sym w:font="HQPB1" w:char="F02F"/>
      </w:r>
      <w:r w:rsidRPr="005D41DC">
        <w:rPr>
          <w:rFonts w:ascii="(normal text)" w:hAnsi="(normal text)"/>
          <w:sz w:val="20"/>
          <w:szCs w:val="20"/>
          <w:rtl/>
        </w:rPr>
        <w:t xml:space="preserve"> </w:t>
      </w:r>
      <w:r w:rsidRPr="005D41DC">
        <w:rPr>
          <w:sz w:val="26"/>
          <w:szCs w:val="26"/>
        </w:rPr>
        <w:sym w:font="HQPB4" w:char="F028"/>
      </w:r>
      <w:r w:rsidRPr="005D41DC">
        <w:rPr>
          <w:rFonts w:ascii="(normal text)" w:hAnsi="(normal text)"/>
          <w:sz w:val="20"/>
          <w:szCs w:val="20"/>
          <w:rtl/>
        </w:rPr>
        <w:t xml:space="preserve"> </w:t>
      </w:r>
      <w:r w:rsidRPr="005D41DC">
        <w:rPr>
          <w:sz w:val="26"/>
          <w:szCs w:val="26"/>
        </w:rPr>
        <w:sym w:font="HQPB4" w:char="F0F6"/>
      </w:r>
      <w:r w:rsidRPr="005D41DC">
        <w:rPr>
          <w:sz w:val="26"/>
          <w:szCs w:val="26"/>
        </w:rPr>
        <w:sym w:font="HQPB2" w:char="F071"/>
      </w:r>
      <w:r w:rsidRPr="005D41DC">
        <w:rPr>
          <w:sz w:val="26"/>
          <w:szCs w:val="26"/>
        </w:rPr>
        <w:sym w:font="HQPB5" w:char="F073"/>
      </w:r>
      <w:r w:rsidRPr="005D41DC">
        <w:rPr>
          <w:sz w:val="26"/>
          <w:szCs w:val="26"/>
        </w:rPr>
        <w:sym w:font="HQPB2" w:char="F039"/>
      </w:r>
      <w:r w:rsidRPr="005D41DC">
        <w:rPr>
          <w:sz w:val="26"/>
          <w:szCs w:val="26"/>
        </w:rPr>
        <w:sym w:font="HQPB5" w:char="F075"/>
      </w:r>
      <w:r w:rsidRPr="005D41DC">
        <w:rPr>
          <w:sz w:val="26"/>
          <w:szCs w:val="26"/>
        </w:rPr>
        <w:sym w:font="HQPB2" w:char="F072"/>
      </w:r>
      <w:r w:rsidRPr="005D41DC">
        <w:rPr>
          <w:rFonts w:ascii="(normal text)" w:hAnsi="(normal text)"/>
          <w:sz w:val="20"/>
          <w:szCs w:val="20"/>
          <w:rtl/>
        </w:rPr>
        <w:t xml:space="preserve"> </w:t>
      </w:r>
      <w:r w:rsidRPr="005D41DC">
        <w:rPr>
          <w:sz w:val="26"/>
          <w:szCs w:val="26"/>
        </w:rPr>
        <w:sym w:font="HQPB4" w:char="F0E7"/>
      </w:r>
      <w:r w:rsidRPr="005D41DC">
        <w:rPr>
          <w:sz w:val="26"/>
          <w:szCs w:val="26"/>
        </w:rPr>
        <w:sym w:font="HQPB2" w:char="F06E"/>
      </w:r>
      <w:r w:rsidRPr="005D41DC">
        <w:rPr>
          <w:sz w:val="26"/>
          <w:szCs w:val="26"/>
        </w:rPr>
        <w:sym w:font="HQPB2" w:char="F072"/>
      </w:r>
      <w:r w:rsidRPr="005D41DC">
        <w:rPr>
          <w:sz w:val="26"/>
          <w:szCs w:val="26"/>
        </w:rPr>
        <w:sym w:font="HQPB4" w:char="F096"/>
      </w:r>
      <w:r w:rsidRPr="005D41DC">
        <w:rPr>
          <w:sz w:val="26"/>
          <w:szCs w:val="26"/>
        </w:rPr>
        <w:sym w:font="HQPB1" w:char="F08A"/>
      </w:r>
      <w:r w:rsidRPr="005D41DC">
        <w:rPr>
          <w:sz w:val="26"/>
          <w:szCs w:val="26"/>
        </w:rPr>
        <w:sym w:font="HQPB5" w:char="F075"/>
      </w:r>
      <w:r w:rsidRPr="005D41DC">
        <w:rPr>
          <w:sz w:val="26"/>
          <w:szCs w:val="26"/>
        </w:rPr>
        <w:sym w:font="HQPB1" w:char="F091"/>
      </w:r>
      <w:r w:rsidRPr="005D41DC">
        <w:rPr>
          <w:rFonts w:ascii="(normal text)" w:hAnsi="(normal text)"/>
          <w:sz w:val="20"/>
          <w:szCs w:val="20"/>
          <w:rtl/>
        </w:rPr>
        <w:t xml:space="preserve"> </w:t>
      </w:r>
      <w:r w:rsidRPr="005D41DC">
        <w:rPr>
          <w:sz w:val="26"/>
          <w:szCs w:val="26"/>
        </w:rPr>
        <w:sym w:font="HQPB2" w:char="F092"/>
      </w:r>
      <w:r w:rsidRPr="005D41DC">
        <w:rPr>
          <w:sz w:val="26"/>
          <w:szCs w:val="26"/>
        </w:rPr>
        <w:sym w:font="HQPB5" w:char="F06E"/>
      </w:r>
      <w:r w:rsidRPr="005D41DC">
        <w:rPr>
          <w:sz w:val="26"/>
          <w:szCs w:val="26"/>
        </w:rPr>
        <w:sym w:font="HQPB2" w:char="F03C"/>
      </w:r>
      <w:r w:rsidRPr="005D41DC">
        <w:rPr>
          <w:sz w:val="26"/>
          <w:szCs w:val="26"/>
        </w:rPr>
        <w:sym w:font="HQPB4" w:char="F0CE"/>
      </w:r>
      <w:r w:rsidRPr="005D41DC">
        <w:rPr>
          <w:sz w:val="26"/>
          <w:szCs w:val="26"/>
        </w:rPr>
        <w:sym w:font="HQPB1" w:char="F029"/>
      </w:r>
      <w:r w:rsidRPr="005D41DC">
        <w:rPr>
          <w:rFonts w:ascii="(normal text)" w:hAnsi="(normal text)"/>
          <w:sz w:val="20"/>
          <w:szCs w:val="20"/>
          <w:rtl/>
        </w:rPr>
        <w:t xml:space="preserve"> </w:t>
      </w:r>
      <w:r w:rsidRPr="005D41DC">
        <w:rPr>
          <w:sz w:val="26"/>
          <w:szCs w:val="26"/>
        </w:rPr>
        <w:sym w:font="HQPB4" w:char="F0C9"/>
      </w:r>
      <w:r w:rsidRPr="005D41DC">
        <w:rPr>
          <w:sz w:val="26"/>
          <w:szCs w:val="26"/>
        </w:rPr>
        <w:sym w:font="HQPB2" w:char="F041"/>
      </w:r>
      <w:r w:rsidRPr="005D41DC">
        <w:rPr>
          <w:sz w:val="26"/>
          <w:szCs w:val="26"/>
        </w:rPr>
        <w:sym w:font="HQPB2" w:char="F071"/>
      </w:r>
      <w:r w:rsidRPr="005D41DC">
        <w:rPr>
          <w:sz w:val="26"/>
          <w:szCs w:val="26"/>
        </w:rPr>
        <w:sym w:font="HQPB4" w:char="F0DF"/>
      </w:r>
      <w:r w:rsidRPr="005D41DC">
        <w:rPr>
          <w:sz w:val="26"/>
          <w:szCs w:val="26"/>
        </w:rPr>
        <w:sym w:font="HQPB1" w:char="F099"/>
      </w:r>
      <w:r w:rsidRPr="005D41DC">
        <w:rPr>
          <w:sz w:val="26"/>
          <w:szCs w:val="26"/>
        </w:rPr>
        <w:sym w:font="HQPB4" w:char="F0A7"/>
      </w:r>
      <w:r w:rsidRPr="005D41DC">
        <w:rPr>
          <w:sz w:val="26"/>
          <w:szCs w:val="26"/>
        </w:rPr>
        <w:sym w:font="HQPB1" w:char="F08D"/>
      </w:r>
      <w:r w:rsidRPr="005D41DC">
        <w:rPr>
          <w:sz w:val="26"/>
          <w:szCs w:val="26"/>
        </w:rPr>
        <w:sym w:font="HQPB2" w:char="F039"/>
      </w:r>
      <w:r w:rsidRPr="005D41DC">
        <w:rPr>
          <w:sz w:val="26"/>
          <w:szCs w:val="26"/>
        </w:rPr>
        <w:sym w:font="HQPB5" w:char="F024"/>
      </w:r>
      <w:r w:rsidRPr="005D41DC">
        <w:rPr>
          <w:sz w:val="26"/>
          <w:szCs w:val="26"/>
        </w:rPr>
        <w:sym w:font="HQPB1" w:char="F023"/>
      </w:r>
      <w:r w:rsidRPr="005D41DC">
        <w:rPr>
          <w:rFonts w:ascii="(normal text)" w:hAnsi="(normal text)"/>
          <w:sz w:val="20"/>
          <w:szCs w:val="20"/>
          <w:rtl/>
        </w:rPr>
        <w:t xml:space="preserve"> </w:t>
      </w:r>
      <w:r w:rsidRPr="005D41DC">
        <w:rPr>
          <w:sz w:val="26"/>
          <w:szCs w:val="26"/>
        </w:rPr>
        <w:sym w:font="HQPB5" w:char="F023"/>
      </w:r>
      <w:r w:rsidRPr="005D41DC">
        <w:rPr>
          <w:sz w:val="26"/>
          <w:szCs w:val="26"/>
        </w:rPr>
        <w:sym w:font="HQPB3" w:char="F086"/>
      </w:r>
      <w:r w:rsidRPr="005D41DC">
        <w:rPr>
          <w:sz w:val="26"/>
          <w:szCs w:val="26"/>
        </w:rPr>
        <w:sym w:font="HQPB5" w:char="F06E"/>
      </w:r>
      <w:r w:rsidRPr="005D41DC">
        <w:rPr>
          <w:sz w:val="26"/>
          <w:szCs w:val="26"/>
        </w:rPr>
        <w:sym w:font="HQPB2" w:char="F03C"/>
      </w:r>
      <w:r w:rsidRPr="005D41DC">
        <w:rPr>
          <w:sz w:val="26"/>
          <w:szCs w:val="26"/>
        </w:rPr>
        <w:sym w:font="HQPB4" w:char="F0CE"/>
      </w:r>
      <w:r w:rsidRPr="005D41DC">
        <w:rPr>
          <w:sz w:val="26"/>
          <w:szCs w:val="26"/>
        </w:rPr>
        <w:sym w:font="HQPB1" w:char="F029"/>
      </w:r>
      <w:r w:rsidRPr="005D41DC">
        <w:rPr>
          <w:sz w:val="26"/>
          <w:szCs w:val="26"/>
        </w:rPr>
        <w:sym w:font="HQPB5" w:char="F075"/>
      </w:r>
      <w:r w:rsidRPr="005D41DC">
        <w:rPr>
          <w:sz w:val="26"/>
          <w:szCs w:val="26"/>
        </w:rPr>
        <w:sym w:font="HQPB2" w:char="F072"/>
      </w:r>
      <w:r w:rsidRPr="005D41DC">
        <w:rPr>
          <w:rFonts w:ascii="(normal text)" w:hAnsi="(normal text)"/>
          <w:sz w:val="20"/>
          <w:szCs w:val="20"/>
          <w:rtl/>
        </w:rPr>
        <w:t xml:space="preserve"> </w:t>
      </w:r>
      <w:r w:rsidRPr="005D41DC">
        <w:rPr>
          <w:sz w:val="26"/>
          <w:szCs w:val="26"/>
        </w:rPr>
        <w:sym w:font="HQPB2" w:char="F092"/>
      </w:r>
      <w:r w:rsidRPr="005D41DC">
        <w:rPr>
          <w:sz w:val="26"/>
          <w:szCs w:val="26"/>
        </w:rPr>
        <w:sym w:font="HQPB4" w:char="F0CD"/>
      </w:r>
      <w:r w:rsidRPr="005D41DC">
        <w:rPr>
          <w:sz w:val="26"/>
          <w:szCs w:val="26"/>
        </w:rPr>
        <w:sym w:font="HQPB2" w:char="F03C"/>
      </w:r>
      <w:r w:rsidRPr="005D41DC">
        <w:rPr>
          <w:sz w:val="26"/>
          <w:szCs w:val="26"/>
        </w:rPr>
        <w:sym w:font="HQPB5" w:char="F027"/>
      </w:r>
      <w:r w:rsidRPr="005D41DC">
        <w:rPr>
          <w:sz w:val="26"/>
          <w:szCs w:val="26"/>
        </w:rPr>
        <w:sym w:font="HQPB2" w:char="F072"/>
      </w:r>
      <w:r w:rsidRPr="005D41DC">
        <w:rPr>
          <w:sz w:val="26"/>
          <w:szCs w:val="26"/>
        </w:rPr>
        <w:sym w:font="HQPB4" w:char="F0E9"/>
      </w:r>
      <w:r w:rsidRPr="005D41DC">
        <w:rPr>
          <w:sz w:val="26"/>
          <w:szCs w:val="26"/>
        </w:rPr>
        <w:sym w:font="HQPB1" w:char="F026"/>
      </w:r>
      <w:r w:rsidRPr="005D41DC">
        <w:rPr>
          <w:rFonts w:ascii="(normal text)" w:hAnsi="(normal text)"/>
          <w:sz w:val="20"/>
          <w:szCs w:val="20"/>
          <w:rtl/>
        </w:rPr>
        <w:t xml:space="preserve"> </w:t>
      </w:r>
      <w:r w:rsidRPr="005D41DC">
        <w:rPr>
          <w:sz w:val="26"/>
          <w:szCs w:val="26"/>
        </w:rPr>
        <w:sym w:font="HQPB4" w:char="F0CC"/>
      </w:r>
      <w:r w:rsidRPr="005D41DC">
        <w:rPr>
          <w:sz w:val="26"/>
          <w:szCs w:val="26"/>
        </w:rPr>
        <w:sym w:font="HQPB1" w:char="F08D"/>
      </w:r>
      <w:r w:rsidRPr="005D41DC">
        <w:rPr>
          <w:sz w:val="26"/>
          <w:szCs w:val="26"/>
        </w:rPr>
        <w:sym w:font="HQPB4" w:char="F0F8"/>
      </w:r>
      <w:r w:rsidRPr="005D41DC">
        <w:rPr>
          <w:sz w:val="26"/>
          <w:szCs w:val="26"/>
        </w:rPr>
        <w:sym w:font="HQPB2" w:char="F042"/>
      </w:r>
      <w:r w:rsidRPr="005D41DC">
        <w:rPr>
          <w:sz w:val="26"/>
          <w:szCs w:val="26"/>
        </w:rPr>
        <w:sym w:font="HQPB5" w:char="F046"/>
      </w:r>
      <w:r w:rsidRPr="005D41DC">
        <w:rPr>
          <w:sz w:val="26"/>
          <w:szCs w:val="26"/>
        </w:rPr>
        <w:sym w:font="HQPB2" w:char="F07B"/>
      </w:r>
      <w:r w:rsidRPr="005D41DC">
        <w:rPr>
          <w:sz w:val="26"/>
          <w:szCs w:val="26"/>
        </w:rPr>
        <w:sym w:font="HQPB5" w:char="F024"/>
      </w:r>
      <w:r w:rsidRPr="005D41DC">
        <w:rPr>
          <w:sz w:val="26"/>
          <w:szCs w:val="26"/>
        </w:rPr>
        <w:sym w:font="HQPB1" w:char="F023"/>
      </w:r>
      <w:r w:rsidRPr="005D41DC">
        <w:rPr>
          <w:rFonts w:ascii="(normal text)" w:hAnsi="(normal text)"/>
          <w:sz w:val="20"/>
          <w:szCs w:val="20"/>
          <w:rtl/>
        </w:rPr>
        <w:t xml:space="preserve"> </w:t>
      </w:r>
      <w:r w:rsidRPr="005D41DC">
        <w:rPr>
          <w:sz w:val="26"/>
          <w:szCs w:val="26"/>
        </w:rPr>
        <w:sym w:font="HQPB4" w:char="F0F6"/>
      </w:r>
      <w:r w:rsidRPr="005D41DC">
        <w:rPr>
          <w:sz w:val="26"/>
          <w:szCs w:val="26"/>
        </w:rPr>
        <w:sym w:font="HQPB2" w:char="F04E"/>
      </w:r>
      <w:r w:rsidRPr="005D41DC">
        <w:rPr>
          <w:sz w:val="26"/>
          <w:szCs w:val="26"/>
        </w:rPr>
        <w:sym w:font="HQPB4" w:char="F0E5"/>
      </w:r>
      <w:r w:rsidRPr="005D41DC">
        <w:rPr>
          <w:sz w:val="26"/>
          <w:szCs w:val="26"/>
        </w:rPr>
        <w:sym w:font="HQPB2" w:char="F06B"/>
      </w:r>
      <w:r w:rsidRPr="005D41DC">
        <w:rPr>
          <w:sz w:val="26"/>
          <w:szCs w:val="26"/>
        </w:rPr>
        <w:sym w:font="HQPB4" w:char="F0F7"/>
      </w:r>
      <w:r w:rsidRPr="005D41DC">
        <w:rPr>
          <w:sz w:val="26"/>
          <w:szCs w:val="26"/>
        </w:rPr>
        <w:sym w:font="HQPB2" w:char="F05D"/>
      </w:r>
      <w:r w:rsidRPr="005D41DC">
        <w:rPr>
          <w:sz w:val="26"/>
          <w:szCs w:val="26"/>
        </w:rPr>
        <w:sym w:font="HQPB4" w:char="F0CF"/>
      </w:r>
      <w:r w:rsidRPr="005D41DC">
        <w:rPr>
          <w:sz w:val="26"/>
          <w:szCs w:val="26"/>
        </w:rPr>
        <w:sym w:font="HQPB2" w:char="F042"/>
      </w:r>
      <w:r w:rsidRPr="005D41DC">
        <w:rPr>
          <w:rFonts w:ascii="(normal text)" w:hAnsi="(normal text)"/>
          <w:sz w:val="20"/>
          <w:szCs w:val="20"/>
          <w:rtl/>
        </w:rPr>
        <w:t xml:space="preserve"> </w:t>
      </w:r>
      <w:r w:rsidRPr="005D41DC">
        <w:rPr>
          <w:sz w:val="26"/>
          <w:szCs w:val="26"/>
        </w:rPr>
        <w:sym w:font="HQPB4" w:char="F0E7"/>
      </w:r>
      <w:r w:rsidRPr="005D41DC">
        <w:rPr>
          <w:sz w:val="26"/>
          <w:szCs w:val="26"/>
        </w:rPr>
        <w:sym w:font="HQPB2" w:char="F06D"/>
      </w:r>
      <w:r w:rsidRPr="005D41DC">
        <w:rPr>
          <w:sz w:val="26"/>
          <w:szCs w:val="26"/>
        </w:rPr>
        <w:sym w:font="HQPB5" w:char="F079"/>
      </w:r>
      <w:r w:rsidRPr="005D41DC">
        <w:rPr>
          <w:sz w:val="26"/>
          <w:szCs w:val="26"/>
        </w:rPr>
        <w:sym w:font="HQPB2" w:char="F04A"/>
      </w:r>
      <w:r w:rsidRPr="005D41DC">
        <w:rPr>
          <w:sz w:val="26"/>
          <w:szCs w:val="26"/>
        </w:rPr>
        <w:sym w:font="HQPB4" w:char="F0CE"/>
      </w:r>
      <w:r w:rsidRPr="005D41DC">
        <w:rPr>
          <w:sz w:val="26"/>
          <w:szCs w:val="26"/>
        </w:rPr>
        <w:sym w:font="HQPB2" w:char="F03D"/>
      </w:r>
      <w:r w:rsidRPr="005D41DC">
        <w:rPr>
          <w:sz w:val="26"/>
          <w:szCs w:val="26"/>
        </w:rPr>
        <w:sym w:font="HQPB5" w:char="F079"/>
      </w:r>
      <w:r w:rsidRPr="005D41DC">
        <w:rPr>
          <w:sz w:val="26"/>
          <w:szCs w:val="26"/>
        </w:rPr>
        <w:sym w:font="HQPB1" w:char="F0E8"/>
      </w:r>
      <w:r w:rsidRPr="005D41DC">
        <w:rPr>
          <w:sz w:val="26"/>
          <w:szCs w:val="26"/>
        </w:rPr>
        <w:sym w:font="HQPB5" w:char="F073"/>
      </w:r>
      <w:r w:rsidRPr="005D41DC">
        <w:rPr>
          <w:sz w:val="26"/>
          <w:szCs w:val="26"/>
        </w:rPr>
        <w:sym w:font="HQPB2" w:char="F039"/>
      </w:r>
      <w:r w:rsidRPr="005D41DC">
        <w:rPr>
          <w:rFonts w:ascii="(normal text)" w:hAnsi="(normal text)"/>
          <w:sz w:val="20"/>
          <w:szCs w:val="20"/>
          <w:rtl/>
        </w:rPr>
        <w:t xml:space="preserve"> </w:t>
      </w:r>
      <w:r w:rsidRPr="005D41DC">
        <w:rPr>
          <w:sz w:val="26"/>
          <w:szCs w:val="26"/>
        </w:rPr>
        <w:sym w:font="HQPB5" w:char="F074"/>
      </w:r>
      <w:r w:rsidRPr="005D41DC">
        <w:rPr>
          <w:sz w:val="26"/>
          <w:szCs w:val="26"/>
        </w:rPr>
        <w:sym w:font="HQPB2" w:char="F0FB"/>
      </w:r>
      <w:r w:rsidRPr="005D41DC">
        <w:rPr>
          <w:sz w:val="26"/>
          <w:szCs w:val="26"/>
        </w:rPr>
        <w:sym w:font="HQPB2" w:char="F0EF"/>
      </w:r>
      <w:r w:rsidRPr="005D41DC">
        <w:rPr>
          <w:sz w:val="26"/>
          <w:szCs w:val="26"/>
        </w:rPr>
        <w:sym w:font="HQPB4" w:char="F0CF"/>
      </w:r>
      <w:r w:rsidRPr="005D41DC">
        <w:rPr>
          <w:sz w:val="26"/>
          <w:szCs w:val="26"/>
        </w:rPr>
        <w:sym w:font="HQPB3" w:char="F025"/>
      </w:r>
      <w:r w:rsidRPr="005D41DC">
        <w:rPr>
          <w:sz w:val="26"/>
          <w:szCs w:val="26"/>
        </w:rPr>
        <w:sym w:font="HQPB4" w:char="F0A9"/>
      </w:r>
      <w:r w:rsidRPr="005D41DC">
        <w:rPr>
          <w:sz w:val="26"/>
          <w:szCs w:val="26"/>
        </w:rPr>
        <w:sym w:font="HQPB3" w:char="F021"/>
      </w:r>
      <w:r w:rsidRPr="005D41DC">
        <w:rPr>
          <w:sz w:val="26"/>
          <w:szCs w:val="26"/>
        </w:rPr>
        <w:sym w:font="HQPB5" w:char="F024"/>
      </w:r>
      <w:r w:rsidRPr="005D41DC">
        <w:rPr>
          <w:sz w:val="26"/>
          <w:szCs w:val="26"/>
        </w:rPr>
        <w:sym w:font="HQPB1" w:char="F023"/>
      </w:r>
      <w:r w:rsidRPr="005D41DC">
        <w:rPr>
          <w:rFonts w:ascii="(normal text)" w:hAnsi="(normal text)"/>
          <w:sz w:val="20"/>
          <w:szCs w:val="20"/>
          <w:rtl/>
        </w:rPr>
        <w:t xml:space="preserve"> </w:t>
      </w:r>
      <w:r w:rsidRPr="005D41DC">
        <w:rPr>
          <w:sz w:val="26"/>
          <w:szCs w:val="26"/>
        </w:rPr>
        <w:sym w:font="HQPB2" w:char="F0BC"/>
      </w:r>
      <w:r w:rsidRPr="005D41DC">
        <w:rPr>
          <w:sz w:val="26"/>
          <w:szCs w:val="26"/>
        </w:rPr>
        <w:sym w:font="HQPB4" w:char="F0E7"/>
      </w:r>
      <w:r w:rsidRPr="005D41DC">
        <w:rPr>
          <w:sz w:val="26"/>
          <w:szCs w:val="26"/>
        </w:rPr>
        <w:sym w:font="HQPB2" w:char="F06D"/>
      </w:r>
      <w:r w:rsidRPr="005D41DC">
        <w:rPr>
          <w:sz w:val="26"/>
          <w:szCs w:val="26"/>
        </w:rPr>
        <w:sym w:font="HQPB5" w:char="F074"/>
      </w:r>
      <w:r w:rsidRPr="005D41DC">
        <w:rPr>
          <w:sz w:val="26"/>
          <w:szCs w:val="26"/>
        </w:rPr>
        <w:sym w:font="HQPB2" w:char="F052"/>
      </w:r>
      <w:r w:rsidRPr="005D41DC">
        <w:rPr>
          <w:sz w:val="26"/>
          <w:szCs w:val="26"/>
        </w:rPr>
        <w:sym w:font="HQPB2" w:char="F071"/>
      </w:r>
      <w:r w:rsidRPr="005D41DC">
        <w:rPr>
          <w:sz w:val="26"/>
          <w:szCs w:val="26"/>
        </w:rPr>
        <w:sym w:font="HQPB4" w:char="F0E4"/>
      </w:r>
      <w:r w:rsidRPr="005D41DC">
        <w:rPr>
          <w:sz w:val="26"/>
          <w:szCs w:val="26"/>
        </w:rPr>
        <w:sym w:font="HQPB1" w:char="F0DC"/>
      </w:r>
      <w:r w:rsidRPr="005D41DC">
        <w:rPr>
          <w:sz w:val="26"/>
          <w:szCs w:val="26"/>
        </w:rPr>
        <w:sym w:font="HQPB4" w:char="F0CE"/>
      </w:r>
      <w:r w:rsidRPr="005D41DC">
        <w:rPr>
          <w:sz w:val="26"/>
          <w:szCs w:val="26"/>
        </w:rPr>
        <w:sym w:font="HQPB1" w:char="F037"/>
      </w:r>
      <w:r w:rsidRPr="005D41DC">
        <w:rPr>
          <w:sz w:val="26"/>
          <w:szCs w:val="26"/>
        </w:rPr>
        <w:sym w:font="HQPB5" w:char="F02F"/>
      </w:r>
      <w:r w:rsidRPr="005D41DC">
        <w:rPr>
          <w:sz w:val="26"/>
          <w:szCs w:val="26"/>
        </w:rPr>
        <w:sym w:font="HQPB2" w:char="F05A"/>
      </w:r>
      <w:r w:rsidRPr="005D41DC">
        <w:rPr>
          <w:sz w:val="26"/>
          <w:szCs w:val="26"/>
        </w:rPr>
        <w:sym w:font="HQPB5" w:char="F06F"/>
      </w:r>
      <w:r w:rsidRPr="005D41DC">
        <w:rPr>
          <w:sz w:val="26"/>
          <w:szCs w:val="26"/>
        </w:rPr>
        <w:sym w:font="HQPB1" w:char="F04B"/>
      </w:r>
      <w:r w:rsidRPr="005D41DC">
        <w:rPr>
          <w:sz w:val="26"/>
          <w:szCs w:val="26"/>
        </w:rPr>
        <w:sym w:font="HQPB4" w:char="F0F3"/>
      </w:r>
      <w:r w:rsidRPr="005D41DC">
        <w:rPr>
          <w:sz w:val="26"/>
          <w:szCs w:val="26"/>
        </w:rPr>
        <w:sym w:font="HQPB1" w:char="F0A1"/>
      </w:r>
      <w:r w:rsidRPr="005D41DC">
        <w:rPr>
          <w:sz w:val="26"/>
          <w:szCs w:val="26"/>
        </w:rPr>
        <w:sym w:font="HQPB5" w:char="F06F"/>
      </w:r>
      <w:r w:rsidRPr="005D41DC">
        <w:rPr>
          <w:sz w:val="26"/>
          <w:szCs w:val="26"/>
        </w:rPr>
        <w:sym w:font="HQPB2" w:char="F084"/>
      </w:r>
      <w:r w:rsidRPr="005D41DC">
        <w:rPr>
          <w:rFonts w:ascii="(normal text)" w:hAnsi="(normal text)"/>
          <w:sz w:val="20"/>
          <w:szCs w:val="20"/>
          <w:rtl/>
        </w:rPr>
        <w:t xml:space="preserve"> </w:t>
      </w:r>
      <w:r w:rsidRPr="005D41DC">
        <w:rPr>
          <w:sz w:val="26"/>
          <w:szCs w:val="26"/>
        </w:rPr>
        <w:sym w:font="HQPB4" w:char="F0F6"/>
      </w:r>
      <w:r w:rsidRPr="005D41DC">
        <w:rPr>
          <w:sz w:val="26"/>
          <w:szCs w:val="26"/>
        </w:rPr>
        <w:sym w:font="HQPB2" w:char="F04E"/>
      </w:r>
      <w:r w:rsidRPr="005D41DC">
        <w:rPr>
          <w:sz w:val="26"/>
          <w:szCs w:val="26"/>
        </w:rPr>
        <w:sym w:font="HQPB4" w:char="F0E5"/>
      </w:r>
      <w:r w:rsidRPr="005D41DC">
        <w:rPr>
          <w:sz w:val="26"/>
          <w:szCs w:val="26"/>
        </w:rPr>
        <w:sym w:font="HQPB2" w:char="F06B"/>
      </w:r>
      <w:r w:rsidRPr="005D41DC">
        <w:rPr>
          <w:sz w:val="26"/>
          <w:szCs w:val="26"/>
        </w:rPr>
        <w:sym w:font="HQPB4" w:char="F0F7"/>
      </w:r>
      <w:r w:rsidRPr="005D41DC">
        <w:rPr>
          <w:sz w:val="26"/>
          <w:szCs w:val="26"/>
        </w:rPr>
        <w:sym w:font="HQPB2" w:char="F05D"/>
      </w:r>
      <w:r w:rsidRPr="005D41DC">
        <w:rPr>
          <w:sz w:val="26"/>
          <w:szCs w:val="26"/>
        </w:rPr>
        <w:sym w:font="HQPB4" w:char="F0CF"/>
      </w:r>
      <w:r w:rsidRPr="005D41DC">
        <w:rPr>
          <w:sz w:val="26"/>
          <w:szCs w:val="26"/>
        </w:rPr>
        <w:sym w:font="HQPB2" w:char="F042"/>
      </w:r>
      <w:r w:rsidRPr="005D41DC">
        <w:rPr>
          <w:rFonts w:ascii="(normal text)" w:hAnsi="(normal text)"/>
          <w:sz w:val="20"/>
          <w:szCs w:val="20"/>
          <w:rtl/>
        </w:rPr>
        <w:t xml:space="preserve"> </w:t>
      </w:r>
      <w:r w:rsidRPr="005D41DC">
        <w:rPr>
          <w:sz w:val="26"/>
          <w:szCs w:val="26"/>
        </w:rPr>
        <w:sym w:font="HQPB4" w:char="F033"/>
      </w:r>
      <w:r w:rsidRPr="005D41DC">
        <w:rPr>
          <w:rFonts w:ascii="(normal text)" w:hAnsi="(normal text)"/>
          <w:sz w:val="20"/>
          <w:szCs w:val="20"/>
          <w:rtl/>
        </w:rPr>
        <w:t xml:space="preserve"> </w:t>
      </w:r>
      <w:r>
        <w:rPr>
          <w:sz w:val="26"/>
          <w:szCs w:val="26"/>
        </w:rPr>
        <w:t>…</w:t>
      </w:r>
      <w:r w:rsidRPr="005D41DC">
        <w:rPr>
          <w:rFonts w:ascii="(normal text)" w:hAnsi="(normal text)"/>
          <w:sz w:val="20"/>
          <w:szCs w:val="20"/>
          <w:rtl/>
        </w:rPr>
        <w:t xml:space="preserve"> </w:t>
      </w:r>
      <w:r w:rsidRPr="005D41DC">
        <w:rPr>
          <w:sz w:val="26"/>
          <w:szCs w:val="26"/>
        </w:rPr>
        <w:sym w:font="HQPB2" w:char="F0C7"/>
      </w:r>
      <w:r w:rsidRPr="005D41DC">
        <w:rPr>
          <w:sz w:val="26"/>
          <w:szCs w:val="26"/>
        </w:rPr>
        <w:sym w:font="HQPB2" w:char="F0D1"/>
      </w:r>
      <w:r w:rsidRPr="005D41DC">
        <w:rPr>
          <w:sz w:val="26"/>
          <w:szCs w:val="26"/>
        </w:rPr>
        <w:sym w:font="HQPB2" w:char="F0CC"/>
      </w:r>
      <w:r w:rsidRPr="005D41DC">
        <w:rPr>
          <w:sz w:val="26"/>
          <w:szCs w:val="26"/>
        </w:rPr>
        <w:sym w:font="HQPB2" w:char="F0C8"/>
      </w:r>
      <w:r w:rsidRPr="005D41DC">
        <w:rPr>
          <w:rFonts w:ascii="(normal text)" w:hAnsi="(normal text)"/>
          <w:sz w:val="20"/>
          <w:szCs w:val="20"/>
          <w:rtl/>
        </w:rPr>
        <w:t xml:space="preserve">   </w:t>
      </w:r>
    </w:p>
    <w:p w:rsidR="00343B61" w:rsidRPr="007B5F12" w:rsidRDefault="00343B61" w:rsidP="00343B61">
      <w:pPr>
        <w:spacing w:line="240" w:lineRule="auto"/>
        <w:ind w:left="720"/>
        <w:jc w:val="both"/>
        <w:rPr>
          <w:rFonts w:ascii="(normal text)" w:hAnsi="(normal text)"/>
        </w:rPr>
      </w:pPr>
      <w:r>
        <w:rPr>
          <w:rFonts w:ascii="(normal text)" w:hAnsi="(normal text)"/>
          <w:sz w:val="20"/>
        </w:rPr>
        <w:t xml:space="preserve">“ </w:t>
      </w:r>
      <w:r w:rsidRPr="007B5F12">
        <w:rPr>
          <w:rFonts w:ascii="(normal text)" w:hAnsi="(normal text)"/>
          <w:i/>
          <w:iCs/>
        </w:rPr>
        <w:t>Dan apabila datang kepada mereka suatu berita tentang keamanan ataupun ketakutan, mereka lalu menyiarkannya. dan kalau mereka menyerahkannya</w:t>
      </w:r>
      <w:r>
        <w:rPr>
          <w:rFonts w:ascii="(normal text)" w:hAnsi="(normal text)"/>
          <w:i/>
          <w:iCs/>
        </w:rPr>
        <w:t xml:space="preserve"> kepada Rasul dan ulil Amri</w:t>
      </w:r>
      <w:r w:rsidRPr="007B5F12">
        <w:rPr>
          <w:rFonts w:ascii="(normal text)" w:hAnsi="(normal text)"/>
          <w:i/>
          <w:iCs/>
        </w:rPr>
        <w:t xml:space="preserve"> di antara mereka, tentulah orang-orang yang ingin mengetahui kebenarannya (akan dapat) mengetahuinya dari m</w:t>
      </w:r>
      <w:r>
        <w:rPr>
          <w:rFonts w:ascii="(normal text)" w:hAnsi="(normal text)"/>
          <w:i/>
          <w:iCs/>
        </w:rPr>
        <w:t>ereka (Rasul dan ulil Amri..</w:t>
      </w:r>
      <w:r w:rsidRPr="007B5F12">
        <w:rPr>
          <w:rFonts w:ascii="(normal text)" w:hAnsi="(normal text)"/>
        </w:rPr>
        <w:t>”.( QS. Al-Nisa:5 / 83)</w:t>
      </w:r>
    </w:p>
    <w:p w:rsidR="00343B61" w:rsidRPr="007B5F12" w:rsidRDefault="00343B61" w:rsidP="00343B61">
      <w:pPr>
        <w:spacing w:after="0" w:line="360" w:lineRule="auto"/>
        <w:ind w:firstLine="720"/>
        <w:jc w:val="both"/>
        <w:rPr>
          <w:rFonts w:asciiTheme="majorBidi" w:hAnsiTheme="majorBidi" w:cstheme="majorBidi"/>
          <w:color w:val="000000"/>
        </w:rPr>
      </w:pPr>
      <w:r w:rsidRPr="001C124A">
        <w:rPr>
          <w:rFonts w:ascii="(normal text)" w:hAnsi="(normal text)"/>
        </w:rPr>
        <w:t xml:space="preserve">Kata </w:t>
      </w:r>
      <w:r>
        <w:rPr>
          <w:rFonts w:ascii="(normal text)" w:hAnsi="(normal text)"/>
        </w:rPr>
        <w:t>“</w:t>
      </w:r>
      <w:r>
        <w:rPr>
          <w:rFonts w:ascii="(normal text)" w:hAnsi="(normal text)"/>
          <w:i/>
          <w:iCs/>
        </w:rPr>
        <w:t>ulil Amr”</w:t>
      </w:r>
      <w:r w:rsidRPr="001C124A">
        <w:rPr>
          <w:rFonts w:ascii="(normal text)" w:hAnsi="(normal text)"/>
        </w:rPr>
        <w:t xml:space="preserve"> pada ayat di</w:t>
      </w:r>
      <w:r>
        <w:rPr>
          <w:rFonts w:ascii="(normal text)" w:hAnsi="(normal text)"/>
        </w:rPr>
        <w:t xml:space="preserve"> </w:t>
      </w:r>
      <w:r w:rsidRPr="001C124A">
        <w:rPr>
          <w:rFonts w:ascii="(normal text)" w:hAnsi="(normal text)"/>
        </w:rPr>
        <w:t>atas di</w:t>
      </w:r>
      <w:r>
        <w:rPr>
          <w:rFonts w:ascii="(normal text)" w:hAnsi="(normal text)"/>
        </w:rPr>
        <w:t>tafsirkan</w:t>
      </w:r>
      <w:r w:rsidRPr="001C124A">
        <w:rPr>
          <w:rFonts w:ascii="(normal text)" w:hAnsi="(normal text)"/>
        </w:rPr>
        <w:t xml:space="preserve"> sebagai tokoh-tokoh sahabat dan para cendekiawan di antara mereka</w:t>
      </w:r>
      <w:r>
        <w:rPr>
          <w:rFonts w:ascii="(normal text)" w:hAnsi="(normal text)"/>
        </w:rPr>
        <w:t>.</w:t>
      </w:r>
      <w:r>
        <w:rPr>
          <w:rStyle w:val="FootnoteReference"/>
          <w:rFonts w:ascii="(normal text)" w:hAnsi="(normal text)"/>
        </w:rPr>
        <w:footnoteReference w:id="849"/>
      </w:r>
      <w:r>
        <w:rPr>
          <w:rFonts w:asciiTheme="majorBidi" w:hAnsiTheme="majorBidi" w:cstheme="majorBidi"/>
          <w:color w:val="000000"/>
        </w:rPr>
        <w:t xml:space="preserve">  </w:t>
      </w:r>
      <w:r>
        <w:rPr>
          <w:rFonts w:ascii="Times New Roman" w:hAnsi="Times New Roman" w:cs="Times New Roman"/>
        </w:rPr>
        <w:t xml:space="preserve">Imam Mawardi berkata: pengertian </w:t>
      </w:r>
      <w:r w:rsidRPr="0067716D">
        <w:rPr>
          <w:rFonts w:ascii="Times New Roman" w:hAnsi="Times New Roman" w:cs="Times New Roman"/>
          <w:i/>
          <w:iCs/>
        </w:rPr>
        <w:t xml:space="preserve">ulil amri </w:t>
      </w:r>
      <w:r>
        <w:rPr>
          <w:rFonts w:ascii="Times New Roman" w:hAnsi="Times New Roman" w:cs="Times New Roman"/>
        </w:rPr>
        <w:t xml:space="preserve">ada dua; pertama adalah para pemimpin </w:t>
      </w:r>
      <w:r w:rsidRPr="00743108">
        <w:rPr>
          <w:rFonts w:asciiTheme="majorBidi" w:hAnsiTheme="majorBidi" w:cstheme="majorBidi"/>
          <w:i/>
          <w:iCs/>
        </w:rPr>
        <w:t>al-umarā’</w:t>
      </w:r>
      <w:r w:rsidRPr="00743108">
        <w:rPr>
          <w:rFonts w:asciiTheme="majorBidi" w:hAnsiTheme="majorBidi" w:cstheme="majorBidi"/>
        </w:rPr>
        <w:t xml:space="preserve"> </w:t>
      </w:r>
      <w:r>
        <w:rPr>
          <w:rFonts w:ascii="Times New Roman" w:hAnsi="Times New Roman" w:cs="Times New Roman"/>
        </w:rPr>
        <w:t>dan itu merupakan pendapat Ibnu Abbas, dan kedua adalah para ulama (</w:t>
      </w:r>
      <w:r w:rsidRPr="0067716D">
        <w:rPr>
          <w:rFonts w:ascii="Times New Roman" w:hAnsi="Times New Roman" w:cs="Times New Roman"/>
          <w:i/>
          <w:iCs/>
        </w:rPr>
        <w:t>al-Ulam</w:t>
      </w:r>
      <w:r w:rsidRPr="00743108">
        <w:rPr>
          <w:rFonts w:asciiTheme="majorBidi" w:hAnsiTheme="majorBidi" w:cstheme="majorBidi"/>
          <w:i/>
          <w:iCs/>
        </w:rPr>
        <w:t>ā</w:t>
      </w:r>
      <w:r>
        <w:rPr>
          <w:rFonts w:asciiTheme="majorBidi" w:hAnsiTheme="majorBidi" w:cstheme="majorBidi"/>
          <w:i/>
          <w:iCs/>
        </w:rPr>
        <w:t>’</w:t>
      </w:r>
      <w:r>
        <w:rPr>
          <w:rFonts w:ascii="Times New Roman" w:hAnsi="Times New Roman" w:cs="Times New Roman"/>
        </w:rPr>
        <w:t>) sebagaimana pendapat Jabir bin Abdullah.</w:t>
      </w:r>
      <w:r>
        <w:rPr>
          <w:rStyle w:val="FootnoteReference"/>
          <w:rFonts w:ascii="Times New Roman" w:hAnsi="Times New Roman" w:cs="Times New Roman"/>
        </w:rPr>
        <w:footnoteReference w:id="850"/>
      </w:r>
      <w:r>
        <w:rPr>
          <w:rFonts w:asciiTheme="majorBidi" w:hAnsiTheme="majorBidi" w:cstheme="majorBidi"/>
          <w:color w:val="000000"/>
        </w:rPr>
        <w:t xml:space="preserve"> Mengacu kepada penafsiran di atas, maka </w:t>
      </w:r>
      <w:r>
        <w:rPr>
          <w:rFonts w:ascii="Times New Roman" w:hAnsi="Times New Roman" w:cs="Times New Roman"/>
        </w:rPr>
        <w:t xml:space="preserve">dalam konteks Indonesia, maka (MUI) masuk dalam kategori </w:t>
      </w:r>
      <w:r>
        <w:rPr>
          <w:rFonts w:ascii="Times New Roman" w:hAnsi="Times New Roman" w:cs="Times New Roman"/>
          <w:i/>
          <w:iCs/>
        </w:rPr>
        <w:t xml:space="preserve">ulil </w:t>
      </w:r>
      <w:r w:rsidRPr="00907C6A">
        <w:rPr>
          <w:rFonts w:ascii="Times New Roman" w:hAnsi="Times New Roman" w:cs="Times New Roman"/>
          <w:i/>
          <w:iCs/>
        </w:rPr>
        <w:t>amr</w:t>
      </w:r>
      <w:r>
        <w:rPr>
          <w:rFonts w:ascii="Times New Roman" w:hAnsi="Times New Roman" w:cs="Times New Roman"/>
          <w:i/>
          <w:iCs/>
        </w:rPr>
        <w:t>.</w:t>
      </w:r>
      <w:r>
        <w:rPr>
          <w:rFonts w:ascii="Times New Roman" w:hAnsi="Times New Roman" w:cs="Times New Roman"/>
        </w:rPr>
        <w:t xml:space="preserve"> </w:t>
      </w:r>
    </w:p>
    <w:p w:rsidR="00343B61" w:rsidRDefault="00343B61" w:rsidP="00343B61">
      <w:pPr>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Majelis Ulama Indonesia sebagai </w:t>
      </w:r>
      <w:r>
        <w:rPr>
          <w:rFonts w:asciiTheme="majorBidi" w:hAnsiTheme="majorBidi" w:cstheme="majorBidi"/>
          <w:i/>
          <w:iCs/>
          <w:lang w:val="sv-SE"/>
        </w:rPr>
        <w:t>ulil amr</w:t>
      </w:r>
      <w:r>
        <w:rPr>
          <w:rFonts w:asciiTheme="majorBidi" w:hAnsiTheme="majorBidi" w:cstheme="majorBidi"/>
          <w:lang w:val="sv-SE"/>
        </w:rPr>
        <w:t xml:space="preserve"> dalam hal ini punya hak yang sama dengan </w:t>
      </w:r>
      <w:r w:rsidRPr="005D41DC">
        <w:rPr>
          <w:rFonts w:asciiTheme="majorBidi" w:hAnsiTheme="majorBidi" w:cstheme="majorBidi"/>
          <w:i/>
          <w:iCs/>
          <w:lang w:val="sv-SE"/>
        </w:rPr>
        <w:t>ulil amr</w:t>
      </w:r>
      <w:r>
        <w:rPr>
          <w:rFonts w:asciiTheme="majorBidi" w:hAnsiTheme="majorBidi" w:cstheme="majorBidi"/>
          <w:lang w:val="sv-SE"/>
        </w:rPr>
        <w:t xml:space="preserve"> (baca: pemerintah), dalam membuat norma aturan serta mencari solusi yang dihadapi oleh bangsa melalui fatwanya, yang tentunya bertujuan untuk </w:t>
      </w:r>
      <w:r w:rsidRPr="005D41DC">
        <w:rPr>
          <w:rFonts w:asciiTheme="majorBidi" w:hAnsiTheme="majorBidi" w:cstheme="majorBidi"/>
          <w:lang w:val="sv-SE"/>
        </w:rPr>
        <w:t xml:space="preserve">mendapatkan kemaslahatan </w:t>
      </w:r>
      <w:r>
        <w:rPr>
          <w:rFonts w:asciiTheme="majorBidi" w:hAnsiTheme="majorBidi" w:cstheme="majorBidi"/>
          <w:lang w:val="sv-SE"/>
        </w:rPr>
        <w:t xml:space="preserve">dan </w:t>
      </w:r>
      <w:r w:rsidRPr="005D41DC">
        <w:rPr>
          <w:rFonts w:asciiTheme="majorBidi" w:hAnsiTheme="majorBidi" w:cstheme="majorBidi"/>
          <w:lang w:val="sv-SE"/>
        </w:rPr>
        <w:t>menghilangkan kemudaratan</w:t>
      </w:r>
      <w:r>
        <w:rPr>
          <w:rFonts w:asciiTheme="majorBidi" w:hAnsiTheme="majorBidi" w:cstheme="majorBidi"/>
          <w:lang w:val="sv-SE"/>
        </w:rPr>
        <w:t xml:space="preserve"> dari segenap lapisan masyarakat, dimana dua hal itu merupakan tujuan hukum dibuat dan syari’at ditegakkan. Disinilah letak urgennya peran fatwa MUI tersebut dalam pembangunan hukum keluarga Islam Indonesia.</w:t>
      </w:r>
    </w:p>
    <w:p w:rsidR="00343B61" w:rsidRPr="00DB5D28" w:rsidRDefault="00343B61" w:rsidP="00343B61">
      <w:pPr>
        <w:spacing w:after="0" w:line="360" w:lineRule="auto"/>
        <w:ind w:firstLine="720"/>
        <w:jc w:val="both"/>
        <w:rPr>
          <w:rFonts w:asciiTheme="majorBidi" w:hAnsiTheme="majorBidi" w:cstheme="majorBidi"/>
          <w:lang w:val="sv-SE"/>
        </w:rPr>
      </w:pPr>
    </w:p>
    <w:p w:rsidR="00343B61" w:rsidRPr="00851215" w:rsidRDefault="00343B61" w:rsidP="002C0A33">
      <w:pPr>
        <w:pStyle w:val="ListParagraph"/>
        <w:numPr>
          <w:ilvl w:val="0"/>
          <w:numId w:val="64"/>
        </w:numPr>
        <w:tabs>
          <w:tab w:val="left" w:pos="270"/>
          <w:tab w:val="left" w:pos="450"/>
        </w:tabs>
        <w:spacing w:line="360" w:lineRule="auto"/>
        <w:ind w:left="270" w:hanging="270"/>
        <w:jc w:val="both"/>
        <w:rPr>
          <w:rFonts w:asciiTheme="majorBidi" w:hAnsiTheme="majorBidi" w:cstheme="majorBidi"/>
          <w:lang w:val="sv-SE"/>
        </w:rPr>
      </w:pPr>
      <w:r w:rsidRPr="00D77072">
        <w:rPr>
          <w:rFonts w:asciiTheme="majorBidi" w:hAnsiTheme="majorBidi" w:cstheme="majorBidi"/>
        </w:rPr>
        <w:t>Relevansi Fatwa Majel</w:t>
      </w:r>
      <w:r>
        <w:rPr>
          <w:rFonts w:asciiTheme="majorBidi" w:hAnsiTheme="majorBidi" w:cstheme="majorBidi"/>
        </w:rPr>
        <w:t>is Ulama Indonesia dalam Pemba</w:t>
      </w:r>
      <w:r w:rsidRPr="00D77072">
        <w:rPr>
          <w:rFonts w:asciiTheme="majorBidi" w:hAnsiTheme="majorBidi" w:cstheme="majorBidi"/>
        </w:rPr>
        <w:t>ruan  Hukum Keluarga</w:t>
      </w:r>
      <w:r>
        <w:rPr>
          <w:rFonts w:asciiTheme="majorBidi" w:hAnsiTheme="majorBidi" w:cstheme="majorBidi"/>
        </w:rPr>
        <w:t xml:space="preserve"> Islam</w:t>
      </w:r>
      <w:r w:rsidRPr="00D77072">
        <w:rPr>
          <w:rFonts w:asciiTheme="majorBidi" w:hAnsiTheme="majorBidi" w:cstheme="majorBidi"/>
        </w:rPr>
        <w:t xml:space="preserve"> </w:t>
      </w:r>
      <w:r w:rsidRPr="00D77072">
        <w:rPr>
          <w:rFonts w:asciiTheme="majorBidi" w:hAnsiTheme="majorBidi" w:cstheme="majorBidi"/>
          <w:lang w:val="sv-SE"/>
        </w:rPr>
        <w:t>Di Indonesia.</w:t>
      </w:r>
    </w:p>
    <w:p w:rsidR="00343B61" w:rsidRPr="00F431AE" w:rsidRDefault="00343B61" w:rsidP="00343B61">
      <w:pPr>
        <w:pStyle w:val="ListParagraph"/>
        <w:spacing w:after="0" w:line="360" w:lineRule="auto"/>
        <w:ind w:left="0" w:firstLine="720"/>
        <w:jc w:val="both"/>
        <w:rPr>
          <w:rFonts w:asciiTheme="majorBidi" w:hAnsiTheme="majorBidi" w:cstheme="majorBidi"/>
          <w:i/>
          <w:iCs/>
        </w:rPr>
      </w:pPr>
      <w:r w:rsidRPr="00F431AE">
        <w:rPr>
          <w:rFonts w:asciiTheme="majorBidi" w:hAnsiTheme="majorBidi" w:cstheme="majorBidi"/>
          <w:lang w:val="sv-SE"/>
        </w:rPr>
        <w:lastRenderedPageBreak/>
        <w:t xml:space="preserve">Fatwa adalah pendapat hukum Islam dari </w:t>
      </w:r>
      <w:r w:rsidRPr="00F431AE">
        <w:rPr>
          <w:rFonts w:asciiTheme="majorBidi" w:hAnsiTheme="majorBidi" w:cstheme="majorBidi"/>
          <w:i/>
          <w:iCs/>
          <w:lang w:val="sv-SE"/>
        </w:rPr>
        <w:t>muftī</w:t>
      </w:r>
      <w:r>
        <w:rPr>
          <w:rFonts w:asciiTheme="majorBidi" w:hAnsiTheme="majorBidi" w:cstheme="majorBidi"/>
          <w:i/>
          <w:iCs/>
          <w:lang w:val="sv-SE"/>
        </w:rPr>
        <w:t xml:space="preserve"> </w:t>
      </w:r>
      <w:r>
        <w:rPr>
          <w:rFonts w:asciiTheme="majorBidi" w:hAnsiTheme="majorBidi" w:cstheme="majorBidi"/>
          <w:lang w:val="sv-SE"/>
        </w:rPr>
        <w:t>(pemberi fatwa)</w:t>
      </w:r>
      <w:r>
        <w:rPr>
          <w:rFonts w:asciiTheme="majorBidi" w:hAnsiTheme="majorBidi" w:cstheme="majorBidi"/>
          <w:i/>
          <w:iCs/>
          <w:lang w:val="sv-SE"/>
        </w:rPr>
        <w:t xml:space="preserve"> </w:t>
      </w:r>
      <w:r w:rsidRPr="00F431AE">
        <w:rPr>
          <w:rFonts w:asciiTheme="majorBidi" w:hAnsiTheme="majorBidi" w:cstheme="majorBidi"/>
          <w:lang w:val="sv-SE"/>
        </w:rPr>
        <w:t xml:space="preserve"> atau ulama baik individu atau kolektif sebagai jawaban atas pertanyaan yang diajukan atau sebagai respon atas masalah yang berkembang dalam masyarakat. </w:t>
      </w:r>
      <w:r w:rsidRPr="00F431AE">
        <w:rPr>
          <w:rFonts w:asciiTheme="majorBidi" w:hAnsiTheme="majorBidi" w:cstheme="majorBidi"/>
        </w:rPr>
        <w:t xml:space="preserve">Pada masa klasik, fatwa diberikan oleh </w:t>
      </w:r>
      <w:r w:rsidRPr="00F431AE">
        <w:rPr>
          <w:rFonts w:asciiTheme="majorBidi" w:hAnsiTheme="majorBidi" w:cstheme="majorBidi"/>
          <w:i/>
          <w:iCs/>
          <w:lang w:val="sv-SE"/>
        </w:rPr>
        <w:t>muftī</w:t>
      </w:r>
      <w:r w:rsidRPr="00F431AE">
        <w:rPr>
          <w:rFonts w:asciiTheme="majorBidi" w:hAnsiTheme="majorBidi" w:cstheme="majorBidi"/>
        </w:rPr>
        <w:t xml:space="preserve"> </w:t>
      </w:r>
      <w:r>
        <w:rPr>
          <w:rFonts w:asciiTheme="majorBidi" w:hAnsiTheme="majorBidi" w:cstheme="majorBidi"/>
          <w:lang w:val="sv-SE"/>
        </w:rPr>
        <w:t>(pemberi fatwa)</w:t>
      </w:r>
      <w:r>
        <w:rPr>
          <w:rFonts w:asciiTheme="majorBidi" w:hAnsiTheme="majorBidi" w:cstheme="majorBidi"/>
          <w:i/>
          <w:iCs/>
          <w:lang w:val="sv-SE"/>
        </w:rPr>
        <w:t xml:space="preserve"> </w:t>
      </w:r>
      <w:r w:rsidRPr="00F431AE">
        <w:rPr>
          <w:rFonts w:asciiTheme="majorBidi" w:hAnsiTheme="majorBidi" w:cstheme="majorBidi"/>
          <w:lang w:val="sv-SE"/>
        </w:rPr>
        <w:t xml:space="preserve"> </w:t>
      </w:r>
      <w:r w:rsidRPr="00F431AE">
        <w:rPr>
          <w:rFonts w:asciiTheme="majorBidi" w:hAnsiTheme="majorBidi" w:cstheme="majorBidi"/>
        </w:rPr>
        <w:t>atau álim sebagai</w:t>
      </w:r>
      <w:r w:rsidRPr="00F431AE">
        <w:rPr>
          <w:rFonts w:asciiTheme="majorBidi" w:hAnsiTheme="majorBidi" w:cstheme="majorBidi"/>
          <w:lang w:val="sv-SE"/>
        </w:rPr>
        <w:t xml:space="preserve"> </w:t>
      </w:r>
      <w:r w:rsidRPr="00F431AE">
        <w:rPr>
          <w:rFonts w:asciiTheme="majorBidi" w:hAnsiTheme="majorBidi" w:cstheme="majorBidi"/>
        </w:rPr>
        <w:t>individu atas pertanyaan yang diajukan. Oleh karena sifatnya</w:t>
      </w:r>
      <w:r w:rsidRPr="00F431AE">
        <w:rPr>
          <w:rFonts w:asciiTheme="majorBidi" w:hAnsiTheme="majorBidi" w:cstheme="majorBidi"/>
          <w:lang w:val="sv-SE"/>
        </w:rPr>
        <w:t xml:space="preserve"> </w:t>
      </w:r>
      <w:r w:rsidRPr="00F431AE">
        <w:rPr>
          <w:rFonts w:asciiTheme="majorBidi" w:hAnsiTheme="majorBidi" w:cstheme="majorBidi"/>
        </w:rPr>
        <w:t>sebagai respon atas pertanyaan atau masalah yang berkembang</w:t>
      </w:r>
      <w:r w:rsidRPr="00F431AE">
        <w:rPr>
          <w:rFonts w:asciiTheme="majorBidi" w:hAnsiTheme="majorBidi" w:cstheme="majorBidi"/>
          <w:lang w:val="sv-SE"/>
        </w:rPr>
        <w:t xml:space="preserve"> </w:t>
      </w:r>
      <w:r w:rsidRPr="00F431AE">
        <w:rPr>
          <w:rFonts w:asciiTheme="majorBidi" w:hAnsiTheme="majorBidi" w:cstheme="majorBidi"/>
        </w:rPr>
        <w:t xml:space="preserve">dalam masyarakat itu atau sebagai ekspresi dari </w:t>
      </w:r>
      <w:r w:rsidRPr="006A2FD6">
        <w:rPr>
          <w:rFonts w:asciiTheme="majorBidi" w:hAnsiTheme="majorBidi" w:cstheme="majorBidi"/>
          <w:i/>
          <w:iCs/>
        </w:rPr>
        <w:t>interplay</w:t>
      </w:r>
      <w:r w:rsidRPr="00F431AE">
        <w:rPr>
          <w:rFonts w:asciiTheme="majorBidi" w:hAnsiTheme="majorBidi" w:cstheme="majorBidi"/>
        </w:rPr>
        <w:t xml:space="preserve"> yang</w:t>
      </w:r>
      <w:r w:rsidRPr="00F431AE">
        <w:rPr>
          <w:rFonts w:asciiTheme="majorBidi" w:hAnsiTheme="majorBidi" w:cstheme="majorBidi"/>
          <w:lang w:val="sv-SE"/>
        </w:rPr>
        <w:t xml:space="preserve"> </w:t>
      </w:r>
      <w:r w:rsidRPr="00F431AE">
        <w:rPr>
          <w:rFonts w:asciiTheme="majorBidi" w:hAnsiTheme="majorBidi" w:cstheme="majorBidi"/>
        </w:rPr>
        <w:t>terus menerus antara norma Islam dan kebutuhan nyata masyarakat,</w:t>
      </w:r>
      <w:r w:rsidRPr="00F431AE">
        <w:rPr>
          <w:rFonts w:asciiTheme="majorBidi" w:hAnsiTheme="majorBidi" w:cstheme="majorBidi"/>
          <w:lang w:val="sv-SE"/>
        </w:rPr>
        <w:t xml:space="preserve"> </w:t>
      </w:r>
      <w:r w:rsidRPr="00F431AE">
        <w:rPr>
          <w:rFonts w:asciiTheme="majorBidi" w:hAnsiTheme="majorBidi" w:cstheme="majorBidi"/>
        </w:rPr>
        <w:t>maka fatwa selalu bersifat dinamis dari segi pengungkapannya,</w:t>
      </w:r>
      <w:r w:rsidRPr="00F431AE">
        <w:rPr>
          <w:rFonts w:asciiTheme="majorBidi" w:hAnsiTheme="majorBidi" w:cstheme="majorBidi"/>
          <w:lang w:val="sv-SE"/>
        </w:rPr>
        <w:t xml:space="preserve"> </w:t>
      </w:r>
      <w:r w:rsidRPr="00F431AE">
        <w:rPr>
          <w:rFonts w:asciiTheme="majorBidi" w:hAnsiTheme="majorBidi" w:cstheme="majorBidi"/>
        </w:rPr>
        <w:t>meskipun belum tentu dinamis dari segi isinya.</w:t>
      </w:r>
      <w:r w:rsidRPr="00F431AE">
        <w:rPr>
          <w:rStyle w:val="FootnoteReference"/>
          <w:rFonts w:asciiTheme="majorBidi" w:hAnsiTheme="majorBidi" w:cstheme="majorBidi"/>
        </w:rPr>
        <w:footnoteReference w:id="851"/>
      </w:r>
    </w:p>
    <w:p w:rsidR="00343B61" w:rsidRDefault="00343B61" w:rsidP="00343B61">
      <w:pPr>
        <w:spacing w:after="0" w:line="360" w:lineRule="auto"/>
        <w:ind w:firstLine="720"/>
        <w:jc w:val="both"/>
        <w:rPr>
          <w:rFonts w:ascii="Times New Roman" w:hAnsi="Times New Roman" w:cs="Times New Roman"/>
        </w:rPr>
      </w:pPr>
      <w:r>
        <w:rPr>
          <w:rFonts w:asciiTheme="majorBidi" w:hAnsiTheme="majorBidi" w:cstheme="majorBidi"/>
        </w:rPr>
        <w:t>Komisi Fatwa Majelis Ulama Indonesia semenjak berdirinya 1975 -2015 telah mengeluarkan fatwa tentang hukum keluarga tidak kurang dari 21 buah fatwa</w:t>
      </w:r>
      <w:r>
        <w:rPr>
          <w:rStyle w:val="FootnoteReference"/>
          <w:rFonts w:asciiTheme="majorBidi" w:hAnsiTheme="majorBidi" w:cstheme="majorBidi"/>
        </w:rPr>
        <w:footnoteReference w:id="852"/>
      </w:r>
      <w:r>
        <w:rPr>
          <w:rFonts w:asciiTheme="majorBidi" w:hAnsiTheme="majorBidi" w:cstheme="majorBidi"/>
        </w:rPr>
        <w:t xml:space="preserve">. Hal itu menunjukkan bahwa </w:t>
      </w:r>
      <w:r w:rsidRPr="0009119A">
        <w:rPr>
          <w:rFonts w:ascii="Times New Roman" w:hAnsi="Times New Roman" w:cs="Times New Roman"/>
        </w:rPr>
        <w:t>masalah keluarga menduduki peringkat tinggi dalam kualitas masalah-masalah yang muncul untuk memperoleh fatwa hukum. Belum lagi, isu-isu keluarga tidak jarang menjadi isu internasional yang tidak jarang mengalami deviasi dan pembiasan makna, seolah-olah ia hanya sekedar sebagai sebuah kontrak sosial semata, terlepas dari nilai-nilai transedensinya.</w:t>
      </w:r>
      <w:r w:rsidRPr="0009119A">
        <w:rPr>
          <w:rStyle w:val="FootnoteReference"/>
          <w:rFonts w:ascii="Times New Roman" w:hAnsi="Times New Roman" w:cs="Times New Roman"/>
        </w:rPr>
        <w:footnoteReference w:id="853"/>
      </w:r>
      <w:r w:rsidRPr="0009119A">
        <w:rPr>
          <w:rFonts w:ascii="Times New Roman" w:hAnsi="Times New Roman" w:cs="Times New Roman"/>
        </w:rPr>
        <w:t xml:space="preserve"> </w:t>
      </w:r>
    </w:p>
    <w:p w:rsidR="00343B61" w:rsidRPr="00871472" w:rsidRDefault="00343B61" w:rsidP="00343B61">
      <w:pPr>
        <w:autoSpaceDE w:val="0"/>
        <w:autoSpaceDN w:val="0"/>
        <w:adjustRightInd w:val="0"/>
        <w:spacing w:after="0" w:line="360" w:lineRule="auto"/>
        <w:ind w:firstLine="720"/>
        <w:jc w:val="both"/>
        <w:rPr>
          <w:rFonts w:asciiTheme="majorBidi" w:hAnsiTheme="majorBidi" w:cstheme="majorBidi"/>
        </w:rPr>
      </w:pPr>
      <w:r w:rsidRPr="00BC02F1">
        <w:rPr>
          <w:rFonts w:asciiTheme="majorBidi" w:hAnsiTheme="majorBidi" w:cstheme="majorBidi"/>
        </w:rPr>
        <w:t>Tidak bisa dipungkiri bahwa aspek terpenting dalam muamalah adalah masalah hukum keluarga. Dalam kaitan ini J.N.D. Anderson mengatakan bahwa hukum keluarga dianggap sebagai inti syari'at, karena bagian inilah yang oleh umat Islam dianggap sebagai pintu masuk ke wilayah agama dan masyarakat.</w:t>
      </w:r>
      <w:r w:rsidRPr="00BC02F1">
        <w:rPr>
          <w:rStyle w:val="FootnoteReference"/>
          <w:rFonts w:asciiTheme="majorBidi" w:hAnsiTheme="majorBidi" w:cstheme="majorBidi"/>
        </w:rPr>
        <w:footnoteReference w:id="854"/>
      </w:r>
      <w:r w:rsidRPr="00BC02F1">
        <w:rPr>
          <w:rFonts w:asciiTheme="majorBidi" w:hAnsiTheme="majorBidi" w:cstheme="majorBidi"/>
        </w:rPr>
        <w:t xml:space="preserve"> </w:t>
      </w:r>
    </w:p>
    <w:p w:rsidR="00343B61" w:rsidRDefault="00343B61" w:rsidP="00343B61">
      <w:pPr>
        <w:spacing w:line="360" w:lineRule="auto"/>
        <w:ind w:firstLine="720"/>
        <w:jc w:val="both"/>
        <w:rPr>
          <w:rFonts w:ascii="Times New Roman" w:hAnsi="Times New Roman" w:cs="Times New Roman"/>
        </w:rPr>
      </w:pPr>
      <w:r>
        <w:rPr>
          <w:rFonts w:ascii="Times New Roman" w:hAnsi="Times New Roman" w:cs="Times New Roman"/>
        </w:rPr>
        <w:t xml:space="preserve">Masalah hukum </w:t>
      </w:r>
      <w:r w:rsidRPr="0009119A">
        <w:rPr>
          <w:rFonts w:ascii="Times New Roman" w:hAnsi="Times New Roman" w:cs="Times New Roman"/>
        </w:rPr>
        <w:t xml:space="preserve">keluarga adalah salah satu dari sekian masalah domestik yang </w:t>
      </w:r>
      <w:r>
        <w:rPr>
          <w:rFonts w:ascii="Times New Roman" w:hAnsi="Times New Roman" w:cs="Times New Roman"/>
        </w:rPr>
        <w:t>banyak memperoleh perhatian fiq</w:t>
      </w:r>
      <w:r w:rsidRPr="0009119A">
        <w:rPr>
          <w:rFonts w:ascii="Times New Roman" w:hAnsi="Times New Roman" w:cs="Times New Roman"/>
        </w:rPr>
        <w:t xml:space="preserve">h, karena banyak bersinggungan dengan teks, secara sifatnya sangat dinamis mengingat tergolong dalam masalah </w:t>
      </w:r>
      <w:r>
        <w:rPr>
          <w:rFonts w:ascii="Times New Roman" w:hAnsi="Times New Roman" w:cs="Times New Roman"/>
        </w:rPr>
        <w:t>sosial. Secara umum, kaidah fiq</w:t>
      </w:r>
      <w:r w:rsidRPr="0009119A">
        <w:rPr>
          <w:rFonts w:ascii="Times New Roman" w:hAnsi="Times New Roman" w:cs="Times New Roman"/>
        </w:rPr>
        <w:t xml:space="preserve">h memberikan penjelasan kepada kita bahwa “ hukum asal dalam masalah </w:t>
      </w:r>
      <w:r w:rsidRPr="0009119A">
        <w:rPr>
          <w:rFonts w:ascii="Times New Roman" w:hAnsi="Times New Roman" w:cs="Times New Roman"/>
          <w:i/>
          <w:iCs/>
        </w:rPr>
        <w:t>mu’amalah</w:t>
      </w:r>
      <w:r w:rsidRPr="0009119A">
        <w:rPr>
          <w:rFonts w:ascii="Times New Roman" w:hAnsi="Times New Roman" w:cs="Times New Roman"/>
        </w:rPr>
        <w:t xml:space="preserve"> adalah boleh”. Namun, dalam kont</w:t>
      </w:r>
      <w:r>
        <w:rPr>
          <w:rFonts w:ascii="Times New Roman" w:hAnsi="Times New Roman" w:cs="Times New Roman"/>
        </w:rPr>
        <w:t>eks keluarga berlaku kaidah fiq</w:t>
      </w:r>
      <w:r w:rsidRPr="0009119A">
        <w:rPr>
          <w:rFonts w:ascii="Times New Roman" w:hAnsi="Times New Roman" w:cs="Times New Roman"/>
        </w:rPr>
        <w:t xml:space="preserve">h yang spesifik, yakni” </w:t>
      </w:r>
      <w:r w:rsidRPr="0009119A">
        <w:rPr>
          <w:rFonts w:ascii="Times New Roman" w:hAnsi="Times New Roman" w:cs="Times New Roman"/>
          <w:i/>
          <w:iCs/>
        </w:rPr>
        <w:t>al-asl al-abdla</w:t>
      </w:r>
      <w:r>
        <w:t>‘</w:t>
      </w:r>
      <w:r w:rsidRPr="0009119A">
        <w:rPr>
          <w:rFonts w:ascii="Times New Roman" w:hAnsi="Times New Roman" w:cs="Times New Roman"/>
          <w:i/>
          <w:iCs/>
        </w:rPr>
        <w:t xml:space="preserve"> al-takrim</w:t>
      </w:r>
      <w:r w:rsidRPr="0009119A">
        <w:rPr>
          <w:rFonts w:ascii="Times New Roman" w:hAnsi="Times New Roman" w:cs="Times New Roman"/>
        </w:rPr>
        <w:t>” ( hukum asal dalam masalah bersenggama adalah haram)</w:t>
      </w:r>
      <w:r w:rsidRPr="0009119A">
        <w:rPr>
          <w:rStyle w:val="FootnoteReference"/>
          <w:rFonts w:ascii="Times New Roman" w:hAnsi="Times New Roman" w:cs="Times New Roman"/>
        </w:rPr>
        <w:footnoteReference w:id="855"/>
      </w:r>
      <w:r w:rsidRPr="0009119A">
        <w:rPr>
          <w:rFonts w:ascii="Times New Roman" w:hAnsi="Times New Roman" w:cs="Times New Roman"/>
        </w:rPr>
        <w:t xml:space="preserve"> </w:t>
      </w:r>
    </w:p>
    <w:p w:rsidR="00343B61" w:rsidRDefault="00343B61" w:rsidP="00343B61">
      <w:pPr>
        <w:spacing w:after="0" w:line="360" w:lineRule="auto"/>
        <w:ind w:firstLine="720"/>
        <w:jc w:val="both"/>
        <w:rPr>
          <w:rFonts w:ascii="Times New Roman" w:hAnsi="Times New Roman" w:cs="Times New Roman"/>
        </w:rPr>
      </w:pPr>
      <w:r>
        <w:rPr>
          <w:rFonts w:ascii="Times New Roman" w:hAnsi="Times New Roman" w:cs="Times New Roman"/>
        </w:rPr>
        <w:lastRenderedPageBreak/>
        <w:t xml:space="preserve"> Disamping itu, isu seputar pernikahan dan keluarga merupakan salah satu isu yang terus aktual untuk di bahas dan dibicarakan, mengingat ia setua usia sejarah manusia itu sendiri, dan baru akan berakhir ketika kehidupan manusia berakhir pula. Pernikahan sejalan dengan fitrah manusia untuk berkembang biak, dan keinginan untuk melampiaskan syahwat secara manusiawi, namun mengingat manusia sebagai makhluk beragama, maka aktifitas kehidupan yang sifatnya manusiawi tersebut tidak lepas dari tuntunan dan aturan agama.</w:t>
      </w:r>
      <w:r>
        <w:rPr>
          <w:rStyle w:val="FootnoteReference"/>
          <w:rFonts w:ascii="Times New Roman" w:hAnsi="Times New Roman" w:cs="Times New Roman"/>
        </w:rPr>
        <w:footnoteReference w:id="856"/>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BC02F1">
        <w:rPr>
          <w:rFonts w:asciiTheme="majorBidi" w:hAnsiTheme="majorBidi" w:cstheme="majorBidi"/>
        </w:rPr>
        <w:t>Hukum keluarga sebagai bagian penting dalam hukum Islam, tidak luput dari gagasan pembaruan sebagaimana dengan bagian hukum Islam lainnya. Bahkan, pembaruan hukum keluarga Islam telah menjadi wacana yang mengglobal di seluruh dunia Islam, khususnya di Indonesia. Dalam artian bahwa pembaruan hukum Islam telah menjadi suatu isu dari gerakan</w:t>
      </w:r>
      <w:r>
        <w:rPr>
          <w:rFonts w:asciiTheme="majorBidi" w:hAnsiTheme="majorBidi" w:cstheme="majorBidi"/>
        </w:rPr>
        <w:t xml:space="preserve"> </w:t>
      </w:r>
      <w:r w:rsidRPr="00BC02F1">
        <w:rPr>
          <w:rFonts w:asciiTheme="majorBidi" w:hAnsiTheme="majorBidi" w:cstheme="majorBidi"/>
        </w:rPr>
        <w:t>modernisasi yang paling hangat dibicarakan di dunia Islam. Kendatipun demikian, dalam prosesnya tidak dapat terlepas dari berbagai aspek yang mengitari gagasan pembaruan hukum keluarga Islam.</w:t>
      </w:r>
    </w:p>
    <w:p w:rsidR="00343B61" w:rsidRDefault="00343B61" w:rsidP="00343B61">
      <w:pPr>
        <w:spacing w:after="0" w:line="360" w:lineRule="auto"/>
        <w:ind w:firstLine="720"/>
        <w:jc w:val="both"/>
        <w:rPr>
          <w:rFonts w:asciiTheme="majorBidi" w:hAnsiTheme="majorBidi" w:cstheme="majorBidi"/>
        </w:rPr>
      </w:pPr>
      <w:r w:rsidRPr="00A85FAE">
        <w:rPr>
          <w:rFonts w:asciiTheme="majorBidi" w:hAnsiTheme="majorBidi" w:cstheme="majorBidi"/>
        </w:rPr>
        <w:t>Berbagai istilah sering dipergunakan untuk melukiskan ger</w:t>
      </w:r>
      <w:r>
        <w:rPr>
          <w:rFonts w:asciiTheme="majorBidi" w:hAnsiTheme="majorBidi" w:cstheme="majorBidi"/>
        </w:rPr>
        <w:t>akan pembaharuan Islam,seperti</w:t>
      </w:r>
      <w:r w:rsidRPr="00A85FAE">
        <w:rPr>
          <w:rFonts w:asciiTheme="majorBidi" w:hAnsiTheme="majorBidi" w:cstheme="majorBidi"/>
        </w:rPr>
        <w:t>“reformasi”, “pemurnian”, “p</w:t>
      </w:r>
      <w:r>
        <w:rPr>
          <w:rFonts w:asciiTheme="majorBidi" w:hAnsiTheme="majorBidi" w:cstheme="majorBidi"/>
        </w:rPr>
        <w:t xml:space="preserve">embaharuan”, </w:t>
      </w:r>
      <w:r>
        <w:rPr>
          <w:rFonts w:asciiTheme="majorBidi" w:hAnsiTheme="majorBidi" w:cstheme="majorBidi"/>
          <w:i/>
          <w:iCs/>
        </w:rPr>
        <w:t>rethin</w:t>
      </w:r>
      <w:r w:rsidRPr="00A85FAE">
        <w:rPr>
          <w:rFonts w:asciiTheme="majorBidi" w:hAnsiTheme="majorBidi" w:cstheme="majorBidi"/>
          <w:i/>
          <w:iCs/>
        </w:rPr>
        <w:t>king Islam</w:t>
      </w:r>
      <w:r>
        <w:rPr>
          <w:rFonts w:asciiTheme="majorBidi" w:hAnsiTheme="majorBidi" w:cstheme="majorBidi"/>
        </w:rPr>
        <w:t>,</w:t>
      </w:r>
      <w:r>
        <w:rPr>
          <w:rStyle w:val="FootnoteReference"/>
          <w:rFonts w:asciiTheme="majorBidi" w:hAnsiTheme="majorBidi" w:cstheme="majorBidi"/>
        </w:rPr>
        <w:footnoteReference w:id="857"/>
      </w:r>
      <w:r>
        <w:rPr>
          <w:rFonts w:asciiTheme="majorBidi" w:hAnsiTheme="majorBidi" w:cstheme="majorBidi"/>
        </w:rPr>
        <w:t xml:space="preserve"> </w:t>
      </w:r>
      <w:r>
        <w:rPr>
          <w:rFonts w:asciiTheme="majorBidi" w:hAnsiTheme="majorBidi" w:cstheme="majorBidi"/>
          <w:i/>
          <w:iCs/>
        </w:rPr>
        <w:t>resurgence of</w:t>
      </w:r>
      <w:r w:rsidRPr="00A85FAE">
        <w:rPr>
          <w:rFonts w:asciiTheme="majorBidi" w:hAnsiTheme="majorBidi" w:cstheme="majorBidi"/>
          <w:i/>
          <w:iCs/>
        </w:rPr>
        <w:t xml:space="preserve"> Islam</w:t>
      </w:r>
      <w:r>
        <w:rPr>
          <w:rFonts w:asciiTheme="majorBidi" w:hAnsiTheme="majorBidi" w:cstheme="majorBidi"/>
        </w:rPr>
        <w:t>,</w:t>
      </w:r>
      <w:r>
        <w:rPr>
          <w:rStyle w:val="FootnoteReference"/>
          <w:rFonts w:asciiTheme="majorBidi" w:hAnsiTheme="majorBidi" w:cstheme="majorBidi"/>
        </w:rPr>
        <w:footnoteReference w:id="858"/>
      </w:r>
      <w:r>
        <w:rPr>
          <w:rFonts w:asciiTheme="majorBidi" w:hAnsiTheme="majorBidi" w:cstheme="majorBidi"/>
        </w:rPr>
        <w:t xml:space="preserve"> </w:t>
      </w:r>
      <w:r w:rsidRPr="00A85FAE">
        <w:rPr>
          <w:rFonts w:asciiTheme="majorBidi" w:hAnsiTheme="majorBidi" w:cstheme="majorBidi"/>
        </w:rPr>
        <w:t xml:space="preserve">dan lain sebagainya. Reformasi mempunyai pengertian membentuk kembali pemahaman baru sebagai antitesa dari pola pemahaman lama. Sejalan dengan itu, para penulis tentang gerakan pemikiran Islam, misalnya Persatuan Islam, menyebutnya dengan istilah </w:t>
      </w:r>
      <w:r w:rsidRPr="00A85FAE">
        <w:rPr>
          <w:rFonts w:asciiTheme="majorBidi" w:hAnsiTheme="majorBidi" w:cstheme="majorBidi"/>
          <w:i/>
          <w:iCs/>
        </w:rPr>
        <w:t>Islamic reform</w:t>
      </w:r>
      <w:r>
        <w:rPr>
          <w:rFonts w:asciiTheme="majorBidi" w:hAnsiTheme="majorBidi" w:cstheme="majorBidi"/>
        </w:rPr>
        <w:t>.</w:t>
      </w:r>
      <w:r>
        <w:rPr>
          <w:rStyle w:val="FootnoteReference"/>
          <w:rFonts w:asciiTheme="majorBidi" w:hAnsiTheme="majorBidi" w:cstheme="majorBidi"/>
        </w:rPr>
        <w:footnoteReference w:id="859"/>
      </w:r>
      <w:r>
        <w:rPr>
          <w:rFonts w:asciiTheme="majorBidi" w:hAnsiTheme="majorBidi" w:cstheme="majorBidi"/>
        </w:rPr>
        <w:t xml:space="preserve"> </w:t>
      </w:r>
      <w:r w:rsidRPr="00A85FAE">
        <w:rPr>
          <w:rFonts w:asciiTheme="majorBidi" w:hAnsiTheme="majorBidi" w:cstheme="majorBidi"/>
        </w:rPr>
        <w:t xml:space="preserve">Adapun kata pemurnian lebih banyak diarahkan pada bidang akidah dan ibadah dengan dasar pertimbangan bahwa perkembangan sejarah telah membawa akibat semakin kaburnya kemurnian iman dan ibadah serta munculnya kurafat </w:t>
      </w:r>
      <w:r w:rsidRPr="00A85FAE">
        <w:rPr>
          <w:rFonts w:asciiTheme="majorBidi" w:hAnsiTheme="majorBidi" w:cstheme="majorBidi"/>
        </w:rPr>
        <w:lastRenderedPageBreak/>
        <w:t>dan bid’ah sehingga diperlukan upaya untuk mengembalikan pemahaman ajaran agama Islam ke bentuk aslinya.</w:t>
      </w:r>
      <w:r>
        <w:rPr>
          <w:rFonts w:asciiTheme="majorBidi" w:hAnsiTheme="majorBidi" w:cstheme="majorBidi"/>
        </w:rPr>
        <w:t xml:space="preserve"> </w:t>
      </w:r>
    </w:p>
    <w:p w:rsidR="00343B61" w:rsidRDefault="00343B61" w:rsidP="00343B61">
      <w:pPr>
        <w:spacing w:after="0" w:line="360" w:lineRule="auto"/>
        <w:ind w:firstLine="720"/>
        <w:jc w:val="both"/>
        <w:rPr>
          <w:rFonts w:asciiTheme="majorBidi" w:hAnsiTheme="majorBidi" w:cstheme="majorBidi"/>
        </w:rPr>
      </w:pPr>
      <w:r>
        <w:rPr>
          <w:rFonts w:asciiTheme="majorBidi" w:hAnsiTheme="majorBidi" w:cstheme="majorBidi"/>
        </w:rPr>
        <w:t>Sedangkan istilah pemba</w:t>
      </w:r>
      <w:r w:rsidRPr="00A85FAE">
        <w:rPr>
          <w:rFonts w:asciiTheme="majorBidi" w:hAnsiTheme="majorBidi" w:cstheme="majorBidi"/>
        </w:rPr>
        <w:t>ruan adalah upaya memahami kembali sumber Islam dengan melepaskan diri dari pemahaman lama dengan maksud untuk merelevankan Islam dalam menatap masa depan. Kata pembaharuan m</w:t>
      </w:r>
      <w:r>
        <w:rPr>
          <w:rFonts w:asciiTheme="majorBidi" w:hAnsiTheme="majorBidi" w:cstheme="majorBidi"/>
        </w:rPr>
        <w:t>engandung uraian sasaran pemba</w:t>
      </w:r>
      <w:r w:rsidRPr="00A85FAE">
        <w:rPr>
          <w:rFonts w:asciiTheme="majorBidi" w:hAnsiTheme="majorBidi" w:cstheme="majorBidi"/>
        </w:rPr>
        <w:t>ruan yang ditujukan kepada pengembangan pemikiran Islam yang bersumber dari al-Qur’an dan had</w:t>
      </w:r>
      <w:r>
        <w:rPr>
          <w:rFonts w:asciiTheme="majorBidi" w:hAnsiTheme="majorBidi" w:cstheme="majorBidi"/>
        </w:rPr>
        <w:t>is Nabi SAW. Karena itu, pemba</w:t>
      </w:r>
      <w:r w:rsidRPr="00A85FAE">
        <w:rPr>
          <w:rFonts w:asciiTheme="majorBidi" w:hAnsiTheme="majorBidi" w:cstheme="majorBidi"/>
        </w:rPr>
        <w:t>ruan bukan ditujukan untuk mempertanyakan keabsahan sumber ajaran Islam, melainkan upaya mengubah pola pemikiran umat Islam agar tidak terikat secara kaku kepada pola pemahaman dan pemikiran masa lampau.</w:t>
      </w:r>
      <w:r>
        <w:rPr>
          <w:rStyle w:val="FootnoteReference"/>
          <w:rFonts w:asciiTheme="majorBidi" w:hAnsiTheme="majorBidi" w:cstheme="majorBidi"/>
        </w:rPr>
        <w:footnoteReference w:id="860"/>
      </w:r>
      <w:r w:rsidRPr="00A85FAE">
        <w:rPr>
          <w:rFonts w:asciiTheme="majorBidi" w:hAnsiTheme="majorBidi" w:cstheme="majorBidi"/>
        </w:rPr>
        <w:t xml:space="preserve"> Pembaharuan ini timbul sebagai akibat dari perubahan-perubahan besar dalam segala bidang kehidupan manusia yang dibawa oleh kemajuan pesat yang terjadi dalam bidang ilmu pengetahuan dan teknologi.</w:t>
      </w:r>
      <w:r>
        <w:rPr>
          <w:rStyle w:val="FootnoteReference"/>
          <w:rFonts w:asciiTheme="majorBidi" w:hAnsiTheme="majorBidi" w:cstheme="majorBidi"/>
        </w:rPr>
        <w:footnoteReference w:id="861"/>
      </w:r>
      <w:r w:rsidRPr="00A85FAE">
        <w:rPr>
          <w:rFonts w:asciiTheme="majorBidi" w:hAnsiTheme="majorBidi" w:cstheme="majorBidi"/>
        </w:rPr>
        <w:t xml:space="preserve"> Salah satu implikasinya, menurut Sharon Shiddiq, adalah munculnya usaha yang giat untuk mangarahkan tatanan masyarakat yang harmonis atas dasar sistem tata hakum yang aspiratif.</w:t>
      </w:r>
      <w:r>
        <w:rPr>
          <w:rStyle w:val="FootnoteReference"/>
          <w:rFonts w:asciiTheme="majorBidi" w:hAnsiTheme="majorBidi" w:cstheme="majorBidi"/>
        </w:rPr>
        <w:footnoteReference w:id="862"/>
      </w:r>
    </w:p>
    <w:p w:rsidR="00343B61" w:rsidRDefault="00343B61" w:rsidP="00343B61">
      <w:pPr>
        <w:spacing w:after="0" w:line="360" w:lineRule="auto"/>
        <w:ind w:firstLine="720"/>
        <w:jc w:val="both"/>
        <w:rPr>
          <w:rFonts w:asciiTheme="majorBidi" w:hAnsiTheme="majorBidi" w:cstheme="majorBidi"/>
        </w:rPr>
      </w:pPr>
      <w:r w:rsidRPr="00C21FC5">
        <w:rPr>
          <w:rFonts w:asciiTheme="majorBidi" w:hAnsiTheme="majorBidi" w:cstheme="majorBidi"/>
        </w:rPr>
        <w:t>Secara lebih spesifik, Iskandar Usman menggaris</w:t>
      </w:r>
      <w:r>
        <w:rPr>
          <w:rFonts w:asciiTheme="majorBidi" w:hAnsiTheme="majorBidi" w:cstheme="majorBidi"/>
        </w:rPr>
        <w:t xml:space="preserve"> bawahi inti pemba</w:t>
      </w:r>
      <w:r w:rsidRPr="00C21FC5">
        <w:rPr>
          <w:rFonts w:asciiTheme="majorBidi" w:hAnsiTheme="majorBidi" w:cstheme="majorBidi"/>
        </w:rPr>
        <w:t>ruan hukum Islam. Menurutnya in</w:t>
      </w:r>
      <w:r>
        <w:rPr>
          <w:rFonts w:asciiTheme="majorBidi" w:hAnsiTheme="majorBidi" w:cstheme="majorBidi"/>
        </w:rPr>
        <w:t xml:space="preserve">ti pembaharuan adalah ijtihad. </w:t>
      </w:r>
      <w:r w:rsidRPr="00C21FC5">
        <w:rPr>
          <w:rFonts w:asciiTheme="majorBidi" w:hAnsiTheme="majorBidi" w:cstheme="majorBidi"/>
        </w:rPr>
        <w:t>Ijtihad diartikan sebagai usaha untuk menetapkan hukum guna menjawab permasalahan dan perkembangan baru dengan cara kembali kepada al-Qur’an dan hadis dan tidak mesti terikat kepada ketentuan-ketentuan hukum Islam hasil ijtihad ulama sebelumnya. Dengan demikian diharapkan bahwa ketentuan hukum Islam yang dihasilkan dengan cara ini akan betul-betul mampu menjawab permasalahan umat dan mampu merealisasikan kemaslahatan yang menjadi inti dan tujuan hukum Islam.</w:t>
      </w:r>
      <w:r>
        <w:rPr>
          <w:rStyle w:val="FootnoteReference"/>
          <w:rFonts w:asciiTheme="majorBidi" w:hAnsiTheme="majorBidi" w:cstheme="majorBidi"/>
        </w:rPr>
        <w:footnoteReference w:id="863"/>
      </w:r>
    </w:p>
    <w:p w:rsidR="00343B61" w:rsidRPr="00733EEB" w:rsidRDefault="00343B61" w:rsidP="00343B61">
      <w:pPr>
        <w:spacing w:after="0" w:line="360" w:lineRule="auto"/>
        <w:ind w:firstLine="720"/>
        <w:jc w:val="both"/>
        <w:rPr>
          <w:rFonts w:asciiTheme="majorBidi" w:hAnsiTheme="majorBidi" w:cstheme="majorBidi"/>
        </w:rPr>
      </w:pPr>
      <w:r>
        <w:rPr>
          <w:rFonts w:ascii="Times New Roman" w:hAnsi="Times New Roman" w:cs="Times New Roman"/>
        </w:rPr>
        <w:t>Pembaruan Hukum Keluarga perlu dilakukan dalam rangka menjawab permasalahan-permasalahan kontemporer yang merupakan salah satu karakteristik muslim progresif.</w:t>
      </w:r>
      <w:r>
        <w:rPr>
          <w:rStyle w:val="FootnoteReference"/>
          <w:rFonts w:ascii="Times New Roman" w:hAnsi="Times New Roman" w:cs="Times New Roman"/>
        </w:rPr>
        <w:footnoteReference w:id="864"/>
      </w:r>
      <w:r>
        <w:rPr>
          <w:rFonts w:ascii="Times New Roman" w:hAnsi="Times New Roman" w:cs="Times New Roman"/>
        </w:rPr>
        <w:t xml:space="preserve"> Sebab berbagai permasalahan kontemporer dalam bidang hukum </w:t>
      </w:r>
      <w:r>
        <w:rPr>
          <w:rFonts w:ascii="Times New Roman" w:hAnsi="Times New Roman" w:cs="Times New Roman"/>
        </w:rPr>
        <w:lastRenderedPageBreak/>
        <w:t>keluarga sering tidak terjawab secara konfrehensif oleh fiqh klasik seiring dengan perubahan-perubahan yang terjadi dimasyarakat begitu cepat karena ilmu pengetahuan dan teknologi. Agar hukum Islam tetap aktual untuk mengatur kehidupan umat Islam di masa kini, diperlukan hukum Islam dalam bentuknya yang baru dan tidak mesti mengambil alih semua fiqh yang lama.</w:t>
      </w:r>
      <w:r>
        <w:rPr>
          <w:rStyle w:val="FootnoteReference"/>
          <w:rFonts w:ascii="Times New Roman" w:hAnsi="Times New Roman" w:cs="Times New Roman"/>
        </w:rPr>
        <w:footnoteReference w:id="865"/>
      </w:r>
      <w:r>
        <w:rPr>
          <w:rFonts w:ascii="Times New Roman" w:hAnsi="Times New Roman" w:cs="Times New Roman"/>
          <w:sz w:val="16"/>
          <w:szCs w:val="16"/>
        </w:rPr>
        <w:t xml:space="preserve"> </w:t>
      </w:r>
      <w:r>
        <w:rPr>
          <w:rFonts w:ascii="Times New Roman" w:hAnsi="Times New Roman" w:cs="Times New Roman"/>
        </w:rPr>
        <w:t>Artinya dimaksudkan untuk diadakan usaha pembaruan hukum keluarga. Untuk mencapai itu tentu saja tidak akan bisa lepas dari peran usul fiqh dengan ijtihadnya sebagai pondasi fiqh.</w:t>
      </w:r>
    </w:p>
    <w:p w:rsidR="00343B61" w:rsidRPr="000A7FE5" w:rsidRDefault="00343B61" w:rsidP="00343B61">
      <w:pPr>
        <w:autoSpaceDE w:val="0"/>
        <w:autoSpaceDN w:val="0"/>
        <w:adjustRightInd w:val="0"/>
        <w:spacing w:after="0" w:line="360" w:lineRule="auto"/>
        <w:ind w:firstLine="720"/>
        <w:jc w:val="both"/>
        <w:rPr>
          <w:rFonts w:asciiTheme="majorBidi" w:hAnsiTheme="majorBidi" w:cstheme="majorBidi"/>
        </w:rPr>
      </w:pPr>
      <w:r w:rsidRPr="000A7FE5">
        <w:rPr>
          <w:rFonts w:asciiTheme="majorBidi" w:hAnsiTheme="majorBidi" w:cstheme="majorBidi"/>
        </w:rPr>
        <w:t xml:space="preserve">Setelah Indonesia merdeka, upaya pembaruan hukum banyak pula diarahkan kepada perubahan hukum tertulis peninggalan </w:t>
      </w:r>
      <w:r>
        <w:rPr>
          <w:rFonts w:asciiTheme="majorBidi" w:hAnsiTheme="majorBidi" w:cstheme="majorBidi"/>
        </w:rPr>
        <w:t>kaum kolonial untuk dijadikan hu</w:t>
      </w:r>
      <w:r w:rsidRPr="000A7FE5">
        <w:rPr>
          <w:rFonts w:asciiTheme="majorBidi" w:hAnsiTheme="majorBidi" w:cstheme="majorBidi"/>
        </w:rPr>
        <w:t>kum nasional, dan hukum Islam dijadikan sebagai salah satu unsur hukum nasional yang berfungsi sebagai rujukan dalam pembentukan hukum nasional tersebut. Upaya ini telah menghasilkan Undang-Undang Nomor 1 tahun 1974 tentang hu</w:t>
      </w:r>
      <w:r>
        <w:rPr>
          <w:rFonts w:asciiTheme="majorBidi" w:hAnsiTheme="majorBidi" w:cstheme="majorBidi"/>
        </w:rPr>
        <w:t>kum perkawinan. Kemudian, pada t</w:t>
      </w:r>
      <w:r w:rsidRPr="000A7FE5">
        <w:rPr>
          <w:rFonts w:asciiTheme="majorBidi" w:hAnsiTheme="majorBidi" w:cstheme="majorBidi"/>
        </w:rPr>
        <w:t>ahun 1989 terbentuk pula Undang-Undang Nomor 7 tahun 1989, yang populer dengan sebutan Undang-Undang P</w:t>
      </w:r>
      <w:r>
        <w:rPr>
          <w:rFonts w:asciiTheme="majorBidi" w:hAnsiTheme="majorBidi" w:cstheme="majorBidi"/>
        </w:rPr>
        <w:t>eradilan Agama (UUPA), yang mens</w:t>
      </w:r>
      <w:r w:rsidRPr="000A7FE5">
        <w:rPr>
          <w:rFonts w:asciiTheme="majorBidi" w:hAnsiTheme="majorBidi" w:cstheme="majorBidi"/>
        </w:rPr>
        <w:t>ejajarkan kedudukan Pengadilan Agama dengan Pengadilan Umum dan menempatkan hukum Islam sebagai salah satu unsur dalam hukum nasional. Pada tahun 1991 telah dilakukan pula Kom</w:t>
      </w:r>
      <w:r>
        <w:rPr>
          <w:rFonts w:asciiTheme="majorBidi" w:hAnsiTheme="majorBidi" w:cstheme="majorBidi"/>
        </w:rPr>
        <w:t>pilasi Hukum Islam menyangkut hu</w:t>
      </w:r>
      <w:r w:rsidRPr="000A7FE5">
        <w:rPr>
          <w:rFonts w:asciiTheme="majorBidi" w:hAnsiTheme="majorBidi" w:cstheme="majorBidi"/>
        </w:rPr>
        <w:t>kum keluarga, yang terdiri atas hukum perkawinan, kewarisan, dan perwakafan. Dalam usaha kompilasi hukum tersebut, kecenderungan kepada salah satu mazhab (khususny</w:t>
      </w:r>
      <w:r>
        <w:rPr>
          <w:rFonts w:asciiTheme="majorBidi" w:hAnsiTheme="majorBidi" w:cstheme="majorBidi"/>
        </w:rPr>
        <w:t>a</w:t>
      </w:r>
      <w:r w:rsidRPr="000A7FE5">
        <w:rPr>
          <w:rFonts w:asciiTheme="majorBidi" w:hAnsiTheme="majorBidi" w:cstheme="majorBidi"/>
        </w:rPr>
        <w:t xml:space="preserve"> mazhab Syafi'i) mulai dikesampingkan, tetapi lebih ditekankan kepada kemaslahatan, dan bahk</w:t>
      </w:r>
      <w:r>
        <w:rPr>
          <w:rFonts w:asciiTheme="majorBidi" w:hAnsiTheme="majorBidi" w:cstheme="majorBidi"/>
        </w:rPr>
        <w:t>an telah dilakukan suatu reform</w:t>
      </w:r>
      <w:r w:rsidRPr="000A7FE5">
        <w:rPr>
          <w:rFonts w:asciiTheme="majorBidi" w:hAnsiTheme="majorBidi" w:cstheme="majorBidi"/>
        </w:rPr>
        <w:t>asi hukum. Sebagai contoh, antara lain, dalam hukum kewarisan dinyatakan bahwa orang tua/anak angkat berhak ikut menerima harta peninggalan anak/orang tua angkatnya sebanyak 1/</w:t>
      </w:r>
      <w:r>
        <w:rPr>
          <w:rFonts w:asciiTheme="majorBidi" w:hAnsiTheme="majorBidi" w:cstheme="majorBidi"/>
        </w:rPr>
        <w:t>3 bagian sebagai wasiat wajibah. Dan</w:t>
      </w:r>
      <w:r w:rsidRPr="000A7FE5">
        <w:rPr>
          <w:rFonts w:asciiTheme="majorBidi" w:hAnsiTheme="majorBidi" w:cstheme="majorBidi"/>
        </w:rPr>
        <w:t xml:space="preserve"> dalam hukum perkawinan hanya boleh </w:t>
      </w:r>
      <w:r>
        <w:rPr>
          <w:rFonts w:asciiTheme="majorBidi" w:hAnsiTheme="majorBidi" w:cstheme="majorBidi"/>
        </w:rPr>
        <w:t>me</w:t>
      </w:r>
      <w:r w:rsidRPr="000A7FE5">
        <w:rPr>
          <w:rFonts w:asciiTheme="majorBidi" w:hAnsiTheme="majorBidi" w:cstheme="majorBidi"/>
        </w:rPr>
        <w:t>lakukan</w:t>
      </w:r>
      <w:r>
        <w:rPr>
          <w:rFonts w:asciiTheme="majorBidi" w:hAnsiTheme="majorBidi" w:cstheme="majorBidi"/>
        </w:rPr>
        <w:t xml:space="preserve"> perkawinan oleh pria yang telah berus</w:t>
      </w:r>
      <w:r w:rsidRPr="000A7FE5">
        <w:rPr>
          <w:rFonts w:asciiTheme="majorBidi" w:hAnsiTheme="majorBidi" w:cstheme="majorBidi"/>
        </w:rPr>
        <w:t>ia 19 tahun dan wanita yang sudah berusia dewasa 16 tahun, dan sebagainya.</w:t>
      </w:r>
      <w:r w:rsidRPr="000A7FE5">
        <w:rPr>
          <w:rStyle w:val="FootnoteReference"/>
          <w:rFonts w:asciiTheme="majorBidi" w:hAnsiTheme="majorBidi" w:cstheme="majorBidi"/>
        </w:rPr>
        <w:footnoteReference w:id="866"/>
      </w:r>
    </w:p>
    <w:p w:rsidR="00343B61" w:rsidRPr="000A7FE5" w:rsidRDefault="00343B61" w:rsidP="00343B61">
      <w:pPr>
        <w:autoSpaceDE w:val="0"/>
        <w:autoSpaceDN w:val="0"/>
        <w:adjustRightInd w:val="0"/>
        <w:spacing w:after="0" w:line="360" w:lineRule="auto"/>
        <w:ind w:firstLine="720"/>
        <w:jc w:val="both"/>
        <w:rPr>
          <w:rFonts w:asciiTheme="majorBidi" w:hAnsiTheme="majorBidi" w:cstheme="majorBidi"/>
        </w:rPr>
      </w:pPr>
      <w:r w:rsidRPr="000A7FE5">
        <w:rPr>
          <w:rFonts w:asciiTheme="majorBidi" w:hAnsiTheme="majorBidi" w:cstheme="majorBidi"/>
        </w:rPr>
        <w:lastRenderedPageBreak/>
        <w:t>Lalu pada tahun 1980-an, ketika akan membentuk Kompilasi Hukum Islam tentang perkawinan, kewarisan, dan perwakafan, Munawir Sjadzali, Menteri Agama ketika itu, memunculkan gagasan reaktualisasi ajaran Islam. Gagasan tersebut sengaja dilontarkan dal</w:t>
      </w:r>
      <w:r>
        <w:rPr>
          <w:rFonts w:asciiTheme="majorBidi" w:hAnsiTheme="majorBidi" w:cstheme="majorBidi"/>
        </w:rPr>
        <w:t>am berbagai forum, guna menggu</w:t>
      </w:r>
      <w:r w:rsidRPr="000A7FE5">
        <w:rPr>
          <w:rFonts w:asciiTheme="majorBidi" w:hAnsiTheme="majorBidi" w:cstheme="majorBidi"/>
        </w:rPr>
        <w:t xml:space="preserve">gah para ulama </w:t>
      </w:r>
      <w:r>
        <w:rPr>
          <w:rFonts w:asciiTheme="majorBidi" w:hAnsiTheme="majorBidi" w:cstheme="majorBidi"/>
        </w:rPr>
        <w:t>fiqh</w:t>
      </w:r>
      <w:r w:rsidRPr="000A7FE5">
        <w:rPr>
          <w:rFonts w:asciiTheme="majorBidi" w:hAnsiTheme="majorBidi" w:cstheme="majorBidi"/>
        </w:rPr>
        <w:t xml:space="preserve"> di Indonesia (bahkan juga di luar Indonesia) untuk mengkaji dan berpikir lagi tentang </w:t>
      </w:r>
      <w:r>
        <w:rPr>
          <w:rFonts w:asciiTheme="majorBidi" w:hAnsiTheme="majorBidi" w:cstheme="majorBidi"/>
        </w:rPr>
        <w:t>fiqh</w:t>
      </w:r>
      <w:r w:rsidRPr="000A7FE5">
        <w:rPr>
          <w:rFonts w:asciiTheme="majorBidi" w:hAnsiTheme="majorBidi" w:cstheme="majorBidi"/>
        </w:rPr>
        <w:t>. Salah satu contoh yang ditampilkan Munawir adalah berkenaan dengan reaktualisasi dalam hukum kewarisan, yakni kemungkinan dijadikannya hak anak iaki-laki sama de</w:t>
      </w:r>
      <w:r>
        <w:rPr>
          <w:rFonts w:asciiTheme="majorBidi" w:hAnsiTheme="majorBidi" w:cstheme="majorBidi"/>
        </w:rPr>
        <w:t>ngan hak anak perempuan dalam menerima warisan ayah  yang meni</w:t>
      </w:r>
      <w:r w:rsidRPr="000A7FE5">
        <w:rPr>
          <w:rFonts w:asciiTheme="majorBidi" w:hAnsiTheme="majorBidi" w:cstheme="majorBidi"/>
        </w:rPr>
        <w:t>nggal. Kendati contoh y</w:t>
      </w:r>
      <w:r>
        <w:rPr>
          <w:rFonts w:asciiTheme="majorBidi" w:hAnsiTheme="majorBidi" w:cstheme="majorBidi"/>
        </w:rPr>
        <w:t>ang dikemukakan Munawir tersebut</w:t>
      </w:r>
      <w:r w:rsidRPr="000A7FE5">
        <w:rPr>
          <w:rFonts w:asciiTheme="majorBidi" w:hAnsiTheme="majorBidi" w:cstheme="majorBidi"/>
        </w:rPr>
        <w:t xml:space="preserve"> tidak diterima secara eksplisit dalam kompilasi, ternyata telah merangsang sementara ce</w:t>
      </w:r>
      <w:r>
        <w:rPr>
          <w:rFonts w:asciiTheme="majorBidi" w:hAnsiTheme="majorBidi" w:cstheme="majorBidi"/>
        </w:rPr>
        <w:t>ndiki</w:t>
      </w:r>
      <w:r w:rsidRPr="000A7FE5">
        <w:rPr>
          <w:rFonts w:asciiTheme="majorBidi" w:hAnsiTheme="majorBidi" w:cstheme="majorBidi"/>
        </w:rPr>
        <w:t>awan dan ulama berpikir lebih mendalam da</w:t>
      </w:r>
      <w:r>
        <w:rPr>
          <w:rFonts w:asciiTheme="majorBidi" w:hAnsiTheme="majorBidi" w:cstheme="majorBidi"/>
        </w:rPr>
        <w:t>lam melihat tujuan asasi syari'</w:t>
      </w:r>
      <w:r w:rsidRPr="000A7FE5">
        <w:rPr>
          <w:rFonts w:asciiTheme="majorBidi" w:hAnsiTheme="majorBidi" w:cstheme="majorBidi"/>
        </w:rPr>
        <w:t xml:space="preserve">at Islam sebagai syari'at </w:t>
      </w:r>
      <w:r>
        <w:rPr>
          <w:rFonts w:asciiTheme="majorBidi" w:hAnsiTheme="majorBidi" w:cstheme="majorBidi"/>
        </w:rPr>
        <w:t>yang kekal untuk kemaslahatan m</w:t>
      </w:r>
      <w:r w:rsidRPr="000A7FE5">
        <w:rPr>
          <w:rFonts w:asciiTheme="majorBidi" w:hAnsiTheme="majorBidi" w:cstheme="majorBidi"/>
        </w:rPr>
        <w:t>anusia pada set</w:t>
      </w:r>
      <w:r>
        <w:rPr>
          <w:rFonts w:asciiTheme="majorBidi" w:hAnsiTheme="majorBidi" w:cstheme="majorBidi"/>
        </w:rPr>
        <w:t>ia</w:t>
      </w:r>
      <w:r w:rsidRPr="000A7FE5">
        <w:rPr>
          <w:rFonts w:asciiTheme="majorBidi" w:hAnsiTheme="majorBidi" w:cstheme="majorBidi"/>
        </w:rPr>
        <w:t>p tempat dan masyarakat. Akan tetapi, dipihak l</w:t>
      </w:r>
      <w:r>
        <w:rPr>
          <w:rFonts w:asciiTheme="majorBidi" w:hAnsiTheme="majorBidi" w:cstheme="majorBidi"/>
        </w:rPr>
        <w:t>ain, upaya tersebut justru menim</w:t>
      </w:r>
      <w:r w:rsidRPr="000A7FE5">
        <w:rPr>
          <w:rFonts w:asciiTheme="majorBidi" w:hAnsiTheme="majorBidi" w:cstheme="majorBidi"/>
        </w:rPr>
        <w:t xml:space="preserve">bulkan kecurigaan, seolah-olah ada upaya untuk mengganti </w:t>
      </w:r>
      <w:r>
        <w:rPr>
          <w:rFonts w:asciiTheme="majorBidi" w:hAnsiTheme="majorBidi" w:cstheme="majorBidi"/>
        </w:rPr>
        <w:t>fiqh</w:t>
      </w:r>
      <w:r w:rsidRPr="000A7FE5">
        <w:rPr>
          <w:rFonts w:asciiTheme="majorBidi" w:hAnsiTheme="majorBidi" w:cstheme="majorBidi"/>
        </w:rPr>
        <w:t xml:space="preserve"> dengan sesuatu paham yang berbau orientalisme.</w:t>
      </w:r>
      <w:r w:rsidRPr="000A7FE5">
        <w:rPr>
          <w:rStyle w:val="FootnoteReference"/>
          <w:rFonts w:asciiTheme="majorBidi" w:hAnsiTheme="majorBidi" w:cstheme="majorBidi"/>
        </w:rPr>
        <w:footnoteReference w:id="867"/>
      </w:r>
    </w:p>
    <w:p w:rsidR="00343B61" w:rsidRPr="000A7FE5" w:rsidRDefault="00343B61" w:rsidP="00343B61">
      <w:pPr>
        <w:autoSpaceDE w:val="0"/>
        <w:autoSpaceDN w:val="0"/>
        <w:adjustRightInd w:val="0"/>
        <w:spacing w:after="0" w:line="360" w:lineRule="auto"/>
        <w:ind w:firstLine="720"/>
        <w:jc w:val="both"/>
        <w:rPr>
          <w:rFonts w:asciiTheme="majorBidi" w:hAnsiTheme="majorBidi" w:cstheme="majorBidi"/>
        </w:rPr>
      </w:pPr>
      <w:r w:rsidRPr="000A7FE5">
        <w:rPr>
          <w:rFonts w:asciiTheme="majorBidi" w:hAnsiTheme="majorBidi" w:cstheme="majorBidi"/>
        </w:rPr>
        <w:t>Puncak reaktualisasi terlihat pada lokakarya Kompilasi Huku</w:t>
      </w:r>
      <w:r>
        <w:rPr>
          <w:rFonts w:asciiTheme="majorBidi" w:hAnsiTheme="majorBidi" w:cstheme="majorBidi"/>
        </w:rPr>
        <w:t>m Islam di Jakarta, awal Februari 1988 yang dihadiri oleh p</w:t>
      </w:r>
      <w:r w:rsidRPr="000A7FE5">
        <w:rPr>
          <w:rFonts w:asciiTheme="majorBidi" w:hAnsiTheme="majorBidi" w:cstheme="majorBidi"/>
        </w:rPr>
        <w:t xml:space="preserve">ara tokoh </w:t>
      </w:r>
      <w:r>
        <w:rPr>
          <w:rFonts w:asciiTheme="majorBidi" w:hAnsiTheme="majorBidi" w:cstheme="majorBidi"/>
        </w:rPr>
        <w:t>fiqh</w:t>
      </w:r>
      <w:r w:rsidRPr="000A7FE5">
        <w:rPr>
          <w:rFonts w:asciiTheme="majorBidi" w:hAnsiTheme="majorBidi" w:cstheme="majorBidi"/>
        </w:rPr>
        <w:t xml:space="preserve"> dan organisasi</w:t>
      </w:r>
      <w:r>
        <w:rPr>
          <w:rFonts w:asciiTheme="majorBidi" w:hAnsiTheme="majorBidi" w:cstheme="majorBidi"/>
        </w:rPr>
        <w:t>-</w:t>
      </w:r>
      <w:r w:rsidRPr="000A7FE5">
        <w:rPr>
          <w:rFonts w:asciiTheme="majorBidi" w:hAnsiTheme="majorBidi" w:cstheme="majorBidi"/>
        </w:rPr>
        <w:t>organisas</w:t>
      </w:r>
      <w:r>
        <w:rPr>
          <w:rFonts w:asciiTheme="majorBidi" w:hAnsiTheme="majorBidi" w:cstheme="majorBidi"/>
        </w:rPr>
        <w:t xml:space="preserve"> islam, pe</w:t>
      </w:r>
      <w:r w:rsidRPr="000A7FE5">
        <w:rPr>
          <w:rFonts w:asciiTheme="majorBidi" w:hAnsiTheme="majorBidi" w:cstheme="majorBidi"/>
        </w:rPr>
        <w:t xml:space="preserve">rguruan tinggi, dan masyarakat. Kesimpulannya, menerima reinterpretasi dalam rangka reaktualisasi, selama masih dalam wilayah bahasan </w:t>
      </w:r>
      <w:r>
        <w:rPr>
          <w:rFonts w:asciiTheme="majorBidi" w:hAnsiTheme="majorBidi" w:cstheme="majorBidi"/>
        </w:rPr>
        <w:t>fiqh</w:t>
      </w:r>
      <w:r w:rsidRPr="000A7FE5">
        <w:rPr>
          <w:rFonts w:asciiTheme="majorBidi" w:hAnsiTheme="majorBidi" w:cstheme="majorBidi"/>
        </w:rPr>
        <w:t xml:space="preserve">, yakni di luar yang diatur secara </w:t>
      </w:r>
      <w:r w:rsidRPr="000A7FE5">
        <w:rPr>
          <w:rFonts w:asciiTheme="majorBidi" w:hAnsiTheme="majorBidi" w:cstheme="majorBidi"/>
          <w:i/>
          <w:iCs/>
        </w:rPr>
        <w:t xml:space="preserve">qath 'i </w:t>
      </w:r>
      <w:r w:rsidRPr="000A7FE5">
        <w:rPr>
          <w:rFonts w:asciiTheme="majorBidi" w:hAnsiTheme="majorBidi" w:cstheme="majorBidi"/>
        </w:rPr>
        <w:t>dalam al-Qur'an maupun hadis.</w:t>
      </w:r>
      <w:r w:rsidRPr="000A7FE5">
        <w:rPr>
          <w:rStyle w:val="FootnoteReference"/>
          <w:rFonts w:asciiTheme="majorBidi" w:hAnsiTheme="majorBidi" w:cstheme="majorBidi"/>
        </w:rPr>
        <w:footnoteReference w:id="868"/>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0A7FE5">
        <w:rPr>
          <w:rFonts w:asciiTheme="majorBidi" w:hAnsiTheme="majorBidi" w:cstheme="majorBidi"/>
        </w:rPr>
        <w:t>Upaya</w:t>
      </w:r>
      <w:r>
        <w:rPr>
          <w:rFonts w:asciiTheme="majorBidi" w:hAnsiTheme="majorBidi" w:cstheme="majorBidi"/>
        </w:rPr>
        <w:t xml:space="preserve"> reaktualisasi ajaran Islam di b</w:t>
      </w:r>
      <w:r w:rsidRPr="000A7FE5">
        <w:rPr>
          <w:rFonts w:asciiTheme="majorBidi" w:hAnsiTheme="majorBidi" w:cstheme="majorBidi"/>
        </w:rPr>
        <w:t>idang hukum sebagai disebutkan di atas juga merupakan bagian dari upaya pembaharuan hukum Islam, terutama dalam konteks zaman modern dewasa iru. Dari upaya demikian diharapkan terwujudnya suatu solusi hukum yang dapat mengayomi mayarakat. sehin</w:t>
      </w:r>
      <w:r>
        <w:rPr>
          <w:rFonts w:asciiTheme="majorBidi" w:hAnsiTheme="majorBidi" w:cstheme="majorBidi"/>
        </w:rPr>
        <w:t>gga apa yang mereka terapkan dal</w:t>
      </w:r>
      <w:r w:rsidRPr="000A7FE5">
        <w:rPr>
          <w:rFonts w:asciiTheme="majorBidi" w:hAnsiTheme="majorBidi" w:cstheme="majorBidi"/>
        </w:rPr>
        <w:t>am kehidupan sehari-hari akan sena</w:t>
      </w:r>
      <w:r>
        <w:rPr>
          <w:rFonts w:asciiTheme="majorBidi" w:hAnsiTheme="majorBidi" w:cstheme="majorBidi"/>
        </w:rPr>
        <w:t>ntiasa berjalan di atas dasar hu</w:t>
      </w:r>
      <w:r w:rsidRPr="000A7FE5">
        <w:rPr>
          <w:rFonts w:asciiTheme="majorBidi" w:hAnsiTheme="majorBidi" w:cstheme="majorBidi"/>
        </w:rPr>
        <w:t>kum yang luwes dan adil.</w:t>
      </w:r>
      <w:r w:rsidRPr="000A7FE5">
        <w:rPr>
          <w:rStyle w:val="FootnoteReference"/>
          <w:rFonts w:asciiTheme="majorBidi" w:hAnsiTheme="majorBidi" w:cstheme="majorBidi"/>
        </w:rPr>
        <w:footnoteReference w:id="869"/>
      </w:r>
    </w:p>
    <w:p w:rsidR="00343B61" w:rsidRDefault="00343B61" w:rsidP="00343B61">
      <w:pPr>
        <w:spacing w:after="0" w:line="360" w:lineRule="auto"/>
        <w:ind w:firstLine="720"/>
        <w:jc w:val="both"/>
        <w:rPr>
          <w:rFonts w:ascii="Times New Roman" w:hAnsi="Times New Roman" w:cs="Times New Roman"/>
        </w:rPr>
      </w:pPr>
      <w:r>
        <w:rPr>
          <w:rFonts w:ascii="Times New Roman" w:hAnsi="Times New Roman" w:cs="Times New Roman"/>
        </w:rPr>
        <w:t xml:space="preserve">Majelis Ulama Indonesia (MUI) melalui fatwanya berupaya melakukan pembaruan hukum Islam di Indonesia begitu juga memberikan nasehat dan tuntunan kepada umat, terutama umat Islam. Sekarang pertanyaannya apakah fatwa Majelis Ulama </w:t>
      </w:r>
      <w:r>
        <w:rPr>
          <w:rFonts w:ascii="Times New Roman" w:hAnsi="Times New Roman" w:cs="Times New Roman"/>
        </w:rPr>
        <w:lastRenderedPageBreak/>
        <w:t>Indonesia itu sudah relevan dengan pembaruan Hukum keluarga Islam di Indonesia? Dan apakah MUI sudah melakukan pembaruan hukum keluarga dalam fatwanya ?</w:t>
      </w:r>
    </w:p>
    <w:p w:rsidR="00343B61" w:rsidRDefault="00343B61" w:rsidP="00343B61">
      <w:pPr>
        <w:spacing w:after="0" w:line="360" w:lineRule="auto"/>
        <w:ind w:firstLine="720"/>
        <w:jc w:val="both"/>
        <w:rPr>
          <w:rFonts w:asciiTheme="majorBidi" w:hAnsiTheme="majorBidi" w:cstheme="majorBidi"/>
          <w:lang w:val="sv-SE"/>
        </w:rPr>
      </w:pPr>
      <w:r>
        <w:rPr>
          <w:rFonts w:ascii="Times New Roman" w:hAnsi="Times New Roman" w:cs="Times New Roman"/>
        </w:rPr>
        <w:t xml:space="preserve">Untuk menjawab pertanyaan ini, perlu diingatkan kembali bahwa dari duapuluh satu  Fatwa Hukum Keluarga yang telah di keluarkan oleh MUI, penulis memilih enam fatwa pada kajian ini, yaitu </w:t>
      </w:r>
      <w:r>
        <w:rPr>
          <w:rFonts w:asciiTheme="majorBidi" w:hAnsiTheme="majorBidi" w:cstheme="majorBidi"/>
          <w:lang w:val="sv-SE"/>
        </w:rPr>
        <w:t xml:space="preserve">fatwa perkawinan beda agama, fatwa nikah di bawah tangan, fatwa talak diluar pengadilan, fatwa waris beda agama, fatwa tentang anak luar nikah dan fatwa tentang hak pengasuhan anak bagi orangtua yang bercerai karena berbeda agama. Dari keenam fatwa tersebut penulis menilai sudah relevan dengan pembaruan Hukum Keluarga Islam di Indonesia, kecuali fatwa Nikah di bawah tangan poin pertama dan fatwa talak di luar pengadilan. </w:t>
      </w:r>
    </w:p>
    <w:p w:rsidR="00343B61" w:rsidRPr="00166536" w:rsidRDefault="00343B61" w:rsidP="00343B61">
      <w:pPr>
        <w:spacing w:line="360" w:lineRule="auto"/>
        <w:ind w:firstLine="720"/>
        <w:rPr>
          <w:rFonts w:asciiTheme="majorBidi" w:hAnsiTheme="majorBidi" w:cstheme="majorBidi"/>
          <w:lang w:val="sv-SE"/>
        </w:rPr>
      </w:pPr>
      <w:r>
        <w:rPr>
          <w:rFonts w:asciiTheme="majorBidi" w:hAnsiTheme="majorBidi" w:cstheme="majorBidi"/>
          <w:lang w:val="sv-SE"/>
        </w:rPr>
        <w:t>Tabel Relevansi Fatwa Dengan Pembaruan Hukum Keluarga di Indonesia</w:t>
      </w:r>
    </w:p>
    <w:tbl>
      <w:tblPr>
        <w:tblStyle w:val="TableGrid"/>
        <w:tblW w:w="9630" w:type="dxa"/>
        <w:tblInd w:w="-702" w:type="dxa"/>
        <w:tblLayout w:type="fixed"/>
        <w:tblLook w:val="04A0"/>
      </w:tblPr>
      <w:tblGrid>
        <w:gridCol w:w="450"/>
        <w:gridCol w:w="2160"/>
        <w:gridCol w:w="1980"/>
        <w:gridCol w:w="5040"/>
      </w:tblGrid>
      <w:tr w:rsidR="00343B61" w:rsidRPr="00AF0135" w:rsidTr="00FD4007">
        <w:trPr>
          <w:trHeight w:val="971"/>
        </w:trPr>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No</w:t>
            </w:r>
          </w:p>
        </w:tc>
        <w:tc>
          <w:tcPr>
            <w:tcW w:w="216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Nama Fatwa</w:t>
            </w:r>
          </w:p>
        </w:tc>
        <w:tc>
          <w:tcPr>
            <w:tcW w:w="198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 xml:space="preserve">Relevansi Fatwa </w:t>
            </w:r>
            <w:r w:rsidRPr="00F8434B">
              <w:rPr>
                <w:rFonts w:asciiTheme="majorBidi" w:hAnsiTheme="majorBidi" w:cstheme="majorBidi"/>
                <w:lang w:val="sv-SE"/>
              </w:rPr>
              <w:t xml:space="preserve">dgn Pembaruan HK </w:t>
            </w:r>
            <w:r w:rsidRPr="00F8434B">
              <w:rPr>
                <w:rFonts w:asciiTheme="majorBidi" w:hAnsiTheme="majorBidi" w:cstheme="majorBidi"/>
              </w:rPr>
              <w:t>di Indonesia</w:t>
            </w:r>
          </w:p>
        </w:tc>
        <w:tc>
          <w:tcPr>
            <w:tcW w:w="5040" w:type="dxa"/>
          </w:tcPr>
          <w:p w:rsidR="00343B61" w:rsidRPr="002603FA" w:rsidRDefault="00343B61" w:rsidP="00FD4007">
            <w:pPr>
              <w:spacing w:line="240" w:lineRule="auto"/>
              <w:jc w:val="center"/>
              <w:rPr>
                <w:rFonts w:asciiTheme="majorBidi" w:hAnsiTheme="majorBidi" w:cstheme="majorBidi"/>
              </w:rPr>
            </w:pPr>
            <w:r w:rsidRPr="00F8434B">
              <w:rPr>
                <w:rFonts w:asciiTheme="majorBidi" w:hAnsiTheme="majorBidi" w:cstheme="majorBidi"/>
              </w:rPr>
              <w:t>Argumen</w:t>
            </w:r>
          </w:p>
        </w:tc>
      </w:tr>
      <w:tr w:rsidR="00343B61" w:rsidRPr="00AF0135" w:rsidTr="00FD4007">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1</w:t>
            </w:r>
          </w:p>
        </w:tc>
        <w:tc>
          <w:tcPr>
            <w:tcW w:w="216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Perkawinan Beda Agama </w:t>
            </w:r>
          </w:p>
          <w:p w:rsidR="00343B61" w:rsidRPr="00F8434B" w:rsidRDefault="00343B61" w:rsidP="00FD4007">
            <w:pPr>
              <w:spacing w:line="240" w:lineRule="auto"/>
              <w:jc w:val="center"/>
              <w:rPr>
                <w:rFonts w:asciiTheme="majorBidi" w:hAnsiTheme="majorBidi" w:cstheme="majorBidi"/>
              </w:rPr>
            </w:pPr>
          </w:p>
        </w:tc>
        <w:tc>
          <w:tcPr>
            <w:tcW w:w="198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lang w:val="sv-SE"/>
              </w:rPr>
              <w:t>Relevan dgn Pembaruan HK</w:t>
            </w:r>
          </w:p>
        </w:tc>
        <w:tc>
          <w:tcPr>
            <w:tcW w:w="5040" w:type="dxa"/>
          </w:tcPr>
          <w:p w:rsidR="00343B61" w:rsidRPr="00F8434B" w:rsidRDefault="00343B61" w:rsidP="002C0A33">
            <w:pPr>
              <w:pStyle w:val="ListParagraph"/>
              <w:numPr>
                <w:ilvl w:val="0"/>
                <w:numId w:val="59"/>
              </w:numPr>
              <w:spacing w:after="0" w:line="240" w:lineRule="auto"/>
              <w:ind w:left="287" w:hanging="337"/>
              <w:jc w:val="both"/>
              <w:rPr>
                <w:rFonts w:asciiTheme="majorBidi" w:hAnsiTheme="majorBidi" w:cstheme="majorBidi"/>
              </w:rPr>
            </w:pPr>
            <w:r>
              <w:rPr>
                <w:rFonts w:asciiTheme="majorBidi" w:hAnsiTheme="majorBidi" w:cstheme="majorBidi"/>
                <w:lang w:val="sv-SE"/>
              </w:rPr>
              <w:t xml:space="preserve">Demi kemaslahatan, yaitu </w:t>
            </w:r>
            <w:r w:rsidRPr="00F8434B">
              <w:rPr>
                <w:rFonts w:asciiTheme="majorBidi" w:hAnsiTheme="majorBidi" w:cstheme="majorBidi"/>
                <w:lang w:val="sv-SE"/>
              </w:rPr>
              <w:t>me</w:t>
            </w:r>
            <w:r>
              <w:rPr>
                <w:rFonts w:asciiTheme="majorBidi" w:hAnsiTheme="majorBidi" w:cstheme="majorBidi"/>
                <w:lang w:val="sv-SE"/>
              </w:rPr>
              <w:t>lindungi dan menjaga agama anak</w:t>
            </w:r>
            <w:r w:rsidRPr="00F8434B">
              <w:rPr>
                <w:rFonts w:asciiTheme="majorBidi" w:hAnsiTheme="majorBidi" w:cstheme="majorBidi"/>
                <w:lang w:val="sv-SE"/>
              </w:rPr>
              <w:t>(</w:t>
            </w:r>
            <w:r w:rsidRPr="00F8434B">
              <w:rPr>
                <w:rFonts w:asciiTheme="majorBidi" w:hAnsiTheme="majorBidi" w:cstheme="majorBidi"/>
                <w:i/>
                <w:iCs/>
                <w:lang w:val="sv-SE"/>
              </w:rPr>
              <w:t>hifzhu al-din</w:t>
            </w:r>
            <w:r w:rsidRPr="00F8434B">
              <w:rPr>
                <w:rFonts w:asciiTheme="majorBidi" w:hAnsiTheme="majorBidi" w:cstheme="majorBidi"/>
                <w:lang w:val="sv-SE"/>
              </w:rPr>
              <w:t xml:space="preserve">) dan ini merupakan salah satu </w:t>
            </w:r>
            <w:r w:rsidRPr="00F8434B">
              <w:rPr>
                <w:rFonts w:asciiTheme="majorBidi" w:hAnsiTheme="majorBidi" w:cstheme="majorBidi"/>
                <w:i/>
                <w:iCs/>
                <w:lang w:val="sv-SE"/>
              </w:rPr>
              <w:t>maqashid syari’ah</w:t>
            </w:r>
            <w:r w:rsidRPr="00F8434B">
              <w:rPr>
                <w:rFonts w:asciiTheme="majorBidi" w:hAnsiTheme="majorBidi" w:cstheme="majorBidi"/>
                <w:lang w:val="sv-SE"/>
              </w:rPr>
              <w:t>.</w:t>
            </w:r>
          </w:p>
          <w:p w:rsidR="00343B61" w:rsidRPr="00F8434B" w:rsidRDefault="00343B61" w:rsidP="002C0A33">
            <w:pPr>
              <w:pStyle w:val="ListParagraph"/>
              <w:numPr>
                <w:ilvl w:val="0"/>
                <w:numId w:val="59"/>
              </w:numPr>
              <w:spacing w:after="0" w:line="240" w:lineRule="auto"/>
              <w:ind w:left="287" w:hanging="337"/>
              <w:jc w:val="both"/>
              <w:rPr>
                <w:rFonts w:asciiTheme="majorBidi" w:hAnsiTheme="majorBidi" w:cstheme="majorBidi"/>
              </w:rPr>
            </w:pPr>
            <w:r w:rsidRPr="00F8434B">
              <w:rPr>
                <w:rFonts w:asciiTheme="majorBidi" w:hAnsiTheme="majorBidi" w:cstheme="majorBidi"/>
                <w:lang w:val="sv-SE"/>
              </w:rPr>
              <w:t>Sejalan dengan kandungan KHI Pasal 40 dan 44</w:t>
            </w:r>
          </w:p>
          <w:p w:rsidR="00343B61" w:rsidRPr="00F8434B" w:rsidRDefault="00343B61" w:rsidP="002C0A33">
            <w:pPr>
              <w:pStyle w:val="ListParagraph"/>
              <w:numPr>
                <w:ilvl w:val="0"/>
                <w:numId w:val="59"/>
              </w:numPr>
              <w:spacing w:after="0" w:line="240" w:lineRule="auto"/>
              <w:ind w:left="287" w:hanging="337"/>
              <w:jc w:val="both"/>
              <w:rPr>
                <w:rFonts w:asciiTheme="majorBidi" w:hAnsiTheme="majorBidi" w:cstheme="majorBidi"/>
              </w:rPr>
            </w:pPr>
            <w:r w:rsidRPr="00F8434B">
              <w:rPr>
                <w:rFonts w:asciiTheme="majorBidi" w:hAnsiTheme="majorBidi" w:cstheme="majorBidi"/>
                <w:lang w:val="sv-SE"/>
              </w:rPr>
              <w:t xml:space="preserve">sejalan dengan </w:t>
            </w:r>
            <w:r w:rsidRPr="00F8434B">
              <w:rPr>
                <w:rFonts w:asciiTheme="majorBidi" w:hAnsiTheme="majorBidi" w:cstheme="majorBidi"/>
              </w:rPr>
              <w:t>KHI Pasal 4 dan sesuai dengan pasal 2 ayat (1) UU</w:t>
            </w:r>
            <w:r>
              <w:rPr>
                <w:rFonts w:asciiTheme="majorBidi" w:hAnsiTheme="majorBidi" w:cstheme="majorBidi"/>
              </w:rPr>
              <w:t xml:space="preserve"> </w:t>
            </w:r>
            <w:r w:rsidRPr="00F8434B">
              <w:rPr>
                <w:rFonts w:asciiTheme="majorBidi" w:hAnsiTheme="majorBidi" w:cstheme="majorBidi"/>
              </w:rPr>
              <w:t>No. 1 tahun 1974.</w:t>
            </w:r>
          </w:p>
        </w:tc>
      </w:tr>
      <w:tr w:rsidR="00343B61" w:rsidRPr="00AF0135" w:rsidTr="00FD4007">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2</w:t>
            </w:r>
          </w:p>
        </w:tc>
        <w:tc>
          <w:tcPr>
            <w:tcW w:w="2160" w:type="dxa"/>
          </w:tcPr>
          <w:p w:rsidR="00343B61" w:rsidRPr="00F8434B" w:rsidRDefault="00343B61" w:rsidP="00FD4007">
            <w:pPr>
              <w:autoSpaceDE w:val="0"/>
              <w:autoSpaceDN w:val="0"/>
              <w:adjustRightInd w:val="0"/>
              <w:spacing w:line="240" w:lineRule="auto"/>
              <w:jc w:val="both"/>
              <w:rPr>
                <w:rFonts w:asciiTheme="majorBidi" w:hAnsiTheme="majorBidi" w:cstheme="majorBidi"/>
              </w:rPr>
            </w:pPr>
            <w:r>
              <w:rPr>
                <w:rFonts w:asciiTheme="majorBidi" w:hAnsiTheme="majorBidi" w:cstheme="majorBidi"/>
                <w:lang w:val="sv-SE"/>
              </w:rPr>
              <w:t xml:space="preserve">Fatwa </w:t>
            </w:r>
            <w:r w:rsidRPr="00F8434B">
              <w:rPr>
                <w:rFonts w:asciiTheme="majorBidi" w:hAnsiTheme="majorBidi" w:cstheme="majorBidi"/>
                <w:lang w:val="sv-SE"/>
              </w:rPr>
              <w:t xml:space="preserve">Nikah Di Bawah Tangan </w:t>
            </w:r>
          </w:p>
          <w:p w:rsidR="00343B61" w:rsidRPr="00F8434B" w:rsidRDefault="00343B61" w:rsidP="00FD4007">
            <w:pPr>
              <w:spacing w:line="240" w:lineRule="auto"/>
              <w:jc w:val="both"/>
              <w:rPr>
                <w:rFonts w:asciiTheme="majorBidi" w:hAnsiTheme="majorBidi" w:cstheme="majorBidi"/>
                <w:lang w:val="sv-SE"/>
              </w:rPr>
            </w:pPr>
          </w:p>
        </w:tc>
        <w:tc>
          <w:tcPr>
            <w:tcW w:w="1980" w:type="dxa"/>
          </w:tcPr>
          <w:p w:rsidR="00343B61" w:rsidRPr="00F8434B" w:rsidRDefault="00343B61" w:rsidP="00FD4007">
            <w:pPr>
              <w:spacing w:line="240" w:lineRule="auto"/>
              <w:jc w:val="center"/>
              <w:rPr>
                <w:rFonts w:asciiTheme="majorBidi" w:hAnsiTheme="majorBidi" w:cstheme="majorBidi"/>
                <w:lang w:val="sv-SE"/>
              </w:rPr>
            </w:pPr>
            <w:r w:rsidRPr="00F8434B">
              <w:rPr>
                <w:rFonts w:ascii="Times New Roman" w:hAnsi="Times New Roman" w:cs="Times New Roman"/>
                <w:lang w:val="sv-SE"/>
              </w:rPr>
              <w:t>Poin pertama tidak Relevan dgn pembaruan HK, Poin kedua sudah Relevan</w:t>
            </w:r>
          </w:p>
        </w:tc>
        <w:tc>
          <w:tcPr>
            <w:tcW w:w="5040" w:type="dxa"/>
          </w:tcPr>
          <w:p w:rsidR="00343B61" w:rsidRPr="00F8434B" w:rsidRDefault="00343B61" w:rsidP="002C0A33">
            <w:pPr>
              <w:pStyle w:val="ListParagraph"/>
              <w:numPr>
                <w:ilvl w:val="0"/>
                <w:numId w:val="60"/>
              </w:numPr>
              <w:spacing w:after="0" w:line="240" w:lineRule="auto"/>
              <w:ind w:left="252" w:hanging="270"/>
              <w:jc w:val="both"/>
              <w:rPr>
                <w:rFonts w:asciiTheme="majorBidi" w:hAnsiTheme="majorBidi" w:cstheme="majorBidi"/>
                <w:lang w:val="sv-SE"/>
              </w:rPr>
            </w:pPr>
            <w:r w:rsidRPr="00F8434B">
              <w:rPr>
                <w:rFonts w:asciiTheme="majorBidi" w:hAnsiTheme="majorBidi" w:cstheme="majorBidi"/>
              </w:rPr>
              <w:t xml:space="preserve">Sejalan dengan bunyi </w:t>
            </w:r>
            <w:r w:rsidRPr="00F8434B">
              <w:rPr>
                <w:rFonts w:ascii="Times New Roman" w:hAnsi="Times New Roman" w:cs="Times New Roman"/>
              </w:rPr>
              <w:t>UU</w:t>
            </w:r>
            <w:r>
              <w:rPr>
                <w:rFonts w:ascii="Times New Roman" w:hAnsi="Times New Roman" w:cs="Times New Roman"/>
              </w:rPr>
              <w:t xml:space="preserve"> </w:t>
            </w:r>
            <w:r w:rsidRPr="00F8434B">
              <w:rPr>
                <w:rFonts w:ascii="Times New Roman" w:hAnsi="Times New Roman" w:cs="Times New Roman"/>
              </w:rPr>
              <w:t>No. 1 Tahun 1974 pasal 2 ayat (2),</w:t>
            </w:r>
          </w:p>
          <w:p w:rsidR="00343B61" w:rsidRPr="00F8434B" w:rsidRDefault="00343B61" w:rsidP="002C0A33">
            <w:pPr>
              <w:pStyle w:val="ListParagraph"/>
              <w:numPr>
                <w:ilvl w:val="0"/>
                <w:numId w:val="60"/>
              </w:numPr>
              <w:spacing w:after="0" w:line="240" w:lineRule="auto"/>
              <w:ind w:left="252" w:hanging="270"/>
              <w:jc w:val="both"/>
              <w:rPr>
                <w:rFonts w:asciiTheme="majorBidi" w:hAnsiTheme="majorBidi" w:cstheme="majorBidi"/>
                <w:lang w:val="sv-SE"/>
              </w:rPr>
            </w:pPr>
            <w:r w:rsidRPr="00F8434B">
              <w:rPr>
                <w:rFonts w:ascii="Times New Roman" w:hAnsi="Times New Roman" w:cs="Times New Roman"/>
              </w:rPr>
              <w:t xml:space="preserve">Demi Menjaga kemaslahatan dan Kepentingan Umum </w:t>
            </w:r>
          </w:p>
        </w:tc>
      </w:tr>
      <w:tr w:rsidR="00343B61" w:rsidRPr="00AF0135" w:rsidTr="00FD4007">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3</w:t>
            </w:r>
          </w:p>
        </w:tc>
        <w:tc>
          <w:tcPr>
            <w:tcW w:w="216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Talak Diluar Pengadilan </w:t>
            </w:r>
          </w:p>
          <w:p w:rsidR="00343B61" w:rsidRPr="00F8434B" w:rsidRDefault="00343B61" w:rsidP="00FD4007">
            <w:pPr>
              <w:autoSpaceDE w:val="0"/>
              <w:autoSpaceDN w:val="0"/>
              <w:adjustRightInd w:val="0"/>
              <w:spacing w:line="240" w:lineRule="auto"/>
              <w:jc w:val="both"/>
              <w:rPr>
                <w:rFonts w:asciiTheme="majorBidi" w:hAnsiTheme="majorBidi" w:cstheme="majorBidi"/>
                <w:lang w:val="sv-SE"/>
              </w:rPr>
            </w:pPr>
          </w:p>
        </w:tc>
        <w:tc>
          <w:tcPr>
            <w:tcW w:w="1980" w:type="dxa"/>
          </w:tcPr>
          <w:p w:rsidR="00343B61" w:rsidRPr="00F8434B" w:rsidRDefault="00343B61" w:rsidP="00FD4007">
            <w:pPr>
              <w:spacing w:line="240" w:lineRule="auto"/>
              <w:jc w:val="center"/>
              <w:rPr>
                <w:rFonts w:ascii="Times New Roman" w:hAnsi="Times New Roman" w:cs="Times New Roman"/>
                <w:lang w:val="sv-SE"/>
              </w:rPr>
            </w:pPr>
            <w:r w:rsidRPr="00F8434B">
              <w:rPr>
                <w:rFonts w:asciiTheme="majorBidi" w:hAnsiTheme="majorBidi" w:cstheme="majorBidi"/>
                <w:lang w:val="sv-SE"/>
              </w:rPr>
              <w:t>Tidak Relevan dgn Pembaruan HK</w:t>
            </w:r>
          </w:p>
        </w:tc>
        <w:tc>
          <w:tcPr>
            <w:tcW w:w="5040" w:type="dxa"/>
          </w:tcPr>
          <w:p w:rsidR="00343B61" w:rsidRDefault="00343B61" w:rsidP="00FD4007">
            <w:pPr>
              <w:spacing w:after="0" w:line="240" w:lineRule="auto"/>
              <w:jc w:val="both"/>
              <w:rPr>
                <w:rFonts w:asciiTheme="majorBidi" w:hAnsiTheme="majorBidi" w:cstheme="majorBidi"/>
                <w:lang w:val="sv-SE"/>
              </w:rPr>
            </w:pPr>
            <w:r w:rsidRPr="00F8434B">
              <w:rPr>
                <w:rFonts w:asciiTheme="majorBidi" w:hAnsiTheme="majorBidi" w:cstheme="majorBidi"/>
                <w:lang w:val="sv-SE"/>
              </w:rPr>
              <w:t>1.</w:t>
            </w:r>
            <w:r>
              <w:rPr>
                <w:rFonts w:asciiTheme="majorBidi" w:hAnsiTheme="majorBidi" w:cstheme="majorBidi"/>
                <w:lang w:val="sv-SE"/>
              </w:rPr>
              <w:t xml:space="preserve"> </w:t>
            </w:r>
            <w:r w:rsidRPr="00F8434B">
              <w:rPr>
                <w:rFonts w:asciiTheme="majorBidi" w:hAnsiTheme="majorBidi" w:cstheme="majorBidi"/>
                <w:lang w:val="sv-SE"/>
              </w:rPr>
              <w:t>Banyak hak-hak asasi istri yang terabaikan</w:t>
            </w:r>
            <w:r>
              <w:rPr>
                <w:rFonts w:asciiTheme="majorBidi" w:hAnsiTheme="majorBidi" w:cstheme="majorBidi"/>
                <w:lang w:val="sv-SE"/>
              </w:rPr>
              <w:t xml:space="preserve"> </w:t>
            </w:r>
            <w:r w:rsidRPr="00F8434B">
              <w:rPr>
                <w:rFonts w:asciiTheme="majorBidi" w:hAnsiTheme="majorBidi" w:cstheme="majorBidi"/>
                <w:lang w:val="sv-SE"/>
              </w:rPr>
              <w:t>diantaranya istri tidak bisa menuntut harta go</w:t>
            </w:r>
            <w:r>
              <w:rPr>
                <w:rFonts w:asciiTheme="majorBidi" w:hAnsiTheme="majorBidi" w:cstheme="majorBidi"/>
                <w:lang w:val="sv-SE"/>
              </w:rPr>
              <w:t>no gini seandainya suami mangkir</w:t>
            </w:r>
            <w:r w:rsidRPr="00F8434B">
              <w:rPr>
                <w:rFonts w:asciiTheme="majorBidi" w:hAnsiTheme="majorBidi" w:cstheme="majorBidi"/>
                <w:lang w:val="sv-SE"/>
              </w:rPr>
              <w:t xml:space="preserve">. </w:t>
            </w:r>
          </w:p>
          <w:p w:rsidR="00343B61" w:rsidRPr="00F8434B" w:rsidRDefault="00343B61" w:rsidP="00FD4007">
            <w:pPr>
              <w:spacing w:after="0" w:line="240" w:lineRule="auto"/>
              <w:jc w:val="both"/>
              <w:rPr>
                <w:rFonts w:asciiTheme="majorBidi" w:hAnsiTheme="majorBidi" w:cstheme="majorBidi"/>
                <w:lang w:val="sv-SE"/>
              </w:rPr>
            </w:pPr>
            <w:r w:rsidRPr="00F8434B">
              <w:rPr>
                <w:rFonts w:asciiTheme="majorBidi" w:hAnsiTheme="majorBidi" w:cstheme="majorBidi"/>
                <w:lang w:val="sv-SE"/>
              </w:rPr>
              <w:t>3. Bias gender</w:t>
            </w:r>
          </w:p>
          <w:p w:rsidR="00343B61" w:rsidRPr="00F8434B" w:rsidRDefault="00343B61" w:rsidP="00FD4007">
            <w:pPr>
              <w:autoSpaceDE w:val="0"/>
              <w:autoSpaceDN w:val="0"/>
              <w:adjustRightInd w:val="0"/>
              <w:spacing w:after="0" w:line="240" w:lineRule="auto"/>
              <w:jc w:val="both"/>
              <w:rPr>
                <w:rFonts w:asciiTheme="majorBidi" w:hAnsiTheme="majorBidi" w:cstheme="majorBidi"/>
                <w:color w:val="000000"/>
              </w:rPr>
            </w:pPr>
            <w:r w:rsidRPr="00F8434B">
              <w:rPr>
                <w:rFonts w:ascii="Times New Roman" w:hAnsi="Times New Roman" w:cs="Times New Roman"/>
                <w:lang w:val="sv-SE"/>
              </w:rPr>
              <w:t xml:space="preserve">4. Tidak sesuai </w:t>
            </w:r>
            <w:r>
              <w:rPr>
                <w:rFonts w:ascii="Times New Roman" w:hAnsi="Times New Roman" w:cs="Times New Roman"/>
                <w:lang w:val="sv-SE"/>
              </w:rPr>
              <w:t xml:space="preserve">dengan </w:t>
            </w:r>
            <w:r w:rsidRPr="00F8434B">
              <w:rPr>
                <w:rFonts w:ascii="Times New Roman" w:hAnsi="Times New Roman" w:cs="Times New Roman"/>
                <w:lang w:val="sv-SE"/>
              </w:rPr>
              <w:t>isi Pasal 39 ayat 1 UU</w:t>
            </w:r>
            <w:r>
              <w:rPr>
                <w:rFonts w:ascii="Times New Roman" w:hAnsi="Times New Roman" w:cs="Times New Roman"/>
                <w:lang w:val="sv-SE"/>
              </w:rPr>
              <w:t xml:space="preserve"> </w:t>
            </w:r>
            <w:r w:rsidRPr="00F8434B">
              <w:rPr>
                <w:rFonts w:ascii="Times New Roman" w:hAnsi="Times New Roman" w:cs="Times New Roman"/>
                <w:lang w:val="sv-SE"/>
              </w:rPr>
              <w:t>No 1 Tahun 1974 serta KHI Pasal</w:t>
            </w:r>
            <w:r w:rsidRPr="00F8434B">
              <w:rPr>
                <w:rFonts w:asciiTheme="majorBidi" w:hAnsiTheme="majorBidi" w:cstheme="majorBidi"/>
                <w:color w:val="000000"/>
              </w:rPr>
              <w:t xml:space="preserve"> 115</w:t>
            </w:r>
          </w:p>
          <w:p w:rsidR="00343B61" w:rsidRPr="00F8434B" w:rsidRDefault="00343B61" w:rsidP="00FD4007">
            <w:pPr>
              <w:autoSpaceDE w:val="0"/>
              <w:autoSpaceDN w:val="0"/>
              <w:adjustRightInd w:val="0"/>
              <w:spacing w:after="0" w:line="240" w:lineRule="auto"/>
              <w:jc w:val="both"/>
              <w:rPr>
                <w:rFonts w:asciiTheme="majorBidi" w:hAnsiTheme="majorBidi" w:cstheme="majorBidi"/>
                <w:color w:val="000000"/>
              </w:rPr>
            </w:pPr>
            <w:r w:rsidRPr="00F8434B">
              <w:rPr>
                <w:rFonts w:asciiTheme="majorBidi" w:hAnsiTheme="majorBidi" w:cstheme="majorBidi"/>
                <w:color w:val="000000"/>
              </w:rPr>
              <w:t xml:space="preserve">4. </w:t>
            </w:r>
            <w:r>
              <w:rPr>
                <w:rFonts w:asciiTheme="majorBidi" w:hAnsiTheme="majorBidi" w:cstheme="majorBidi"/>
                <w:color w:val="000000"/>
              </w:rPr>
              <w:t xml:space="preserve">Demi kemaslahtan, dan </w:t>
            </w:r>
            <w:r w:rsidRPr="00F8434B">
              <w:rPr>
                <w:rFonts w:asciiTheme="majorBidi" w:hAnsiTheme="majorBidi" w:cstheme="majorBidi"/>
                <w:color w:val="000000"/>
              </w:rPr>
              <w:t>untuk keseimbangan antara Nikah dan Talak sama-sama di dihadiri Saksi</w:t>
            </w:r>
          </w:p>
        </w:tc>
      </w:tr>
      <w:tr w:rsidR="00343B61" w:rsidRPr="00AF0135" w:rsidTr="00FD4007">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4</w:t>
            </w:r>
          </w:p>
        </w:tc>
        <w:tc>
          <w:tcPr>
            <w:tcW w:w="216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Waris Beda Agama </w:t>
            </w:r>
          </w:p>
          <w:p w:rsidR="00343B61" w:rsidRPr="00F8434B" w:rsidRDefault="00343B61" w:rsidP="00FD4007">
            <w:pPr>
              <w:spacing w:line="240" w:lineRule="auto"/>
              <w:jc w:val="both"/>
              <w:rPr>
                <w:rFonts w:asciiTheme="majorBidi" w:hAnsiTheme="majorBidi" w:cstheme="majorBidi"/>
                <w:lang w:val="sv-SE"/>
              </w:rPr>
            </w:pPr>
          </w:p>
        </w:tc>
        <w:tc>
          <w:tcPr>
            <w:tcW w:w="1980" w:type="dxa"/>
          </w:tcPr>
          <w:p w:rsidR="00343B61" w:rsidRPr="00F8434B" w:rsidRDefault="00343B61" w:rsidP="00FD4007">
            <w:pPr>
              <w:spacing w:line="240" w:lineRule="auto"/>
              <w:jc w:val="center"/>
              <w:rPr>
                <w:rFonts w:ascii="Times New Roman" w:hAnsi="Times New Roman" w:cs="Times New Roman"/>
                <w:lang w:val="sv-SE"/>
              </w:rPr>
            </w:pPr>
            <w:r w:rsidRPr="00F8434B">
              <w:rPr>
                <w:rFonts w:asciiTheme="majorBidi" w:hAnsiTheme="majorBidi" w:cstheme="majorBidi"/>
                <w:lang w:val="sv-SE"/>
              </w:rPr>
              <w:t>Relevan dgn Pembaruan HK</w:t>
            </w:r>
          </w:p>
        </w:tc>
        <w:tc>
          <w:tcPr>
            <w:tcW w:w="5040" w:type="dxa"/>
          </w:tcPr>
          <w:p w:rsidR="00343B61" w:rsidRPr="00F8434B" w:rsidRDefault="00343B61" w:rsidP="002C0A33">
            <w:pPr>
              <w:pStyle w:val="ListParagraph"/>
              <w:numPr>
                <w:ilvl w:val="0"/>
                <w:numId w:val="61"/>
              </w:numPr>
              <w:spacing w:after="0" w:line="240" w:lineRule="auto"/>
              <w:ind w:left="107" w:hanging="219"/>
              <w:jc w:val="both"/>
              <w:rPr>
                <w:rFonts w:asciiTheme="majorBidi" w:hAnsiTheme="majorBidi" w:cstheme="majorBidi"/>
                <w:lang w:val="sv-SE"/>
              </w:rPr>
            </w:pPr>
            <w:r w:rsidRPr="00F8434B">
              <w:rPr>
                <w:rFonts w:ascii="Times New Roman" w:hAnsi="Times New Roman" w:cs="Times New Roman"/>
              </w:rPr>
              <w:t>Indonesia Negara pluralis, banyak keluarga berbeda agama</w:t>
            </w:r>
          </w:p>
          <w:p w:rsidR="00343B61" w:rsidRPr="00F8434B" w:rsidRDefault="00343B61" w:rsidP="002C0A33">
            <w:pPr>
              <w:pStyle w:val="ListParagraph"/>
              <w:numPr>
                <w:ilvl w:val="0"/>
                <w:numId w:val="61"/>
              </w:numPr>
              <w:spacing w:after="0" w:line="240" w:lineRule="auto"/>
              <w:ind w:left="107" w:hanging="219"/>
              <w:jc w:val="both"/>
              <w:rPr>
                <w:rFonts w:asciiTheme="majorBidi" w:hAnsiTheme="majorBidi" w:cstheme="majorBidi"/>
                <w:lang w:val="sv-SE"/>
              </w:rPr>
            </w:pPr>
            <w:r w:rsidRPr="00F8434B">
              <w:rPr>
                <w:rFonts w:asciiTheme="majorBidi" w:hAnsiTheme="majorBidi" w:cstheme="majorBidi"/>
              </w:rPr>
              <w:t>tujuan hukum waris yaitu untuk melindungi harta dan saling mengasihi tolong-menolong (</w:t>
            </w:r>
            <w:r w:rsidRPr="00F8434B">
              <w:rPr>
                <w:rFonts w:asciiTheme="majorBidi" w:hAnsiTheme="majorBidi" w:cstheme="majorBidi"/>
                <w:i/>
                <w:iCs/>
              </w:rPr>
              <w:t>taāwun</w:t>
            </w:r>
            <w:r w:rsidRPr="00F8434B">
              <w:rPr>
                <w:rFonts w:asciiTheme="majorBidi" w:hAnsiTheme="majorBidi" w:cstheme="majorBidi"/>
              </w:rPr>
              <w:t>), dan saling meraih kemanfaatan bagi para kerabat</w:t>
            </w:r>
          </w:p>
          <w:p w:rsidR="00343B61" w:rsidRPr="00F8434B" w:rsidRDefault="00343B61" w:rsidP="002C0A33">
            <w:pPr>
              <w:pStyle w:val="ListParagraph"/>
              <w:numPr>
                <w:ilvl w:val="0"/>
                <w:numId w:val="61"/>
              </w:numPr>
              <w:spacing w:after="0" w:line="240" w:lineRule="auto"/>
              <w:ind w:left="107" w:hanging="219"/>
              <w:jc w:val="both"/>
              <w:rPr>
                <w:rFonts w:asciiTheme="majorBidi" w:hAnsiTheme="majorBidi" w:cstheme="majorBidi"/>
                <w:lang w:val="sv-SE"/>
              </w:rPr>
            </w:pPr>
            <w:r w:rsidRPr="00F8434B">
              <w:rPr>
                <w:rFonts w:ascii="Times New Roman" w:hAnsi="Times New Roman" w:cs="Times New Roman"/>
                <w:lang w:val="sv-SE"/>
              </w:rPr>
              <w:t xml:space="preserve">fatwa ini </w:t>
            </w:r>
            <w:r w:rsidRPr="00F8434B">
              <w:rPr>
                <w:rFonts w:asciiTheme="majorBidi" w:hAnsiTheme="majorBidi" w:cstheme="majorBidi"/>
              </w:rPr>
              <w:t xml:space="preserve">sejalan dengan </w:t>
            </w:r>
            <w:r w:rsidRPr="00F8434B">
              <w:rPr>
                <w:rFonts w:ascii="Times New Roman" w:hAnsi="Times New Roman" w:cs="Times New Roman"/>
                <w:lang w:val="sv-SE"/>
              </w:rPr>
              <w:t>Yurisprudensi</w:t>
            </w:r>
            <w:r w:rsidRPr="00F8434B">
              <w:rPr>
                <w:rFonts w:asciiTheme="majorBidi" w:hAnsiTheme="majorBidi" w:cstheme="majorBidi"/>
              </w:rPr>
              <w:t xml:space="preserve"> mahkamah Agung nomor 368 K/AG/1995</w:t>
            </w:r>
          </w:p>
        </w:tc>
      </w:tr>
      <w:tr w:rsidR="00343B61" w:rsidRPr="00AF0135" w:rsidTr="00FD4007">
        <w:trPr>
          <w:trHeight w:val="1358"/>
        </w:trPr>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lastRenderedPageBreak/>
              <w:t>5</w:t>
            </w:r>
          </w:p>
        </w:tc>
        <w:tc>
          <w:tcPr>
            <w:tcW w:w="2160" w:type="dxa"/>
          </w:tcPr>
          <w:p w:rsidR="00343B61" w:rsidRPr="00F8434B" w:rsidRDefault="00343B61" w:rsidP="00FD4007">
            <w:pPr>
              <w:tabs>
                <w:tab w:val="left" w:pos="1800"/>
              </w:tabs>
              <w:spacing w:line="240" w:lineRule="auto"/>
              <w:jc w:val="both"/>
              <w:rPr>
                <w:rFonts w:asciiTheme="majorBidi" w:hAnsiTheme="majorBidi" w:cstheme="majorBidi"/>
                <w:lang w:val="sv-SE"/>
              </w:rPr>
            </w:pPr>
            <w:r w:rsidRPr="00F8434B">
              <w:rPr>
                <w:rFonts w:asciiTheme="majorBidi" w:hAnsiTheme="majorBidi" w:cstheme="majorBidi"/>
                <w:lang w:val="sv-SE"/>
              </w:rPr>
              <w:t xml:space="preserve">Fatwa MUI Tentang Anak Luar Nikah </w:t>
            </w:r>
          </w:p>
        </w:tc>
        <w:tc>
          <w:tcPr>
            <w:tcW w:w="1980" w:type="dxa"/>
          </w:tcPr>
          <w:p w:rsidR="00343B61" w:rsidRPr="00F8434B" w:rsidRDefault="00343B61" w:rsidP="00FD4007">
            <w:pPr>
              <w:spacing w:line="240" w:lineRule="auto"/>
              <w:jc w:val="center"/>
              <w:rPr>
                <w:rFonts w:asciiTheme="majorBidi" w:hAnsiTheme="majorBidi" w:cstheme="majorBidi"/>
                <w:lang w:val="sv-SE"/>
              </w:rPr>
            </w:pPr>
            <w:r w:rsidRPr="00F8434B">
              <w:rPr>
                <w:rFonts w:asciiTheme="majorBidi" w:hAnsiTheme="majorBidi" w:cstheme="majorBidi"/>
                <w:lang w:val="sv-SE"/>
              </w:rPr>
              <w:t xml:space="preserve">Relevan dgn Pembaruan HK </w:t>
            </w:r>
          </w:p>
        </w:tc>
        <w:tc>
          <w:tcPr>
            <w:tcW w:w="5040" w:type="dxa"/>
          </w:tcPr>
          <w:p w:rsidR="00343B61" w:rsidRPr="00F8434B" w:rsidRDefault="00343B61" w:rsidP="002C0A33">
            <w:pPr>
              <w:pStyle w:val="ListParagraph"/>
              <w:numPr>
                <w:ilvl w:val="0"/>
                <w:numId w:val="62"/>
              </w:numPr>
              <w:spacing w:after="0" w:line="240" w:lineRule="auto"/>
              <w:ind w:left="162" w:hanging="180"/>
              <w:jc w:val="both"/>
              <w:rPr>
                <w:rFonts w:ascii="Times New Roman" w:hAnsi="Times New Roman" w:cs="Times New Roman"/>
              </w:rPr>
            </w:pPr>
            <w:r w:rsidRPr="00F8434B">
              <w:rPr>
                <w:rFonts w:asciiTheme="majorBidi" w:hAnsiTheme="majorBidi" w:cstheme="majorBidi"/>
                <w:lang w:val="sv-SE"/>
              </w:rPr>
              <w:t>Sejalan dengan UU  No 1 Tahun 1974 Pasal 43 yang menjelaskan status anak luar nikah</w:t>
            </w:r>
          </w:p>
          <w:p w:rsidR="00343B61" w:rsidRPr="00B22777" w:rsidRDefault="00343B61" w:rsidP="002C0A33">
            <w:pPr>
              <w:pStyle w:val="ListParagraph"/>
              <w:numPr>
                <w:ilvl w:val="0"/>
                <w:numId w:val="62"/>
              </w:numPr>
              <w:spacing w:after="0" w:line="240" w:lineRule="auto"/>
              <w:ind w:left="162" w:hanging="180"/>
              <w:jc w:val="both"/>
              <w:rPr>
                <w:rFonts w:ascii="Times New Roman" w:hAnsi="Times New Roman" w:cs="Times New Roman"/>
              </w:rPr>
            </w:pPr>
            <w:r w:rsidRPr="00F8434B">
              <w:rPr>
                <w:rFonts w:asciiTheme="majorBidi" w:hAnsiTheme="majorBidi" w:cstheme="majorBidi"/>
                <w:lang w:val="sv-SE"/>
              </w:rPr>
              <w:t>Sejalan dengan KHI pasal 99 dan 100  yang menjelaskan Anak yang sah</w:t>
            </w:r>
          </w:p>
          <w:p w:rsidR="00343B61" w:rsidRPr="00F8434B" w:rsidRDefault="00343B61" w:rsidP="002C0A33">
            <w:pPr>
              <w:pStyle w:val="ListParagraph"/>
              <w:numPr>
                <w:ilvl w:val="0"/>
                <w:numId w:val="62"/>
              </w:numPr>
              <w:spacing w:after="0" w:line="240" w:lineRule="auto"/>
              <w:ind w:left="162" w:hanging="180"/>
              <w:jc w:val="both"/>
              <w:rPr>
                <w:rFonts w:ascii="Times New Roman" w:hAnsi="Times New Roman" w:cs="Times New Roman"/>
              </w:rPr>
            </w:pPr>
            <w:r>
              <w:rPr>
                <w:rFonts w:asciiTheme="majorBidi" w:hAnsiTheme="majorBidi" w:cstheme="majorBidi"/>
                <w:lang w:val="sv-SE"/>
              </w:rPr>
              <w:t xml:space="preserve">Kemaslahatan menjaga salah satu </w:t>
            </w:r>
            <w:r w:rsidRPr="00B22777">
              <w:rPr>
                <w:rFonts w:asciiTheme="majorBidi" w:hAnsiTheme="majorBidi" w:cstheme="majorBidi"/>
                <w:i/>
                <w:iCs/>
                <w:lang w:val="sv-SE"/>
              </w:rPr>
              <w:t>maqashid syriah</w:t>
            </w:r>
            <w:r>
              <w:rPr>
                <w:rFonts w:asciiTheme="majorBidi" w:hAnsiTheme="majorBidi" w:cstheme="majorBidi"/>
                <w:lang w:val="sv-SE"/>
              </w:rPr>
              <w:t xml:space="preserve"> yaitu </w:t>
            </w:r>
            <w:r w:rsidRPr="00B22777">
              <w:rPr>
                <w:rFonts w:asciiTheme="majorBidi" w:hAnsiTheme="majorBidi" w:cstheme="majorBidi"/>
                <w:i/>
                <w:iCs/>
                <w:lang w:val="sv-SE"/>
              </w:rPr>
              <w:t>hifzh al-Nasb</w:t>
            </w:r>
          </w:p>
        </w:tc>
      </w:tr>
      <w:tr w:rsidR="00343B61" w:rsidRPr="00AF0135" w:rsidTr="00FD4007">
        <w:trPr>
          <w:trHeight w:val="1700"/>
        </w:trPr>
        <w:tc>
          <w:tcPr>
            <w:tcW w:w="450" w:type="dxa"/>
          </w:tcPr>
          <w:p w:rsidR="00343B61" w:rsidRPr="00F8434B" w:rsidRDefault="00343B61" w:rsidP="00FD4007">
            <w:pPr>
              <w:spacing w:line="240" w:lineRule="auto"/>
              <w:jc w:val="center"/>
              <w:rPr>
                <w:rFonts w:asciiTheme="majorBidi" w:hAnsiTheme="majorBidi" w:cstheme="majorBidi"/>
              </w:rPr>
            </w:pPr>
            <w:r w:rsidRPr="00F8434B">
              <w:rPr>
                <w:rFonts w:asciiTheme="majorBidi" w:hAnsiTheme="majorBidi" w:cstheme="majorBidi"/>
              </w:rPr>
              <w:t>6</w:t>
            </w:r>
          </w:p>
        </w:tc>
        <w:tc>
          <w:tcPr>
            <w:tcW w:w="2160" w:type="dxa"/>
          </w:tcPr>
          <w:p w:rsidR="00343B61" w:rsidRPr="00F8434B" w:rsidRDefault="00343B61" w:rsidP="00FD4007">
            <w:pPr>
              <w:tabs>
                <w:tab w:val="left" w:pos="1800"/>
              </w:tabs>
              <w:spacing w:after="0" w:line="240" w:lineRule="auto"/>
              <w:jc w:val="both"/>
              <w:rPr>
                <w:rFonts w:asciiTheme="majorBidi" w:hAnsiTheme="majorBidi" w:cstheme="majorBidi"/>
                <w:lang w:val="sv-SE"/>
              </w:rPr>
            </w:pPr>
            <w:r w:rsidRPr="00F8434B">
              <w:rPr>
                <w:rFonts w:asciiTheme="majorBidi" w:hAnsiTheme="majorBidi" w:cstheme="majorBidi"/>
                <w:lang w:val="sv-SE"/>
              </w:rPr>
              <w:t>Fatwa MUI Tentang Hak Pengasuhan Anak Bagi Orangtua Yang Bercerai Karena Berbeda Agama.</w:t>
            </w:r>
          </w:p>
          <w:p w:rsidR="00343B61" w:rsidRPr="00F8434B" w:rsidRDefault="00343B61" w:rsidP="00FD4007">
            <w:pPr>
              <w:tabs>
                <w:tab w:val="left" w:pos="1800"/>
              </w:tabs>
              <w:spacing w:line="240" w:lineRule="auto"/>
              <w:jc w:val="both"/>
              <w:rPr>
                <w:rFonts w:asciiTheme="majorBidi" w:hAnsiTheme="majorBidi" w:cstheme="majorBidi"/>
                <w:lang w:val="sv-SE"/>
              </w:rPr>
            </w:pPr>
          </w:p>
        </w:tc>
        <w:tc>
          <w:tcPr>
            <w:tcW w:w="1980" w:type="dxa"/>
          </w:tcPr>
          <w:p w:rsidR="00343B61" w:rsidRPr="00F8434B" w:rsidRDefault="00343B61" w:rsidP="00FD4007">
            <w:pPr>
              <w:spacing w:line="240" w:lineRule="auto"/>
              <w:jc w:val="center"/>
              <w:rPr>
                <w:rFonts w:asciiTheme="majorBidi" w:hAnsiTheme="majorBidi" w:cstheme="majorBidi"/>
                <w:lang w:val="sv-SE"/>
              </w:rPr>
            </w:pPr>
            <w:r w:rsidRPr="00F8434B">
              <w:rPr>
                <w:rFonts w:asciiTheme="majorBidi" w:hAnsiTheme="majorBidi" w:cstheme="majorBidi"/>
                <w:lang w:val="sv-SE"/>
              </w:rPr>
              <w:t>Relevan dgn Pembaruan HK</w:t>
            </w:r>
          </w:p>
        </w:tc>
        <w:tc>
          <w:tcPr>
            <w:tcW w:w="5040" w:type="dxa"/>
          </w:tcPr>
          <w:p w:rsidR="00343B61" w:rsidRPr="00F8434B" w:rsidRDefault="00343B61" w:rsidP="002C0A33">
            <w:pPr>
              <w:pStyle w:val="ListParagraph"/>
              <w:numPr>
                <w:ilvl w:val="0"/>
                <w:numId w:val="63"/>
              </w:numPr>
              <w:spacing w:after="0" w:line="240" w:lineRule="auto"/>
              <w:ind w:left="252" w:hanging="252"/>
              <w:jc w:val="both"/>
              <w:rPr>
                <w:rFonts w:asciiTheme="majorBidi" w:hAnsiTheme="majorBidi" w:cstheme="majorBidi"/>
                <w:lang w:val="sv-SE"/>
              </w:rPr>
            </w:pPr>
            <w:r w:rsidRPr="00F8434B">
              <w:rPr>
                <w:rFonts w:asciiTheme="majorBidi" w:hAnsiTheme="majorBidi" w:cstheme="majorBidi"/>
                <w:lang w:val="sv-SE"/>
              </w:rPr>
              <w:t>Pertimbangan Kemaslahatan</w:t>
            </w:r>
            <w:r>
              <w:rPr>
                <w:rFonts w:asciiTheme="majorBidi" w:hAnsiTheme="majorBidi" w:cstheme="majorBidi"/>
                <w:lang w:val="sv-SE"/>
              </w:rPr>
              <w:t xml:space="preserve"> yaitu </w:t>
            </w:r>
            <w:r w:rsidRPr="00B22777">
              <w:rPr>
                <w:rFonts w:asciiTheme="majorBidi" w:hAnsiTheme="majorBidi" w:cstheme="majorBidi"/>
                <w:i/>
                <w:iCs/>
                <w:lang w:val="sv-SE"/>
              </w:rPr>
              <w:t>hifzh al-Din</w:t>
            </w:r>
            <w:r>
              <w:rPr>
                <w:rFonts w:asciiTheme="majorBidi" w:hAnsiTheme="majorBidi" w:cstheme="majorBidi"/>
                <w:lang w:val="sv-SE"/>
              </w:rPr>
              <w:t xml:space="preserve"> dan </w:t>
            </w:r>
            <w:r w:rsidRPr="00B22777">
              <w:rPr>
                <w:rFonts w:asciiTheme="majorBidi" w:hAnsiTheme="majorBidi" w:cstheme="majorBidi"/>
                <w:i/>
                <w:iCs/>
                <w:lang w:val="sv-SE"/>
              </w:rPr>
              <w:t>hifzh al-Nasab</w:t>
            </w:r>
          </w:p>
          <w:p w:rsidR="00343B61" w:rsidRPr="00F8434B" w:rsidRDefault="00343B61" w:rsidP="002C0A33">
            <w:pPr>
              <w:pStyle w:val="ListParagraph"/>
              <w:numPr>
                <w:ilvl w:val="0"/>
                <w:numId w:val="63"/>
              </w:numPr>
              <w:spacing w:after="0" w:line="240" w:lineRule="auto"/>
              <w:ind w:left="252" w:hanging="252"/>
              <w:jc w:val="both"/>
              <w:rPr>
                <w:rFonts w:asciiTheme="majorBidi" w:hAnsiTheme="majorBidi" w:cstheme="majorBidi"/>
                <w:lang w:val="sv-SE"/>
              </w:rPr>
            </w:pPr>
            <w:r w:rsidRPr="00F8434B">
              <w:rPr>
                <w:rFonts w:ascii="Times New Roman" w:hAnsi="Times New Roman" w:cs="Times New Roman"/>
              </w:rPr>
              <w:t xml:space="preserve">Sesuai dengan </w:t>
            </w:r>
            <w:r w:rsidRPr="00F8434B">
              <w:rPr>
                <w:rFonts w:ascii="Times New Roman" w:hAnsi="Times New Roman" w:cs="Times New Roman"/>
                <w:lang w:val="sv-SE"/>
              </w:rPr>
              <w:t>Yurisprudensi M</w:t>
            </w:r>
            <w:r>
              <w:rPr>
                <w:rFonts w:ascii="Times New Roman" w:hAnsi="Times New Roman" w:cs="Times New Roman"/>
                <w:lang w:val="sv-SE"/>
              </w:rPr>
              <w:t xml:space="preserve">ahkamah </w:t>
            </w:r>
            <w:r w:rsidRPr="00F8434B">
              <w:rPr>
                <w:rFonts w:ascii="Times New Roman" w:hAnsi="Times New Roman" w:cs="Times New Roman"/>
                <w:lang w:val="sv-SE"/>
              </w:rPr>
              <w:t>A</w:t>
            </w:r>
            <w:r>
              <w:rPr>
                <w:rFonts w:ascii="Times New Roman" w:hAnsi="Times New Roman" w:cs="Times New Roman"/>
                <w:lang w:val="sv-SE"/>
              </w:rPr>
              <w:t xml:space="preserve">gung </w:t>
            </w:r>
            <w:r w:rsidRPr="00F8434B">
              <w:rPr>
                <w:rFonts w:ascii="Times New Roman" w:hAnsi="Times New Roman" w:cs="Times New Roman"/>
                <w:lang w:val="sv-SE"/>
              </w:rPr>
              <w:t>RI. No.: 210/K/AG/1996</w:t>
            </w:r>
          </w:p>
          <w:p w:rsidR="00343B61" w:rsidRPr="00F8434B" w:rsidRDefault="00343B61" w:rsidP="002C0A33">
            <w:pPr>
              <w:pStyle w:val="ListParagraph"/>
              <w:numPr>
                <w:ilvl w:val="0"/>
                <w:numId w:val="63"/>
              </w:numPr>
              <w:spacing w:after="0" w:line="240" w:lineRule="auto"/>
              <w:ind w:left="252" w:hanging="252"/>
              <w:jc w:val="both"/>
              <w:rPr>
                <w:rFonts w:asciiTheme="majorBidi" w:hAnsiTheme="majorBidi" w:cstheme="majorBidi"/>
                <w:lang w:val="sv-SE"/>
              </w:rPr>
            </w:pPr>
            <w:r w:rsidRPr="00F8434B">
              <w:rPr>
                <w:rFonts w:asciiTheme="majorBidi" w:hAnsiTheme="majorBidi" w:cstheme="majorBidi"/>
                <w:lang w:val="sv-SE"/>
              </w:rPr>
              <w:t xml:space="preserve">Sejalan dengan </w:t>
            </w:r>
            <w:hyperlink r:id="rId10" w:history="1">
              <w:r w:rsidRPr="00F8434B">
                <w:rPr>
                  <w:rFonts w:asciiTheme="majorBidi" w:hAnsiTheme="majorBidi" w:cstheme="majorBidi"/>
                  <w:lang w:val="sv-SE"/>
                </w:rPr>
                <w:t>UU No. 23 Tahun 2002 tentang Perlindungan Anak</w:t>
              </w:r>
            </w:hyperlink>
            <w:r w:rsidRPr="00F8434B">
              <w:rPr>
                <w:rFonts w:asciiTheme="majorBidi" w:hAnsiTheme="majorBidi" w:cstheme="majorBidi"/>
                <w:lang w:val="sv-SE"/>
              </w:rPr>
              <w:t xml:space="preserve"> Pasal 1 angka 11</w:t>
            </w:r>
          </w:p>
          <w:p w:rsidR="00343B61" w:rsidRPr="00F8434B" w:rsidRDefault="00343B61" w:rsidP="002C0A33">
            <w:pPr>
              <w:pStyle w:val="ListParagraph"/>
              <w:numPr>
                <w:ilvl w:val="0"/>
                <w:numId w:val="63"/>
              </w:numPr>
              <w:spacing w:after="0" w:line="240" w:lineRule="auto"/>
              <w:ind w:left="252" w:hanging="252"/>
              <w:jc w:val="both"/>
              <w:rPr>
                <w:rFonts w:asciiTheme="majorBidi" w:hAnsiTheme="majorBidi" w:cstheme="majorBidi"/>
                <w:lang w:val="sv-SE"/>
              </w:rPr>
            </w:pPr>
            <w:r w:rsidRPr="00F8434B">
              <w:rPr>
                <w:rFonts w:asciiTheme="majorBidi" w:hAnsiTheme="majorBidi" w:cstheme="majorBidi"/>
                <w:lang w:val="sv-SE"/>
              </w:rPr>
              <w:t xml:space="preserve">Sejalan dengan bunyi </w:t>
            </w:r>
            <w:r w:rsidRPr="00F8434B">
              <w:rPr>
                <w:rFonts w:ascii="Times New Roman" w:hAnsi="Times New Roman" w:cs="Times New Roman"/>
                <w:lang w:val="sv-SE"/>
              </w:rPr>
              <w:t>Pasal 105 KHI</w:t>
            </w:r>
          </w:p>
        </w:tc>
      </w:tr>
    </w:tbl>
    <w:p w:rsidR="00343B61" w:rsidRDefault="00343B61" w:rsidP="00343B61">
      <w:pPr>
        <w:spacing w:line="360" w:lineRule="auto"/>
        <w:jc w:val="both"/>
        <w:rPr>
          <w:rFonts w:asciiTheme="majorBidi" w:hAnsiTheme="majorBidi" w:cstheme="majorBidi"/>
          <w:lang w:val="sv-SE"/>
        </w:rPr>
      </w:pPr>
    </w:p>
    <w:p w:rsidR="00343B61" w:rsidRDefault="00343B61" w:rsidP="00343B61">
      <w:pPr>
        <w:spacing w:line="360" w:lineRule="auto"/>
        <w:ind w:firstLine="720"/>
        <w:rPr>
          <w:rFonts w:asciiTheme="majorBidi" w:hAnsiTheme="majorBidi" w:cstheme="majorBidi"/>
          <w:lang w:val="sv-SE"/>
        </w:rPr>
      </w:pPr>
      <w:r>
        <w:rPr>
          <w:rFonts w:asciiTheme="majorBidi" w:hAnsiTheme="majorBidi" w:cstheme="majorBidi"/>
          <w:lang w:val="sv-SE"/>
        </w:rPr>
        <w:t>Tabel Pembaruan Hukum Keluarga Dalam Fatwa MUI</w:t>
      </w:r>
    </w:p>
    <w:tbl>
      <w:tblPr>
        <w:tblStyle w:val="TableGrid"/>
        <w:tblW w:w="9630" w:type="dxa"/>
        <w:tblInd w:w="-702" w:type="dxa"/>
        <w:tblLook w:val="04A0"/>
      </w:tblPr>
      <w:tblGrid>
        <w:gridCol w:w="485"/>
        <w:gridCol w:w="3676"/>
        <w:gridCol w:w="5469"/>
      </w:tblGrid>
      <w:tr w:rsid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No</w:t>
            </w:r>
          </w:p>
        </w:tc>
        <w:tc>
          <w:tcPr>
            <w:tcW w:w="369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Nama Fatwa</w:t>
            </w:r>
          </w:p>
        </w:tc>
        <w:tc>
          <w:tcPr>
            <w:tcW w:w="549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Pembaruan Hukum Keluarga Dalam Fatwa MUI</w:t>
            </w:r>
          </w:p>
        </w:tc>
      </w:tr>
      <w:tr w:rsidR="00343B61" w:rsidRP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1</w:t>
            </w:r>
          </w:p>
        </w:tc>
        <w:tc>
          <w:tcPr>
            <w:tcW w:w="369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Perkawinan Beda Agama </w:t>
            </w:r>
          </w:p>
          <w:p w:rsidR="00343B61" w:rsidRDefault="00343B61" w:rsidP="00FD4007">
            <w:pPr>
              <w:spacing w:line="360" w:lineRule="auto"/>
              <w:jc w:val="center"/>
              <w:rPr>
                <w:rFonts w:asciiTheme="majorBidi" w:hAnsiTheme="majorBidi" w:cstheme="majorBidi"/>
                <w:lang w:val="sv-SE"/>
              </w:rPr>
            </w:pPr>
          </w:p>
        </w:tc>
        <w:tc>
          <w:tcPr>
            <w:tcW w:w="5490" w:type="dxa"/>
          </w:tcPr>
          <w:p w:rsidR="00343B61" w:rsidRDefault="00343B61" w:rsidP="00FD4007">
            <w:pPr>
              <w:jc w:val="both"/>
              <w:rPr>
                <w:rFonts w:asciiTheme="majorBidi" w:hAnsiTheme="majorBidi" w:cstheme="majorBidi"/>
                <w:lang w:val="sv-SE"/>
              </w:rPr>
            </w:pPr>
            <w:r>
              <w:rPr>
                <w:rFonts w:asciiTheme="majorBidi" w:hAnsiTheme="majorBidi" w:cstheme="majorBidi"/>
                <w:lang w:val="sv-SE"/>
              </w:rPr>
              <w:t>MUI telah melakukan pembaruan Hukum Keluarga dalam Fatwanya, yaitu mengharamkan perkawinan Beda Agama secara mutlak, sekalipun antara laki-laki muslim dengan wanita ahli kitab.</w:t>
            </w:r>
          </w:p>
        </w:tc>
      </w:tr>
      <w:tr w:rsid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2</w:t>
            </w:r>
          </w:p>
        </w:tc>
        <w:tc>
          <w:tcPr>
            <w:tcW w:w="3690" w:type="dxa"/>
          </w:tcPr>
          <w:p w:rsidR="00343B61" w:rsidRPr="00F8434B" w:rsidRDefault="00343B61" w:rsidP="00FD4007">
            <w:pPr>
              <w:autoSpaceDE w:val="0"/>
              <w:autoSpaceDN w:val="0"/>
              <w:adjustRightInd w:val="0"/>
              <w:spacing w:line="240" w:lineRule="auto"/>
              <w:jc w:val="both"/>
              <w:rPr>
                <w:rFonts w:asciiTheme="majorBidi" w:hAnsiTheme="majorBidi" w:cstheme="majorBidi"/>
              </w:rPr>
            </w:pPr>
            <w:r w:rsidRPr="00F8434B">
              <w:rPr>
                <w:rFonts w:asciiTheme="majorBidi" w:hAnsiTheme="majorBidi" w:cstheme="majorBidi"/>
                <w:lang w:val="sv-SE"/>
              </w:rPr>
              <w:t xml:space="preserve">Fatwa Nikah Di Bawah Tangan </w:t>
            </w:r>
          </w:p>
          <w:p w:rsidR="00343B61" w:rsidRPr="00F8434B" w:rsidRDefault="00343B61" w:rsidP="00FD4007">
            <w:pPr>
              <w:spacing w:line="240" w:lineRule="auto"/>
              <w:jc w:val="both"/>
              <w:rPr>
                <w:rFonts w:asciiTheme="majorBidi" w:hAnsiTheme="majorBidi" w:cstheme="majorBidi"/>
                <w:lang w:val="sv-SE"/>
              </w:rPr>
            </w:pPr>
          </w:p>
        </w:tc>
        <w:tc>
          <w:tcPr>
            <w:tcW w:w="5490" w:type="dxa"/>
          </w:tcPr>
          <w:p w:rsidR="00343B61" w:rsidRDefault="00343B61" w:rsidP="00FD4007">
            <w:pPr>
              <w:jc w:val="both"/>
              <w:rPr>
                <w:rFonts w:asciiTheme="majorBidi" w:hAnsiTheme="majorBidi" w:cstheme="majorBidi"/>
                <w:lang w:val="sv-SE"/>
              </w:rPr>
            </w:pPr>
            <w:r>
              <w:rPr>
                <w:rFonts w:asciiTheme="majorBidi" w:hAnsiTheme="majorBidi" w:cstheme="majorBidi"/>
                <w:lang w:val="sv-SE"/>
              </w:rPr>
              <w:t xml:space="preserve">Pembaruan Hukum Keluarga pada fatwa ini terdapat pada poin kedua, yaitu keharusan mencatatkan perkawinan pada lembaga resmi. Adapun poin pertama dari fatwa tersebut, MUI tidak melakukan pembaruan. </w:t>
            </w:r>
          </w:p>
        </w:tc>
      </w:tr>
      <w:tr w:rsidR="00343B61" w:rsidRP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3</w:t>
            </w:r>
          </w:p>
        </w:tc>
        <w:tc>
          <w:tcPr>
            <w:tcW w:w="369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Talak Diluar Pengadilan </w:t>
            </w:r>
          </w:p>
          <w:p w:rsidR="00343B61" w:rsidRPr="00F8434B" w:rsidRDefault="00343B61" w:rsidP="00FD4007">
            <w:pPr>
              <w:autoSpaceDE w:val="0"/>
              <w:autoSpaceDN w:val="0"/>
              <w:adjustRightInd w:val="0"/>
              <w:spacing w:line="240" w:lineRule="auto"/>
              <w:jc w:val="both"/>
              <w:rPr>
                <w:rFonts w:asciiTheme="majorBidi" w:hAnsiTheme="majorBidi" w:cstheme="majorBidi"/>
                <w:lang w:val="sv-SE"/>
              </w:rPr>
            </w:pPr>
          </w:p>
        </w:tc>
        <w:tc>
          <w:tcPr>
            <w:tcW w:w="5490" w:type="dxa"/>
          </w:tcPr>
          <w:p w:rsidR="00343B61" w:rsidRDefault="00343B61" w:rsidP="00FD4007">
            <w:pPr>
              <w:jc w:val="both"/>
              <w:rPr>
                <w:rFonts w:asciiTheme="majorBidi" w:hAnsiTheme="majorBidi" w:cstheme="majorBidi"/>
                <w:lang w:val="sv-SE"/>
              </w:rPr>
            </w:pPr>
            <w:r>
              <w:rPr>
                <w:rFonts w:asciiTheme="majorBidi" w:hAnsiTheme="majorBidi" w:cstheme="majorBidi"/>
                <w:lang w:val="sv-SE"/>
              </w:rPr>
              <w:t xml:space="preserve">MUI tidak melakukan pembaruan hukum dalam fatwa ini, karena MUI lebih memilih pendapat fiqh tradisional yang memahami ayat al-Quran yang menyuruh menghadirkan saksi saat perceraian adalah sunat, sehingga talak tanpa saksi adalah sah. </w:t>
            </w:r>
          </w:p>
        </w:tc>
      </w:tr>
      <w:tr w:rsid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4</w:t>
            </w:r>
          </w:p>
        </w:tc>
        <w:tc>
          <w:tcPr>
            <w:tcW w:w="3690" w:type="dxa"/>
          </w:tcPr>
          <w:p w:rsidR="00343B61" w:rsidRPr="00F8434B" w:rsidRDefault="00343B61" w:rsidP="00FD4007">
            <w:pPr>
              <w:spacing w:line="240" w:lineRule="auto"/>
              <w:jc w:val="both"/>
              <w:rPr>
                <w:rFonts w:ascii="Times New Roman" w:hAnsi="Times New Roman" w:cs="Times New Roman"/>
              </w:rPr>
            </w:pPr>
            <w:r w:rsidRPr="00F8434B">
              <w:rPr>
                <w:rFonts w:asciiTheme="majorBidi" w:hAnsiTheme="majorBidi" w:cstheme="majorBidi"/>
                <w:lang w:val="sv-SE"/>
              </w:rPr>
              <w:t xml:space="preserve">Fatwa Waris Beda Agama </w:t>
            </w:r>
          </w:p>
          <w:p w:rsidR="00343B61" w:rsidRPr="00F8434B" w:rsidRDefault="00343B61" w:rsidP="00FD4007">
            <w:pPr>
              <w:spacing w:line="240" w:lineRule="auto"/>
              <w:jc w:val="both"/>
              <w:rPr>
                <w:rFonts w:asciiTheme="majorBidi" w:hAnsiTheme="majorBidi" w:cstheme="majorBidi"/>
                <w:lang w:val="sv-SE"/>
              </w:rPr>
            </w:pPr>
          </w:p>
        </w:tc>
        <w:tc>
          <w:tcPr>
            <w:tcW w:w="5490" w:type="dxa"/>
          </w:tcPr>
          <w:p w:rsidR="00343B61" w:rsidRDefault="00343B61" w:rsidP="00FD4007">
            <w:pPr>
              <w:jc w:val="both"/>
              <w:rPr>
                <w:rFonts w:asciiTheme="majorBidi" w:hAnsiTheme="majorBidi" w:cstheme="majorBidi"/>
                <w:lang w:val="sv-SE"/>
              </w:rPr>
            </w:pPr>
            <w:r>
              <w:rPr>
                <w:rFonts w:asciiTheme="majorBidi" w:hAnsiTheme="majorBidi" w:cstheme="majorBidi"/>
                <w:lang w:val="sv-SE"/>
              </w:rPr>
              <w:t>MUI telah melakukan pembaruan dalam fatwanya, yaitu dari semula ahli waris non muslim tidak berhak mendapat harta warisan karena berbeda agama, menuju pemberian harta bagi ahli waris non Muslim dengan jalan wasiat, hibah ataupun hadiah.</w:t>
            </w:r>
          </w:p>
        </w:tc>
      </w:tr>
      <w:tr w:rsidR="00343B61" w:rsidRP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t>5</w:t>
            </w:r>
          </w:p>
        </w:tc>
        <w:tc>
          <w:tcPr>
            <w:tcW w:w="3690" w:type="dxa"/>
          </w:tcPr>
          <w:p w:rsidR="00343B61" w:rsidRPr="00F8434B" w:rsidRDefault="00343B61" w:rsidP="00FD4007">
            <w:pPr>
              <w:spacing w:line="240" w:lineRule="auto"/>
              <w:jc w:val="both"/>
              <w:rPr>
                <w:rFonts w:asciiTheme="majorBidi" w:hAnsiTheme="majorBidi" w:cstheme="majorBidi"/>
                <w:lang w:val="sv-SE"/>
              </w:rPr>
            </w:pPr>
            <w:r w:rsidRPr="00F8434B">
              <w:rPr>
                <w:rFonts w:asciiTheme="majorBidi" w:hAnsiTheme="majorBidi" w:cstheme="majorBidi"/>
                <w:lang w:val="sv-SE"/>
              </w:rPr>
              <w:t>Fatwa MUI Tentang Anak Luar Nikah</w:t>
            </w:r>
          </w:p>
        </w:tc>
        <w:tc>
          <w:tcPr>
            <w:tcW w:w="5490" w:type="dxa"/>
          </w:tcPr>
          <w:p w:rsidR="00343B61" w:rsidRPr="002E2AE4" w:rsidRDefault="00343B61" w:rsidP="00FD4007">
            <w:pPr>
              <w:jc w:val="both"/>
              <w:rPr>
                <w:rFonts w:asciiTheme="majorBidi" w:hAnsiTheme="majorBidi" w:cstheme="majorBidi"/>
                <w:lang w:val="sv-SE"/>
              </w:rPr>
            </w:pPr>
            <w:r w:rsidRPr="002E2AE4">
              <w:rPr>
                <w:rFonts w:asciiTheme="majorBidi" w:hAnsiTheme="majorBidi" w:cstheme="majorBidi"/>
                <w:lang w:val="sv-SE"/>
              </w:rPr>
              <w:t xml:space="preserve">MUI telah melakukan pembaruan Hukum Keluarga dalam fatwanya, yaitu dengan meneguhkan perlindungan terhadap anak. Salah satunya, dengan mewajibkan lelaki yang mengakibatkan kelahiran anak untuk memenuhi kebutuhan anak, diantaranya dengan memberikan sejumlah </w:t>
            </w:r>
            <w:r w:rsidRPr="002E2AE4">
              <w:rPr>
                <w:rFonts w:asciiTheme="majorBidi" w:hAnsiTheme="majorBidi" w:cstheme="majorBidi"/>
                <w:lang w:val="sv-SE"/>
              </w:rPr>
              <w:lastRenderedPageBreak/>
              <w:t>harta melalui wasiat wajibah saat ia meninggal dunia</w:t>
            </w:r>
          </w:p>
          <w:p w:rsidR="00343B61" w:rsidRPr="002E2AE4" w:rsidRDefault="00343B61" w:rsidP="00FD4007">
            <w:pPr>
              <w:jc w:val="both"/>
              <w:rPr>
                <w:lang w:val="sv-SE"/>
              </w:rPr>
            </w:pPr>
            <w:r w:rsidRPr="002E2AE4">
              <w:rPr>
                <w:rFonts w:asciiTheme="majorBidi" w:hAnsiTheme="majorBidi" w:cstheme="majorBidi"/>
                <w:lang w:val="sv-SE"/>
              </w:rPr>
              <w:t>Hal pembaruan hukum keluarga lainnya dari fatwa ini adalah ketika MUI merekomendasikan kepada pemerintah untuk menyusun draft hukum yang mengatur perzinahan dan perselingkuhan sebagai sebuah kejahatan umum yang diancam dengan hukuman yang berat.</w:t>
            </w:r>
          </w:p>
        </w:tc>
      </w:tr>
      <w:tr w:rsidR="00343B61" w:rsidRPr="00343B61" w:rsidTr="00FD4007">
        <w:tc>
          <w:tcPr>
            <w:tcW w:w="450" w:type="dxa"/>
          </w:tcPr>
          <w:p w:rsidR="00343B61" w:rsidRDefault="00343B61" w:rsidP="00FD4007">
            <w:pPr>
              <w:spacing w:line="360" w:lineRule="auto"/>
              <w:jc w:val="center"/>
              <w:rPr>
                <w:rFonts w:asciiTheme="majorBidi" w:hAnsiTheme="majorBidi" w:cstheme="majorBidi"/>
                <w:lang w:val="sv-SE"/>
              </w:rPr>
            </w:pPr>
            <w:r>
              <w:rPr>
                <w:rFonts w:asciiTheme="majorBidi" w:hAnsiTheme="majorBidi" w:cstheme="majorBidi"/>
                <w:lang w:val="sv-SE"/>
              </w:rPr>
              <w:lastRenderedPageBreak/>
              <w:t>6</w:t>
            </w:r>
          </w:p>
        </w:tc>
        <w:tc>
          <w:tcPr>
            <w:tcW w:w="3690" w:type="dxa"/>
          </w:tcPr>
          <w:p w:rsidR="00343B61" w:rsidRPr="00F8434B" w:rsidRDefault="00343B61" w:rsidP="00FD4007">
            <w:pPr>
              <w:tabs>
                <w:tab w:val="left" w:pos="1800"/>
              </w:tabs>
              <w:spacing w:after="0" w:line="240" w:lineRule="auto"/>
              <w:jc w:val="both"/>
              <w:rPr>
                <w:rFonts w:asciiTheme="majorBidi" w:hAnsiTheme="majorBidi" w:cstheme="majorBidi"/>
                <w:lang w:val="sv-SE"/>
              </w:rPr>
            </w:pPr>
            <w:r w:rsidRPr="00F8434B">
              <w:rPr>
                <w:rFonts w:asciiTheme="majorBidi" w:hAnsiTheme="majorBidi" w:cstheme="majorBidi"/>
                <w:lang w:val="sv-SE"/>
              </w:rPr>
              <w:t>Fatwa MUI Tentang Hak Pengasuhan Anak Bagi Orangtua Yang Bercerai Karena Berbeda Agama.</w:t>
            </w:r>
          </w:p>
          <w:p w:rsidR="00343B61" w:rsidRPr="00F8434B" w:rsidRDefault="00343B61" w:rsidP="00FD4007">
            <w:pPr>
              <w:spacing w:line="240" w:lineRule="auto"/>
              <w:jc w:val="both"/>
              <w:rPr>
                <w:rFonts w:asciiTheme="majorBidi" w:hAnsiTheme="majorBidi" w:cstheme="majorBidi"/>
                <w:lang w:val="sv-SE"/>
              </w:rPr>
            </w:pPr>
          </w:p>
        </w:tc>
        <w:tc>
          <w:tcPr>
            <w:tcW w:w="5490" w:type="dxa"/>
          </w:tcPr>
          <w:p w:rsidR="00343B61" w:rsidRDefault="00343B61" w:rsidP="00FD4007">
            <w:pPr>
              <w:pStyle w:val="ListParagraph"/>
              <w:autoSpaceDE w:val="0"/>
              <w:autoSpaceDN w:val="0"/>
              <w:adjustRightInd w:val="0"/>
              <w:spacing w:after="0" w:line="240" w:lineRule="auto"/>
              <w:ind w:left="0"/>
              <w:jc w:val="both"/>
              <w:rPr>
                <w:rFonts w:ascii="Times New Roman" w:hAnsi="Times New Roman" w:cs="Times New Roman"/>
                <w:lang w:val="sv-SE"/>
              </w:rPr>
            </w:pPr>
            <w:r w:rsidRPr="00B515DB">
              <w:rPr>
                <w:rFonts w:ascii="Times New Roman" w:hAnsi="Times New Roman" w:cs="Times New Roman"/>
                <w:lang w:val="sv-SE"/>
              </w:rPr>
              <w:t>Pembaruan hukum keluarga dalam fatwa ini yaitu yang menjadikan agama sebagai salah satu faktor penentu seorang orang tua bisa mendapatkan hak mengasuh anaknya. Hal ini sesuai dengan Yurisprudensi Mahkamah Agung RI. No.: 210/K/AG/1996. yang mengandung abstraksi hukum bahwa agama merupakan syarat untuk menentukan gugur tidaknya hak seorang ibu atas pemeliharaan dan pengasuhan (</w:t>
            </w:r>
            <w:r w:rsidRPr="00B515DB">
              <w:rPr>
                <w:rFonts w:ascii="Times New Roman" w:hAnsi="Times New Roman" w:cs="Times New Roman"/>
                <w:i/>
                <w:iCs/>
                <w:lang w:val="sv-SE"/>
              </w:rPr>
              <w:t>hadhanah</w:t>
            </w:r>
            <w:r w:rsidRPr="00B515DB">
              <w:rPr>
                <w:rFonts w:ascii="Times New Roman" w:hAnsi="Times New Roman" w:cs="Times New Roman"/>
                <w:lang w:val="sv-SE"/>
              </w:rPr>
              <w:t xml:space="preserve">) terhadap anaknya yang belum </w:t>
            </w:r>
            <w:r w:rsidRPr="00B515DB">
              <w:rPr>
                <w:rFonts w:ascii="Times New Roman" w:hAnsi="Times New Roman" w:cs="Times New Roman"/>
                <w:i/>
                <w:iCs/>
                <w:lang w:val="sv-SE"/>
              </w:rPr>
              <w:t>mumayyiz</w:t>
            </w:r>
            <w:r w:rsidRPr="00B515DB">
              <w:rPr>
                <w:rFonts w:ascii="Times New Roman" w:hAnsi="Times New Roman" w:cs="Times New Roman"/>
                <w:lang w:val="sv-SE"/>
              </w:rPr>
              <w:t>.</w:t>
            </w:r>
          </w:p>
          <w:p w:rsidR="00343B61" w:rsidRPr="00B515DB" w:rsidRDefault="00343B61" w:rsidP="00FD4007">
            <w:pPr>
              <w:pStyle w:val="ListParagraph"/>
              <w:autoSpaceDE w:val="0"/>
              <w:autoSpaceDN w:val="0"/>
              <w:adjustRightInd w:val="0"/>
              <w:spacing w:after="0" w:line="240" w:lineRule="auto"/>
              <w:ind w:left="0"/>
              <w:jc w:val="both"/>
              <w:rPr>
                <w:rFonts w:ascii="Times New Roman" w:hAnsi="Times New Roman" w:cs="Times New Roman"/>
                <w:lang w:val="sv-SE"/>
              </w:rPr>
            </w:pPr>
          </w:p>
          <w:p w:rsidR="00343B61" w:rsidRDefault="00343B61" w:rsidP="00FD4007">
            <w:pPr>
              <w:spacing w:line="240" w:lineRule="auto"/>
              <w:jc w:val="both"/>
              <w:rPr>
                <w:rFonts w:asciiTheme="majorBidi" w:hAnsiTheme="majorBidi" w:cstheme="majorBidi"/>
                <w:lang w:val="sv-SE"/>
              </w:rPr>
            </w:pPr>
            <w:r>
              <w:rPr>
                <w:rFonts w:asciiTheme="majorBidi" w:hAnsiTheme="majorBidi" w:cstheme="majorBidi"/>
                <w:lang w:val="sv-SE"/>
              </w:rPr>
              <w:t xml:space="preserve">juga sejalan dengan </w:t>
            </w:r>
            <w:r w:rsidRPr="00AA1F36">
              <w:rPr>
                <w:rFonts w:asciiTheme="majorBidi" w:hAnsiTheme="majorBidi" w:cstheme="majorBidi"/>
                <w:lang w:val="sv-SE"/>
              </w:rPr>
              <w:t xml:space="preserve">dengan </w:t>
            </w:r>
            <w:hyperlink r:id="rId11" w:history="1">
              <w:r w:rsidRPr="00AA1F36">
                <w:rPr>
                  <w:rFonts w:asciiTheme="majorBidi" w:hAnsiTheme="majorBidi" w:cstheme="majorBidi"/>
                  <w:lang w:val="sv-SE"/>
                </w:rPr>
                <w:t>Undang-Undang No. 23 Tahun 2002 tentang Perlindungan Anak</w:t>
              </w:r>
            </w:hyperlink>
            <w:r w:rsidRPr="00AA1F36">
              <w:rPr>
                <w:rFonts w:asciiTheme="majorBidi" w:hAnsiTheme="majorBidi" w:cstheme="majorBidi"/>
                <w:lang w:val="sv-SE"/>
              </w:rPr>
              <w:t xml:space="preserve"> Pasal 1 angka 11 yang menyatakan bahwa kuasa asuh adalah keku</w:t>
            </w:r>
            <w:r>
              <w:rPr>
                <w:rFonts w:asciiTheme="majorBidi" w:hAnsiTheme="majorBidi" w:cstheme="majorBidi"/>
                <w:lang w:val="sv-SE"/>
              </w:rPr>
              <w:t xml:space="preserve">asaan orang tua untuk mengasuh, </w:t>
            </w:r>
            <w:r w:rsidRPr="00AA1F36">
              <w:rPr>
                <w:rFonts w:asciiTheme="majorBidi" w:hAnsiTheme="majorBidi" w:cstheme="majorBidi"/>
                <w:lang w:val="sv-SE"/>
              </w:rPr>
              <w:t>mendidik, memelihara, membina, melindungi, dan menumbuh</w:t>
            </w:r>
            <w:r>
              <w:rPr>
                <w:rFonts w:asciiTheme="majorBidi" w:hAnsiTheme="majorBidi" w:cstheme="majorBidi"/>
                <w:lang w:val="sv-SE"/>
              </w:rPr>
              <w:t xml:space="preserve"> </w:t>
            </w:r>
            <w:r w:rsidRPr="00AA1F36">
              <w:rPr>
                <w:rFonts w:asciiTheme="majorBidi" w:hAnsiTheme="majorBidi" w:cstheme="majorBidi"/>
                <w:lang w:val="sv-SE"/>
              </w:rPr>
              <w:t>kembangkan anak sesuai dengan agama yang dianutnya dan kemampuan, bakat, serta minatnya</w:t>
            </w:r>
          </w:p>
          <w:p w:rsidR="00343B61" w:rsidRDefault="00343B61" w:rsidP="00FD4007">
            <w:pPr>
              <w:spacing w:line="240" w:lineRule="auto"/>
              <w:rPr>
                <w:rFonts w:asciiTheme="majorBidi" w:hAnsiTheme="majorBidi" w:cstheme="majorBidi"/>
                <w:lang w:val="sv-SE"/>
              </w:rPr>
            </w:pPr>
            <w:r>
              <w:rPr>
                <w:rFonts w:asciiTheme="majorBidi" w:hAnsiTheme="majorBidi" w:cstheme="majorBidi"/>
                <w:lang w:val="sv-SE"/>
              </w:rPr>
              <w:t xml:space="preserve">Juga </w:t>
            </w:r>
            <w:r w:rsidRPr="00600B61">
              <w:rPr>
                <w:rFonts w:asciiTheme="majorBidi" w:hAnsiTheme="majorBidi" w:cstheme="majorBidi"/>
                <w:lang w:val="sv-SE"/>
              </w:rPr>
              <w:t xml:space="preserve">sejalan dengan bunyi </w:t>
            </w:r>
            <w:r w:rsidRPr="00AA1F36">
              <w:rPr>
                <w:rFonts w:ascii="Times New Roman" w:hAnsi="Times New Roman" w:cs="Times New Roman"/>
                <w:lang w:val="sv-SE"/>
              </w:rPr>
              <w:t xml:space="preserve">Pasal 105 </w:t>
            </w:r>
            <w:r>
              <w:rPr>
                <w:rFonts w:ascii="Times New Roman" w:hAnsi="Times New Roman" w:cs="Times New Roman"/>
                <w:lang w:val="sv-SE"/>
              </w:rPr>
              <w:t>Kompilasi Hukum Islam (KHI)</w:t>
            </w:r>
            <w:r w:rsidRPr="00AA1F36">
              <w:rPr>
                <w:rFonts w:ascii="Times New Roman" w:hAnsi="Times New Roman" w:cs="Times New Roman"/>
                <w:lang w:val="sv-SE"/>
              </w:rPr>
              <w:t>,</w:t>
            </w:r>
            <w:r w:rsidRPr="00600B61">
              <w:rPr>
                <w:rFonts w:ascii="Times New Roman" w:hAnsi="Times New Roman" w:cs="Times New Roman"/>
                <w:lang w:val="sv-SE"/>
              </w:rPr>
              <w:t xml:space="preserve"> dalam hal terjadi perceraian, pemeliharaan anak yang belum </w:t>
            </w:r>
            <w:r w:rsidRPr="00600B61">
              <w:rPr>
                <w:rFonts w:ascii="Times New Roman" w:hAnsi="Times New Roman" w:cs="Times New Roman"/>
                <w:i/>
                <w:iCs/>
                <w:lang w:val="sv-SE"/>
              </w:rPr>
              <w:t>mumayyiz</w:t>
            </w:r>
            <w:r w:rsidRPr="00600B61">
              <w:rPr>
                <w:rFonts w:ascii="Times New Roman" w:hAnsi="Times New Roman" w:cs="Times New Roman"/>
                <w:lang w:val="sv-SE"/>
              </w:rPr>
              <w:t xml:space="preserve"> atau belum berumur 12 tahun adalah hak ibunya, sedangkan pemeliharaan anak yang sudah </w:t>
            </w:r>
            <w:r w:rsidRPr="00600B61">
              <w:rPr>
                <w:rFonts w:ascii="Times New Roman" w:hAnsi="Times New Roman" w:cs="Times New Roman"/>
                <w:i/>
                <w:iCs/>
                <w:lang w:val="sv-SE"/>
              </w:rPr>
              <w:t>mumayyiz</w:t>
            </w:r>
            <w:r w:rsidRPr="00600B61">
              <w:rPr>
                <w:rFonts w:ascii="Times New Roman" w:hAnsi="Times New Roman" w:cs="Times New Roman"/>
                <w:lang w:val="sv-SE"/>
              </w:rPr>
              <w:t xml:space="preserve"> diserahkan kepada anak untuk memilih di antara ayah atau ibunya sebagai pemegang hak pemeliharaan</w:t>
            </w:r>
          </w:p>
        </w:tc>
      </w:tr>
    </w:tbl>
    <w:p w:rsidR="00343B61" w:rsidRDefault="00343B61" w:rsidP="00343B61">
      <w:pPr>
        <w:spacing w:after="0" w:line="360" w:lineRule="auto"/>
        <w:jc w:val="both"/>
        <w:rPr>
          <w:rFonts w:asciiTheme="majorBidi" w:hAnsiTheme="majorBidi" w:cstheme="majorBidi"/>
          <w:lang w:val="sv-SE"/>
        </w:rPr>
      </w:pPr>
    </w:p>
    <w:p w:rsidR="00343B61" w:rsidRDefault="00343B61" w:rsidP="00343B61">
      <w:pPr>
        <w:spacing w:after="0" w:line="360" w:lineRule="auto"/>
        <w:jc w:val="both"/>
        <w:rPr>
          <w:rFonts w:asciiTheme="majorBidi" w:hAnsiTheme="majorBidi" w:cstheme="majorBidi"/>
        </w:rPr>
      </w:pPr>
      <w:r>
        <w:rPr>
          <w:rFonts w:asciiTheme="majorBidi" w:hAnsiTheme="majorBidi" w:cstheme="majorBidi"/>
          <w:lang w:val="sv-SE"/>
        </w:rPr>
        <w:t>Untuk melihat satu persatu-persatu penjelasan fatwa tersebut serta argumen relevannya fatwa itu dengan pembaruan hukum keluarga Islam di Indonesia, berikut ini penjelasaanya.</w:t>
      </w:r>
    </w:p>
    <w:p w:rsidR="00343B61" w:rsidRPr="00BC3544" w:rsidRDefault="00343B61" w:rsidP="00343B61">
      <w:pPr>
        <w:spacing w:after="0" w:line="360" w:lineRule="auto"/>
        <w:jc w:val="both"/>
        <w:rPr>
          <w:rFonts w:asciiTheme="majorBidi" w:hAnsiTheme="majorBidi" w:cstheme="majorBidi"/>
        </w:rPr>
      </w:pPr>
      <w:r>
        <w:rPr>
          <w:rFonts w:asciiTheme="majorBidi" w:hAnsiTheme="majorBidi" w:cstheme="majorBidi"/>
        </w:rPr>
        <w:t xml:space="preserve">1. </w:t>
      </w:r>
      <w:r w:rsidRPr="00B37BAE">
        <w:rPr>
          <w:rFonts w:asciiTheme="majorBidi" w:hAnsiTheme="majorBidi" w:cstheme="majorBidi"/>
          <w:lang w:val="sv-SE"/>
        </w:rPr>
        <w:t xml:space="preserve">Fatwa Tentang Perkawinan Beda Agama </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D83260">
        <w:rPr>
          <w:rFonts w:asciiTheme="majorBidi" w:hAnsiTheme="majorBidi" w:cstheme="majorBidi"/>
        </w:rPr>
        <w:t>Fatwa Perkawinan Beda Agama yang merupakan has</w:t>
      </w:r>
      <w:r>
        <w:rPr>
          <w:rFonts w:asciiTheme="majorBidi" w:hAnsiTheme="majorBidi" w:cstheme="majorBidi"/>
        </w:rPr>
        <w:t>il</w:t>
      </w:r>
      <w:r w:rsidRPr="00D83260">
        <w:rPr>
          <w:rFonts w:asciiTheme="majorBidi" w:hAnsiTheme="majorBidi" w:cstheme="majorBidi"/>
        </w:rPr>
        <w:t xml:space="preserve"> Munas II MUI yang diadakan dari tanggal 26 Mei sampai dengan tangga</w:t>
      </w:r>
      <w:r>
        <w:rPr>
          <w:rFonts w:asciiTheme="majorBidi" w:hAnsiTheme="majorBidi" w:cstheme="majorBidi"/>
        </w:rPr>
        <w:t>l</w:t>
      </w:r>
      <w:r w:rsidRPr="00D83260">
        <w:rPr>
          <w:rFonts w:asciiTheme="majorBidi" w:hAnsiTheme="majorBidi" w:cstheme="majorBidi"/>
        </w:rPr>
        <w:t xml:space="preserve"> 1 Juni 1980 telah memutuskan pengharaman perkawinan beda agama, baik laki-laki muslim dengan wanita non-muslim atau sebaliknya. Manurut Atho Muzdhar, Keluarnya fatwa ini merupakan tanggapan atas bertambahnya perhatian masyarakat terhadap makin seringnya terjadi perkawinan antar agama. Begitu pentingnya fatwa ini sehingga pembicaraan mengenai hal </w:t>
      </w:r>
      <w:r>
        <w:rPr>
          <w:rFonts w:asciiTheme="majorBidi" w:hAnsiTheme="majorBidi" w:cstheme="majorBidi"/>
        </w:rPr>
        <w:t xml:space="preserve">ini </w:t>
      </w:r>
      <w:r w:rsidRPr="00D83260">
        <w:rPr>
          <w:rFonts w:asciiTheme="majorBidi" w:hAnsiTheme="majorBidi" w:cstheme="majorBidi"/>
        </w:rPr>
        <w:t xml:space="preserve">diadakan </w:t>
      </w:r>
      <w:r w:rsidRPr="00D83260">
        <w:rPr>
          <w:rFonts w:asciiTheme="majorBidi" w:hAnsiTheme="majorBidi" w:cstheme="majorBidi"/>
        </w:rPr>
        <w:lastRenderedPageBreak/>
        <w:t>dalam konferensi tahunan bukan dalam rapat-rapat biasa komisi fatwa.</w:t>
      </w:r>
      <w:r w:rsidRPr="00D83260">
        <w:rPr>
          <w:rStyle w:val="FootnoteReference"/>
          <w:rFonts w:asciiTheme="majorBidi" w:hAnsiTheme="majorBidi" w:cstheme="majorBidi"/>
        </w:rPr>
        <w:footnoteReference w:id="870"/>
      </w:r>
      <w:r w:rsidRPr="00D83260">
        <w:rPr>
          <w:rFonts w:asciiTheme="majorBidi" w:hAnsiTheme="majorBidi" w:cstheme="majorBidi"/>
        </w:rPr>
        <w:t xml:space="preserve"> Fatwa tersebut mengandung dua pernyataan gamblang, </w:t>
      </w:r>
      <w:r>
        <w:rPr>
          <w:rFonts w:asciiTheme="majorBidi" w:hAnsiTheme="majorBidi" w:cstheme="majorBidi"/>
        </w:rPr>
        <w:t>yaitu seorang wanita Islam tidak diperbolehkan (haram)untuk dinikahkan dengan seorang pria bukan Islam, dan begitu pula sebaliknya bahwa seorang pria Islam tidak diperbolehkan menikahi seorang wanita non muslim.</w:t>
      </w:r>
      <w:r>
        <w:rPr>
          <w:rStyle w:val="FootnoteReference"/>
          <w:rFonts w:asciiTheme="majorBidi" w:hAnsiTheme="majorBidi" w:cstheme="majorBidi"/>
        </w:rPr>
        <w:footnoteReference w:id="871"/>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heme="majorBidi" w:hAnsiTheme="majorBidi" w:cstheme="majorBidi"/>
        </w:rPr>
        <w:t xml:space="preserve">Setelah melewati 25 tahun, persoalan ini kembali diangkat dalam Konfrensi Tahunan pada Munas VII tahun 2005 dan menetapkan dua diktum, </w:t>
      </w:r>
      <w:r w:rsidRPr="00D83260">
        <w:rPr>
          <w:rFonts w:ascii="Times New Roman" w:hAnsi="Times New Roman" w:cs="Times New Roman"/>
          <w:lang w:val="sv-SE"/>
        </w:rPr>
        <w:t xml:space="preserve">yaitu; </w:t>
      </w:r>
      <w:r w:rsidRPr="00D83260">
        <w:rPr>
          <w:rFonts w:ascii="Times New Roman" w:hAnsi="Times New Roman" w:cs="Times New Roman"/>
          <w:i/>
          <w:iCs/>
          <w:lang w:val="sv-SE"/>
        </w:rPr>
        <w:t>pertama</w:t>
      </w:r>
      <w:r w:rsidRPr="00D83260">
        <w:rPr>
          <w:rFonts w:ascii="Times New Roman" w:hAnsi="Times New Roman" w:cs="Times New Roman"/>
          <w:lang w:val="sv-SE"/>
        </w:rPr>
        <w:t xml:space="preserve">, perkawinan beda agama adalah haram dan tidak sah. </w:t>
      </w:r>
      <w:r w:rsidRPr="00D83260">
        <w:rPr>
          <w:rFonts w:ascii="Times New Roman" w:hAnsi="Times New Roman" w:cs="Times New Roman"/>
          <w:i/>
          <w:iCs/>
          <w:lang w:val="sv-SE"/>
        </w:rPr>
        <w:t>Kedua</w:t>
      </w:r>
      <w:r w:rsidRPr="00D83260">
        <w:rPr>
          <w:rFonts w:ascii="Times New Roman" w:hAnsi="Times New Roman" w:cs="Times New Roman"/>
          <w:lang w:val="sv-SE"/>
        </w:rPr>
        <w:t xml:space="preserve">, perkawinan laki-laki muslim dengan wanita </w:t>
      </w:r>
      <w:r>
        <w:rPr>
          <w:rFonts w:ascii="Times New Roman" w:hAnsi="Times New Roman" w:cs="Times New Roman"/>
          <w:i/>
          <w:iCs/>
          <w:lang w:val="sv-SE"/>
        </w:rPr>
        <w:t>Ahlu Al-</w:t>
      </w:r>
      <w:r w:rsidRPr="00D83260">
        <w:rPr>
          <w:rFonts w:ascii="Times New Roman" w:hAnsi="Times New Roman" w:cs="Times New Roman"/>
          <w:i/>
          <w:iCs/>
          <w:lang w:val="sv-SE"/>
        </w:rPr>
        <w:t>kitab</w:t>
      </w:r>
      <w:r w:rsidRPr="00D83260">
        <w:rPr>
          <w:rFonts w:ascii="Times New Roman" w:hAnsi="Times New Roman" w:cs="Times New Roman"/>
          <w:lang w:val="sv-SE"/>
        </w:rPr>
        <w:t xml:space="preserve">, menurut </w:t>
      </w:r>
      <w:r w:rsidRPr="00D83260">
        <w:rPr>
          <w:rFonts w:ascii="Times New Roman" w:hAnsi="Times New Roman" w:cs="Times New Roman"/>
          <w:i/>
          <w:iCs/>
          <w:lang w:val="sv-SE"/>
        </w:rPr>
        <w:t>qaul mu’tamad</w:t>
      </w:r>
      <w:r w:rsidRPr="00D83260">
        <w:rPr>
          <w:rFonts w:ascii="Times New Roman" w:hAnsi="Times New Roman" w:cs="Times New Roman"/>
          <w:lang w:val="sv-SE"/>
        </w:rPr>
        <w:t xml:space="preserve"> adalah haram dan tidak sah.</w:t>
      </w:r>
      <w:r w:rsidRPr="00D83260">
        <w:rPr>
          <w:rStyle w:val="FootnoteReference"/>
          <w:rFonts w:ascii="Times New Roman" w:hAnsi="Times New Roman" w:cs="Times New Roman"/>
          <w:lang w:val="sv-SE"/>
        </w:rPr>
        <w:footnoteReference w:id="872"/>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imes New Roman" w:hAnsi="Times New Roman" w:cs="Times New Roman"/>
          <w:lang w:val="sv-SE"/>
        </w:rPr>
        <w:t>Dengan demikian, Majelis Ulama Indonesia telah mengeluarkan fatwa mengenai perkawinan Beda Agama ini sebanyak dua kali. Pertama pada Munas II MUI tanggal 26 Mei s/d 1 Juni 1980 M bertepatan dengan tanggal 11-17 Rajab 1400 H. Kedua, pada Munas VII MUI tanggal 28 Juli  2005 bertepatan bulan Jumadil Akhir 1426 H.</w:t>
      </w:r>
    </w:p>
    <w:p w:rsidR="00343B61" w:rsidRDefault="00343B61" w:rsidP="00343B61">
      <w:pPr>
        <w:autoSpaceDE w:val="0"/>
        <w:autoSpaceDN w:val="0"/>
        <w:adjustRightInd w:val="0"/>
        <w:spacing w:after="0" w:line="360" w:lineRule="auto"/>
        <w:ind w:firstLine="720"/>
        <w:jc w:val="both"/>
        <w:rPr>
          <w:rFonts w:asciiTheme="majorBidi" w:hAnsiTheme="majorBidi" w:cstheme="majorBidi"/>
          <w:lang w:val="sv-SE"/>
        </w:rPr>
      </w:pPr>
      <w:r w:rsidRPr="00A86248">
        <w:rPr>
          <w:rFonts w:asciiTheme="majorBidi" w:hAnsiTheme="majorBidi" w:cstheme="majorBidi"/>
          <w:lang w:val="sv-SE"/>
        </w:rPr>
        <w:t xml:space="preserve">Putusan Fatwa MUI ini </w:t>
      </w:r>
      <w:r>
        <w:rPr>
          <w:rFonts w:asciiTheme="majorBidi" w:hAnsiTheme="majorBidi" w:cstheme="majorBidi"/>
          <w:lang w:val="sv-SE"/>
        </w:rPr>
        <w:t xml:space="preserve">bila ditinjau dengan teori </w:t>
      </w:r>
      <w:r w:rsidRPr="00DD51F0">
        <w:rPr>
          <w:rFonts w:asciiTheme="majorBidi" w:hAnsiTheme="majorBidi" w:cstheme="majorBidi"/>
          <w:i/>
          <w:iCs/>
          <w:lang w:val="sv-SE"/>
        </w:rPr>
        <w:t>siyasah syar’iyah</w:t>
      </w:r>
      <w:r>
        <w:rPr>
          <w:rFonts w:asciiTheme="majorBidi" w:hAnsiTheme="majorBidi" w:cstheme="majorBidi"/>
          <w:lang w:val="sv-SE"/>
        </w:rPr>
        <w:t xml:space="preserve"> sudah</w:t>
      </w:r>
      <w:r w:rsidRPr="00A86248">
        <w:rPr>
          <w:rFonts w:asciiTheme="majorBidi" w:hAnsiTheme="majorBidi" w:cstheme="majorBidi"/>
          <w:lang w:val="sv-SE"/>
        </w:rPr>
        <w:t xml:space="preserve"> relevan dengan pembaharuan hukum keluarga di Indonesia. </w:t>
      </w:r>
      <w:r>
        <w:rPr>
          <w:rFonts w:asciiTheme="majorBidi" w:hAnsiTheme="majorBidi" w:cstheme="majorBidi"/>
          <w:lang w:val="sv-SE"/>
        </w:rPr>
        <w:t xml:space="preserve">Dalam teori siyasah Al-Mawardi mengharuskan suatu kebijakan siyasah itu memberikan perlindungan kepada rakyat atau masyarakat luas. Serta merupakan tugas </w:t>
      </w:r>
      <w:r w:rsidRPr="00A3152A">
        <w:rPr>
          <w:rFonts w:asciiTheme="majorBidi" w:hAnsiTheme="majorBidi" w:cstheme="majorBidi"/>
          <w:i/>
          <w:iCs/>
          <w:lang w:val="sv-SE"/>
        </w:rPr>
        <w:t>ulil amri</w:t>
      </w:r>
      <w:r>
        <w:rPr>
          <w:rFonts w:asciiTheme="majorBidi" w:hAnsiTheme="majorBidi" w:cstheme="majorBidi"/>
          <w:lang w:val="sv-SE"/>
        </w:rPr>
        <w:t xml:space="preserve"> itu adalah memelihara agama dan mengatur negara. Bila dihubungkan dengan putusan fatwa MUI yang mengharamkan Nikah Beda Agama tentu salah satu tujuan pengharamannya adalah untuk melindungi dan menjaga agama dari anak keturunannya ( </w:t>
      </w:r>
      <w:r w:rsidRPr="00A3152A">
        <w:rPr>
          <w:rFonts w:asciiTheme="majorBidi" w:hAnsiTheme="majorBidi" w:cstheme="majorBidi"/>
          <w:i/>
          <w:iCs/>
          <w:lang w:val="sv-SE"/>
        </w:rPr>
        <w:t>hifzhu al-din</w:t>
      </w:r>
      <w:r>
        <w:rPr>
          <w:rFonts w:asciiTheme="majorBidi" w:hAnsiTheme="majorBidi" w:cstheme="majorBidi"/>
          <w:lang w:val="sv-SE"/>
        </w:rPr>
        <w:t xml:space="preserve">) dan ini merupakan salah satu </w:t>
      </w:r>
      <w:r w:rsidRPr="00766634">
        <w:rPr>
          <w:rFonts w:asciiTheme="majorBidi" w:hAnsiTheme="majorBidi" w:cstheme="majorBidi"/>
          <w:i/>
          <w:iCs/>
          <w:lang w:val="sv-SE"/>
        </w:rPr>
        <w:t>maqashid syari’ah</w:t>
      </w:r>
      <w:r>
        <w:rPr>
          <w:rFonts w:asciiTheme="majorBidi" w:hAnsiTheme="majorBidi" w:cstheme="majorBidi"/>
          <w:lang w:val="sv-SE"/>
        </w:rPr>
        <w:t>. Selain dari itu, tentunya untuk menjaga dan melindungi keturunan, dan ini juga merupakan tujuan dari pensyariatan Agama Islam (</w:t>
      </w:r>
      <w:r w:rsidRPr="00A3152A">
        <w:rPr>
          <w:rFonts w:asciiTheme="majorBidi" w:hAnsiTheme="majorBidi" w:cstheme="majorBidi"/>
          <w:i/>
          <w:iCs/>
          <w:lang w:val="sv-SE"/>
        </w:rPr>
        <w:t>maqashid syari’ah</w:t>
      </w:r>
      <w:r>
        <w:rPr>
          <w:rFonts w:asciiTheme="majorBidi" w:hAnsiTheme="majorBidi" w:cstheme="majorBidi"/>
          <w:lang w:val="sv-SE"/>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Fatwa MUI Tentang Pelarangan Nikah Beda Agama ini telah melahirkan satu produk hukum keluarga yang memiliki sisi pembaruan hukum keluarga di Indonesia. Sisi pembaruan tersebut dapat dilihat pada pandangan ulama yang membolehkan pernikahan laki-laki muslim dengan wanita ahli kitab. Atau membolehkan dengan syarat. Namun MUI memfatwakan berbeda yaitu melarang pernikhan Beda Agama secara mutlak, dan menyatakan pernikahan Beda Agama tidak sah. </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heme="majorBidi" w:hAnsiTheme="majorBidi" w:cstheme="majorBidi"/>
          <w:lang w:val="sv-SE"/>
        </w:rPr>
        <w:t xml:space="preserve">Argumen lain bahwa apa yang difatwakan MUI ini relevan dengan Pembaruan Hukum Keluaga di Indoensia, dan fatwa ini memiliki sisi pembaruan Hukum Keluarga </w:t>
      </w:r>
      <w:r>
        <w:rPr>
          <w:rFonts w:asciiTheme="majorBidi" w:hAnsiTheme="majorBidi" w:cstheme="majorBidi"/>
          <w:lang w:val="sv-SE"/>
        </w:rPr>
        <w:lastRenderedPageBreak/>
        <w:t xml:space="preserve">adalah bahwa fatwa ini sejalan </w:t>
      </w:r>
      <w:r w:rsidRPr="00A86248">
        <w:rPr>
          <w:rFonts w:asciiTheme="majorBidi" w:hAnsiTheme="majorBidi" w:cstheme="majorBidi"/>
          <w:lang w:val="sv-SE"/>
        </w:rPr>
        <w:t xml:space="preserve">dengan kandungan KHI yang juga tidak membolehkan perkawinan antara seorang pria dengan seorang wanita yang tidak beragama Islam. </w:t>
      </w:r>
      <w:r w:rsidRPr="00A86248">
        <w:rPr>
          <w:rFonts w:asciiTheme="majorBidi" w:hAnsiTheme="majorBidi" w:cstheme="majorBidi"/>
        </w:rPr>
        <w:t>Ketentuan ini diatur dalam pasal 40 Kompilasi Hukum Islam ( KHI) yaitu; "Dilarang melangsungkan perkawinan antara seorang pria dengan seorang wanita karena keadaan tertentu: (a). karena wanita yang bersangkutan masih terikat satu perkawinan dengan pria lain; (b). seorang wanita yang masih berada dalam masa iddah dengan pria lain; (c). seorang wanita yang tidak beragama Islam".</w:t>
      </w:r>
      <w:r>
        <w:rPr>
          <w:rStyle w:val="FootnoteReference"/>
          <w:rFonts w:asciiTheme="majorBidi" w:hAnsiTheme="majorBidi" w:cstheme="majorBidi"/>
        </w:rPr>
        <w:footnoteReference w:id="873"/>
      </w:r>
    </w:p>
    <w:p w:rsidR="00343B61" w:rsidRPr="003D20EA"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heme="majorBidi" w:hAnsiTheme="majorBidi" w:cstheme="majorBidi"/>
        </w:rPr>
        <w:t xml:space="preserve">Fatwa ini juga senafas dengan isi kandungan Kompilasi Hukum Islam (KHI) Pasal 44 yang melarang </w:t>
      </w:r>
      <w:r w:rsidRPr="002D386C">
        <w:rPr>
          <w:rFonts w:ascii="Times New Roman" w:hAnsi="Times New Roman" w:cs="Times New Roman"/>
        </w:rPr>
        <w:t>wanita muslimah menikah dengan laki-laki non-muslim</w:t>
      </w:r>
      <w:r>
        <w:rPr>
          <w:rFonts w:ascii="Times New Roman" w:hAnsi="Times New Roman" w:cs="Times New Roman"/>
        </w:rPr>
        <w:t xml:space="preserve">. </w:t>
      </w:r>
      <w:r w:rsidRPr="002D386C">
        <w:rPr>
          <w:rFonts w:ascii="Times New Roman" w:hAnsi="Times New Roman" w:cs="Times New Roman"/>
        </w:rPr>
        <w:t xml:space="preserve"> Secara</w:t>
      </w:r>
      <w:r>
        <w:rPr>
          <w:rFonts w:ascii="Times New Roman" w:hAnsi="Times New Roman" w:cs="Times New Roman"/>
        </w:rPr>
        <w:t xml:space="preserve"> </w:t>
      </w:r>
      <w:r w:rsidRPr="002D386C">
        <w:rPr>
          <w:rFonts w:ascii="Times New Roman" w:hAnsi="Times New Roman" w:cs="Times New Roman"/>
        </w:rPr>
        <w:t xml:space="preserve">tegas </w:t>
      </w:r>
      <w:r>
        <w:rPr>
          <w:rFonts w:ascii="Times New Roman" w:hAnsi="Times New Roman" w:cs="Times New Roman"/>
        </w:rPr>
        <w:t xml:space="preserve">disebutkan dalam pasal 44 KHI yaitu; </w:t>
      </w:r>
    </w:p>
    <w:p w:rsidR="00343B61" w:rsidRDefault="00343B61" w:rsidP="00343B61">
      <w:pPr>
        <w:autoSpaceDE w:val="0"/>
        <w:autoSpaceDN w:val="0"/>
        <w:adjustRightInd w:val="0"/>
        <w:spacing w:after="0" w:line="240" w:lineRule="auto"/>
        <w:ind w:left="720"/>
        <w:jc w:val="both"/>
        <w:rPr>
          <w:rFonts w:asciiTheme="majorBidi" w:hAnsiTheme="majorBidi" w:cstheme="majorBidi"/>
        </w:rPr>
      </w:pPr>
      <w:r w:rsidRPr="003D20EA">
        <w:rPr>
          <w:rFonts w:asciiTheme="majorBidi" w:hAnsiTheme="majorBidi" w:cstheme="majorBidi"/>
        </w:rPr>
        <w:t>"Seorang wanita Islam dilarang melangsungkan perkawinan dengan seorang pria yang tidak beragama Islam". Dalam pelaksanaan di lapangan, Pegawai Pencatat Nikah berhak menolak untuk melakukan tugasnya, seperti diatur dalam pasal 69 ayat (1) dalam KHI: "Apabila PPN berpendapat bahwa terhadap perkawinan tersebut ada larangan menurut UU No. 1 tahun 1974, maka ia akan menolak melangsungkan perkawinan".</w:t>
      </w:r>
      <w:r>
        <w:rPr>
          <w:rStyle w:val="FootnoteReference"/>
          <w:rFonts w:asciiTheme="majorBidi" w:hAnsiTheme="majorBidi" w:cstheme="majorBidi"/>
        </w:rPr>
        <w:footnoteReference w:id="874"/>
      </w:r>
    </w:p>
    <w:p w:rsidR="00343B61" w:rsidRDefault="00343B61" w:rsidP="00343B61">
      <w:pPr>
        <w:autoSpaceDE w:val="0"/>
        <w:autoSpaceDN w:val="0"/>
        <w:adjustRightInd w:val="0"/>
        <w:spacing w:after="0" w:line="240" w:lineRule="auto"/>
        <w:ind w:left="720"/>
        <w:jc w:val="both"/>
        <w:rPr>
          <w:rFonts w:asciiTheme="majorBidi" w:hAnsiTheme="majorBidi" w:cstheme="majorBidi"/>
        </w:rPr>
      </w:pPr>
    </w:p>
    <w:p w:rsidR="00343B61" w:rsidRDefault="00343B61" w:rsidP="00343B61">
      <w:pPr>
        <w:autoSpaceDE w:val="0"/>
        <w:autoSpaceDN w:val="0"/>
        <w:adjustRightInd w:val="0"/>
        <w:spacing w:after="0" w:line="360" w:lineRule="auto"/>
        <w:ind w:firstLine="720"/>
        <w:jc w:val="both"/>
        <w:rPr>
          <w:rFonts w:asciiTheme="majorBidi" w:hAnsiTheme="majorBidi" w:cstheme="majorBidi"/>
          <w:b/>
          <w:bCs/>
          <w:i/>
          <w:iCs/>
        </w:rPr>
      </w:pPr>
      <w:r>
        <w:rPr>
          <w:rFonts w:asciiTheme="majorBidi" w:hAnsiTheme="majorBidi" w:cstheme="majorBidi"/>
          <w:lang w:val="sv-SE"/>
        </w:rPr>
        <w:t xml:space="preserve">Argumen berikutnya bahwa fatwa MUI memiliki sisi pembaruan Hukum Keluarga dan relevan dengan pembaruan Hukum Keluarga di Indonesia bahwa fatwa ini seirama dan sejalan dengan  </w:t>
      </w:r>
      <w:r>
        <w:rPr>
          <w:rFonts w:asciiTheme="majorBidi" w:hAnsiTheme="majorBidi" w:cstheme="majorBidi"/>
        </w:rPr>
        <w:t xml:space="preserve">Kompilasi Hukum Islam (KHI) Pasal 4 yang menjelaskan </w:t>
      </w:r>
      <w:r w:rsidRPr="0036267A">
        <w:rPr>
          <w:rFonts w:asciiTheme="majorBidi" w:hAnsiTheme="majorBidi" w:cstheme="majorBidi"/>
        </w:rPr>
        <w:t>bahwa "Perkawinan adalah sah, apabila dilakukan</w:t>
      </w:r>
      <w:r>
        <w:rPr>
          <w:rFonts w:asciiTheme="majorBidi" w:hAnsiTheme="majorBidi" w:cstheme="majorBidi"/>
        </w:rPr>
        <w:t xml:space="preserve"> menurut hukum agama masing-masing,</w:t>
      </w:r>
      <w:r w:rsidRPr="0036267A">
        <w:rPr>
          <w:rFonts w:asciiTheme="majorBidi" w:hAnsiTheme="majorBidi" w:cstheme="majorBidi"/>
        </w:rPr>
        <w:t xml:space="preserve"> sesuai dengan pasal 2 ayat (1) Undang-undang No. 1 tahun 1974</w:t>
      </w:r>
      <w:r>
        <w:rPr>
          <w:rFonts w:asciiTheme="majorBidi" w:hAnsiTheme="majorBidi" w:cstheme="majorBidi"/>
        </w:rPr>
        <w:t xml:space="preserve"> </w:t>
      </w:r>
      <w:r w:rsidRPr="0036267A">
        <w:rPr>
          <w:rFonts w:asciiTheme="majorBidi" w:hAnsiTheme="majorBidi" w:cstheme="majorBidi"/>
        </w:rPr>
        <w:t>tentang perkawinan". Pasal 2 ayat (1) yang dimaksud adalah: "Perkawinan adalah sah, apabila</w:t>
      </w:r>
      <w:r>
        <w:rPr>
          <w:rFonts w:asciiTheme="majorBidi" w:hAnsiTheme="majorBidi" w:cstheme="majorBidi"/>
        </w:rPr>
        <w:t xml:space="preserve"> </w:t>
      </w:r>
      <w:r w:rsidRPr="0036267A">
        <w:rPr>
          <w:rFonts w:asciiTheme="majorBidi" w:hAnsiTheme="majorBidi" w:cstheme="majorBidi"/>
        </w:rPr>
        <w:t>dilakukan menurut hukum masing-masing agamanya dan kepercayaannya itu". Karena itu</w:t>
      </w:r>
      <w:r>
        <w:rPr>
          <w:rFonts w:asciiTheme="majorBidi" w:hAnsiTheme="majorBidi" w:cstheme="majorBidi"/>
        </w:rPr>
        <w:t xml:space="preserve"> </w:t>
      </w:r>
      <w:r w:rsidRPr="0036267A">
        <w:rPr>
          <w:rFonts w:asciiTheme="majorBidi" w:hAnsiTheme="majorBidi" w:cstheme="majorBidi"/>
        </w:rPr>
        <w:t xml:space="preserve">ketentuan ini merupakan ketentuan hukum </w:t>
      </w:r>
      <w:r>
        <w:rPr>
          <w:rFonts w:asciiTheme="majorBidi" w:hAnsiTheme="majorBidi" w:cstheme="majorBidi"/>
        </w:rPr>
        <w:t>Negara ( siyasah negara)</w:t>
      </w:r>
      <w:r w:rsidRPr="0036267A">
        <w:rPr>
          <w:rFonts w:asciiTheme="majorBidi" w:hAnsiTheme="majorBidi" w:cstheme="majorBidi"/>
        </w:rPr>
        <w:t xml:space="preserve"> yang berlaku umum, mengikat, dan</w:t>
      </w:r>
      <w:r>
        <w:rPr>
          <w:rFonts w:asciiTheme="majorBidi" w:hAnsiTheme="majorBidi" w:cstheme="majorBidi"/>
        </w:rPr>
        <w:t xml:space="preserve"> </w:t>
      </w:r>
      <w:r w:rsidRPr="0036267A">
        <w:rPr>
          <w:rFonts w:asciiTheme="majorBidi" w:hAnsiTheme="majorBidi" w:cstheme="majorBidi"/>
        </w:rPr>
        <w:t>meniadakan perbedaan pendapat,</w:t>
      </w:r>
      <w:r>
        <w:rPr>
          <w:rStyle w:val="FootnoteReference"/>
          <w:rFonts w:asciiTheme="majorBidi" w:hAnsiTheme="majorBidi" w:cstheme="majorBidi"/>
        </w:rPr>
        <w:footnoteReference w:id="875"/>
      </w:r>
      <w:r w:rsidRPr="0036267A">
        <w:rPr>
          <w:rFonts w:asciiTheme="majorBidi" w:hAnsiTheme="majorBidi" w:cstheme="majorBidi"/>
        </w:rPr>
        <w:t xml:space="preserve"> sesuai dengan kaidah </w:t>
      </w:r>
      <w:r w:rsidRPr="0036267A">
        <w:rPr>
          <w:rFonts w:asciiTheme="majorBidi" w:eastAsia="TimesNewRoman,Italic" w:hAnsiTheme="majorBidi" w:cstheme="majorBidi"/>
          <w:i/>
          <w:iCs/>
        </w:rPr>
        <w:t>"Hukm al-H</w:t>
      </w:r>
      <w:r>
        <w:rPr>
          <w:rFonts w:asciiTheme="majorBidi" w:eastAsia="TimesNewRoman,Italic" w:hAnsiTheme="majorBidi" w:cstheme="majorBidi"/>
          <w:i/>
          <w:iCs/>
        </w:rPr>
        <w:t>a</w:t>
      </w:r>
      <w:r w:rsidRPr="0036267A">
        <w:rPr>
          <w:rFonts w:asciiTheme="majorBidi" w:eastAsia="TimesNewRoman,Italic" w:hAnsiTheme="majorBidi" w:cstheme="majorBidi"/>
          <w:i/>
          <w:iCs/>
        </w:rPr>
        <w:t>kim ilz</w:t>
      </w:r>
      <w:r>
        <w:rPr>
          <w:rFonts w:asciiTheme="majorBidi" w:eastAsia="TimesNewRoman,Italic" w:hAnsiTheme="majorBidi" w:cstheme="majorBidi"/>
          <w:i/>
          <w:iCs/>
        </w:rPr>
        <w:t>a</w:t>
      </w:r>
      <w:r w:rsidRPr="0036267A">
        <w:rPr>
          <w:rFonts w:asciiTheme="majorBidi" w:eastAsia="TimesNewRoman,Italic" w:hAnsiTheme="majorBidi" w:cstheme="majorBidi"/>
          <w:i/>
          <w:iCs/>
        </w:rPr>
        <w:t>mun wa yarfa'u</w:t>
      </w:r>
      <w:r>
        <w:rPr>
          <w:rFonts w:asciiTheme="majorBidi" w:hAnsiTheme="majorBidi" w:cstheme="majorBidi"/>
        </w:rPr>
        <w:t xml:space="preserve"> </w:t>
      </w:r>
      <w:r w:rsidRPr="0036267A">
        <w:rPr>
          <w:rFonts w:asciiTheme="majorBidi" w:eastAsia="TimesNewRoman,Italic" w:hAnsiTheme="majorBidi" w:cstheme="majorBidi"/>
          <w:i/>
          <w:iCs/>
        </w:rPr>
        <w:t>al-khil</w:t>
      </w:r>
      <w:r>
        <w:rPr>
          <w:rFonts w:asciiTheme="majorBidi" w:eastAsia="TimesNewRoman,Italic" w:hAnsiTheme="majorBidi" w:cstheme="majorBidi"/>
          <w:i/>
          <w:iCs/>
        </w:rPr>
        <w:t>a</w:t>
      </w:r>
      <w:r w:rsidRPr="0036267A">
        <w:rPr>
          <w:rFonts w:asciiTheme="majorBidi" w:eastAsia="TimesNewRoman,Italic" w:hAnsiTheme="majorBidi" w:cstheme="majorBidi"/>
          <w:i/>
          <w:iCs/>
        </w:rPr>
        <w:t xml:space="preserve">f". </w:t>
      </w:r>
      <w:r w:rsidRPr="0036267A">
        <w:rPr>
          <w:rFonts w:asciiTheme="majorBidi" w:hAnsiTheme="majorBidi" w:cstheme="majorBidi"/>
        </w:rPr>
        <w:t>(Keputusan pemerintah mengikat untuk dilaksanakan dan menghilangkan</w:t>
      </w:r>
      <w:r>
        <w:rPr>
          <w:rFonts w:asciiTheme="majorBidi" w:hAnsiTheme="majorBidi" w:cstheme="majorBidi"/>
        </w:rPr>
        <w:t xml:space="preserve"> </w:t>
      </w:r>
      <w:r w:rsidRPr="0036267A">
        <w:rPr>
          <w:rFonts w:asciiTheme="majorBidi" w:hAnsiTheme="majorBidi" w:cstheme="majorBidi"/>
        </w:rPr>
        <w:t>perbedaan pendapat)</w:t>
      </w:r>
      <w:r w:rsidRPr="0036267A">
        <w:rPr>
          <w:rFonts w:asciiTheme="majorBidi" w:hAnsiTheme="majorBidi" w:cstheme="majorBidi"/>
          <w:b/>
          <w:bCs/>
          <w:i/>
          <w:iCs/>
        </w:rPr>
        <w:t>.</w:t>
      </w:r>
    </w:p>
    <w:p w:rsidR="00343B61" w:rsidRPr="00BC3544" w:rsidRDefault="00343B61" w:rsidP="00343B61">
      <w:pPr>
        <w:pStyle w:val="ListParagraph"/>
        <w:spacing w:line="360" w:lineRule="auto"/>
        <w:ind w:left="0" w:firstLine="720"/>
        <w:jc w:val="both"/>
        <w:rPr>
          <w:rFonts w:asciiTheme="majorBidi" w:hAnsiTheme="majorBidi" w:cstheme="majorBidi"/>
          <w:lang w:val="sv-SE"/>
        </w:rPr>
      </w:pPr>
      <w:r w:rsidRPr="00BC3544">
        <w:rPr>
          <w:rFonts w:asciiTheme="majorBidi" w:hAnsiTheme="majorBidi" w:cstheme="majorBidi"/>
          <w:lang w:val="sv-SE"/>
        </w:rPr>
        <w:t xml:space="preserve">Putusan fatwa MUI ini juga sejalan dengan teori </w:t>
      </w:r>
      <w:r w:rsidRPr="00BC3544">
        <w:rPr>
          <w:rFonts w:asciiTheme="majorBidi" w:hAnsiTheme="majorBidi" w:cstheme="majorBidi"/>
          <w:i/>
          <w:iCs/>
        </w:rPr>
        <w:t>masla</w:t>
      </w:r>
      <w:r w:rsidRPr="00BC3544">
        <w:rPr>
          <w:rFonts w:asciiTheme="majorBidi" w:hAnsiTheme="majorBidi" w:cstheme="majorBidi"/>
          <w:i/>
          <w:iCs/>
          <w:u w:val="single"/>
        </w:rPr>
        <w:t>h</w:t>
      </w:r>
      <w:r w:rsidRPr="00BC3544">
        <w:rPr>
          <w:rFonts w:asciiTheme="majorBidi" w:hAnsiTheme="majorBidi" w:cstheme="majorBidi"/>
          <w:i/>
          <w:iCs/>
        </w:rPr>
        <w:t xml:space="preserve">ah </w:t>
      </w:r>
      <w:r w:rsidRPr="00BC3544">
        <w:rPr>
          <w:rFonts w:asciiTheme="majorBidi" w:hAnsiTheme="majorBidi" w:cstheme="majorBidi"/>
          <w:lang w:val="sv-SE"/>
        </w:rPr>
        <w:t xml:space="preserve"> al-Thufi, yang mendahulukan </w:t>
      </w:r>
      <w:r w:rsidRPr="00BC3544">
        <w:rPr>
          <w:rFonts w:asciiTheme="majorBidi" w:hAnsiTheme="majorBidi" w:cstheme="majorBidi"/>
          <w:i/>
          <w:iCs/>
        </w:rPr>
        <w:t>masla</w:t>
      </w:r>
      <w:r w:rsidRPr="00BC3544">
        <w:rPr>
          <w:rFonts w:asciiTheme="majorBidi" w:hAnsiTheme="majorBidi" w:cstheme="majorBidi"/>
          <w:i/>
          <w:iCs/>
          <w:u w:val="single"/>
        </w:rPr>
        <w:t>h</w:t>
      </w:r>
      <w:r w:rsidRPr="00BC3544">
        <w:rPr>
          <w:rFonts w:asciiTheme="majorBidi" w:hAnsiTheme="majorBidi" w:cstheme="majorBidi"/>
          <w:i/>
          <w:iCs/>
        </w:rPr>
        <w:t>ah</w:t>
      </w:r>
      <w:r w:rsidRPr="00BC3544">
        <w:rPr>
          <w:rFonts w:asciiTheme="majorBidi" w:eastAsiaTheme="minorHAnsi" w:hAnsiTheme="majorBidi" w:cstheme="majorBidi"/>
          <w:lang w:val="sv-SE"/>
        </w:rPr>
        <w:t xml:space="preserve"> dari </w:t>
      </w:r>
      <w:r w:rsidRPr="00BC3544">
        <w:rPr>
          <w:rFonts w:asciiTheme="majorBidi" w:eastAsiaTheme="minorHAnsi" w:hAnsiTheme="majorBidi" w:cstheme="majorBidi"/>
          <w:i/>
          <w:iCs/>
          <w:lang w:val="sv-SE"/>
        </w:rPr>
        <w:t>nash</w:t>
      </w:r>
      <w:r w:rsidRPr="00BC3544">
        <w:rPr>
          <w:rFonts w:asciiTheme="majorBidi" w:eastAsiaTheme="minorHAnsi" w:hAnsiTheme="majorBidi" w:cstheme="majorBidi"/>
          <w:lang w:val="sv-SE"/>
        </w:rPr>
        <w:t xml:space="preserve">. Dimana nash Al-Quran surat </w:t>
      </w:r>
      <w:r w:rsidRPr="00BC3544">
        <w:rPr>
          <w:rFonts w:asciiTheme="majorBidi" w:hAnsiTheme="majorBidi" w:cstheme="majorBidi"/>
          <w:lang w:val="sv-SE"/>
        </w:rPr>
        <w:t>Al-Mā’idah</w:t>
      </w:r>
      <w:r>
        <w:rPr>
          <w:rFonts w:asciiTheme="majorBidi" w:hAnsiTheme="majorBidi" w:cstheme="majorBidi"/>
          <w:lang w:val="sv-SE"/>
        </w:rPr>
        <w:t xml:space="preserve"> </w:t>
      </w:r>
      <w:r>
        <w:rPr>
          <w:rFonts w:asciiTheme="majorBidi" w:eastAsiaTheme="minorHAnsi" w:hAnsiTheme="majorBidi" w:cstheme="majorBidi"/>
          <w:lang w:val="sv-SE"/>
        </w:rPr>
        <w:t>[</w:t>
      </w:r>
      <w:r w:rsidRPr="00BC3544">
        <w:rPr>
          <w:rFonts w:asciiTheme="majorBidi" w:eastAsiaTheme="minorHAnsi" w:hAnsiTheme="majorBidi" w:cstheme="majorBidi"/>
          <w:lang w:val="sv-SE"/>
        </w:rPr>
        <w:t xml:space="preserve">5]:5 secara jelas membolehkan laki-laki muslim menikahi wanita ahli kitab yang menjaga kehormatannya, namun karena demi menjaga kemaslahatan yang lebih besar yaitu </w:t>
      </w:r>
      <w:r w:rsidRPr="00BC3544">
        <w:rPr>
          <w:rFonts w:asciiTheme="majorBidi" w:eastAsiaTheme="minorHAnsi" w:hAnsiTheme="majorBidi" w:cstheme="majorBidi"/>
          <w:lang w:val="sv-SE"/>
        </w:rPr>
        <w:lastRenderedPageBreak/>
        <w:t>menjaga keimanan (</w:t>
      </w:r>
      <w:r w:rsidRPr="00BC3544">
        <w:rPr>
          <w:rFonts w:asciiTheme="majorBidi" w:eastAsiaTheme="minorHAnsi" w:hAnsiTheme="majorBidi" w:cstheme="majorBidi"/>
          <w:i/>
          <w:iCs/>
          <w:lang w:val="sv-SE"/>
        </w:rPr>
        <w:t>ḥifẓ al-dīn</w:t>
      </w:r>
      <w:r w:rsidRPr="00BC3544">
        <w:rPr>
          <w:rFonts w:asciiTheme="majorBidi" w:eastAsiaTheme="minorHAnsi" w:hAnsiTheme="majorBidi" w:cstheme="majorBidi"/>
          <w:lang w:val="sv-SE"/>
        </w:rPr>
        <w:t xml:space="preserve">) dari anak-anak yang kemungkinan bisa terpengaruh dan mengikuti agama ibunya, maka MUI memutuskan untuk mengharamkan pernikahan tersebut. </w:t>
      </w:r>
    </w:p>
    <w:p w:rsidR="00343B61" w:rsidRPr="00DA7645" w:rsidRDefault="00343B61" w:rsidP="00343B61">
      <w:pPr>
        <w:pStyle w:val="ListParagraph"/>
        <w:spacing w:after="0" w:line="360" w:lineRule="auto"/>
        <w:ind w:left="0" w:firstLine="720"/>
        <w:jc w:val="both"/>
        <w:rPr>
          <w:rFonts w:asciiTheme="majorBidi" w:eastAsiaTheme="minorHAnsi" w:hAnsiTheme="majorBidi" w:cstheme="majorBidi"/>
          <w:lang w:val="sv-SE"/>
        </w:rPr>
      </w:pPr>
      <w:r>
        <w:rPr>
          <w:rFonts w:asciiTheme="majorBidi" w:eastAsiaTheme="minorHAnsi" w:hAnsiTheme="majorBidi" w:cstheme="majorBidi"/>
          <w:lang w:val="sv-SE"/>
        </w:rPr>
        <w:t xml:space="preserve">Menikahi wanita ahli kitab dipandang tidak maslahat karena </w:t>
      </w:r>
      <w:r w:rsidRPr="002D386C">
        <w:rPr>
          <w:rFonts w:ascii="Times New Roman" w:hAnsi="Times New Roman" w:cs="Times New Roman"/>
        </w:rPr>
        <w:t>dahulu menikahi mereka ada</w:t>
      </w:r>
      <w:r>
        <w:rPr>
          <w:rFonts w:ascii="Times New Roman" w:hAnsi="Times New Roman" w:cs="Times New Roman"/>
        </w:rPr>
        <w:t xml:space="preserve"> </w:t>
      </w:r>
      <w:r w:rsidRPr="002D386C">
        <w:rPr>
          <w:rFonts w:ascii="Times New Roman" w:hAnsi="Times New Roman" w:cs="Times New Roman"/>
        </w:rPr>
        <w:t>unsur dakwah di dalamnya. Tetapi, saat ini sudah sulit untuk diwujudkan karena perkawinan</w:t>
      </w:r>
      <w:r>
        <w:rPr>
          <w:rFonts w:ascii="Times New Roman" w:hAnsi="Times New Roman" w:cs="Times New Roman"/>
        </w:rPr>
        <w:t xml:space="preserve"> </w:t>
      </w:r>
      <w:r w:rsidRPr="002D386C">
        <w:rPr>
          <w:rFonts w:ascii="Times New Roman" w:hAnsi="Times New Roman" w:cs="Times New Roman"/>
        </w:rPr>
        <w:t>jenis ini berdampak pada diri anak yang dilahirkan kelak. Sementara kecenderungan</w:t>
      </w:r>
      <w:r>
        <w:rPr>
          <w:rFonts w:ascii="Times New Roman" w:hAnsi="Times New Roman" w:cs="Times New Roman"/>
        </w:rPr>
        <w:t xml:space="preserve"> </w:t>
      </w:r>
      <w:r w:rsidRPr="002D386C">
        <w:rPr>
          <w:rFonts w:ascii="Times New Roman" w:hAnsi="Times New Roman" w:cs="Times New Roman"/>
        </w:rPr>
        <w:t>keagamaan anak saat ini lebih banyak dipengaruhi oleh i</w:t>
      </w:r>
      <w:r>
        <w:rPr>
          <w:rFonts w:ascii="Times New Roman" w:hAnsi="Times New Roman" w:cs="Times New Roman"/>
        </w:rPr>
        <w:t>bu mereka, bukan oleh ayahnya.</w:t>
      </w:r>
      <w:r>
        <w:rPr>
          <w:rStyle w:val="FootnoteReference"/>
          <w:rFonts w:ascii="Times New Roman" w:hAnsi="Times New Roman" w:cs="Times New Roman"/>
        </w:rPr>
        <w:footnoteReference w:id="876"/>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241BD4">
        <w:rPr>
          <w:rFonts w:asciiTheme="majorBidi" w:hAnsiTheme="majorBidi" w:cstheme="majorBidi"/>
          <w:lang w:val="sv-SE"/>
        </w:rPr>
        <w:t xml:space="preserve">Ketentuan </w:t>
      </w:r>
      <w:r>
        <w:rPr>
          <w:rFonts w:asciiTheme="majorBidi" w:hAnsiTheme="majorBidi" w:cstheme="majorBidi"/>
          <w:lang w:val="sv-SE"/>
        </w:rPr>
        <w:t xml:space="preserve">fatwa MUI </w:t>
      </w:r>
      <w:r w:rsidRPr="00241BD4">
        <w:rPr>
          <w:rFonts w:asciiTheme="majorBidi" w:hAnsiTheme="majorBidi" w:cstheme="majorBidi"/>
          <w:lang w:val="sv-SE"/>
        </w:rPr>
        <w:t xml:space="preserve">ini dapat dianggap sebagai suatu pembaharuan hukum keluarga, mengingat dalam berbagai kitab fiqh disebutkan seorang laki-laki muslim dilarang menikah dengan wanita musyrikah, tetapi boleh menikah dengan wanita </w:t>
      </w:r>
      <w:r w:rsidRPr="00241BD4">
        <w:rPr>
          <w:rFonts w:asciiTheme="majorBidi" w:eastAsia="TimesNewRoman,Italic" w:hAnsiTheme="majorBidi" w:cstheme="majorBidi"/>
          <w:i/>
          <w:iCs/>
          <w:lang w:val="sv-SE"/>
        </w:rPr>
        <w:t>kitabiyah</w:t>
      </w:r>
      <w:r w:rsidRPr="00241BD4">
        <w:rPr>
          <w:rFonts w:asciiTheme="majorBidi" w:hAnsiTheme="majorBidi" w:cstheme="majorBidi"/>
          <w:lang w:val="sv-SE"/>
        </w:rPr>
        <w:t>, yaitu mereka yang beragama Yahudi dan Nasrani.</w:t>
      </w:r>
      <w:r>
        <w:rPr>
          <w:rStyle w:val="FootnoteReference"/>
          <w:rFonts w:asciiTheme="majorBidi" w:hAnsiTheme="majorBidi" w:cstheme="majorBidi"/>
        </w:rPr>
        <w:footnoteReference w:id="877"/>
      </w:r>
      <w:r w:rsidRPr="00241BD4">
        <w:rPr>
          <w:rFonts w:asciiTheme="majorBidi" w:hAnsiTheme="majorBidi" w:cstheme="majorBidi"/>
          <w:lang w:val="sv-SE"/>
        </w:rPr>
        <w:t xml:space="preserve"> </w:t>
      </w:r>
      <w:r>
        <w:rPr>
          <w:rFonts w:asciiTheme="majorBidi" w:hAnsiTheme="majorBidi" w:cstheme="majorBidi"/>
        </w:rPr>
        <w:t xml:space="preserve">Namun dalam Fatwa MUI hal itu di haramkan secara mutlak. </w:t>
      </w:r>
      <w:r>
        <w:rPr>
          <w:rFonts w:asciiTheme="majorBidi" w:hAnsiTheme="majorBidi" w:cstheme="majorBidi"/>
          <w:lang w:val="sv-SE"/>
        </w:rPr>
        <w:t xml:space="preserve">Itulah yang merupakan poin penting pembaruan hukum keluarga yang dilakukan oleh MUI melalui fatwanya. </w:t>
      </w:r>
      <w:r w:rsidRPr="00241BD4">
        <w:rPr>
          <w:rFonts w:asciiTheme="majorBidi" w:hAnsiTheme="majorBidi" w:cstheme="majorBidi"/>
        </w:rPr>
        <w:t>Dengan demikian, dalam sistem hukum Indonesia tidak dikenal kemungkinan adanya perkawinan beda agama.</w:t>
      </w:r>
    </w:p>
    <w:p w:rsidR="00343B61" w:rsidRDefault="00343B61" w:rsidP="00343B61">
      <w:pPr>
        <w:spacing w:after="0" w:line="360" w:lineRule="auto"/>
        <w:ind w:firstLine="720"/>
        <w:jc w:val="both"/>
        <w:rPr>
          <w:rFonts w:asciiTheme="majorBidi" w:hAnsiTheme="majorBidi" w:cstheme="majorBidi"/>
        </w:rPr>
      </w:pPr>
      <w:r w:rsidRPr="004F5ED7">
        <w:rPr>
          <w:rFonts w:asciiTheme="majorBidi" w:hAnsiTheme="majorBidi" w:cstheme="majorBidi"/>
        </w:rPr>
        <w:t xml:space="preserve">Sebagaiman telah disinggung di awal bahwa </w:t>
      </w:r>
      <w:r>
        <w:rPr>
          <w:rFonts w:asciiTheme="majorBidi" w:hAnsiTheme="majorBidi" w:cstheme="majorBidi"/>
        </w:rPr>
        <w:t>sifat fatwa perkawinan beda agama ini berkarakter responsif, walaupun keluarnya fatwa ini pertama sekali dimasa-masa konfigurasi siyasahnya otoroter yaitu tahun 1980 saat pemerintahan orde baru. Sementara fatwa yang kedua diputuskan pada masa reformasi yaitu tahun 2005 yang tentunya konfigurasi siyasahnya demokrasi.</w:t>
      </w:r>
    </w:p>
    <w:p w:rsidR="00343B61" w:rsidRDefault="00343B61" w:rsidP="00343B61">
      <w:pPr>
        <w:spacing w:after="0" w:line="360" w:lineRule="auto"/>
        <w:ind w:firstLine="720"/>
        <w:jc w:val="both"/>
        <w:rPr>
          <w:rFonts w:asciiTheme="majorBidi" w:hAnsiTheme="majorBidi" w:cstheme="majorBidi"/>
        </w:rPr>
      </w:pPr>
      <w:r>
        <w:rPr>
          <w:rFonts w:asciiTheme="majorBidi" w:hAnsiTheme="majorBidi" w:cstheme="majorBidi"/>
        </w:rPr>
        <w:t xml:space="preserve">Sesuai dengan teori Siyasah Moh Mahfud MD bahwa apabila konfigurasi siyasahnya otoriter maka akan melahirkan produk hukum yang konservatif, sementara apabila konfigurasi siyasahnya demokrasi akan melahirkan produk hukum yang responsif, lalu kenapa teori itu tidak berlaku pada fatwa ini? Hal itu menunjukkan bahwa fatwa MUI itu bukanlah pesanan pemeritah yang berkuasa. </w:t>
      </w:r>
    </w:p>
    <w:p w:rsidR="00343B61" w:rsidRPr="00DD0FC6" w:rsidRDefault="00343B61" w:rsidP="00343B61">
      <w:pPr>
        <w:autoSpaceDE w:val="0"/>
        <w:autoSpaceDN w:val="0"/>
        <w:adjustRightInd w:val="0"/>
        <w:spacing w:after="0" w:line="360" w:lineRule="auto"/>
        <w:jc w:val="both"/>
        <w:rPr>
          <w:rFonts w:asciiTheme="majorBidi" w:hAnsiTheme="majorBidi" w:cstheme="majorBidi"/>
        </w:rPr>
      </w:pPr>
      <w:r>
        <w:rPr>
          <w:rFonts w:asciiTheme="majorBidi" w:hAnsiTheme="majorBidi" w:cstheme="majorBidi"/>
          <w:lang w:val="sv-SE"/>
        </w:rPr>
        <w:t xml:space="preserve">2. </w:t>
      </w:r>
      <w:r w:rsidRPr="00DD0FC6">
        <w:rPr>
          <w:rFonts w:asciiTheme="majorBidi" w:hAnsiTheme="majorBidi" w:cstheme="majorBidi"/>
          <w:lang w:val="sv-SE"/>
        </w:rPr>
        <w:t xml:space="preserve">Fatwa Nikah Di Bawah Tangan </w:t>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imes New Roman" w:hAnsi="Times New Roman" w:cs="Times New Roman"/>
          <w:lang w:val="sv-SE"/>
        </w:rPr>
        <w:t xml:space="preserve">Fatwa Majelis Ulama Indonesia Nomor 10 Tahun 2008 Tentang </w:t>
      </w:r>
      <w:r w:rsidRPr="00C345B4">
        <w:rPr>
          <w:rFonts w:ascii="Times New Roman" w:hAnsi="Times New Roman" w:cs="Times New Roman"/>
          <w:lang w:val="sv-SE"/>
        </w:rPr>
        <w:t>Nikah Di</w:t>
      </w:r>
      <w:r>
        <w:rPr>
          <w:rFonts w:ascii="Times New Roman" w:hAnsi="Times New Roman" w:cs="Times New Roman"/>
          <w:lang w:val="sv-SE"/>
        </w:rPr>
        <w:t xml:space="preserve"> </w:t>
      </w:r>
      <w:r w:rsidRPr="00C345B4">
        <w:rPr>
          <w:rFonts w:ascii="Times New Roman" w:hAnsi="Times New Roman" w:cs="Times New Roman"/>
          <w:lang w:val="sv-SE"/>
        </w:rPr>
        <w:t>Bawah Tangan</w:t>
      </w:r>
      <w:r>
        <w:rPr>
          <w:rFonts w:ascii="Times New Roman" w:hAnsi="Times New Roman" w:cs="Times New Roman"/>
          <w:lang w:val="sv-SE"/>
        </w:rPr>
        <w:t xml:space="preserve"> memuat dua poin putusan; </w:t>
      </w:r>
      <w:r w:rsidRPr="00C84A22">
        <w:rPr>
          <w:rFonts w:ascii="Times New Roman" w:hAnsi="Times New Roman" w:cs="Times New Roman"/>
          <w:i/>
          <w:iCs/>
          <w:lang w:val="sv-SE"/>
        </w:rPr>
        <w:t>Pertama</w:t>
      </w:r>
      <w:r>
        <w:rPr>
          <w:rFonts w:ascii="Times New Roman" w:hAnsi="Times New Roman" w:cs="Times New Roman"/>
          <w:lang w:val="sv-SE"/>
        </w:rPr>
        <w:t xml:space="preserve">, </w:t>
      </w:r>
      <w:r w:rsidRPr="00C345B4">
        <w:rPr>
          <w:rFonts w:ascii="Times New Roman" w:hAnsi="Times New Roman" w:cs="Times New Roman"/>
          <w:lang w:val="sv-SE"/>
        </w:rPr>
        <w:t xml:space="preserve">Pernikahan di bawah tangan hukumnya sah karena telah terpenuhinya syarat dan rukun nikah, tetapi haram jika terdapat </w:t>
      </w:r>
      <w:r w:rsidRPr="00C345B4">
        <w:rPr>
          <w:rFonts w:ascii="Times New Roman" w:hAnsi="Times New Roman" w:cs="Times New Roman"/>
          <w:i/>
          <w:iCs/>
          <w:lang w:val="sv-SE"/>
        </w:rPr>
        <w:t>mudharat</w:t>
      </w:r>
      <w:r>
        <w:rPr>
          <w:rFonts w:ascii="Times New Roman" w:hAnsi="Times New Roman" w:cs="Times New Roman"/>
          <w:lang w:val="sv-SE"/>
        </w:rPr>
        <w:t xml:space="preserve">. </w:t>
      </w:r>
      <w:r w:rsidRPr="00C84A22">
        <w:rPr>
          <w:rFonts w:ascii="Times New Roman" w:hAnsi="Times New Roman" w:cs="Times New Roman"/>
          <w:i/>
          <w:iCs/>
          <w:lang w:val="sv-SE"/>
        </w:rPr>
        <w:t>Kedua</w:t>
      </w:r>
      <w:r>
        <w:rPr>
          <w:rFonts w:ascii="Times New Roman" w:hAnsi="Times New Roman" w:cs="Times New Roman"/>
          <w:lang w:val="sv-SE"/>
        </w:rPr>
        <w:t xml:space="preserve">, </w:t>
      </w:r>
      <w:r w:rsidRPr="00C345B4">
        <w:rPr>
          <w:rFonts w:ascii="Times New Roman" w:hAnsi="Times New Roman" w:cs="Times New Roman"/>
          <w:lang w:val="sv-SE"/>
        </w:rPr>
        <w:t xml:space="preserve">Pernikahan harus dicatatkan secara resmi pada instansi berwenang, sebagai </w:t>
      </w:r>
      <w:r w:rsidRPr="00C345B4">
        <w:rPr>
          <w:rFonts w:ascii="Times New Roman" w:hAnsi="Times New Roman" w:cs="Times New Roman"/>
          <w:lang w:val="sv-SE"/>
        </w:rPr>
        <w:lastRenderedPageBreak/>
        <w:t>langkah preventif untuk menolak dampak negative/</w:t>
      </w:r>
      <w:r w:rsidRPr="00C345B4">
        <w:rPr>
          <w:rFonts w:ascii="Times New Roman" w:hAnsi="Times New Roman" w:cs="Times New Roman"/>
          <w:i/>
          <w:iCs/>
          <w:lang w:val="sv-SE"/>
        </w:rPr>
        <w:t>mudharat</w:t>
      </w:r>
      <w:r w:rsidRPr="00C345B4">
        <w:rPr>
          <w:rFonts w:ascii="Times New Roman" w:hAnsi="Times New Roman" w:cs="Times New Roman"/>
          <w:lang w:val="sv-SE"/>
        </w:rPr>
        <w:t xml:space="preserve"> (</w:t>
      </w:r>
      <w:r w:rsidRPr="00C345B4">
        <w:rPr>
          <w:rFonts w:ascii="Times New Roman" w:hAnsi="Times New Roman" w:cs="Times New Roman"/>
          <w:i/>
          <w:iCs/>
          <w:lang w:val="sv-SE"/>
        </w:rPr>
        <w:t>saddan lidz-dzari’ah</w:t>
      </w:r>
      <w:r w:rsidRPr="00C345B4">
        <w:rPr>
          <w:rFonts w:ascii="Times New Roman" w:hAnsi="Times New Roman" w:cs="Times New Roman"/>
          <w:lang w:val="sv-SE"/>
        </w:rPr>
        <w:t>).</w:t>
      </w:r>
      <w:r w:rsidRPr="00C345B4">
        <w:rPr>
          <w:rStyle w:val="FootnoteReference"/>
          <w:rFonts w:ascii="Times New Roman" w:hAnsi="Times New Roman" w:cs="Times New Roman"/>
          <w:lang w:val="sv-SE"/>
        </w:rPr>
        <w:footnoteReference w:id="878"/>
      </w:r>
      <w:r w:rsidRPr="00C345B4">
        <w:rPr>
          <w:rFonts w:ascii="Times New Roman" w:hAnsi="Times New Roman" w:cs="Times New Roman"/>
          <w:lang w:val="sv-SE"/>
        </w:rPr>
        <w:t xml:space="preserve"> </w:t>
      </w:r>
      <w:r>
        <w:rPr>
          <w:rFonts w:ascii="Times New Roman" w:hAnsi="Times New Roman" w:cs="Times New Roman"/>
          <w:lang w:val="sv-SE"/>
        </w:rPr>
        <w:t>Dalam pertimbangan MUI mengeluarkan fatwa ini menyebutkan bahwa di tengah masyarakat sering ditemui adanya praktik pernikahan di bawah tangan yang tidak tercatat sesuai ketentuan peraturan perundang-undangan, yang tidak jarang menimbulkan dampak negatif                   (</w:t>
      </w:r>
      <w:r w:rsidRPr="00FB3E5A">
        <w:rPr>
          <w:rFonts w:ascii="Times New Roman" w:hAnsi="Times New Roman" w:cs="Times New Roman"/>
          <w:i/>
          <w:iCs/>
          <w:lang w:val="sv-SE"/>
        </w:rPr>
        <w:t>mudhorat</w:t>
      </w:r>
      <w:r>
        <w:rPr>
          <w:rFonts w:ascii="Times New Roman" w:hAnsi="Times New Roman" w:cs="Times New Roman"/>
          <w:lang w:val="sv-SE"/>
        </w:rPr>
        <w:t xml:space="preserve">) terhadap istri dan atau anak yang dilahirkan. </w:t>
      </w:r>
      <w:r>
        <w:rPr>
          <w:rStyle w:val="FootnoteReference"/>
          <w:rFonts w:ascii="Times New Roman" w:hAnsi="Times New Roman" w:cs="Times New Roman"/>
          <w:lang w:val="sv-SE"/>
        </w:rPr>
        <w:footnoteReference w:id="879"/>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C345B4">
        <w:rPr>
          <w:rFonts w:ascii="Times New Roman" w:hAnsi="Times New Roman" w:cs="Times New Roman"/>
          <w:lang w:val="sv-SE"/>
        </w:rPr>
        <w:t xml:space="preserve">Menurut </w:t>
      </w:r>
      <w:r>
        <w:rPr>
          <w:rFonts w:ascii="Times New Roman" w:hAnsi="Times New Roman" w:cs="Times New Roman"/>
          <w:lang w:val="sv-SE"/>
        </w:rPr>
        <w:t>penulis Putusan fatwa ini, untuk poin pertama tidak</w:t>
      </w:r>
      <w:r w:rsidRPr="00C345B4">
        <w:rPr>
          <w:rFonts w:ascii="Times New Roman" w:hAnsi="Times New Roman" w:cs="Times New Roman"/>
          <w:lang w:val="sv-SE"/>
        </w:rPr>
        <w:t xml:space="preserve"> relevan dengan pembaruan hukum keluarga di </w:t>
      </w:r>
      <w:r>
        <w:rPr>
          <w:rFonts w:ascii="Times New Roman" w:hAnsi="Times New Roman" w:cs="Times New Roman"/>
          <w:lang w:val="sv-SE"/>
        </w:rPr>
        <w:t xml:space="preserve">Indonesia, sementara poin kedua sudah </w:t>
      </w:r>
      <w:r w:rsidRPr="00C345B4">
        <w:rPr>
          <w:rFonts w:ascii="Times New Roman" w:hAnsi="Times New Roman" w:cs="Times New Roman"/>
          <w:lang w:val="sv-SE"/>
        </w:rPr>
        <w:t>relevan</w:t>
      </w:r>
      <w:r>
        <w:rPr>
          <w:rFonts w:ascii="Times New Roman" w:hAnsi="Times New Roman" w:cs="Times New Roman"/>
          <w:lang w:val="sv-SE"/>
        </w:rPr>
        <w:t xml:space="preserve">. Sesuai dengan teori </w:t>
      </w:r>
      <w:r w:rsidRPr="00BD1208">
        <w:rPr>
          <w:rFonts w:asciiTheme="majorBidi" w:hAnsiTheme="majorBidi" w:cstheme="majorBidi"/>
          <w:i/>
          <w:iCs/>
          <w:lang w:val="sv-SE"/>
        </w:rPr>
        <w:t>siyasah syar’iyah</w:t>
      </w:r>
      <w:r>
        <w:rPr>
          <w:rFonts w:asciiTheme="majorBidi" w:hAnsiTheme="majorBidi" w:cstheme="majorBidi"/>
          <w:lang w:val="sv-SE"/>
        </w:rPr>
        <w:t xml:space="preserve"> Al-Mawardi yang mengharuskan suatu kebijakan </w:t>
      </w:r>
      <w:r w:rsidRPr="00ED77E4">
        <w:rPr>
          <w:rFonts w:asciiTheme="majorBidi" w:hAnsiTheme="majorBidi" w:cstheme="majorBidi"/>
          <w:i/>
          <w:iCs/>
          <w:lang w:val="sv-SE"/>
        </w:rPr>
        <w:t>siyasah</w:t>
      </w:r>
      <w:r>
        <w:rPr>
          <w:rFonts w:asciiTheme="majorBidi" w:hAnsiTheme="majorBidi" w:cstheme="majorBidi"/>
          <w:lang w:val="sv-SE"/>
        </w:rPr>
        <w:t xml:space="preserve"> itu memberikan perlindungan kepada masyarakat luas. Pada putusan fatwa poin nomor satu, yaitu  yang mengakui sahnya </w:t>
      </w:r>
      <w:r w:rsidRPr="00C345B4">
        <w:rPr>
          <w:rFonts w:ascii="Times New Roman" w:hAnsi="Times New Roman" w:cs="Times New Roman"/>
          <w:lang w:val="sv-SE"/>
        </w:rPr>
        <w:t xml:space="preserve">pernikahan di bawah tangan </w:t>
      </w:r>
      <w:r>
        <w:rPr>
          <w:rFonts w:ascii="Times New Roman" w:hAnsi="Times New Roman" w:cs="Times New Roman"/>
          <w:lang w:val="sv-SE"/>
        </w:rPr>
        <w:t xml:space="preserve">karena </w:t>
      </w:r>
      <w:r w:rsidRPr="00C345B4">
        <w:rPr>
          <w:rFonts w:ascii="Times New Roman" w:hAnsi="Times New Roman" w:cs="Times New Roman"/>
          <w:lang w:val="sv-SE"/>
        </w:rPr>
        <w:t xml:space="preserve">telah terpenuhinya syarat dan rukun nikah, </w:t>
      </w:r>
      <w:r>
        <w:rPr>
          <w:rFonts w:ascii="Times New Roman" w:hAnsi="Times New Roman" w:cs="Times New Roman"/>
          <w:lang w:val="sv-SE"/>
        </w:rPr>
        <w:t xml:space="preserve">sama sekali tidak memberikan perlindungan kepada masyarakat dalam hal ini kepada istri dan anak-anak. Sebab apabila terjadi pengingkaran dari pihak suami atas terjadi perkawinan atau pengingkaran terhadap anak dan juga harta bersama, maka si istri tidak bisa berbuat apa-apa, karena tidak memiliki bukti atas terjadi perkawainan tersebut, karena secara hukum </w:t>
      </w:r>
      <w:r w:rsidRPr="00F555B0">
        <w:rPr>
          <w:rFonts w:asciiTheme="majorBidi" w:hAnsiTheme="majorBidi" w:cstheme="majorBidi"/>
          <w:lang w:val="sv-SE"/>
        </w:rPr>
        <w:t>perkawinan hanya dapat dibuktikan dengan Akta Nikah yang dibuat oleh Petugas Pegawai Pencatat Nikah.</w:t>
      </w:r>
      <w:r>
        <w:rPr>
          <w:rStyle w:val="FootnoteReference"/>
          <w:rFonts w:asciiTheme="majorBidi" w:hAnsiTheme="majorBidi" w:cstheme="majorBidi"/>
        </w:rPr>
        <w:footnoteReference w:id="880"/>
      </w:r>
      <w:r w:rsidRPr="00F555B0">
        <w:rPr>
          <w:rFonts w:asciiTheme="majorBidi" w:hAnsiTheme="majorBidi" w:cstheme="majorBidi"/>
          <w:lang w:val="sv-SE"/>
        </w:rPr>
        <w:t xml:space="preserve"> </w:t>
      </w:r>
      <w:r>
        <w:rPr>
          <w:rFonts w:asciiTheme="majorBidi" w:hAnsiTheme="majorBidi" w:cstheme="majorBidi"/>
        </w:rPr>
        <w:t xml:space="preserve">Dan </w:t>
      </w:r>
      <w:r w:rsidRPr="008F5D32">
        <w:rPr>
          <w:rFonts w:asciiTheme="majorBidi" w:hAnsiTheme="majorBidi" w:cstheme="majorBidi"/>
        </w:rPr>
        <w:t xml:space="preserve">perkawinan yang dilakukan di luar pengawasan Petugas Pegawai Pencatat Nikah tidak mempunyai kekuatan </w:t>
      </w:r>
      <w:r>
        <w:rPr>
          <w:rFonts w:asciiTheme="majorBidi" w:hAnsiTheme="majorBidi" w:cstheme="majorBidi"/>
        </w:rPr>
        <w:t>hukum.</w:t>
      </w:r>
      <w:r>
        <w:rPr>
          <w:rStyle w:val="FootnoteReference"/>
          <w:rFonts w:asciiTheme="majorBidi" w:hAnsiTheme="majorBidi" w:cstheme="majorBidi"/>
        </w:rPr>
        <w:footnoteReference w:id="881"/>
      </w:r>
      <w:r w:rsidRPr="008F5D32">
        <w:rPr>
          <w:rFonts w:asciiTheme="majorBidi" w:hAnsiTheme="majorBidi" w:cstheme="majorBidi"/>
        </w:rPr>
        <w:t xml:space="preserve"> </w:t>
      </w:r>
    </w:p>
    <w:p w:rsidR="00343B61" w:rsidRPr="009A4B62" w:rsidRDefault="00343B61" w:rsidP="00343B61">
      <w:pPr>
        <w:pStyle w:val="ListParagraph"/>
        <w:spacing w:after="0" w:line="360" w:lineRule="auto"/>
        <w:ind w:left="0" w:firstLine="720"/>
        <w:jc w:val="both"/>
        <w:rPr>
          <w:rFonts w:asciiTheme="majorBidi" w:hAnsiTheme="majorBidi" w:cstheme="majorBidi"/>
          <w:i/>
          <w:iCs/>
        </w:rPr>
      </w:pPr>
      <w:r w:rsidRPr="009A4B62">
        <w:rPr>
          <w:rFonts w:asciiTheme="majorBidi" w:hAnsiTheme="majorBidi" w:cstheme="majorBidi"/>
        </w:rPr>
        <w:t xml:space="preserve">Sementara putusan fatwa poin nomor dua, bila dianalisa dengan teori </w:t>
      </w:r>
      <w:r>
        <w:rPr>
          <w:rFonts w:asciiTheme="majorBidi" w:hAnsiTheme="majorBidi" w:cstheme="majorBidi"/>
          <w:i/>
          <w:iCs/>
          <w:lang w:val="sv-SE"/>
        </w:rPr>
        <w:t xml:space="preserve">siyāsah </w:t>
      </w:r>
      <w:r w:rsidRPr="009A4B62">
        <w:rPr>
          <w:rFonts w:asciiTheme="majorBidi" w:hAnsiTheme="majorBidi" w:cstheme="majorBidi"/>
          <w:i/>
          <w:iCs/>
          <w:lang w:val="sv-SE"/>
        </w:rPr>
        <w:t>syar</w:t>
      </w:r>
      <w:r w:rsidRPr="009A4B62">
        <w:rPr>
          <w:rFonts w:asciiTheme="majorBidi" w:hAnsiTheme="majorBidi" w:cstheme="majorBidi"/>
          <w:lang w:val="sv-SE"/>
        </w:rPr>
        <w:t>‘</w:t>
      </w:r>
      <w:r w:rsidRPr="009A4B62">
        <w:rPr>
          <w:rFonts w:asciiTheme="majorBidi" w:hAnsiTheme="majorBidi" w:cstheme="majorBidi"/>
          <w:i/>
          <w:iCs/>
          <w:lang w:val="sv-SE"/>
        </w:rPr>
        <w:t xml:space="preserve">iyyah </w:t>
      </w:r>
      <w:r w:rsidRPr="009A4B62">
        <w:rPr>
          <w:rFonts w:asciiTheme="majorBidi" w:hAnsiTheme="majorBidi" w:cstheme="majorBidi"/>
          <w:lang w:val="sv-SE"/>
        </w:rPr>
        <w:t xml:space="preserve">yang mengharuskan suatu kebijakan itu sesuai dan tidak bertentangan dengan syariat Islam, menciptakan rasa keadilan dalam masyarakat ( </w:t>
      </w:r>
      <w:r w:rsidRPr="009A4B62">
        <w:rPr>
          <w:rFonts w:asciiTheme="majorBidi" w:hAnsiTheme="majorBidi" w:cstheme="majorBidi"/>
          <w:i/>
          <w:iCs/>
          <w:lang w:val="sv-SE"/>
        </w:rPr>
        <w:t>ta</w:t>
      </w:r>
      <w:r w:rsidRPr="009A4B62">
        <w:rPr>
          <w:rFonts w:asciiTheme="majorBidi" w:hAnsiTheme="majorBidi" w:cstheme="majorBidi"/>
          <w:i/>
          <w:iCs/>
          <w:u w:val="single"/>
          <w:lang w:val="id-ID"/>
        </w:rPr>
        <w:t>h</w:t>
      </w:r>
      <w:r w:rsidRPr="009A4B62">
        <w:rPr>
          <w:rFonts w:asciiTheme="majorBidi" w:hAnsiTheme="majorBidi" w:cstheme="majorBidi"/>
          <w:i/>
          <w:iCs/>
          <w:lang w:val="sv-SE"/>
        </w:rPr>
        <w:t>qiq al-‘adalah</w:t>
      </w:r>
      <w:r w:rsidRPr="009A4B62">
        <w:rPr>
          <w:rFonts w:asciiTheme="majorBidi" w:hAnsiTheme="majorBidi" w:cstheme="majorBidi"/>
          <w:lang w:val="sv-SE"/>
        </w:rPr>
        <w:t xml:space="preserve">) dan menciptakan kemaslahatan dan menolak kemudharatan ( </w:t>
      </w:r>
      <w:r w:rsidRPr="009A4B62">
        <w:rPr>
          <w:rFonts w:asciiTheme="majorBidi" w:hAnsiTheme="majorBidi" w:cstheme="majorBidi"/>
          <w:i/>
          <w:iCs/>
          <w:lang w:val="sv-SE"/>
        </w:rPr>
        <w:t>jalb al-ma</w:t>
      </w:r>
      <w:r w:rsidRPr="009A4B62">
        <w:rPr>
          <w:rFonts w:asciiTheme="majorBidi" w:hAnsiTheme="majorBidi" w:cstheme="majorBidi"/>
          <w:i/>
          <w:iCs/>
          <w:color w:val="222222"/>
        </w:rPr>
        <w:t>ṣ</w:t>
      </w:r>
      <w:r w:rsidRPr="009A4B62">
        <w:rPr>
          <w:rFonts w:asciiTheme="majorBidi" w:hAnsiTheme="majorBidi" w:cstheme="majorBidi"/>
          <w:i/>
          <w:iCs/>
          <w:lang w:val="sv-SE"/>
        </w:rPr>
        <w:t>ālih wa daf‘u al-mafāsid</w:t>
      </w:r>
      <w:r w:rsidRPr="009A4B62">
        <w:rPr>
          <w:rFonts w:asciiTheme="majorBidi" w:hAnsiTheme="majorBidi" w:cstheme="majorBidi"/>
          <w:lang w:val="sv-SE"/>
        </w:rPr>
        <w:t>), menurut penulis putusan fatwa tersebut yakni“ Pernikahan harus dicatatkan secara resmi pada instansi berwenang, sebagai langkah preventif untuk menolak dampak negative/</w:t>
      </w:r>
      <w:r w:rsidRPr="009A4B62">
        <w:rPr>
          <w:rFonts w:asciiTheme="majorBidi" w:hAnsiTheme="majorBidi" w:cstheme="majorBidi"/>
          <w:i/>
          <w:iCs/>
          <w:lang w:val="sv-SE"/>
        </w:rPr>
        <w:t>mudharat</w:t>
      </w:r>
      <w:r w:rsidRPr="009A4B62">
        <w:rPr>
          <w:rFonts w:asciiTheme="majorBidi" w:hAnsiTheme="majorBidi" w:cstheme="majorBidi"/>
          <w:lang w:val="sv-SE"/>
        </w:rPr>
        <w:t xml:space="preserve"> (</w:t>
      </w:r>
      <w:r w:rsidRPr="009A4B62">
        <w:rPr>
          <w:rFonts w:asciiTheme="majorBidi" w:hAnsiTheme="majorBidi" w:cstheme="majorBidi"/>
          <w:i/>
          <w:iCs/>
        </w:rPr>
        <w:t xml:space="preserve">sadd </w:t>
      </w:r>
      <w:r w:rsidRPr="009A4B62">
        <w:rPr>
          <w:rFonts w:asciiTheme="majorBidi" w:hAnsiTheme="majorBidi" w:cstheme="majorBidi"/>
          <w:i/>
          <w:iCs/>
          <w:lang w:val="sv-SE"/>
        </w:rPr>
        <w:t>li</w:t>
      </w:r>
      <w:r>
        <w:rPr>
          <w:rFonts w:asciiTheme="majorBidi" w:hAnsiTheme="majorBidi" w:cstheme="majorBidi"/>
          <w:i/>
          <w:iCs/>
          <w:lang w:val="sv-SE"/>
        </w:rPr>
        <w:t xml:space="preserve"> </w:t>
      </w:r>
      <w:r w:rsidRPr="009A4B62">
        <w:rPr>
          <w:rFonts w:asciiTheme="majorBidi" w:hAnsiTheme="majorBidi" w:cstheme="majorBidi"/>
          <w:i/>
          <w:iCs/>
        </w:rPr>
        <w:t>al-</w:t>
      </w:r>
      <w:r w:rsidRPr="009A4B62">
        <w:rPr>
          <w:rFonts w:asciiTheme="majorBidi" w:hAnsiTheme="majorBidi" w:cstheme="majorBidi"/>
          <w:color w:val="222222"/>
        </w:rPr>
        <w:t xml:space="preserve"> ż</w:t>
      </w:r>
      <w:r w:rsidRPr="009A4B62">
        <w:rPr>
          <w:rFonts w:asciiTheme="majorBidi" w:hAnsiTheme="majorBidi" w:cstheme="majorBidi"/>
          <w:i/>
          <w:iCs/>
        </w:rPr>
        <w:t>arī</w:t>
      </w:r>
      <w:r w:rsidRPr="009A4B62">
        <w:rPr>
          <w:rFonts w:asciiTheme="majorBidi" w:hAnsiTheme="majorBidi" w:cstheme="majorBidi"/>
        </w:rPr>
        <w:t>‘</w:t>
      </w:r>
      <w:r w:rsidRPr="009A4B62">
        <w:rPr>
          <w:rFonts w:asciiTheme="majorBidi" w:hAnsiTheme="majorBidi" w:cstheme="majorBidi"/>
          <w:i/>
          <w:iCs/>
        </w:rPr>
        <w:t>ah</w:t>
      </w:r>
      <w:r w:rsidRPr="009A4B62">
        <w:rPr>
          <w:rFonts w:asciiTheme="majorBidi" w:hAnsiTheme="majorBidi" w:cstheme="majorBidi"/>
          <w:lang w:val="sv-SE"/>
        </w:rPr>
        <w:t>)” sudah menciptakan kemaslahatan dan menolak kemudhoratan, dan pada gilirannya putusan fatwa poin nomor dua ini relevan dengan pembaruan hukum keluarga di Indonesia, dengan beberapa argument;</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heme="majorBidi" w:hAnsiTheme="majorBidi" w:cstheme="majorBidi"/>
        </w:rPr>
        <w:lastRenderedPageBreak/>
        <w:t xml:space="preserve">Pertama, bahwa putusan fatwa ini sejalan dengan bunyi </w:t>
      </w:r>
      <w:r w:rsidRPr="00F638C2">
        <w:rPr>
          <w:rFonts w:ascii="Times New Roman" w:hAnsi="Times New Roman" w:cs="Times New Roman"/>
        </w:rPr>
        <w:t>U</w:t>
      </w:r>
      <w:r>
        <w:rPr>
          <w:rFonts w:ascii="Times New Roman" w:hAnsi="Times New Roman" w:cs="Times New Roman"/>
        </w:rPr>
        <w:t>ndang-</w:t>
      </w:r>
      <w:r w:rsidRPr="00F638C2">
        <w:rPr>
          <w:rFonts w:ascii="Times New Roman" w:hAnsi="Times New Roman" w:cs="Times New Roman"/>
        </w:rPr>
        <w:t>U</w:t>
      </w:r>
      <w:r>
        <w:rPr>
          <w:rFonts w:ascii="Times New Roman" w:hAnsi="Times New Roman" w:cs="Times New Roman"/>
        </w:rPr>
        <w:t>ndang</w:t>
      </w:r>
      <w:r w:rsidRPr="00F638C2">
        <w:rPr>
          <w:rFonts w:ascii="Times New Roman" w:hAnsi="Times New Roman" w:cs="Times New Roman"/>
        </w:rPr>
        <w:t xml:space="preserve"> No. 1 Tahun 1974 pasal 2 ayat (2), </w:t>
      </w:r>
      <w:r w:rsidRPr="00F638C2">
        <w:rPr>
          <w:rFonts w:ascii="TimesNewRoman" w:hAnsi="Times New Roman" w:cs="TimesNewRoman" w:hint="cs"/>
        </w:rPr>
        <w:t>“</w:t>
      </w:r>
      <w:r w:rsidRPr="00F638C2">
        <w:rPr>
          <w:rFonts w:ascii="TimesNewRoman" w:hAnsi="Times New Roman" w:cs="TimesNewRoman"/>
        </w:rPr>
        <w:t xml:space="preserve"> </w:t>
      </w:r>
      <w:r w:rsidRPr="00F638C2">
        <w:rPr>
          <w:rFonts w:ascii="Times New Roman" w:hAnsi="Times New Roman" w:cs="Times New Roman"/>
        </w:rPr>
        <w:t>tiap-tiap perkawinan dicatat menurut peraturan perundang-undangan yang berlaku</w:t>
      </w:r>
      <w:r w:rsidRPr="00F638C2">
        <w:rPr>
          <w:rFonts w:ascii="TimesNewRoman" w:hAnsi="Times New Roman" w:cs="TimesNewRoman" w:hint="cs"/>
        </w:rPr>
        <w:t>”</w:t>
      </w:r>
      <w:r>
        <w:rPr>
          <w:rFonts w:ascii="TimesNewRoman" w:hAnsi="Times New Roman" w:cs="TimesNewRoman"/>
        </w:rPr>
        <w:t>.</w:t>
      </w:r>
      <w:r>
        <w:rPr>
          <w:rStyle w:val="FootnoteReference"/>
          <w:rFonts w:ascii="TimesNewRoman" w:hAnsi="Times New Roman" w:cs="TimesNewRoman"/>
        </w:rPr>
        <w:footnoteReference w:id="882"/>
      </w:r>
      <w:r>
        <w:rPr>
          <w:rFonts w:ascii="TimesNewRoman" w:hAnsi="Times New Roman" w:cs="TimesNewRoman"/>
        </w:rPr>
        <w:t xml:space="preserve"> </w:t>
      </w:r>
      <w:r>
        <w:rPr>
          <w:rFonts w:asciiTheme="majorBidi" w:hAnsiTheme="majorBidi" w:cstheme="majorBidi"/>
        </w:rPr>
        <w:t xml:space="preserve">Dan </w:t>
      </w:r>
      <w:r w:rsidRPr="008F5D32">
        <w:rPr>
          <w:rFonts w:asciiTheme="majorBidi" w:hAnsiTheme="majorBidi" w:cstheme="majorBidi"/>
        </w:rPr>
        <w:t>dalam Kompilasi Hukum Islam</w:t>
      </w:r>
      <w:r>
        <w:rPr>
          <w:rFonts w:asciiTheme="majorBidi" w:hAnsiTheme="majorBidi" w:cstheme="majorBidi"/>
        </w:rPr>
        <w:t xml:space="preserve"> disebutkan</w:t>
      </w:r>
      <w:r w:rsidRPr="008F5D32">
        <w:rPr>
          <w:rFonts w:asciiTheme="majorBidi" w:hAnsiTheme="majorBidi" w:cstheme="majorBidi"/>
        </w:rPr>
        <w:t xml:space="preserve"> setiap perkawinan harus dicatat oleh Petugas Pegawai Pencatat Nikah, dengan tujuan untuk terjaminnya ketertiban pe</w:t>
      </w:r>
      <w:r>
        <w:rPr>
          <w:rFonts w:asciiTheme="majorBidi" w:hAnsiTheme="majorBidi" w:cstheme="majorBidi"/>
        </w:rPr>
        <w:t>rkawinan bagi masyarakat Islam.</w:t>
      </w:r>
      <w:r>
        <w:rPr>
          <w:rStyle w:val="FootnoteReference"/>
          <w:rFonts w:asciiTheme="majorBidi" w:hAnsiTheme="majorBidi" w:cstheme="majorBidi"/>
        </w:rPr>
        <w:footnoteReference w:id="883"/>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heme="majorBidi" w:hAnsiTheme="majorBidi" w:cstheme="majorBidi"/>
        </w:rPr>
        <w:t xml:space="preserve">Kedua, </w:t>
      </w:r>
      <w:r>
        <w:rPr>
          <w:rFonts w:ascii="Times New Roman" w:hAnsi="Times New Roman" w:cs="Times New Roman"/>
        </w:rPr>
        <w:t xml:space="preserve">Pencatatan perkawinan walaupun dalam fiqh klasik tidak termasuk dalam rukun perkawinan, tetapi sangat berguna untuk kemaslahatan suami isteri atau untuk kepentingan administrasi perkawinan itu sendiri dalam rangka memelihara ketertiban umum atau kepentingan suami isteri bersangkutan dan anak-anaknya. </w:t>
      </w:r>
      <w:r w:rsidRPr="00856F89">
        <w:rPr>
          <w:rFonts w:ascii="Times New Roman" w:hAnsi="Times New Roman" w:cs="Times New Roman"/>
          <w:lang w:val="sv-SE"/>
        </w:rPr>
        <w:t xml:space="preserve">Memang dahulu perkawinan sudah sah dengan dipenuhinya syarat -syarat materiil dengan melaksanakan </w:t>
      </w:r>
      <w:r>
        <w:rPr>
          <w:rFonts w:ascii="Times New Roman" w:hAnsi="Times New Roman" w:cs="Times New Roman"/>
          <w:i/>
          <w:iCs/>
          <w:lang w:val="sv-SE"/>
        </w:rPr>
        <w:t>ijab qa</w:t>
      </w:r>
      <w:r w:rsidRPr="00856F89">
        <w:rPr>
          <w:rFonts w:ascii="Times New Roman" w:hAnsi="Times New Roman" w:cs="Times New Roman"/>
          <w:i/>
          <w:iCs/>
          <w:lang w:val="sv-SE"/>
        </w:rPr>
        <w:t xml:space="preserve">bul </w:t>
      </w:r>
      <w:r w:rsidRPr="00856F89">
        <w:rPr>
          <w:rFonts w:ascii="Times New Roman" w:hAnsi="Times New Roman" w:cs="Times New Roman"/>
          <w:lang w:val="sv-SE"/>
        </w:rPr>
        <w:t>sesuai dengan sunnah</w:t>
      </w:r>
      <w:r>
        <w:rPr>
          <w:rFonts w:ascii="Times New Roman" w:hAnsi="Times New Roman" w:cs="Times New Roman"/>
          <w:lang w:val="sv-SE"/>
        </w:rPr>
        <w:t xml:space="preserve"> </w:t>
      </w:r>
      <w:r w:rsidRPr="00856F89">
        <w:rPr>
          <w:rFonts w:ascii="Times New Roman" w:hAnsi="Times New Roman" w:cs="Times New Roman"/>
          <w:lang w:val="sv-SE"/>
        </w:rPr>
        <w:t>Rasulullah. Tetapi tuntutan persyaratan formil berupa pencatatan perkawinan yang sudah menjadi kelaziman di masa modern sekarang ini,</w:t>
      </w:r>
      <w:r w:rsidRPr="00856F89">
        <w:rPr>
          <w:rFonts w:ascii="TimesNewRoman" w:hAnsi="Times New Roman" w:cs="TimesNewRoman"/>
          <w:lang w:val="sv-SE"/>
        </w:rPr>
        <w:t xml:space="preserve"> </w:t>
      </w:r>
      <w:r w:rsidRPr="00856F89">
        <w:rPr>
          <w:rFonts w:ascii="Times New Roman" w:hAnsi="Times New Roman" w:cs="Times New Roman"/>
          <w:lang w:val="sv-SE"/>
        </w:rPr>
        <w:t>harus diterima sebagai persyaratan dalam konteks pengertian hukum Islam.</w:t>
      </w:r>
      <w:r>
        <w:rPr>
          <w:rFonts w:ascii="Times New Roman" w:hAnsi="Times New Roman" w:cs="Times New Roman"/>
          <w:lang w:val="sv-SE"/>
        </w:rPr>
        <w:t xml:space="preserve"> </w:t>
      </w:r>
      <w:r w:rsidRPr="00856F89">
        <w:rPr>
          <w:rFonts w:ascii="Times New Roman" w:hAnsi="Times New Roman" w:cs="Times New Roman"/>
          <w:lang w:val="sv-SE"/>
        </w:rPr>
        <w:t>Dalam konteks ini, Jimly Assiddieqy menyimp</w:t>
      </w:r>
      <w:r>
        <w:rPr>
          <w:rFonts w:ascii="Times New Roman" w:hAnsi="Times New Roman" w:cs="Times New Roman"/>
          <w:lang w:val="sv-SE"/>
        </w:rPr>
        <w:t>ulkan</w:t>
      </w:r>
      <w:r w:rsidRPr="00856F89">
        <w:rPr>
          <w:rFonts w:ascii="Times New Roman" w:hAnsi="Times New Roman" w:cs="Times New Roman"/>
          <w:lang w:val="sv-SE"/>
        </w:rPr>
        <w:t>:</w:t>
      </w:r>
      <w:r>
        <w:rPr>
          <w:rFonts w:ascii="Times New Roman" w:hAnsi="Times New Roman" w:cs="Times New Roman"/>
          <w:lang w:val="sv-SE"/>
        </w:rPr>
        <w:t xml:space="preserve"> </w:t>
      </w:r>
      <w:r w:rsidRPr="00856F89">
        <w:rPr>
          <w:rFonts w:ascii="TimesNewRoman" w:hAnsi="Times New Roman" w:cs="TimesNewRoman" w:hint="cs"/>
          <w:lang w:val="sv-SE"/>
        </w:rPr>
        <w:t>“</w:t>
      </w:r>
      <w:r w:rsidRPr="00856F89">
        <w:rPr>
          <w:rFonts w:ascii="Times New Roman" w:hAnsi="Times New Roman" w:cs="Times New Roman"/>
          <w:lang w:val="sv-SE"/>
        </w:rPr>
        <w:t>jika</w:t>
      </w:r>
      <w:r>
        <w:rPr>
          <w:rFonts w:ascii="Times New Roman" w:hAnsi="Times New Roman" w:cs="Times New Roman"/>
          <w:lang w:val="sv-SE"/>
        </w:rPr>
        <w:t xml:space="preserve"> </w:t>
      </w:r>
      <w:r w:rsidRPr="00856F89">
        <w:rPr>
          <w:rFonts w:ascii="Times New Roman" w:hAnsi="Times New Roman" w:cs="Times New Roman"/>
          <w:lang w:val="sv-SE"/>
        </w:rPr>
        <w:t>ada ketentuan yang mengharuskan dipenuhinya syarat formil itu</w:t>
      </w:r>
      <w:r>
        <w:rPr>
          <w:rFonts w:ascii="Times New Roman" w:hAnsi="Times New Roman" w:cs="Times New Roman"/>
          <w:lang w:val="sv-SE"/>
        </w:rPr>
        <w:t xml:space="preserve"> </w:t>
      </w:r>
      <w:r w:rsidRPr="00856F89">
        <w:rPr>
          <w:rFonts w:ascii="Times New Roman" w:hAnsi="Times New Roman" w:cs="Times New Roman"/>
          <w:lang w:val="sv-SE"/>
        </w:rPr>
        <w:t>disamping syarat materiil, hendaklah keduanya dipahami sebagai hukum</w:t>
      </w:r>
      <w:r>
        <w:rPr>
          <w:rFonts w:ascii="Times New Roman" w:hAnsi="Times New Roman" w:cs="Times New Roman"/>
          <w:lang w:val="sv-SE"/>
        </w:rPr>
        <w:t xml:space="preserve"> </w:t>
      </w:r>
      <w:r w:rsidRPr="00856F89">
        <w:rPr>
          <w:rFonts w:ascii="Times New Roman" w:hAnsi="Times New Roman" w:cs="Times New Roman"/>
          <w:lang w:val="sv-SE"/>
        </w:rPr>
        <w:t>Islam</w:t>
      </w:r>
      <w:r w:rsidRPr="00856F89">
        <w:rPr>
          <w:rFonts w:ascii="TimesNewRoman" w:hAnsi="Times New Roman" w:cs="TimesNewRoman" w:hint="cs"/>
          <w:lang w:val="sv-SE"/>
        </w:rPr>
        <w:t>”</w:t>
      </w:r>
      <w:r w:rsidRPr="00856F89">
        <w:rPr>
          <w:rFonts w:ascii="Times New Roman" w:hAnsi="Times New Roman" w:cs="Times New Roman"/>
          <w:lang w:val="sv-SE"/>
        </w:rPr>
        <w:t>.</w:t>
      </w:r>
      <w:r>
        <w:rPr>
          <w:rStyle w:val="FootnoteReference"/>
          <w:rFonts w:ascii="Times New Roman" w:hAnsi="Times New Roman" w:cs="Times New Roman"/>
          <w:lang w:val="sv-SE"/>
        </w:rPr>
        <w:footnoteReference w:id="884"/>
      </w:r>
    </w:p>
    <w:p w:rsidR="00343B61" w:rsidRPr="00DF5610" w:rsidRDefault="00343B61" w:rsidP="00343B61">
      <w:pPr>
        <w:spacing w:after="0" w:line="360" w:lineRule="auto"/>
        <w:ind w:firstLine="720"/>
        <w:jc w:val="both"/>
        <w:rPr>
          <w:rFonts w:asciiTheme="majorBidi" w:hAnsiTheme="majorBidi" w:cstheme="majorBidi"/>
        </w:rPr>
      </w:pPr>
      <w:r>
        <w:rPr>
          <w:rFonts w:ascii="Times New Roman" w:hAnsi="Times New Roman" w:cs="Times New Roman"/>
          <w:lang w:val="sv-SE"/>
        </w:rPr>
        <w:t>Ketiga, Penulis sependapat dengan Daud Ali yang mengatakan bahwa</w:t>
      </w:r>
      <w:r>
        <w:rPr>
          <w:rFonts w:asciiTheme="majorBidi" w:hAnsiTheme="majorBidi" w:cstheme="majorBidi"/>
          <w:lang w:val="sv-SE"/>
        </w:rPr>
        <w:t xml:space="preserve"> </w:t>
      </w:r>
      <w:r w:rsidRPr="00097E06">
        <w:rPr>
          <w:rFonts w:ascii="Times New Roman" w:hAnsi="Times New Roman" w:cs="Times New Roman"/>
          <w:lang w:val="sv-SE"/>
        </w:rPr>
        <w:t xml:space="preserve">dalam sistem hukum perkawinan Indonesia sekarang, pencatatan nikah, kendatipun ia bukan rukun menurut hukum pernikahan Islam klasik, tetapi berdasarkan </w:t>
      </w:r>
      <w:r w:rsidRPr="009A4B62">
        <w:rPr>
          <w:rFonts w:asciiTheme="majorBidi" w:hAnsiTheme="majorBidi" w:cstheme="majorBidi"/>
          <w:i/>
          <w:iCs/>
          <w:lang w:val="sv-SE"/>
        </w:rPr>
        <w:t>ma</w:t>
      </w:r>
      <w:r w:rsidRPr="009A4B62">
        <w:rPr>
          <w:rFonts w:asciiTheme="majorBidi" w:hAnsiTheme="majorBidi" w:cstheme="majorBidi"/>
          <w:i/>
          <w:iCs/>
          <w:color w:val="222222"/>
          <w:lang w:val="sv-SE"/>
        </w:rPr>
        <w:t>ṣ</w:t>
      </w:r>
      <w:r w:rsidRPr="009A4B62">
        <w:rPr>
          <w:rFonts w:asciiTheme="majorBidi" w:hAnsiTheme="majorBidi" w:cstheme="majorBidi"/>
          <w:i/>
          <w:iCs/>
          <w:lang w:val="sv-SE"/>
        </w:rPr>
        <w:t>la</w:t>
      </w:r>
      <w:r w:rsidRPr="009A4B62">
        <w:rPr>
          <w:rFonts w:asciiTheme="majorBidi" w:hAnsiTheme="majorBidi" w:cstheme="majorBidi"/>
          <w:i/>
          <w:iCs/>
          <w:u w:val="single"/>
          <w:lang w:val="sv-SE"/>
        </w:rPr>
        <w:t>h</w:t>
      </w:r>
      <w:r w:rsidRPr="009A4B62">
        <w:rPr>
          <w:rFonts w:asciiTheme="majorBidi" w:hAnsiTheme="majorBidi" w:cstheme="majorBidi"/>
          <w:i/>
          <w:iCs/>
          <w:lang w:val="sv-SE"/>
        </w:rPr>
        <w:t>ah</w:t>
      </w:r>
      <w:r w:rsidRPr="00097E06">
        <w:rPr>
          <w:rFonts w:ascii="Times New Roman" w:hAnsi="Times New Roman" w:cs="Times New Roman"/>
          <w:i/>
          <w:iCs/>
          <w:lang w:val="sv-SE"/>
        </w:rPr>
        <w:t xml:space="preserve"> mursalah</w:t>
      </w:r>
      <w:r w:rsidRPr="00097E06">
        <w:rPr>
          <w:rFonts w:ascii="Times New Roman" w:hAnsi="Times New Roman" w:cs="Times New Roman"/>
          <w:lang w:val="sv-SE"/>
        </w:rPr>
        <w:t xml:space="preserve">, pencatatan itu </w:t>
      </w:r>
      <w:r w:rsidRPr="00097E06">
        <w:rPr>
          <w:rFonts w:ascii="Times New Roman" w:hAnsi="Times New Roman" w:cs="Times New Roman"/>
          <w:i/>
          <w:iCs/>
          <w:lang w:val="sv-SE"/>
        </w:rPr>
        <w:t xml:space="preserve">conditie sine qua non </w:t>
      </w:r>
      <w:r w:rsidRPr="00097E06">
        <w:rPr>
          <w:rFonts w:ascii="Times New Roman" w:hAnsi="Times New Roman" w:cs="Times New Roman"/>
          <w:lang w:val="sv-SE"/>
        </w:rPr>
        <w:t>(syarat mutlak) bagi suami isteri bersangkutan dan anak-anaknya, karena menyangkut masalah kewarisan mereka nanti.</w:t>
      </w:r>
      <w:r w:rsidRPr="00097E06">
        <w:rPr>
          <w:rFonts w:ascii="TimesNewRoman" w:hAnsi="Times New Roman" w:cs="TimesNewRoman" w:hint="cs"/>
          <w:lang w:val="sv-SE"/>
        </w:rPr>
        <w:t>”</w:t>
      </w:r>
      <w:r>
        <w:rPr>
          <w:rStyle w:val="FootnoteReference"/>
          <w:rFonts w:ascii="TimesNewRoman" w:hAnsi="Times New Roman" w:cs="TimesNewRoman"/>
        </w:rPr>
        <w:footnoteReference w:id="885"/>
      </w:r>
      <w:r>
        <w:rPr>
          <w:rFonts w:ascii="TimesNewRoman" w:hAnsi="Times New Roman" w:cs="TimesNewRoman"/>
          <w:lang w:val="sv-SE"/>
        </w:rPr>
        <w:t xml:space="preserve"> </w:t>
      </w:r>
      <w:r w:rsidRPr="00DF5610">
        <w:rPr>
          <w:rFonts w:asciiTheme="majorBidi" w:hAnsiTheme="majorBidi" w:cstheme="majorBidi"/>
          <w:lang w:val="sv-SE"/>
        </w:rPr>
        <w:t>Dan</w:t>
      </w:r>
      <w:r>
        <w:rPr>
          <w:rFonts w:ascii="TimesNewRoman" w:hAnsi="Times New Roman" w:cs="TimesNewRoman"/>
          <w:lang w:val="sv-SE"/>
        </w:rPr>
        <w:t xml:space="preserve"> </w:t>
      </w:r>
      <w:r>
        <w:rPr>
          <w:rFonts w:ascii="Times New Roman" w:hAnsi="Times New Roman" w:cs="Times New Roman"/>
        </w:rPr>
        <w:t xml:space="preserve">dalam penjelasan pasal 1 ayat </w:t>
      </w:r>
      <w:r w:rsidRPr="002737B9">
        <w:rPr>
          <w:rFonts w:ascii="Times New Roman" w:hAnsi="Times New Roman" w:cs="Times New Roman"/>
        </w:rPr>
        <w:t>1 dinyatakan tujuan</w:t>
      </w:r>
      <w:r>
        <w:rPr>
          <w:rFonts w:ascii="Times New Roman" w:hAnsi="Times New Roman" w:cs="Times New Roman"/>
        </w:rPr>
        <w:t xml:space="preserve"> </w:t>
      </w:r>
      <w:r w:rsidRPr="002737B9">
        <w:rPr>
          <w:rFonts w:ascii="Times New Roman" w:hAnsi="Times New Roman" w:cs="Times New Roman"/>
        </w:rPr>
        <w:t>pencatatan agar mendapat</w:t>
      </w:r>
      <w:r>
        <w:rPr>
          <w:rFonts w:ascii="Times New Roman" w:hAnsi="Times New Roman" w:cs="Times New Roman"/>
        </w:rPr>
        <w:t xml:space="preserve"> kepastian hukum dan ketertiban.</w:t>
      </w:r>
      <w:r>
        <w:rPr>
          <w:rStyle w:val="FootnoteReference"/>
          <w:rFonts w:ascii="Times New Roman" w:hAnsi="Times New Roman" w:cs="Times New Roman"/>
        </w:rPr>
        <w:footnoteReference w:id="886"/>
      </w:r>
    </w:p>
    <w:p w:rsidR="00343B61" w:rsidRDefault="00343B61" w:rsidP="00343B61">
      <w:pPr>
        <w:autoSpaceDE w:val="0"/>
        <w:autoSpaceDN w:val="0"/>
        <w:adjustRightInd w:val="0"/>
        <w:spacing w:after="0" w:line="360" w:lineRule="auto"/>
        <w:ind w:firstLine="720"/>
        <w:jc w:val="both"/>
        <w:rPr>
          <w:rFonts w:ascii="TimesNewRoman" w:hAnsi="Times New Roman" w:cs="TimesNewRoman"/>
        </w:rPr>
      </w:pPr>
      <w:r>
        <w:rPr>
          <w:rFonts w:ascii="Times New Roman" w:hAnsi="Times New Roman" w:cs="Times New Roman"/>
        </w:rPr>
        <w:lastRenderedPageBreak/>
        <w:t xml:space="preserve">Dari berbagai ketentuan pasal-pasal KHI tersebut, pada hakikatnya fungsi pencatatan perkawinan menurut hukum Islam yang berlaku di Indonesia (KHI), adalah merupakan </w:t>
      </w:r>
      <w:r>
        <w:rPr>
          <w:rFonts w:ascii="TimesNewRoman" w:hAnsi="Times New Roman" w:cs="TimesNewRoman" w:hint="cs"/>
        </w:rPr>
        <w:t>“</w:t>
      </w:r>
      <w:r>
        <w:rPr>
          <w:rFonts w:ascii="Times New Roman" w:hAnsi="Times New Roman" w:cs="Times New Roman"/>
        </w:rPr>
        <w:t>keharusan</w:t>
      </w:r>
      <w:r>
        <w:rPr>
          <w:rFonts w:ascii="TimesNewRoman" w:hAnsi="Times New Roman" w:cs="TimesNewRoman" w:hint="cs"/>
        </w:rPr>
        <w:t>”</w:t>
      </w:r>
      <w:r>
        <w:rPr>
          <w:rFonts w:ascii="TimesNewRoman" w:hAnsi="Times New Roman" w:cs="TimesNewRoman"/>
        </w:rPr>
        <w:t xml:space="preserve"> </w:t>
      </w:r>
      <w:r>
        <w:rPr>
          <w:rFonts w:ascii="Times New Roman" w:hAnsi="Times New Roman" w:cs="Times New Roman"/>
        </w:rPr>
        <w:t xml:space="preserve">hukum dan termasuk dari siayasah syar’iyah Negara. Keharusan itu didasarkan pada pengembangan </w:t>
      </w:r>
      <w:r>
        <w:rPr>
          <w:rFonts w:ascii="TimesNewRoman" w:hAnsi="Times New Roman" w:cs="TimesNewRoman" w:hint="cs"/>
        </w:rPr>
        <w:t>‘</w:t>
      </w:r>
      <w:r>
        <w:rPr>
          <w:rFonts w:ascii="Times New Roman" w:hAnsi="Times New Roman" w:cs="Times New Roman"/>
          <w:i/>
          <w:iCs/>
        </w:rPr>
        <w:t xml:space="preserve">illat </w:t>
      </w:r>
      <w:r>
        <w:rPr>
          <w:rFonts w:ascii="TimesNewRoman" w:hAnsi="Times New Roman" w:cs="TimesNewRoman" w:hint="cs"/>
        </w:rPr>
        <w:t>“</w:t>
      </w:r>
      <w:r>
        <w:rPr>
          <w:rFonts w:ascii="Times New Roman" w:hAnsi="Times New Roman" w:cs="Times New Roman"/>
        </w:rPr>
        <w:t>ketertiban</w:t>
      </w:r>
      <w:r>
        <w:rPr>
          <w:rFonts w:ascii="TimesNewRoman" w:hAnsi="Times New Roman" w:cs="TimesNewRoman" w:hint="cs"/>
        </w:rPr>
        <w:t>”</w:t>
      </w:r>
      <w:r>
        <w:rPr>
          <w:rFonts w:ascii="TimesNewRoman" w:hAnsi="Times New Roman" w:cs="TimesNewRoman"/>
        </w:rPr>
        <w:t xml:space="preserve"> </w:t>
      </w:r>
      <w:r>
        <w:rPr>
          <w:rFonts w:ascii="Times New Roman" w:hAnsi="Times New Roman" w:cs="Times New Roman"/>
        </w:rPr>
        <w:t xml:space="preserve">perkawinan kalangan masyarakat Islam di Indonesia. Oleh karena itu, setiap perkawinan yang dilakukan tanpa pencatatan, apalagi jika perkawinan dilakukan di luar PPN, mengakibatkan ikatan perkawinan </w:t>
      </w:r>
      <w:r>
        <w:rPr>
          <w:rFonts w:ascii="TimesNewRoman" w:hAnsi="Times New Roman" w:cs="TimesNewRoman" w:hint="cs"/>
        </w:rPr>
        <w:t>“</w:t>
      </w:r>
      <w:r>
        <w:rPr>
          <w:rFonts w:ascii="Times New Roman" w:hAnsi="Times New Roman" w:cs="Times New Roman"/>
        </w:rPr>
        <w:t>tidak</w:t>
      </w:r>
      <w:r>
        <w:rPr>
          <w:rFonts w:ascii="TimesNewRoman" w:hAnsi="Times New Roman" w:cs="TimesNewRoman" w:hint="cs"/>
        </w:rPr>
        <w:t>”</w:t>
      </w:r>
      <w:r>
        <w:rPr>
          <w:rFonts w:ascii="TimesNewRoman" w:hAnsi="Times New Roman" w:cs="TimesNewRoman"/>
        </w:rPr>
        <w:t xml:space="preserve"> </w:t>
      </w:r>
      <w:r>
        <w:rPr>
          <w:rFonts w:ascii="Times New Roman" w:hAnsi="Times New Roman" w:cs="Times New Roman"/>
        </w:rPr>
        <w:t xml:space="preserve">mempunyai kekuatan hukum. Secara teknis yuridis, setiap ikatan perkawinan yang tidak mempunyai kekuatan hukum, mengakibatkan perkawinan dianggap: </w:t>
      </w:r>
      <w:r>
        <w:rPr>
          <w:rFonts w:ascii="TimesNewRoman" w:hAnsi="Times New Roman" w:cs="TimesNewRoman" w:hint="cs"/>
        </w:rPr>
        <w:t>“</w:t>
      </w:r>
      <w:r>
        <w:rPr>
          <w:rFonts w:ascii="Times New Roman" w:hAnsi="Times New Roman" w:cs="Times New Roman"/>
        </w:rPr>
        <w:t>tidak pernah ada (</w:t>
      </w:r>
      <w:r>
        <w:rPr>
          <w:rFonts w:ascii="Times New Roman" w:hAnsi="Times New Roman" w:cs="Times New Roman"/>
          <w:i/>
          <w:iCs/>
        </w:rPr>
        <w:t>never existed</w:t>
      </w:r>
      <w:r>
        <w:rPr>
          <w:rFonts w:ascii="Times New Roman" w:hAnsi="Times New Roman" w:cs="Times New Roman"/>
        </w:rPr>
        <w:t>); tidak mengikat kepada kedua belah pihak; juga tidak mengikat kepada pihak ketiga; serta tidak mempunyai akibat hukum baik terhadap anak-anak yang dilahirkan maupun terhadap harta yang mereka peroleh.</w:t>
      </w:r>
      <w:r>
        <w:rPr>
          <w:rFonts w:ascii="TimesNewRoman" w:hAnsi="Times New Roman" w:cs="TimesNewRoman" w:hint="cs"/>
        </w:rPr>
        <w:t>”</w:t>
      </w:r>
      <w:r>
        <w:rPr>
          <w:rStyle w:val="FootnoteReference"/>
          <w:rFonts w:ascii="TimesNewRoman" w:hAnsi="Times New Roman" w:cs="TimesNewRoman"/>
        </w:rPr>
        <w:footnoteReference w:id="887"/>
      </w:r>
      <w:r>
        <w:rPr>
          <w:rFonts w:ascii="TimesNewRoman" w:hAnsi="Times New Roman" w:cs="TimesNewRoman"/>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Dari uraian di atas, menurut apa yang dapat dipahami secara tekstual, kedudukan ketentuan Undang-Undang yang mengharuskan pencatatan perkawinan di Indonesia, urgensinya terletak pada penertiban perkawinan dan untuk mengantisipasi berbagai kemungkinan adanya </w:t>
      </w:r>
      <w:r w:rsidRPr="00CC5E92">
        <w:rPr>
          <w:rFonts w:ascii="Times New Roman" w:hAnsi="Times New Roman" w:cs="Times New Roman"/>
          <w:i/>
          <w:iCs/>
        </w:rPr>
        <w:t>mudharat</w:t>
      </w:r>
      <w:r>
        <w:rPr>
          <w:rFonts w:ascii="Times New Roman" w:hAnsi="Times New Roman" w:cs="Times New Roman"/>
        </w:rPr>
        <w:t xml:space="preserve"> terhadap perkawinan tersebut, seperti pengingkaran baik terhadap keabsahan perkawinan, maupun terhadap akibat hukumnya, seperti nasab anak </w:t>
      </w:r>
      <w:r w:rsidRPr="00FE65E9">
        <w:rPr>
          <w:rFonts w:ascii="Times New Roman" w:hAnsi="Times New Roman" w:cs="Times New Roman"/>
        </w:rPr>
        <w:t>ke</w:t>
      </w:r>
      <w:r>
        <w:rPr>
          <w:rFonts w:ascii="Times New Roman" w:hAnsi="Times New Roman" w:cs="Times New Roman"/>
        </w:rPr>
        <w:t>turunannya, adanya harta penca</w:t>
      </w:r>
      <w:r w:rsidRPr="00FE65E9">
        <w:rPr>
          <w:rFonts w:ascii="Times New Roman" w:hAnsi="Times New Roman" w:cs="Times New Roman"/>
        </w:rPr>
        <w:t>rian bersama, dan lain-lain di belakang hari.</w:t>
      </w:r>
      <w:r>
        <w:rPr>
          <w:rFonts w:ascii="Times New Roman" w:hAnsi="Times New Roman" w:cs="Times New Roman"/>
        </w:rPr>
        <w:t xml:space="preserve">  </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C77D99">
        <w:rPr>
          <w:rFonts w:asciiTheme="majorBidi" w:hAnsiTheme="majorBidi" w:cstheme="majorBidi"/>
        </w:rPr>
        <w:t>Dari</w:t>
      </w:r>
      <w:r>
        <w:rPr>
          <w:rFonts w:asciiTheme="majorBidi" w:hAnsiTheme="majorBidi" w:cstheme="majorBidi"/>
        </w:rPr>
        <w:t xml:space="preserve"> sini dapat dilihat bahwa MUI melalui fatwanya tentang Nikah Di Bawah Tangan</w:t>
      </w:r>
      <w:r w:rsidRPr="00C77D99">
        <w:rPr>
          <w:rFonts w:asciiTheme="majorBidi" w:hAnsiTheme="majorBidi" w:cstheme="majorBidi"/>
        </w:rPr>
        <w:t xml:space="preserve"> </w:t>
      </w:r>
      <w:r>
        <w:rPr>
          <w:rFonts w:asciiTheme="majorBidi" w:hAnsiTheme="majorBidi" w:cstheme="majorBidi"/>
        </w:rPr>
        <w:t xml:space="preserve">terutama poin kedua telah memberikan sumbangan pembaruan hukum keluarga, yaitu nilai-nilai pembaruannya terletak pada keharusan mencatatkan perkawinan pada lembaga resmi, dimana para ulama terdahulu pencatatan bukanlah yang harus dilakukan. Oleh sebab itu penulis menilai fatwa MUI ini untuk poin kedua sudah </w:t>
      </w:r>
      <w:r w:rsidRPr="00C77D99">
        <w:rPr>
          <w:rFonts w:asciiTheme="majorBidi" w:hAnsiTheme="majorBidi" w:cstheme="majorBidi"/>
        </w:rPr>
        <w:t xml:space="preserve">relevan dengan perkembangan </w:t>
      </w:r>
      <w:r>
        <w:rPr>
          <w:rFonts w:asciiTheme="majorBidi" w:hAnsiTheme="majorBidi" w:cstheme="majorBidi"/>
        </w:rPr>
        <w:t>hu</w:t>
      </w:r>
      <w:r w:rsidRPr="00C77D99">
        <w:rPr>
          <w:rFonts w:asciiTheme="majorBidi" w:hAnsiTheme="majorBidi" w:cstheme="majorBidi"/>
        </w:rPr>
        <w:t>kum keluarga di Indonesia</w:t>
      </w:r>
      <w:r>
        <w:rPr>
          <w:rFonts w:asciiTheme="majorBidi" w:hAnsiTheme="majorBidi" w:cstheme="majorBidi"/>
        </w:rPr>
        <w:t>, dan poin pertama tidak relevan.</w:t>
      </w:r>
    </w:p>
    <w:p w:rsidR="00343B61" w:rsidRPr="009901D6" w:rsidRDefault="00343B61" w:rsidP="00343B61">
      <w:pPr>
        <w:spacing w:line="360" w:lineRule="auto"/>
        <w:ind w:firstLine="720"/>
        <w:jc w:val="both"/>
        <w:rPr>
          <w:rFonts w:ascii="Times New Roman" w:hAnsi="Times New Roman" w:cs="Times New Roman"/>
        </w:rPr>
      </w:pPr>
      <w:r>
        <w:rPr>
          <w:rFonts w:asciiTheme="majorBidi" w:hAnsiTheme="majorBidi" w:cstheme="majorBidi"/>
        </w:rPr>
        <w:t xml:space="preserve">Sifat fatwa Perkawinan di bawah tangan ini berkarakter responsif, karena konfigurasi siyasahnya saat di putuskan fatwa ini demokrasi. Dimana fatwa ini di keluarkan pada tahun 2008 yaitu sesudah masuknya masa reformasi, sesuai dengan teori Politik Hukum Moh. Mahfud MD yaitu </w:t>
      </w:r>
      <w:r>
        <w:rPr>
          <w:rFonts w:ascii="Times New Roman" w:hAnsi="Times New Roman" w:cs="Times New Roman"/>
          <w:lang w:val="en-ID"/>
        </w:rPr>
        <w:t>D</w:t>
      </w:r>
      <w:r>
        <w:rPr>
          <w:rFonts w:ascii="Times New Roman" w:hAnsi="Times New Roman" w:cs="Times New Roman"/>
          <w:lang w:val="id-ID"/>
        </w:rPr>
        <w:t>alam</w:t>
      </w:r>
      <w:r>
        <w:rPr>
          <w:rFonts w:ascii="Times New Roman" w:hAnsi="Times New Roman" w:cs="Times New Roman"/>
          <w:lang w:val="en-ID"/>
        </w:rPr>
        <w:t xml:space="preserve"> </w:t>
      </w:r>
      <w:r w:rsidRPr="00F5684E">
        <w:rPr>
          <w:rFonts w:ascii="Times New Roman" w:hAnsi="Times New Roman" w:cs="Times New Roman"/>
          <w:lang w:val="id-ID"/>
        </w:rPr>
        <w:t>negara konfigurasi demokrasi menghasil</w:t>
      </w:r>
      <w:r>
        <w:rPr>
          <w:rFonts w:ascii="Times New Roman" w:hAnsi="Times New Roman" w:cs="Times New Roman"/>
          <w:lang w:val="id-ID"/>
        </w:rPr>
        <w:t>kan hukum responsif dan populis</w:t>
      </w:r>
      <w:r>
        <w:rPr>
          <w:rFonts w:ascii="Times New Roman" w:hAnsi="Times New Roman" w:cs="Times New Roman"/>
          <w:lang w:val="en-ID"/>
        </w:rPr>
        <w:t>, sementara</w:t>
      </w:r>
      <w:r w:rsidRPr="00F5684E">
        <w:rPr>
          <w:rFonts w:ascii="Times New Roman" w:hAnsi="Times New Roman" w:cs="Times New Roman"/>
          <w:lang w:val="id-ID"/>
        </w:rPr>
        <w:t xml:space="preserve"> negara yang konfigurasi politik </w:t>
      </w:r>
      <w:r w:rsidRPr="00F5684E">
        <w:rPr>
          <w:rFonts w:ascii="Times New Roman" w:hAnsi="Times New Roman" w:cs="Times New Roman"/>
          <w:lang w:val="id-ID"/>
        </w:rPr>
        <w:lastRenderedPageBreak/>
        <w:t>otoriter melahirkan h</w:t>
      </w:r>
      <w:r>
        <w:rPr>
          <w:rFonts w:ascii="Times New Roman" w:hAnsi="Times New Roman" w:cs="Times New Roman"/>
          <w:lang w:val="en-ID"/>
        </w:rPr>
        <w:t>u</w:t>
      </w:r>
      <w:r w:rsidRPr="00F5684E">
        <w:rPr>
          <w:rFonts w:ascii="Times New Roman" w:hAnsi="Times New Roman" w:cs="Times New Roman"/>
          <w:lang w:val="id-ID"/>
        </w:rPr>
        <w:t>k</w:t>
      </w:r>
      <w:r>
        <w:rPr>
          <w:rFonts w:ascii="Times New Roman" w:hAnsi="Times New Roman" w:cs="Times New Roman"/>
          <w:lang w:val="en-ID"/>
        </w:rPr>
        <w:t>um</w:t>
      </w:r>
      <w:r w:rsidRPr="00F5684E">
        <w:rPr>
          <w:rFonts w:ascii="Times New Roman" w:hAnsi="Times New Roman" w:cs="Times New Roman"/>
          <w:lang w:val="id-ID"/>
        </w:rPr>
        <w:t xml:space="preserve"> konservatif, ortodoks, dan elitis.</w:t>
      </w:r>
      <w:r>
        <w:rPr>
          <w:rFonts w:ascii="Times New Roman" w:hAnsi="Times New Roman" w:cs="Times New Roman"/>
        </w:rPr>
        <w:t xml:space="preserve"> Sesuai dengan teori tersebut, produk fakwa </w:t>
      </w:r>
      <w:r>
        <w:rPr>
          <w:rFonts w:asciiTheme="majorBidi" w:hAnsiTheme="majorBidi" w:cstheme="majorBidi"/>
        </w:rPr>
        <w:t xml:space="preserve">Perkawinan di bawah tangan ini adalah responsif. Artinya bukan </w:t>
      </w:r>
      <w:r w:rsidRPr="00F5684E">
        <w:rPr>
          <w:rFonts w:ascii="Times New Roman" w:hAnsi="Times New Roman" w:cs="Times New Roman"/>
        </w:rPr>
        <w:t>men</w:t>
      </w:r>
      <w:r>
        <w:rPr>
          <w:rFonts w:ascii="Times New Roman" w:hAnsi="Times New Roman" w:cs="Times New Roman"/>
        </w:rPr>
        <w:t>cerminkan keinginan pemerintah</w:t>
      </w:r>
      <w:r w:rsidRPr="00F5684E">
        <w:rPr>
          <w:rFonts w:ascii="Times New Roman" w:hAnsi="Times New Roman" w:cs="Times New Roman"/>
        </w:rPr>
        <w:t xml:space="preserve">, yakni </w:t>
      </w:r>
      <w:r>
        <w:rPr>
          <w:rFonts w:ascii="Times New Roman" w:hAnsi="Times New Roman" w:cs="Times New Roman"/>
        </w:rPr>
        <w:t xml:space="preserve">tidak </w:t>
      </w:r>
      <w:r w:rsidRPr="00F5684E">
        <w:rPr>
          <w:rFonts w:ascii="Times New Roman" w:hAnsi="Times New Roman" w:cs="Times New Roman"/>
        </w:rPr>
        <w:t xml:space="preserve">menjadi alat pelaksanaan ideologi dan program </w:t>
      </w:r>
      <w:r>
        <w:rPr>
          <w:rFonts w:ascii="Times New Roman" w:hAnsi="Times New Roman" w:cs="Times New Roman"/>
        </w:rPr>
        <w:t>Negara, tetapi menggambar</w:t>
      </w:r>
      <w:r w:rsidRPr="00F5684E">
        <w:rPr>
          <w:rFonts w:ascii="Times New Roman" w:hAnsi="Times New Roman" w:cs="Times New Roman"/>
        </w:rPr>
        <w:t>kan ras</w:t>
      </w:r>
      <w:r>
        <w:rPr>
          <w:rFonts w:ascii="Times New Roman" w:hAnsi="Times New Roman" w:cs="Times New Roman"/>
        </w:rPr>
        <w:t>a keadilan dan memenuhi keinginan umat.</w:t>
      </w:r>
    </w:p>
    <w:p w:rsidR="00343B61" w:rsidRPr="00DD0FC6" w:rsidRDefault="00343B61" w:rsidP="00343B61">
      <w:pPr>
        <w:spacing w:after="0" w:line="360" w:lineRule="auto"/>
        <w:jc w:val="both"/>
        <w:rPr>
          <w:rFonts w:ascii="Times New Roman" w:hAnsi="Times New Roman" w:cs="Times New Roman"/>
        </w:rPr>
      </w:pPr>
      <w:r>
        <w:rPr>
          <w:rFonts w:asciiTheme="majorBidi" w:hAnsiTheme="majorBidi" w:cstheme="majorBidi"/>
          <w:lang w:val="sv-SE"/>
        </w:rPr>
        <w:t xml:space="preserve">3. </w:t>
      </w:r>
      <w:r w:rsidRPr="00DD0FC6">
        <w:rPr>
          <w:rFonts w:asciiTheme="majorBidi" w:hAnsiTheme="majorBidi" w:cstheme="majorBidi"/>
          <w:lang w:val="sv-SE"/>
        </w:rPr>
        <w:t xml:space="preserve">Fatwa Talak Diluar Pengadilan </w:t>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heme="majorBidi" w:hAnsiTheme="majorBidi" w:cstheme="majorBidi"/>
        </w:rPr>
        <w:t xml:space="preserve">Fatwa </w:t>
      </w:r>
      <w:r>
        <w:rPr>
          <w:rFonts w:asciiTheme="majorBidi" w:hAnsiTheme="majorBidi" w:cstheme="majorBidi"/>
          <w:lang w:val="sv-SE"/>
        </w:rPr>
        <w:t>Talak Diluar Pengadilan</w:t>
      </w:r>
      <w:r w:rsidRPr="000F756E">
        <w:rPr>
          <w:rFonts w:asciiTheme="majorBidi" w:hAnsiTheme="majorBidi" w:cstheme="majorBidi"/>
          <w:lang w:val="sv-SE"/>
        </w:rPr>
        <w:t xml:space="preserve"> </w:t>
      </w:r>
      <w:r>
        <w:rPr>
          <w:rFonts w:asciiTheme="majorBidi" w:hAnsiTheme="majorBidi" w:cstheme="majorBidi"/>
          <w:lang w:val="sv-SE"/>
        </w:rPr>
        <w:t xml:space="preserve">ini diputuskan oleh </w:t>
      </w:r>
      <w:r w:rsidRPr="00580E17">
        <w:rPr>
          <w:rFonts w:asciiTheme="majorBidi" w:hAnsiTheme="majorBidi" w:cstheme="majorBidi"/>
        </w:rPr>
        <w:t>Ijtima</w:t>
      </w:r>
      <w:r>
        <w:rPr>
          <w:rFonts w:asciiTheme="majorBidi" w:hAnsiTheme="majorBidi" w:cstheme="majorBidi"/>
        </w:rPr>
        <w:t>’ Ulama Komisi</w:t>
      </w:r>
      <w:r w:rsidRPr="00580E17">
        <w:rPr>
          <w:rFonts w:asciiTheme="majorBidi" w:hAnsiTheme="majorBidi" w:cstheme="majorBidi"/>
        </w:rPr>
        <w:t xml:space="preserve"> Fatwa MUI se-Indonesia IV Tahun 2012 </w:t>
      </w:r>
      <w:r>
        <w:rPr>
          <w:rFonts w:asciiTheme="majorBidi" w:hAnsiTheme="majorBidi" w:cstheme="majorBidi"/>
        </w:rPr>
        <w:t xml:space="preserve">yang </w:t>
      </w:r>
      <w:r w:rsidRPr="00580E17">
        <w:rPr>
          <w:rFonts w:asciiTheme="majorBidi" w:hAnsiTheme="majorBidi" w:cstheme="majorBidi"/>
        </w:rPr>
        <w:t>di</w:t>
      </w:r>
      <w:r>
        <w:rPr>
          <w:rFonts w:asciiTheme="majorBidi" w:hAnsiTheme="majorBidi" w:cstheme="majorBidi"/>
        </w:rPr>
        <w:t>laksanakan di</w:t>
      </w:r>
      <w:r w:rsidRPr="00580E17">
        <w:rPr>
          <w:rFonts w:asciiTheme="majorBidi" w:hAnsiTheme="majorBidi" w:cstheme="majorBidi"/>
        </w:rPr>
        <w:t xml:space="preserve"> Ponpes Cipasung, Tasikmalaya</w:t>
      </w:r>
      <w:r>
        <w:rPr>
          <w:rFonts w:asciiTheme="majorBidi" w:hAnsiTheme="majorBidi" w:cstheme="majorBidi"/>
        </w:rPr>
        <w:t xml:space="preserve">. </w:t>
      </w:r>
      <w:r w:rsidRPr="00B463EF">
        <w:rPr>
          <w:rFonts w:asciiTheme="majorBidi" w:hAnsiTheme="majorBidi" w:cstheme="majorBidi"/>
        </w:rPr>
        <w:t xml:space="preserve">Putusan Fatwa MUI </w:t>
      </w:r>
      <w:r>
        <w:rPr>
          <w:rFonts w:asciiTheme="majorBidi" w:hAnsiTheme="majorBidi" w:cstheme="majorBidi"/>
        </w:rPr>
        <w:t xml:space="preserve">ini memuat tiga poin; </w:t>
      </w:r>
      <w:r w:rsidRPr="006B5ADB">
        <w:rPr>
          <w:rFonts w:asciiTheme="majorBidi" w:hAnsiTheme="majorBidi" w:cstheme="majorBidi"/>
          <w:i/>
          <w:iCs/>
        </w:rPr>
        <w:t>pertama</w:t>
      </w:r>
      <w:r>
        <w:rPr>
          <w:rFonts w:asciiTheme="majorBidi" w:hAnsiTheme="majorBidi" w:cstheme="majorBidi"/>
        </w:rPr>
        <w:t xml:space="preserve">, </w:t>
      </w:r>
      <w:r w:rsidRPr="00B463EF">
        <w:rPr>
          <w:rFonts w:asciiTheme="majorBidi" w:hAnsiTheme="majorBidi" w:cstheme="majorBidi"/>
          <w:lang w:val="sv-SE"/>
        </w:rPr>
        <w:t xml:space="preserve">talak di luar pengadilan </w:t>
      </w:r>
      <w:r>
        <w:rPr>
          <w:rFonts w:asciiTheme="majorBidi" w:hAnsiTheme="majorBidi" w:cstheme="majorBidi"/>
          <w:lang w:val="sv-SE"/>
        </w:rPr>
        <w:t xml:space="preserve">hukumnya sah, dengan syarat ada alasan syar’i yang kebenarannya dapat dibuktikan di pengadilan. </w:t>
      </w:r>
      <w:r w:rsidRPr="006B5ADB">
        <w:rPr>
          <w:rFonts w:asciiTheme="majorBidi" w:hAnsiTheme="majorBidi" w:cstheme="majorBidi"/>
          <w:i/>
          <w:iCs/>
          <w:lang w:val="sv-SE"/>
        </w:rPr>
        <w:t>Kedua</w:t>
      </w:r>
      <w:r>
        <w:rPr>
          <w:rFonts w:asciiTheme="majorBidi" w:hAnsiTheme="majorBidi" w:cstheme="majorBidi"/>
          <w:lang w:val="sv-SE"/>
        </w:rPr>
        <w:t xml:space="preserve">, </w:t>
      </w:r>
      <w:r w:rsidRPr="00B463EF">
        <w:rPr>
          <w:rFonts w:ascii="Times New Roman" w:hAnsi="Times New Roman" w:cs="Times New Roman"/>
          <w:i/>
          <w:iCs/>
          <w:lang w:val="sv-SE"/>
        </w:rPr>
        <w:t xml:space="preserve">iddah </w:t>
      </w:r>
      <w:r w:rsidRPr="00B463EF">
        <w:rPr>
          <w:rFonts w:ascii="Times New Roman" w:hAnsi="Times New Roman" w:cs="Times New Roman"/>
          <w:lang w:val="sv-SE"/>
        </w:rPr>
        <w:t>talak dihitung semenjak suami menjatuhkan talak.</w:t>
      </w:r>
      <w:r>
        <w:rPr>
          <w:rFonts w:ascii="Times New Roman" w:hAnsi="Times New Roman" w:cs="Times New Roman"/>
          <w:lang w:val="sv-SE"/>
        </w:rPr>
        <w:t xml:space="preserve"> </w:t>
      </w:r>
      <w:r w:rsidRPr="006B5ADB">
        <w:rPr>
          <w:rFonts w:ascii="Times New Roman" w:hAnsi="Times New Roman" w:cs="Times New Roman"/>
          <w:i/>
          <w:iCs/>
          <w:lang w:val="sv-SE"/>
        </w:rPr>
        <w:t>Ketiga</w:t>
      </w:r>
      <w:r>
        <w:rPr>
          <w:rFonts w:ascii="Times New Roman" w:hAnsi="Times New Roman" w:cs="Times New Roman"/>
          <w:lang w:val="sv-SE"/>
        </w:rPr>
        <w:t xml:space="preserve">, untuk kepentingan kemaslahatan dan menjamin kepastian hukum, talak di luar pengadilan harus dilaporkan ( </w:t>
      </w:r>
      <w:r w:rsidRPr="006B5ADB">
        <w:rPr>
          <w:rFonts w:ascii="Times New Roman" w:hAnsi="Times New Roman" w:cs="Times New Roman"/>
          <w:i/>
          <w:iCs/>
          <w:lang w:val="sv-SE"/>
        </w:rPr>
        <w:t>ikhbar</w:t>
      </w:r>
      <w:r>
        <w:rPr>
          <w:rFonts w:ascii="Times New Roman" w:hAnsi="Times New Roman" w:cs="Times New Roman"/>
          <w:lang w:val="sv-SE"/>
        </w:rPr>
        <w:t>) kepada pengadilan agama</w:t>
      </w:r>
      <w:r w:rsidRPr="00B463EF">
        <w:rPr>
          <w:rFonts w:ascii="Times New Roman" w:hAnsi="Times New Roman" w:cs="Times New Roman"/>
          <w:lang w:val="sv-SE"/>
        </w:rPr>
        <w:t>.</w:t>
      </w:r>
      <w:r w:rsidRPr="00B463EF">
        <w:rPr>
          <w:rStyle w:val="FootnoteReference"/>
          <w:rFonts w:ascii="Times New Roman" w:hAnsi="Times New Roman" w:cs="Times New Roman"/>
          <w:lang w:val="sv-SE"/>
        </w:rPr>
        <w:footnoteReference w:id="888"/>
      </w:r>
      <w:r w:rsidRPr="00B463EF">
        <w:rPr>
          <w:rFonts w:ascii="Times New Roman" w:hAnsi="Times New Roman" w:cs="Times New Roman"/>
          <w:lang w:val="sv-SE"/>
        </w:rPr>
        <w:t xml:space="preserve">  </w:t>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imes New Roman" w:hAnsi="Times New Roman" w:cs="Times New Roman"/>
          <w:lang w:val="sv-SE"/>
        </w:rPr>
        <w:t xml:space="preserve">Latar belakang keluarnya fatwa MUI ini menjelaskan bahwa Al-Quran dan Hadis tidak mengatur secara rinci cara menjatuhkan talak. Karena itu terjadi perbedaan pendapat ulama dalam masalah ini, Ada ulama yang memberikan aturan yang ketat, seperti harus dipersaksikan atau dilakukan di depan hakim. Namun ada pula yang longgar sekali, seperti pendapat yang mengatakan bahwa suami bisa menjatuhkan talak dengan alasan sekecil apapun dan tanpa saksi karena talak itu adalah hak suami. </w:t>
      </w:r>
    </w:p>
    <w:p w:rsidR="00343B61"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imes New Roman" w:hAnsi="Times New Roman" w:cs="Times New Roman"/>
          <w:lang w:val="sv-SE"/>
        </w:rPr>
        <w:t>Sedangkan menurut peraturan perundang-undangan, pemerintah berpendapat bahwa untuk menjaga agar aturan syri’ah dapat berjalan dengan baik, maka talak tidak dilakukan secara sembarangan karena dapat menimbulkan dampak negatif. Melalui undang-undang Nomor 1 Tahun 1974 Tentang Perkawinan dan Kompilasi Hukum Islam, pemerintah mengatur mekanisme dan syarat sahnya sebuah perceraian di mata hukum, yaitu perceraian yang dilaksanakan di depan sidang pengadilan. Namun di tengah Masyarakat masih ditemukan adanya peraktek perceraian yang tidak mengikuti aturan hukum tersebut, hal ini terjadi karena masyarakat mengetahui bahwa pendapat mayoritas ulama dalam literatur fiqh tidaklah mengharuskan talak dilakukan melalui sidang pengadilan.</w:t>
      </w:r>
      <w:r>
        <w:rPr>
          <w:rStyle w:val="FootnoteReference"/>
          <w:rFonts w:ascii="Times New Roman" w:hAnsi="Times New Roman" w:cs="Times New Roman"/>
          <w:lang w:val="sv-SE"/>
        </w:rPr>
        <w:footnoteReference w:id="889"/>
      </w:r>
      <w:r>
        <w:rPr>
          <w:rFonts w:ascii="Times New Roman" w:hAnsi="Times New Roman" w:cs="Times New Roman"/>
          <w:lang w:val="sv-SE"/>
        </w:rPr>
        <w:t xml:space="preserve"> Kelihannya putusan fatwa MUI tentang Talak diluar Sidang Pengadilan ini </w:t>
      </w:r>
      <w:r>
        <w:rPr>
          <w:rFonts w:ascii="Times New Roman" w:hAnsi="Times New Roman" w:cs="Times New Roman"/>
          <w:lang w:val="sv-SE"/>
        </w:rPr>
        <w:lastRenderedPageBreak/>
        <w:t xml:space="preserve">mengambil pendapat mayoritas ulama tersebut, serta untuk melegalkan apa yang selama ini di pahami oleh masyarakat luas. </w:t>
      </w:r>
    </w:p>
    <w:p w:rsidR="00343B61" w:rsidRPr="009A4B62" w:rsidRDefault="00343B61" w:rsidP="00343B61">
      <w:pPr>
        <w:pStyle w:val="ListParagraph"/>
        <w:spacing w:after="0" w:line="360" w:lineRule="auto"/>
        <w:ind w:left="0"/>
        <w:jc w:val="both"/>
        <w:rPr>
          <w:rFonts w:asciiTheme="majorBidi" w:hAnsiTheme="majorBidi" w:cstheme="majorBidi"/>
          <w:i/>
          <w:iCs/>
          <w:u w:val="single"/>
          <w:lang w:val="sv-SE"/>
        </w:rPr>
      </w:pPr>
      <w:r w:rsidRPr="009A4B62">
        <w:rPr>
          <w:rFonts w:asciiTheme="majorBidi" w:hAnsiTheme="majorBidi" w:cstheme="majorBidi"/>
          <w:lang w:val="sv-SE"/>
        </w:rPr>
        <w:t xml:space="preserve">Apabila dianalisa fatwa ini dengan teori </w:t>
      </w:r>
      <w:r w:rsidRPr="009A4B62">
        <w:rPr>
          <w:rFonts w:asciiTheme="majorBidi" w:hAnsiTheme="majorBidi" w:cstheme="majorBidi"/>
          <w:i/>
          <w:iCs/>
          <w:lang w:val="sv-SE"/>
        </w:rPr>
        <w:t>siyāsah syar</w:t>
      </w:r>
      <w:r w:rsidRPr="009A4B62">
        <w:rPr>
          <w:rFonts w:asciiTheme="majorBidi" w:hAnsiTheme="majorBidi" w:cstheme="majorBidi"/>
          <w:lang w:val="sv-SE"/>
        </w:rPr>
        <w:t>‘</w:t>
      </w:r>
      <w:r w:rsidRPr="009A4B62">
        <w:rPr>
          <w:rFonts w:asciiTheme="majorBidi" w:hAnsiTheme="majorBidi" w:cstheme="majorBidi"/>
          <w:i/>
          <w:iCs/>
          <w:lang w:val="sv-SE"/>
        </w:rPr>
        <w:t xml:space="preserve">iyyah </w:t>
      </w:r>
      <w:r w:rsidRPr="009A4B62">
        <w:rPr>
          <w:rFonts w:asciiTheme="majorBidi" w:hAnsiTheme="majorBidi" w:cstheme="majorBidi"/>
          <w:lang w:val="sv-SE"/>
        </w:rPr>
        <w:t xml:space="preserve">baik teori </w:t>
      </w:r>
      <w:r w:rsidRPr="009A4B62">
        <w:rPr>
          <w:rFonts w:asciiTheme="majorBidi" w:hAnsiTheme="majorBidi" w:cstheme="majorBidi"/>
          <w:i/>
          <w:iCs/>
          <w:lang w:val="sv-SE"/>
        </w:rPr>
        <w:t>siyāsah syar</w:t>
      </w:r>
      <w:r w:rsidRPr="009A4B62">
        <w:rPr>
          <w:rFonts w:asciiTheme="majorBidi" w:hAnsiTheme="majorBidi" w:cstheme="majorBidi"/>
          <w:lang w:val="sv-SE"/>
        </w:rPr>
        <w:t>‘</w:t>
      </w:r>
      <w:r w:rsidRPr="009A4B62">
        <w:rPr>
          <w:rFonts w:asciiTheme="majorBidi" w:hAnsiTheme="majorBidi" w:cstheme="majorBidi"/>
          <w:i/>
          <w:iCs/>
          <w:lang w:val="sv-SE"/>
        </w:rPr>
        <w:t>iyyah</w:t>
      </w:r>
      <w:r w:rsidRPr="009A4B62">
        <w:rPr>
          <w:rFonts w:asciiTheme="majorBidi" w:hAnsiTheme="majorBidi" w:cstheme="majorBidi"/>
          <w:lang w:val="sv-SE"/>
        </w:rPr>
        <w:t xml:space="preserve"> kelasik maupun modern, maka menurut hemat penulis bahwa fatwa tersebut tidak relevan dengan pembaruan hukum keluarga di Indonesia. Dalam teori </w:t>
      </w:r>
      <w:r w:rsidRPr="009A4B62">
        <w:rPr>
          <w:rFonts w:asciiTheme="majorBidi" w:hAnsiTheme="majorBidi" w:cstheme="majorBidi"/>
          <w:i/>
          <w:iCs/>
          <w:lang w:val="sv-SE"/>
        </w:rPr>
        <w:t>siyāsah syar</w:t>
      </w:r>
      <w:r w:rsidRPr="009A4B62">
        <w:rPr>
          <w:rFonts w:asciiTheme="majorBidi" w:hAnsiTheme="majorBidi" w:cstheme="majorBidi"/>
          <w:lang w:val="sv-SE"/>
        </w:rPr>
        <w:t>‘</w:t>
      </w:r>
      <w:r w:rsidRPr="009A4B62">
        <w:rPr>
          <w:rFonts w:asciiTheme="majorBidi" w:hAnsiTheme="majorBidi" w:cstheme="majorBidi"/>
          <w:i/>
          <w:iCs/>
          <w:lang w:val="sv-SE"/>
        </w:rPr>
        <w:t xml:space="preserve">iyyah </w:t>
      </w:r>
      <w:r w:rsidRPr="009A4B62">
        <w:rPr>
          <w:rFonts w:asciiTheme="majorBidi" w:hAnsiTheme="majorBidi" w:cstheme="majorBidi"/>
          <w:lang w:val="sv-SE"/>
        </w:rPr>
        <w:t xml:space="preserve">Al-Mawardi mengharuskan suatu kebijakan </w:t>
      </w:r>
      <w:r w:rsidRPr="009A4B62">
        <w:rPr>
          <w:rFonts w:asciiTheme="majorBidi" w:hAnsiTheme="majorBidi" w:cstheme="majorBidi"/>
          <w:i/>
          <w:iCs/>
          <w:lang w:val="sv-SE"/>
        </w:rPr>
        <w:t>siyasah</w:t>
      </w:r>
      <w:r w:rsidRPr="009A4B62">
        <w:rPr>
          <w:rFonts w:asciiTheme="majorBidi" w:hAnsiTheme="majorBidi" w:cstheme="majorBidi"/>
          <w:lang w:val="sv-SE"/>
        </w:rPr>
        <w:t xml:space="preserve"> itu memberikan perlindungan kepada masyarakat luas dan menciptakan rasa keadilan dalam masyarakat (</w:t>
      </w:r>
      <w:r w:rsidRPr="009A4B62">
        <w:rPr>
          <w:rFonts w:asciiTheme="majorBidi" w:hAnsiTheme="majorBidi" w:cstheme="majorBidi"/>
          <w:i/>
          <w:iCs/>
          <w:lang w:val="sv-SE"/>
        </w:rPr>
        <w:t>ta</w:t>
      </w:r>
      <w:r w:rsidRPr="009A4B62">
        <w:rPr>
          <w:rFonts w:asciiTheme="majorBidi" w:hAnsiTheme="majorBidi" w:cstheme="majorBidi"/>
          <w:i/>
          <w:iCs/>
          <w:u w:val="single"/>
          <w:lang w:val="id-ID"/>
        </w:rPr>
        <w:t>h</w:t>
      </w:r>
      <w:r w:rsidRPr="009A4B62">
        <w:rPr>
          <w:rFonts w:asciiTheme="majorBidi" w:hAnsiTheme="majorBidi" w:cstheme="majorBidi"/>
          <w:i/>
          <w:iCs/>
          <w:lang w:val="sv-SE"/>
        </w:rPr>
        <w:t>qiq al-‘adālah</w:t>
      </w:r>
      <w:r w:rsidRPr="009A4B62">
        <w:rPr>
          <w:rFonts w:asciiTheme="majorBidi" w:hAnsiTheme="majorBidi" w:cstheme="majorBidi"/>
          <w:lang w:val="sv-SE"/>
        </w:rPr>
        <w:t xml:space="preserve">) serta menciptakan kemaslahatan dan menolak kemudharatan ( </w:t>
      </w:r>
      <w:r w:rsidRPr="009A4B62">
        <w:rPr>
          <w:rFonts w:asciiTheme="majorBidi" w:hAnsiTheme="majorBidi" w:cstheme="majorBidi"/>
          <w:i/>
          <w:iCs/>
          <w:lang w:val="sv-SE"/>
        </w:rPr>
        <w:t>jalb al-ma</w:t>
      </w:r>
      <w:r w:rsidRPr="009A4B62">
        <w:rPr>
          <w:rFonts w:asciiTheme="majorBidi" w:hAnsiTheme="majorBidi" w:cstheme="majorBidi"/>
          <w:i/>
          <w:iCs/>
          <w:color w:val="222222"/>
          <w:lang w:val="sv-SE"/>
        </w:rPr>
        <w:t>ṣ</w:t>
      </w:r>
      <w:r w:rsidRPr="009A4B62">
        <w:rPr>
          <w:rFonts w:asciiTheme="majorBidi" w:hAnsiTheme="majorBidi" w:cstheme="majorBidi"/>
          <w:i/>
          <w:iCs/>
          <w:lang w:val="sv-SE"/>
        </w:rPr>
        <w:t>āli</w:t>
      </w:r>
      <w:r w:rsidRPr="009A4B62">
        <w:rPr>
          <w:rFonts w:asciiTheme="majorBidi" w:hAnsiTheme="majorBidi" w:cstheme="majorBidi"/>
          <w:i/>
          <w:iCs/>
          <w:u w:val="single"/>
          <w:lang w:val="sv-SE"/>
        </w:rPr>
        <w:t>h</w:t>
      </w:r>
      <w:r w:rsidRPr="009A4B62">
        <w:rPr>
          <w:rFonts w:asciiTheme="majorBidi" w:hAnsiTheme="majorBidi" w:cstheme="majorBidi"/>
          <w:i/>
          <w:iCs/>
          <w:lang w:val="sv-SE"/>
        </w:rPr>
        <w:t xml:space="preserve"> wa daf</w:t>
      </w:r>
      <w:r w:rsidRPr="009A4B62">
        <w:rPr>
          <w:rFonts w:asciiTheme="majorBidi" w:hAnsiTheme="majorBidi" w:cstheme="majorBidi"/>
          <w:lang w:val="sv-SE"/>
        </w:rPr>
        <w:t>‘</w:t>
      </w:r>
      <w:r w:rsidRPr="009A4B62">
        <w:rPr>
          <w:rFonts w:asciiTheme="majorBidi" w:hAnsiTheme="majorBidi" w:cstheme="majorBidi"/>
          <w:i/>
          <w:iCs/>
          <w:lang w:val="sv-SE"/>
        </w:rPr>
        <w:t>u al- mafāsid</w:t>
      </w:r>
      <w:r w:rsidRPr="009A4B62">
        <w:rPr>
          <w:rFonts w:asciiTheme="majorBidi" w:hAnsiTheme="majorBidi" w:cstheme="majorBidi"/>
          <w:lang w:val="sv-SE"/>
        </w:rPr>
        <w:t xml:space="preserve">). Sementara dalam teori siyasah modern, menyebutkan bahwa suatu kebijakan itu selain mesti melahirkan kemaslatan dan menjauhkan mudhorat, juga kebijakan hukum itu mesti sesuai dengan prinsp-prinsip syar’iat Islam dan menghargai hak-hak manusia yang paling asasi ( HAM), berlandaskan kebebasan atau demokrasi dan tidak bias gender.  </w:t>
      </w:r>
    </w:p>
    <w:p w:rsidR="00343B61"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Dalam putusan fatwa yang mengakui sahnya talak diluar sidang pengadilan ini, banyak hak-hak asasi istri yang terabaikan, sebab suami bisa dan sah-sah saja menceraikan istrinya dengan semau-maunya, bahkan tanpa alasan sekalipun dan si istri tidak ada hak untuk menolak. Hak-hak istri yang terabaikan tersebut diantaranya istri tidak bisa menuntut harta gono gini seandainya suami mangkir dari memberikannya. </w:t>
      </w:r>
    </w:p>
    <w:p w:rsidR="00343B61"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Selain dari itu, fatwa yang mengakui sahnya talak diluar pengadilan ini jelas bias gender, karena derajat istri benar-benar tidak dianggap adanya, sebab suami bisa menjatuhkan talak dengan semena-semana kepada istri, dan istri tidak bisa melakukan perlawanan. </w:t>
      </w:r>
    </w:p>
    <w:p w:rsidR="00343B61" w:rsidRPr="00460C2C"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Oleh sebab itu, fatwa Talak Di Luar Sidang Pengadilan ini, menurut hemat penulis tidak relevan dengan Pembaruan Hukum Keluarga di Indoesia, </w:t>
      </w:r>
      <w:r w:rsidRPr="00B463EF">
        <w:rPr>
          <w:rFonts w:ascii="Times New Roman" w:hAnsi="Times New Roman" w:cs="Times New Roman"/>
          <w:lang w:val="sv-SE"/>
        </w:rPr>
        <w:t xml:space="preserve">sebab tidak sesuai dengan ruh  undang-undang perkawinan yang berlaku di Indonesia, serta Kompilasi Hukum Islam ( KHI) yang mengatur bahwa setiap perceraian baik cerai talak (diajukan oleh pihak suami) maupun cerai gugat (diajukan oleh pihak isteri) harus dilakukan di pengadilan. Hal ini diatur dalam Pasal 39 ayat 1 Undang-Undang No 1 Tahun 1974 tentang perkawinan </w:t>
      </w:r>
      <w:r>
        <w:rPr>
          <w:rFonts w:ascii="Times New Roman" w:hAnsi="Times New Roman" w:cs="Times New Roman"/>
          <w:lang w:val="sv-SE"/>
        </w:rPr>
        <w:t xml:space="preserve">dan </w:t>
      </w:r>
      <w:r>
        <w:rPr>
          <w:rFonts w:asciiTheme="majorBidi" w:hAnsiTheme="majorBidi" w:cstheme="majorBidi"/>
          <w:color w:val="000000"/>
        </w:rPr>
        <w:t xml:space="preserve">dalam Kompilasi Hukum Islam ( KHI) Pasal 115: </w:t>
      </w:r>
      <w:r>
        <w:rPr>
          <w:rStyle w:val="FootnoteReference"/>
          <w:rFonts w:asciiTheme="majorBidi" w:hAnsiTheme="majorBidi" w:cstheme="majorBidi"/>
          <w:color w:val="000000"/>
        </w:rPr>
        <w:footnoteReference w:id="890"/>
      </w:r>
      <w:r>
        <w:rPr>
          <w:rFonts w:asciiTheme="majorBidi" w:hAnsiTheme="majorBidi" w:cstheme="majorBidi"/>
          <w:color w:val="000000"/>
        </w:rPr>
        <w:t xml:space="preserve"> </w:t>
      </w:r>
    </w:p>
    <w:p w:rsidR="00343B61" w:rsidRDefault="00343B61" w:rsidP="00343B61">
      <w:pPr>
        <w:autoSpaceDE w:val="0"/>
        <w:autoSpaceDN w:val="0"/>
        <w:adjustRightInd w:val="0"/>
        <w:spacing w:after="0" w:line="240" w:lineRule="auto"/>
        <w:ind w:left="720"/>
        <w:jc w:val="both"/>
        <w:rPr>
          <w:rFonts w:asciiTheme="majorBidi" w:hAnsiTheme="majorBidi" w:cstheme="majorBidi"/>
          <w:color w:val="000000"/>
          <w:rtl/>
        </w:rPr>
      </w:pPr>
      <w:r w:rsidRPr="00975508">
        <w:rPr>
          <w:rFonts w:asciiTheme="majorBidi" w:hAnsiTheme="majorBidi" w:cstheme="majorBidi"/>
          <w:i/>
          <w:iCs/>
          <w:color w:val="000000"/>
        </w:rPr>
        <w:t>“ Perceraian hanya dapat dilakukan di depan Sidang Pengadilan setelah Pengadilan yang bersangkutan berusaha dan tidak berhasil mendamaikan kedua belah pihak.”</w:t>
      </w:r>
      <w:r>
        <w:rPr>
          <w:rStyle w:val="FootnoteReference"/>
          <w:rFonts w:asciiTheme="majorBidi" w:hAnsiTheme="majorBidi" w:cstheme="majorBidi"/>
          <w:i/>
          <w:iCs/>
          <w:color w:val="000000"/>
        </w:rPr>
        <w:footnoteReference w:id="891"/>
      </w:r>
      <w:r w:rsidRPr="001B660F">
        <w:rPr>
          <w:rFonts w:asciiTheme="majorBidi" w:hAnsiTheme="majorBidi" w:cstheme="majorBidi"/>
          <w:color w:val="000000"/>
        </w:rPr>
        <w:t xml:space="preserve"> </w:t>
      </w:r>
    </w:p>
    <w:p w:rsidR="00343B61" w:rsidRPr="001B660F" w:rsidRDefault="00343B61" w:rsidP="00343B61">
      <w:pPr>
        <w:autoSpaceDE w:val="0"/>
        <w:autoSpaceDN w:val="0"/>
        <w:adjustRightInd w:val="0"/>
        <w:spacing w:after="0" w:line="240" w:lineRule="auto"/>
        <w:ind w:left="720"/>
        <w:jc w:val="both"/>
        <w:rPr>
          <w:rFonts w:ascii="Times New Roman" w:hAnsi="Times New Roman" w:cs="Times New Roman"/>
        </w:rPr>
      </w:pPr>
    </w:p>
    <w:p w:rsidR="00343B61" w:rsidRPr="00872F21" w:rsidRDefault="00343B61" w:rsidP="00343B61">
      <w:pPr>
        <w:spacing w:after="0" w:line="360" w:lineRule="auto"/>
        <w:ind w:firstLine="720"/>
        <w:jc w:val="both"/>
        <w:rPr>
          <w:rFonts w:asciiTheme="majorBidi" w:hAnsiTheme="majorBidi" w:cstheme="majorBidi"/>
          <w:lang w:val="sv-SE"/>
        </w:rPr>
      </w:pPr>
      <w:r w:rsidRPr="00872F21">
        <w:rPr>
          <w:rFonts w:asciiTheme="majorBidi" w:hAnsiTheme="majorBidi" w:cstheme="majorBidi"/>
          <w:lang w:val="sv-SE"/>
        </w:rPr>
        <w:t xml:space="preserve">Sesuai dengan prinsip </w:t>
      </w:r>
      <w:r>
        <w:rPr>
          <w:rFonts w:asciiTheme="majorBidi" w:hAnsiTheme="majorBidi" w:cstheme="majorBidi"/>
          <w:lang w:val="sv-SE"/>
        </w:rPr>
        <w:t>perkawinan bahwa</w:t>
      </w:r>
      <w:r w:rsidRPr="00872F21">
        <w:rPr>
          <w:rFonts w:asciiTheme="majorBidi" w:hAnsiTheme="majorBidi" w:cstheme="majorBidi"/>
          <w:lang w:val="sv-SE"/>
        </w:rPr>
        <w:t xml:space="preserve"> “</w:t>
      </w:r>
      <w:r>
        <w:rPr>
          <w:rFonts w:asciiTheme="majorBidi" w:hAnsiTheme="majorBidi" w:cstheme="majorBidi"/>
          <w:lang w:val="sv-SE"/>
        </w:rPr>
        <w:t>perkawinan</w:t>
      </w:r>
      <w:r w:rsidRPr="00872F21">
        <w:rPr>
          <w:rFonts w:asciiTheme="majorBidi" w:hAnsiTheme="majorBidi" w:cstheme="majorBidi"/>
          <w:lang w:val="sv-SE"/>
        </w:rPr>
        <w:t xml:space="preserve"> untuk selamanya” maka talak merupakan jalan akhir yang harus di tempuh oleh pasangan suami istri, dan menjatuhkan talak tanpa alasan dan sebab yang dibenarkan oleh agama adalah perbuatan tercela, Rasul Saw bersabda: </w:t>
      </w:r>
    </w:p>
    <w:p w:rsidR="00343B61" w:rsidRPr="00A56F79" w:rsidRDefault="00343B61" w:rsidP="00343B61">
      <w:pPr>
        <w:bidi/>
        <w:spacing w:after="0" w:line="240" w:lineRule="auto"/>
        <w:rPr>
          <w:rFonts w:ascii="Adobe نسخ Medium" w:hAnsi="Adobe نسخ Medium" w:cs="Adobe نسخ Medium"/>
          <w:sz w:val="34"/>
          <w:szCs w:val="34"/>
        </w:rPr>
      </w:pPr>
      <w:r w:rsidRPr="00A56F79">
        <w:rPr>
          <w:rFonts w:asciiTheme="majorBidi" w:eastAsia="+mn-ea" w:hAnsiTheme="majorBidi" w:cs="Traditional Arabic"/>
          <w:sz w:val="32"/>
          <w:szCs w:val="32"/>
          <w:rtl/>
        </w:rPr>
        <w:t>«أبْغَضُ الح</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لا</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ل</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 xml:space="preserve"> إ</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لى</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 xml:space="preserve"> </w:t>
      </w:r>
      <w:r w:rsidRPr="00F720E7">
        <w:rPr>
          <w:rFonts w:ascii="Adobe نسخ Medium" w:hAnsi="Adobe نسخ Medium" w:cs="Adobe نسخ Medium"/>
          <w:sz w:val="34"/>
          <w:szCs w:val="34"/>
          <w:rtl/>
        </w:rPr>
        <w:t>اللهِ</w:t>
      </w:r>
      <w:r w:rsidRPr="00A56F79">
        <w:rPr>
          <w:rFonts w:asciiTheme="majorBidi" w:eastAsia="+mn-ea" w:hAnsiTheme="majorBidi" w:cs="Traditional Arabic"/>
          <w:sz w:val="32"/>
          <w:szCs w:val="32"/>
          <w:rtl/>
        </w:rPr>
        <w:t xml:space="preserve"> الط</w:t>
      </w:r>
      <w:r>
        <w:rPr>
          <w:rFonts w:asciiTheme="majorBidi" w:eastAsia="+mn-ea" w:hAnsiTheme="majorBidi" w:cs="Traditional Arabic" w:hint="cs"/>
          <w:sz w:val="32"/>
          <w:szCs w:val="32"/>
          <w:rtl/>
        </w:rPr>
        <w:t>َ</w:t>
      </w:r>
      <w:r w:rsidRPr="00A56F79">
        <w:rPr>
          <w:rFonts w:asciiTheme="majorBidi" w:eastAsia="+mn-ea" w:hAnsiTheme="majorBidi" w:cs="Traditional Arabic"/>
          <w:sz w:val="32"/>
          <w:szCs w:val="32"/>
          <w:rtl/>
        </w:rPr>
        <w:t>لاقُ».</w:t>
      </w:r>
      <w:r w:rsidRPr="00A56F79">
        <w:rPr>
          <w:rStyle w:val="FootnoteReference"/>
          <w:rFonts w:asciiTheme="majorBidi" w:hAnsiTheme="majorBidi" w:cs="Traditional Arabic"/>
          <w:sz w:val="32"/>
          <w:szCs w:val="32"/>
          <w:rtl/>
        </w:rPr>
        <w:footnoteReference w:id="892"/>
      </w:r>
    </w:p>
    <w:p w:rsidR="00343B61" w:rsidRDefault="00343B61" w:rsidP="00343B61">
      <w:pPr>
        <w:spacing w:after="0" w:line="240" w:lineRule="auto"/>
        <w:ind w:left="720"/>
        <w:rPr>
          <w:rFonts w:asciiTheme="majorBidi" w:eastAsia="+mn-ea" w:hAnsiTheme="majorBidi" w:cstheme="majorBidi"/>
        </w:rPr>
      </w:pPr>
      <w:r w:rsidRPr="00A604E8">
        <w:rPr>
          <w:rFonts w:asciiTheme="majorBidi" w:eastAsia="+mn-ea" w:hAnsiTheme="majorBidi" w:cstheme="majorBidi"/>
        </w:rPr>
        <w:t>“</w:t>
      </w:r>
      <w:r w:rsidRPr="009529C7">
        <w:rPr>
          <w:rFonts w:asciiTheme="majorBidi" w:eastAsia="+mn-ea" w:hAnsiTheme="majorBidi" w:cstheme="majorBidi"/>
          <w:i/>
          <w:iCs/>
        </w:rPr>
        <w:t>Perkara halal yang dibenci Allah adalah talak</w:t>
      </w:r>
      <w:r w:rsidRPr="00A604E8">
        <w:rPr>
          <w:rFonts w:asciiTheme="majorBidi" w:eastAsia="+mn-ea" w:hAnsiTheme="majorBidi" w:cstheme="majorBidi"/>
        </w:rPr>
        <w:t>” HR. Abu Daud</w:t>
      </w:r>
    </w:p>
    <w:p w:rsidR="00343B61" w:rsidRPr="00A56F79" w:rsidRDefault="00343B61" w:rsidP="00343B61">
      <w:pPr>
        <w:spacing w:after="0" w:line="240" w:lineRule="auto"/>
        <w:ind w:left="720"/>
        <w:rPr>
          <w:rFonts w:asciiTheme="majorBidi" w:eastAsia="+mn-ea" w:hAnsiTheme="majorBidi" w:cstheme="majorBidi"/>
        </w:rPr>
      </w:pPr>
    </w:p>
    <w:p w:rsidR="00343B61" w:rsidRDefault="00343B61" w:rsidP="00343B61">
      <w:pPr>
        <w:spacing w:after="0" w:line="360" w:lineRule="auto"/>
        <w:ind w:firstLine="720"/>
        <w:jc w:val="both"/>
        <w:rPr>
          <w:rFonts w:asciiTheme="majorBidi" w:hAnsiTheme="majorBidi" w:cstheme="majorBidi"/>
        </w:rPr>
      </w:pPr>
      <w:r>
        <w:rPr>
          <w:rFonts w:asciiTheme="majorBidi" w:hAnsiTheme="majorBidi" w:cstheme="majorBidi"/>
        </w:rPr>
        <w:t xml:space="preserve">Merupakan ruh dari undang-undang No 1 Tahun 1974 Tentang Perkwainan adalah mempersulit perceraian, oleh sebab itu talak yang dianggap sah manakala dijatuhkan dipengadilan dan di saksikan oleh hakim, setelah melakukan upaya-upaya perdamaian (mediasi) diantara kedua belah pihak. Apabila mediasi tersebut gagal dan buntu, barulah hakim memproses pengajuan perceraian yang diajukan oleh pasangan yang berkehendak untuk bercerai.  </w:t>
      </w:r>
      <w:r w:rsidRPr="00C77D99">
        <w:rPr>
          <w:rFonts w:asciiTheme="majorBidi" w:hAnsiTheme="majorBidi" w:cstheme="majorBidi"/>
        </w:rPr>
        <w:t xml:space="preserve">Ahmad safwat </w:t>
      </w:r>
      <w:r>
        <w:rPr>
          <w:rFonts w:asciiTheme="majorBidi" w:hAnsiTheme="majorBidi" w:cstheme="majorBidi"/>
        </w:rPr>
        <w:t xml:space="preserve">berpendapat bahwa talak harus </w:t>
      </w:r>
      <w:r w:rsidRPr="00C77D99">
        <w:rPr>
          <w:rFonts w:asciiTheme="majorBidi" w:hAnsiTheme="majorBidi" w:cstheme="majorBidi"/>
        </w:rPr>
        <w:t xml:space="preserve"> </w:t>
      </w:r>
      <w:r>
        <w:rPr>
          <w:rFonts w:asciiTheme="majorBidi" w:hAnsiTheme="majorBidi" w:cstheme="majorBidi"/>
        </w:rPr>
        <w:t>di depan sidang</w:t>
      </w:r>
      <w:r w:rsidRPr="00C77D99">
        <w:rPr>
          <w:rFonts w:asciiTheme="majorBidi" w:hAnsiTheme="majorBidi" w:cstheme="majorBidi"/>
        </w:rPr>
        <w:t xml:space="preserve"> pengadilan bukan saja bersifat anjuran tetapi lebih dari itu memberikan maslahah yang cukup besar bagi pihak-pihak yang lahir dari akibat perceraian</w:t>
      </w:r>
      <w:r>
        <w:rPr>
          <w:rFonts w:asciiTheme="majorBidi" w:hAnsiTheme="majorBidi" w:cstheme="majorBidi"/>
        </w:rPr>
        <w:t xml:space="preserve"> tersebut</w:t>
      </w:r>
      <w:r w:rsidRPr="00C77D99">
        <w:rPr>
          <w:rFonts w:asciiTheme="majorBidi" w:hAnsiTheme="majorBidi" w:cstheme="majorBidi"/>
        </w:rPr>
        <w:t>.</w:t>
      </w:r>
      <w:r w:rsidRPr="00C77D99">
        <w:rPr>
          <w:rStyle w:val="FootnoteReference"/>
          <w:rFonts w:asciiTheme="majorBidi" w:hAnsiTheme="majorBidi" w:cstheme="majorBidi"/>
        </w:rPr>
        <w:footnoteReference w:id="893"/>
      </w:r>
    </w:p>
    <w:p w:rsidR="00343B61" w:rsidRDefault="00343B61" w:rsidP="00343B61">
      <w:pPr>
        <w:spacing w:line="360" w:lineRule="auto"/>
        <w:ind w:firstLine="720"/>
        <w:jc w:val="both"/>
        <w:rPr>
          <w:rFonts w:ascii="Times New Roman" w:hAnsi="Times New Roman" w:cs="Times New Roman"/>
        </w:rPr>
      </w:pPr>
      <w:r>
        <w:rPr>
          <w:rFonts w:asciiTheme="majorBidi" w:hAnsiTheme="majorBidi" w:cstheme="majorBidi"/>
        </w:rPr>
        <w:t xml:space="preserve">Perceraian harus di pengadilan adalah bertujuan untuk menghindari tindakan kesewenang-wenang pihak suami kepada istri, disamping itu sekaligus untuk memperkecil terjadinya perceraian, dan juga untuk keseimbangan antara nikah dan talak, pada saat ijab kabul pernikahan dihadiri oleh saksi, maka saat perpisahan dengan cerai semestinya juga dihadiri oleh saksi. Dalam hal ini  </w:t>
      </w:r>
      <w:r>
        <w:rPr>
          <w:rFonts w:ascii="Times New Roman" w:hAnsi="Times New Roman" w:cs="Times New Roman"/>
        </w:rPr>
        <w:t>Abu Zahrah mengatakan :</w:t>
      </w:r>
    </w:p>
    <w:p w:rsidR="00343B61" w:rsidRPr="002C7315" w:rsidRDefault="00343B61" w:rsidP="00343B61">
      <w:pPr>
        <w:spacing w:line="240" w:lineRule="auto"/>
        <w:ind w:left="990" w:hanging="270"/>
        <w:jc w:val="both"/>
        <w:rPr>
          <w:rFonts w:asciiTheme="majorBidi" w:hAnsiTheme="majorBidi" w:cstheme="majorBidi"/>
        </w:rPr>
      </w:pPr>
      <w:r>
        <w:rPr>
          <w:rFonts w:ascii="Times New Roman" w:hAnsi="Times New Roman" w:cs="Times New Roman"/>
        </w:rPr>
        <w:t xml:space="preserve">“ Bahwa perlunya saksi dalam talak sangat logis, sehingga terjadi keseimbangan antara nikah yang wajib dihadiri saksi, dan talak juga harus dihadiri oleh saksi. Jika memulainya diwajibkan dihadiri dua orang saksi, maka untuk mengakhirinya juga sangat logis diwajibkan kehadiran </w:t>
      </w:r>
      <w:r w:rsidRPr="008A1949">
        <w:rPr>
          <w:rFonts w:ascii="Times New Roman" w:hAnsi="Times New Roman" w:cs="Times New Roman"/>
        </w:rPr>
        <w:t>dua orang saksi. Hal ini lebih menjamin kemaslahatan dan dapat menghindarkan</w:t>
      </w:r>
      <w:r>
        <w:rPr>
          <w:rFonts w:ascii="Times New Roman" w:hAnsi="Times New Roman" w:cs="Times New Roman"/>
        </w:rPr>
        <w:t xml:space="preserve"> </w:t>
      </w:r>
      <w:r w:rsidRPr="008A1949">
        <w:rPr>
          <w:rFonts w:ascii="Times New Roman" w:hAnsi="Times New Roman" w:cs="Times New Roman"/>
        </w:rPr>
        <w:t>tindakan sewenang-wenang dari pihak suami serta memperkecil terjadinya talak</w:t>
      </w:r>
      <w:r>
        <w:rPr>
          <w:rFonts w:ascii="Times New Roman" w:hAnsi="Times New Roman" w:cs="Times New Roman"/>
        </w:rPr>
        <w:t xml:space="preserve"> </w:t>
      </w:r>
      <w:r w:rsidRPr="008A1949">
        <w:rPr>
          <w:rFonts w:ascii="Times New Roman" w:hAnsi="Times New Roman" w:cs="Times New Roman"/>
        </w:rPr>
        <w:t>itu sendiri</w:t>
      </w:r>
      <w:r>
        <w:rPr>
          <w:rFonts w:ascii="Times New Roman" w:hAnsi="Times New Roman" w:cs="Times New Roman"/>
        </w:rPr>
        <w:t>”.</w:t>
      </w:r>
      <w:r>
        <w:rPr>
          <w:rStyle w:val="FootnoteReference"/>
          <w:rFonts w:ascii="Times New Roman" w:hAnsi="Times New Roman" w:cs="Times New Roman"/>
        </w:rPr>
        <w:footnoteReference w:id="894"/>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Qasim Amin,</w:t>
      </w:r>
      <w:r w:rsidRPr="002B74A3">
        <w:rPr>
          <w:rFonts w:ascii="Times New Roman" w:hAnsi="Times New Roman" w:cs="Times New Roman"/>
        </w:rPr>
        <w:t xml:space="preserve"> seorang cendikiawan dan pembaharu Mesir mencatat</w:t>
      </w:r>
      <w:r>
        <w:rPr>
          <w:rFonts w:ascii="Times New Roman" w:hAnsi="Times New Roman" w:cs="Times New Roman"/>
        </w:rPr>
        <w:t xml:space="preserve"> </w:t>
      </w:r>
      <w:r w:rsidRPr="002B74A3">
        <w:rPr>
          <w:rFonts w:ascii="Times New Roman" w:hAnsi="Times New Roman" w:cs="Times New Roman"/>
        </w:rPr>
        <w:t>bahwa tidak sah mengucapkan talak kecuali di depan majlis hakim atau badan</w:t>
      </w:r>
      <w:r>
        <w:rPr>
          <w:rFonts w:ascii="Times New Roman" w:hAnsi="Times New Roman" w:cs="Times New Roman"/>
        </w:rPr>
        <w:t>-</w:t>
      </w:r>
      <w:r w:rsidRPr="002B74A3">
        <w:rPr>
          <w:rFonts w:ascii="Times New Roman" w:hAnsi="Times New Roman" w:cs="Times New Roman"/>
        </w:rPr>
        <w:t>badan</w:t>
      </w:r>
      <w:r>
        <w:rPr>
          <w:rFonts w:ascii="Times New Roman" w:hAnsi="Times New Roman" w:cs="Times New Roman"/>
        </w:rPr>
        <w:t xml:space="preserve"> </w:t>
      </w:r>
      <w:r w:rsidRPr="002B74A3">
        <w:rPr>
          <w:rFonts w:ascii="Times New Roman" w:hAnsi="Times New Roman" w:cs="Times New Roman"/>
        </w:rPr>
        <w:t xml:space="preserve">yang diberi izin </w:t>
      </w:r>
      <w:r w:rsidRPr="002B74A3">
        <w:rPr>
          <w:rFonts w:ascii="Times New Roman" w:hAnsi="Times New Roman" w:cs="Times New Roman"/>
        </w:rPr>
        <w:lastRenderedPageBreak/>
        <w:t>dan wewenang untuk itu, dan harus dihadiri dua orang</w:t>
      </w:r>
      <w:r>
        <w:rPr>
          <w:rFonts w:ascii="Times New Roman" w:hAnsi="Times New Roman" w:cs="Times New Roman"/>
        </w:rPr>
        <w:t xml:space="preserve"> </w:t>
      </w:r>
      <w:r w:rsidRPr="002B74A3">
        <w:rPr>
          <w:rFonts w:ascii="Times New Roman" w:hAnsi="Times New Roman" w:cs="Times New Roman"/>
        </w:rPr>
        <w:t>sa</w:t>
      </w:r>
      <w:r>
        <w:rPr>
          <w:rFonts w:ascii="Times New Roman" w:hAnsi="Times New Roman" w:cs="Times New Roman"/>
        </w:rPr>
        <w:t>ksi. Dan tidak dapat diterima is</w:t>
      </w:r>
      <w:r w:rsidRPr="002B74A3">
        <w:rPr>
          <w:rFonts w:ascii="Times New Roman" w:hAnsi="Times New Roman" w:cs="Times New Roman"/>
        </w:rPr>
        <w:t>bat talak kecuali dengan akta atau surat resmi.</w:t>
      </w:r>
      <w:r>
        <w:rPr>
          <w:rStyle w:val="FootnoteReference"/>
          <w:rFonts w:ascii="Times New Roman" w:hAnsi="Times New Roman" w:cs="Times New Roman"/>
        </w:rPr>
        <w:footnoteReference w:id="895"/>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imes New Roman" w:hAnsi="Times New Roman" w:cs="Times New Roman"/>
        </w:rPr>
        <w:t xml:space="preserve">Bila dihubungkan kasus perceraian harus di depan sidang pengadilan dengan teori-teori pembaharuan hukum Islam, maka dapat disimpulkan bahwa bentuk pembaharuan pemikiran tentang perceraian ini dapat dimasukkan ke dalam bentuk penafsiran kembali nas-nas yang berhubungan dengan perceraian. Bila dalam fiqh tradisional Q.S. al-Talaaq (65) : 2 kehadiran saksi dalam perceraian dipahami sebagai perintah sunnah sehingga talak tanpa saksi dihukumkan sah, sementara pakar hukum Islam kontemporer memahami bunyi ayat tersebut mengandung perintah wajib sehingga kehadiran saksi dalam perceraian merupakan keharusan. Kemudian saksi itu diwujudkan dalam bentuk majelis hakim pada sidang pengadilan. Dari sisi lain dipandang sebagai </w:t>
      </w:r>
      <w:r>
        <w:rPr>
          <w:rFonts w:ascii="Times New Roman" w:hAnsi="Times New Roman" w:cs="Times New Roman"/>
          <w:i/>
          <w:iCs/>
        </w:rPr>
        <w:t>takhayyur</w:t>
      </w:r>
      <w:r>
        <w:rPr>
          <w:rFonts w:ascii="Times New Roman" w:hAnsi="Times New Roman" w:cs="Times New Roman"/>
        </w:rPr>
        <w:t xml:space="preserve"> memilih pendapat </w:t>
      </w:r>
      <w:r w:rsidRPr="00AE74B0">
        <w:rPr>
          <w:rFonts w:asciiTheme="majorBidi" w:hAnsiTheme="majorBidi" w:cstheme="majorBidi"/>
          <w:i/>
          <w:iCs/>
        </w:rPr>
        <w:t xml:space="preserve">zhahiriyah </w:t>
      </w:r>
      <w:r w:rsidRPr="00AE74B0">
        <w:rPr>
          <w:rFonts w:asciiTheme="majorBidi" w:hAnsiTheme="majorBidi" w:cstheme="majorBidi"/>
        </w:rPr>
        <w:t xml:space="preserve">dan </w:t>
      </w:r>
      <w:r w:rsidRPr="00AE74B0">
        <w:rPr>
          <w:rFonts w:asciiTheme="majorBidi" w:hAnsiTheme="majorBidi" w:cstheme="majorBidi"/>
          <w:i/>
          <w:iCs/>
        </w:rPr>
        <w:t>syi‘ah</w:t>
      </w:r>
      <w:r>
        <w:rPr>
          <w:rFonts w:ascii="Times New Roman" w:hAnsi="Times New Roman" w:cs="Times New Roman"/>
          <w:i/>
          <w:iCs/>
        </w:rPr>
        <w:t xml:space="preserve"> </w:t>
      </w:r>
      <w:r>
        <w:rPr>
          <w:rFonts w:ascii="Times New Roman" w:hAnsi="Times New Roman" w:cs="Times New Roman"/>
        </w:rPr>
        <w:t xml:space="preserve">yang mengatakan keberadaan saksi dalam perceraian itu hukumnya wajib, dan meninggalkan pendapat fiqh tradisional. Bila dilihat dari pendekatan </w:t>
      </w:r>
      <w:r w:rsidRPr="00AE74B0">
        <w:rPr>
          <w:rFonts w:asciiTheme="majorBidi" w:hAnsiTheme="majorBidi" w:cstheme="majorBidi"/>
          <w:i/>
          <w:iCs/>
        </w:rPr>
        <w:t>masalih</w:t>
      </w:r>
      <w:r>
        <w:rPr>
          <w:rFonts w:ascii="Times New Roman" w:hAnsi="Times New Roman" w:cs="Times New Roman"/>
          <w:i/>
          <w:iCs/>
        </w:rPr>
        <w:t xml:space="preserve"> al-mursalah </w:t>
      </w:r>
      <w:r>
        <w:rPr>
          <w:rFonts w:ascii="Times New Roman" w:hAnsi="Times New Roman" w:cs="Times New Roman"/>
        </w:rPr>
        <w:t xml:space="preserve">yang memberikan manfaat yang banyak menghadirkan saksi dalam perceraian sehingga perumusan </w:t>
      </w:r>
      <w:r>
        <w:rPr>
          <w:rFonts w:asciiTheme="majorBidi" w:hAnsiTheme="majorBidi" w:cstheme="majorBidi"/>
        </w:rPr>
        <w:t xml:space="preserve">revisi fatwa MUI tentang talak diluar sidang pengadilan merasa perlu di lakukan agar isi fatwa tersebut relevan dengan perkembangan hukum keluarga di Indonesia, sehingga fatwa itu sendiri bisa </w:t>
      </w:r>
      <w:r w:rsidRPr="00AE74B0">
        <w:rPr>
          <w:rFonts w:asciiTheme="majorBidi" w:hAnsiTheme="majorBidi" w:cstheme="majorBidi"/>
        </w:rPr>
        <w:t xml:space="preserve">melindungi masyarakat dari akibat perceraian semena-mena. Kebijakan seperti ini termasuk dalam bentuk teori </w:t>
      </w:r>
      <w:r w:rsidRPr="00AE74B0">
        <w:rPr>
          <w:rFonts w:asciiTheme="majorBidi" w:hAnsiTheme="majorBidi" w:cstheme="majorBidi"/>
          <w:i/>
          <w:iCs/>
        </w:rPr>
        <w:t>siya</w:t>
      </w:r>
      <w:r>
        <w:rPr>
          <w:rFonts w:asciiTheme="majorBidi" w:hAnsiTheme="majorBidi" w:cstheme="majorBidi"/>
          <w:i/>
          <w:iCs/>
        </w:rPr>
        <w:t>sah al</w:t>
      </w:r>
      <w:r w:rsidRPr="00AE74B0">
        <w:rPr>
          <w:rFonts w:asciiTheme="majorBidi" w:hAnsiTheme="majorBidi" w:cstheme="majorBidi"/>
          <w:i/>
          <w:iCs/>
        </w:rPr>
        <w:t>-</w:t>
      </w:r>
      <w:r w:rsidRPr="00AE74B0">
        <w:rPr>
          <w:rFonts w:asciiTheme="majorBidi" w:hAnsiTheme="majorBidi" w:cstheme="majorBidi"/>
        </w:rPr>
        <w:t xml:space="preserve"> </w:t>
      </w:r>
      <w:r w:rsidRPr="00AE74B0">
        <w:rPr>
          <w:rFonts w:asciiTheme="majorBidi" w:hAnsiTheme="majorBidi" w:cstheme="majorBidi"/>
          <w:i/>
          <w:iCs/>
        </w:rPr>
        <w:t xml:space="preserve">Syar‘iyah </w:t>
      </w:r>
      <w:r w:rsidRPr="00AE74B0">
        <w:rPr>
          <w:rFonts w:asciiTheme="majorBidi" w:hAnsiTheme="majorBidi" w:cstheme="majorBidi"/>
        </w:rPr>
        <w:t>(</w:t>
      </w:r>
      <w:r w:rsidRPr="00AE74B0">
        <w:rPr>
          <w:rFonts w:asciiTheme="majorBidi" w:hAnsiTheme="majorBidi" w:cstheme="majorBidi"/>
          <w:i/>
          <w:iCs/>
        </w:rPr>
        <w:t>takhsis al-qada’</w:t>
      </w:r>
      <w:r>
        <w:rPr>
          <w:rFonts w:asciiTheme="majorBidi" w:hAnsiTheme="majorBidi" w:cstheme="majorBidi"/>
        </w:rPr>
        <w:t>)</w:t>
      </w:r>
      <w:r w:rsidRPr="00AE74B0">
        <w:rPr>
          <w:rFonts w:asciiTheme="majorBidi" w:hAnsiTheme="majorBidi" w:cstheme="majorBidi"/>
        </w:rPr>
        <w:t xml:space="preserve"> kebijakan administratif.</w:t>
      </w:r>
    </w:p>
    <w:p w:rsidR="00343B61" w:rsidRPr="00D57465" w:rsidRDefault="00343B61" w:rsidP="00343B61">
      <w:pPr>
        <w:pStyle w:val="ListParagraph"/>
        <w:spacing w:after="0" w:line="360" w:lineRule="auto"/>
        <w:ind w:left="0" w:firstLine="720"/>
        <w:jc w:val="both"/>
        <w:rPr>
          <w:rFonts w:asciiTheme="majorBidi" w:hAnsiTheme="majorBidi" w:cstheme="majorBidi"/>
        </w:rPr>
      </w:pPr>
      <w:r>
        <w:rPr>
          <w:rFonts w:asciiTheme="majorBidi" w:hAnsiTheme="majorBidi" w:cstheme="majorBidi"/>
        </w:rPr>
        <w:t xml:space="preserve">Fatwa </w:t>
      </w:r>
      <w:r>
        <w:rPr>
          <w:rFonts w:asciiTheme="majorBidi" w:hAnsiTheme="majorBidi" w:cstheme="majorBidi"/>
          <w:lang w:val="sv-SE"/>
        </w:rPr>
        <w:t>Talak Diluar Pengadilan</w:t>
      </w:r>
      <w:r w:rsidRPr="000F756E">
        <w:rPr>
          <w:rFonts w:asciiTheme="majorBidi" w:hAnsiTheme="majorBidi" w:cstheme="majorBidi"/>
          <w:lang w:val="sv-SE"/>
        </w:rPr>
        <w:t xml:space="preserve"> </w:t>
      </w:r>
      <w:r>
        <w:rPr>
          <w:rFonts w:asciiTheme="majorBidi" w:hAnsiTheme="majorBidi" w:cstheme="majorBidi"/>
          <w:lang w:val="sv-SE"/>
        </w:rPr>
        <w:t xml:space="preserve">ini merupakan  hasil </w:t>
      </w:r>
      <w:r w:rsidRPr="00580E17">
        <w:rPr>
          <w:rFonts w:asciiTheme="majorBidi" w:hAnsiTheme="majorBidi" w:cstheme="majorBidi"/>
        </w:rPr>
        <w:t>Ijtima</w:t>
      </w:r>
      <w:r>
        <w:rPr>
          <w:rFonts w:asciiTheme="majorBidi" w:hAnsiTheme="majorBidi" w:cstheme="majorBidi"/>
        </w:rPr>
        <w:t>’ Ulama Komisi</w:t>
      </w:r>
      <w:r w:rsidRPr="00580E17">
        <w:rPr>
          <w:rFonts w:asciiTheme="majorBidi" w:hAnsiTheme="majorBidi" w:cstheme="majorBidi"/>
        </w:rPr>
        <w:t xml:space="preserve"> Fatwa MUI se-Indonesia</w:t>
      </w:r>
      <w:r>
        <w:rPr>
          <w:rFonts w:asciiTheme="majorBidi" w:hAnsiTheme="majorBidi" w:cstheme="majorBidi"/>
        </w:rPr>
        <w:t xml:space="preserve"> ke-</w:t>
      </w:r>
      <w:r w:rsidRPr="00580E17">
        <w:rPr>
          <w:rFonts w:asciiTheme="majorBidi" w:hAnsiTheme="majorBidi" w:cstheme="majorBidi"/>
        </w:rPr>
        <w:t xml:space="preserve"> IV Tahun 2012 </w:t>
      </w:r>
      <w:r>
        <w:rPr>
          <w:rFonts w:asciiTheme="majorBidi" w:hAnsiTheme="majorBidi" w:cstheme="majorBidi"/>
        </w:rPr>
        <w:t xml:space="preserve">yang </w:t>
      </w:r>
      <w:r w:rsidRPr="00580E17">
        <w:rPr>
          <w:rFonts w:asciiTheme="majorBidi" w:hAnsiTheme="majorBidi" w:cstheme="majorBidi"/>
        </w:rPr>
        <w:t>di</w:t>
      </w:r>
      <w:r>
        <w:rPr>
          <w:rFonts w:asciiTheme="majorBidi" w:hAnsiTheme="majorBidi" w:cstheme="majorBidi"/>
        </w:rPr>
        <w:t>laksanakan di</w:t>
      </w:r>
      <w:r w:rsidRPr="00580E17">
        <w:rPr>
          <w:rFonts w:asciiTheme="majorBidi" w:hAnsiTheme="majorBidi" w:cstheme="majorBidi"/>
        </w:rPr>
        <w:t xml:space="preserve"> Ponpes Cipasung, Tasikmalaya</w:t>
      </w:r>
      <w:r>
        <w:rPr>
          <w:rFonts w:asciiTheme="majorBidi" w:hAnsiTheme="majorBidi" w:cstheme="majorBidi"/>
        </w:rPr>
        <w:t xml:space="preserve"> sebagaimana telah di jelaskan di atas, dimana kondisi sistem politik saat itu demokrasi, </w:t>
      </w:r>
      <w:r w:rsidRPr="00D57465">
        <w:rPr>
          <w:rFonts w:asciiTheme="majorBidi" w:hAnsiTheme="majorBidi" w:cstheme="majorBidi"/>
        </w:rPr>
        <w:t>sesuai dengan teori Politik Hukum Moh. Mahfud MD di</w:t>
      </w:r>
      <w:r>
        <w:rPr>
          <w:rFonts w:asciiTheme="majorBidi" w:hAnsiTheme="majorBidi" w:cstheme="majorBidi"/>
        </w:rPr>
        <w:t xml:space="preserve"> </w:t>
      </w:r>
      <w:r w:rsidRPr="00D57465">
        <w:rPr>
          <w:rFonts w:asciiTheme="majorBidi" w:hAnsiTheme="majorBidi" w:cstheme="majorBidi"/>
        </w:rPr>
        <w:t xml:space="preserve">suatu negara manakala  </w:t>
      </w:r>
      <w:r w:rsidRPr="00D57465">
        <w:rPr>
          <w:rFonts w:ascii="Times New Roman" w:hAnsi="Times New Roman" w:cs="Times New Roman"/>
          <w:lang w:val="id-ID"/>
        </w:rPr>
        <w:t xml:space="preserve">konfigurasi </w:t>
      </w:r>
      <w:r w:rsidRPr="00D57465">
        <w:rPr>
          <w:rFonts w:ascii="Times New Roman" w:hAnsi="Times New Roman" w:cs="Times New Roman"/>
        </w:rPr>
        <w:t xml:space="preserve">politiknya </w:t>
      </w:r>
      <w:r w:rsidRPr="00D57465">
        <w:rPr>
          <w:rFonts w:ascii="Times New Roman" w:hAnsi="Times New Roman" w:cs="Times New Roman"/>
          <w:lang w:val="id-ID"/>
        </w:rPr>
        <w:t xml:space="preserve">demokrasi </w:t>
      </w:r>
      <w:r w:rsidRPr="00D57465">
        <w:rPr>
          <w:rFonts w:ascii="Times New Roman" w:hAnsi="Times New Roman" w:cs="Times New Roman"/>
        </w:rPr>
        <w:t xml:space="preserve">maka akan menghasilkan produk </w:t>
      </w:r>
      <w:r w:rsidRPr="00D57465">
        <w:rPr>
          <w:rFonts w:ascii="Times New Roman" w:hAnsi="Times New Roman" w:cs="Times New Roman"/>
          <w:lang w:val="id-ID"/>
        </w:rPr>
        <w:t>hukum</w:t>
      </w:r>
      <w:r w:rsidRPr="00D57465">
        <w:rPr>
          <w:rFonts w:ascii="Times New Roman" w:hAnsi="Times New Roman" w:cs="Times New Roman"/>
        </w:rPr>
        <w:t xml:space="preserve"> yang</w:t>
      </w:r>
      <w:r w:rsidRPr="00D57465">
        <w:rPr>
          <w:rFonts w:ascii="Times New Roman" w:hAnsi="Times New Roman" w:cs="Times New Roman"/>
          <w:lang w:val="id-ID"/>
        </w:rPr>
        <w:t xml:space="preserve"> responsif</w:t>
      </w:r>
      <w:r w:rsidRPr="00D57465">
        <w:rPr>
          <w:rFonts w:ascii="Times New Roman" w:hAnsi="Times New Roman" w:cs="Times New Roman"/>
          <w:lang w:val="en-ID"/>
        </w:rPr>
        <w:t xml:space="preserve">, dan manakala suatu Negara </w:t>
      </w:r>
      <w:r w:rsidRPr="00D57465">
        <w:rPr>
          <w:rFonts w:asciiTheme="majorBidi" w:hAnsiTheme="majorBidi" w:cstheme="majorBidi"/>
        </w:rPr>
        <w:t>konfigurasi politik</w:t>
      </w:r>
      <w:r w:rsidRPr="00D57465">
        <w:rPr>
          <w:rFonts w:ascii="Times New Roman" w:hAnsi="Times New Roman" w:cs="Times New Roman"/>
          <w:lang w:val="id-ID"/>
        </w:rPr>
        <w:t xml:space="preserve"> </w:t>
      </w:r>
      <w:r w:rsidRPr="00D57465">
        <w:rPr>
          <w:rFonts w:ascii="Times New Roman" w:hAnsi="Times New Roman" w:cs="Times New Roman"/>
        </w:rPr>
        <w:t xml:space="preserve">yang lebih kuat adalah </w:t>
      </w:r>
      <w:r w:rsidRPr="00D57465">
        <w:rPr>
          <w:rFonts w:ascii="Times New Roman" w:hAnsi="Times New Roman" w:cs="Times New Roman"/>
          <w:lang w:val="id-ID"/>
        </w:rPr>
        <w:t xml:space="preserve">otoriter </w:t>
      </w:r>
      <w:r w:rsidRPr="00D57465">
        <w:rPr>
          <w:rFonts w:ascii="Times New Roman" w:hAnsi="Times New Roman" w:cs="Times New Roman"/>
        </w:rPr>
        <w:t>maka akan melahirkan produk</w:t>
      </w:r>
      <w:r w:rsidRPr="00D57465">
        <w:rPr>
          <w:rFonts w:ascii="Times New Roman" w:hAnsi="Times New Roman" w:cs="Times New Roman"/>
          <w:lang w:val="id-ID"/>
        </w:rPr>
        <w:t xml:space="preserve"> h</w:t>
      </w:r>
      <w:r w:rsidRPr="00D57465">
        <w:rPr>
          <w:rFonts w:ascii="Times New Roman" w:hAnsi="Times New Roman" w:cs="Times New Roman"/>
          <w:lang w:val="en-ID"/>
        </w:rPr>
        <w:t>u</w:t>
      </w:r>
      <w:r w:rsidRPr="00D57465">
        <w:rPr>
          <w:rFonts w:ascii="Times New Roman" w:hAnsi="Times New Roman" w:cs="Times New Roman"/>
          <w:lang w:val="id-ID"/>
        </w:rPr>
        <w:t>k</w:t>
      </w:r>
      <w:r w:rsidRPr="00D57465">
        <w:rPr>
          <w:rFonts w:ascii="Times New Roman" w:hAnsi="Times New Roman" w:cs="Times New Roman"/>
          <w:lang w:val="en-ID"/>
        </w:rPr>
        <w:t>um</w:t>
      </w:r>
      <w:r w:rsidRPr="00D57465">
        <w:rPr>
          <w:rFonts w:ascii="Times New Roman" w:hAnsi="Times New Roman" w:cs="Times New Roman"/>
          <w:lang w:val="id-ID"/>
        </w:rPr>
        <w:t xml:space="preserve"> </w:t>
      </w:r>
      <w:r w:rsidRPr="00D57465">
        <w:rPr>
          <w:rFonts w:ascii="Times New Roman" w:hAnsi="Times New Roman" w:cs="Times New Roman"/>
        </w:rPr>
        <w:t xml:space="preserve">ortodoks, </w:t>
      </w:r>
      <w:r w:rsidRPr="00D57465">
        <w:rPr>
          <w:rFonts w:ascii="Times New Roman" w:hAnsi="Times New Roman" w:cs="Times New Roman"/>
          <w:lang w:val="id-ID"/>
        </w:rPr>
        <w:t>konservatif</w:t>
      </w:r>
      <w:r w:rsidRPr="00D57465">
        <w:rPr>
          <w:rFonts w:ascii="Times New Roman" w:hAnsi="Times New Roman" w:cs="Times New Roman"/>
        </w:rPr>
        <w:t xml:space="preserve">. </w:t>
      </w:r>
    </w:p>
    <w:p w:rsidR="00343B61" w:rsidRPr="0021440B" w:rsidRDefault="00343B61" w:rsidP="00343B61">
      <w:pPr>
        <w:pStyle w:val="ListParagraph"/>
        <w:spacing w:after="0" w:line="360" w:lineRule="auto"/>
        <w:ind w:left="0" w:firstLine="720"/>
        <w:jc w:val="both"/>
        <w:rPr>
          <w:rFonts w:asciiTheme="majorBidi" w:hAnsiTheme="majorBidi" w:cstheme="majorBidi"/>
        </w:rPr>
      </w:pPr>
      <w:r>
        <w:rPr>
          <w:rFonts w:ascii="Times New Roman" w:hAnsi="Times New Roman" w:cs="Times New Roman"/>
        </w:rPr>
        <w:t xml:space="preserve">Oleh sebab itu produk hukum fatwa </w:t>
      </w:r>
      <w:r>
        <w:rPr>
          <w:rFonts w:asciiTheme="majorBidi" w:hAnsiTheme="majorBidi" w:cstheme="majorBidi"/>
        </w:rPr>
        <w:t xml:space="preserve">talak diluar sidang pengadilan ini adalah bersifat  responsif sesuai teori diatas, artinya fatwa MUI tersebut mewakili suara umat, dan bertujuan melegalkan apa yang dipahami selama ini di tengah-tengah masyarakat bahwa sahnya talak itu tidak mengharuskan di depan pengadilan </w:t>
      </w:r>
      <w:r w:rsidRPr="008330F9">
        <w:rPr>
          <w:rFonts w:asciiTheme="majorBidi" w:hAnsiTheme="majorBidi" w:cstheme="majorBidi"/>
        </w:rPr>
        <w:t>seperti pendapat mayoritas ulama.</w:t>
      </w:r>
    </w:p>
    <w:p w:rsidR="00343B61" w:rsidRPr="007B20F4" w:rsidRDefault="00343B61" w:rsidP="002C0A33">
      <w:pPr>
        <w:pStyle w:val="ListParagraph"/>
        <w:numPr>
          <w:ilvl w:val="0"/>
          <w:numId w:val="58"/>
        </w:numPr>
        <w:spacing w:after="0" w:line="360" w:lineRule="auto"/>
        <w:ind w:left="450" w:hanging="270"/>
        <w:jc w:val="both"/>
        <w:rPr>
          <w:rFonts w:ascii="Times New Roman" w:hAnsi="Times New Roman" w:cs="Times New Roman"/>
        </w:rPr>
      </w:pPr>
      <w:r w:rsidRPr="00E8381B">
        <w:rPr>
          <w:rFonts w:asciiTheme="majorBidi" w:hAnsiTheme="majorBidi" w:cstheme="majorBidi"/>
          <w:lang w:val="sv-SE"/>
        </w:rPr>
        <w:lastRenderedPageBreak/>
        <w:t xml:space="preserve">Fatwa Waris Beda Agama </w:t>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heme="majorBidi" w:hAnsiTheme="majorBidi" w:cstheme="majorBidi"/>
        </w:rPr>
        <w:t xml:space="preserve">Putusan Fatwa </w:t>
      </w:r>
      <w:r w:rsidRPr="002D0F8F">
        <w:rPr>
          <w:rFonts w:asciiTheme="majorBidi" w:hAnsiTheme="majorBidi" w:cstheme="majorBidi"/>
        </w:rPr>
        <w:t>Majelis Ulama Indonesia (MUI</w:t>
      </w:r>
      <w:r>
        <w:rPr>
          <w:rFonts w:asciiTheme="majorBidi" w:hAnsiTheme="majorBidi" w:cstheme="majorBidi"/>
        </w:rPr>
        <w:t xml:space="preserve">), </w:t>
      </w:r>
      <w:r w:rsidRPr="002D0F8F">
        <w:rPr>
          <w:rFonts w:asciiTheme="majorBidi" w:hAnsiTheme="majorBidi" w:cstheme="majorBidi"/>
        </w:rPr>
        <w:t xml:space="preserve">tentang Waris Beda Agama </w:t>
      </w:r>
      <w:r>
        <w:rPr>
          <w:rFonts w:asciiTheme="majorBidi" w:hAnsiTheme="majorBidi" w:cstheme="majorBidi"/>
        </w:rPr>
        <w:t xml:space="preserve">memuat dua poin, </w:t>
      </w:r>
      <w:r w:rsidRPr="00302DAC">
        <w:rPr>
          <w:rFonts w:asciiTheme="majorBidi" w:hAnsiTheme="majorBidi" w:cstheme="majorBidi"/>
          <w:i/>
          <w:iCs/>
        </w:rPr>
        <w:t>pertama</w:t>
      </w:r>
      <w:r>
        <w:rPr>
          <w:rFonts w:asciiTheme="majorBidi" w:hAnsiTheme="majorBidi" w:cstheme="majorBidi"/>
        </w:rPr>
        <w:t>,</w:t>
      </w:r>
      <w:r w:rsidRPr="002D0F8F">
        <w:rPr>
          <w:rFonts w:asciiTheme="majorBidi" w:hAnsiTheme="majorBidi" w:cstheme="majorBidi"/>
        </w:rPr>
        <w:t xml:space="preserve"> Hukum waris Islam tidak memberikan hak saling mewarisi antar orang-orang yang berbeda agama (antara Muslim dengan n</w:t>
      </w:r>
      <w:r>
        <w:rPr>
          <w:rFonts w:asciiTheme="majorBidi" w:hAnsiTheme="majorBidi" w:cstheme="majorBidi"/>
        </w:rPr>
        <w:t xml:space="preserve">on Muslim); </w:t>
      </w:r>
      <w:r w:rsidRPr="00BD1032">
        <w:rPr>
          <w:rFonts w:asciiTheme="majorBidi" w:hAnsiTheme="majorBidi" w:cstheme="majorBidi"/>
          <w:i/>
          <w:iCs/>
        </w:rPr>
        <w:t>kedua</w:t>
      </w:r>
      <w:r>
        <w:rPr>
          <w:rFonts w:asciiTheme="majorBidi" w:hAnsiTheme="majorBidi" w:cstheme="majorBidi"/>
        </w:rPr>
        <w:t>,</w:t>
      </w:r>
      <w:r w:rsidRPr="002D0F8F">
        <w:rPr>
          <w:rFonts w:asciiTheme="majorBidi" w:hAnsiTheme="majorBidi" w:cstheme="majorBidi"/>
        </w:rPr>
        <w:t xml:space="preserve"> Pemberian harta antar orang yang berbeda agama hanya dapat dilakukan dalam bentuk hibah, wasiat dan hadiah.</w:t>
      </w:r>
      <w:r w:rsidRPr="002D0F8F">
        <w:rPr>
          <w:rStyle w:val="FootnoteReference"/>
          <w:rFonts w:asciiTheme="majorBidi" w:hAnsiTheme="majorBidi" w:cstheme="majorBidi"/>
        </w:rPr>
        <w:footnoteReference w:id="896"/>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heme="majorBidi" w:hAnsiTheme="majorBidi" w:cstheme="majorBidi"/>
        </w:rPr>
        <w:t>Dalam Kompilasi hukum Islam waris beda agama belum diatur dengan rinci, hanya saat menjelaskan pengertian ahli waris disebutkan bahwa ahli waris itu mesti beragama Islam.</w:t>
      </w:r>
      <w:r>
        <w:rPr>
          <w:rStyle w:val="FootnoteReference"/>
          <w:rFonts w:asciiTheme="majorBidi" w:hAnsiTheme="majorBidi" w:cstheme="majorBidi"/>
        </w:rPr>
        <w:footnoteReference w:id="897"/>
      </w:r>
      <w:r>
        <w:rPr>
          <w:rFonts w:asciiTheme="majorBidi" w:hAnsiTheme="majorBidi" w:cstheme="majorBidi"/>
        </w:rPr>
        <w:t xml:space="preserve"> </w:t>
      </w:r>
      <w:r>
        <w:rPr>
          <w:rFonts w:ascii="Times New Roman" w:hAnsi="Times New Roman" w:cs="Times New Roman"/>
        </w:rPr>
        <w:t>Adapun untuk mengidentifikasikan seorang ahli waris beragama Islam pasal 172 KHI menjelaskan bahwa ahli waris dipandang beragama Islam diketahui dari kartu identitasnya atau pengakuan atau amalan atau kesaksian, sedangkan untuk bayi yang baru lahir atau anak yang belum dewasa, agamanya menurut ayahnya atau lingkungannya.</w:t>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Adapun identitas pewaris dijelaskan pada pasal 171 huruf b yaitu orang yang pada saat meninggalnya atau yang dinyatakan meninggal berdasarkan putusan pengadilan, beragama Islam, meninggalkan ahli waris dan harta peninggalan.</w:t>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Dari ketentuan-ketentuan di atas dapat diambil sebuah kesimpulan bahwa dalam Hukum Kewarisan Islam dalam Kompilasi Hukum Islam yang berlaku di Indonesia seorang ahli waris yang bisa mewarisi pewaris keduanya haruslah beragama Islam. Implikasinya adalah ahli waris non muslim bukan ahli waris dari pewaris muslim.</w:t>
      </w:r>
    </w:p>
    <w:p w:rsidR="00343B61"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imes New Roman" w:hAnsi="Times New Roman" w:cs="Times New Roman"/>
        </w:rPr>
        <w:t xml:space="preserve">Penulis Menilai bahwa Fatwa MUI ini sudah relevan dengan pembaruan hukum keluarga di Indonesia, baik menurut teori </w:t>
      </w:r>
      <w:r w:rsidRPr="00FC6FFB">
        <w:rPr>
          <w:rFonts w:ascii="Times New Roman" w:hAnsi="Times New Roman" w:cs="Times New Roman"/>
          <w:i/>
          <w:iCs/>
        </w:rPr>
        <w:t>siyasah syar’iyah</w:t>
      </w:r>
      <w:r>
        <w:rPr>
          <w:rFonts w:ascii="Times New Roman" w:hAnsi="Times New Roman" w:cs="Times New Roman"/>
        </w:rPr>
        <w:t xml:space="preserve"> Modern maupun klasik. </w:t>
      </w:r>
      <w:r w:rsidRPr="00694527">
        <w:rPr>
          <w:rFonts w:asciiTheme="majorBidi" w:hAnsiTheme="majorBidi" w:cstheme="majorBidi"/>
          <w:lang w:val="sv-SE"/>
        </w:rPr>
        <w:t xml:space="preserve">Dalam teori </w:t>
      </w:r>
      <w:r w:rsidRPr="00694527">
        <w:rPr>
          <w:rFonts w:asciiTheme="majorBidi" w:hAnsiTheme="majorBidi" w:cstheme="majorBidi"/>
          <w:i/>
          <w:iCs/>
          <w:lang w:val="sv-SE"/>
        </w:rPr>
        <w:t>siayasah syar’iyah</w:t>
      </w:r>
      <w:r w:rsidRPr="00694527">
        <w:rPr>
          <w:rFonts w:asciiTheme="majorBidi" w:hAnsiTheme="majorBidi" w:cstheme="majorBidi"/>
          <w:lang w:val="sv-SE"/>
        </w:rPr>
        <w:t xml:space="preserve"> klasik mengharuskan suatu produk hukum itu; 1) Sesuai dan tidak bertentangan dengan syariat Islam; tentu fatwa ini sudah sesuai dengan ajaran agama Islam. 2) Meletakkan persamaan kedudukan manusia di depan hukum (</w:t>
      </w:r>
      <w:r w:rsidRPr="00694527">
        <w:rPr>
          <w:rFonts w:asciiTheme="majorBidi" w:hAnsiTheme="majorBidi" w:cstheme="majorBidi"/>
          <w:i/>
          <w:iCs/>
          <w:lang w:val="sv-SE"/>
        </w:rPr>
        <w:t>al-Musawah</w:t>
      </w:r>
      <w:r>
        <w:rPr>
          <w:rFonts w:asciiTheme="majorBidi" w:hAnsiTheme="majorBidi" w:cstheme="majorBidi"/>
          <w:lang w:val="sv-SE"/>
        </w:rPr>
        <w:t>). MUI dalam hal ini menya</w:t>
      </w:r>
      <w:r w:rsidRPr="00694527">
        <w:rPr>
          <w:rFonts w:asciiTheme="majorBidi" w:hAnsiTheme="majorBidi" w:cstheme="majorBidi"/>
          <w:lang w:val="sv-SE"/>
        </w:rPr>
        <w:t xml:space="preserve">makan </w:t>
      </w:r>
      <w:r>
        <w:rPr>
          <w:rFonts w:asciiTheme="majorBidi" w:hAnsiTheme="majorBidi" w:cstheme="majorBidi"/>
          <w:lang w:val="sv-SE"/>
        </w:rPr>
        <w:t>kedudukan ahli waris sama-sama berhak mendapatkan harta waris, hanya saja pewaris non muslim mendapat waris dengan jalan hibah, wasiah dan hadiah.</w:t>
      </w:r>
      <w:r w:rsidRPr="00694527">
        <w:rPr>
          <w:rFonts w:asciiTheme="majorBidi" w:hAnsiTheme="majorBidi" w:cstheme="majorBidi"/>
          <w:lang w:val="sv-SE"/>
        </w:rPr>
        <w:t xml:space="preserve"> 3) Tidak memberatkan masyarakat yang akan melaksanakannya (</w:t>
      </w:r>
      <w:r w:rsidRPr="00694527">
        <w:rPr>
          <w:rFonts w:asciiTheme="majorBidi" w:hAnsiTheme="majorBidi" w:cstheme="majorBidi"/>
          <w:i/>
          <w:iCs/>
          <w:lang w:val="sv-SE"/>
        </w:rPr>
        <w:t>‘adam al-</w:t>
      </w:r>
      <w:r w:rsidRPr="00694527">
        <w:rPr>
          <w:rFonts w:asciiTheme="majorBidi" w:hAnsiTheme="majorBidi" w:cstheme="majorBidi"/>
          <w:u w:val="single"/>
          <w:lang w:val="id-ID"/>
        </w:rPr>
        <w:t xml:space="preserve"> </w:t>
      </w:r>
      <w:r w:rsidRPr="00694527">
        <w:rPr>
          <w:rFonts w:asciiTheme="majorBidi" w:hAnsiTheme="majorBidi" w:cstheme="majorBidi"/>
          <w:i/>
          <w:iCs/>
          <w:u w:val="single"/>
          <w:lang w:val="id-ID"/>
        </w:rPr>
        <w:t>h</w:t>
      </w:r>
      <w:r w:rsidRPr="00694527">
        <w:rPr>
          <w:rFonts w:asciiTheme="majorBidi" w:hAnsiTheme="majorBidi" w:cstheme="majorBidi"/>
          <w:i/>
          <w:iCs/>
          <w:lang w:val="sv-SE"/>
        </w:rPr>
        <w:t>arj</w:t>
      </w:r>
      <w:r w:rsidRPr="00694527">
        <w:rPr>
          <w:rFonts w:asciiTheme="majorBidi" w:hAnsiTheme="majorBidi" w:cstheme="majorBidi"/>
          <w:lang w:val="sv-SE"/>
        </w:rPr>
        <w:t>),</w:t>
      </w:r>
      <w:r>
        <w:rPr>
          <w:rFonts w:asciiTheme="majorBidi" w:hAnsiTheme="majorBidi" w:cstheme="majorBidi"/>
          <w:lang w:val="sv-SE"/>
        </w:rPr>
        <w:t xml:space="preserve"> dalam fatwa tersebut tidak ditemukan unsur yang meberatkan salah satu pihak.</w:t>
      </w:r>
      <w:r w:rsidRPr="00694527">
        <w:rPr>
          <w:rFonts w:asciiTheme="majorBidi" w:hAnsiTheme="majorBidi" w:cstheme="majorBidi"/>
          <w:lang w:val="sv-SE"/>
        </w:rPr>
        <w:t xml:space="preserve"> 4) Menciptakan rasa keadilan dalam masyarakat ( </w:t>
      </w:r>
      <w:r w:rsidRPr="00694527">
        <w:rPr>
          <w:rFonts w:asciiTheme="majorBidi" w:hAnsiTheme="majorBidi" w:cstheme="majorBidi"/>
          <w:i/>
          <w:iCs/>
          <w:lang w:val="sv-SE"/>
        </w:rPr>
        <w:t>ta</w:t>
      </w:r>
      <w:r w:rsidRPr="00694527">
        <w:rPr>
          <w:rFonts w:asciiTheme="majorBidi" w:hAnsiTheme="majorBidi" w:cstheme="majorBidi"/>
          <w:i/>
          <w:iCs/>
          <w:u w:val="single"/>
          <w:lang w:val="id-ID"/>
        </w:rPr>
        <w:t>h</w:t>
      </w:r>
      <w:r w:rsidRPr="00694527">
        <w:rPr>
          <w:rFonts w:asciiTheme="majorBidi" w:hAnsiTheme="majorBidi" w:cstheme="majorBidi"/>
          <w:i/>
          <w:iCs/>
          <w:lang w:val="sv-SE"/>
        </w:rPr>
        <w:t>qiq al-</w:t>
      </w:r>
      <w:r w:rsidRPr="00694527">
        <w:rPr>
          <w:rFonts w:asciiTheme="majorBidi" w:hAnsiTheme="majorBidi" w:cstheme="majorBidi"/>
          <w:i/>
          <w:iCs/>
          <w:lang w:val="sv-SE"/>
        </w:rPr>
        <w:lastRenderedPageBreak/>
        <w:t>‘adalah</w:t>
      </w:r>
      <w:r w:rsidRPr="00694527">
        <w:rPr>
          <w:rFonts w:asciiTheme="majorBidi" w:hAnsiTheme="majorBidi" w:cstheme="majorBidi"/>
          <w:lang w:val="sv-SE"/>
        </w:rPr>
        <w:t>),</w:t>
      </w:r>
      <w:r>
        <w:rPr>
          <w:rFonts w:asciiTheme="majorBidi" w:hAnsiTheme="majorBidi" w:cstheme="majorBidi"/>
          <w:lang w:val="sv-SE"/>
        </w:rPr>
        <w:t xml:space="preserve"> nilai-nilai keadilan dalam fatwa tersebut dengan memberikan hak bagian dari harta waris kepada ahli waris non muslim dengan jalan hadiah, wasiat dan hibah.</w:t>
      </w:r>
      <w:r w:rsidRPr="00694527">
        <w:rPr>
          <w:rFonts w:asciiTheme="majorBidi" w:hAnsiTheme="majorBidi" w:cstheme="majorBidi"/>
          <w:lang w:val="sv-SE"/>
        </w:rPr>
        <w:t xml:space="preserve"> 5) Menciptakan kemaslahatan dan menolak kemudharatan ( </w:t>
      </w:r>
      <w:r w:rsidRPr="00694527">
        <w:rPr>
          <w:rFonts w:asciiTheme="majorBidi" w:hAnsiTheme="majorBidi" w:cstheme="majorBidi"/>
          <w:i/>
          <w:iCs/>
          <w:lang w:val="sv-SE"/>
        </w:rPr>
        <w:t>jalb al-mashlih wa daf’u al-Mafasid</w:t>
      </w:r>
      <w:r w:rsidRPr="00694527">
        <w:rPr>
          <w:rFonts w:asciiTheme="majorBidi" w:hAnsiTheme="majorBidi" w:cstheme="majorBidi"/>
          <w:lang w:val="sv-SE"/>
        </w:rPr>
        <w:t>)</w:t>
      </w:r>
      <w:r w:rsidRPr="00694527">
        <w:rPr>
          <w:rStyle w:val="FootnoteReference"/>
          <w:rFonts w:asciiTheme="majorBidi" w:hAnsiTheme="majorBidi" w:cstheme="majorBidi"/>
        </w:rPr>
        <w:footnoteReference w:id="898"/>
      </w:r>
      <w:r w:rsidRPr="00694527">
        <w:rPr>
          <w:rFonts w:asciiTheme="majorBidi" w:hAnsiTheme="majorBidi" w:cstheme="majorBidi"/>
          <w:lang w:val="sv-SE"/>
        </w:rPr>
        <w:t xml:space="preserve"> </w:t>
      </w:r>
    </w:p>
    <w:p w:rsidR="00343B61" w:rsidRPr="00B74E46" w:rsidRDefault="00343B61" w:rsidP="00343B61">
      <w:pPr>
        <w:autoSpaceDE w:val="0"/>
        <w:autoSpaceDN w:val="0"/>
        <w:adjustRightInd w:val="0"/>
        <w:spacing w:after="0" w:line="360" w:lineRule="auto"/>
        <w:ind w:firstLine="720"/>
        <w:jc w:val="both"/>
        <w:rPr>
          <w:rFonts w:asciiTheme="majorBidi" w:hAnsiTheme="majorBidi" w:cstheme="majorBidi"/>
          <w:lang w:val="sv-SE"/>
        </w:rPr>
      </w:pPr>
      <w:r>
        <w:rPr>
          <w:rFonts w:asciiTheme="majorBidi" w:hAnsiTheme="majorBidi" w:cstheme="majorBidi"/>
          <w:lang w:val="sv-SE"/>
        </w:rPr>
        <w:t xml:space="preserve">Kemaslahatan dalam fatwa ini terlihat pada saat MUI tetap memberikan bagian waris kepada ahli waris non muslim dengan cara hibah, wasiat atau hadiah, </w:t>
      </w:r>
      <w:r w:rsidRPr="00183E4B">
        <w:rPr>
          <w:rFonts w:asciiTheme="majorBidi" w:hAnsiTheme="majorBidi" w:cstheme="majorBidi"/>
        </w:rPr>
        <w:t xml:space="preserve">dengan tetap </w:t>
      </w:r>
      <w:r>
        <w:rPr>
          <w:rFonts w:asciiTheme="majorBidi" w:hAnsiTheme="majorBidi" w:cstheme="majorBidi"/>
        </w:rPr>
        <w:t xml:space="preserve">memberikan hak waris non muslim, </w:t>
      </w:r>
      <w:r w:rsidRPr="00183E4B">
        <w:rPr>
          <w:rFonts w:asciiTheme="majorBidi" w:hAnsiTheme="majorBidi" w:cstheme="majorBidi"/>
        </w:rPr>
        <w:t xml:space="preserve"> maka keadilan, hubungan harmonis antar kerabat, dan kebaikan dapa</w:t>
      </w:r>
      <w:r>
        <w:rPr>
          <w:rFonts w:asciiTheme="majorBidi" w:hAnsiTheme="majorBidi" w:cstheme="majorBidi"/>
        </w:rPr>
        <w:t>t terjadi. Kemungkinan lain dengan diberikan bagian</w:t>
      </w:r>
      <w:r w:rsidRPr="00183E4B">
        <w:rPr>
          <w:rFonts w:asciiTheme="majorBidi" w:hAnsiTheme="majorBidi" w:cstheme="majorBidi"/>
        </w:rPr>
        <w:t xml:space="preserve"> ahli waris non</w:t>
      </w:r>
      <w:r>
        <w:rPr>
          <w:rFonts w:asciiTheme="majorBidi" w:hAnsiTheme="majorBidi" w:cstheme="majorBidi"/>
        </w:rPr>
        <w:t xml:space="preserve"> </w:t>
      </w:r>
      <w:r w:rsidRPr="00183E4B">
        <w:rPr>
          <w:rFonts w:asciiTheme="majorBidi" w:hAnsiTheme="majorBidi" w:cstheme="majorBidi"/>
        </w:rPr>
        <w:t xml:space="preserve">muslim tersebut </w:t>
      </w:r>
      <w:r>
        <w:rPr>
          <w:rFonts w:asciiTheme="majorBidi" w:hAnsiTheme="majorBidi" w:cstheme="majorBidi"/>
        </w:rPr>
        <w:t>dari harta waris maka</w:t>
      </w:r>
      <w:r w:rsidRPr="00183E4B">
        <w:rPr>
          <w:rFonts w:asciiTheme="majorBidi" w:hAnsiTheme="majorBidi" w:cstheme="majorBidi"/>
        </w:rPr>
        <w:t xml:space="preserve"> ia akan bisa mencintai Islam sehingga ia masuk Islam dengan demikian </w:t>
      </w:r>
      <w:r w:rsidRPr="00183E4B">
        <w:rPr>
          <w:rFonts w:asciiTheme="majorBidi" w:hAnsiTheme="majorBidi" w:cstheme="majorBidi"/>
          <w:i/>
          <w:iCs/>
        </w:rPr>
        <w:t xml:space="preserve">hifẓ al-dīn </w:t>
      </w:r>
      <w:r w:rsidRPr="00183E4B">
        <w:rPr>
          <w:rFonts w:asciiTheme="majorBidi" w:hAnsiTheme="majorBidi" w:cstheme="majorBidi"/>
        </w:rPr>
        <w:t>bisa terealisasi, dengan kecintaannya te</w:t>
      </w:r>
      <w:r>
        <w:rPr>
          <w:rFonts w:asciiTheme="majorBidi" w:hAnsiTheme="majorBidi" w:cstheme="majorBidi"/>
        </w:rPr>
        <w:t xml:space="preserve">rsebut hal-hal negative seperti, pembunuhan dan permusuhan dengan ahli waris lain </w:t>
      </w:r>
      <w:r w:rsidRPr="00183E4B">
        <w:rPr>
          <w:rFonts w:asciiTheme="majorBidi" w:hAnsiTheme="majorBidi" w:cstheme="majorBidi"/>
        </w:rPr>
        <w:t xml:space="preserve">juga akan terhindarkan maka </w:t>
      </w:r>
      <w:r w:rsidRPr="00183E4B">
        <w:rPr>
          <w:rFonts w:asciiTheme="majorBidi" w:hAnsiTheme="majorBidi" w:cstheme="majorBidi"/>
          <w:i/>
          <w:iCs/>
        </w:rPr>
        <w:t xml:space="preserve">hifẓ al-nafs </w:t>
      </w:r>
      <w:r w:rsidRPr="00183E4B">
        <w:rPr>
          <w:rFonts w:asciiTheme="majorBidi" w:hAnsiTheme="majorBidi" w:cstheme="majorBidi"/>
        </w:rPr>
        <w:t xml:space="preserve">juga akan terealisasi, atau minimal perdamaian antar mereka yang berlainan agama tersebut tidak menjadi penghalang bagi terwujudnya kehidupan yang harmonis dan penuh dengan keadilan. Maka sebagaimana syarat </w:t>
      </w:r>
      <w:r>
        <w:rPr>
          <w:rFonts w:asciiTheme="majorBidi" w:hAnsiTheme="majorBidi" w:cstheme="majorBidi"/>
        </w:rPr>
        <w:t xml:space="preserve">dalam teori maslahat al-Thufi </w:t>
      </w:r>
      <w:r w:rsidRPr="00183E4B">
        <w:rPr>
          <w:rFonts w:asciiTheme="majorBidi" w:hAnsiTheme="majorBidi" w:cstheme="majorBidi"/>
        </w:rPr>
        <w:t xml:space="preserve">bahwa kemaslahatan yang hendak diaplikasikan tidak boleh bertentangan dengan kemaslahatan yang lebih tinggi, dalam hal ini </w:t>
      </w:r>
      <w:r w:rsidRPr="00183E4B">
        <w:rPr>
          <w:rFonts w:asciiTheme="majorBidi" w:hAnsiTheme="majorBidi" w:cstheme="majorBidi"/>
          <w:i/>
          <w:iCs/>
        </w:rPr>
        <w:t xml:space="preserve">hifẓ al-dīn </w:t>
      </w:r>
      <w:r w:rsidRPr="00183E4B">
        <w:rPr>
          <w:rFonts w:asciiTheme="majorBidi" w:hAnsiTheme="majorBidi" w:cstheme="majorBidi"/>
        </w:rPr>
        <w:t xml:space="preserve">dan </w:t>
      </w:r>
      <w:r w:rsidRPr="00183E4B">
        <w:rPr>
          <w:rFonts w:asciiTheme="majorBidi" w:hAnsiTheme="majorBidi" w:cstheme="majorBidi"/>
          <w:i/>
          <w:iCs/>
        </w:rPr>
        <w:t xml:space="preserve">hifẓ al-nafs </w:t>
      </w:r>
      <w:r w:rsidRPr="00183E4B">
        <w:rPr>
          <w:rFonts w:asciiTheme="majorBidi" w:hAnsiTheme="majorBidi" w:cstheme="majorBidi"/>
        </w:rPr>
        <w:t xml:space="preserve">harus didahulukan atas </w:t>
      </w:r>
      <w:r w:rsidRPr="00183E4B">
        <w:rPr>
          <w:rFonts w:asciiTheme="majorBidi" w:hAnsiTheme="majorBidi" w:cstheme="majorBidi"/>
          <w:i/>
          <w:iCs/>
        </w:rPr>
        <w:t>hifẓ al-māl</w:t>
      </w:r>
      <w:r>
        <w:rPr>
          <w:rFonts w:asciiTheme="majorBidi" w:hAnsiTheme="majorBidi" w:cstheme="majorBidi"/>
        </w:rPr>
        <w:t>.</w:t>
      </w:r>
    </w:p>
    <w:p w:rsidR="00343B61" w:rsidRPr="007B6C6E"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imes New Roman" w:hAnsi="Times New Roman" w:cs="Times New Roman"/>
          <w:lang w:val="sv-SE"/>
        </w:rPr>
        <w:t xml:space="preserve">Argumen lain bahwa fatwa MUI ini relevan dengan Pembaruan Hukum Keluarga di Indonesia adalah bahwa fatwa ini </w:t>
      </w:r>
      <w:r>
        <w:rPr>
          <w:rFonts w:asciiTheme="majorBidi" w:hAnsiTheme="majorBidi" w:cstheme="majorBidi"/>
        </w:rPr>
        <w:t>sejalan dengan Yurisprudensi Mahkamah Agung nomor 368 K/AG/1995 yang me</w:t>
      </w:r>
      <w:r w:rsidRPr="008C12DF">
        <w:rPr>
          <w:rFonts w:asciiTheme="majorBidi" w:hAnsiTheme="majorBidi" w:cstheme="majorBidi"/>
        </w:rPr>
        <w:t xml:space="preserve">nyatakan bahwa ahli waris non </w:t>
      </w:r>
      <w:r>
        <w:rPr>
          <w:rFonts w:asciiTheme="majorBidi" w:hAnsiTheme="majorBidi" w:cstheme="majorBidi"/>
        </w:rPr>
        <w:t>muslim mendapatkan bagian dari h</w:t>
      </w:r>
      <w:r w:rsidRPr="008C12DF">
        <w:rPr>
          <w:rFonts w:asciiTheme="majorBidi" w:hAnsiTheme="majorBidi" w:cstheme="majorBidi"/>
        </w:rPr>
        <w:t>arta peninggalan pewaris muslim berdasarkan wasiat wajibah</w:t>
      </w:r>
      <w:r>
        <w:rPr>
          <w:rFonts w:asciiTheme="majorBidi" w:hAnsiTheme="majorBidi" w:cstheme="majorBidi"/>
        </w:rPr>
        <w:t>, dan juga sejalan dengan pendapat Ibnu Hazam,</w:t>
      </w:r>
      <w:r>
        <w:rPr>
          <w:rStyle w:val="FootnoteReference"/>
          <w:rFonts w:asciiTheme="majorBidi" w:hAnsiTheme="majorBidi" w:cstheme="majorBidi"/>
        </w:rPr>
        <w:footnoteReference w:id="899"/>
      </w:r>
      <w:r>
        <w:rPr>
          <w:rFonts w:asciiTheme="majorBidi" w:hAnsiTheme="majorBidi" w:cstheme="majorBidi"/>
        </w:rPr>
        <w:t xml:space="preserve"> al-Tabari</w:t>
      </w:r>
      <w:r>
        <w:rPr>
          <w:rStyle w:val="FootnoteReference"/>
          <w:rFonts w:asciiTheme="majorBidi" w:hAnsiTheme="majorBidi" w:cstheme="majorBidi"/>
        </w:rPr>
        <w:footnoteReference w:id="900"/>
      </w:r>
      <w:r>
        <w:rPr>
          <w:rFonts w:asciiTheme="majorBidi" w:hAnsiTheme="majorBidi" w:cstheme="majorBidi"/>
        </w:rPr>
        <w:t xml:space="preserve"> dan Muhammad Rasyid Ridho yang mengatakan ahli waris non muslim bisa mendapatkan harta waris dengan jalan wasiat wajibah.</w:t>
      </w:r>
      <w:r>
        <w:rPr>
          <w:rStyle w:val="FootnoteReference"/>
          <w:rFonts w:asciiTheme="majorBidi" w:hAnsiTheme="majorBidi" w:cstheme="majorBidi"/>
        </w:rPr>
        <w:footnoteReference w:id="901"/>
      </w:r>
      <w:r>
        <w:rPr>
          <w:rFonts w:asciiTheme="majorBidi" w:hAnsiTheme="majorBidi" w:cstheme="majorBidi"/>
        </w:rPr>
        <w:t xml:space="preserve">  Namun tidak sejalan dengan putusan MA Nomor 51 K/AG 1999 yang menyatakan bahwa ahli waris non Muslim sebagai ahli waris dari pewaris muslim dan mendapat bagian sama dengan ahli waris muslim tersebut.</w:t>
      </w:r>
      <w:r>
        <w:rPr>
          <w:rStyle w:val="FootnoteReference"/>
          <w:rFonts w:asciiTheme="majorBidi" w:hAnsiTheme="majorBidi" w:cstheme="majorBidi"/>
        </w:rPr>
        <w:footnoteReference w:id="902"/>
      </w:r>
      <w:r>
        <w:rPr>
          <w:rFonts w:asciiTheme="majorBidi" w:hAnsiTheme="majorBidi" w:cstheme="majorBidi"/>
        </w:rPr>
        <w:t xml:space="preserve"> </w:t>
      </w:r>
    </w:p>
    <w:p w:rsidR="00343B61" w:rsidRPr="007B6C6E" w:rsidRDefault="00343B61" w:rsidP="00343B61">
      <w:pPr>
        <w:autoSpaceDE w:val="0"/>
        <w:autoSpaceDN w:val="0"/>
        <w:adjustRightInd w:val="0"/>
        <w:spacing w:after="0" w:line="360" w:lineRule="auto"/>
        <w:ind w:firstLine="720"/>
        <w:jc w:val="both"/>
        <w:rPr>
          <w:rFonts w:ascii="Times New Roman" w:hAnsi="Times New Roman" w:cs="Times New Roman"/>
          <w:lang w:val="sv-SE"/>
        </w:rPr>
      </w:pPr>
      <w:r>
        <w:rPr>
          <w:rFonts w:ascii="Times New Roman" w:hAnsi="Times New Roman" w:cs="Times New Roman"/>
          <w:lang w:val="sv-SE"/>
        </w:rPr>
        <w:lastRenderedPageBreak/>
        <w:t xml:space="preserve">Dengan kata lain, bahwa Mahkamah Agung dalam hal ini memiliki dua putusan </w:t>
      </w:r>
      <w:r w:rsidRPr="00233F4E">
        <w:rPr>
          <w:rFonts w:asciiTheme="majorBidi" w:hAnsiTheme="majorBidi" w:cstheme="majorBidi"/>
        </w:rPr>
        <w:t xml:space="preserve">tentang Status ahli waris non muslim yaitu Putusan Mahkamah Agung Nomor: 368 K/AG/1995 tanggal 16 Juli 1998 dan </w:t>
      </w:r>
      <w:r>
        <w:rPr>
          <w:rFonts w:asciiTheme="majorBidi" w:hAnsiTheme="majorBidi" w:cstheme="majorBidi"/>
        </w:rPr>
        <w:t xml:space="preserve">putusan Mahkamah Agung </w:t>
      </w:r>
      <w:r w:rsidRPr="00233F4E">
        <w:rPr>
          <w:rFonts w:asciiTheme="majorBidi" w:hAnsiTheme="majorBidi" w:cstheme="majorBidi"/>
        </w:rPr>
        <w:t>Nomor: 51 K/AG/1999 tanggal 29 September 1999.</w:t>
      </w:r>
    </w:p>
    <w:p w:rsidR="00343B61" w:rsidRDefault="00343B61" w:rsidP="00343B61">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Dalam putusan nomor 368 K/AG/1998 dinyatakan bahwa ahli waris non muslim mendapatkan bagian dari harta Peninggalan Pewaris muslim berdasarkan wasiat wajibah sebesar bagian ahli waris muslim, dalam putusan ini ahli waris non muslim tidak dinyatakan sebagai ahli waris, dan dalam putusan nomor 51 K/AG/1999 dinyatakan bahwa ahli waris non muslim dinyatakan sebagai ahli waris dari pewaris muslim dan mendapatkan bagian yang sama dengan ahli waris muslim berdasarkan wasiat wajibah, dalam putusan ini dinyatakan bahwa ahli waris non muslim dianggap sebagai ahli waris.</w:t>
      </w:r>
      <w:r>
        <w:rPr>
          <w:rStyle w:val="FootnoteReference"/>
          <w:rFonts w:ascii="Times New Roman" w:hAnsi="Times New Roman" w:cs="Times New Roman"/>
        </w:rPr>
        <w:footnoteReference w:id="903"/>
      </w:r>
    </w:p>
    <w:p w:rsidR="00343B61" w:rsidRDefault="00343B61" w:rsidP="00343B61">
      <w:pPr>
        <w:autoSpaceDE w:val="0"/>
        <w:autoSpaceDN w:val="0"/>
        <w:adjustRightInd w:val="0"/>
        <w:spacing w:after="0" w:line="360" w:lineRule="auto"/>
        <w:ind w:firstLine="720"/>
        <w:jc w:val="both"/>
        <w:rPr>
          <w:rFonts w:asciiTheme="majorBidi" w:hAnsiTheme="majorBidi" w:cstheme="majorBidi"/>
        </w:rPr>
      </w:pPr>
      <w:r w:rsidRPr="00487A2C">
        <w:rPr>
          <w:rFonts w:asciiTheme="majorBidi" w:hAnsiTheme="majorBidi" w:cstheme="majorBidi"/>
        </w:rPr>
        <w:t>Dari dua putusan di atas dapat ditarik satu gambaran bahwa melalui Yurisprudensinya Mahkamah Agung telah melakukan pembaharuan hukum waris Islam dari tidak memberikan harta bagi ahli waris non muslim menuju pemberian harta bagi ahli waris non muslim dan dari tidak mengakui ahli waris non muslim sebagai ahli waris dari pewaris muslim menuju pengakuan bahwa ahli waris non muslim juga dianggap sebagai ahli waris dari pewaris muslim. Dengan kata lain Mahkamah Agung telah me</w:t>
      </w:r>
      <w:r>
        <w:rPr>
          <w:rFonts w:asciiTheme="majorBidi" w:hAnsiTheme="majorBidi" w:cstheme="majorBidi"/>
        </w:rPr>
        <w:t xml:space="preserve">mberikan status ahli waris </w:t>
      </w:r>
      <w:r w:rsidRPr="00487A2C">
        <w:rPr>
          <w:rFonts w:asciiTheme="majorBidi" w:hAnsiTheme="majorBidi" w:cstheme="majorBidi"/>
        </w:rPr>
        <w:t>bagi ahli waris non muslim dan memberikan bagian harta yang setara dengan ahli waris muslim.</w:t>
      </w:r>
      <w:r>
        <w:rPr>
          <w:rFonts w:asciiTheme="majorBidi" w:hAnsiTheme="majorBidi" w:cstheme="majorBidi"/>
        </w:rPr>
        <w:t xml:space="preserve"> Tentu pengakuan terhadap </w:t>
      </w:r>
      <w:r w:rsidRPr="00487A2C">
        <w:rPr>
          <w:rFonts w:asciiTheme="majorBidi" w:hAnsiTheme="majorBidi" w:cstheme="majorBidi"/>
        </w:rPr>
        <w:t>ahli waris non muslim</w:t>
      </w:r>
      <w:r>
        <w:rPr>
          <w:rFonts w:asciiTheme="majorBidi" w:hAnsiTheme="majorBidi" w:cstheme="majorBidi"/>
        </w:rPr>
        <w:t xml:space="preserve"> sebagai ahli waris telah menyalahi </w:t>
      </w:r>
      <w:r w:rsidRPr="00487A2C">
        <w:rPr>
          <w:rFonts w:asciiTheme="majorBidi" w:hAnsiTheme="majorBidi" w:cstheme="majorBidi"/>
        </w:rPr>
        <w:t>ketentuan dalam Kompilasi Hukum Islam yang tidak memberikan harta bagi ahli waris non muslim dan tidak mengakui ahli waris non muslim sebagai ahli waris dari pewaris muslim.</w:t>
      </w:r>
    </w:p>
    <w:p w:rsidR="00343B61" w:rsidRPr="007B6C6E" w:rsidRDefault="00343B61" w:rsidP="00343B61">
      <w:pPr>
        <w:autoSpaceDE w:val="0"/>
        <w:autoSpaceDN w:val="0"/>
        <w:adjustRightInd w:val="0"/>
        <w:spacing w:after="0" w:line="360" w:lineRule="auto"/>
        <w:ind w:firstLine="720"/>
        <w:jc w:val="both"/>
        <w:rPr>
          <w:rFonts w:asciiTheme="majorBidi" w:hAnsiTheme="majorBidi" w:cstheme="majorBidi"/>
        </w:rPr>
      </w:pPr>
      <w:r>
        <w:rPr>
          <w:rFonts w:asciiTheme="majorBidi" w:hAnsiTheme="majorBidi" w:cstheme="majorBidi"/>
        </w:rPr>
        <w:t>Sementara Fatwa Majeslis Ulama Indonesia, memberikan peluang kepada ahli waris non muslim untuk mendapatkan harta waris dengan</w:t>
      </w:r>
      <w:r w:rsidRPr="002D0F8F">
        <w:rPr>
          <w:rFonts w:asciiTheme="majorBidi" w:hAnsiTheme="majorBidi" w:cstheme="majorBidi"/>
        </w:rPr>
        <w:t xml:space="preserve"> bentuk hibah, wasiat dan hadiah</w:t>
      </w:r>
      <w:r>
        <w:rPr>
          <w:rFonts w:asciiTheme="majorBidi" w:hAnsiTheme="majorBidi" w:cstheme="majorBidi"/>
        </w:rPr>
        <w:t xml:space="preserve">. Fatwa Waris Beda Agama ini tentunya sudah relevan dengan nafas pembaharuan hukum keluarga di Indonesia, dimana </w:t>
      </w:r>
      <w:r>
        <w:rPr>
          <w:rFonts w:ascii="Times New Roman" w:hAnsi="Times New Roman" w:cs="Times New Roman"/>
        </w:rPr>
        <w:t xml:space="preserve">Indonesia merupakan </w:t>
      </w:r>
      <w:r w:rsidRPr="00BC5ABD">
        <w:rPr>
          <w:rFonts w:ascii="Times New Roman" w:hAnsi="Times New Roman" w:cs="Times New Roman"/>
        </w:rPr>
        <w:t>Negara pluralis, banyak sekali dan sangat ditolerir adanya sebuah keluarga yang di dalamnya terdapat beberapa kerabat yang berbeda agama, namun mereka dapat tetap hidup berdampingan s</w:t>
      </w:r>
      <w:r>
        <w:rPr>
          <w:rFonts w:ascii="Times New Roman" w:hAnsi="Times New Roman" w:cs="Times New Roman"/>
        </w:rPr>
        <w:t xml:space="preserve">ecara harmonis, rukun dan damai. </w:t>
      </w:r>
      <w:r w:rsidRPr="00A03C85">
        <w:rPr>
          <w:rFonts w:ascii="Times New Roman" w:hAnsi="Times New Roman" w:cs="Times New Roman"/>
        </w:rPr>
        <w:t xml:space="preserve">Oleh karena itu ahli waris non Muslim tetap diberikan </w:t>
      </w:r>
      <w:r w:rsidRPr="00A03C85">
        <w:rPr>
          <w:rFonts w:ascii="Times New Roman" w:hAnsi="Times New Roman" w:cs="Times New Roman"/>
        </w:rPr>
        <w:lastRenderedPageBreak/>
        <w:t xml:space="preserve">bagiannya </w:t>
      </w:r>
      <w:r>
        <w:rPr>
          <w:rFonts w:ascii="Times New Roman" w:hAnsi="Times New Roman" w:cs="Times New Roman"/>
        </w:rPr>
        <w:t xml:space="preserve">hanya tidak </w:t>
      </w:r>
      <w:r w:rsidRPr="00A03C85">
        <w:rPr>
          <w:rFonts w:ascii="Times New Roman" w:hAnsi="Times New Roman" w:cs="Times New Roman"/>
        </w:rPr>
        <w:t xml:space="preserve">atas nama ahli waris </w:t>
      </w:r>
      <w:r>
        <w:rPr>
          <w:rFonts w:ascii="Times New Roman" w:hAnsi="Times New Roman" w:cs="Times New Roman"/>
        </w:rPr>
        <w:t xml:space="preserve">namun </w:t>
      </w:r>
      <w:r w:rsidRPr="00A03C85">
        <w:rPr>
          <w:rFonts w:ascii="Times New Roman" w:hAnsi="Times New Roman" w:cs="Times New Roman"/>
        </w:rPr>
        <w:t xml:space="preserve">dengan menggunakan </w:t>
      </w:r>
      <w:r w:rsidRPr="00A03C85">
        <w:rPr>
          <w:rFonts w:ascii="Times New Roman" w:hAnsi="Times New Roman" w:cs="Times New Roman"/>
          <w:i/>
          <w:iCs/>
        </w:rPr>
        <w:t>wasiat wajibah</w:t>
      </w:r>
      <w:r>
        <w:rPr>
          <w:rFonts w:ascii="Times New Roman" w:hAnsi="Times New Roman" w:cs="Times New Roman"/>
        </w:rPr>
        <w:t>, hibah atau hadiah.</w:t>
      </w:r>
      <w:r w:rsidRPr="00A03C85">
        <w:rPr>
          <w:rFonts w:ascii="Times New Roman" w:hAnsi="Times New Roman" w:cs="Times New Roman"/>
        </w:rPr>
        <w:t xml:space="preserve"> </w:t>
      </w:r>
    </w:p>
    <w:p w:rsidR="00343B61"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rPr>
      </w:pPr>
      <w:r>
        <w:rPr>
          <w:rFonts w:asciiTheme="majorBidi" w:hAnsiTheme="majorBidi" w:cstheme="majorBidi"/>
        </w:rPr>
        <w:t>Kewarisan Beda Agama ini bila</w:t>
      </w:r>
      <w:r w:rsidRPr="008E76E5">
        <w:rPr>
          <w:rFonts w:asciiTheme="majorBidi" w:hAnsiTheme="majorBidi" w:cstheme="majorBidi"/>
        </w:rPr>
        <w:t xml:space="preserve"> dilihat dengan kaca mata konsep masla</w:t>
      </w:r>
      <w:r>
        <w:rPr>
          <w:rFonts w:asciiTheme="majorBidi" w:hAnsiTheme="majorBidi" w:cstheme="majorBidi"/>
        </w:rPr>
        <w:t>hat al-Ṭūfī</w:t>
      </w:r>
      <w:r w:rsidRPr="008E76E5">
        <w:rPr>
          <w:rFonts w:asciiTheme="majorBidi" w:hAnsiTheme="majorBidi" w:cstheme="majorBidi"/>
        </w:rPr>
        <w:t xml:space="preserve"> bahwa tujuan (</w:t>
      </w:r>
      <w:r w:rsidRPr="008E76E5">
        <w:rPr>
          <w:rFonts w:asciiTheme="majorBidi" w:hAnsiTheme="majorBidi" w:cstheme="majorBidi"/>
          <w:i/>
          <w:iCs/>
        </w:rPr>
        <w:t>maqāṣid</w:t>
      </w:r>
      <w:r w:rsidRPr="008E76E5">
        <w:rPr>
          <w:rFonts w:asciiTheme="majorBidi" w:hAnsiTheme="majorBidi" w:cstheme="majorBidi"/>
        </w:rPr>
        <w:t>) dari diundangkannya hukum waris adalah untuk melindungi harta, selain itu sebagaimana disebutkan</w:t>
      </w:r>
      <w:r>
        <w:rPr>
          <w:rFonts w:asciiTheme="majorBidi" w:hAnsiTheme="majorBidi" w:cstheme="majorBidi"/>
        </w:rPr>
        <w:t xml:space="preserve"> oleh al-Jurjān</w:t>
      </w:r>
      <w:r w:rsidRPr="008E76E5">
        <w:rPr>
          <w:rFonts w:asciiTheme="majorBidi" w:hAnsiTheme="majorBidi" w:cstheme="majorBidi"/>
        </w:rPr>
        <w:t xml:space="preserve">ī </w:t>
      </w:r>
      <w:r>
        <w:rPr>
          <w:rFonts w:asciiTheme="majorBidi" w:hAnsiTheme="majorBidi" w:cstheme="majorBidi"/>
        </w:rPr>
        <w:t xml:space="preserve">bahwa </w:t>
      </w:r>
      <w:r w:rsidRPr="008E76E5">
        <w:rPr>
          <w:rFonts w:asciiTheme="majorBidi" w:hAnsiTheme="majorBidi" w:cstheme="majorBidi"/>
        </w:rPr>
        <w:t>tujuan waris adalah untuk saling mengasihi (</w:t>
      </w:r>
      <w:r w:rsidRPr="008E76E5">
        <w:rPr>
          <w:rFonts w:asciiTheme="majorBidi" w:hAnsiTheme="majorBidi" w:cstheme="majorBidi"/>
          <w:i/>
          <w:iCs/>
        </w:rPr>
        <w:t>taāluf</w:t>
      </w:r>
      <w:r w:rsidRPr="008E76E5">
        <w:rPr>
          <w:rFonts w:asciiTheme="majorBidi" w:hAnsiTheme="majorBidi" w:cstheme="majorBidi"/>
        </w:rPr>
        <w:t>), tolong-menolong (</w:t>
      </w:r>
      <w:r w:rsidRPr="008E76E5">
        <w:rPr>
          <w:rFonts w:asciiTheme="majorBidi" w:hAnsiTheme="majorBidi" w:cstheme="majorBidi"/>
          <w:i/>
          <w:iCs/>
        </w:rPr>
        <w:t>taāwun</w:t>
      </w:r>
      <w:r w:rsidRPr="008E76E5">
        <w:rPr>
          <w:rFonts w:asciiTheme="majorBidi" w:hAnsiTheme="majorBidi" w:cstheme="majorBidi"/>
        </w:rPr>
        <w:t>), dan saling meraih kemanfaatan bagi para kerabat (</w:t>
      </w:r>
      <w:r>
        <w:rPr>
          <w:rFonts w:asciiTheme="majorBidi" w:hAnsiTheme="majorBidi" w:cstheme="majorBidi"/>
          <w:i/>
          <w:iCs/>
        </w:rPr>
        <w:t>iṣāl al-manfa’</w:t>
      </w:r>
      <w:r w:rsidRPr="008E76E5">
        <w:rPr>
          <w:rFonts w:asciiTheme="majorBidi" w:hAnsiTheme="majorBidi" w:cstheme="majorBidi"/>
          <w:i/>
          <w:iCs/>
        </w:rPr>
        <w:t>ah ilā al-aqārib</w:t>
      </w:r>
      <w:r w:rsidRPr="008E76E5">
        <w:rPr>
          <w:rFonts w:asciiTheme="majorBidi" w:hAnsiTheme="majorBidi" w:cstheme="majorBidi"/>
        </w:rPr>
        <w:t>).</w:t>
      </w:r>
      <w:r>
        <w:rPr>
          <w:rStyle w:val="FootnoteReference"/>
          <w:rFonts w:asciiTheme="majorBidi" w:hAnsiTheme="majorBidi" w:cstheme="majorBidi"/>
        </w:rPr>
        <w:footnoteReference w:id="904"/>
      </w:r>
      <w:r>
        <w:rPr>
          <w:rFonts w:asciiTheme="majorBidi" w:hAnsiTheme="majorBidi" w:cstheme="majorBidi"/>
        </w:rPr>
        <w:t xml:space="preserve"> </w:t>
      </w:r>
      <w:r w:rsidRPr="008F73F7">
        <w:rPr>
          <w:rFonts w:asciiTheme="majorBidi" w:hAnsiTheme="majorBidi" w:cstheme="majorBidi"/>
        </w:rPr>
        <w:t xml:space="preserve">Karenanya tujuan yang utama tersebut dapat terealisasi maka saling mewarisi dengan </w:t>
      </w:r>
      <w:r>
        <w:rPr>
          <w:rFonts w:asciiTheme="majorBidi" w:hAnsiTheme="majorBidi" w:cstheme="majorBidi"/>
        </w:rPr>
        <w:t xml:space="preserve">memberikan hak bagian ahli watis non muslim melalui jalan wasiat wajibah tetap di pertahankan dalam fatwa tersebut.  </w:t>
      </w:r>
    </w:p>
    <w:p w:rsidR="00343B61"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lang w:val="sv-SE"/>
        </w:rPr>
      </w:pPr>
      <w:r w:rsidRPr="00183E4B">
        <w:rPr>
          <w:rFonts w:asciiTheme="majorBidi" w:hAnsiTheme="majorBidi" w:cstheme="majorBidi"/>
        </w:rPr>
        <w:t>Berdasarkan uraian di atas,</w:t>
      </w:r>
      <w:r>
        <w:rPr>
          <w:rFonts w:asciiTheme="majorBidi" w:hAnsiTheme="majorBidi" w:cstheme="majorBidi"/>
        </w:rPr>
        <w:t xml:space="preserve"> Penulis menilai bahwa </w:t>
      </w:r>
      <w:r w:rsidRPr="00183E4B">
        <w:rPr>
          <w:rFonts w:asciiTheme="majorBidi" w:hAnsiTheme="majorBidi" w:cstheme="majorBidi"/>
        </w:rPr>
        <w:t xml:space="preserve"> </w:t>
      </w:r>
      <w:r>
        <w:rPr>
          <w:rFonts w:asciiTheme="majorBidi" w:hAnsiTheme="majorBidi" w:cstheme="majorBidi"/>
        </w:rPr>
        <w:t xml:space="preserve">Majelis Ulama Indoneisa ( MUI) </w:t>
      </w:r>
      <w:r>
        <w:rPr>
          <w:rFonts w:ascii="Times New Roman" w:hAnsi="Times New Roman" w:cs="Times New Roman"/>
          <w:lang w:val="sv-SE"/>
        </w:rPr>
        <w:t xml:space="preserve">melalui fatwanya tentang Waris Beda Agama telah melakukan Pembaruan Hukum Keluarga di Indonesia, khususnya hukum waris Islam, yaitu </w:t>
      </w:r>
      <w:r w:rsidRPr="00B74E46">
        <w:rPr>
          <w:rFonts w:asciiTheme="majorBidi" w:hAnsiTheme="majorBidi" w:cstheme="majorBidi"/>
          <w:lang w:val="sv-SE"/>
        </w:rPr>
        <w:t xml:space="preserve">dari </w:t>
      </w:r>
      <w:r>
        <w:rPr>
          <w:rFonts w:asciiTheme="majorBidi" w:hAnsiTheme="majorBidi" w:cstheme="majorBidi"/>
          <w:lang w:val="sv-SE"/>
        </w:rPr>
        <w:t xml:space="preserve">semula ahli waris non Muslim tidak berhak mendapat harta waris karena berbeda agama, </w:t>
      </w:r>
      <w:r w:rsidRPr="00B74E46">
        <w:rPr>
          <w:rFonts w:asciiTheme="majorBidi" w:hAnsiTheme="majorBidi" w:cstheme="majorBidi"/>
          <w:lang w:val="sv-SE"/>
        </w:rPr>
        <w:t>menuju pemberian harta bagi ahli waris non muslim</w:t>
      </w:r>
      <w:r>
        <w:rPr>
          <w:rFonts w:asciiTheme="majorBidi" w:hAnsiTheme="majorBidi" w:cstheme="majorBidi"/>
          <w:lang w:val="sv-SE"/>
        </w:rPr>
        <w:t xml:space="preserve"> dengan jalan wasiat, hibah maupun hadiah. </w:t>
      </w:r>
    </w:p>
    <w:p w:rsidR="00343B61" w:rsidRPr="007E52FE" w:rsidRDefault="00343B61" w:rsidP="00343B61">
      <w:pPr>
        <w:spacing w:line="360" w:lineRule="auto"/>
        <w:ind w:firstLine="720"/>
        <w:jc w:val="both"/>
        <w:rPr>
          <w:rFonts w:asciiTheme="majorBidi" w:hAnsiTheme="majorBidi" w:cstheme="majorBidi"/>
          <w:lang w:val="sv-SE"/>
        </w:rPr>
      </w:pPr>
      <w:r w:rsidRPr="007E52FE">
        <w:rPr>
          <w:rFonts w:asciiTheme="majorBidi" w:hAnsiTheme="majorBidi" w:cstheme="majorBidi"/>
          <w:lang w:val="sv-SE"/>
        </w:rPr>
        <w:t xml:space="preserve">Sebagaimana telah disinggung di awal bahwa sifat Fatwa Kewarisan Beda Agama ini berkarakter responsif, karena ia merupakan fatwa yang diputuskan pada tahun 2005 yaitu masa reformasi dimana konfigurasi siyasahnya demokrasi. Sesuai dengan teori Siyasah Moh Mahfud MD bahwa Jika konfigurasi politik Negara itu otoriter maka akan melahirkan produk hukum yang konservatif, sementara apabila konfigurasi politiknya demokrasi akan melahirkan produk hukum yang responsif, maka sudah tepat manakala produk fatwa Kewarisan Beda Agama ini bersifat responsif popupulis, artinya MUI melalui fatwanya merepon keinginan masyarakat, sebab selama ini masih banyak terjadi kewarisan beda agama di tengah-tengah masyarakat, tetapi belum ada payung hukumnya, maka MUI memberikan solusi, yaitu pemberian harta waris kepada ahli waris non muslim dengan jalan hibah, hadiah, atau wasiat. </w:t>
      </w:r>
    </w:p>
    <w:p w:rsidR="00343B61" w:rsidRPr="00DD0FC6" w:rsidRDefault="00343B61" w:rsidP="00343B61">
      <w:pPr>
        <w:tabs>
          <w:tab w:val="left" w:pos="1800"/>
        </w:tabs>
        <w:spacing w:after="0" w:line="360" w:lineRule="auto"/>
        <w:jc w:val="both"/>
        <w:rPr>
          <w:rFonts w:asciiTheme="majorBidi" w:hAnsiTheme="majorBidi" w:cstheme="majorBidi"/>
          <w:lang w:val="sv-SE"/>
        </w:rPr>
      </w:pPr>
      <w:r>
        <w:rPr>
          <w:rFonts w:asciiTheme="majorBidi" w:hAnsiTheme="majorBidi" w:cstheme="majorBidi"/>
          <w:lang w:val="sv-SE"/>
        </w:rPr>
        <w:t xml:space="preserve">5. </w:t>
      </w:r>
      <w:r w:rsidRPr="00DD0FC6">
        <w:rPr>
          <w:rFonts w:asciiTheme="majorBidi" w:hAnsiTheme="majorBidi" w:cstheme="majorBidi"/>
          <w:lang w:val="sv-SE"/>
        </w:rPr>
        <w:t xml:space="preserve">Fatwa MUI Tentang Anak Luar Nikah </w:t>
      </w:r>
      <w:r w:rsidRPr="00DD0FC6">
        <w:rPr>
          <w:rFonts w:asciiTheme="majorBidi" w:hAnsiTheme="majorBidi" w:cstheme="majorBidi"/>
          <w:color w:val="000000"/>
          <w:lang w:val="sv-SE"/>
        </w:rPr>
        <w:t xml:space="preserve"> </w:t>
      </w:r>
    </w:p>
    <w:p w:rsidR="00343B61" w:rsidRPr="00966368" w:rsidRDefault="00343B61" w:rsidP="00343B61">
      <w:pPr>
        <w:pStyle w:val="ListParagraph"/>
        <w:autoSpaceDE w:val="0"/>
        <w:autoSpaceDN w:val="0"/>
        <w:adjustRightInd w:val="0"/>
        <w:spacing w:after="0" w:line="360" w:lineRule="auto"/>
        <w:ind w:left="90" w:firstLine="810"/>
        <w:jc w:val="lowKashida"/>
        <w:rPr>
          <w:rFonts w:asciiTheme="majorBidi" w:hAnsiTheme="majorBidi" w:cstheme="majorBidi"/>
          <w:lang w:val="sv-SE"/>
        </w:rPr>
      </w:pPr>
      <w:r>
        <w:rPr>
          <w:rFonts w:asciiTheme="majorBidi" w:hAnsiTheme="majorBidi" w:cstheme="majorBidi"/>
          <w:lang w:val="sv-SE"/>
        </w:rPr>
        <w:t>Putusan Fatwa MUI tentang Anak Luar Nikah tertuang dalam enam poin putusan yaitu</w:t>
      </w:r>
      <w:r w:rsidRPr="00057F67">
        <w:rPr>
          <w:rFonts w:asciiTheme="majorBidi" w:hAnsiTheme="majorBidi" w:cstheme="majorBidi"/>
          <w:lang w:val="sv-SE"/>
        </w:rPr>
        <w:t xml:space="preserve"> ;1) Anak hasil zina tidak mempunyai hubungan nasab, wali nikah, waris, dan nafaqah dengan lelaki yang mengakibatkan kelahirannya. </w:t>
      </w:r>
      <w:r w:rsidRPr="00057F67">
        <w:rPr>
          <w:rFonts w:asciiTheme="majorBidi" w:hAnsiTheme="majorBidi" w:cstheme="majorBidi"/>
        </w:rPr>
        <w:t>2) Anak hasil zina hanya mempunyai</w:t>
      </w:r>
      <w:r>
        <w:rPr>
          <w:rFonts w:asciiTheme="majorBidi" w:hAnsiTheme="majorBidi" w:cstheme="majorBidi"/>
        </w:rPr>
        <w:t xml:space="preserve"> hubungan nasab, waris, dan naf</w:t>
      </w:r>
      <w:r w:rsidRPr="00057F67">
        <w:rPr>
          <w:rFonts w:asciiTheme="majorBidi" w:hAnsiTheme="majorBidi" w:cstheme="majorBidi"/>
        </w:rPr>
        <w:t xml:space="preserve">qah dengan ibunya dan keluarga ibunya. 3) Anak hasil zina tidak menanggung dosa perzinaan yang dilakukan oleh orang yang </w:t>
      </w:r>
      <w:r w:rsidRPr="00057F67">
        <w:rPr>
          <w:rFonts w:asciiTheme="majorBidi" w:hAnsiTheme="majorBidi" w:cstheme="majorBidi"/>
        </w:rPr>
        <w:lastRenderedPageBreak/>
        <w:t xml:space="preserve">mengakibatkan kelahirannya. 4) Pezina dikenakan hukuman </w:t>
      </w:r>
      <w:r w:rsidRPr="00057F67">
        <w:rPr>
          <w:rFonts w:asciiTheme="majorBidi" w:hAnsiTheme="majorBidi" w:cstheme="majorBidi"/>
          <w:i/>
          <w:iCs/>
        </w:rPr>
        <w:t xml:space="preserve">hadd </w:t>
      </w:r>
      <w:r w:rsidRPr="00057F67">
        <w:rPr>
          <w:rFonts w:asciiTheme="majorBidi" w:hAnsiTheme="majorBidi" w:cstheme="majorBidi"/>
        </w:rPr>
        <w:t>oleh pihak yang berwenang</w:t>
      </w:r>
      <w:r w:rsidRPr="00057F67">
        <w:rPr>
          <w:rFonts w:asciiTheme="majorBidi" w:hAnsiTheme="majorBidi" w:cstheme="majorBidi"/>
          <w:i/>
          <w:iCs/>
        </w:rPr>
        <w:t xml:space="preserve">, </w:t>
      </w:r>
      <w:r w:rsidRPr="00057F67">
        <w:rPr>
          <w:rFonts w:asciiTheme="majorBidi" w:hAnsiTheme="majorBidi" w:cstheme="majorBidi"/>
        </w:rPr>
        <w:t>untuk kepentingan menjaga keturunan yang sah (</w:t>
      </w:r>
      <w:r w:rsidRPr="00057F67">
        <w:rPr>
          <w:rFonts w:asciiTheme="majorBidi" w:hAnsiTheme="majorBidi" w:cstheme="majorBidi"/>
          <w:i/>
          <w:iCs/>
        </w:rPr>
        <w:t>hifzh al-nasl)</w:t>
      </w:r>
      <w:r w:rsidRPr="00057F67">
        <w:rPr>
          <w:rFonts w:asciiTheme="majorBidi" w:hAnsiTheme="majorBidi" w:cstheme="majorBidi"/>
        </w:rPr>
        <w:t xml:space="preserve">. </w:t>
      </w:r>
      <w:r w:rsidRPr="00057F67">
        <w:rPr>
          <w:rFonts w:asciiTheme="majorBidi" w:hAnsiTheme="majorBidi" w:cstheme="majorBidi"/>
          <w:lang w:val="sv-SE"/>
        </w:rPr>
        <w:t xml:space="preserve">5) Pemerintah berwenang menjatuhkan hukuman </w:t>
      </w:r>
      <w:r w:rsidRPr="00057F67">
        <w:rPr>
          <w:rFonts w:asciiTheme="majorBidi" w:hAnsiTheme="majorBidi" w:cstheme="majorBidi"/>
          <w:i/>
          <w:iCs/>
          <w:lang w:val="sv-SE"/>
        </w:rPr>
        <w:t xml:space="preserve">ta’zir </w:t>
      </w:r>
      <w:r w:rsidRPr="00057F67">
        <w:rPr>
          <w:rFonts w:asciiTheme="majorBidi" w:hAnsiTheme="majorBidi" w:cstheme="majorBidi"/>
          <w:lang w:val="sv-SE"/>
        </w:rPr>
        <w:t>kepada lelaki pezina yang mengakibatkan lahirnya an</w:t>
      </w:r>
      <w:r>
        <w:rPr>
          <w:rFonts w:asciiTheme="majorBidi" w:hAnsiTheme="majorBidi" w:cstheme="majorBidi"/>
          <w:lang w:val="sv-SE"/>
        </w:rPr>
        <w:t>ak dengan mewajibkannya untuk:</w:t>
      </w:r>
      <w:r w:rsidRPr="00057F67">
        <w:rPr>
          <w:rFonts w:asciiTheme="majorBidi" w:hAnsiTheme="majorBidi" w:cstheme="majorBidi"/>
        </w:rPr>
        <w:t xml:space="preserve">a) mencukupi kebutuhan hidup anak tersebut; b) memberikan harta setelah ia meninggal melalui </w:t>
      </w:r>
      <w:r w:rsidRPr="00057F67">
        <w:rPr>
          <w:rFonts w:asciiTheme="majorBidi" w:hAnsiTheme="majorBidi" w:cstheme="majorBidi"/>
          <w:i/>
          <w:iCs/>
        </w:rPr>
        <w:t>wasiat wajibah</w:t>
      </w:r>
      <w:r w:rsidRPr="00057F67">
        <w:rPr>
          <w:rFonts w:asciiTheme="majorBidi" w:hAnsiTheme="majorBidi" w:cstheme="majorBidi"/>
        </w:rPr>
        <w:t>. 6) Hukuman sebagaimana dimaksud nomor 5 bertujuan melindungi anak, bukan untuk mensahkan hubungan nasab antara anak tersebut dengan lelaki yang mengakibatkan kelahirannya.</w:t>
      </w:r>
      <w:r w:rsidRPr="00694527">
        <w:rPr>
          <w:rStyle w:val="FootnoteReference"/>
          <w:rFonts w:asciiTheme="majorBidi" w:hAnsiTheme="majorBidi" w:cstheme="majorBidi"/>
        </w:rPr>
        <w:footnoteReference w:id="905"/>
      </w:r>
      <w:r w:rsidRPr="00057F67">
        <w:rPr>
          <w:rFonts w:asciiTheme="majorBidi" w:hAnsiTheme="majorBidi" w:cstheme="majorBidi"/>
        </w:rPr>
        <w:t xml:space="preserve"> </w:t>
      </w:r>
    </w:p>
    <w:p w:rsidR="00343B61" w:rsidRDefault="00343B61" w:rsidP="00343B61">
      <w:pPr>
        <w:tabs>
          <w:tab w:val="left" w:pos="900"/>
        </w:tabs>
        <w:spacing w:after="0" w:line="360" w:lineRule="auto"/>
        <w:jc w:val="both"/>
        <w:rPr>
          <w:rFonts w:asciiTheme="majorBidi" w:hAnsiTheme="majorBidi" w:cstheme="majorBidi"/>
          <w:lang w:val="sv-SE"/>
        </w:rPr>
      </w:pPr>
      <w:r>
        <w:rPr>
          <w:rFonts w:asciiTheme="majorBidi" w:hAnsiTheme="majorBidi" w:cstheme="majorBidi"/>
          <w:lang w:val="sv-SE"/>
        </w:rPr>
        <w:tab/>
        <w:t xml:space="preserve">Penulis menilai bahwa </w:t>
      </w:r>
      <w:r w:rsidRPr="00966368">
        <w:rPr>
          <w:rFonts w:asciiTheme="majorBidi" w:hAnsiTheme="majorBidi" w:cstheme="majorBidi"/>
          <w:lang w:val="sv-SE"/>
        </w:rPr>
        <w:t xml:space="preserve">putusan Fatwa MUI Tentang Anak Luar Nikah </w:t>
      </w:r>
      <w:r>
        <w:rPr>
          <w:rFonts w:asciiTheme="majorBidi" w:hAnsiTheme="majorBidi" w:cstheme="majorBidi"/>
          <w:lang w:val="sv-SE"/>
        </w:rPr>
        <w:t xml:space="preserve">ini sudah relevan dengan pembaruan hukum Keluarga di Indonesia dengan argumen bahwa fatwa tersebut sejalan dengan Undang-undang  No 1 Tahun 1974 </w:t>
      </w:r>
      <w:r w:rsidRPr="005E3D23">
        <w:rPr>
          <w:rFonts w:asciiTheme="majorBidi" w:hAnsiTheme="majorBidi" w:cstheme="majorBidi"/>
          <w:lang w:val="sv-SE"/>
        </w:rPr>
        <w:t xml:space="preserve">Pasal 43 yang menjelaskan status anak luar nikah, yaitu </w:t>
      </w:r>
      <w:r w:rsidRPr="004A79AF">
        <w:rPr>
          <w:rFonts w:asciiTheme="majorBidi" w:hAnsiTheme="majorBidi" w:cstheme="majorBidi"/>
          <w:lang w:val="sv-SE"/>
        </w:rPr>
        <w:t>“ Anak yang dilahirkan di luar perkawinan hanya mempunyai</w:t>
      </w:r>
      <w:r w:rsidRPr="005E3D23">
        <w:rPr>
          <w:lang w:val="sv-SE"/>
        </w:rPr>
        <w:t xml:space="preserve"> </w:t>
      </w:r>
      <w:r w:rsidRPr="004A79AF">
        <w:rPr>
          <w:rFonts w:asciiTheme="majorBidi" w:hAnsiTheme="majorBidi" w:cstheme="majorBidi"/>
          <w:lang w:val="sv-SE"/>
        </w:rPr>
        <w:t>hubungan perdata dengan ibunya dan keluarga ibunya”</w:t>
      </w:r>
      <w:r w:rsidRPr="004A79AF">
        <w:rPr>
          <w:rStyle w:val="FootnoteReference"/>
          <w:rFonts w:asciiTheme="majorBidi" w:hAnsiTheme="majorBidi" w:cstheme="majorBidi"/>
        </w:rPr>
        <w:footnoteReference w:id="906"/>
      </w:r>
      <w:r w:rsidRPr="004A79AF">
        <w:rPr>
          <w:rFonts w:asciiTheme="majorBidi" w:hAnsiTheme="majorBidi" w:cstheme="majorBidi"/>
          <w:lang w:val="sv-SE"/>
        </w:rPr>
        <w:t xml:space="preserve"> Dan juga</w:t>
      </w:r>
      <w:r w:rsidRPr="005E3D23">
        <w:rPr>
          <w:rFonts w:asciiTheme="majorBidi" w:hAnsiTheme="majorBidi" w:cstheme="majorBidi"/>
          <w:lang w:val="sv-SE"/>
        </w:rPr>
        <w:t xml:space="preserve"> dalam Kompilasi Hukum Islam ( KHI) pasal 99  disebutkan</w:t>
      </w:r>
      <w:r>
        <w:rPr>
          <w:rFonts w:asciiTheme="majorBidi" w:hAnsiTheme="majorBidi" w:cstheme="majorBidi"/>
          <w:lang w:val="sv-SE"/>
        </w:rPr>
        <w:t xml:space="preserve"> bahwa Anak yang sah adalah </w:t>
      </w:r>
      <w:r w:rsidRPr="005E3D23">
        <w:rPr>
          <w:rFonts w:asciiTheme="majorBidi" w:hAnsiTheme="majorBidi" w:cstheme="majorBidi"/>
          <w:lang w:val="sv-SE"/>
        </w:rPr>
        <w:t>anak yang dilahirkan dalam atau akibat perkawinan yang sah; b. hasil perbuatan suami isteri yang sah diluar rahim dan dilahirkan oleh isteri tersebut.</w:t>
      </w:r>
      <w:r>
        <w:rPr>
          <w:rFonts w:asciiTheme="majorBidi" w:hAnsiTheme="majorBidi" w:cstheme="majorBidi"/>
          <w:lang w:val="sv-SE"/>
        </w:rPr>
        <w:t xml:space="preserve"> </w:t>
      </w:r>
      <w:r w:rsidRPr="005E3D23">
        <w:rPr>
          <w:rFonts w:asciiTheme="majorBidi" w:hAnsiTheme="majorBidi" w:cstheme="majorBidi"/>
          <w:lang w:val="sv-SE"/>
        </w:rPr>
        <w:t>Sementara Pasal 100 dipertegas lagi bahwa  Anak yang lahir di luar perkawinan hanya mempunyai hubungan nasab dengan ibunya dan keluarga ibunya.</w:t>
      </w:r>
      <w:r>
        <w:rPr>
          <w:rStyle w:val="FootnoteReference"/>
          <w:rFonts w:asciiTheme="majorBidi" w:hAnsiTheme="majorBidi" w:cstheme="majorBidi"/>
          <w:lang w:val="sv-SE"/>
        </w:rPr>
        <w:footnoteReference w:id="907"/>
      </w:r>
    </w:p>
    <w:p w:rsidR="00343B61" w:rsidRPr="006445F0" w:rsidRDefault="00343B61" w:rsidP="00343B61">
      <w:pPr>
        <w:spacing w:after="0" w:line="360" w:lineRule="auto"/>
        <w:ind w:firstLine="720"/>
        <w:jc w:val="both"/>
        <w:rPr>
          <w:rFonts w:asciiTheme="majorBidi" w:hAnsiTheme="majorBidi" w:cstheme="majorBidi"/>
          <w:lang w:val="sv-SE"/>
        </w:rPr>
      </w:pPr>
      <w:r w:rsidRPr="00591196">
        <w:rPr>
          <w:rFonts w:asciiTheme="majorBidi" w:hAnsiTheme="majorBidi" w:cstheme="majorBidi"/>
          <w:lang w:val="sv-SE"/>
        </w:rPr>
        <w:t>Majelis Ulama Indonesia (MUI) melalui fatwanya</w:t>
      </w:r>
      <w:r>
        <w:rPr>
          <w:rFonts w:asciiTheme="majorBidi" w:hAnsiTheme="majorBidi" w:cstheme="majorBidi"/>
          <w:lang w:val="sv-SE"/>
        </w:rPr>
        <w:t xml:space="preserve"> telah melakukan pembaruan hukum keluarga terkait status anak luar nikah. Adapun </w:t>
      </w:r>
      <w:r w:rsidRPr="00591196">
        <w:rPr>
          <w:rFonts w:asciiTheme="majorBidi" w:hAnsiTheme="majorBidi" w:cstheme="majorBidi"/>
          <w:lang w:val="sv-SE"/>
        </w:rPr>
        <w:t xml:space="preserve">nilai-nilai pembaruan hukum dalam Fatwa tersebut yaitu dengan meneguhkan perlindungan terhadap anak. </w:t>
      </w:r>
      <w:r w:rsidRPr="006445F0">
        <w:rPr>
          <w:rFonts w:asciiTheme="majorBidi" w:hAnsiTheme="majorBidi" w:cstheme="majorBidi"/>
          <w:lang w:val="sv-SE"/>
        </w:rPr>
        <w:t xml:space="preserve">Salah satunya, dengan mewajibkan lelaki yang mengakibatkan kelahiran anak untuk memenuhi kebutuhan anak, diantaranya dengan memberikan sejumlah harta melalui wasiat wajibah saat ia meninggal dunia. Selain itu, fatwa MUI ini juga melindungi anak dari </w:t>
      </w:r>
      <w:r>
        <w:rPr>
          <w:rFonts w:asciiTheme="majorBidi" w:hAnsiTheme="majorBidi" w:cstheme="majorBidi"/>
          <w:lang w:val="sv-SE"/>
        </w:rPr>
        <w:t xml:space="preserve">kerancuan nasab yaitu anak </w:t>
      </w:r>
      <w:r w:rsidRPr="006445F0">
        <w:rPr>
          <w:rFonts w:asciiTheme="majorBidi" w:hAnsiTheme="majorBidi" w:cstheme="majorBidi"/>
          <w:lang w:val="sv-SE"/>
        </w:rPr>
        <w:t>hasil dari zina tidak punya hubungan nasab, wali nikah dan waris.</w:t>
      </w:r>
    </w:p>
    <w:p w:rsidR="00343B61" w:rsidRPr="006445F0" w:rsidRDefault="00343B61" w:rsidP="00343B61">
      <w:pPr>
        <w:spacing w:line="360" w:lineRule="auto"/>
        <w:ind w:firstLine="720"/>
        <w:jc w:val="both"/>
        <w:rPr>
          <w:rFonts w:asciiTheme="majorBidi" w:hAnsiTheme="majorBidi" w:cstheme="majorBidi"/>
          <w:lang w:val="sv-SE"/>
        </w:rPr>
      </w:pPr>
      <w:r w:rsidRPr="006445F0">
        <w:rPr>
          <w:rFonts w:asciiTheme="majorBidi" w:hAnsiTheme="majorBidi" w:cstheme="majorBidi"/>
          <w:lang w:val="sv-SE"/>
        </w:rPr>
        <w:t xml:space="preserve">Nilai pembaruan Hukum keluarga dalam fatwa MUI tersebut terlihat juga pada rekomendasinya yang tidak membeda-bedakan anak hasil zina dengan anak-anak lain dalam pergaulan di masyarakat. Dalam rekomendasinya MUI menghimbau pemerintah untuk memberikan arahan kepada masyarakat untuk tidak mendiskriminasikan mengenai anak hasil zina dengan memperlakukannya sebagaimana anak yang lain. Penetapan nasab </w:t>
      </w:r>
      <w:r w:rsidRPr="006445F0">
        <w:rPr>
          <w:rFonts w:asciiTheme="majorBidi" w:hAnsiTheme="majorBidi" w:cstheme="majorBidi"/>
          <w:lang w:val="sv-SE"/>
        </w:rPr>
        <w:lastRenderedPageBreak/>
        <w:t>anak hasil zina kepada ibu dimaksudkan untuk melindungi nasab anak dan ketentuan keagamaan lain yang terkait, bukan sebagai bentuk diskriminasi.</w:t>
      </w:r>
    </w:p>
    <w:p w:rsidR="00343B61" w:rsidRPr="00890E9A" w:rsidRDefault="00343B61" w:rsidP="00343B61">
      <w:pPr>
        <w:autoSpaceDE w:val="0"/>
        <w:autoSpaceDN w:val="0"/>
        <w:adjustRightInd w:val="0"/>
        <w:spacing w:after="0" w:line="360" w:lineRule="auto"/>
        <w:ind w:firstLine="720"/>
        <w:jc w:val="both"/>
        <w:rPr>
          <w:rFonts w:asciiTheme="majorBidi" w:hAnsiTheme="majorBidi" w:cstheme="majorBidi"/>
        </w:rPr>
      </w:pPr>
      <w:r w:rsidRPr="006445F0">
        <w:rPr>
          <w:rFonts w:asciiTheme="majorBidi" w:hAnsiTheme="majorBidi" w:cstheme="majorBidi"/>
          <w:lang w:val="sv-SE"/>
        </w:rPr>
        <w:t xml:space="preserve">Hal pembaruan hukum keluarga lainnya dari fatwa ini adalah ketika MUI merekomendasikan kepada pemerintah untuk menyusun draft hukum yang mengatur perzinahan dan perselingkuhan sebagai sebuah kejahatan umum yang diancam dengan hukuman yang berat. </w:t>
      </w:r>
      <w:r w:rsidRPr="003F3763">
        <w:rPr>
          <w:rFonts w:asciiTheme="majorBidi" w:hAnsiTheme="majorBidi" w:cstheme="majorBidi"/>
        </w:rPr>
        <w:t>Hukum pidana yang berlaku saat ini di Indonesia hanya memperlakukan perzinahan sebagai sebuah delik aduan. Rekomendasi ini dibuat untuk menjerakan pelaku dan mencegah masyarakat untuk tidak melakukan perzinahan dan perselingkuhan.</w:t>
      </w:r>
      <w:r>
        <w:rPr>
          <w:rStyle w:val="FootnoteReference"/>
          <w:rFonts w:asciiTheme="majorBidi" w:hAnsiTheme="majorBidi" w:cstheme="majorBidi"/>
        </w:rPr>
        <w:footnoteReference w:id="908"/>
      </w:r>
    </w:p>
    <w:p w:rsidR="00343B61" w:rsidRDefault="00343B61" w:rsidP="00343B61">
      <w:pPr>
        <w:pStyle w:val="Default"/>
        <w:spacing w:line="360" w:lineRule="auto"/>
        <w:ind w:firstLine="720"/>
        <w:jc w:val="both"/>
        <w:rPr>
          <w:rFonts w:asciiTheme="majorBidi" w:hAnsiTheme="majorBidi" w:cstheme="majorBidi"/>
          <w:lang w:val="sv-SE"/>
        </w:rPr>
      </w:pPr>
      <w:r>
        <w:rPr>
          <w:rFonts w:asciiTheme="majorBidi" w:hAnsiTheme="majorBidi" w:cstheme="majorBidi"/>
          <w:lang w:val="sv-SE"/>
        </w:rPr>
        <w:t xml:space="preserve">Sebagaimana telah disinggung terlebih dahulu bahwa putusan </w:t>
      </w:r>
      <w:r w:rsidRPr="00694527">
        <w:rPr>
          <w:rFonts w:asciiTheme="majorBidi" w:hAnsiTheme="majorBidi" w:cstheme="majorBidi"/>
          <w:lang w:val="sv-SE"/>
        </w:rPr>
        <w:t xml:space="preserve">Fatwa MUI </w:t>
      </w:r>
      <w:r>
        <w:rPr>
          <w:rFonts w:asciiTheme="majorBidi" w:hAnsiTheme="majorBidi" w:cstheme="majorBidi"/>
          <w:lang w:val="sv-SE"/>
        </w:rPr>
        <w:t xml:space="preserve">Tentang Anak Luar Nikah ini </w:t>
      </w:r>
      <w:r w:rsidRPr="00694527">
        <w:rPr>
          <w:rFonts w:asciiTheme="majorBidi" w:hAnsiTheme="majorBidi" w:cstheme="majorBidi"/>
          <w:lang w:val="sv-SE"/>
        </w:rPr>
        <w:t>sejalan dengan teori Maslahat al-Thufi, yaitu deng</w:t>
      </w:r>
      <w:r>
        <w:rPr>
          <w:rFonts w:asciiTheme="majorBidi" w:hAnsiTheme="majorBidi" w:cstheme="majorBidi"/>
          <w:lang w:val="sv-SE"/>
        </w:rPr>
        <w:t>an mengutama</w:t>
      </w:r>
      <w:r w:rsidRPr="00694527">
        <w:rPr>
          <w:rFonts w:asciiTheme="majorBidi" w:hAnsiTheme="majorBidi" w:cstheme="majorBidi"/>
          <w:lang w:val="sv-SE"/>
        </w:rPr>
        <w:t xml:space="preserve">kan maslahat yang lebih besar daripada maslahat yang lebih rendah. Maslahat yang lebih besar disini adalah dengan mengukuhkan status anak hasil zina hanya mempunyai hubungan nasab, waris, dan nafaqah dengan ibunya dan keluarga ibunya dan tidak mempunyai hubungan nasab, wali nikah, waris, dan nafaqah dengan lelaki yang mengakibatkan kelahirannya. Dengan putusan itu terpeliharan </w:t>
      </w:r>
      <w:r>
        <w:rPr>
          <w:rFonts w:asciiTheme="majorBidi" w:hAnsiTheme="majorBidi" w:cstheme="majorBidi"/>
          <w:lang w:val="sv-SE"/>
        </w:rPr>
        <w:t>dua dari lima hal yang merupakan</w:t>
      </w:r>
      <w:r w:rsidRPr="00694527">
        <w:rPr>
          <w:rFonts w:asciiTheme="majorBidi" w:hAnsiTheme="majorBidi" w:cstheme="majorBidi"/>
          <w:lang w:val="sv-SE"/>
        </w:rPr>
        <w:t xml:space="preserve"> </w:t>
      </w:r>
      <w:r w:rsidRPr="00B728C4">
        <w:rPr>
          <w:rFonts w:asciiTheme="majorBidi" w:hAnsiTheme="majorBidi" w:cstheme="majorBidi"/>
          <w:i/>
          <w:iCs/>
          <w:lang w:val="sv-SE"/>
        </w:rPr>
        <w:t>maqashid syari’ah</w:t>
      </w:r>
      <w:r>
        <w:rPr>
          <w:rFonts w:asciiTheme="majorBidi" w:hAnsiTheme="majorBidi" w:cstheme="majorBidi"/>
          <w:lang w:val="sv-SE"/>
        </w:rPr>
        <w:t xml:space="preserve"> yaitu memelihara agama</w:t>
      </w:r>
      <w:r w:rsidRPr="00694527">
        <w:rPr>
          <w:rFonts w:asciiTheme="majorBidi" w:hAnsiTheme="majorBidi" w:cstheme="majorBidi"/>
          <w:lang w:val="sv-SE"/>
        </w:rPr>
        <w:t xml:space="preserve"> ( </w:t>
      </w:r>
      <w:r w:rsidRPr="00694527">
        <w:rPr>
          <w:rFonts w:asciiTheme="majorBidi" w:hAnsiTheme="majorBidi" w:cstheme="majorBidi"/>
          <w:i/>
          <w:iCs/>
          <w:lang w:val="sv-SE"/>
        </w:rPr>
        <w:t>hifz al-</w:t>
      </w:r>
      <w:r>
        <w:rPr>
          <w:rFonts w:asciiTheme="majorBidi" w:hAnsiTheme="majorBidi" w:cstheme="majorBidi"/>
          <w:i/>
          <w:iCs/>
          <w:lang w:val="sv-SE"/>
        </w:rPr>
        <w:t>din</w:t>
      </w:r>
      <w:r>
        <w:rPr>
          <w:rFonts w:asciiTheme="majorBidi" w:hAnsiTheme="majorBidi" w:cstheme="majorBidi"/>
          <w:lang w:val="sv-SE"/>
        </w:rPr>
        <w:t>) dan</w:t>
      </w:r>
      <w:r w:rsidRPr="00694527">
        <w:rPr>
          <w:rFonts w:asciiTheme="majorBidi" w:hAnsiTheme="majorBidi" w:cstheme="majorBidi"/>
          <w:lang w:val="sv-SE"/>
        </w:rPr>
        <w:t xml:space="preserve"> memelihara keturunan ( </w:t>
      </w:r>
      <w:r w:rsidRPr="00694527">
        <w:rPr>
          <w:rFonts w:asciiTheme="majorBidi" w:hAnsiTheme="majorBidi" w:cstheme="majorBidi"/>
          <w:i/>
          <w:iCs/>
          <w:lang w:val="sv-SE"/>
        </w:rPr>
        <w:t>hifz al-nas</w:t>
      </w:r>
      <w:r>
        <w:rPr>
          <w:rFonts w:asciiTheme="majorBidi" w:hAnsiTheme="majorBidi" w:cstheme="majorBidi"/>
          <w:i/>
          <w:iCs/>
          <w:lang w:val="sv-SE"/>
        </w:rPr>
        <w:t>b</w:t>
      </w:r>
      <w:r w:rsidRPr="00694527">
        <w:rPr>
          <w:rFonts w:asciiTheme="majorBidi" w:hAnsiTheme="majorBidi" w:cstheme="majorBidi"/>
          <w:lang w:val="sv-SE"/>
        </w:rPr>
        <w:t>).</w:t>
      </w:r>
    </w:p>
    <w:p w:rsidR="00343B61" w:rsidRPr="00093E42" w:rsidRDefault="00343B61" w:rsidP="00343B61">
      <w:pPr>
        <w:spacing w:after="0" w:line="360" w:lineRule="auto"/>
        <w:ind w:firstLine="720"/>
        <w:jc w:val="both"/>
        <w:rPr>
          <w:rFonts w:asciiTheme="majorBidi" w:hAnsiTheme="majorBidi" w:cstheme="majorBidi"/>
          <w:lang w:val="sv-SE"/>
        </w:rPr>
      </w:pPr>
      <w:r w:rsidRPr="00093E42">
        <w:rPr>
          <w:rFonts w:asciiTheme="majorBidi" w:hAnsiTheme="majorBidi" w:cstheme="majorBidi"/>
          <w:lang w:val="sv-SE"/>
        </w:rPr>
        <w:t>Karakter Fatwa Tentang Anak Luar Nikah ini adalah bersifat  responsif, sebab ia merupakan salah satu fatwa yang dirumuskan pada tahun 2012 yaitu masa reformasi dimana konfigurasi politik saat itu  demokrasi. Moh Mahfud MD dalam teori politik hukumnya menegaskan bahwa jika konfigurasi politik suatu negara itu otoriter maka akan menghasilkan produk hukum yang konservatif, sementara apabila konfigurasi politik suatu negara itu demokrasi, maka akan melahirkan produk hukum yang responsif, maka sudah tepat manakala produk fatwa Anak Luar Nikah ini bersifat responsif popupulis, artinya MUI melalui fatwanya merespon keinginan masyarakat, khususnya anak luar nikah, yaitu dengan mewajibkan kepada pemerintah untuk melindungi anak hasil luar nikah dan mencegah terjadinya penelantaran, serta wajib kepada pemerintah untuk mengedukasi masyarakat agar tidak mendiskriminasikan anak luar nikah dengan memperlakukannya sebagaimana anak yang lain.</w:t>
      </w:r>
    </w:p>
    <w:p w:rsidR="00343B61" w:rsidRPr="00477E07" w:rsidRDefault="00343B61" w:rsidP="00343B61">
      <w:pPr>
        <w:spacing w:after="0" w:line="360" w:lineRule="auto"/>
        <w:ind w:firstLine="720"/>
        <w:jc w:val="both"/>
        <w:rPr>
          <w:rFonts w:asciiTheme="majorBidi" w:hAnsiTheme="majorBidi" w:cstheme="majorBidi"/>
          <w:lang w:val="sv-SE"/>
        </w:rPr>
      </w:pPr>
      <w:r w:rsidRPr="00477E07">
        <w:rPr>
          <w:rFonts w:asciiTheme="majorBidi" w:hAnsiTheme="majorBidi" w:cstheme="majorBidi"/>
          <w:lang w:val="sv-SE"/>
        </w:rPr>
        <w:lastRenderedPageBreak/>
        <w:t xml:space="preserve">Selain daripada itu, nilai responsif fatwa ini terlihat juga pada isi fatwa tersebut yaitu dengan memberikan perintah kepada lelaki pelaku zina untuk mencukupi kebutuhan hidup anak yang lahir akibat perbuatannya dan apabila dia meninggal kelak, meninggalkan pesan agar ahli waris memberikan sejumlah harta kepada anak tersebut melalui </w:t>
      </w:r>
      <w:r w:rsidRPr="00477E07">
        <w:rPr>
          <w:rFonts w:asciiTheme="majorBidi" w:hAnsiTheme="majorBidi" w:cstheme="majorBidi"/>
          <w:i/>
          <w:iCs/>
          <w:lang w:val="sv-SE"/>
        </w:rPr>
        <w:t xml:space="preserve">wasiat wajibah </w:t>
      </w:r>
      <w:r w:rsidRPr="00477E07">
        <w:rPr>
          <w:rFonts w:asciiTheme="majorBidi" w:hAnsiTheme="majorBidi" w:cstheme="majorBidi"/>
          <w:lang w:val="sv-SE"/>
        </w:rPr>
        <w:t>yang telah ia buat sebelumnya, atau memberikan harta kepadanya sewaktu ia hidup melaui hadiah, atau hibah.</w:t>
      </w:r>
    </w:p>
    <w:p w:rsidR="00343B61" w:rsidRDefault="00343B61" w:rsidP="00343B61">
      <w:pPr>
        <w:pStyle w:val="ListParagraph"/>
        <w:tabs>
          <w:tab w:val="left" w:pos="1800"/>
        </w:tabs>
        <w:spacing w:line="360" w:lineRule="auto"/>
        <w:ind w:left="270" w:hanging="270"/>
        <w:jc w:val="both"/>
        <w:rPr>
          <w:rFonts w:asciiTheme="majorBidi" w:hAnsiTheme="majorBidi" w:cstheme="majorBidi"/>
          <w:lang w:val="sv-SE"/>
        </w:rPr>
      </w:pPr>
      <w:r>
        <w:rPr>
          <w:rFonts w:asciiTheme="majorBidi" w:hAnsiTheme="majorBidi" w:cstheme="majorBidi"/>
          <w:lang w:val="sv-SE"/>
        </w:rPr>
        <w:t xml:space="preserve">6. </w:t>
      </w:r>
      <w:r w:rsidRPr="001F3B7F">
        <w:rPr>
          <w:rFonts w:asciiTheme="majorBidi" w:hAnsiTheme="majorBidi" w:cstheme="majorBidi"/>
          <w:lang w:val="sv-SE"/>
        </w:rPr>
        <w:t xml:space="preserve">Fatwa MUI Tentang </w:t>
      </w:r>
      <w:r>
        <w:rPr>
          <w:rFonts w:asciiTheme="majorBidi" w:hAnsiTheme="majorBidi" w:cstheme="majorBidi"/>
          <w:lang w:val="sv-SE"/>
        </w:rPr>
        <w:t>Hak Pengasuhan Anak Bagi Orangtua Yang Bercerai Karena Berbeda Agama.</w:t>
      </w:r>
    </w:p>
    <w:p w:rsidR="00343B61" w:rsidRDefault="00343B61" w:rsidP="00343B61">
      <w:pPr>
        <w:pStyle w:val="ListParagraph"/>
        <w:tabs>
          <w:tab w:val="left" w:pos="1440"/>
        </w:tabs>
        <w:spacing w:line="360" w:lineRule="auto"/>
        <w:ind w:left="90" w:firstLine="630"/>
        <w:jc w:val="both"/>
        <w:rPr>
          <w:rFonts w:asciiTheme="majorBidi" w:hAnsiTheme="majorBidi" w:cstheme="majorBidi"/>
          <w:lang w:val="sv-SE"/>
        </w:rPr>
      </w:pPr>
      <w:r w:rsidRPr="00D75FA3">
        <w:rPr>
          <w:rFonts w:ascii="Garamond" w:hAnsi="Garamond" w:cs="Garamond"/>
          <w:sz w:val="26"/>
          <w:szCs w:val="26"/>
          <w:lang w:val="sv-SE"/>
        </w:rPr>
        <w:t>Fatwa</w:t>
      </w:r>
      <w:r w:rsidRPr="00D75FA3">
        <w:rPr>
          <w:rFonts w:ascii="Garamond" w:hAnsi="Garamond" w:cs="Garamond"/>
          <w:b/>
          <w:bCs/>
          <w:sz w:val="26"/>
          <w:szCs w:val="26"/>
          <w:lang w:val="sv-SE"/>
        </w:rPr>
        <w:t xml:space="preserve"> </w:t>
      </w:r>
      <w:r w:rsidRPr="001F3B7F">
        <w:rPr>
          <w:rFonts w:asciiTheme="majorBidi" w:hAnsiTheme="majorBidi" w:cstheme="majorBidi"/>
          <w:lang w:val="sv-SE"/>
        </w:rPr>
        <w:t xml:space="preserve">MUI Tentang </w:t>
      </w:r>
      <w:r>
        <w:rPr>
          <w:rFonts w:asciiTheme="majorBidi" w:hAnsiTheme="majorBidi" w:cstheme="majorBidi"/>
          <w:lang w:val="sv-SE"/>
        </w:rPr>
        <w:t xml:space="preserve">Hak Pengasuhan Anak Bagi Orangtua Yang Bercerai Karena Berbeda Agama ini masuk dalam kategori </w:t>
      </w:r>
      <w:r>
        <w:rPr>
          <w:rFonts w:asciiTheme="majorBidi" w:hAnsiTheme="majorBidi" w:cstheme="majorBidi"/>
          <w:sz w:val="26"/>
          <w:szCs w:val="26"/>
          <w:lang w:val="sv-SE"/>
        </w:rPr>
        <w:t>Masalah Fiq</w:t>
      </w:r>
      <w:r w:rsidRPr="00D75FA3">
        <w:rPr>
          <w:rFonts w:asciiTheme="majorBidi" w:hAnsiTheme="majorBidi" w:cstheme="majorBidi"/>
          <w:sz w:val="26"/>
          <w:szCs w:val="26"/>
          <w:lang w:val="sv-SE"/>
        </w:rPr>
        <w:t>ih Kontemporer</w:t>
      </w:r>
      <w:r w:rsidRPr="00D75FA3">
        <w:rPr>
          <w:rFonts w:ascii="Garamond" w:hAnsi="Garamond" w:cs="Garamond"/>
          <w:b/>
          <w:bCs/>
          <w:sz w:val="26"/>
          <w:szCs w:val="26"/>
          <w:lang w:val="sv-SE"/>
        </w:rPr>
        <w:t xml:space="preserve"> </w:t>
      </w:r>
      <w:r w:rsidRPr="00D75FA3">
        <w:rPr>
          <w:rFonts w:ascii="Garamond" w:eastAsiaTheme="minorHAnsi" w:hAnsi="Garamond" w:cs="Garamond"/>
          <w:b/>
          <w:bCs/>
          <w:color w:val="000000"/>
          <w:sz w:val="26"/>
          <w:szCs w:val="26"/>
          <w:lang w:val="sv-SE"/>
        </w:rPr>
        <w:t>(</w:t>
      </w:r>
      <w:r w:rsidRPr="00222F79">
        <w:rPr>
          <w:rFonts w:asciiTheme="majorBidi" w:hAnsiTheme="majorBidi" w:cstheme="majorBidi"/>
          <w:i/>
          <w:iCs/>
          <w:lang w:val="sv-SE"/>
        </w:rPr>
        <w:t>Masāil Fiqhiyyah Mu'āshirah</w:t>
      </w:r>
      <w:r w:rsidRPr="00D75FA3">
        <w:rPr>
          <w:rFonts w:ascii="Garamond" w:eastAsiaTheme="minorHAnsi" w:hAnsi="Garamond" w:cs="Garamond"/>
          <w:b/>
          <w:bCs/>
          <w:color w:val="000000"/>
          <w:sz w:val="26"/>
          <w:szCs w:val="26"/>
          <w:lang w:val="sv-SE"/>
        </w:rPr>
        <w:t>)</w:t>
      </w:r>
      <w:r>
        <w:rPr>
          <w:rFonts w:ascii="Garamond" w:hAnsi="Garamond" w:cs="Garamond"/>
          <w:b/>
          <w:bCs/>
          <w:sz w:val="26"/>
          <w:szCs w:val="26"/>
          <w:lang w:val="sv-SE"/>
        </w:rPr>
        <w:t xml:space="preserve"> </w:t>
      </w:r>
      <w:r w:rsidRPr="00D75FA3">
        <w:rPr>
          <w:rFonts w:asciiTheme="majorBidi" w:hAnsiTheme="majorBidi" w:cstheme="majorBidi"/>
          <w:lang w:val="sv-SE"/>
        </w:rPr>
        <w:t xml:space="preserve">yang </w:t>
      </w:r>
      <w:r>
        <w:rPr>
          <w:rFonts w:asciiTheme="majorBidi" w:hAnsiTheme="majorBidi" w:cstheme="majorBidi"/>
          <w:lang w:val="sv-SE"/>
        </w:rPr>
        <w:t xml:space="preserve">diputuskan pada </w:t>
      </w:r>
      <w:r w:rsidRPr="00E368D4">
        <w:rPr>
          <w:rFonts w:asciiTheme="majorBidi" w:hAnsiTheme="majorBidi" w:cstheme="majorBidi"/>
          <w:lang w:val="sv-SE"/>
        </w:rPr>
        <w:t>Ijtima’ Ulama Komisi Fatwa Se-Indonesia V Tahun 2015</w:t>
      </w:r>
      <w:r>
        <w:rPr>
          <w:rFonts w:asciiTheme="majorBidi" w:hAnsiTheme="majorBidi" w:cstheme="majorBidi"/>
          <w:lang w:val="sv-SE"/>
        </w:rPr>
        <w:t xml:space="preserve"> yang diadakan di Ponpes At-Tauhidiyah Tegal, Jawa Tengah. Fatwa ini</w:t>
      </w:r>
      <w:r w:rsidRPr="00D75FA3">
        <w:rPr>
          <w:rFonts w:asciiTheme="majorBidi" w:hAnsiTheme="majorBidi" w:cstheme="majorBidi"/>
          <w:lang w:val="sv-SE"/>
        </w:rPr>
        <w:t xml:space="preserve"> memuat dua ketentuan Hukum; </w:t>
      </w:r>
    </w:p>
    <w:p w:rsidR="00343B61" w:rsidRPr="009F0D86" w:rsidRDefault="00343B61" w:rsidP="00343B61">
      <w:pPr>
        <w:pStyle w:val="ListParagraph"/>
        <w:tabs>
          <w:tab w:val="left" w:pos="1440"/>
        </w:tabs>
        <w:spacing w:after="0" w:line="360" w:lineRule="auto"/>
        <w:ind w:left="90" w:firstLine="630"/>
        <w:jc w:val="both"/>
        <w:rPr>
          <w:rFonts w:asciiTheme="majorBidi" w:hAnsiTheme="majorBidi" w:cstheme="majorBidi"/>
          <w:lang w:val="sv-SE"/>
        </w:rPr>
      </w:pPr>
      <w:r w:rsidRPr="00D75FA3">
        <w:rPr>
          <w:rFonts w:ascii="Times New Roman" w:hAnsi="Times New Roman" w:cs="Times New Roman"/>
          <w:lang w:val="sv-SE"/>
        </w:rPr>
        <w:t xml:space="preserve">1) Persyaratan orang yang akan mengasuh anak, yaitu ; berakal sehat, dewasa (baligh), memiliki kemampuan untuk mengasuh, merawat dan mendidik anak, dapat dipercaya (amanah) dan berbudi pekerti yang baik, beragama Islam. </w:t>
      </w:r>
      <w:r w:rsidRPr="007F3B7D">
        <w:rPr>
          <w:rFonts w:ascii="Times New Roman" w:hAnsi="Times New Roman" w:cs="Times New Roman"/>
          <w:lang w:val="sv-SE"/>
        </w:rPr>
        <w:t xml:space="preserve">Apabila salah satu persyaratan tidak terpenuhi, maka yang bersangkutan tidak berhak untuk mengasuh anak dan hak asuh berpindah kepada anggota keluarga yang muslim dan memenuhi ketentuan persyaratan orang yang akan mengasuh anak tersebut di atas. </w:t>
      </w:r>
    </w:p>
    <w:p w:rsidR="00343B61" w:rsidRPr="00314AAC" w:rsidRDefault="00343B61" w:rsidP="00343B61">
      <w:pPr>
        <w:spacing w:after="0" w:line="360" w:lineRule="auto"/>
        <w:ind w:left="180" w:firstLine="630"/>
        <w:jc w:val="both"/>
        <w:rPr>
          <w:rFonts w:ascii="Times New Roman" w:hAnsi="Times New Roman" w:cs="Times New Roman"/>
        </w:rPr>
      </w:pPr>
      <w:r>
        <w:rPr>
          <w:rFonts w:ascii="Times New Roman" w:hAnsi="Times New Roman" w:cs="Times New Roman"/>
        </w:rPr>
        <w:t xml:space="preserve">2) </w:t>
      </w:r>
      <w:r w:rsidRPr="00204F22">
        <w:rPr>
          <w:rFonts w:ascii="Times New Roman" w:hAnsi="Times New Roman" w:cs="Times New Roman"/>
        </w:rPr>
        <w:t>Apabila kedua orang tuanya bercerai di pengadilan, maka yang lebih berhak mengasuhnya adalah salah satu dari kedua orang tuanya. Bila anak tersebut belum baligh, maka ibu lebi</w:t>
      </w:r>
      <w:r>
        <w:rPr>
          <w:rFonts w:ascii="Times New Roman" w:hAnsi="Times New Roman" w:cs="Times New Roman"/>
        </w:rPr>
        <w:t>h</w:t>
      </w:r>
      <w:r w:rsidRPr="00204F22">
        <w:rPr>
          <w:rFonts w:ascii="Times New Roman" w:hAnsi="Times New Roman" w:cs="Times New Roman"/>
        </w:rPr>
        <w:t xml:space="preserve"> berhak untuk mengasuh daripada ayahnya. Apabila sudah baligh, maka anak memiliki hak untuk menentukan apakah ia ikut ayahnya atau ibunya. Apabila kedua orang tuanya berbeda agama, maka hak pengasuhan anak jatuh pada orang tua yang beragama Islam.</w:t>
      </w:r>
      <w:r>
        <w:rPr>
          <w:rStyle w:val="FootnoteReference"/>
          <w:rFonts w:ascii="Times New Roman" w:hAnsi="Times New Roman" w:cs="Times New Roman"/>
        </w:rPr>
        <w:footnoteReference w:id="909"/>
      </w:r>
    </w:p>
    <w:p w:rsidR="00343B61"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rPr>
      </w:pPr>
      <w:r>
        <w:rPr>
          <w:rFonts w:asciiTheme="majorBidi" w:hAnsiTheme="majorBidi" w:cstheme="majorBidi"/>
        </w:rPr>
        <w:t xml:space="preserve">Penulis menilai bahwa fatwa MUI tentang </w:t>
      </w:r>
      <w:r>
        <w:rPr>
          <w:rFonts w:asciiTheme="majorBidi" w:hAnsiTheme="majorBidi" w:cstheme="majorBidi"/>
          <w:lang w:val="sv-SE"/>
        </w:rPr>
        <w:t xml:space="preserve">Hak Pengasuhan Anak Bagi Orangtua Yang Bercerai Karena Berbeda Agama sudah relevan dengan pembaruan hukum keluarga di Indonesia, serta relevan dengan teori maslahat al-Thufi dengan alasan bahwa Pertimbangan MUI dalam memutuskan fatwa ini adalah kemaslahatan. Hal itu terlihat </w:t>
      </w:r>
      <w:r w:rsidRPr="006248B0">
        <w:rPr>
          <w:rFonts w:ascii="Times New Roman" w:hAnsi="Times New Roman" w:cs="Times New Roman"/>
          <w:lang w:val="sv-SE"/>
        </w:rPr>
        <w:t>dalam rekomendasi</w:t>
      </w:r>
      <w:r>
        <w:rPr>
          <w:rFonts w:ascii="Times New Roman" w:hAnsi="Times New Roman" w:cs="Times New Roman"/>
          <w:lang w:val="sv-SE"/>
        </w:rPr>
        <w:t xml:space="preserve"> MUI yang menegaskan bahwa </w:t>
      </w:r>
      <w:r w:rsidRPr="006248B0">
        <w:rPr>
          <w:rFonts w:ascii="Times New Roman" w:hAnsi="Times New Roman" w:cs="Times New Roman"/>
          <w:lang w:val="sv-SE"/>
        </w:rPr>
        <w:t xml:space="preserve">“Dalam menetapkan hak pengasuhan anak harus mengacu pada kemaslahatan anak yaitu untuk masa depannya. </w:t>
      </w:r>
      <w:r w:rsidRPr="00204F22">
        <w:rPr>
          <w:rFonts w:ascii="Times New Roman" w:hAnsi="Times New Roman" w:cs="Times New Roman"/>
        </w:rPr>
        <w:t xml:space="preserve">Masa depan </w:t>
      </w:r>
      <w:r w:rsidRPr="00204F22">
        <w:rPr>
          <w:rFonts w:ascii="Times New Roman" w:hAnsi="Times New Roman" w:cs="Times New Roman"/>
        </w:rPr>
        <w:lastRenderedPageBreak/>
        <w:t>anak yang harus dipertimb</w:t>
      </w:r>
      <w:r>
        <w:rPr>
          <w:rFonts w:ascii="Times New Roman" w:hAnsi="Times New Roman" w:cs="Times New Roman"/>
        </w:rPr>
        <w:t>angkan tidak hanya dalam kehidup</w:t>
      </w:r>
      <w:r w:rsidRPr="00204F22">
        <w:rPr>
          <w:rFonts w:ascii="Times New Roman" w:hAnsi="Times New Roman" w:cs="Times New Roman"/>
        </w:rPr>
        <w:t>annya di dunia, tetapi juga untuk masa depannya di akhirat</w:t>
      </w:r>
      <w:r>
        <w:rPr>
          <w:rFonts w:ascii="Times New Roman" w:hAnsi="Times New Roman" w:cs="Times New Roman"/>
        </w:rPr>
        <w:t>”</w:t>
      </w:r>
      <w:r w:rsidRPr="00204F22">
        <w:rPr>
          <w:rFonts w:ascii="Times New Roman" w:hAnsi="Times New Roman" w:cs="Times New Roman"/>
        </w:rPr>
        <w:t>.</w:t>
      </w:r>
      <w:r>
        <w:rPr>
          <w:rStyle w:val="FootnoteReference"/>
          <w:rFonts w:ascii="Times New Roman" w:hAnsi="Times New Roman" w:cs="Times New Roman"/>
        </w:rPr>
        <w:footnoteReference w:id="910"/>
      </w:r>
      <w:r w:rsidRPr="00204F22">
        <w:rPr>
          <w:rFonts w:ascii="Times New Roman" w:hAnsi="Times New Roman" w:cs="Times New Roman"/>
        </w:rPr>
        <w:t xml:space="preserve"> </w:t>
      </w:r>
    </w:p>
    <w:p w:rsidR="00343B61"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lang w:val="sv-SE"/>
        </w:rPr>
      </w:pPr>
      <w:r>
        <w:rPr>
          <w:rFonts w:ascii="Times New Roman" w:hAnsi="Times New Roman" w:cs="Times New Roman"/>
        </w:rPr>
        <w:t xml:space="preserve">Nilai-nilai pembaruan hukum keluarga terlihat dalam fatwa ini yaitu yang menjadikan agama sebagai salah satu faktor penentu seorang orang tua bisa mendapatkan hak mengasuh anaknya. Hal ini sesuai dengan </w:t>
      </w:r>
      <w:r w:rsidRPr="00AA1F36">
        <w:rPr>
          <w:rFonts w:ascii="Times New Roman" w:hAnsi="Times New Roman" w:cs="Times New Roman"/>
          <w:lang w:val="sv-SE"/>
        </w:rPr>
        <w:t>Yurisprudensi Mahkamah Agung RI. No.: 210/K/AG/1996, yang mengandung abstraksi hukum bahwa agama merupakan syarat untuk menentukan gugur tidaknya hak seorang ibu atas pemeliharaan dan pengasuhan (</w:t>
      </w:r>
      <w:r w:rsidRPr="00AA1F36">
        <w:rPr>
          <w:rFonts w:ascii="Times New Roman" w:hAnsi="Times New Roman" w:cs="Times New Roman"/>
          <w:i/>
          <w:iCs/>
          <w:lang w:val="sv-SE"/>
        </w:rPr>
        <w:t>hadhanah</w:t>
      </w:r>
      <w:r w:rsidRPr="00AA1F36">
        <w:rPr>
          <w:rFonts w:ascii="Times New Roman" w:hAnsi="Times New Roman" w:cs="Times New Roman"/>
          <w:lang w:val="sv-SE"/>
        </w:rPr>
        <w:t xml:space="preserve">) terhadap anaknya yang belum </w:t>
      </w:r>
      <w:r w:rsidRPr="00AA1F36">
        <w:rPr>
          <w:rFonts w:ascii="Times New Roman" w:hAnsi="Times New Roman" w:cs="Times New Roman"/>
          <w:i/>
          <w:iCs/>
          <w:lang w:val="sv-SE"/>
        </w:rPr>
        <w:t>mumayyiz</w:t>
      </w:r>
      <w:r w:rsidRPr="00AA1F36">
        <w:rPr>
          <w:rFonts w:ascii="Times New Roman" w:hAnsi="Times New Roman" w:cs="Times New Roman"/>
          <w:lang w:val="sv-SE"/>
        </w:rPr>
        <w:t>.</w:t>
      </w:r>
    </w:p>
    <w:p w:rsidR="00343B61"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lang w:val="sv-SE"/>
        </w:rPr>
      </w:pPr>
      <w:r>
        <w:rPr>
          <w:rFonts w:asciiTheme="majorBidi" w:hAnsiTheme="majorBidi" w:cstheme="majorBidi"/>
          <w:lang w:val="sv-SE"/>
        </w:rPr>
        <w:t xml:space="preserve">Faktor agama yang dipertegas dalam fatwa MUI ini juga sejalan dengan </w:t>
      </w:r>
      <w:r w:rsidRPr="00AA1F36">
        <w:rPr>
          <w:rFonts w:asciiTheme="majorBidi" w:hAnsiTheme="majorBidi" w:cstheme="majorBidi"/>
          <w:lang w:val="sv-SE"/>
        </w:rPr>
        <w:t xml:space="preserve">dengan </w:t>
      </w:r>
      <w:hyperlink r:id="rId12" w:history="1">
        <w:r w:rsidRPr="00AA1F36">
          <w:rPr>
            <w:rFonts w:asciiTheme="majorBidi" w:hAnsiTheme="majorBidi" w:cstheme="majorBidi"/>
            <w:lang w:val="sv-SE"/>
          </w:rPr>
          <w:t>Undang-Undang No. 23 Tahun 2002 tentang Perlindungan Anak</w:t>
        </w:r>
      </w:hyperlink>
      <w:r w:rsidRPr="00AA1F36">
        <w:rPr>
          <w:rFonts w:asciiTheme="majorBidi" w:hAnsiTheme="majorBidi" w:cstheme="majorBidi"/>
          <w:lang w:val="sv-SE"/>
        </w:rPr>
        <w:t xml:space="preserve"> Pasal 1 angka 11 yang menyatakan bahwa kuasa asuh adalah keku</w:t>
      </w:r>
      <w:r>
        <w:rPr>
          <w:rFonts w:asciiTheme="majorBidi" w:hAnsiTheme="majorBidi" w:cstheme="majorBidi"/>
          <w:lang w:val="sv-SE"/>
        </w:rPr>
        <w:t xml:space="preserve">asaan orang tua untuk mengasuh, </w:t>
      </w:r>
      <w:r w:rsidRPr="00AA1F36">
        <w:rPr>
          <w:rFonts w:asciiTheme="majorBidi" w:hAnsiTheme="majorBidi" w:cstheme="majorBidi"/>
          <w:lang w:val="sv-SE"/>
        </w:rPr>
        <w:t>mendidik, memelihara, membina, melindungi, dan menumbuh</w:t>
      </w:r>
      <w:r>
        <w:rPr>
          <w:rFonts w:asciiTheme="majorBidi" w:hAnsiTheme="majorBidi" w:cstheme="majorBidi"/>
          <w:lang w:val="sv-SE"/>
        </w:rPr>
        <w:t xml:space="preserve"> </w:t>
      </w:r>
      <w:r w:rsidRPr="00AA1F36">
        <w:rPr>
          <w:rFonts w:asciiTheme="majorBidi" w:hAnsiTheme="majorBidi" w:cstheme="majorBidi"/>
          <w:lang w:val="sv-SE"/>
        </w:rPr>
        <w:t>kembangkan anak sesuai dengan agama yang dianutnya dan kemampuan, bakat, serta minatnya.</w:t>
      </w:r>
      <w:r>
        <w:rPr>
          <w:rStyle w:val="FootnoteReference"/>
          <w:rFonts w:asciiTheme="majorBidi" w:hAnsiTheme="majorBidi" w:cstheme="majorBidi"/>
          <w:lang w:val="sv-SE"/>
        </w:rPr>
        <w:footnoteReference w:id="911"/>
      </w:r>
    </w:p>
    <w:p w:rsidR="00343B61"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lang w:val="sv-SE"/>
        </w:rPr>
      </w:pPr>
      <w:r>
        <w:rPr>
          <w:rFonts w:asciiTheme="majorBidi" w:hAnsiTheme="majorBidi" w:cstheme="majorBidi"/>
          <w:lang w:val="sv-SE"/>
        </w:rPr>
        <w:t xml:space="preserve">Argumen lain </w:t>
      </w:r>
      <w:r w:rsidRPr="00BD065A">
        <w:rPr>
          <w:rFonts w:asciiTheme="majorBidi" w:hAnsiTheme="majorBidi" w:cstheme="majorBidi"/>
          <w:lang w:val="sv-SE"/>
        </w:rPr>
        <w:t>bahwa fatwa ini sesuai dengan</w:t>
      </w:r>
      <w:r w:rsidRPr="00BD065A">
        <w:rPr>
          <w:rFonts w:asciiTheme="majorBidi" w:hAnsiTheme="majorBidi" w:cstheme="majorBidi"/>
          <w:i/>
          <w:iCs/>
          <w:lang w:val="sv-SE"/>
        </w:rPr>
        <w:t xml:space="preserve"> </w:t>
      </w:r>
      <w:r w:rsidRPr="00BD065A">
        <w:rPr>
          <w:rFonts w:asciiTheme="majorBidi" w:hAnsiTheme="majorBidi" w:cstheme="majorBidi"/>
          <w:lang w:val="sv-SE"/>
        </w:rPr>
        <w:t>pe</w:t>
      </w:r>
      <w:r>
        <w:rPr>
          <w:rFonts w:asciiTheme="majorBidi" w:hAnsiTheme="majorBidi" w:cstheme="majorBidi"/>
          <w:lang w:val="sv-SE"/>
        </w:rPr>
        <w:t>mbaruah hukum Keluarga</w:t>
      </w:r>
      <w:r w:rsidRPr="00600B61">
        <w:rPr>
          <w:rFonts w:asciiTheme="majorBidi" w:hAnsiTheme="majorBidi" w:cstheme="majorBidi"/>
          <w:lang w:val="sv-SE"/>
        </w:rPr>
        <w:t xml:space="preserve"> di Indonesia adalah bahwa fatwa ini sejalan dengan bunyi </w:t>
      </w:r>
      <w:r w:rsidRPr="00AA1F36">
        <w:rPr>
          <w:rFonts w:ascii="Times New Roman" w:hAnsi="Times New Roman" w:cs="Times New Roman"/>
          <w:lang w:val="sv-SE"/>
        </w:rPr>
        <w:t xml:space="preserve">Pasal 105 </w:t>
      </w:r>
      <w:r>
        <w:rPr>
          <w:rFonts w:ascii="Times New Roman" w:hAnsi="Times New Roman" w:cs="Times New Roman"/>
          <w:lang w:val="sv-SE"/>
        </w:rPr>
        <w:t>Kompilasi Hukum Islam (KHI)</w:t>
      </w:r>
      <w:r w:rsidRPr="00AA1F36">
        <w:rPr>
          <w:rFonts w:ascii="Times New Roman" w:hAnsi="Times New Roman" w:cs="Times New Roman"/>
          <w:lang w:val="sv-SE"/>
        </w:rPr>
        <w:t>,</w:t>
      </w:r>
      <w:r w:rsidRPr="00600B61">
        <w:rPr>
          <w:rFonts w:ascii="Times New Roman" w:hAnsi="Times New Roman" w:cs="Times New Roman"/>
          <w:lang w:val="sv-SE"/>
        </w:rPr>
        <w:t xml:space="preserve"> dalam hal terjadi perceraian, pemeliharaan anak yang belum </w:t>
      </w:r>
      <w:r w:rsidRPr="00600B61">
        <w:rPr>
          <w:rFonts w:ascii="Times New Roman" w:hAnsi="Times New Roman" w:cs="Times New Roman"/>
          <w:i/>
          <w:iCs/>
          <w:lang w:val="sv-SE"/>
        </w:rPr>
        <w:t>mumayyiz</w:t>
      </w:r>
      <w:r w:rsidRPr="00600B61">
        <w:rPr>
          <w:rFonts w:ascii="Times New Roman" w:hAnsi="Times New Roman" w:cs="Times New Roman"/>
          <w:lang w:val="sv-SE"/>
        </w:rPr>
        <w:t xml:space="preserve"> atau belum berumur 12 tahun adalah hak ibunya, sedangkan pemeliharaan anak yang sudah </w:t>
      </w:r>
      <w:r w:rsidRPr="00600B61">
        <w:rPr>
          <w:rFonts w:ascii="Times New Roman" w:hAnsi="Times New Roman" w:cs="Times New Roman"/>
          <w:i/>
          <w:iCs/>
          <w:lang w:val="sv-SE"/>
        </w:rPr>
        <w:t>mumayyiz</w:t>
      </w:r>
      <w:r w:rsidRPr="00600B61">
        <w:rPr>
          <w:rFonts w:ascii="Times New Roman" w:hAnsi="Times New Roman" w:cs="Times New Roman"/>
          <w:lang w:val="sv-SE"/>
        </w:rPr>
        <w:t xml:space="preserve"> diserahkan kepada anak untuk memilih di antara ayah atau ibunya sebagai pemegang hak pemeliharaan.</w:t>
      </w:r>
      <w:r>
        <w:rPr>
          <w:rStyle w:val="FootnoteReference"/>
          <w:rFonts w:ascii="Times New Roman" w:hAnsi="Times New Roman" w:cs="Times New Roman"/>
          <w:lang w:val="sv-SE"/>
        </w:rPr>
        <w:footnoteReference w:id="912"/>
      </w:r>
    </w:p>
    <w:p w:rsidR="00343B61"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lang w:val="sv-SE"/>
        </w:rPr>
      </w:pPr>
      <w:r>
        <w:rPr>
          <w:rFonts w:asciiTheme="majorBidi" w:hAnsiTheme="majorBidi" w:cstheme="majorBidi"/>
          <w:lang w:val="sv-SE"/>
        </w:rPr>
        <w:t xml:space="preserve">Dengan demikian MUI melalui </w:t>
      </w:r>
      <w:r w:rsidRPr="001F3B7F">
        <w:rPr>
          <w:rFonts w:asciiTheme="majorBidi" w:hAnsiTheme="majorBidi" w:cstheme="majorBidi"/>
          <w:lang w:val="sv-SE"/>
        </w:rPr>
        <w:t>Fatwa</w:t>
      </w:r>
      <w:r>
        <w:rPr>
          <w:rFonts w:asciiTheme="majorBidi" w:hAnsiTheme="majorBidi" w:cstheme="majorBidi"/>
          <w:lang w:val="sv-SE"/>
        </w:rPr>
        <w:t>nya</w:t>
      </w:r>
      <w:r w:rsidRPr="001F3B7F">
        <w:rPr>
          <w:rFonts w:asciiTheme="majorBidi" w:hAnsiTheme="majorBidi" w:cstheme="majorBidi"/>
          <w:lang w:val="sv-SE"/>
        </w:rPr>
        <w:t xml:space="preserve"> Tentang </w:t>
      </w:r>
      <w:r>
        <w:rPr>
          <w:rFonts w:asciiTheme="majorBidi" w:hAnsiTheme="majorBidi" w:cstheme="majorBidi"/>
          <w:lang w:val="sv-SE"/>
        </w:rPr>
        <w:t xml:space="preserve">Hak Pengasuhan Anak Bagi Orangtua Yang Bercerai Karena Berbeda Agama telah melakukan upaya pembaruan hukum keluarga dan fatwa ini menurut penulis sudah relevan dengan pembaruan hukum keluarga Islam di Indonesia. </w:t>
      </w:r>
    </w:p>
    <w:p w:rsidR="00343B61" w:rsidRDefault="00343B61" w:rsidP="00343B61">
      <w:pPr>
        <w:spacing w:line="360" w:lineRule="auto"/>
        <w:ind w:firstLine="720"/>
        <w:jc w:val="both"/>
        <w:rPr>
          <w:rFonts w:ascii="Times New Roman" w:hAnsi="Times New Roman" w:cs="Times New Roman"/>
        </w:rPr>
      </w:pPr>
      <w:r w:rsidRPr="00477E07">
        <w:rPr>
          <w:rFonts w:asciiTheme="majorBidi" w:hAnsiTheme="majorBidi" w:cstheme="majorBidi"/>
          <w:lang w:val="sv-SE"/>
        </w:rPr>
        <w:t xml:space="preserve">Karakter Fatwa Hak Pengasuhan Anak Bagi Orangtua Yang Bercerai Karena Beda Agama ini adalah bersifat  responsif, sebab ia merupakan salah satu fatwa yang dirumuskan pada tahun 2015 yaitu masa reformasi dimana konfigurasi politik saat itu  demokrasi. Moh Mahfud MD dalam teori politik hukumnya menegaskan bahwa jika konfigurasi politik suatu negara itu demokrasi akan melahirkan produk hukum yang responsif, sementara apabila konfigurasi politik suatu negara itu otoriter akan </w:t>
      </w:r>
      <w:r w:rsidRPr="00477E07">
        <w:rPr>
          <w:rFonts w:asciiTheme="majorBidi" w:hAnsiTheme="majorBidi" w:cstheme="majorBidi"/>
          <w:lang w:val="sv-SE"/>
        </w:rPr>
        <w:lastRenderedPageBreak/>
        <w:t xml:space="preserve">menghasilkan produk hukum yang konservatif, maka sudah tepat manakala produk fatwa Hak Pengasuhan Anak Bagi Orangtua Yang Bercerai Karena Beda Agama ini bersifat responsif popupulis, artinya MUI melalui fatwanya merespon keinginan masyarakat, yaitu terlihat pada </w:t>
      </w:r>
      <w:r w:rsidRPr="00180D85">
        <w:rPr>
          <w:rFonts w:ascii="Times New Roman" w:hAnsi="Times New Roman" w:cs="Times New Roman"/>
          <w:lang w:val="sv-SE"/>
        </w:rPr>
        <w:t xml:space="preserve">rekomendasi MUI yang menegaskan bahwa “Dalam menetapkan hak pengasuhan anak harus mengacu pada kemaslahatan anak yaitu untuk masa depannya. </w:t>
      </w:r>
      <w:r w:rsidRPr="00180D85">
        <w:rPr>
          <w:rFonts w:ascii="Times New Roman" w:hAnsi="Times New Roman" w:cs="Times New Roman"/>
        </w:rPr>
        <w:t>Masa depan anak yang harus dipertimbangkan tidak hanya dalam kehidupannya di dunia, tetapi juga untuk masa depannya di akhirat</w:t>
      </w:r>
      <w:r>
        <w:rPr>
          <w:rFonts w:ascii="Times New Roman" w:hAnsi="Times New Roman" w:cs="Times New Roman"/>
        </w:rPr>
        <w:t>.</w:t>
      </w: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Default="00343B61" w:rsidP="00343B61">
      <w:pPr>
        <w:spacing w:line="360" w:lineRule="auto"/>
        <w:ind w:firstLine="720"/>
        <w:jc w:val="both"/>
        <w:rPr>
          <w:rFonts w:ascii="Times New Roman" w:hAnsi="Times New Roman" w:cs="Times New Roman"/>
        </w:rPr>
      </w:pPr>
    </w:p>
    <w:p w:rsidR="00343B61" w:rsidRPr="00C40DFC" w:rsidRDefault="00343B61" w:rsidP="00343B61">
      <w:pPr>
        <w:tabs>
          <w:tab w:val="left" w:pos="1800"/>
        </w:tabs>
        <w:spacing w:line="360" w:lineRule="auto"/>
        <w:jc w:val="center"/>
        <w:rPr>
          <w:rFonts w:asciiTheme="majorBidi" w:hAnsiTheme="majorBidi" w:cstheme="majorBidi"/>
          <w:sz w:val="24"/>
          <w:szCs w:val="24"/>
          <w:lang w:val="sv-SE"/>
        </w:rPr>
      </w:pPr>
      <w:r w:rsidRPr="00C40DFC">
        <w:rPr>
          <w:rFonts w:asciiTheme="majorBidi" w:hAnsiTheme="majorBidi" w:cstheme="majorBidi"/>
          <w:sz w:val="24"/>
          <w:szCs w:val="24"/>
          <w:lang w:val="sv-SE"/>
        </w:rPr>
        <w:t>BAB VI</w:t>
      </w:r>
    </w:p>
    <w:p w:rsidR="00343B61" w:rsidRPr="00C40DFC" w:rsidRDefault="00343B61" w:rsidP="00343B61">
      <w:pPr>
        <w:tabs>
          <w:tab w:val="left" w:pos="1800"/>
        </w:tabs>
        <w:spacing w:line="360" w:lineRule="auto"/>
        <w:jc w:val="center"/>
        <w:rPr>
          <w:rFonts w:asciiTheme="majorBidi" w:hAnsiTheme="majorBidi" w:cstheme="majorBidi"/>
          <w:sz w:val="24"/>
          <w:szCs w:val="24"/>
          <w:lang w:val="sv-SE"/>
        </w:rPr>
      </w:pPr>
      <w:r w:rsidRPr="00C40DFC">
        <w:rPr>
          <w:rFonts w:asciiTheme="majorBidi" w:hAnsiTheme="majorBidi" w:cstheme="majorBidi"/>
          <w:sz w:val="24"/>
          <w:szCs w:val="24"/>
          <w:lang w:val="sv-SE"/>
        </w:rPr>
        <w:t>PENUTUP</w:t>
      </w:r>
    </w:p>
    <w:p w:rsidR="00343B61" w:rsidRDefault="00343B61" w:rsidP="002C0A33">
      <w:pPr>
        <w:pStyle w:val="ListParagraph"/>
        <w:numPr>
          <w:ilvl w:val="0"/>
          <w:numId w:val="66"/>
        </w:numPr>
        <w:tabs>
          <w:tab w:val="left" w:pos="360"/>
          <w:tab w:val="left" w:pos="1800"/>
        </w:tabs>
        <w:spacing w:line="360" w:lineRule="auto"/>
        <w:ind w:hanging="720"/>
        <w:rPr>
          <w:rFonts w:asciiTheme="majorBidi" w:hAnsiTheme="majorBidi" w:cstheme="majorBidi"/>
          <w:sz w:val="24"/>
          <w:szCs w:val="24"/>
          <w:lang w:val="sv-SE"/>
        </w:rPr>
      </w:pPr>
      <w:r w:rsidRPr="00C40DFC">
        <w:rPr>
          <w:rFonts w:asciiTheme="majorBidi" w:hAnsiTheme="majorBidi" w:cstheme="majorBidi"/>
          <w:sz w:val="24"/>
          <w:szCs w:val="24"/>
          <w:lang w:val="sv-SE"/>
        </w:rPr>
        <w:t>Kesimpulan</w:t>
      </w:r>
    </w:p>
    <w:p w:rsidR="00343B61" w:rsidRPr="002D07F5" w:rsidRDefault="00343B61" w:rsidP="00343B61">
      <w:pPr>
        <w:pStyle w:val="ListParagraph"/>
        <w:tabs>
          <w:tab w:val="left" w:pos="1800"/>
        </w:tabs>
        <w:spacing w:line="360" w:lineRule="auto"/>
        <w:ind w:left="0" w:firstLine="720"/>
        <w:jc w:val="both"/>
        <w:rPr>
          <w:rFonts w:ascii="Z@RB1D9.tmp" w:hAnsi="Z@RB1D9.tmp" w:cs="Z@RB1D9.tmp"/>
          <w:sz w:val="24"/>
          <w:szCs w:val="24"/>
        </w:rPr>
      </w:pPr>
      <w:r w:rsidRPr="00CB2E80">
        <w:rPr>
          <w:rFonts w:ascii="Z@RB1D9.tmp" w:hAnsi="Z@RB1D9.tmp" w:cs="Z@RB1D9.tmp"/>
          <w:sz w:val="24"/>
          <w:szCs w:val="24"/>
        </w:rPr>
        <w:t>Dari hasil penelitian yang telah diuraikan dala</w:t>
      </w:r>
      <w:r>
        <w:rPr>
          <w:rFonts w:ascii="Z@RB1D9.tmp" w:hAnsi="Z@RB1D9.tmp" w:cs="Z@RB1D9.tmp"/>
          <w:sz w:val="24"/>
          <w:szCs w:val="24"/>
        </w:rPr>
        <w:t xml:space="preserve">m pembahasan bab-bab terdahulu, </w:t>
      </w:r>
      <w:r w:rsidRPr="00CB2E80">
        <w:rPr>
          <w:rFonts w:ascii="Z@RB1D9.tmp" w:hAnsi="Z@RB1D9.tmp" w:cs="Z@RB1D9.tmp"/>
          <w:sz w:val="24"/>
          <w:szCs w:val="24"/>
        </w:rPr>
        <w:t>diperoleh</w:t>
      </w:r>
      <w:r>
        <w:rPr>
          <w:rFonts w:ascii="Z@RB1D9.tmp" w:hAnsi="Z@RB1D9.tmp" w:cs="Z@RB1D9.tmp"/>
          <w:sz w:val="24"/>
          <w:szCs w:val="24"/>
        </w:rPr>
        <w:t xml:space="preserve"> dua kesimpulan besar </w:t>
      </w:r>
      <w:r w:rsidRPr="00CB2E80">
        <w:rPr>
          <w:rFonts w:ascii="Z@RB1D9.tmp" w:hAnsi="Z@RB1D9.tmp" w:cs="Z@RB1D9.tmp"/>
          <w:sz w:val="24"/>
          <w:szCs w:val="24"/>
        </w:rPr>
        <w:t>sebagai jawaban atas pokok permasalahan yang dis</w:t>
      </w:r>
      <w:r>
        <w:rPr>
          <w:rFonts w:ascii="Z@RB1D9.tmp" w:hAnsi="Z@RB1D9.tmp" w:cs="Z@RB1D9.tmp"/>
          <w:sz w:val="24"/>
          <w:szCs w:val="24"/>
        </w:rPr>
        <w:t>ebutkan di awal penelitian ini, yaitu ;</w:t>
      </w:r>
    </w:p>
    <w:p w:rsidR="00343B61" w:rsidRDefault="00343B61" w:rsidP="002C0A33">
      <w:pPr>
        <w:pStyle w:val="ListParagraph"/>
        <w:numPr>
          <w:ilvl w:val="0"/>
          <w:numId w:val="68"/>
        </w:numPr>
        <w:spacing w:line="360" w:lineRule="auto"/>
        <w:ind w:left="720"/>
        <w:jc w:val="both"/>
        <w:rPr>
          <w:rFonts w:asciiTheme="majorBidi" w:hAnsiTheme="majorBidi" w:cstheme="majorBidi"/>
          <w:sz w:val="24"/>
          <w:szCs w:val="24"/>
        </w:rPr>
      </w:pPr>
      <w:r w:rsidRPr="00C40998">
        <w:rPr>
          <w:rFonts w:asciiTheme="majorBidi" w:hAnsiTheme="majorBidi" w:cstheme="majorBidi"/>
          <w:sz w:val="24"/>
          <w:szCs w:val="24"/>
          <w:lang w:val="sv-SE"/>
        </w:rPr>
        <w:t>Peran fatwa MUI</w:t>
      </w:r>
      <w:r>
        <w:rPr>
          <w:rFonts w:asciiTheme="majorBidi" w:hAnsiTheme="majorBidi" w:cstheme="majorBidi"/>
          <w:sz w:val="24"/>
          <w:szCs w:val="24"/>
          <w:lang w:val="sv-SE"/>
        </w:rPr>
        <w:t xml:space="preserve"> dalam</w:t>
      </w:r>
      <w:r w:rsidRPr="00C40998">
        <w:rPr>
          <w:rFonts w:asciiTheme="majorBidi" w:hAnsiTheme="majorBidi" w:cstheme="majorBidi"/>
          <w:sz w:val="24"/>
          <w:szCs w:val="24"/>
          <w:lang w:val="sv-SE"/>
        </w:rPr>
        <w:t xml:space="preserve"> membangun hukum</w:t>
      </w:r>
      <w:r>
        <w:rPr>
          <w:rFonts w:asciiTheme="majorBidi" w:hAnsiTheme="majorBidi" w:cstheme="majorBidi"/>
          <w:sz w:val="24"/>
          <w:szCs w:val="24"/>
          <w:lang w:val="sv-SE"/>
        </w:rPr>
        <w:t xml:space="preserve"> keluarga</w:t>
      </w:r>
      <w:r w:rsidRPr="00C40998">
        <w:rPr>
          <w:rFonts w:asciiTheme="majorBidi" w:hAnsiTheme="majorBidi" w:cstheme="majorBidi"/>
          <w:sz w:val="24"/>
          <w:szCs w:val="24"/>
          <w:lang w:val="sv-SE"/>
        </w:rPr>
        <w:t xml:space="preserve"> Islam Indone</w:t>
      </w:r>
      <w:r>
        <w:rPr>
          <w:rFonts w:asciiTheme="majorBidi" w:hAnsiTheme="majorBidi" w:cstheme="majorBidi"/>
          <w:sz w:val="24"/>
          <w:szCs w:val="24"/>
          <w:lang w:val="sv-SE"/>
        </w:rPr>
        <w:t xml:space="preserve">sia mencakup enam aspek; </w:t>
      </w:r>
      <w:r w:rsidRPr="00D50FCA">
        <w:rPr>
          <w:rFonts w:asciiTheme="majorBidi" w:hAnsiTheme="majorBidi" w:cstheme="majorBidi"/>
          <w:i/>
          <w:iCs/>
          <w:sz w:val="24"/>
          <w:szCs w:val="24"/>
        </w:rPr>
        <w:t>Pertama</w:t>
      </w:r>
      <w:r w:rsidRPr="00D50FCA">
        <w:rPr>
          <w:rFonts w:asciiTheme="majorBidi" w:hAnsiTheme="majorBidi" w:cstheme="majorBidi"/>
          <w:sz w:val="24"/>
          <w:szCs w:val="24"/>
        </w:rPr>
        <w:t>, fatwa MUI berperan sebagai sumber hukum materil bagi Hukum Nasional.</w:t>
      </w:r>
      <w:r>
        <w:rPr>
          <w:rFonts w:asciiTheme="majorBidi" w:hAnsiTheme="majorBidi" w:cstheme="majorBidi"/>
          <w:sz w:val="24"/>
          <w:szCs w:val="24"/>
          <w:lang w:val="sv-SE"/>
        </w:rPr>
        <w:t xml:space="preserve"> </w:t>
      </w:r>
      <w:r w:rsidRPr="00D50FCA">
        <w:rPr>
          <w:rFonts w:asciiTheme="majorBidi" w:hAnsiTheme="majorBidi" w:cstheme="majorBidi"/>
          <w:i/>
          <w:iCs/>
          <w:sz w:val="24"/>
          <w:szCs w:val="24"/>
        </w:rPr>
        <w:t>Kedua</w:t>
      </w:r>
      <w:r w:rsidRPr="00D50FCA">
        <w:rPr>
          <w:rFonts w:asciiTheme="majorBidi" w:hAnsiTheme="majorBidi" w:cstheme="majorBidi"/>
          <w:sz w:val="24"/>
          <w:szCs w:val="24"/>
        </w:rPr>
        <w:t>, fatwa MUI berperan sebagai bahan dan rujukan dalam pembuatan peraturan perundang-undangan.</w:t>
      </w:r>
      <w:r w:rsidRPr="00D50FCA">
        <w:rPr>
          <w:rFonts w:asciiTheme="majorBidi" w:hAnsiTheme="majorBidi" w:cstheme="majorBidi"/>
          <w:sz w:val="24"/>
          <w:szCs w:val="24"/>
          <w:lang w:val="sv-SE"/>
        </w:rPr>
        <w:t xml:space="preserve"> </w:t>
      </w:r>
      <w:r w:rsidRPr="00D50FCA">
        <w:rPr>
          <w:rFonts w:asciiTheme="majorBidi" w:hAnsiTheme="majorBidi" w:cstheme="majorBidi"/>
          <w:i/>
          <w:iCs/>
          <w:sz w:val="24"/>
          <w:szCs w:val="24"/>
        </w:rPr>
        <w:t>Ketiga</w:t>
      </w:r>
      <w:r w:rsidRPr="00D50FCA">
        <w:rPr>
          <w:rFonts w:asciiTheme="majorBidi" w:hAnsiTheme="majorBidi" w:cstheme="majorBidi"/>
          <w:sz w:val="24"/>
          <w:szCs w:val="24"/>
        </w:rPr>
        <w:t>, fatwa MUI berperan sebagai reprensentasi Fiqh Indonesia.</w:t>
      </w:r>
      <w:r w:rsidRPr="00D50FCA">
        <w:rPr>
          <w:rFonts w:asciiTheme="majorBidi" w:hAnsiTheme="majorBidi" w:cstheme="majorBidi"/>
          <w:sz w:val="24"/>
          <w:szCs w:val="24"/>
          <w:lang w:val="sv-SE"/>
        </w:rPr>
        <w:t xml:space="preserve"> </w:t>
      </w:r>
      <w:r w:rsidRPr="00D50FCA">
        <w:rPr>
          <w:rFonts w:asciiTheme="majorBidi" w:hAnsiTheme="majorBidi" w:cstheme="majorBidi"/>
          <w:i/>
          <w:iCs/>
          <w:sz w:val="24"/>
          <w:szCs w:val="24"/>
        </w:rPr>
        <w:t>Keempat,</w:t>
      </w:r>
      <w:r w:rsidRPr="00D50FCA">
        <w:rPr>
          <w:rFonts w:asciiTheme="majorBidi" w:hAnsiTheme="majorBidi" w:cstheme="majorBidi"/>
          <w:sz w:val="24"/>
          <w:szCs w:val="24"/>
        </w:rPr>
        <w:t xml:space="preserve"> fatwa MUI berperan sebagai pedoman dan rujukan berperilaku bagi masyarakat dan pemerintah dalam kehidupan berbangsa dan </w:t>
      </w:r>
      <w:r w:rsidRPr="00D50FCA">
        <w:rPr>
          <w:rFonts w:asciiTheme="majorBidi" w:hAnsiTheme="majorBidi" w:cstheme="majorBidi"/>
          <w:sz w:val="24"/>
          <w:szCs w:val="24"/>
        </w:rPr>
        <w:lastRenderedPageBreak/>
        <w:t>bernegara.</w:t>
      </w:r>
      <w:r w:rsidRPr="00D50FCA">
        <w:rPr>
          <w:rFonts w:asciiTheme="majorBidi" w:hAnsiTheme="majorBidi" w:cstheme="majorBidi"/>
          <w:sz w:val="24"/>
          <w:szCs w:val="24"/>
          <w:lang w:val="sv-SE"/>
        </w:rPr>
        <w:t xml:space="preserve"> </w:t>
      </w:r>
      <w:r w:rsidRPr="00D50FCA">
        <w:rPr>
          <w:rFonts w:asciiTheme="majorBidi" w:hAnsiTheme="majorBidi" w:cstheme="majorBidi"/>
          <w:i/>
          <w:iCs/>
          <w:sz w:val="24"/>
          <w:szCs w:val="24"/>
        </w:rPr>
        <w:t>Kelima</w:t>
      </w:r>
      <w:r w:rsidRPr="00D50FCA">
        <w:rPr>
          <w:rFonts w:asciiTheme="majorBidi" w:hAnsiTheme="majorBidi" w:cstheme="majorBidi"/>
          <w:sz w:val="24"/>
          <w:szCs w:val="24"/>
        </w:rPr>
        <w:t>. fatwa MUI berperan untuk menjawab permasalahan hukum Islam yang semakin kompleks dihadapi umat Islam Indonesia.</w:t>
      </w:r>
      <w:r w:rsidRPr="00D50FCA">
        <w:rPr>
          <w:rFonts w:asciiTheme="majorBidi" w:hAnsiTheme="majorBidi" w:cstheme="majorBidi"/>
          <w:sz w:val="24"/>
          <w:szCs w:val="24"/>
          <w:lang w:val="sv-SE"/>
        </w:rPr>
        <w:t xml:space="preserve"> </w:t>
      </w:r>
      <w:r w:rsidRPr="00D50FCA">
        <w:rPr>
          <w:rFonts w:asciiTheme="majorBidi" w:hAnsiTheme="majorBidi" w:cstheme="majorBidi"/>
          <w:i/>
          <w:iCs/>
          <w:sz w:val="24"/>
          <w:szCs w:val="24"/>
        </w:rPr>
        <w:t>Keenam</w:t>
      </w:r>
      <w:r w:rsidRPr="00D50FCA">
        <w:rPr>
          <w:rFonts w:asciiTheme="majorBidi" w:hAnsiTheme="majorBidi" w:cstheme="majorBidi"/>
          <w:sz w:val="24"/>
          <w:szCs w:val="24"/>
        </w:rPr>
        <w:t xml:space="preserve">. fatwa MUI berperan mendukung undang-undang </w:t>
      </w:r>
      <w:r>
        <w:rPr>
          <w:rFonts w:asciiTheme="majorBidi" w:hAnsiTheme="majorBidi" w:cstheme="majorBidi"/>
          <w:sz w:val="24"/>
          <w:szCs w:val="24"/>
        </w:rPr>
        <w:t xml:space="preserve">yang ada, </w:t>
      </w:r>
      <w:r w:rsidRPr="00D50FCA">
        <w:rPr>
          <w:rFonts w:asciiTheme="majorBidi" w:hAnsiTheme="majorBidi" w:cstheme="majorBidi"/>
          <w:sz w:val="24"/>
          <w:szCs w:val="24"/>
        </w:rPr>
        <w:t>sekaligus melakukan koreks</w:t>
      </w:r>
      <w:r>
        <w:rPr>
          <w:rFonts w:asciiTheme="majorBidi" w:hAnsiTheme="majorBidi" w:cstheme="majorBidi"/>
          <w:sz w:val="24"/>
          <w:szCs w:val="24"/>
        </w:rPr>
        <w:t>i terhadap undang-undang yang sedang disusun.</w:t>
      </w:r>
    </w:p>
    <w:p w:rsidR="00343B61" w:rsidRPr="004D5CAC" w:rsidRDefault="00343B61" w:rsidP="002C0A33">
      <w:pPr>
        <w:pStyle w:val="ListParagraph"/>
        <w:numPr>
          <w:ilvl w:val="0"/>
          <w:numId w:val="68"/>
        </w:numPr>
        <w:tabs>
          <w:tab w:val="left" w:pos="1800"/>
        </w:tabs>
        <w:autoSpaceDE w:val="0"/>
        <w:autoSpaceDN w:val="0"/>
        <w:adjustRightInd w:val="0"/>
        <w:spacing w:after="0" w:line="360" w:lineRule="auto"/>
        <w:ind w:left="720"/>
        <w:jc w:val="both"/>
        <w:rPr>
          <w:rFonts w:ascii="Times New Roman" w:hAnsi="Times New Roman" w:cs="Times New Roman"/>
          <w:sz w:val="24"/>
          <w:szCs w:val="24"/>
          <w:lang w:val="sv-SE"/>
        </w:rPr>
      </w:pPr>
      <w:r w:rsidRPr="004D5CAC">
        <w:rPr>
          <w:rFonts w:ascii="Times New Roman" w:hAnsi="Times New Roman" w:cs="Times New Roman"/>
          <w:sz w:val="24"/>
          <w:szCs w:val="24"/>
          <w:lang w:val="sv-SE"/>
        </w:rPr>
        <w:t xml:space="preserve">Pembaruan Hukum Keluarga Islam dalam kategori fatwa yang dilakukan oleh Majelis Ulama Indonesia (MUI) sejauh ini sudah relevan dengan pembaruan  hukum keluarga Islam di Indonesia. MUI sudah melakukan pembaruan hukum keluarga dalam fatwanya, kecuali fatwa nikah di bawah tangan dan fatwa talak di luar pengadilan. Berkaitan dengan fatwa nikah di bawah tangan dan fatwa talak di luar pengadilan, menurut penulis perlu melakukan revisi untuk tiga tujuan. </w:t>
      </w:r>
      <w:r w:rsidRPr="00877036">
        <w:rPr>
          <w:rFonts w:ascii="Times New Roman" w:hAnsi="Times New Roman" w:cs="Times New Roman"/>
          <w:i/>
          <w:iCs/>
          <w:sz w:val="24"/>
          <w:szCs w:val="24"/>
          <w:lang w:val="sv-SE"/>
        </w:rPr>
        <w:t>Pertama</w:t>
      </w:r>
      <w:r w:rsidRPr="004D5CAC">
        <w:rPr>
          <w:rFonts w:ascii="Times New Roman" w:hAnsi="Times New Roman" w:cs="Times New Roman"/>
          <w:sz w:val="24"/>
          <w:szCs w:val="24"/>
          <w:lang w:val="sv-SE"/>
        </w:rPr>
        <w:t xml:space="preserve">, agar isi fatwa relevan dengan perkembangan hukum keluarga di Indonesia. </w:t>
      </w:r>
      <w:r w:rsidRPr="00877036">
        <w:rPr>
          <w:rFonts w:ascii="Times New Roman" w:hAnsi="Times New Roman" w:cs="Times New Roman"/>
          <w:i/>
          <w:iCs/>
          <w:sz w:val="24"/>
          <w:szCs w:val="24"/>
          <w:lang w:val="sv-SE"/>
        </w:rPr>
        <w:t>Kedua</w:t>
      </w:r>
      <w:r w:rsidRPr="004D5CAC">
        <w:rPr>
          <w:rFonts w:ascii="Times New Roman" w:hAnsi="Times New Roman" w:cs="Times New Roman"/>
          <w:sz w:val="24"/>
          <w:szCs w:val="24"/>
          <w:lang w:val="sv-SE"/>
        </w:rPr>
        <w:t xml:space="preserve">, agar isi fatwa bisa melindungi masyarakat dari akibat perkawinan tidak tercatat dan perceraian semena-mena. </w:t>
      </w:r>
      <w:r w:rsidRPr="00877036">
        <w:rPr>
          <w:rFonts w:ascii="Times New Roman" w:hAnsi="Times New Roman" w:cs="Times New Roman"/>
          <w:i/>
          <w:iCs/>
          <w:sz w:val="24"/>
          <w:szCs w:val="24"/>
          <w:lang w:val="sv-SE"/>
        </w:rPr>
        <w:t>ketiga</w:t>
      </w:r>
      <w:r w:rsidRPr="004D5CAC">
        <w:rPr>
          <w:rFonts w:ascii="Times New Roman" w:hAnsi="Times New Roman" w:cs="Times New Roman"/>
          <w:sz w:val="24"/>
          <w:szCs w:val="24"/>
          <w:lang w:val="sv-SE"/>
        </w:rPr>
        <w:t xml:space="preserve">, agar isi fatwa bisa memberikan maslahat kepada umat. </w:t>
      </w:r>
    </w:p>
    <w:p w:rsidR="00343B61" w:rsidRDefault="00343B61" w:rsidP="00343B61">
      <w:pPr>
        <w:pStyle w:val="ListParagraph"/>
        <w:tabs>
          <w:tab w:val="left" w:pos="1800"/>
        </w:tabs>
        <w:autoSpaceDE w:val="0"/>
        <w:autoSpaceDN w:val="0"/>
        <w:adjustRightInd w:val="0"/>
        <w:spacing w:after="0" w:line="360" w:lineRule="auto"/>
        <w:ind w:left="1080"/>
        <w:jc w:val="both"/>
        <w:rPr>
          <w:rFonts w:ascii="Times New Roman" w:hAnsi="Times New Roman" w:cs="Times New Roman"/>
          <w:sz w:val="24"/>
          <w:szCs w:val="24"/>
          <w:lang w:val="sv-SE"/>
        </w:rPr>
      </w:pPr>
    </w:p>
    <w:p w:rsidR="00343B61" w:rsidRPr="00D50FCA" w:rsidRDefault="00343B61" w:rsidP="00343B61">
      <w:pPr>
        <w:pStyle w:val="ListParagraph"/>
        <w:spacing w:line="360" w:lineRule="auto"/>
        <w:jc w:val="both"/>
        <w:rPr>
          <w:rFonts w:asciiTheme="majorBidi" w:hAnsiTheme="majorBidi" w:cstheme="majorBidi"/>
          <w:sz w:val="24"/>
          <w:szCs w:val="24"/>
        </w:rPr>
      </w:pPr>
    </w:p>
    <w:p w:rsidR="00343B61" w:rsidRPr="0053168D" w:rsidRDefault="00343B61" w:rsidP="002C0A33">
      <w:pPr>
        <w:pStyle w:val="ListParagraph"/>
        <w:numPr>
          <w:ilvl w:val="0"/>
          <w:numId w:val="66"/>
        </w:numPr>
        <w:tabs>
          <w:tab w:val="left" w:pos="1800"/>
        </w:tabs>
        <w:spacing w:line="360" w:lineRule="auto"/>
        <w:ind w:left="360" w:hanging="270"/>
        <w:rPr>
          <w:rFonts w:asciiTheme="majorBidi" w:hAnsiTheme="majorBidi" w:cstheme="majorBidi"/>
          <w:sz w:val="24"/>
          <w:szCs w:val="24"/>
          <w:lang w:val="sv-SE"/>
        </w:rPr>
      </w:pPr>
      <w:r w:rsidRPr="0053168D">
        <w:rPr>
          <w:rFonts w:asciiTheme="majorBidi" w:hAnsiTheme="majorBidi" w:cstheme="majorBidi"/>
          <w:sz w:val="24"/>
          <w:szCs w:val="24"/>
          <w:lang w:val="sv-SE"/>
        </w:rPr>
        <w:t>Saran dan Rekomendasi</w:t>
      </w:r>
    </w:p>
    <w:p w:rsidR="00343B61" w:rsidRPr="0053168D" w:rsidRDefault="00343B61" w:rsidP="00343B61">
      <w:pPr>
        <w:pStyle w:val="ListParagraph"/>
        <w:tabs>
          <w:tab w:val="left" w:pos="1800"/>
        </w:tabs>
        <w:spacing w:line="360" w:lineRule="auto"/>
        <w:ind w:left="90" w:firstLine="630"/>
        <w:jc w:val="both"/>
        <w:rPr>
          <w:rFonts w:asciiTheme="majorBidi" w:hAnsiTheme="majorBidi" w:cstheme="majorBidi"/>
          <w:sz w:val="24"/>
          <w:szCs w:val="24"/>
          <w:lang w:val="sv-SE"/>
        </w:rPr>
      </w:pPr>
      <w:r w:rsidRPr="0053168D">
        <w:rPr>
          <w:rFonts w:asciiTheme="majorBidi" w:hAnsiTheme="majorBidi" w:cstheme="majorBidi"/>
          <w:sz w:val="24"/>
          <w:szCs w:val="24"/>
          <w:lang w:val="sv-SE"/>
        </w:rPr>
        <w:t>Untuk meningkatkan kualitas fatwa MUI sehingga hasilnya terasa lebih sesuai untuk masa sekarang dan akan datang bagi masyarakat serta dihasilkan dengan cara yang lebih refresentatif dan maksimal, ada beberapa saran yang perlu di kemukakan.</w:t>
      </w:r>
    </w:p>
    <w:p w:rsidR="00343B61" w:rsidRPr="0053168D" w:rsidRDefault="00343B61" w:rsidP="002C0A33">
      <w:pPr>
        <w:pStyle w:val="ListParagraph"/>
        <w:numPr>
          <w:ilvl w:val="0"/>
          <w:numId w:val="67"/>
        </w:numPr>
        <w:tabs>
          <w:tab w:val="left" w:pos="1800"/>
        </w:tabs>
        <w:spacing w:line="360" w:lineRule="auto"/>
        <w:ind w:left="900"/>
        <w:jc w:val="both"/>
        <w:rPr>
          <w:rFonts w:asciiTheme="majorBidi" w:hAnsiTheme="majorBidi" w:cstheme="majorBidi"/>
          <w:sz w:val="24"/>
          <w:szCs w:val="24"/>
          <w:lang w:val="sv-SE"/>
        </w:rPr>
      </w:pPr>
      <w:r w:rsidRPr="0053168D">
        <w:rPr>
          <w:rFonts w:asciiTheme="majorBidi" w:hAnsiTheme="majorBidi" w:cstheme="majorBidi"/>
          <w:sz w:val="24"/>
          <w:szCs w:val="24"/>
          <w:lang w:val="sv-SE"/>
        </w:rPr>
        <w:t>Kepada MUI untuk lebih mengaktipkan kegiatan pengkajian dan pembahasan masalah keagamaan dan kemasyarakatan di Komisi Fatwa tanpa harus menunggu adannya pertanyaan dari pihak luar atau adanya suatu persoalan di tengah-tengah masyarakat. Dengan lebih diaktipkan pengkajian di komisi fatwa maka persoalan-persolan kemasyarakatan yang senantiasa bermunculan akan senantiasa pula beroleh jawaban dari segi hukum, kendati tidak seluruhnya harus dikeluarkan dalam bentuk fatwa.</w:t>
      </w:r>
    </w:p>
    <w:p w:rsidR="00343B61" w:rsidRPr="0053168D" w:rsidRDefault="00343B61" w:rsidP="002C0A33">
      <w:pPr>
        <w:pStyle w:val="ListParagraph"/>
        <w:numPr>
          <w:ilvl w:val="0"/>
          <w:numId w:val="67"/>
        </w:numPr>
        <w:autoSpaceDE w:val="0"/>
        <w:autoSpaceDN w:val="0"/>
        <w:adjustRightInd w:val="0"/>
        <w:spacing w:after="0" w:line="360" w:lineRule="auto"/>
        <w:ind w:left="900"/>
        <w:jc w:val="both"/>
        <w:rPr>
          <w:sz w:val="24"/>
          <w:szCs w:val="24"/>
          <w:lang w:val="sv-SE"/>
        </w:rPr>
      </w:pPr>
      <w:r w:rsidRPr="0053168D">
        <w:rPr>
          <w:rFonts w:ascii="Z@RB1D9.tmp" w:hAnsi="Z@RB1D9.tmp" w:cs="Z@RB1D9.tmp"/>
          <w:sz w:val="24"/>
          <w:szCs w:val="24"/>
          <w:lang w:val="sv-SE"/>
        </w:rPr>
        <w:lastRenderedPageBreak/>
        <w:t xml:space="preserve">Agar MUI lebih mengoptimalkan partisipasi dan keikutsertaan ahli hukum dan perundang-undangan, serta tenaga ahli dan pakar yang terkait dengan substansi yang akan dikaji guna mempertajam hasil telaah yang dijadikan konsideransi dalam penetapan fatwa, Dengan demikian, MUI akan lebih cermat dalam menentukan apakah suatu masalah itu mempunyai </w:t>
      </w:r>
      <w:r w:rsidRPr="0053168D">
        <w:rPr>
          <w:rFonts w:ascii="Z@RB1DB.tmp,Italic" w:hAnsi="Z@RB1DB.tmp,Italic" w:cs="Z@RB1DB.tmp,Italic"/>
          <w:i/>
          <w:iCs/>
          <w:sz w:val="24"/>
          <w:szCs w:val="24"/>
          <w:lang w:val="sv-SE"/>
        </w:rPr>
        <w:t>mafsadah</w:t>
      </w:r>
      <w:r w:rsidRPr="0053168D">
        <w:rPr>
          <w:rFonts w:ascii="Z@RB1D9.tmp" w:hAnsi="Z@RB1D9.tmp" w:cs="Z@RB1D9.tmp"/>
          <w:sz w:val="24"/>
          <w:szCs w:val="24"/>
          <w:lang w:val="sv-SE"/>
        </w:rPr>
        <w:t xml:space="preserve"> yang lebih besar, sehingga harus dilarang, atau justru akan melahirkan kemashlahatan, yang dengannya ia dibolehkan. Dengan demikian, akurasi pertimbangan fatwa akan semakin tepat.</w:t>
      </w:r>
    </w:p>
    <w:p w:rsidR="00343B61" w:rsidRPr="0053168D" w:rsidRDefault="00343B61" w:rsidP="002C0A33">
      <w:pPr>
        <w:pStyle w:val="ListParagraph"/>
        <w:numPr>
          <w:ilvl w:val="0"/>
          <w:numId w:val="67"/>
        </w:numPr>
        <w:autoSpaceDE w:val="0"/>
        <w:autoSpaceDN w:val="0"/>
        <w:adjustRightInd w:val="0"/>
        <w:spacing w:after="0" w:line="360" w:lineRule="auto"/>
        <w:ind w:left="900"/>
        <w:jc w:val="both"/>
        <w:rPr>
          <w:rFonts w:asciiTheme="majorBidi" w:hAnsiTheme="majorBidi" w:cstheme="majorBidi"/>
          <w:sz w:val="24"/>
          <w:szCs w:val="24"/>
          <w:lang w:val="sv-SE"/>
        </w:rPr>
      </w:pPr>
      <w:r w:rsidRPr="0053168D">
        <w:rPr>
          <w:rFonts w:asciiTheme="majorBidi" w:hAnsiTheme="majorBidi" w:cstheme="majorBidi"/>
          <w:sz w:val="24"/>
          <w:szCs w:val="24"/>
          <w:lang w:val="sv-SE"/>
        </w:rPr>
        <w:t>Dalam merumuskan suatu fatwa, sebaiknya MUI bersikap lebih moderat dengan memperhatikan pendapat-pendapat dari mazhab yang memberikan kelonggaran dan berusaha menghadirkan fatwa yang berdiri di atas kepentingan semua golongan dan semua pihak serta berupaya supaya produk fatwa tersebut tidak bertentangan dengan undang-undang yang berlaku, sehingga tidak terjadi kericuhan di tengah masyarakat serta tidak menimbulkan dualisme hukum.</w:t>
      </w:r>
    </w:p>
    <w:p w:rsidR="00343B61" w:rsidRPr="0053168D" w:rsidRDefault="00343B61" w:rsidP="002C0A33">
      <w:pPr>
        <w:pStyle w:val="ListParagraph"/>
        <w:numPr>
          <w:ilvl w:val="0"/>
          <w:numId w:val="67"/>
        </w:numPr>
        <w:autoSpaceDE w:val="0"/>
        <w:autoSpaceDN w:val="0"/>
        <w:adjustRightInd w:val="0"/>
        <w:spacing w:after="0" w:line="360" w:lineRule="auto"/>
        <w:ind w:left="900"/>
        <w:jc w:val="both"/>
        <w:rPr>
          <w:rFonts w:ascii="Z@RB1D9.tmp" w:hAnsi="Z@RB1D9.tmp" w:cs="Z@RB1D9.tmp"/>
          <w:sz w:val="24"/>
          <w:szCs w:val="24"/>
        </w:rPr>
      </w:pPr>
      <w:r w:rsidRPr="0053168D">
        <w:rPr>
          <w:rFonts w:ascii="Z@RB1D9.tmp" w:hAnsi="Z@RB1D9.tmp" w:cs="Z@RB1D9.tmp"/>
          <w:sz w:val="24"/>
          <w:szCs w:val="24"/>
          <w:lang w:val="sv-SE"/>
        </w:rPr>
        <w:t xml:space="preserve">Kepada lembaga pemerintah pemegang kebijakan, kepada DPR-RI sebagai pembuat undang-undangan serta para hakim baik di Pengadilan Agama maupun Pengadilan Tinggi Agama atau Mahkamah Agung serta lembaga lainnya yang bertindak sebagai pelaksana undang-undang, hendaklah memperhatikan prinsip kemaslahatan umat dan bangsa dalam menetapkan ketentuan hukum dan melaksankan undang-undang. </w:t>
      </w:r>
      <w:r w:rsidRPr="0053168D">
        <w:rPr>
          <w:rFonts w:ascii="Z@RB1D9.tmp" w:hAnsi="Z@RB1D9.tmp" w:cs="Z@RB1D9.tmp"/>
          <w:sz w:val="24"/>
          <w:szCs w:val="24"/>
        </w:rPr>
        <w:t>Pada masalah-malasah yang bersentuhan dengan masalah keagamaan, hendaknya melibatkan MUI sebagai pemberi pertimbangan hukum.</w:t>
      </w:r>
    </w:p>
    <w:p w:rsidR="00343B61" w:rsidRPr="0053168D" w:rsidRDefault="00343B61" w:rsidP="002C0A33">
      <w:pPr>
        <w:pStyle w:val="ListParagraph"/>
        <w:numPr>
          <w:ilvl w:val="0"/>
          <w:numId w:val="67"/>
        </w:numPr>
        <w:autoSpaceDE w:val="0"/>
        <w:autoSpaceDN w:val="0"/>
        <w:adjustRightInd w:val="0"/>
        <w:spacing w:after="0" w:line="360" w:lineRule="auto"/>
        <w:ind w:left="900"/>
        <w:jc w:val="both"/>
        <w:rPr>
          <w:rFonts w:ascii="Times New Roman" w:hAnsi="Times New Roman" w:cs="Times New Roman"/>
          <w:sz w:val="24"/>
          <w:szCs w:val="24"/>
        </w:rPr>
      </w:pPr>
      <w:r w:rsidRPr="0053168D">
        <w:rPr>
          <w:rFonts w:ascii="Times New Roman" w:hAnsi="Times New Roman" w:cs="Times New Roman"/>
          <w:sz w:val="24"/>
          <w:szCs w:val="24"/>
        </w:rPr>
        <w:t>Kepada masyarakat peminat hukum Keluarga Islam diharapkan agar dapat bersikap moderat dalam melaksanakan suatu hukum, mempunyai sikap terbuka, tidak berpikiran sempit. Sikap ini menuntut agar setiap orang bersedia menerima kebenaran</w:t>
      </w:r>
      <w:r w:rsidRPr="0053168D">
        <w:rPr>
          <w:rFonts w:ascii="TimesNewRoman" w:hAnsi="Times New Roman" w:cs="TimesNewRoman"/>
          <w:sz w:val="24"/>
          <w:szCs w:val="24"/>
        </w:rPr>
        <w:t xml:space="preserve"> </w:t>
      </w:r>
      <w:r w:rsidRPr="0053168D">
        <w:rPr>
          <w:rFonts w:ascii="Times New Roman" w:hAnsi="Times New Roman" w:cs="Times New Roman"/>
          <w:sz w:val="24"/>
          <w:szCs w:val="24"/>
        </w:rPr>
        <w:t>dari mana dan dari siapapun datangnya, walaupun datang dari orang yang dibenci, dan berani menolak kesalahan</w:t>
      </w:r>
      <w:r w:rsidRPr="0053168D">
        <w:rPr>
          <w:rFonts w:ascii="TimesNewRoman" w:hAnsi="Times New Roman" w:cs="TimesNewRoman"/>
          <w:sz w:val="24"/>
          <w:szCs w:val="24"/>
        </w:rPr>
        <w:t xml:space="preserve"> </w:t>
      </w:r>
      <w:r w:rsidRPr="0053168D">
        <w:rPr>
          <w:rFonts w:ascii="Times New Roman" w:hAnsi="Times New Roman" w:cs="Times New Roman"/>
          <w:sz w:val="24"/>
          <w:szCs w:val="24"/>
        </w:rPr>
        <w:t xml:space="preserve">walaupun ia datang dari orang yang dikagumi dan dihormati, serta tidak terlalu cepat menghalalkan sesuatu dan tidak </w:t>
      </w:r>
      <w:r w:rsidRPr="0053168D">
        <w:rPr>
          <w:rFonts w:ascii="Times New Roman" w:hAnsi="Times New Roman" w:cs="Times New Roman"/>
          <w:sz w:val="24"/>
          <w:szCs w:val="24"/>
        </w:rPr>
        <w:lastRenderedPageBreak/>
        <w:t>tergesa-gesa mengharamkannya sebelum mengetahui masala</w:t>
      </w:r>
      <w:r>
        <w:rPr>
          <w:rFonts w:ascii="Times New Roman" w:hAnsi="Times New Roman" w:cs="Times New Roman"/>
          <w:sz w:val="24"/>
          <w:szCs w:val="24"/>
        </w:rPr>
        <w:t>ha</w:t>
      </w:r>
      <w:r w:rsidRPr="0053168D">
        <w:rPr>
          <w:rFonts w:ascii="Times New Roman" w:hAnsi="Times New Roman" w:cs="Times New Roman"/>
          <w:sz w:val="24"/>
          <w:szCs w:val="24"/>
        </w:rPr>
        <w:t xml:space="preserve">t dan </w:t>
      </w:r>
      <w:r w:rsidRPr="00C660A0">
        <w:rPr>
          <w:rFonts w:ascii="Times New Roman" w:hAnsi="Times New Roman" w:cs="Times New Roman"/>
          <w:i/>
          <w:iCs/>
          <w:sz w:val="24"/>
          <w:szCs w:val="24"/>
        </w:rPr>
        <w:t>mudhorat</w:t>
      </w:r>
      <w:r w:rsidRPr="0053168D">
        <w:rPr>
          <w:rFonts w:ascii="Times New Roman" w:hAnsi="Times New Roman" w:cs="Times New Roman"/>
          <w:sz w:val="24"/>
          <w:szCs w:val="24"/>
        </w:rPr>
        <w:t xml:space="preserve"> yang terkandung di dalamnya.</w:t>
      </w:r>
    </w:p>
    <w:p w:rsidR="00343B61" w:rsidRPr="00055574" w:rsidRDefault="00343B61" w:rsidP="00343B61">
      <w:pPr>
        <w:pStyle w:val="ListParagraph"/>
        <w:autoSpaceDE w:val="0"/>
        <w:autoSpaceDN w:val="0"/>
        <w:adjustRightInd w:val="0"/>
        <w:spacing w:after="0" w:line="360" w:lineRule="auto"/>
        <w:ind w:left="900"/>
        <w:jc w:val="both"/>
        <w:rPr>
          <w:rFonts w:ascii="Z@RB1D9.tmp" w:hAnsi="Z@RB1D9.tmp" w:cs="Z@RB1D9.tmp"/>
          <w:sz w:val="23"/>
          <w:szCs w:val="23"/>
        </w:rPr>
      </w:pPr>
    </w:p>
    <w:p w:rsidR="00343B61" w:rsidRDefault="00343B61" w:rsidP="00343B61">
      <w:pPr>
        <w:pStyle w:val="ListParagraph"/>
        <w:autoSpaceDE w:val="0"/>
        <w:autoSpaceDN w:val="0"/>
        <w:adjustRightInd w:val="0"/>
        <w:spacing w:after="0" w:line="360" w:lineRule="auto"/>
        <w:ind w:left="900"/>
        <w:jc w:val="both"/>
        <w:rPr>
          <w:rFonts w:asciiTheme="majorBidi" w:hAnsiTheme="majorBidi" w:cstheme="majorBidi"/>
          <w:sz w:val="24"/>
          <w:szCs w:val="24"/>
          <w:lang w:val="sv-SE"/>
        </w:rPr>
      </w:pPr>
    </w:p>
    <w:p w:rsidR="00343B61" w:rsidRPr="00B74DA0" w:rsidRDefault="00343B61" w:rsidP="00343B61">
      <w:pPr>
        <w:pStyle w:val="ListParagraph"/>
        <w:autoSpaceDE w:val="0"/>
        <w:autoSpaceDN w:val="0"/>
        <w:adjustRightInd w:val="0"/>
        <w:spacing w:after="0" w:line="360" w:lineRule="auto"/>
        <w:ind w:left="900"/>
        <w:jc w:val="both"/>
        <w:rPr>
          <w:rFonts w:asciiTheme="majorBidi" w:hAnsiTheme="majorBidi" w:cstheme="majorBidi"/>
          <w:sz w:val="24"/>
          <w:szCs w:val="24"/>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spacing w:line="360" w:lineRule="auto"/>
        <w:ind w:firstLine="720"/>
        <w:jc w:val="both"/>
        <w:rPr>
          <w:rFonts w:asciiTheme="majorBidi" w:hAnsiTheme="majorBidi" w:cstheme="majorBidi"/>
          <w:lang w:val="sv-SE"/>
        </w:rPr>
      </w:pPr>
    </w:p>
    <w:p w:rsidR="00343B61" w:rsidRDefault="00343B61" w:rsidP="00343B61">
      <w:pPr>
        <w:pStyle w:val="FootnoteText"/>
        <w:spacing w:line="276" w:lineRule="auto"/>
        <w:jc w:val="center"/>
        <w:rPr>
          <w:rFonts w:asciiTheme="majorBidi" w:hAnsiTheme="majorBidi" w:cstheme="majorBidi"/>
          <w:b/>
          <w:bCs/>
          <w:sz w:val="24"/>
          <w:szCs w:val="24"/>
        </w:rPr>
      </w:pPr>
      <w:r w:rsidRPr="00891213">
        <w:rPr>
          <w:rFonts w:asciiTheme="majorBidi" w:hAnsiTheme="majorBidi" w:cstheme="majorBidi"/>
          <w:b/>
          <w:bCs/>
          <w:sz w:val="24"/>
          <w:szCs w:val="24"/>
        </w:rPr>
        <w:t>DAFTAR PUSTAKA</w:t>
      </w:r>
    </w:p>
    <w:p w:rsidR="00343B61" w:rsidRDefault="00343B61" w:rsidP="00343B61">
      <w:pPr>
        <w:pStyle w:val="FootnoteText"/>
        <w:spacing w:line="276" w:lineRule="auto"/>
        <w:jc w:val="center"/>
        <w:rPr>
          <w:rFonts w:asciiTheme="majorBidi" w:hAnsiTheme="majorBidi" w:cstheme="majorBidi"/>
          <w:b/>
          <w:bCs/>
          <w:sz w:val="24"/>
          <w:szCs w:val="24"/>
        </w:rPr>
      </w:pPr>
    </w:p>
    <w:p w:rsidR="00343B61" w:rsidRPr="00891213" w:rsidRDefault="00343B61" w:rsidP="00343B61">
      <w:pPr>
        <w:pStyle w:val="FootnoteText"/>
        <w:spacing w:line="276" w:lineRule="auto"/>
        <w:jc w:val="center"/>
        <w:rPr>
          <w:rFonts w:asciiTheme="majorBidi" w:hAnsiTheme="majorBidi" w:cstheme="majorBidi"/>
          <w:b/>
          <w:bCs/>
          <w:sz w:val="24"/>
          <w:szCs w:val="24"/>
        </w:rPr>
      </w:pPr>
    </w:p>
    <w:p w:rsidR="00343B61" w:rsidRPr="00276CE3" w:rsidRDefault="00343B61" w:rsidP="00343B61">
      <w:pPr>
        <w:autoSpaceDE w:val="0"/>
        <w:autoSpaceDN w:val="0"/>
        <w:adjustRightInd w:val="0"/>
        <w:rPr>
          <w:rFonts w:asciiTheme="majorBidi" w:hAnsiTheme="majorBidi" w:cstheme="majorBidi"/>
          <w:b/>
          <w:bCs/>
        </w:rPr>
      </w:pPr>
      <w:r w:rsidRPr="00276CE3">
        <w:rPr>
          <w:rFonts w:asciiTheme="majorBidi" w:hAnsiTheme="majorBidi" w:cstheme="majorBidi"/>
          <w:b/>
          <w:bCs/>
        </w:rPr>
        <w:t>Buku-Buku Berbahasa Arab</w:t>
      </w:r>
    </w:p>
    <w:p w:rsidR="00343B61" w:rsidRPr="00891213" w:rsidRDefault="00343B61" w:rsidP="00343B61">
      <w:pPr>
        <w:pStyle w:val="FootnoteText"/>
        <w:spacing w:line="276" w:lineRule="auto"/>
        <w:ind w:firstLine="720"/>
        <w:jc w:val="both"/>
        <w:rPr>
          <w:rFonts w:asciiTheme="majorBidi" w:hAnsiTheme="majorBidi" w:cstheme="majorBidi"/>
          <w:sz w:val="24"/>
          <w:szCs w:val="24"/>
        </w:rPr>
      </w:pPr>
    </w:p>
    <w:p w:rsidR="00343B61" w:rsidRDefault="00343B61" w:rsidP="00343B61">
      <w:pPr>
        <w:autoSpaceDE w:val="0"/>
        <w:autoSpaceDN w:val="0"/>
        <w:adjustRightInd w:val="0"/>
        <w:ind w:left="630" w:hanging="630"/>
        <w:jc w:val="both"/>
        <w:rPr>
          <w:rFonts w:asciiTheme="majorBidi" w:hAnsiTheme="majorBidi" w:cstheme="majorBidi"/>
        </w:rPr>
      </w:pPr>
      <w:r w:rsidRPr="0082707B">
        <w:rPr>
          <w:rFonts w:asciiTheme="majorBidi" w:hAnsiTheme="majorBidi" w:cstheme="majorBidi"/>
        </w:rPr>
        <w:t>Abd al-Sal</w:t>
      </w:r>
      <w:r w:rsidRPr="0082707B">
        <w:rPr>
          <w:rFonts w:asciiTheme="majorBidi" w:hAnsiTheme="majorBidi" w:cstheme="majorBidi"/>
          <w:lang w:val="id-ID"/>
        </w:rPr>
        <w:t>ā</w:t>
      </w:r>
      <w:r w:rsidRPr="0082707B">
        <w:rPr>
          <w:rFonts w:asciiTheme="majorBidi" w:hAnsiTheme="majorBidi" w:cstheme="majorBidi"/>
        </w:rPr>
        <w:t>m,</w:t>
      </w:r>
      <w:r w:rsidRPr="00291E95">
        <w:rPr>
          <w:rFonts w:asciiTheme="majorBidi" w:hAnsiTheme="majorBidi" w:cstheme="majorBidi"/>
        </w:rPr>
        <w:t xml:space="preserve"> </w:t>
      </w:r>
      <w:r w:rsidRPr="00406F37">
        <w:rPr>
          <w:rFonts w:asciiTheme="majorBidi" w:hAnsiTheme="majorBidi" w:cstheme="majorBidi"/>
        </w:rPr>
        <w:t>Izz al-D</w:t>
      </w:r>
      <w:r w:rsidRPr="00291E95">
        <w:rPr>
          <w:rFonts w:asciiTheme="majorBidi" w:hAnsiTheme="majorBidi" w:cstheme="majorBidi"/>
        </w:rPr>
        <w:t>ī</w:t>
      </w:r>
      <w:r w:rsidRPr="00406F37">
        <w:rPr>
          <w:rFonts w:asciiTheme="majorBidi" w:hAnsiTheme="majorBidi" w:cstheme="majorBidi"/>
        </w:rPr>
        <w:t>n ibn,</w:t>
      </w:r>
      <w:r>
        <w:rPr>
          <w:rFonts w:asciiTheme="majorBidi" w:hAnsiTheme="majorBidi" w:cstheme="majorBidi"/>
        </w:rPr>
        <w:t xml:space="preserve"> </w:t>
      </w:r>
      <w:r w:rsidRPr="0082707B">
        <w:rPr>
          <w:rFonts w:asciiTheme="majorBidi" w:hAnsiTheme="majorBidi" w:cstheme="majorBidi"/>
          <w:i/>
          <w:iCs/>
        </w:rPr>
        <w:t>Qaw</w:t>
      </w:r>
      <w:r w:rsidRPr="0082707B">
        <w:rPr>
          <w:rFonts w:asciiTheme="majorBidi" w:hAnsiTheme="majorBidi" w:cstheme="majorBidi"/>
          <w:i/>
          <w:iCs/>
          <w:lang w:val="id-ID"/>
        </w:rPr>
        <w:t>ā</w:t>
      </w:r>
      <w:r w:rsidRPr="0082707B">
        <w:rPr>
          <w:rFonts w:asciiTheme="majorBidi" w:hAnsiTheme="majorBidi" w:cstheme="majorBidi"/>
          <w:i/>
          <w:iCs/>
        </w:rPr>
        <w:t>‘id al-Ahk</w:t>
      </w:r>
      <w:r w:rsidRPr="0082707B">
        <w:rPr>
          <w:rFonts w:asciiTheme="majorBidi" w:hAnsiTheme="majorBidi" w:cstheme="majorBidi"/>
          <w:i/>
          <w:iCs/>
          <w:lang w:val="id-ID"/>
        </w:rPr>
        <w:t>ā</w:t>
      </w:r>
      <w:r w:rsidRPr="0082707B">
        <w:rPr>
          <w:rFonts w:asciiTheme="majorBidi" w:hAnsiTheme="majorBidi" w:cstheme="majorBidi"/>
          <w:i/>
          <w:iCs/>
        </w:rPr>
        <w:t>m fī Mas</w:t>
      </w:r>
      <w:r w:rsidRPr="0082707B">
        <w:rPr>
          <w:rFonts w:asciiTheme="majorBidi" w:hAnsiTheme="majorBidi" w:cstheme="majorBidi"/>
          <w:i/>
          <w:iCs/>
          <w:lang w:val="id-ID"/>
        </w:rPr>
        <w:t>ā</w:t>
      </w:r>
      <w:r w:rsidRPr="0082707B">
        <w:rPr>
          <w:rFonts w:asciiTheme="majorBidi" w:hAnsiTheme="majorBidi" w:cstheme="majorBidi"/>
          <w:i/>
          <w:iCs/>
        </w:rPr>
        <w:t>lih al-An</w:t>
      </w:r>
      <w:r w:rsidRPr="0082707B">
        <w:rPr>
          <w:rFonts w:asciiTheme="majorBidi" w:hAnsiTheme="majorBidi" w:cstheme="majorBidi"/>
          <w:i/>
          <w:iCs/>
          <w:lang w:val="id-ID"/>
        </w:rPr>
        <w:t>ā</w:t>
      </w:r>
      <w:r w:rsidRPr="0082707B">
        <w:rPr>
          <w:rFonts w:asciiTheme="majorBidi" w:hAnsiTheme="majorBidi" w:cstheme="majorBidi"/>
          <w:i/>
          <w:iCs/>
        </w:rPr>
        <w:t>m</w:t>
      </w:r>
      <w:r w:rsidRPr="00406F37">
        <w:rPr>
          <w:rFonts w:asciiTheme="majorBidi" w:hAnsiTheme="majorBidi" w:cstheme="majorBidi"/>
        </w:rPr>
        <w:t>, (Kairo: Maktabat al- Kulliyyât al-Azhariyyah, 1994)</w:t>
      </w:r>
    </w:p>
    <w:p w:rsidR="00343B61" w:rsidRPr="00406F37" w:rsidRDefault="00343B61" w:rsidP="00343B61">
      <w:pPr>
        <w:autoSpaceDE w:val="0"/>
        <w:autoSpaceDN w:val="0"/>
        <w:adjustRightInd w:val="0"/>
        <w:ind w:left="630" w:hanging="630"/>
        <w:jc w:val="both"/>
        <w:rPr>
          <w:rFonts w:asciiTheme="majorBidi" w:hAnsiTheme="majorBidi" w:cstheme="majorBidi"/>
        </w:rPr>
      </w:pPr>
    </w:p>
    <w:p w:rsidR="00343B61" w:rsidRDefault="00343B61" w:rsidP="00343B61">
      <w:pPr>
        <w:pStyle w:val="FootnoteText"/>
        <w:spacing w:line="276" w:lineRule="auto"/>
        <w:ind w:left="810" w:hanging="810"/>
        <w:jc w:val="both"/>
        <w:rPr>
          <w:rFonts w:asciiTheme="majorBidi" w:hAnsiTheme="majorBidi" w:cstheme="majorBidi"/>
          <w:iCs/>
          <w:spacing w:val="11"/>
          <w:sz w:val="24"/>
          <w:szCs w:val="24"/>
        </w:rPr>
      </w:pPr>
      <w:r w:rsidRPr="00406F37">
        <w:rPr>
          <w:rFonts w:asciiTheme="majorBidi" w:hAnsiTheme="majorBidi" w:cstheme="majorBidi"/>
          <w:sz w:val="24"/>
          <w:szCs w:val="24"/>
        </w:rPr>
        <w:t xml:space="preserve">Abd Raziq, Ali, </w:t>
      </w:r>
      <w:r w:rsidRPr="00FD1755">
        <w:rPr>
          <w:rFonts w:asciiTheme="majorBidi" w:hAnsiTheme="majorBidi" w:cstheme="majorBidi"/>
          <w:bCs/>
          <w:i/>
          <w:iCs/>
          <w:spacing w:val="11"/>
          <w:sz w:val="24"/>
          <w:szCs w:val="24"/>
        </w:rPr>
        <w:t>Al-Isl</w:t>
      </w:r>
      <w:r w:rsidRPr="00FD1755">
        <w:rPr>
          <w:rFonts w:asciiTheme="majorBidi" w:hAnsiTheme="majorBidi" w:cstheme="majorBidi"/>
          <w:i/>
          <w:iCs/>
          <w:sz w:val="24"/>
          <w:szCs w:val="24"/>
          <w:lang w:val="id-ID"/>
        </w:rPr>
        <w:t>ā</w:t>
      </w:r>
      <w:r w:rsidRPr="00FD1755">
        <w:rPr>
          <w:rFonts w:asciiTheme="majorBidi" w:hAnsiTheme="majorBidi" w:cstheme="majorBidi"/>
          <w:bCs/>
          <w:i/>
          <w:iCs/>
          <w:spacing w:val="11"/>
          <w:sz w:val="24"/>
          <w:szCs w:val="24"/>
        </w:rPr>
        <w:t>m wa U</w:t>
      </w:r>
      <w:r w:rsidRPr="00FD1755">
        <w:rPr>
          <w:rFonts w:asciiTheme="majorBidi" w:hAnsiTheme="majorBidi" w:cstheme="majorBidi"/>
          <w:i/>
          <w:iCs/>
          <w:color w:val="222222"/>
          <w:sz w:val="24"/>
          <w:szCs w:val="24"/>
        </w:rPr>
        <w:t>ṣ</w:t>
      </w:r>
      <w:r w:rsidRPr="00FD1755">
        <w:rPr>
          <w:rFonts w:asciiTheme="majorBidi" w:hAnsiTheme="majorBidi" w:cstheme="majorBidi"/>
          <w:i/>
          <w:iCs/>
          <w:sz w:val="24"/>
          <w:szCs w:val="24"/>
        </w:rPr>
        <w:t>ū</w:t>
      </w:r>
      <w:r w:rsidRPr="00FD1755">
        <w:rPr>
          <w:rFonts w:asciiTheme="majorBidi" w:hAnsiTheme="majorBidi" w:cstheme="majorBidi"/>
          <w:bCs/>
          <w:i/>
          <w:iCs/>
          <w:spacing w:val="11"/>
          <w:sz w:val="24"/>
          <w:szCs w:val="24"/>
        </w:rPr>
        <w:t>l al-</w:t>
      </w:r>
      <w:r w:rsidRPr="00FD1755">
        <w:rPr>
          <w:rFonts w:asciiTheme="majorBidi" w:hAnsiTheme="majorBidi" w:cstheme="majorBidi"/>
          <w:bCs/>
          <w:i/>
          <w:iCs/>
          <w:sz w:val="24"/>
          <w:szCs w:val="24"/>
          <w:u w:val="single"/>
        </w:rPr>
        <w:t xml:space="preserve"> H</w:t>
      </w:r>
      <w:r w:rsidRPr="00FD1755">
        <w:rPr>
          <w:rFonts w:asciiTheme="majorBidi" w:hAnsiTheme="majorBidi" w:cstheme="majorBidi"/>
          <w:bCs/>
          <w:i/>
          <w:iCs/>
          <w:spacing w:val="11"/>
          <w:sz w:val="24"/>
          <w:szCs w:val="24"/>
        </w:rPr>
        <w:t>ukm</w:t>
      </w:r>
      <w:r w:rsidRPr="00406F37">
        <w:rPr>
          <w:rFonts w:asciiTheme="majorBidi" w:hAnsiTheme="majorBidi" w:cstheme="majorBidi"/>
          <w:i/>
          <w:spacing w:val="11"/>
          <w:sz w:val="24"/>
          <w:szCs w:val="24"/>
        </w:rPr>
        <w:t>,</w:t>
      </w:r>
      <w:r w:rsidRPr="00406F37">
        <w:rPr>
          <w:rFonts w:asciiTheme="majorBidi" w:hAnsiTheme="majorBidi" w:cstheme="majorBidi"/>
          <w:iCs/>
          <w:spacing w:val="11"/>
          <w:sz w:val="24"/>
          <w:szCs w:val="24"/>
        </w:rPr>
        <w:t xml:space="preserve">(Cairo:Syirkah Musahamah Mishriyah, 1925) </w:t>
      </w:r>
    </w:p>
    <w:p w:rsidR="00343B61" w:rsidRPr="00406F37" w:rsidRDefault="00343B61" w:rsidP="00343B61">
      <w:pPr>
        <w:pStyle w:val="FootnoteText"/>
        <w:spacing w:line="276" w:lineRule="auto"/>
        <w:ind w:left="810" w:hanging="810"/>
        <w:jc w:val="both"/>
        <w:rPr>
          <w:rFonts w:asciiTheme="majorBidi" w:hAnsiTheme="majorBidi" w:cstheme="majorBidi"/>
          <w:iCs/>
          <w:spacing w:val="11"/>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Abdul hamid Umar, Ahamd Mukhtar, </w:t>
      </w:r>
      <w:r w:rsidRPr="00406F37">
        <w:rPr>
          <w:rFonts w:asciiTheme="majorBidi" w:hAnsiTheme="majorBidi" w:cstheme="majorBidi"/>
          <w:i/>
          <w:iCs/>
          <w:sz w:val="24"/>
          <w:szCs w:val="24"/>
        </w:rPr>
        <w:t>Mu’jam al-Lughah al-‘Ar</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biyah al-Mu’</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shirah</w:t>
      </w:r>
      <w:r w:rsidRPr="00406F37">
        <w:rPr>
          <w:rFonts w:asciiTheme="majorBidi" w:hAnsiTheme="majorBidi" w:cstheme="majorBidi"/>
          <w:sz w:val="24"/>
          <w:szCs w:val="24"/>
        </w:rPr>
        <w:t>, ( t.t: ‘Alam al-Kutub, 2008)</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ind w:left="810" w:hanging="810"/>
        <w:jc w:val="both"/>
        <w:rPr>
          <w:rFonts w:asciiTheme="majorBidi" w:hAnsiTheme="majorBidi" w:cstheme="majorBidi"/>
          <w:color w:val="000000"/>
        </w:rPr>
      </w:pPr>
      <w:r w:rsidRPr="00406F37">
        <w:rPr>
          <w:rFonts w:asciiTheme="majorBidi" w:hAnsiTheme="majorBidi" w:cstheme="majorBidi"/>
          <w:color w:val="000000"/>
        </w:rPr>
        <w:t xml:space="preserve">Abu Hafsh, Umar bin ‘Ali bin Musa al-Bazzar, </w:t>
      </w:r>
      <w:r w:rsidRPr="00406F37">
        <w:rPr>
          <w:rFonts w:asciiTheme="majorBidi" w:hAnsiTheme="majorBidi" w:cstheme="majorBidi"/>
          <w:i/>
          <w:iCs/>
          <w:color w:val="000000"/>
        </w:rPr>
        <w:t>al-‘Al</w:t>
      </w:r>
      <w:r w:rsidRPr="0082707B">
        <w:rPr>
          <w:rFonts w:asciiTheme="majorBidi" w:hAnsiTheme="majorBidi" w:cstheme="majorBidi"/>
          <w:i/>
          <w:iCs/>
          <w:lang w:val="id-ID"/>
        </w:rPr>
        <w:t>ā</w:t>
      </w:r>
      <w:r w:rsidRPr="00406F37">
        <w:rPr>
          <w:rFonts w:asciiTheme="majorBidi" w:hAnsiTheme="majorBidi" w:cstheme="majorBidi"/>
          <w:i/>
          <w:iCs/>
          <w:color w:val="000000"/>
        </w:rPr>
        <w:t>m al-Aliyah fi Man</w:t>
      </w:r>
      <w:r w:rsidRPr="0082707B">
        <w:rPr>
          <w:rFonts w:asciiTheme="majorBidi" w:hAnsiTheme="majorBidi" w:cstheme="majorBidi"/>
          <w:i/>
          <w:iCs/>
          <w:lang w:val="id-ID"/>
        </w:rPr>
        <w:t>ā</w:t>
      </w:r>
      <w:r w:rsidRPr="00406F37">
        <w:rPr>
          <w:rFonts w:asciiTheme="majorBidi" w:hAnsiTheme="majorBidi" w:cstheme="majorBidi"/>
          <w:i/>
          <w:iCs/>
          <w:color w:val="000000"/>
        </w:rPr>
        <w:t>qib Ibn Taimiyah</w:t>
      </w:r>
      <w:r w:rsidRPr="00406F37">
        <w:rPr>
          <w:rFonts w:asciiTheme="majorBidi" w:hAnsiTheme="majorBidi" w:cstheme="majorBidi"/>
          <w:color w:val="000000"/>
        </w:rPr>
        <w:t>, ( Bairut: al-Maktab al-Islami, 1400 H)</w:t>
      </w:r>
    </w:p>
    <w:p w:rsidR="00343B61" w:rsidRPr="00406F37" w:rsidRDefault="00343B61" w:rsidP="00343B61">
      <w:pPr>
        <w:ind w:left="810" w:hanging="810"/>
        <w:jc w:val="both"/>
        <w:rPr>
          <w:rFonts w:asciiTheme="majorBidi" w:hAnsiTheme="majorBidi" w:cstheme="majorBidi"/>
          <w:color w:val="000000"/>
        </w:rPr>
      </w:pPr>
    </w:p>
    <w:p w:rsidR="00343B61" w:rsidRPr="00291E95" w:rsidRDefault="00343B61" w:rsidP="00343B61">
      <w:pPr>
        <w:pStyle w:val="ListParagraph"/>
        <w:spacing w:after="0"/>
        <w:ind w:left="810" w:hanging="810"/>
        <w:jc w:val="both"/>
        <w:rPr>
          <w:rFonts w:asciiTheme="majorBidi" w:hAnsiTheme="majorBidi" w:cstheme="majorBidi"/>
          <w:sz w:val="24"/>
          <w:szCs w:val="24"/>
        </w:rPr>
      </w:pPr>
      <w:r w:rsidRPr="00406F37">
        <w:rPr>
          <w:rFonts w:asciiTheme="majorBidi" w:hAnsiTheme="majorBidi" w:cstheme="majorBidi"/>
          <w:sz w:val="24"/>
          <w:szCs w:val="24"/>
        </w:rPr>
        <w:t>Abu Jaib, Sa’d</w:t>
      </w:r>
      <w:r w:rsidRPr="00291E95">
        <w:rPr>
          <w:rFonts w:asciiTheme="majorBidi" w:hAnsiTheme="majorBidi" w:cstheme="majorBidi"/>
          <w:sz w:val="24"/>
          <w:szCs w:val="24"/>
        </w:rPr>
        <w:t>ī</w:t>
      </w:r>
      <w:r w:rsidRPr="00406F37">
        <w:rPr>
          <w:rFonts w:asciiTheme="majorBidi" w:hAnsiTheme="majorBidi" w:cstheme="majorBidi"/>
          <w:sz w:val="24"/>
          <w:szCs w:val="24"/>
        </w:rPr>
        <w:t xml:space="preserve">, </w:t>
      </w:r>
      <w:r w:rsidRPr="00406F37">
        <w:rPr>
          <w:rFonts w:asciiTheme="majorBidi" w:hAnsiTheme="majorBidi" w:cstheme="majorBidi"/>
          <w:i/>
          <w:iCs/>
          <w:sz w:val="24"/>
          <w:szCs w:val="24"/>
        </w:rPr>
        <w:t>Qam</w:t>
      </w:r>
      <w:r w:rsidRPr="00FD1755">
        <w:rPr>
          <w:rFonts w:asciiTheme="majorBidi" w:hAnsiTheme="majorBidi" w:cstheme="majorBidi"/>
          <w:i/>
          <w:iCs/>
          <w:sz w:val="24"/>
          <w:szCs w:val="24"/>
        </w:rPr>
        <w:t>ū</w:t>
      </w:r>
      <w:r w:rsidRPr="00406F37">
        <w:rPr>
          <w:rFonts w:asciiTheme="majorBidi" w:hAnsiTheme="majorBidi" w:cstheme="majorBidi"/>
          <w:i/>
          <w:iCs/>
          <w:sz w:val="24"/>
          <w:szCs w:val="24"/>
        </w:rPr>
        <w:t>s al-Fiqhi Lughotan wa I</w:t>
      </w:r>
      <w:r w:rsidRPr="00406F37">
        <w:rPr>
          <w:rFonts w:asciiTheme="majorBidi" w:hAnsiTheme="majorBidi" w:cstheme="majorBidi"/>
          <w:i/>
          <w:iCs/>
          <w:sz w:val="24"/>
          <w:szCs w:val="24"/>
          <w:u w:val="single"/>
          <w:lang w:val="sv-SE"/>
        </w:rPr>
        <w:t>s</w:t>
      </w:r>
      <w:r w:rsidRPr="00406F37">
        <w:rPr>
          <w:rFonts w:asciiTheme="majorBidi" w:hAnsiTheme="majorBidi" w:cstheme="majorBidi"/>
          <w:i/>
          <w:iCs/>
          <w:sz w:val="24"/>
          <w:szCs w:val="24"/>
        </w:rPr>
        <w:t>tilahan</w:t>
      </w:r>
      <w:r w:rsidRPr="00406F37">
        <w:rPr>
          <w:rFonts w:asciiTheme="majorBidi" w:hAnsiTheme="majorBidi" w:cstheme="majorBidi"/>
          <w:sz w:val="24"/>
          <w:szCs w:val="24"/>
        </w:rPr>
        <w:t>, ( Damascus: Dar al-Fikr, 1988)</w:t>
      </w:r>
    </w:p>
    <w:p w:rsidR="00343B61" w:rsidRPr="00291E95" w:rsidRDefault="00343B61" w:rsidP="00343B61">
      <w:pPr>
        <w:pStyle w:val="ListParagraph"/>
        <w:tabs>
          <w:tab w:val="left" w:pos="720"/>
        </w:tabs>
        <w:ind w:left="810" w:hanging="810"/>
        <w:rPr>
          <w:rFonts w:asciiTheme="majorBidi" w:hAnsiTheme="majorBidi" w:cstheme="majorBidi"/>
          <w:i/>
          <w:iCs/>
          <w:sz w:val="24"/>
          <w:szCs w:val="24"/>
          <w:lang w:val="sv-SE"/>
        </w:rPr>
      </w:pPr>
      <w:r w:rsidRPr="00291E95">
        <w:rPr>
          <w:rFonts w:asciiTheme="majorBidi" w:hAnsiTheme="majorBidi" w:cstheme="majorBidi"/>
          <w:sz w:val="24"/>
          <w:szCs w:val="24"/>
        </w:rPr>
        <w:t xml:space="preserve">Abu Ya`la, </w:t>
      </w:r>
      <w:r w:rsidRPr="00291E95">
        <w:rPr>
          <w:rFonts w:asciiTheme="majorBidi" w:hAnsiTheme="majorBidi" w:cstheme="majorBidi"/>
          <w:i/>
          <w:iCs/>
          <w:sz w:val="24"/>
          <w:szCs w:val="24"/>
          <w:lang w:val="sv-SE"/>
        </w:rPr>
        <w:t>Al-A</w:t>
      </w:r>
      <w:r w:rsidRPr="00291E95">
        <w:rPr>
          <w:rFonts w:asciiTheme="majorBidi" w:hAnsiTheme="majorBidi" w:cstheme="majorBidi"/>
          <w:i/>
          <w:iCs/>
          <w:sz w:val="24"/>
          <w:szCs w:val="24"/>
          <w:u w:val="single"/>
        </w:rPr>
        <w:t>h</w:t>
      </w:r>
      <w:r w:rsidRPr="00291E95">
        <w:rPr>
          <w:rFonts w:asciiTheme="majorBidi" w:hAnsiTheme="majorBidi" w:cstheme="majorBidi"/>
          <w:i/>
          <w:iCs/>
          <w:sz w:val="24"/>
          <w:szCs w:val="24"/>
          <w:lang w:val="sv-SE"/>
        </w:rPr>
        <w:t xml:space="preserve">kām al-Sulthāniyah </w:t>
      </w:r>
      <w:r w:rsidRPr="00291E95">
        <w:rPr>
          <w:rFonts w:asciiTheme="majorBidi" w:hAnsiTheme="majorBidi" w:cstheme="majorBidi"/>
          <w:sz w:val="24"/>
          <w:szCs w:val="24"/>
        </w:rPr>
        <w:t>disunting o</w:t>
      </w:r>
      <w:r>
        <w:rPr>
          <w:rFonts w:asciiTheme="majorBidi" w:hAnsiTheme="majorBidi" w:cstheme="majorBidi"/>
          <w:sz w:val="24"/>
          <w:szCs w:val="24"/>
        </w:rPr>
        <w:t xml:space="preserve">leh Mahmud Hasan, ( Bairut: Dar </w:t>
      </w:r>
      <w:r w:rsidRPr="00291E95">
        <w:rPr>
          <w:rFonts w:asciiTheme="majorBidi" w:hAnsiTheme="majorBidi" w:cstheme="majorBidi"/>
          <w:sz w:val="24"/>
          <w:szCs w:val="24"/>
        </w:rPr>
        <w:t>al-Fikr, cet. 1, 1994).</w:t>
      </w:r>
    </w:p>
    <w:p w:rsidR="00343B61" w:rsidRDefault="00343B61" w:rsidP="00343B61">
      <w:pPr>
        <w:pStyle w:val="FootnoteText"/>
        <w:spacing w:line="276" w:lineRule="auto"/>
        <w:ind w:left="810" w:hanging="810"/>
        <w:jc w:val="both"/>
        <w:rPr>
          <w:rFonts w:asciiTheme="majorBidi" w:hAnsiTheme="majorBidi" w:cstheme="majorBidi"/>
          <w:sz w:val="24"/>
          <w:szCs w:val="24"/>
          <w:lang w:val="sv-SE"/>
        </w:rPr>
      </w:pPr>
      <w:r w:rsidRPr="00291E95">
        <w:rPr>
          <w:rFonts w:asciiTheme="majorBidi" w:hAnsiTheme="majorBidi" w:cstheme="majorBidi"/>
          <w:sz w:val="24"/>
          <w:szCs w:val="24"/>
          <w:lang w:val="sv-SE"/>
        </w:rPr>
        <w:t xml:space="preserve">Abū Zahrah, Muhammad, </w:t>
      </w:r>
      <w:r w:rsidRPr="00291E95">
        <w:rPr>
          <w:rFonts w:asciiTheme="majorBidi" w:hAnsiTheme="majorBidi" w:cstheme="majorBidi"/>
          <w:i/>
          <w:iCs/>
          <w:sz w:val="24"/>
          <w:szCs w:val="24"/>
          <w:lang w:val="sv-SE"/>
        </w:rPr>
        <w:t>Ushūl al-Fiqh</w:t>
      </w:r>
      <w:r w:rsidRPr="00291E95">
        <w:rPr>
          <w:rFonts w:asciiTheme="majorBidi" w:hAnsiTheme="majorBidi" w:cstheme="majorBidi"/>
          <w:sz w:val="24"/>
          <w:szCs w:val="24"/>
          <w:lang w:val="sv-SE"/>
        </w:rPr>
        <w:t>, (Beirut.: Dâr al-Fikr al-‘Arabiy, t.th.)</w:t>
      </w:r>
    </w:p>
    <w:p w:rsidR="00343B61" w:rsidRPr="00291E95"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Ahmad Zarq</w:t>
      </w:r>
      <w:r w:rsidRPr="00BC3441">
        <w:rPr>
          <w:rFonts w:asciiTheme="majorBidi" w:hAnsiTheme="majorBidi" w:cstheme="majorBidi"/>
          <w:lang w:val="id-ID"/>
        </w:rPr>
        <w:t>ā</w:t>
      </w:r>
      <w:r w:rsidRPr="00406F37">
        <w:rPr>
          <w:rFonts w:asciiTheme="majorBidi" w:hAnsiTheme="majorBidi" w:cstheme="majorBidi"/>
        </w:rPr>
        <w:t>, Mushthaf</w:t>
      </w:r>
      <w:r w:rsidRPr="00BC3441">
        <w:rPr>
          <w:rFonts w:asciiTheme="majorBidi" w:hAnsiTheme="majorBidi" w:cstheme="majorBidi"/>
          <w:lang w:val="id-ID"/>
        </w:rPr>
        <w:t>ā</w:t>
      </w:r>
      <w:r w:rsidRPr="00406F37">
        <w:rPr>
          <w:rFonts w:asciiTheme="majorBidi" w:hAnsiTheme="majorBidi" w:cstheme="majorBidi"/>
        </w:rPr>
        <w:t xml:space="preserve">, </w:t>
      </w:r>
      <w:r>
        <w:rPr>
          <w:rFonts w:asciiTheme="majorBidi" w:hAnsiTheme="majorBidi" w:cstheme="majorBidi"/>
          <w:i/>
          <w:iCs/>
        </w:rPr>
        <w:t>al-Madkhal al-Fiqh</w:t>
      </w:r>
      <w:r w:rsidRPr="00406F37">
        <w:rPr>
          <w:rFonts w:asciiTheme="majorBidi" w:hAnsiTheme="majorBidi" w:cstheme="majorBidi"/>
          <w:i/>
          <w:iCs/>
        </w:rPr>
        <w:t xml:space="preserve"> al-</w:t>
      </w:r>
      <w:r>
        <w:rPr>
          <w:rFonts w:asciiTheme="majorBidi" w:hAnsiTheme="majorBidi" w:cstheme="majorBidi"/>
          <w:i/>
          <w:iCs/>
          <w:lang w:val="id-ID"/>
        </w:rPr>
        <w:t>ā</w:t>
      </w:r>
      <w:r w:rsidRPr="00406F37">
        <w:rPr>
          <w:rFonts w:asciiTheme="majorBidi" w:hAnsiTheme="majorBidi" w:cstheme="majorBidi"/>
          <w:i/>
          <w:iCs/>
        </w:rPr>
        <w:t>m</w:t>
      </w:r>
      <w:r w:rsidRPr="00406F37">
        <w:rPr>
          <w:rFonts w:asciiTheme="majorBidi" w:hAnsiTheme="majorBidi" w:cstheme="majorBidi"/>
        </w:rPr>
        <w:t>, (Damascus: Dâr al-Fikr, 1967)</w:t>
      </w:r>
    </w:p>
    <w:p w:rsidR="00343B61" w:rsidRDefault="00343B61" w:rsidP="00343B61">
      <w:pPr>
        <w:widowControl w:val="0"/>
        <w:kinsoku w:val="0"/>
        <w:overflowPunct w:val="0"/>
        <w:ind w:left="810" w:hanging="810"/>
        <w:jc w:val="both"/>
        <w:textAlignment w:val="baseline"/>
        <w:rPr>
          <w:rFonts w:asciiTheme="majorBidi" w:hAnsiTheme="majorBidi" w:cstheme="majorBidi"/>
          <w:bCs/>
          <w:spacing w:val="-13"/>
        </w:rPr>
      </w:pPr>
      <w:r w:rsidRPr="00406F37">
        <w:rPr>
          <w:rFonts w:asciiTheme="majorBidi" w:hAnsiTheme="majorBidi" w:cstheme="majorBidi"/>
          <w:bCs/>
          <w:spacing w:val="-11"/>
        </w:rPr>
        <w:t xml:space="preserve">Ahmad, Abd al-Athi Muhammad,  </w:t>
      </w:r>
      <w:r w:rsidRPr="00406F37">
        <w:rPr>
          <w:rFonts w:asciiTheme="majorBidi" w:hAnsiTheme="majorBidi" w:cstheme="majorBidi"/>
          <w:bCs/>
          <w:i/>
          <w:iCs/>
          <w:spacing w:val="-11"/>
        </w:rPr>
        <w:t>A1-Fikr</w:t>
      </w:r>
      <w:r w:rsidRPr="00406F37">
        <w:rPr>
          <w:rFonts w:asciiTheme="majorBidi" w:hAnsiTheme="majorBidi" w:cstheme="majorBidi"/>
          <w:bCs/>
          <w:spacing w:val="-11"/>
        </w:rPr>
        <w:t xml:space="preserve"> </w:t>
      </w:r>
      <w:r w:rsidRPr="00406F37">
        <w:rPr>
          <w:rFonts w:asciiTheme="majorBidi" w:hAnsiTheme="majorBidi" w:cstheme="majorBidi"/>
          <w:bCs/>
          <w:i/>
          <w:iCs/>
          <w:spacing w:val="-11"/>
        </w:rPr>
        <w:t>al-Siyasi li al-Imam Muham</w:t>
      </w:r>
      <w:r w:rsidRPr="00406F37">
        <w:rPr>
          <w:rFonts w:asciiTheme="majorBidi" w:hAnsiTheme="majorBidi" w:cstheme="majorBidi"/>
          <w:bCs/>
          <w:i/>
          <w:iCs/>
          <w:spacing w:val="-13"/>
        </w:rPr>
        <w:t>mad Abduh,</w:t>
      </w:r>
      <w:r w:rsidRPr="00406F37">
        <w:rPr>
          <w:rFonts w:asciiTheme="majorBidi" w:hAnsiTheme="majorBidi" w:cstheme="majorBidi"/>
          <w:bCs/>
          <w:spacing w:val="-13"/>
        </w:rPr>
        <w:t xml:space="preserve"> ( Mesir: al-hai’at al-Mishriyat  al-Ammat li al-Kitab, 1978)</w:t>
      </w:r>
    </w:p>
    <w:p w:rsidR="00343B61" w:rsidRPr="00406F37" w:rsidRDefault="00343B61" w:rsidP="00343B61">
      <w:pPr>
        <w:widowControl w:val="0"/>
        <w:kinsoku w:val="0"/>
        <w:overflowPunct w:val="0"/>
        <w:ind w:left="810" w:hanging="810"/>
        <w:jc w:val="both"/>
        <w:textAlignment w:val="baseline"/>
        <w:rPr>
          <w:rFonts w:asciiTheme="majorBidi" w:hAnsiTheme="majorBidi" w:cstheme="majorBidi"/>
          <w:bCs/>
          <w:spacing w:val="-13"/>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lang w:val="sv-SE"/>
        </w:rPr>
        <w:t>Al- Sy</w:t>
      </w:r>
      <w:r w:rsidRPr="00526D6C">
        <w:rPr>
          <w:rFonts w:asciiTheme="majorBidi" w:hAnsiTheme="majorBidi" w:cstheme="majorBidi"/>
          <w:sz w:val="24"/>
          <w:szCs w:val="24"/>
        </w:rPr>
        <w:t>ā</w:t>
      </w:r>
      <w:r w:rsidRPr="00406F37">
        <w:rPr>
          <w:rFonts w:asciiTheme="majorBidi" w:hAnsiTheme="majorBidi" w:cstheme="majorBidi"/>
          <w:sz w:val="24"/>
          <w:szCs w:val="24"/>
          <w:lang w:val="sv-SE"/>
        </w:rPr>
        <w:t>thib</w:t>
      </w:r>
      <w:r w:rsidRPr="00526D6C">
        <w:rPr>
          <w:rFonts w:asciiTheme="majorBidi" w:hAnsiTheme="majorBidi" w:cstheme="majorBidi"/>
          <w:sz w:val="24"/>
          <w:szCs w:val="24"/>
        </w:rPr>
        <w:t>ī</w:t>
      </w:r>
      <w:r w:rsidRPr="00406F37">
        <w:rPr>
          <w:rFonts w:asciiTheme="majorBidi" w:hAnsiTheme="majorBidi" w:cstheme="majorBidi"/>
          <w:sz w:val="24"/>
          <w:szCs w:val="24"/>
          <w:lang w:val="sv-SE"/>
        </w:rPr>
        <w:t xml:space="preserve">, Abu Ishaq, </w:t>
      </w:r>
      <w:r w:rsidRPr="00526D6C">
        <w:rPr>
          <w:rFonts w:asciiTheme="majorBidi" w:hAnsiTheme="majorBidi" w:cstheme="majorBidi"/>
          <w:i/>
          <w:iCs/>
          <w:sz w:val="24"/>
          <w:szCs w:val="24"/>
        </w:rPr>
        <w:t>al-Muwafaqāt fi ushūl al-Syarī’ah</w:t>
      </w:r>
      <w:r w:rsidRPr="00526D6C">
        <w:rPr>
          <w:rFonts w:asciiTheme="majorBidi" w:hAnsiTheme="majorBidi" w:cstheme="majorBidi"/>
          <w:sz w:val="24"/>
          <w:szCs w:val="24"/>
        </w:rPr>
        <w:t>, (Bairut: Dāral-Kutub al-‘Ilmiyah, tth.),</w:t>
      </w:r>
    </w:p>
    <w:p w:rsidR="00343B61" w:rsidRPr="00A003C5" w:rsidRDefault="00343B61" w:rsidP="00343B61">
      <w:pPr>
        <w:pStyle w:val="FootnoteText"/>
        <w:spacing w:line="276" w:lineRule="auto"/>
        <w:ind w:left="810" w:hanging="810"/>
        <w:jc w:val="both"/>
        <w:rPr>
          <w:rFonts w:asciiTheme="majorBidi" w:hAnsiTheme="majorBidi" w:cstheme="majorBidi"/>
          <w:sz w:val="24"/>
          <w:szCs w:val="24"/>
        </w:rPr>
      </w:pPr>
    </w:p>
    <w:p w:rsidR="00343B61" w:rsidRPr="00BC3441" w:rsidRDefault="00343B61" w:rsidP="00343B61">
      <w:pPr>
        <w:ind w:left="810" w:hanging="810"/>
        <w:jc w:val="both"/>
        <w:rPr>
          <w:rFonts w:asciiTheme="majorBidi" w:hAnsiTheme="majorBidi" w:cstheme="majorBidi"/>
          <w:i/>
          <w:iCs/>
          <w:lang w:val="sv-SE"/>
        </w:rPr>
      </w:pPr>
      <w:r w:rsidRPr="00406F37">
        <w:rPr>
          <w:lang w:val="sv-SE"/>
        </w:rPr>
        <w:t xml:space="preserve">Al-`Utsaymin,  Muhammad bin Shalih </w:t>
      </w:r>
      <w:r w:rsidRPr="0082707B">
        <w:rPr>
          <w:i/>
          <w:iCs/>
          <w:lang w:val="sv-SE"/>
        </w:rPr>
        <w:t>Al-Ta`l</w:t>
      </w:r>
      <w:r w:rsidRPr="00BC3441">
        <w:rPr>
          <w:rFonts w:asciiTheme="majorBidi" w:hAnsiTheme="majorBidi" w:cstheme="majorBidi"/>
          <w:i/>
          <w:iCs/>
          <w:lang w:val="sv-SE"/>
        </w:rPr>
        <w:t>ī</w:t>
      </w:r>
      <w:r w:rsidRPr="0082707B">
        <w:rPr>
          <w:i/>
          <w:iCs/>
          <w:lang w:val="sv-SE"/>
        </w:rPr>
        <w:t xml:space="preserve">q `ala </w:t>
      </w:r>
      <w:r w:rsidRPr="00BC3441">
        <w:rPr>
          <w:rFonts w:asciiTheme="majorBidi" w:hAnsiTheme="majorBidi" w:cstheme="majorBidi"/>
          <w:bCs/>
          <w:i/>
          <w:iCs/>
          <w:lang w:val="sv-SE"/>
        </w:rPr>
        <w:t>al</w:t>
      </w:r>
      <w:r w:rsidRPr="00BC3441">
        <w:rPr>
          <w:rFonts w:asciiTheme="majorBidi" w:hAnsiTheme="majorBidi" w:cstheme="majorBidi"/>
          <w:bCs/>
          <w:lang w:val="sv-SE"/>
        </w:rPr>
        <w:t>-</w:t>
      </w:r>
      <w:r>
        <w:rPr>
          <w:rFonts w:asciiTheme="majorBidi" w:hAnsiTheme="majorBidi" w:cstheme="majorBidi"/>
          <w:i/>
          <w:iCs/>
          <w:lang w:val="id-ID"/>
        </w:rPr>
        <w:t xml:space="preserve"> siyāsah</w:t>
      </w:r>
      <w:r w:rsidRPr="00BC3441">
        <w:rPr>
          <w:rFonts w:asciiTheme="majorBidi" w:hAnsiTheme="majorBidi" w:cstheme="majorBidi"/>
          <w:i/>
          <w:iCs/>
          <w:lang w:val="sv-SE"/>
        </w:rPr>
        <w:t xml:space="preserve"> al-</w:t>
      </w:r>
      <w:r>
        <w:rPr>
          <w:rFonts w:asciiTheme="majorBidi" w:hAnsiTheme="majorBidi" w:cstheme="majorBidi"/>
          <w:i/>
          <w:iCs/>
          <w:lang w:val="id-ID"/>
        </w:rPr>
        <w:t>syar‘iyyah</w:t>
      </w:r>
      <w:r w:rsidRPr="00BC3441">
        <w:rPr>
          <w:rFonts w:asciiTheme="majorBidi" w:hAnsiTheme="majorBidi" w:cstheme="majorBidi"/>
          <w:i/>
          <w:iCs/>
          <w:lang w:val="sv-SE"/>
        </w:rPr>
        <w:t xml:space="preserve"> </w:t>
      </w:r>
      <w:r w:rsidRPr="00BC3441">
        <w:rPr>
          <w:rFonts w:asciiTheme="majorBidi" w:hAnsiTheme="majorBidi" w:cstheme="majorBidi"/>
          <w:bCs/>
          <w:i/>
          <w:iCs/>
          <w:lang w:val="sv-SE"/>
        </w:rPr>
        <w:t>fī I</w:t>
      </w:r>
      <w:r w:rsidRPr="00BC3441">
        <w:rPr>
          <w:rFonts w:asciiTheme="majorBidi" w:hAnsiTheme="majorBidi" w:cstheme="majorBidi"/>
          <w:i/>
          <w:iCs/>
          <w:color w:val="222222"/>
          <w:lang w:val="sv-SE"/>
        </w:rPr>
        <w:t>ṣ</w:t>
      </w:r>
      <w:r w:rsidRPr="00BC3441">
        <w:rPr>
          <w:rFonts w:asciiTheme="majorBidi" w:hAnsiTheme="majorBidi" w:cstheme="majorBidi"/>
          <w:bCs/>
          <w:i/>
          <w:iCs/>
          <w:lang w:val="sv-SE"/>
        </w:rPr>
        <w:t>l</w:t>
      </w:r>
      <w:r>
        <w:rPr>
          <w:rFonts w:asciiTheme="majorBidi" w:hAnsiTheme="majorBidi" w:cstheme="majorBidi"/>
          <w:i/>
          <w:iCs/>
          <w:lang w:val="id-ID"/>
        </w:rPr>
        <w:t>ā</w:t>
      </w:r>
      <w:r w:rsidRPr="00D44F72">
        <w:rPr>
          <w:i/>
          <w:iCs/>
          <w:u w:val="single"/>
          <w:lang w:val="id-ID"/>
        </w:rPr>
        <w:t>h</w:t>
      </w:r>
      <w:r w:rsidRPr="00BC3441">
        <w:rPr>
          <w:rFonts w:asciiTheme="majorBidi" w:hAnsiTheme="majorBidi" w:cstheme="majorBidi"/>
          <w:i/>
          <w:iCs/>
          <w:color w:val="222222"/>
          <w:lang w:val="sv-SE"/>
        </w:rPr>
        <w:t xml:space="preserve"> </w:t>
      </w:r>
      <w:r w:rsidRPr="00BC3441">
        <w:rPr>
          <w:rFonts w:asciiTheme="majorBidi" w:hAnsiTheme="majorBidi" w:cstheme="majorBidi"/>
          <w:bCs/>
          <w:i/>
          <w:iCs/>
          <w:lang w:val="sv-SE"/>
        </w:rPr>
        <w:t>al-R</w:t>
      </w:r>
      <w:r>
        <w:rPr>
          <w:rFonts w:asciiTheme="majorBidi" w:hAnsiTheme="majorBidi" w:cstheme="majorBidi"/>
          <w:i/>
          <w:iCs/>
          <w:lang w:val="id-ID"/>
        </w:rPr>
        <w:t>ā</w:t>
      </w:r>
      <w:r w:rsidRPr="00BC3441">
        <w:rPr>
          <w:lang w:val="sv-SE"/>
        </w:rPr>
        <w:t>‘</w:t>
      </w:r>
      <w:r w:rsidRPr="00BC3441">
        <w:rPr>
          <w:rFonts w:asciiTheme="majorBidi" w:hAnsiTheme="majorBidi" w:cstheme="majorBidi"/>
          <w:bCs/>
          <w:i/>
          <w:iCs/>
          <w:lang w:val="sv-SE"/>
        </w:rPr>
        <w:t>ī wa al-Ra</w:t>
      </w:r>
      <w:r w:rsidRPr="00BC3441">
        <w:rPr>
          <w:lang w:val="sv-SE"/>
        </w:rPr>
        <w:t>‘</w:t>
      </w:r>
      <w:r w:rsidRPr="00BC3441">
        <w:rPr>
          <w:rFonts w:asciiTheme="majorBidi" w:hAnsiTheme="majorBidi" w:cstheme="majorBidi"/>
          <w:bCs/>
          <w:i/>
          <w:iCs/>
          <w:lang w:val="sv-SE"/>
        </w:rPr>
        <w:t xml:space="preserve">iyah </w:t>
      </w:r>
      <w:r w:rsidRPr="0082707B">
        <w:rPr>
          <w:i/>
          <w:iCs/>
          <w:lang w:val="sv-SE"/>
        </w:rPr>
        <w:t>li Syaikh al-Isl</w:t>
      </w:r>
      <w:r>
        <w:rPr>
          <w:rFonts w:asciiTheme="majorBidi" w:hAnsiTheme="majorBidi" w:cstheme="majorBidi"/>
          <w:i/>
          <w:iCs/>
          <w:lang w:val="id-ID"/>
        </w:rPr>
        <w:t>ā</w:t>
      </w:r>
      <w:r w:rsidRPr="0082707B">
        <w:rPr>
          <w:i/>
          <w:iCs/>
          <w:lang w:val="sv-SE"/>
        </w:rPr>
        <w:t>m Ibn Taymiyyah</w:t>
      </w:r>
      <w:r w:rsidRPr="00406F37">
        <w:rPr>
          <w:lang w:val="sv-SE"/>
        </w:rPr>
        <w:t>, (Riyadh: Madar al-Wathan li al-Nasyr, cet. 1, 1427 H)</w:t>
      </w:r>
    </w:p>
    <w:p w:rsidR="00343B61" w:rsidRPr="00406F37" w:rsidRDefault="00343B61" w:rsidP="00343B61">
      <w:pPr>
        <w:pStyle w:val="FootnoteText"/>
        <w:spacing w:line="276" w:lineRule="auto"/>
        <w:ind w:left="810" w:hanging="810"/>
        <w:jc w:val="both"/>
        <w:rPr>
          <w:sz w:val="24"/>
          <w:szCs w:val="24"/>
          <w:lang w:val="sv-SE"/>
        </w:rPr>
      </w:pPr>
    </w:p>
    <w:p w:rsidR="00343B61" w:rsidRPr="00BC3441" w:rsidRDefault="00343B61" w:rsidP="00343B61">
      <w:pPr>
        <w:pStyle w:val="FootnoteText"/>
        <w:spacing w:line="276" w:lineRule="auto"/>
        <w:ind w:left="810" w:hanging="810"/>
        <w:jc w:val="both"/>
        <w:rPr>
          <w:rFonts w:asciiTheme="majorBidi" w:hAnsiTheme="majorBidi" w:cstheme="majorBidi"/>
          <w:sz w:val="24"/>
          <w:szCs w:val="24"/>
          <w:lang w:val="sv-SE"/>
        </w:rPr>
      </w:pPr>
      <w:r w:rsidRPr="00BC3441">
        <w:rPr>
          <w:rFonts w:asciiTheme="majorBidi" w:hAnsiTheme="majorBidi" w:cstheme="majorBidi"/>
          <w:sz w:val="24"/>
          <w:szCs w:val="24"/>
          <w:lang w:val="sv-SE"/>
        </w:rPr>
        <w:t>Al-‘Adzim Abadī, Abi Thayyib Muhammad Syam al-Haq, ‘</w:t>
      </w:r>
      <w:r w:rsidRPr="00BC3441">
        <w:rPr>
          <w:rFonts w:asciiTheme="majorBidi" w:hAnsiTheme="majorBidi" w:cstheme="majorBidi"/>
          <w:i/>
          <w:iCs/>
          <w:sz w:val="24"/>
          <w:szCs w:val="24"/>
          <w:lang w:val="sv-SE"/>
        </w:rPr>
        <w:t>Aun Al-Ma’būd Syarh Sunan Abū Daud</w:t>
      </w:r>
      <w:r w:rsidRPr="00BC3441">
        <w:rPr>
          <w:rFonts w:asciiTheme="majorBidi" w:hAnsiTheme="majorBidi" w:cstheme="majorBidi"/>
          <w:sz w:val="24"/>
          <w:szCs w:val="24"/>
          <w:lang w:val="sv-SE"/>
        </w:rPr>
        <w:t>, ( Bairt: Dār al-Fikr, 1977)</w:t>
      </w:r>
    </w:p>
    <w:p w:rsidR="00343B61" w:rsidRPr="00BC3441"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406F37" w:rsidRDefault="00343B61" w:rsidP="00343B61">
      <w:pPr>
        <w:pStyle w:val="ListParagraph"/>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Al-‘Askari, Abi Hilal, </w:t>
      </w:r>
      <w:r w:rsidRPr="00406F37">
        <w:rPr>
          <w:rFonts w:asciiTheme="majorBidi" w:hAnsiTheme="majorBidi" w:cstheme="majorBidi"/>
          <w:i/>
          <w:iCs/>
          <w:sz w:val="24"/>
          <w:szCs w:val="24"/>
        </w:rPr>
        <w:t>al-Fur</w:t>
      </w:r>
      <w:r w:rsidRPr="0082707B">
        <w:rPr>
          <w:rFonts w:asciiTheme="majorBidi" w:hAnsiTheme="majorBidi" w:cstheme="majorBidi"/>
          <w:i/>
          <w:iCs/>
          <w:sz w:val="24"/>
          <w:szCs w:val="24"/>
        </w:rPr>
        <w:t>ū</w:t>
      </w:r>
      <w:r w:rsidRPr="00406F37">
        <w:rPr>
          <w:rFonts w:asciiTheme="majorBidi" w:hAnsiTheme="majorBidi" w:cstheme="majorBidi"/>
          <w:i/>
          <w:iCs/>
          <w:sz w:val="24"/>
          <w:szCs w:val="24"/>
        </w:rPr>
        <w:t>q al-Lughah</w:t>
      </w:r>
      <w:r w:rsidRPr="00406F37">
        <w:rPr>
          <w:rFonts w:asciiTheme="majorBidi" w:hAnsiTheme="majorBidi" w:cstheme="majorBidi"/>
          <w:sz w:val="24"/>
          <w:szCs w:val="24"/>
        </w:rPr>
        <w:t>, ( Bairut: Muassasah al-Nasyar al-Islami, 1412 H)</w:t>
      </w: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Al-‘Ubaidi, Hamâdi, </w:t>
      </w:r>
      <w:r w:rsidRPr="00406F37">
        <w:rPr>
          <w:rFonts w:asciiTheme="majorBidi" w:hAnsiTheme="majorBidi" w:cstheme="majorBidi"/>
          <w:i/>
          <w:iCs/>
        </w:rPr>
        <w:t>Ibn Rusyd wa ‘Ul</w:t>
      </w:r>
      <w:r w:rsidRPr="0082707B">
        <w:rPr>
          <w:rFonts w:asciiTheme="majorBidi" w:hAnsiTheme="majorBidi" w:cstheme="majorBidi"/>
          <w:i/>
          <w:iCs/>
        </w:rPr>
        <w:t>ū</w:t>
      </w:r>
      <w:r w:rsidRPr="00406F37">
        <w:rPr>
          <w:rFonts w:asciiTheme="majorBidi" w:hAnsiTheme="majorBidi" w:cstheme="majorBidi"/>
          <w:i/>
          <w:iCs/>
        </w:rPr>
        <w:t>m al-Syarî‘ah al-Isl</w:t>
      </w:r>
      <w:r w:rsidRPr="0082707B">
        <w:rPr>
          <w:rFonts w:asciiTheme="majorBidi" w:hAnsiTheme="majorBidi" w:cstheme="majorBidi"/>
          <w:i/>
          <w:iCs/>
        </w:rPr>
        <w:t>ā</w:t>
      </w:r>
      <w:r w:rsidRPr="00406F37">
        <w:rPr>
          <w:rFonts w:asciiTheme="majorBidi" w:hAnsiTheme="majorBidi" w:cstheme="majorBidi"/>
          <w:i/>
          <w:iCs/>
        </w:rPr>
        <w:t>miyyah</w:t>
      </w:r>
      <w:r w:rsidRPr="00406F37">
        <w:rPr>
          <w:rFonts w:asciiTheme="majorBidi" w:hAnsiTheme="majorBidi" w:cstheme="majorBidi"/>
        </w:rPr>
        <w:t>, (Beirut: Dâr al-Fikr al- ‘Arabiy, 1991)</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sz w:val="24"/>
          <w:szCs w:val="24"/>
        </w:rPr>
      </w:pPr>
      <w:r w:rsidRPr="0082707B">
        <w:rPr>
          <w:rFonts w:asciiTheme="majorBidi" w:hAnsiTheme="majorBidi" w:cstheme="majorBidi"/>
          <w:sz w:val="24"/>
          <w:szCs w:val="24"/>
        </w:rPr>
        <w:t>Al-Amidī</w:t>
      </w:r>
      <w:r w:rsidRPr="00406F37">
        <w:rPr>
          <w:sz w:val="24"/>
          <w:szCs w:val="24"/>
        </w:rPr>
        <w:t xml:space="preserve">, Saf al-Din Abi al-Hasan ‘Ali bin Abi ‘Ali bin Muhammad, </w:t>
      </w:r>
      <w:r w:rsidRPr="0082707B">
        <w:rPr>
          <w:rFonts w:asciiTheme="majorBidi" w:hAnsiTheme="majorBidi" w:cstheme="majorBidi"/>
          <w:i/>
          <w:iCs/>
          <w:sz w:val="24"/>
          <w:szCs w:val="24"/>
        </w:rPr>
        <w:t xml:space="preserve">al-Ihkām </w:t>
      </w:r>
      <w:r w:rsidRPr="0082707B">
        <w:rPr>
          <w:i/>
          <w:iCs/>
          <w:sz w:val="24"/>
          <w:szCs w:val="24"/>
        </w:rPr>
        <w:t>fî</w:t>
      </w:r>
      <w:r w:rsidRPr="0082707B">
        <w:rPr>
          <w:rFonts w:asciiTheme="majorBidi" w:hAnsiTheme="majorBidi" w:cstheme="majorBidi"/>
          <w:i/>
          <w:iCs/>
          <w:sz w:val="24"/>
          <w:szCs w:val="24"/>
        </w:rPr>
        <w:t xml:space="preserve"> Ushūl al-Ahkām</w:t>
      </w:r>
      <w:r w:rsidRPr="00406F37">
        <w:rPr>
          <w:sz w:val="24"/>
          <w:szCs w:val="24"/>
        </w:rPr>
        <w:t>, ( Bairut: Daral-Kutub al-‘Ilmiyah, 1983)</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Pr>
          <w:rFonts w:asciiTheme="majorBidi" w:hAnsiTheme="majorBidi" w:cstheme="majorBidi"/>
        </w:rPr>
        <w:t>Al-Ashfah</w:t>
      </w:r>
      <w:r w:rsidRPr="00406F37">
        <w:rPr>
          <w:rFonts w:asciiTheme="majorBidi" w:hAnsiTheme="majorBidi" w:cstheme="majorBidi"/>
        </w:rPr>
        <w:t>n</w:t>
      </w:r>
      <w:r w:rsidRPr="0082707B">
        <w:rPr>
          <w:rFonts w:asciiTheme="majorBidi" w:hAnsiTheme="majorBidi" w:cstheme="majorBidi"/>
        </w:rPr>
        <w:t>ī</w:t>
      </w:r>
      <w:r>
        <w:rPr>
          <w:rFonts w:asciiTheme="majorBidi" w:hAnsiTheme="majorBidi" w:cstheme="majorBidi"/>
        </w:rPr>
        <w:t>,Abu al-Qa</w:t>
      </w:r>
      <w:r w:rsidRPr="00406F37">
        <w:rPr>
          <w:rFonts w:asciiTheme="majorBidi" w:hAnsiTheme="majorBidi" w:cstheme="majorBidi"/>
        </w:rPr>
        <w:t xml:space="preserve">sim al-Husain ibn Muhammad ibn al-Mufaddal al-Râghib, </w:t>
      </w:r>
      <w:r w:rsidRPr="00406F37">
        <w:rPr>
          <w:rFonts w:asciiTheme="majorBidi" w:hAnsiTheme="majorBidi" w:cstheme="majorBidi"/>
          <w:i/>
          <w:iCs/>
        </w:rPr>
        <w:t>Mu’jam</w:t>
      </w:r>
      <w:r>
        <w:rPr>
          <w:rFonts w:asciiTheme="majorBidi" w:hAnsiTheme="majorBidi" w:cstheme="majorBidi"/>
          <w:i/>
          <w:iCs/>
        </w:rPr>
        <w:t xml:space="preserve"> </w:t>
      </w:r>
      <w:r w:rsidRPr="00406F37">
        <w:rPr>
          <w:rFonts w:asciiTheme="majorBidi" w:hAnsiTheme="majorBidi" w:cstheme="majorBidi"/>
          <w:i/>
          <w:iCs/>
        </w:rPr>
        <w:t>Mufrad</w:t>
      </w:r>
      <w:r w:rsidRPr="00406F37">
        <w:rPr>
          <w:rFonts w:asciiTheme="majorBidi" w:eastAsiaTheme="minorHAnsi" w:hAnsiTheme="majorBidi" w:cstheme="majorBidi"/>
          <w:i/>
          <w:iCs/>
          <w:color w:val="000000"/>
        </w:rPr>
        <w:t>ā</w:t>
      </w:r>
      <w:r w:rsidRPr="00406F37">
        <w:rPr>
          <w:rFonts w:asciiTheme="majorBidi" w:hAnsiTheme="majorBidi" w:cstheme="majorBidi"/>
          <w:i/>
          <w:iCs/>
        </w:rPr>
        <w:t>t Al</w:t>
      </w:r>
      <w:r>
        <w:rPr>
          <w:rFonts w:asciiTheme="majorBidi" w:hAnsiTheme="majorBidi" w:cstheme="majorBidi"/>
          <w:i/>
          <w:iCs/>
        </w:rPr>
        <w:t>-</w:t>
      </w:r>
      <w:r w:rsidRPr="00406F37">
        <w:rPr>
          <w:rFonts w:asciiTheme="majorBidi" w:hAnsiTheme="majorBidi" w:cstheme="majorBidi"/>
          <w:i/>
          <w:iCs/>
        </w:rPr>
        <w:t>f</w:t>
      </w:r>
      <w:r w:rsidRPr="0082707B">
        <w:rPr>
          <w:rFonts w:asciiTheme="majorBidi" w:hAnsiTheme="majorBidi" w:cstheme="majorBidi"/>
          <w:i/>
          <w:iCs/>
        </w:rPr>
        <w:t>ā</w:t>
      </w:r>
      <w:r w:rsidRPr="00406F37">
        <w:rPr>
          <w:rFonts w:asciiTheme="majorBidi" w:hAnsiTheme="majorBidi" w:cstheme="majorBidi"/>
          <w:i/>
          <w:iCs/>
        </w:rPr>
        <w:t>z al-Qur’</w:t>
      </w:r>
      <w:r w:rsidRPr="0082707B">
        <w:rPr>
          <w:rFonts w:asciiTheme="majorBidi" w:hAnsiTheme="majorBidi" w:cstheme="majorBidi"/>
          <w:i/>
          <w:iCs/>
        </w:rPr>
        <w:t>ā</w:t>
      </w:r>
      <w:r w:rsidRPr="00406F37">
        <w:rPr>
          <w:rFonts w:asciiTheme="majorBidi" w:hAnsiTheme="majorBidi" w:cstheme="majorBidi"/>
          <w:i/>
          <w:iCs/>
        </w:rPr>
        <w:t>n</w:t>
      </w:r>
      <w:r w:rsidRPr="00406F37">
        <w:rPr>
          <w:rFonts w:asciiTheme="majorBidi" w:hAnsiTheme="majorBidi" w:cstheme="majorBidi"/>
        </w:rPr>
        <w:t>, (Beirût: Dâr al-Kutub al-Ilmiyyah, 2004)</w:t>
      </w:r>
    </w:p>
    <w:p w:rsidR="00343B61" w:rsidRPr="00406F37" w:rsidRDefault="00343B61" w:rsidP="00343B61">
      <w:pPr>
        <w:ind w:left="810" w:hanging="810"/>
        <w:jc w:val="both"/>
        <w:rPr>
          <w:rFonts w:asciiTheme="majorBidi" w:eastAsiaTheme="minorHAnsi" w:hAnsiTheme="majorBidi" w:cstheme="majorBidi"/>
          <w:color w:val="000000"/>
        </w:rPr>
      </w:pPr>
      <w:r w:rsidRPr="00406F37">
        <w:rPr>
          <w:rFonts w:asciiTheme="majorBidi" w:eastAsiaTheme="minorHAnsi" w:hAnsiTheme="majorBidi" w:cstheme="majorBidi"/>
          <w:color w:val="000000"/>
        </w:rPr>
        <w:t xml:space="preserve">Al-Asmary, Shalih Ibn Muhammad Ibn Hasan, </w:t>
      </w:r>
      <w:r w:rsidRPr="00406F37">
        <w:rPr>
          <w:rFonts w:asciiTheme="majorBidi" w:eastAsiaTheme="minorHAnsi" w:hAnsiTheme="majorBidi" w:cstheme="majorBidi"/>
          <w:i/>
          <w:iCs/>
          <w:color w:val="000000"/>
        </w:rPr>
        <w:t>Majmu’ah al-Faw</w:t>
      </w:r>
      <w:r w:rsidRPr="0082707B">
        <w:rPr>
          <w:rFonts w:asciiTheme="majorBidi" w:hAnsiTheme="majorBidi" w:cstheme="majorBidi"/>
          <w:i/>
          <w:iCs/>
        </w:rPr>
        <w:t>ā</w:t>
      </w:r>
      <w:r w:rsidRPr="00406F37">
        <w:rPr>
          <w:rFonts w:asciiTheme="majorBidi" w:eastAsiaTheme="minorHAnsi" w:hAnsiTheme="majorBidi" w:cstheme="majorBidi"/>
          <w:i/>
          <w:iCs/>
          <w:color w:val="000000"/>
        </w:rPr>
        <w:t>id al-Bahiyah ‘al</w:t>
      </w:r>
      <w:r w:rsidRPr="0082707B">
        <w:rPr>
          <w:rFonts w:asciiTheme="majorBidi" w:hAnsiTheme="majorBidi" w:cstheme="majorBidi"/>
          <w:i/>
          <w:iCs/>
        </w:rPr>
        <w:t>ā</w:t>
      </w:r>
      <w:r w:rsidRPr="00406F37">
        <w:rPr>
          <w:rFonts w:asciiTheme="majorBidi" w:eastAsiaTheme="minorHAnsi" w:hAnsiTheme="majorBidi" w:cstheme="majorBidi"/>
          <w:i/>
          <w:iCs/>
          <w:color w:val="000000"/>
        </w:rPr>
        <w:t xml:space="preserve"> Manzh</w:t>
      </w:r>
      <w:r w:rsidRPr="0082707B">
        <w:rPr>
          <w:rFonts w:asciiTheme="majorBidi" w:hAnsiTheme="majorBidi" w:cstheme="majorBidi"/>
          <w:i/>
          <w:iCs/>
        </w:rPr>
        <w:t>ū</w:t>
      </w:r>
      <w:r w:rsidRPr="00406F37">
        <w:rPr>
          <w:rFonts w:asciiTheme="majorBidi" w:eastAsiaTheme="minorHAnsi" w:hAnsiTheme="majorBidi" w:cstheme="majorBidi"/>
          <w:i/>
          <w:iCs/>
          <w:color w:val="000000"/>
        </w:rPr>
        <w:t>mah Al-Qawā‘id  al-Bahiyah</w:t>
      </w:r>
      <w:r w:rsidRPr="00406F37">
        <w:rPr>
          <w:rFonts w:asciiTheme="majorBidi" w:eastAsiaTheme="minorHAnsi" w:hAnsiTheme="majorBidi" w:cstheme="majorBidi"/>
          <w:color w:val="000000"/>
        </w:rPr>
        <w:t>, ( t.t: Dar al-Shumai’I, 2000)</w:t>
      </w:r>
    </w:p>
    <w:p w:rsidR="00343B61" w:rsidRPr="00406F37" w:rsidRDefault="00343B61" w:rsidP="00343B61">
      <w:pPr>
        <w:ind w:left="810" w:hanging="810"/>
        <w:jc w:val="both"/>
        <w:rPr>
          <w:rFonts w:asciiTheme="majorBidi" w:eastAsiaTheme="minorHAnsi" w:hAnsiTheme="majorBidi" w:cstheme="majorBidi"/>
          <w:color w:val="000000"/>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lastRenderedPageBreak/>
        <w:t xml:space="preserve">Al-Atsir, Majdu al-Din Abu al-Sa’adat al-Mubarak bin Muhammad al-Jazari ibn </w:t>
      </w:r>
      <w:r w:rsidRPr="00406F37">
        <w:rPr>
          <w:rFonts w:asciiTheme="majorBidi" w:hAnsiTheme="majorBidi" w:cstheme="majorBidi"/>
          <w:i/>
          <w:iCs/>
          <w:sz w:val="24"/>
          <w:szCs w:val="24"/>
        </w:rPr>
        <w:t>Jami’ al-Ush</w:t>
      </w:r>
      <w:r w:rsidRPr="0082707B">
        <w:rPr>
          <w:rFonts w:asciiTheme="majorBidi" w:hAnsiTheme="majorBidi" w:cstheme="majorBidi"/>
          <w:i/>
          <w:iCs/>
          <w:sz w:val="24"/>
          <w:szCs w:val="24"/>
        </w:rPr>
        <w:t>ū</w:t>
      </w:r>
      <w:r w:rsidRPr="00406F37">
        <w:rPr>
          <w:rFonts w:asciiTheme="majorBidi" w:hAnsiTheme="majorBidi" w:cstheme="majorBidi"/>
          <w:i/>
          <w:iCs/>
          <w:sz w:val="24"/>
          <w:szCs w:val="24"/>
        </w:rPr>
        <w:t>l fi Ah</w:t>
      </w:r>
      <w:r w:rsidRPr="00406F37">
        <w:rPr>
          <w:rFonts w:asciiTheme="majorBidi" w:eastAsiaTheme="minorHAnsi" w:hAnsiTheme="majorBidi" w:cstheme="majorBidi"/>
          <w:i/>
          <w:iCs/>
          <w:color w:val="000000"/>
        </w:rPr>
        <w:t>ā</w:t>
      </w:r>
      <w:r w:rsidRPr="00406F37">
        <w:rPr>
          <w:rFonts w:asciiTheme="majorBidi" w:hAnsiTheme="majorBidi" w:cstheme="majorBidi"/>
          <w:i/>
          <w:iCs/>
          <w:sz w:val="24"/>
          <w:szCs w:val="24"/>
        </w:rPr>
        <w:t>dits al-Ras</w:t>
      </w:r>
      <w:r w:rsidRPr="0082707B">
        <w:rPr>
          <w:rFonts w:asciiTheme="majorBidi" w:hAnsiTheme="majorBidi" w:cstheme="majorBidi"/>
          <w:i/>
          <w:iCs/>
          <w:sz w:val="24"/>
          <w:szCs w:val="24"/>
        </w:rPr>
        <w:t>ū</w:t>
      </w:r>
      <w:r w:rsidRPr="00406F37">
        <w:rPr>
          <w:rFonts w:asciiTheme="majorBidi" w:hAnsiTheme="majorBidi" w:cstheme="majorBidi"/>
          <w:i/>
          <w:iCs/>
          <w:sz w:val="24"/>
          <w:szCs w:val="24"/>
        </w:rPr>
        <w:t>l</w:t>
      </w:r>
      <w:r w:rsidRPr="00406F37">
        <w:rPr>
          <w:rFonts w:asciiTheme="majorBidi" w:hAnsiTheme="majorBidi" w:cstheme="majorBidi"/>
          <w:sz w:val="24"/>
          <w:szCs w:val="24"/>
        </w:rPr>
        <w:t>, ( Damascus: Dar al-Fikr, 1982)</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9E471E" w:rsidRDefault="00343B61" w:rsidP="00343B61">
      <w:pPr>
        <w:ind w:left="810" w:hanging="810"/>
        <w:jc w:val="both"/>
        <w:rPr>
          <w:rFonts w:asciiTheme="majorBidi" w:hAnsiTheme="majorBidi" w:cstheme="majorBidi"/>
          <w:i/>
          <w:iCs/>
          <w:lang w:val="sv-SE"/>
        </w:rPr>
      </w:pPr>
      <w:r w:rsidRPr="009E471E">
        <w:rPr>
          <w:rFonts w:asciiTheme="majorBidi" w:hAnsiTheme="majorBidi" w:cstheme="majorBidi"/>
        </w:rPr>
        <w:t xml:space="preserve">Al-Atwah, Abdul, </w:t>
      </w:r>
      <w:r w:rsidRPr="009E471E">
        <w:rPr>
          <w:rFonts w:asciiTheme="majorBidi" w:hAnsiTheme="majorBidi" w:cstheme="majorBidi"/>
          <w:i/>
          <w:iCs/>
        </w:rPr>
        <w:t>Al Madkhal il</w:t>
      </w:r>
      <w:r w:rsidRPr="009E471E">
        <w:rPr>
          <w:rFonts w:asciiTheme="majorBidi" w:hAnsiTheme="majorBidi" w:cstheme="majorBidi"/>
          <w:i/>
          <w:iCs/>
          <w:lang w:val="sv-SE"/>
        </w:rPr>
        <w:t>ā</w:t>
      </w:r>
      <w:r w:rsidRPr="009E471E">
        <w:rPr>
          <w:rFonts w:asciiTheme="majorBidi" w:hAnsiTheme="majorBidi" w:cstheme="majorBidi"/>
          <w:i/>
          <w:iCs/>
        </w:rPr>
        <w:t xml:space="preserve"> </w:t>
      </w:r>
      <w:r w:rsidRPr="009E471E">
        <w:rPr>
          <w:rFonts w:asciiTheme="majorBidi" w:hAnsiTheme="majorBidi" w:cstheme="majorBidi"/>
          <w:i/>
          <w:iCs/>
          <w:lang w:val="sv-SE"/>
        </w:rPr>
        <w:t>Siyāsah Syar</w:t>
      </w:r>
      <w:r w:rsidRPr="009E471E">
        <w:rPr>
          <w:lang w:val="sv-SE"/>
        </w:rPr>
        <w:t>‘</w:t>
      </w:r>
      <w:r w:rsidRPr="009E471E">
        <w:rPr>
          <w:rFonts w:asciiTheme="majorBidi" w:hAnsiTheme="majorBidi" w:cstheme="majorBidi"/>
          <w:i/>
          <w:iCs/>
          <w:lang w:val="sv-SE"/>
        </w:rPr>
        <w:t>Iyyah</w:t>
      </w:r>
      <w:r w:rsidRPr="009E471E">
        <w:rPr>
          <w:rFonts w:asciiTheme="majorBidi" w:hAnsiTheme="majorBidi" w:cstheme="majorBidi"/>
        </w:rPr>
        <w:t xml:space="preserve">, (Riyadh: </w:t>
      </w:r>
      <w:r w:rsidRPr="009E471E">
        <w:rPr>
          <w:rFonts w:asciiTheme="majorBidi" w:hAnsiTheme="majorBidi" w:cstheme="majorBidi"/>
          <w:color w:val="FF0000"/>
        </w:rPr>
        <w:t xml:space="preserve"> </w:t>
      </w:r>
      <w:r w:rsidRPr="009E471E">
        <w:rPr>
          <w:rFonts w:asciiTheme="majorBidi" w:hAnsiTheme="majorBidi" w:cstheme="majorBidi"/>
          <w:color w:val="000000" w:themeColor="text1"/>
        </w:rPr>
        <w:t xml:space="preserve">Dar Al Afaq, </w:t>
      </w:r>
      <w:r w:rsidRPr="009E471E">
        <w:rPr>
          <w:rFonts w:asciiTheme="majorBidi" w:hAnsiTheme="majorBidi" w:cstheme="majorBidi"/>
        </w:rPr>
        <w:t>1993)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ind w:left="810" w:hanging="810"/>
        <w:jc w:val="both"/>
        <w:rPr>
          <w:rFonts w:asciiTheme="majorBidi" w:hAnsiTheme="majorBidi" w:cstheme="majorBidi"/>
          <w:color w:val="000000"/>
        </w:rPr>
      </w:pPr>
      <w:r w:rsidRPr="00406F37">
        <w:rPr>
          <w:rFonts w:asciiTheme="majorBidi" w:hAnsiTheme="majorBidi" w:cstheme="majorBidi"/>
          <w:color w:val="000000"/>
        </w:rPr>
        <w:t>Al-Baihaq</w:t>
      </w:r>
      <w:r w:rsidRPr="0082707B">
        <w:rPr>
          <w:rFonts w:asciiTheme="majorBidi" w:hAnsiTheme="majorBidi" w:cstheme="majorBidi"/>
        </w:rPr>
        <w:t>ī</w:t>
      </w:r>
      <w:r w:rsidRPr="00406F37">
        <w:rPr>
          <w:rFonts w:asciiTheme="majorBidi" w:hAnsiTheme="majorBidi" w:cstheme="majorBidi"/>
          <w:color w:val="000000"/>
        </w:rPr>
        <w:t xml:space="preserve">, Abu Bakar Ahmad bin Al-Husein bin Ali, </w:t>
      </w:r>
      <w:r w:rsidRPr="0082707B">
        <w:rPr>
          <w:rFonts w:asciiTheme="majorBidi" w:hAnsiTheme="majorBidi" w:cstheme="majorBidi"/>
          <w:i/>
          <w:iCs/>
          <w:color w:val="000000"/>
        </w:rPr>
        <w:t>Al-Sunan Al-Kubr</w:t>
      </w:r>
      <w:r w:rsidRPr="0082707B">
        <w:rPr>
          <w:rFonts w:asciiTheme="majorBidi" w:hAnsiTheme="majorBidi" w:cstheme="majorBidi"/>
          <w:i/>
          <w:iCs/>
        </w:rPr>
        <w:t>ā</w:t>
      </w:r>
      <w:r w:rsidRPr="0082707B">
        <w:rPr>
          <w:rFonts w:asciiTheme="majorBidi" w:hAnsiTheme="majorBidi" w:cstheme="majorBidi"/>
          <w:color w:val="000000"/>
        </w:rPr>
        <w:t>,</w:t>
      </w:r>
      <w:r w:rsidRPr="00406F37">
        <w:rPr>
          <w:rFonts w:asciiTheme="majorBidi" w:hAnsiTheme="majorBidi" w:cstheme="majorBidi"/>
          <w:color w:val="000000"/>
        </w:rPr>
        <w:t>, ( India: Majelis Daerah al-Ma’arif al-Nizhamiyah, 1344 H)</w:t>
      </w:r>
    </w:p>
    <w:p w:rsidR="00343B61" w:rsidRPr="00406F37" w:rsidRDefault="00343B61" w:rsidP="00343B61">
      <w:pPr>
        <w:ind w:left="810" w:hanging="810"/>
        <w:jc w:val="both"/>
        <w:rPr>
          <w:rFonts w:asciiTheme="majorBidi" w:hAnsiTheme="majorBidi" w:cstheme="majorBidi"/>
          <w:color w:val="000000"/>
        </w:rPr>
      </w:pP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color w:val="000000"/>
          <w:lang w:val="fi-FI"/>
        </w:rPr>
      </w:pPr>
      <w:r w:rsidRPr="00406F37">
        <w:rPr>
          <w:rFonts w:asciiTheme="majorBidi" w:eastAsiaTheme="minorHAnsi" w:hAnsiTheme="majorBidi" w:cstheme="majorBidi"/>
          <w:color w:val="000000"/>
          <w:lang w:val="fi-FI"/>
        </w:rPr>
        <w:t>Al-Baihaq</w:t>
      </w:r>
      <w:r w:rsidRPr="0082707B">
        <w:rPr>
          <w:rFonts w:asciiTheme="majorBidi" w:hAnsiTheme="majorBidi" w:cstheme="majorBidi"/>
        </w:rPr>
        <w:t>ī</w:t>
      </w:r>
      <w:r w:rsidRPr="00406F37">
        <w:rPr>
          <w:rFonts w:asciiTheme="majorBidi" w:eastAsiaTheme="minorHAnsi" w:hAnsiTheme="majorBidi" w:cstheme="majorBidi"/>
          <w:color w:val="000000"/>
          <w:lang w:val="fi-FI"/>
        </w:rPr>
        <w:t xml:space="preserve">, Abu Bakar Ahmad bin al-Husein, </w:t>
      </w:r>
      <w:r w:rsidRPr="00406F37">
        <w:rPr>
          <w:rFonts w:asciiTheme="majorBidi" w:eastAsiaTheme="minorHAnsi" w:hAnsiTheme="majorBidi" w:cstheme="majorBidi"/>
          <w:i/>
          <w:iCs/>
          <w:color w:val="000000"/>
          <w:lang w:val="fi-FI"/>
        </w:rPr>
        <w:t>Syu’b al-Im</w:t>
      </w:r>
      <w:r w:rsidRPr="00406F37">
        <w:rPr>
          <w:rFonts w:asciiTheme="majorBidi" w:eastAsiaTheme="minorHAnsi" w:hAnsiTheme="majorBidi" w:cstheme="majorBidi"/>
          <w:i/>
          <w:iCs/>
          <w:color w:val="000000"/>
        </w:rPr>
        <w:t>ā</w:t>
      </w:r>
      <w:r w:rsidRPr="00406F37">
        <w:rPr>
          <w:rFonts w:asciiTheme="majorBidi" w:eastAsiaTheme="minorHAnsi" w:hAnsiTheme="majorBidi" w:cstheme="majorBidi"/>
          <w:i/>
          <w:iCs/>
          <w:color w:val="000000"/>
          <w:lang w:val="fi-FI"/>
        </w:rPr>
        <w:t>n</w:t>
      </w:r>
      <w:r w:rsidRPr="00406F37">
        <w:rPr>
          <w:rFonts w:asciiTheme="majorBidi" w:eastAsiaTheme="minorHAnsi" w:hAnsiTheme="majorBidi" w:cstheme="majorBidi"/>
          <w:color w:val="000000"/>
          <w:lang w:val="fi-FI"/>
        </w:rPr>
        <w:t>, ( Bairut: Dar al-Kutub al ‘ilmiyah, 1410)</w:t>
      </w: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color w:val="000000"/>
          <w:lang w:val="fi-FI"/>
        </w:rPr>
      </w:pPr>
    </w:p>
    <w:p w:rsidR="00343B61" w:rsidRPr="004728E0" w:rsidRDefault="00343B61" w:rsidP="00343B61">
      <w:pPr>
        <w:autoSpaceDE w:val="0"/>
        <w:autoSpaceDN w:val="0"/>
        <w:adjustRightInd w:val="0"/>
        <w:ind w:left="810" w:hanging="810"/>
        <w:jc w:val="both"/>
        <w:rPr>
          <w:rFonts w:asciiTheme="majorBidi" w:hAnsiTheme="majorBidi" w:cstheme="majorBidi"/>
          <w:i/>
          <w:iCs/>
          <w:color w:val="000000"/>
          <w:lang w:val="fi-FI"/>
        </w:rPr>
      </w:pPr>
      <w:r w:rsidRPr="004728E0">
        <w:rPr>
          <w:rFonts w:asciiTheme="majorBidi" w:hAnsiTheme="majorBidi" w:cstheme="majorBidi"/>
          <w:lang w:val="fi-FI"/>
        </w:rPr>
        <w:t xml:space="preserve">Al-Bakistanī, Zakariya bin Ghulam Qadir, </w:t>
      </w:r>
      <w:r w:rsidRPr="004728E0">
        <w:rPr>
          <w:rFonts w:asciiTheme="majorBidi" w:hAnsiTheme="majorBidi" w:cstheme="majorBidi"/>
          <w:i/>
          <w:iCs/>
          <w:color w:val="000000"/>
          <w:lang w:val="fi-FI"/>
        </w:rPr>
        <w:t>Ush</w:t>
      </w:r>
      <w:r w:rsidRPr="004728E0">
        <w:rPr>
          <w:rFonts w:asciiTheme="majorBidi" w:hAnsiTheme="majorBidi" w:cstheme="majorBidi"/>
          <w:i/>
          <w:iCs/>
          <w:lang w:val="fi-FI"/>
        </w:rPr>
        <w:t>ū</w:t>
      </w:r>
      <w:r w:rsidRPr="004728E0">
        <w:rPr>
          <w:rFonts w:asciiTheme="majorBidi" w:hAnsiTheme="majorBidi" w:cstheme="majorBidi"/>
          <w:i/>
          <w:iCs/>
          <w:color w:val="000000"/>
          <w:lang w:val="fi-FI"/>
        </w:rPr>
        <w:t>l al-Fiqh ‘Ala Manhaj Ahl al-Had</w:t>
      </w:r>
      <w:r w:rsidRPr="004728E0">
        <w:rPr>
          <w:rFonts w:asciiTheme="majorBidi" w:hAnsiTheme="majorBidi" w:cstheme="majorBidi"/>
          <w:i/>
          <w:iCs/>
          <w:lang w:val="fi-FI"/>
        </w:rPr>
        <w:t>ī</w:t>
      </w:r>
      <w:r w:rsidRPr="004728E0">
        <w:rPr>
          <w:rFonts w:asciiTheme="majorBidi" w:hAnsiTheme="majorBidi" w:cstheme="majorBidi"/>
          <w:i/>
          <w:iCs/>
          <w:color w:val="000000"/>
          <w:lang w:val="fi-FI"/>
        </w:rPr>
        <w:t>s</w:t>
      </w:r>
      <w:r w:rsidRPr="004728E0">
        <w:rPr>
          <w:rFonts w:asciiTheme="majorBidi" w:hAnsiTheme="majorBidi" w:cstheme="majorBidi"/>
          <w:lang w:val="fi-FI"/>
        </w:rPr>
        <w:t>, ( Islamabad: Dar al-Kharraz, 2002)</w:t>
      </w:r>
    </w:p>
    <w:p w:rsidR="00343B61" w:rsidRPr="004728E0" w:rsidRDefault="00343B61" w:rsidP="00343B61">
      <w:pPr>
        <w:pStyle w:val="FootnoteText"/>
        <w:spacing w:line="276" w:lineRule="auto"/>
        <w:ind w:left="810" w:hanging="810"/>
        <w:jc w:val="both"/>
        <w:rPr>
          <w:rFonts w:asciiTheme="majorBidi" w:hAnsiTheme="majorBidi" w:cstheme="majorBidi"/>
          <w:sz w:val="24"/>
          <w:szCs w:val="24"/>
          <w:lang w:val="fi-FI"/>
        </w:rPr>
      </w:pPr>
    </w:p>
    <w:p w:rsidR="00343B61" w:rsidRPr="009E471E" w:rsidRDefault="00343B61" w:rsidP="00343B61">
      <w:pPr>
        <w:ind w:left="810" w:hanging="810"/>
        <w:jc w:val="both"/>
        <w:rPr>
          <w:rFonts w:asciiTheme="majorBidi" w:hAnsiTheme="majorBidi" w:cstheme="majorBidi"/>
          <w:i/>
          <w:iCs/>
        </w:rPr>
      </w:pPr>
      <w:r w:rsidRPr="00406F37">
        <w:rPr>
          <w:rFonts w:asciiTheme="majorBidi" w:hAnsiTheme="majorBidi" w:cstheme="majorBidi"/>
        </w:rPr>
        <w:t>Al-Bikr</w:t>
      </w:r>
      <w:r w:rsidRPr="004728E0">
        <w:rPr>
          <w:rFonts w:asciiTheme="majorBidi" w:hAnsiTheme="majorBidi" w:cstheme="majorBidi"/>
        </w:rPr>
        <w:t>ī</w:t>
      </w:r>
      <w:r w:rsidRPr="00406F37">
        <w:rPr>
          <w:rFonts w:asciiTheme="majorBidi" w:hAnsiTheme="majorBidi" w:cstheme="majorBidi"/>
        </w:rPr>
        <w:t xml:space="preserve">, Sayyid Abi Bakar Al-Manshur bi al-Sayyid, </w:t>
      </w:r>
      <w:r w:rsidRPr="00C73CD4">
        <w:rPr>
          <w:rFonts w:asciiTheme="majorBidi" w:hAnsiTheme="majorBidi" w:cstheme="majorBidi"/>
          <w:i/>
          <w:iCs/>
        </w:rPr>
        <w:t>I</w:t>
      </w:r>
      <w:r w:rsidRPr="004728E0">
        <w:rPr>
          <w:rFonts w:asciiTheme="majorBidi" w:hAnsiTheme="majorBidi" w:cstheme="majorBidi"/>
          <w:i/>
          <w:iCs/>
        </w:rPr>
        <w:t xml:space="preserve"> </w:t>
      </w:r>
      <w:r w:rsidRPr="00784DB4">
        <w:rPr>
          <w:rFonts w:asciiTheme="majorBidi" w:hAnsiTheme="majorBidi" w:cstheme="majorBidi"/>
          <w:i/>
          <w:iCs/>
        </w:rPr>
        <w:t>I‘ānatu al-Thālibīn</w:t>
      </w:r>
      <w:r w:rsidRPr="009E471E">
        <w:rPr>
          <w:rFonts w:asciiTheme="majorBidi" w:hAnsiTheme="majorBidi" w:cstheme="majorBidi"/>
        </w:rPr>
        <w:t xml:space="preserve">, (Bairut: Dar al-Fikr, 1993). </w:t>
      </w:r>
    </w:p>
    <w:p w:rsidR="00343B61" w:rsidRPr="00406F37" w:rsidRDefault="00343B61" w:rsidP="00343B61">
      <w:pPr>
        <w:pStyle w:val="ListParagraph"/>
        <w:spacing w:after="0"/>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82707B">
        <w:rPr>
          <w:rFonts w:asciiTheme="majorBidi" w:hAnsiTheme="majorBidi" w:cstheme="majorBidi"/>
          <w:sz w:val="24"/>
          <w:szCs w:val="24"/>
        </w:rPr>
        <w:t>Al-Bukhār</w:t>
      </w:r>
      <w:r w:rsidRPr="004728E0">
        <w:rPr>
          <w:rFonts w:asciiTheme="majorBidi" w:hAnsiTheme="majorBidi" w:cstheme="majorBidi"/>
          <w:sz w:val="24"/>
          <w:szCs w:val="24"/>
        </w:rPr>
        <w:t>ī</w:t>
      </w:r>
      <w:r w:rsidRPr="00406F37">
        <w:rPr>
          <w:rFonts w:asciiTheme="majorBidi" w:hAnsiTheme="majorBidi" w:cstheme="majorBidi"/>
          <w:sz w:val="24"/>
          <w:szCs w:val="24"/>
        </w:rPr>
        <w:t>, Muhammad ibn Ismail</w:t>
      </w:r>
      <w:r w:rsidRPr="0082707B">
        <w:rPr>
          <w:rFonts w:asciiTheme="majorBidi" w:hAnsiTheme="majorBidi" w:cstheme="majorBidi"/>
          <w:i/>
          <w:iCs/>
          <w:sz w:val="24"/>
          <w:szCs w:val="24"/>
        </w:rPr>
        <w:t>, Al-Jāmi</w:t>
      </w:r>
      <w:r w:rsidRPr="0082707B">
        <w:rPr>
          <w:sz w:val="24"/>
          <w:szCs w:val="24"/>
        </w:rPr>
        <w:t>‘</w:t>
      </w:r>
      <w:r w:rsidRPr="0082707B">
        <w:rPr>
          <w:rFonts w:asciiTheme="majorBidi" w:hAnsiTheme="majorBidi" w:cstheme="majorBidi"/>
          <w:i/>
          <w:iCs/>
          <w:sz w:val="24"/>
          <w:szCs w:val="24"/>
        </w:rPr>
        <w:t>Al-Musnad Al-Shohīh</w:t>
      </w:r>
      <w:r w:rsidRPr="00406F37">
        <w:rPr>
          <w:rFonts w:asciiTheme="majorBidi" w:hAnsiTheme="majorBidi" w:cstheme="majorBidi"/>
          <w:sz w:val="24"/>
          <w:szCs w:val="24"/>
        </w:rPr>
        <w:t xml:space="preserve">, ( Bairut: Dar Al-Thuq Al-Najah, cet, I, 1422 ), </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r w:rsidRPr="00406F37">
        <w:rPr>
          <w:rFonts w:asciiTheme="majorBidi" w:hAnsiTheme="majorBidi" w:cstheme="majorBidi"/>
          <w:sz w:val="24"/>
          <w:szCs w:val="24"/>
          <w:lang w:val="sv-SE"/>
        </w:rPr>
        <w:t>Al-Burn</w:t>
      </w:r>
      <w:r w:rsidRPr="004728E0">
        <w:rPr>
          <w:rFonts w:asciiTheme="majorBidi" w:hAnsiTheme="majorBidi" w:cstheme="majorBidi"/>
          <w:sz w:val="24"/>
          <w:szCs w:val="24"/>
        </w:rPr>
        <w:t>ū</w:t>
      </w:r>
      <w:r w:rsidRPr="00406F37">
        <w:rPr>
          <w:rFonts w:asciiTheme="majorBidi" w:hAnsiTheme="majorBidi" w:cstheme="majorBidi"/>
          <w:sz w:val="24"/>
          <w:szCs w:val="24"/>
          <w:lang w:val="sv-SE"/>
        </w:rPr>
        <w:t xml:space="preserve">, </w:t>
      </w:r>
      <w:r w:rsidRPr="00406F37">
        <w:rPr>
          <w:rFonts w:asciiTheme="majorBidi" w:hAnsiTheme="majorBidi" w:cstheme="majorBidi"/>
          <w:i/>
          <w:iCs/>
          <w:sz w:val="24"/>
          <w:szCs w:val="24"/>
          <w:lang w:val="sv-SE"/>
        </w:rPr>
        <w:t>al-Wajīz fī Īdlāh al-Qawā‘id al-Fiqhiyyah</w:t>
      </w:r>
      <w:r w:rsidRPr="00406F37">
        <w:rPr>
          <w:rFonts w:asciiTheme="majorBidi" w:hAnsiTheme="majorBidi" w:cstheme="majorBidi"/>
          <w:sz w:val="24"/>
          <w:szCs w:val="24"/>
          <w:lang w:val="sv-SE"/>
        </w:rPr>
        <w:t>, (Beirūt: Muassasah al-Risālah, 1983)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Default="00343B61" w:rsidP="00343B61">
      <w:pPr>
        <w:autoSpaceDE w:val="0"/>
        <w:autoSpaceDN w:val="0"/>
        <w:adjustRightInd w:val="0"/>
        <w:ind w:left="810" w:hanging="810"/>
        <w:jc w:val="both"/>
        <w:rPr>
          <w:rFonts w:asciiTheme="majorBidi" w:hAnsiTheme="majorBidi" w:cstheme="majorBidi"/>
          <w:lang w:val="sv-SE"/>
        </w:rPr>
      </w:pPr>
      <w:r w:rsidRPr="00406F37">
        <w:rPr>
          <w:rFonts w:asciiTheme="majorBidi" w:hAnsiTheme="majorBidi" w:cstheme="majorBidi"/>
          <w:lang w:val="sv-SE"/>
        </w:rPr>
        <w:t>Al-B</w:t>
      </w:r>
      <w:r w:rsidRPr="004728E0">
        <w:rPr>
          <w:rFonts w:asciiTheme="majorBidi" w:hAnsiTheme="majorBidi" w:cstheme="majorBidi"/>
          <w:lang w:val="sv-SE"/>
        </w:rPr>
        <w:t>ū</w:t>
      </w:r>
      <w:r w:rsidRPr="00406F37">
        <w:rPr>
          <w:rFonts w:asciiTheme="majorBidi" w:hAnsiTheme="majorBidi" w:cstheme="majorBidi"/>
          <w:lang w:val="sv-SE"/>
        </w:rPr>
        <w:t>th</w:t>
      </w:r>
      <w:r w:rsidRPr="004728E0">
        <w:rPr>
          <w:rFonts w:asciiTheme="majorBidi" w:hAnsiTheme="majorBidi" w:cstheme="majorBidi"/>
          <w:lang w:val="sv-SE"/>
        </w:rPr>
        <w:t>ī</w:t>
      </w:r>
      <w:r w:rsidRPr="00406F37">
        <w:rPr>
          <w:rFonts w:asciiTheme="majorBidi" w:hAnsiTheme="majorBidi" w:cstheme="majorBidi"/>
          <w:lang w:val="sv-SE"/>
        </w:rPr>
        <w:t xml:space="preserve">, Muhammad Sai’d Ramdhan, </w:t>
      </w:r>
      <w:r w:rsidRPr="00406F37">
        <w:rPr>
          <w:rFonts w:asciiTheme="majorBidi" w:hAnsiTheme="majorBidi" w:cstheme="majorBidi"/>
          <w:i/>
          <w:iCs/>
          <w:lang w:val="sv-SE"/>
        </w:rPr>
        <w:t>Dhā</w:t>
      </w:r>
      <w:r>
        <w:rPr>
          <w:rFonts w:asciiTheme="majorBidi" w:hAnsiTheme="majorBidi" w:cstheme="majorBidi"/>
          <w:i/>
          <w:iCs/>
          <w:lang w:val="sv-SE"/>
        </w:rPr>
        <w:t>wābit al-</w:t>
      </w:r>
      <w:r w:rsidRPr="004728E0">
        <w:rPr>
          <w:rFonts w:asciiTheme="majorBidi" w:hAnsiTheme="majorBidi" w:cstheme="majorBidi"/>
          <w:i/>
          <w:iCs/>
          <w:lang w:val="sv-SE"/>
        </w:rPr>
        <w:t>Ma</w:t>
      </w:r>
      <w:r w:rsidRPr="004728E0">
        <w:rPr>
          <w:rFonts w:asciiTheme="majorBidi" w:hAnsiTheme="majorBidi" w:cstheme="majorBidi"/>
          <w:i/>
          <w:iCs/>
          <w:color w:val="222222"/>
          <w:lang w:val="sv-SE"/>
        </w:rPr>
        <w:t>ṣ</w:t>
      </w:r>
      <w:r w:rsidRPr="004728E0">
        <w:rPr>
          <w:rFonts w:asciiTheme="majorBidi" w:hAnsiTheme="majorBidi" w:cstheme="majorBidi"/>
          <w:i/>
          <w:iCs/>
          <w:lang w:val="sv-SE"/>
        </w:rPr>
        <w:t>la</w:t>
      </w:r>
      <w:r w:rsidRPr="004728E0">
        <w:rPr>
          <w:rFonts w:asciiTheme="majorBidi" w:hAnsiTheme="majorBidi" w:cstheme="majorBidi"/>
          <w:i/>
          <w:iCs/>
          <w:u w:val="single"/>
          <w:lang w:val="sv-SE"/>
        </w:rPr>
        <w:t>h</w:t>
      </w:r>
      <w:r w:rsidRPr="004728E0">
        <w:rPr>
          <w:rFonts w:asciiTheme="majorBidi" w:hAnsiTheme="majorBidi" w:cstheme="majorBidi"/>
          <w:i/>
          <w:iCs/>
          <w:lang w:val="sv-SE"/>
        </w:rPr>
        <w:t>ah</w:t>
      </w:r>
      <w:r w:rsidRPr="00406F37">
        <w:rPr>
          <w:rFonts w:asciiTheme="majorBidi" w:hAnsiTheme="majorBidi" w:cstheme="majorBidi"/>
          <w:i/>
          <w:iCs/>
          <w:lang w:val="sv-SE"/>
        </w:rPr>
        <w:t xml:space="preserve"> Fi al-Syarĭ’ah al-Islāmiyah</w:t>
      </w:r>
      <w:r w:rsidRPr="00406F37">
        <w:rPr>
          <w:rFonts w:asciiTheme="majorBidi" w:hAnsiTheme="majorBidi" w:cstheme="majorBidi"/>
          <w:lang w:val="sv-SE"/>
        </w:rPr>
        <w:t>, (Damaskus: Maktabah al-Amawiyah, 1985)</w:t>
      </w: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p>
    <w:p w:rsidR="00343B61" w:rsidRPr="004B538D" w:rsidRDefault="00343B61" w:rsidP="00343B61">
      <w:pPr>
        <w:pStyle w:val="ListParagraph"/>
        <w:ind w:left="810" w:hanging="810"/>
        <w:rPr>
          <w:rFonts w:asciiTheme="majorBidi" w:hAnsiTheme="majorBidi" w:cstheme="majorBidi"/>
          <w:i/>
          <w:iCs/>
          <w:sz w:val="24"/>
          <w:szCs w:val="24"/>
        </w:rPr>
      </w:pPr>
      <w:r w:rsidRPr="009E471E">
        <w:rPr>
          <w:rFonts w:asciiTheme="majorBidi" w:hAnsiTheme="majorBidi" w:cstheme="majorBidi"/>
          <w:sz w:val="24"/>
          <w:szCs w:val="24"/>
        </w:rPr>
        <w:t>Al-B</w:t>
      </w:r>
      <w:r w:rsidRPr="004728E0">
        <w:rPr>
          <w:rFonts w:asciiTheme="majorBidi" w:hAnsiTheme="majorBidi" w:cstheme="majorBidi"/>
          <w:sz w:val="24"/>
          <w:szCs w:val="24"/>
          <w:lang w:val="sv-SE"/>
        </w:rPr>
        <w:t>ū</w:t>
      </w:r>
      <w:r w:rsidRPr="009E471E">
        <w:rPr>
          <w:rFonts w:asciiTheme="majorBidi" w:hAnsiTheme="majorBidi" w:cstheme="majorBidi"/>
          <w:sz w:val="24"/>
          <w:szCs w:val="24"/>
        </w:rPr>
        <w:t>th</w:t>
      </w:r>
      <w:r w:rsidRPr="004B538D">
        <w:rPr>
          <w:rFonts w:asciiTheme="majorBidi" w:hAnsiTheme="majorBidi" w:cstheme="majorBidi"/>
          <w:sz w:val="24"/>
          <w:szCs w:val="24"/>
        </w:rPr>
        <w:t>ī</w:t>
      </w:r>
      <w:r w:rsidRPr="009E471E">
        <w:rPr>
          <w:rFonts w:asciiTheme="majorBidi" w:hAnsiTheme="majorBidi" w:cstheme="majorBidi"/>
          <w:sz w:val="24"/>
          <w:szCs w:val="24"/>
        </w:rPr>
        <w:t xml:space="preserve">, Muhammad Said Ramadhan, </w:t>
      </w:r>
      <w:r w:rsidRPr="009E471E">
        <w:rPr>
          <w:rFonts w:asciiTheme="majorBidi" w:hAnsiTheme="majorBidi" w:cstheme="majorBidi"/>
          <w:i/>
          <w:iCs/>
          <w:sz w:val="24"/>
          <w:szCs w:val="24"/>
        </w:rPr>
        <w:t xml:space="preserve">Min Rawa’i </w:t>
      </w:r>
      <w:r w:rsidRPr="009E471E">
        <w:rPr>
          <w:rFonts w:asciiTheme="majorBidi" w:hAnsiTheme="majorBidi" w:cstheme="majorBidi"/>
          <w:sz w:val="24"/>
          <w:szCs w:val="24"/>
        </w:rPr>
        <w:t>Al-Qur’ān, ( ttp: Maktabah al-Farabi, l977)</w:t>
      </w: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Al-Darim</w:t>
      </w:r>
      <w:r w:rsidRPr="0082707B">
        <w:rPr>
          <w:rFonts w:asciiTheme="majorBidi" w:hAnsiTheme="majorBidi" w:cstheme="majorBidi"/>
        </w:rPr>
        <w:t>ī</w:t>
      </w:r>
      <w:r w:rsidRPr="00406F37">
        <w:rPr>
          <w:rFonts w:asciiTheme="majorBidi" w:hAnsiTheme="majorBidi" w:cstheme="majorBidi"/>
        </w:rPr>
        <w:t xml:space="preserve">, Abi Muhammad Abdullah Ibn Abdurrahman, </w:t>
      </w:r>
      <w:r w:rsidRPr="0082707B">
        <w:rPr>
          <w:rFonts w:asciiTheme="majorBidi" w:hAnsiTheme="majorBidi" w:cstheme="majorBidi"/>
          <w:i/>
          <w:iCs/>
        </w:rPr>
        <w:t>Musnad al-Dārimī al-Ma’rūf Bi Sunan al-Dārimī</w:t>
      </w:r>
      <w:r w:rsidRPr="00406F37">
        <w:rPr>
          <w:rFonts w:asciiTheme="majorBidi" w:hAnsiTheme="majorBidi" w:cstheme="majorBidi"/>
        </w:rPr>
        <w:t>, ( t.t: Dar al-Mughni, t.t.h)</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Al-Daruquthun</w:t>
      </w:r>
      <w:r w:rsidRPr="004B538D">
        <w:rPr>
          <w:rFonts w:asciiTheme="majorBidi" w:hAnsiTheme="majorBidi" w:cstheme="majorBidi"/>
        </w:rPr>
        <w:t>ī</w:t>
      </w:r>
      <w:r w:rsidRPr="00406F37">
        <w:rPr>
          <w:rFonts w:asciiTheme="majorBidi" w:hAnsiTheme="majorBidi" w:cstheme="majorBidi"/>
        </w:rPr>
        <w:t xml:space="preserve">, Ali bin Umar Abu al-Husein, </w:t>
      </w:r>
      <w:r w:rsidRPr="00406F37">
        <w:rPr>
          <w:rFonts w:asciiTheme="majorBidi" w:hAnsiTheme="majorBidi" w:cstheme="majorBidi"/>
          <w:i/>
          <w:iCs/>
        </w:rPr>
        <w:t>Sunan al-D</w:t>
      </w:r>
      <w:r w:rsidRPr="0082707B">
        <w:rPr>
          <w:rFonts w:asciiTheme="majorBidi" w:hAnsiTheme="majorBidi" w:cstheme="majorBidi"/>
          <w:i/>
          <w:iCs/>
        </w:rPr>
        <w:t>ā</w:t>
      </w:r>
      <w:r w:rsidRPr="00406F37">
        <w:rPr>
          <w:rFonts w:asciiTheme="majorBidi" w:hAnsiTheme="majorBidi" w:cstheme="majorBidi"/>
          <w:i/>
          <w:iCs/>
        </w:rPr>
        <w:t>ruquthun</w:t>
      </w:r>
      <w:r w:rsidRPr="0082707B">
        <w:rPr>
          <w:rFonts w:asciiTheme="majorBidi" w:hAnsiTheme="majorBidi" w:cstheme="majorBidi"/>
          <w:i/>
          <w:iCs/>
        </w:rPr>
        <w:t>ī</w:t>
      </w:r>
      <w:r w:rsidRPr="00406F37">
        <w:rPr>
          <w:rFonts w:asciiTheme="majorBidi" w:hAnsiTheme="majorBidi" w:cstheme="majorBidi"/>
        </w:rPr>
        <w:t>, ( Bairut: Dar al-Ma’rifah, 1966)</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ListParagraph"/>
        <w:ind w:left="810" w:hanging="810"/>
        <w:jc w:val="both"/>
        <w:rPr>
          <w:rFonts w:asciiTheme="majorBidi" w:hAnsiTheme="majorBidi" w:cstheme="majorBidi"/>
          <w:sz w:val="24"/>
          <w:szCs w:val="24"/>
        </w:rPr>
      </w:pPr>
      <w:r w:rsidRPr="00406F37">
        <w:rPr>
          <w:rFonts w:asciiTheme="majorBidi" w:hAnsiTheme="majorBidi" w:cstheme="majorBidi"/>
          <w:sz w:val="24"/>
          <w:szCs w:val="24"/>
        </w:rPr>
        <w:t>Al-Farūq</w:t>
      </w:r>
      <w:r w:rsidRPr="004B538D">
        <w:rPr>
          <w:rFonts w:asciiTheme="majorBidi" w:hAnsiTheme="majorBidi" w:cstheme="majorBidi"/>
          <w:sz w:val="24"/>
          <w:szCs w:val="24"/>
        </w:rPr>
        <w:t>ī</w:t>
      </w:r>
      <w:r w:rsidRPr="00406F37">
        <w:rPr>
          <w:rFonts w:asciiTheme="majorBidi" w:hAnsiTheme="majorBidi" w:cstheme="majorBidi"/>
          <w:sz w:val="24"/>
          <w:szCs w:val="24"/>
        </w:rPr>
        <w:t xml:space="preserve">, Haris Sulaiman, </w:t>
      </w:r>
      <w:r w:rsidRPr="00406F37">
        <w:rPr>
          <w:rFonts w:asciiTheme="majorBidi" w:hAnsiTheme="majorBidi" w:cstheme="majorBidi"/>
          <w:i/>
          <w:iCs/>
          <w:sz w:val="24"/>
          <w:szCs w:val="24"/>
        </w:rPr>
        <w:t>Al-Mu’jam al-Qanūni</w:t>
      </w:r>
      <w:r w:rsidRPr="00406F37">
        <w:rPr>
          <w:rFonts w:asciiTheme="majorBidi" w:hAnsiTheme="majorBidi" w:cstheme="majorBidi"/>
          <w:sz w:val="24"/>
          <w:szCs w:val="24"/>
        </w:rPr>
        <w:t>,</w:t>
      </w:r>
      <w:r>
        <w:rPr>
          <w:rFonts w:asciiTheme="majorBidi" w:hAnsiTheme="majorBidi" w:cstheme="majorBidi"/>
          <w:sz w:val="24"/>
          <w:szCs w:val="24"/>
        </w:rPr>
        <w:t xml:space="preserve"> (</w:t>
      </w:r>
      <w:r w:rsidRPr="00406F37">
        <w:rPr>
          <w:rFonts w:asciiTheme="majorBidi" w:hAnsiTheme="majorBidi" w:cstheme="majorBidi"/>
          <w:sz w:val="24"/>
          <w:szCs w:val="24"/>
        </w:rPr>
        <w:t>Bairut: Maktabah Libanon,1983)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Al-Fas</w:t>
      </w:r>
      <w:r w:rsidRPr="004B538D">
        <w:rPr>
          <w:rFonts w:asciiTheme="majorBidi" w:hAnsiTheme="majorBidi" w:cstheme="majorBidi"/>
          <w:sz w:val="24"/>
          <w:szCs w:val="24"/>
        </w:rPr>
        <w:t>ī</w:t>
      </w:r>
      <w:r w:rsidRPr="00406F37">
        <w:rPr>
          <w:rFonts w:asciiTheme="majorBidi" w:hAnsiTheme="majorBidi" w:cstheme="majorBidi"/>
          <w:sz w:val="24"/>
          <w:szCs w:val="24"/>
        </w:rPr>
        <w:t xml:space="preserve">, Ahmad bin Muhammad Bin Al-Mahdi Al-Hasani, </w:t>
      </w:r>
      <w:r w:rsidRPr="00406F37">
        <w:rPr>
          <w:rFonts w:asciiTheme="majorBidi" w:hAnsiTheme="majorBidi" w:cstheme="majorBidi"/>
          <w:i/>
          <w:iCs/>
          <w:sz w:val="24"/>
          <w:szCs w:val="24"/>
        </w:rPr>
        <w:t>Al-Bahr Al-Mad</w:t>
      </w:r>
      <w:r w:rsidRPr="000D2F90">
        <w:rPr>
          <w:rFonts w:asciiTheme="majorBidi" w:hAnsiTheme="majorBidi" w:cstheme="majorBidi"/>
          <w:i/>
          <w:iCs/>
          <w:sz w:val="24"/>
          <w:szCs w:val="24"/>
        </w:rPr>
        <w:t>ī</w:t>
      </w:r>
      <w:r w:rsidRPr="00406F37">
        <w:rPr>
          <w:rFonts w:asciiTheme="majorBidi" w:hAnsiTheme="majorBidi" w:cstheme="majorBidi"/>
          <w:i/>
          <w:iCs/>
          <w:sz w:val="24"/>
          <w:szCs w:val="24"/>
        </w:rPr>
        <w:t>d</w:t>
      </w:r>
      <w:r w:rsidRPr="00406F37">
        <w:rPr>
          <w:rFonts w:asciiTheme="majorBidi" w:hAnsiTheme="majorBidi" w:cstheme="majorBidi"/>
          <w:sz w:val="24"/>
          <w:szCs w:val="24"/>
        </w:rPr>
        <w:t>,      ( Bairut: Dar Al-Kutub Al-Ilmiyah, 2002 M/ 1423 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Al-Fayum</w:t>
      </w:r>
      <w:r w:rsidRPr="004B538D">
        <w:rPr>
          <w:rFonts w:asciiTheme="majorBidi" w:hAnsiTheme="majorBidi" w:cstheme="majorBidi"/>
          <w:sz w:val="24"/>
          <w:szCs w:val="24"/>
        </w:rPr>
        <w:t>ī</w:t>
      </w:r>
      <w:r w:rsidRPr="00406F37">
        <w:rPr>
          <w:rFonts w:asciiTheme="majorBidi" w:hAnsiTheme="majorBidi" w:cstheme="majorBidi"/>
          <w:sz w:val="24"/>
          <w:szCs w:val="24"/>
        </w:rPr>
        <w:t xml:space="preserve">, </w:t>
      </w:r>
      <w:r w:rsidRPr="00406F37">
        <w:rPr>
          <w:rFonts w:asciiTheme="majorBidi" w:hAnsiTheme="majorBidi" w:cstheme="majorBidi"/>
          <w:i/>
          <w:iCs/>
          <w:sz w:val="24"/>
          <w:szCs w:val="24"/>
        </w:rPr>
        <w:t>Al-misbah al-Munir F</w:t>
      </w:r>
      <w:r w:rsidRPr="000D2F90">
        <w:rPr>
          <w:rFonts w:asciiTheme="majorBidi" w:hAnsiTheme="majorBidi" w:cstheme="majorBidi"/>
          <w:i/>
          <w:iCs/>
          <w:sz w:val="24"/>
          <w:szCs w:val="24"/>
        </w:rPr>
        <w:t>ī</w:t>
      </w:r>
      <w:r w:rsidRPr="00406F37">
        <w:rPr>
          <w:rFonts w:asciiTheme="majorBidi" w:hAnsiTheme="majorBidi" w:cstheme="majorBidi"/>
          <w:i/>
          <w:iCs/>
          <w:sz w:val="24"/>
          <w:szCs w:val="24"/>
        </w:rPr>
        <w:t xml:space="preserve"> Ghar</w:t>
      </w:r>
      <w:r w:rsidRPr="000D2F90">
        <w:rPr>
          <w:rFonts w:asciiTheme="majorBidi" w:hAnsiTheme="majorBidi" w:cstheme="majorBidi"/>
          <w:i/>
          <w:iCs/>
          <w:sz w:val="24"/>
          <w:szCs w:val="24"/>
        </w:rPr>
        <w:t>ī</w:t>
      </w:r>
      <w:r w:rsidRPr="00406F37">
        <w:rPr>
          <w:rFonts w:asciiTheme="majorBidi" w:hAnsiTheme="majorBidi" w:cstheme="majorBidi"/>
          <w:i/>
          <w:iCs/>
          <w:sz w:val="24"/>
          <w:szCs w:val="24"/>
        </w:rPr>
        <w:t>b al-Syarh al-Kab</w:t>
      </w:r>
      <w:r w:rsidRPr="000D2F90">
        <w:rPr>
          <w:rFonts w:asciiTheme="majorBidi" w:hAnsiTheme="majorBidi" w:cstheme="majorBidi"/>
          <w:i/>
          <w:iCs/>
          <w:sz w:val="24"/>
          <w:szCs w:val="24"/>
        </w:rPr>
        <w:t>ī</w:t>
      </w:r>
      <w:r w:rsidRPr="00406F37">
        <w:rPr>
          <w:rFonts w:asciiTheme="majorBidi" w:hAnsiTheme="majorBidi" w:cstheme="majorBidi"/>
          <w:i/>
          <w:iCs/>
          <w:sz w:val="24"/>
          <w:szCs w:val="24"/>
        </w:rPr>
        <w:t>r li al-Rafi’</w:t>
      </w:r>
      <w:r w:rsidRPr="000D2F90">
        <w:rPr>
          <w:rFonts w:asciiTheme="majorBidi" w:hAnsiTheme="majorBidi" w:cstheme="majorBidi"/>
          <w:i/>
          <w:iCs/>
          <w:sz w:val="24"/>
          <w:szCs w:val="24"/>
        </w:rPr>
        <w:t>ī</w:t>
      </w:r>
      <w:r w:rsidRPr="00406F37">
        <w:rPr>
          <w:rFonts w:asciiTheme="majorBidi" w:hAnsiTheme="majorBidi" w:cstheme="majorBidi"/>
          <w:sz w:val="24"/>
          <w:szCs w:val="24"/>
        </w:rPr>
        <w:t>, ( Cairo: Mathba’ah al-Amiriyah, 1965)</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Pr>
          <w:rFonts w:asciiTheme="majorBidi" w:hAnsiTheme="majorBidi" w:cstheme="majorBidi"/>
        </w:rPr>
        <w:t>Al-Gaza</w:t>
      </w:r>
      <w:r w:rsidRPr="00406F37">
        <w:rPr>
          <w:rFonts w:asciiTheme="majorBidi" w:hAnsiTheme="majorBidi" w:cstheme="majorBidi"/>
        </w:rPr>
        <w:t>l</w:t>
      </w:r>
      <w:r w:rsidRPr="004B538D">
        <w:rPr>
          <w:rFonts w:asciiTheme="majorBidi" w:hAnsiTheme="majorBidi" w:cstheme="majorBidi"/>
        </w:rPr>
        <w:t>ī</w:t>
      </w:r>
      <w:r>
        <w:rPr>
          <w:rFonts w:asciiTheme="majorBidi" w:hAnsiTheme="majorBidi" w:cstheme="majorBidi"/>
        </w:rPr>
        <w:t>, Abu Ha</w:t>
      </w:r>
      <w:r w:rsidRPr="00406F37">
        <w:rPr>
          <w:rFonts w:asciiTheme="majorBidi" w:hAnsiTheme="majorBidi" w:cstheme="majorBidi"/>
        </w:rPr>
        <w:t xml:space="preserve">mid Muhammad, </w:t>
      </w:r>
      <w:r w:rsidRPr="00406F37">
        <w:rPr>
          <w:rFonts w:asciiTheme="majorBidi" w:hAnsiTheme="majorBidi" w:cstheme="majorBidi"/>
          <w:i/>
          <w:iCs/>
        </w:rPr>
        <w:t>al-Mustasfa min ‘Ilm al-Usûl</w:t>
      </w:r>
      <w:r w:rsidRPr="00406F37">
        <w:rPr>
          <w:rFonts w:asciiTheme="majorBidi" w:hAnsiTheme="majorBidi" w:cstheme="majorBidi"/>
        </w:rPr>
        <w:t>, tahqîq wa ta‘lîq Muhammad Sulaimân al-Asyqar, (Beirut: Mu’assasat al-Risâlah, 1417 H/1997 M)</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r w:rsidRPr="00406F37">
        <w:rPr>
          <w:rFonts w:asciiTheme="majorBidi" w:hAnsiTheme="majorBidi" w:cstheme="majorBidi"/>
          <w:sz w:val="24"/>
          <w:szCs w:val="24"/>
          <w:lang w:val="it-IT"/>
        </w:rPr>
        <w:t>Al-Ghazal</w:t>
      </w:r>
      <w:r w:rsidRPr="004B538D">
        <w:rPr>
          <w:rFonts w:asciiTheme="majorBidi" w:hAnsiTheme="majorBidi" w:cstheme="majorBidi"/>
          <w:sz w:val="24"/>
          <w:szCs w:val="24"/>
        </w:rPr>
        <w:t>ī</w:t>
      </w:r>
      <w:r w:rsidRPr="00406F37">
        <w:rPr>
          <w:rFonts w:asciiTheme="majorBidi" w:hAnsiTheme="majorBidi" w:cstheme="majorBidi"/>
          <w:sz w:val="24"/>
          <w:szCs w:val="24"/>
          <w:lang w:val="it-IT"/>
        </w:rPr>
        <w:t xml:space="preserve">, Abu Hamil ibn Muhammad ibn Muhammad, </w:t>
      </w:r>
      <w:r w:rsidRPr="00406F37">
        <w:rPr>
          <w:rFonts w:asciiTheme="majorBidi" w:hAnsiTheme="majorBidi" w:cstheme="majorBidi"/>
          <w:i/>
          <w:iCs/>
          <w:sz w:val="24"/>
          <w:szCs w:val="24"/>
          <w:lang w:val="sv-SE"/>
        </w:rPr>
        <w:t>Syifa al-Ghal</w:t>
      </w:r>
      <w:r w:rsidRPr="000D2F90">
        <w:rPr>
          <w:rFonts w:asciiTheme="majorBidi" w:hAnsiTheme="majorBidi" w:cstheme="majorBidi"/>
          <w:i/>
          <w:iCs/>
          <w:sz w:val="24"/>
          <w:szCs w:val="24"/>
        </w:rPr>
        <w:t>ī</w:t>
      </w:r>
      <w:r w:rsidRPr="00406F37">
        <w:rPr>
          <w:rFonts w:asciiTheme="majorBidi" w:hAnsiTheme="majorBidi" w:cstheme="majorBidi"/>
          <w:i/>
          <w:iCs/>
          <w:sz w:val="24"/>
          <w:szCs w:val="24"/>
          <w:lang w:val="sv-SE"/>
        </w:rPr>
        <w:t>l fi Bayani al-Syibh wa al-Mukh</w:t>
      </w:r>
      <w:r w:rsidRPr="000D2F90">
        <w:rPr>
          <w:rFonts w:asciiTheme="majorBidi" w:hAnsiTheme="majorBidi" w:cstheme="majorBidi"/>
          <w:i/>
          <w:iCs/>
          <w:sz w:val="24"/>
          <w:szCs w:val="24"/>
        </w:rPr>
        <w:t>ī</w:t>
      </w:r>
      <w:r w:rsidRPr="00406F37">
        <w:rPr>
          <w:rFonts w:asciiTheme="majorBidi" w:hAnsiTheme="majorBidi" w:cstheme="majorBidi"/>
          <w:i/>
          <w:iCs/>
          <w:sz w:val="24"/>
          <w:szCs w:val="24"/>
          <w:lang w:val="sv-SE"/>
        </w:rPr>
        <w:t>l wa Masal</w:t>
      </w:r>
      <w:r w:rsidRPr="000D2F90">
        <w:rPr>
          <w:rFonts w:asciiTheme="majorBidi" w:hAnsiTheme="majorBidi" w:cstheme="majorBidi"/>
          <w:i/>
          <w:iCs/>
          <w:sz w:val="24"/>
          <w:szCs w:val="24"/>
        </w:rPr>
        <w:t>ī</w:t>
      </w:r>
      <w:r w:rsidRPr="00406F37">
        <w:rPr>
          <w:rFonts w:asciiTheme="majorBidi" w:hAnsiTheme="majorBidi" w:cstheme="majorBidi"/>
          <w:i/>
          <w:iCs/>
          <w:sz w:val="24"/>
          <w:szCs w:val="24"/>
          <w:lang w:val="sv-SE"/>
        </w:rPr>
        <w:t>k al-Ta’l</w:t>
      </w:r>
      <w:r w:rsidRPr="000D2F90">
        <w:rPr>
          <w:rFonts w:asciiTheme="majorBidi" w:hAnsiTheme="majorBidi" w:cstheme="majorBidi"/>
          <w:i/>
          <w:iCs/>
          <w:sz w:val="24"/>
          <w:szCs w:val="24"/>
        </w:rPr>
        <w:t>ī</w:t>
      </w:r>
      <w:r w:rsidRPr="00406F37">
        <w:rPr>
          <w:rFonts w:asciiTheme="majorBidi" w:hAnsiTheme="majorBidi" w:cstheme="majorBidi"/>
          <w:i/>
          <w:iCs/>
          <w:sz w:val="24"/>
          <w:szCs w:val="24"/>
          <w:lang w:val="sv-SE"/>
        </w:rPr>
        <w:t xml:space="preserve">l, </w:t>
      </w:r>
      <w:r w:rsidRPr="00406F37">
        <w:rPr>
          <w:rFonts w:asciiTheme="majorBidi" w:hAnsiTheme="majorBidi" w:cstheme="majorBidi"/>
          <w:sz w:val="24"/>
          <w:szCs w:val="24"/>
          <w:lang w:val="sv-SE"/>
        </w:rPr>
        <w:t>( Bagdad: Mathba’ah al-Irsyad, 1971)</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it-IT"/>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it-IT"/>
        </w:rPr>
      </w:pPr>
      <w:r w:rsidRPr="00406F37">
        <w:rPr>
          <w:rFonts w:asciiTheme="majorBidi" w:hAnsiTheme="majorBidi" w:cstheme="majorBidi"/>
          <w:sz w:val="24"/>
          <w:szCs w:val="24"/>
          <w:lang w:val="it-IT"/>
        </w:rPr>
        <w:t>Al-Hamaw</w:t>
      </w:r>
      <w:r w:rsidRPr="000D2F90">
        <w:rPr>
          <w:rFonts w:asciiTheme="majorBidi" w:hAnsiTheme="majorBidi" w:cstheme="majorBidi"/>
          <w:sz w:val="24"/>
          <w:szCs w:val="24"/>
          <w:lang w:val="it-IT"/>
        </w:rPr>
        <w:t>ī</w:t>
      </w:r>
      <w:r w:rsidRPr="00406F37">
        <w:rPr>
          <w:rFonts w:asciiTheme="majorBidi" w:hAnsiTheme="majorBidi" w:cstheme="majorBidi"/>
          <w:sz w:val="24"/>
          <w:szCs w:val="24"/>
          <w:lang w:val="it-IT"/>
        </w:rPr>
        <w:t xml:space="preserve">, ‘Ala al Din Mahmud Za’tari dan Gussan Muhammad Rusydi, </w:t>
      </w:r>
      <w:r w:rsidRPr="00406F37">
        <w:rPr>
          <w:rFonts w:asciiTheme="majorBidi" w:hAnsiTheme="majorBidi" w:cstheme="majorBidi"/>
          <w:i/>
          <w:iCs/>
          <w:sz w:val="24"/>
          <w:szCs w:val="24"/>
          <w:lang w:val="it-IT"/>
        </w:rPr>
        <w:t>Al-S</w:t>
      </w:r>
      <w:r w:rsidRPr="000D2F90">
        <w:rPr>
          <w:rFonts w:asciiTheme="majorBidi" w:hAnsiTheme="majorBidi" w:cstheme="majorBidi"/>
          <w:i/>
          <w:iCs/>
          <w:sz w:val="24"/>
          <w:szCs w:val="24"/>
          <w:lang w:val="it-IT"/>
        </w:rPr>
        <w:t>ī</w:t>
      </w:r>
      <w:r>
        <w:rPr>
          <w:rFonts w:asciiTheme="majorBidi" w:hAnsiTheme="majorBidi" w:cstheme="majorBidi"/>
          <w:i/>
          <w:iCs/>
          <w:sz w:val="24"/>
          <w:szCs w:val="24"/>
          <w:lang w:val="it-IT"/>
        </w:rPr>
        <w:t xml:space="preserve">rah al-Nabawiyah </w:t>
      </w:r>
      <w:r w:rsidRPr="00406F37">
        <w:rPr>
          <w:rFonts w:asciiTheme="majorBidi" w:hAnsiTheme="majorBidi" w:cstheme="majorBidi"/>
          <w:i/>
          <w:iCs/>
          <w:sz w:val="24"/>
          <w:szCs w:val="24"/>
          <w:lang w:val="it-IT"/>
        </w:rPr>
        <w:t>‘aadah</w:t>
      </w:r>
      <w:r w:rsidRPr="000D2F90">
        <w:rPr>
          <w:rFonts w:asciiTheme="majorBidi" w:hAnsiTheme="majorBidi" w:cstheme="majorBidi"/>
          <w:i/>
          <w:iCs/>
          <w:sz w:val="24"/>
          <w:szCs w:val="24"/>
          <w:lang w:val="it-IT"/>
        </w:rPr>
        <w:t>ā</w:t>
      </w:r>
      <w:r w:rsidRPr="00406F37">
        <w:rPr>
          <w:rFonts w:asciiTheme="majorBidi" w:hAnsiTheme="majorBidi" w:cstheme="majorBidi"/>
          <w:i/>
          <w:iCs/>
          <w:sz w:val="24"/>
          <w:szCs w:val="24"/>
          <w:lang w:val="it-IT"/>
        </w:rPr>
        <w:t xml:space="preserve"> Min al-Rahiq al-Makhtum li al-Mubarikafur</w:t>
      </w:r>
      <w:r w:rsidRPr="000D2F90">
        <w:rPr>
          <w:rFonts w:asciiTheme="majorBidi" w:hAnsiTheme="majorBidi" w:cstheme="majorBidi"/>
          <w:i/>
          <w:iCs/>
          <w:sz w:val="24"/>
          <w:szCs w:val="24"/>
          <w:lang w:val="it-IT"/>
        </w:rPr>
        <w:t>ī</w:t>
      </w:r>
      <w:r w:rsidRPr="00406F37">
        <w:rPr>
          <w:rFonts w:asciiTheme="majorBidi" w:hAnsiTheme="majorBidi" w:cstheme="majorBidi"/>
          <w:sz w:val="24"/>
          <w:szCs w:val="24"/>
          <w:lang w:val="it-IT"/>
        </w:rPr>
        <w:t>, ( Suriah : Dar al-‘Ashama, 2007)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it-IT"/>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r w:rsidRPr="00406F37">
        <w:rPr>
          <w:rFonts w:asciiTheme="majorBidi" w:hAnsiTheme="majorBidi" w:cstheme="majorBidi"/>
          <w:sz w:val="24"/>
          <w:szCs w:val="24"/>
          <w:lang w:val="sv-SE"/>
        </w:rPr>
        <w:t>Al-Hanaf</w:t>
      </w:r>
      <w:r w:rsidRPr="000D2F90">
        <w:rPr>
          <w:rFonts w:asciiTheme="majorBidi" w:hAnsiTheme="majorBidi" w:cstheme="majorBidi"/>
          <w:sz w:val="24"/>
          <w:szCs w:val="24"/>
          <w:lang w:val="it-IT"/>
        </w:rPr>
        <w:t>ī</w:t>
      </w:r>
      <w:r w:rsidRPr="00406F37">
        <w:rPr>
          <w:rFonts w:asciiTheme="majorBidi" w:hAnsiTheme="majorBidi" w:cstheme="majorBidi"/>
          <w:sz w:val="24"/>
          <w:szCs w:val="24"/>
          <w:lang w:val="sv-SE"/>
        </w:rPr>
        <w:t xml:space="preserve">, Zainuddin Ibn Nujaim, </w:t>
      </w:r>
      <w:r w:rsidRPr="0082707B">
        <w:rPr>
          <w:rFonts w:asciiTheme="majorBidi" w:hAnsiTheme="majorBidi" w:cstheme="majorBidi"/>
          <w:i/>
          <w:iCs/>
          <w:sz w:val="24"/>
          <w:szCs w:val="24"/>
          <w:lang w:val="sv-SE"/>
        </w:rPr>
        <w:t>Al-Bahr Al-Rāiq Syarh Kanz Al-Daqāiq</w:t>
      </w:r>
      <w:r w:rsidRPr="00406F37">
        <w:rPr>
          <w:rFonts w:asciiTheme="majorBidi" w:hAnsiTheme="majorBidi" w:cstheme="majorBidi"/>
          <w:sz w:val="24"/>
          <w:szCs w:val="24"/>
          <w:lang w:val="sv-SE"/>
        </w:rPr>
        <w:t>, ( Bairul: Dar Al-Makrifah,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406F37" w:rsidRDefault="00343B61" w:rsidP="00343B61">
      <w:pPr>
        <w:pStyle w:val="ListParagraph"/>
        <w:ind w:left="810" w:hanging="810"/>
        <w:jc w:val="both"/>
        <w:rPr>
          <w:rFonts w:asciiTheme="majorBidi" w:eastAsiaTheme="minorHAnsi" w:hAnsiTheme="majorBidi" w:cstheme="majorBidi"/>
          <w:color w:val="000000"/>
          <w:sz w:val="24"/>
          <w:szCs w:val="24"/>
          <w:lang w:val="sv-SE"/>
        </w:rPr>
      </w:pPr>
      <w:r w:rsidRPr="00406F37">
        <w:rPr>
          <w:rFonts w:asciiTheme="majorBidi" w:hAnsiTheme="majorBidi" w:cstheme="majorBidi"/>
          <w:color w:val="000000"/>
          <w:sz w:val="24"/>
          <w:szCs w:val="24"/>
          <w:lang w:val="sv-SE"/>
        </w:rPr>
        <w:t>Al-Hantat</w:t>
      </w:r>
      <w:r w:rsidRPr="000D2F90">
        <w:rPr>
          <w:rFonts w:asciiTheme="majorBidi" w:hAnsiTheme="majorBidi" w:cstheme="majorBidi"/>
          <w:sz w:val="24"/>
          <w:szCs w:val="24"/>
          <w:lang w:val="sv-SE"/>
        </w:rPr>
        <w:t>ī</w:t>
      </w:r>
      <w:r w:rsidRPr="00406F37">
        <w:rPr>
          <w:rFonts w:asciiTheme="majorBidi" w:hAnsiTheme="majorBidi" w:cstheme="majorBidi"/>
          <w:color w:val="000000"/>
          <w:sz w:val="24"/>
          <w:szCs w:val="24"/>
          <w:lang w:val="sv-SE"/>
        </w:rPr>
        <w:t xml:space="preserve">, Al-Qadhi Abi Al-Abbas Ahmad al-Syamma’, </w:t>
      </w:r>
      <w:r w:rsidRPr="00406F37">
        <w:rPr>
          <w:rFonts w:asciiTheme="majorBidi" w:hAnsiTheme="majorBidi" w:cstheme="majorBidi"/>
          <w:i/>
          <w:iCs/>
          <w:color w:val="000000"/>
          <w:sz w:val="24"/>
          <w:szCs w:val="24"/>
          <w:lang w:val="sv-SE"/>
        </w:rPr>
        <w:t>Mathali’ al-Tam</w:t>
      </w:r>
      <w:r w:rsidRPr="000D2F90">
        <w:rPr>
          <w:rFonts w:asciiTheme="majorBidi" w:hAnsiTheme="majorBidi" w:cstheme="majorBidi"/>
          <w:i/>
          <w:iCs/>
          <w:sz w:val="24"/>
          <w:szCs w:val="24"/>
          <w:lang w:val="sv-SE"/>
        </w:rPr>
        <w:t>ā</w:t>
      </w:r>
      <w:r w:rsidRPr="00406F37">
        <w:rPr>
          <w:rFonts w:asciiTheme="majorBidi" w:hAnsiTheme="majorBidi" w:cstheme="majorBidi"/>
          <w:i/>
          <w:iCs/>
          <w:color w:val="000000"/>
          <w:sz w:val="24"/>
          <w:szCs w:val="24"/>
          <w:lang w:val="sv-SE"/>
        </w:rPr>
        <w:t>m Wa Nashaih al-An</w:t>
      </w:r>
      <w:r w:rsidRPr="000D2F90">
        <w:rPr>
          <w:rFonts w:asciiTheme="majorBidi" w:hAnsiTheme="majorBidi" w:cstheme="majorBidi"/>
          <w:i/>
          <w:iCs/>
          <w:sz w:val="24"/>
          <w:szCs w:val="24"/>
          <w:lang w:val="sv-SE"/>
        </w:rPr>
        <w:t>ā</w:t>
      </w:r>
      <w:r w:rsidRPr="00406F37">
        <w:rPr>
          <w:rFonts w:asciiTheme="majorBidi" w:hAnsiTheme="majorBidi" w:cstheme="majorBidi"/>
          <w:i/>
          <w:iCs/>
          <w:color w:val="000000"/>
          <w:sz w:val="24"/>
          <w:szCs w:val="24"/>
          <w:lang w:val="sv-SE"/>
        </w:rPr>
        <w:t>m</w:t>
      </w:r>
      <w:r w:rsidRPr="00406F37">
        <w:rPr>
          <w:rFonts w:asciiTheme="majorBidi" w:hAnsiTheme="majorBidi" w:cstheme="majorBidi"/>
          <w:color w:val="000000"/>
          <w:sz w:val="24"/>
          <w:szCs w:val="24"/>
          <w:lang w:val="sv-SE"/>
        </w:rPr>
        <w:t>,( t</w:t>
      </w:r>
      <w:r w:rsidRPr="00406F37">
        <w:rPr>
          <w:rFonts w:asciiTheme="majorBidi" w:eastAsiaTheme="minorHAnsi" w:hAnsiTheme="majorBidi" w:cstheme="majorBidi"/>
          <w:color w:val="000000"/>
          <w:sz w:val="24"/>
          <w:szCs w:val="24"/>
          <w:lang w:val="sv-SE"/>
        </w:rPr>
        <w:t>.t: Maktabah al-Syamilah, t.tp)</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82707B">
        <w:rPr>
          <w:rFonts w:asciiTheme="majorBidi" w:hAnsiTheme="majorBidi" w:cstheme="majorBidi"/>
          <w:sz w:val="24"/>
          <w:szCs w:val="24"/>
        </w:rPr>
        <w:t>Al-Hindī</w:t>
      </w:r>
      <w:r w:rsidRPr="00406F37">
        <w:rPr>
          <w:rFonts w:asciiTheme="majorBidi" w:hAnsiTheme="majorBidi" w:cstheme="majorBidi"/>
          <w:sz w:val="24"/>
          <w:szCs w:val="24"/>
        </w:rPr>
        <w:t>,</w:t>
      </w:r>
      <w:r w:rsidRPr="00406F37">
        <w:rPr>
          <w:sz w:val="24"/>
          <w:szCs w:val="24"/>
        </w:rPr>
        <w:t xml:space="preserve"> ‘</w:t>
      </w:r>
      <w:r w:rsidRPr="00406F37">
        <w:rPr>
          <w:rFonts w:asciiTheme="majorBidi" w:hAnsiTheme="majorBidi" w:cstheme="majorBidi"/>
          <w:sz w:val="24"/>
          <w:szCs w:val="24"/>
        </w:rPr>
        <w:t>Ali bin Hisam al-Din al-Muttaqi,</w:t>
      </w:r>
      <w:r>
        <w:rPr>
          <w:rFonts w:asciiTheme="majorBidi" w:hAnsiTheme="majorBidi" w:cstheme="majorBidi"/>
          <w:sz w:val="24"/>
          <w:szCs w:val="24"/>
        </w:rPr>
        <w:t xml:space="preserve"> </w:t>
      </w:r>
      <w:r w:rsidRPr="0082707B">
        <w:rPr>
          <w:rFonts w:asciiTheme="majorBidi" w:hAnsiTheme="majorBidi" w:cstheme="majorBidi"/>
          <w:i/>
          <w:iCs/>
          <w:sz w:val="24"/>
          <w:szCs w:val="24"/>
        </w:rPr>
        <w:t>Kanz Al-‘Ummāl</w:t>
      </w:r>
      <w:r>
        <w:rPr>
          <w:rFonts w:asciiTheme="majorBidi" w:hAnsiTheme="majorBidi" w:cstheme="majorBidi"/>
          <w:sz w:val="24"/>
          <w:szCs w:val="24"/>
        </w:rPr>
        <w:t>,</w:t>
      </w:r>
      <w:r w:rsidRPr="00406F37">
        <w:rPr>
          <w:rFonts w:asciiTheme="majorBidi" w:hAnsiTheme="majorBidi" w:cstheme="majorBidi"/>
          <w:sz w:val="24"/>
          <w:szCs w:val="24"/>
        </w:rPr>
        <w:t>( Bairut: Muassasah al-Risalah, 1989)</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FC4AE3" w:rsidRDefault="00343B61" w:rsidP="00343B61">
      <w:pPr>
        <w:autoSpaceDE w:val="0"/>
        <w:autoSpaceDN w:val="0"/>
        <w:adjustRightInd w:val="0"/>
        <w:ind w:left="810" w:hanging="810"/>
        <w:rPr>
          <w:rFonts w:asciiTheme="majorBidi" w:hAnsiTheme="majorBidi" w:cstheme="majorBidi"/>
        </w:rPr>
      </w:pPr>
      <w:r w:rsidRPr="00406F37">
        <w:rPr>
          <w:rFonts w:asciiTheme="majorBidi" w:hAnsiTheme="majorBidi" w:cstheme="majorBidi"/>
          <w:color w:val="000000"/>
        </w:rPr>
        <w:t>Al-Humaid</w:t>
      </w:r>
      <w:r w:rsidRPr="0082707B">
        <w:rPr>
          <w:rFonts w:asciiTheme="majorBidi" w:hAnsiTheme="majorBidi" w:cstheme="majorBidi"/>
        </w:rPr>
        <w:t>ī</w:t>
      </w:r>
      <w:r w:rsidRPr="00406F37">
        <w:rPr>
          <w:rFonts w:asciiTheme="majorBidi" w:hAnsiTheme="majorBidi" w:cstheme="majorBidi"/>
          <w:color w:val="000000"/>
        </w:rPr>
        <w:t xml:space="preserve">, Muhammad ibn Fatuh, </w:t>
      </w:r>
      <w:r w:rsidRPr="0082707B">
        <w:rPr>
          <w:rFonts w:asciiTheme="majorBidi" w:hAnsiTheme="majorBidi" w:cstheme="majorBidi"/>
          <w:i/>
          <w:iCs/>
          <w:color w:val="000000"/>
        </w:rPr>
        <w:t>Al-Jam</w:t>
      </w:r>
      <w:r w:rsidRPr="0082707B">
        <w:t>‘</w:t>
      </w:r>
      <w:r w:rsidRPr="0082707B">
        <w:rPr>
          <w:rFonts w:asciiTheme="majorBidi" w:hAnsiTheme="majorBidi" w:cstheme="majorBidi"/>
          <w:i/>
          <w:iCs/>
          <w:color w:val="000000"/>
        </w:rPr>
        <w:t>u Bain al-Shohihain al-Bukh</w:t>
      </w:r>
      <w:r w:rsidRPr="0082707B">
        <w:rPr>
          <w:rFonts w:asciiTheme="majorBidi" w:hAnsiTheme="majorBidi" w:cstheme="majorBidi"/>
          <w:i/>
          <w:iCs/>
        </w:rPr>
        <w:t>ā</w:t>
      </w:r>
      <w:r w:rsidRPr="0082707B">
        <w:rPr>
          <w:rFonts w:asciiTheme="majorBidi" w:hAnsiTheme="majorBidi" w:cstheme="majorBidi"/>
          <w:i/>
          <w:iCs/>
          <w:color w:val="000000"/>
        </w:rPr>
        <w:t>ri wa Muslim</w:t>
      </w:r>
      <w:r w:rsidRPr="0082707B">
        <w:rPr>
          <w:rFonts w:asciiTheme="majorBidi" w:hAnsiTheme="majorBidi" w:cstheme="majorBidi"/>
          <w:color w:val="000000"/>
        </w:rPr>
        <w:t>,</w:t>
      </w:r>
      <w:r>
        <w:rPr>
          <w:rFonts w:asciiTheme="majorBidi" w:hAnsiTheme="majorBidi" w:cstheme="majorBidi"/>
        </w:rPr>
        <w:t xml:space="preserve"> </w:t>
      </w:r>
      <w:r w:rsidRPr="00406F37">
        <w:rPr>
          <w:rFonts w:asciiTheme="majorBidi" w:hAnsiTheme="majorBidi" w:cstheme="majorBidi"/>
          <w:color w:val="000000"/>
        </w:rPr>
        <w:t>( Bairut: Dar Ibn Hazm, 2002)</w:t>
      </w:r>
    </w:p>
    <w:p w:rsidR="00343B61" w:rsidRPr="00406F37" w:rsidRDefault="00343B61" w:rsidP="00343B61">
      <w:pPr>
        <w:ind w:left="810" w:hanging="810"/>
        <w:jc w:val="both"/>
        <w:rPr>
          <w:rFonts w:asciiTheme="majorBidi" w:hAnsiTheme="majorBidi" w:cstheme="majorBidi"/>
          <w:color w:val="000000"/>
        </w:rPr>
      </w:pPr>
    </w:p>
    <w:p w:rsidR="00343B61" w:rsidRPr="00FC4AE3" w:rsidRDefault="00343B61" w:rsidP="00343B61">
      <w:pPr>
        <w:autoSpaceDE w:val="0"/>
        <w:autoSpaceDN w:val="0"/>
        <w:adjustRightInd w:val="0"/>
        <w:ind w:left="810" w:hanging="810"/>
        <w:rPr>
          <w:rFonts w:asciiTheme="majorBidi" w:hAnsiTheme="majorBidi" w:cstheme="majorBidi"/>
          <w:i/>
          <w:iCs/>
        </w:rPr>
      </w:pPr>
      <w:r w:rsidRPr="00406F37">
        <w:rPr>
          <w:rFonts w:asciiTheme="majorBidi" w:hAnsiTheme="majorBidi" w:cstheme="majorBidi"/>
          <w:color w:val="000000"/>
        </w:rPr>
        <w:t>Al-Husain</w:t>
      </w:r>
      <w:r w:rsidRPr="0082707B">
        <w:rPr>
          <w:rFonts w:asciiTheme="majorBidi" w:hAnsiTheme="majorBidi" w:cstheme="majorBidi"/>
        </w:rPr>
        <w:t>ī</w:t>
      </w:r>
      <w:r w:rsidRPr="00406F37">
        <w:rPr>
          <w:rFonts w:asciiTheme="majorBidi" w:hAnsiTheme="majorBidi" w:cstheme="majorBidi"/>
          <w:color w:val="000000"/>
        </w:rPr>
        <w:t xml:space="preserve">, Muhammad Ibn Muhammad Ibn ‘Abd al-Rozzaq, </w:t>
      </w:r>
      <w:r w:rsidRPr="0082707B">
        <w:rPr>
          <w:rFonts w:asciiTheme="majorBidi" w:hAnsiTheme="majorBidi" w:cstheme="majorBidi"/>
          <w:i/>
          <w:iCs/>
          <w:color w:val="000000"/>
        </w:rPr>
        <w:t>T</w:t>
      </w:r>
      <w:r w:rsidRPr="0082707B">
        <w:rPr>
          <w:rFonts w:asciiTheme="majorBidi" w:hAnsiTheme="majorBidi" w:cstheme="majorBidi"/>
          <w:i/>
          <w:iCs/>
        </w:rPr>
        <w:t>ā</w:t>
      </w:r>
      <w:r w:rsidRPr="0082707B">
        <w:rPr>
          <w:rFonts w:asciiTheme="majorBidi" w:hAnsiTheme="majorBidi" w:cstheme="majorBidi"/>
          <w:i/>
          <w:iCs/>
          <w:color w:val="000000"/>
        </w:rPr>
        <w:t>j al-‘Ar</w:t>
      </w:r>
      <w:r w:rsidRPr="0082707B">
        <w:rPr>
          <w:rFonts w:asciiTheme="majorBidi" w:hAnsiTheme="majorBidi" w:cstheme="majorBidi"/>
          <w:i/>
          <w:iCs/>
        </w:rPr>
        <w:t>ū</w:t>
      </w:r>
      <w:r w:rsidRPr="0082707B">
        <w:rPr>
          <w:rFonts w:asciiTheme="majorBidi" w:hAnsiTheme="majorBidi" w:cstheme="majorBidi"/>
          <w:i/>
          <w:iCs/>
          <w:color w:val="000000"/>
        </w:rPr>
        <w:t>sy Min Jawahir al-Q</w:t>
      </w:r>
      <w:r w:rsidRPr="0082707B">
        <w:rPr>
          <w:rFonts w:asciiTheme="majorBidi" w:hAnsiTheme="majorBidi" w:cstheme="majorBidi"/>
          <w:i/>
          <w:iCs/>
        </w:rPr>
        <w:t>ā</w:t>
      </w:r>
      <w:r w:rsidRPr="0082707B">
        <w:rPr>
          <w:rFonts w:asciiTheme="majorBidi" w:hAnsiTheme="majorBidi" w:cstheme="majorBidi"/>
          <w:i/>
          <w:iCs/>
          <w:color w:val="000000"/>
        </w:rPr>
        <w:t>m</w:t>
      </w:r>
      <w:r w:rsidRPr="0082707B">
        <w:rPr>
          <w:rFonts w:asciiTheme="majorBidi" w:hAnsiTheme="majorBidi" w:cstheme="majorBidi"/>
          <w:i/>
          <w:iCs/>
        </w:rPr>
        <w:t>ū</w:t>
      </w:r>
      <w:r w:rsidRPr="0082707B">
        <w:rPr>
          <w:rFonts w:asciiTheme="majorBidi" w:hAnsiTheme="majorBidi" w:cstheme="majorBidi"/>
          <w:i/>
          <w:iCs/>
          <w:color w:val="000000"/>
        </w:rPr>
        <w:t>s</w:t>
      </w:r>
      <w:r w:rsidRPr="00FC4AE3">
        <w:rPr>
          <w:rFonts w:asciiTheme="majorBidi" w:hAnsiTheme="majorBidi" w:cstheme="majorBidi"/>
          <w:color w:val="000000"/>
        </w:rPr>
        <w:t>, ( t.t: Dar al-Hidayah, t.tp)</w:t>
      </w:r>
    </w:p>
    <w:p w:rsidR="00343B61" w:rsidRPr="00406F37" w:rsidRDefault="00343B61" w:rsidP="00343B61">
      <w:pPr>
        <w:pStyle w:val="ListParagraph"/>
        <w:ind w:left="810" w:hanging="810"/>
        <w:jc w:val="both"/>
        <w:rPr>
          <w:rFonts w:asciiTheme="majorBidi" w:hAnsiTheme="majorBidi" w:cstheme="majorBidi"/>
          <w:color w:val="000000"/>
          <w:sz w:val="24"/>
          <w:szCs w:val="24"/>
        </w:rPr>
      </w:pPr>
    </w:p>
    <w:p w:rsidR="00343B61" w:rsidRPr="00406F37" w:rsidRDefault="00343B61" w:rsidP="00343B61">
      <w:pPr>
        <w:pStyle w:val="ListParagraph"/>
        <w:ind w:left="810" w:hanging="810"/>
        <w:jc w:val="both"/>
        <w:rPr>
          <w:rFonts w:asciiTheme="majorBidi" w:hAnsiTheme="majorBidi" w:cstheme="majorBidi"/>
          <w:color w:val="000000"/>
          <w:sz w:val="24"/>
          <w:szCs w:val="24"/>
        </w:rPr>
      </w:pPr>
      <w:r w:rsidRPr="00406F37">
        <w:rPr>
          <w:rFonts w:asciiTheme="majorBidi" w:hAnsiTheme="majorBidi" w:cstheme="majorBidi"/>
          <w:sz w:val="24"/>
          <w:szCs w:val="24"/>
        </w:rPr>
        <w:t>Al</w:t>
      </w:r>
      <w:r w:rsidRPr="0082707B">
        <w:rPr>
          <w:rFonts w:asciiTheme="majorBidi" w:hAnsiTheme="majorBidi" w:cstheme="majorBidi"/>
          <w:sz w:val="24"/>
          <w:szCs w:val="24"/>
        </w:rPr>
        <w:t>ī</w:t>
      </w:r>
      <w:r w:rsidRPr="00406F37">
        <w:rPr>
          <w:rFonts w:asciiTheme="majorBidi" w:hAnsiTheme="majorBidi" w:cstheme="majorBidi"/>
          <w:color w:val="000000"/>
          <w:sz w:val="24"/>
          <w:szCs w:val="24"/>
        </w:rPr>
        <w:t xml:space="preserve">, </w:t>
      </w:r>
      <w:r w:rsidRPr="00406F37">
        <w:rPr>
          <w:rFonts w:asciiTheme="majorBidi" w:hAnsiTheme="majorBidi" w:cstheme="majorBidi"/>
          <w:sz w:val="24"/>
          <w:szCs w:val="24"/>
        </w:rPr>
        <w:t>Atabik, dan Muhdlor, Zuhd</w:t>
      </w:r>
      <w:r w:rsidRPr="0082707B">
        <w:rPr>
          <w:rFonts w:asciiTheme="majorBidi" w:hAnsiTheme="majorBidi" w:cstheme="majorBidi"/>
          <w:sz w:val="24"/>
          <w:szCs w:val="24"/>
        </w:rPr>
        <w:t>ī</w:t>
      </w:r>
      <w:r w:rsidRPr="00406F37">
        <w:rPr>
          <w:rFonts w:asciiTheme="majorBidi" w:hAnsiTheme="majorBidi" w:cstheme="majorBidi"/>
          <w:color w:val="000000"/>
          <w:sz w:val="24"/>
          <w:szCs w:val="24"/>
        </w:rPr>
        <w:t xml:space="preserve">, </w:t>
      </w:r>
      <w:r w:rsidRPr="00406F37">
        <w:rPr>
          <w:rFonts w:asciiTheme="majorBidi" w:hAnsiTheme="majorBidi" w:cstheme="majorBidi"/>
          <w:sz w:val="24"/>
          <w:szCs w:val="24"/>
        </w:rPr>
        <w:t>Qamus Al-‘Ashri, Arabi Indunesi, ( Krapyak: Multi Karya Gratifika, 2003)</w:t>
      </w: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r>
        <w:rPr>
          <w:rFonts w:asciiTheme="majorBidi" w:hAnsiTheme="majorBidi" w:cstheme="majorBidi"/>
          <w:lang w:val="sv-SE"/>
        </w:rPr>
        <w:lastRenderedPageBreak/>
        <w:t>Al-Jauhari, Isma‘il ibn Hamma</w:t>
      </w:r>
      <w:r w:rsidRPr="00406F37">
        <w:rPr>
          <w:rFonts w:asciiTheme="majorBidi" w:hAnsiTheme="majorBidi" w:cstheme="majorBidi"/>
          <w:lang w:val="sv-SE"/>
        </w:rPr>
        <w:t xml:space="preserve">d, </w:t>
      </w:r>
      <w:r w:rsidRPr="00406F37">
        <w:rPr>
          <w:rFonts w:asciiTheme="majorBidi" w:hAnsiTheme="majorBidi" w:cstheme="majorBidi"/>
          <w:i/>
          <w:iCs/>
          <w:lang w:val="sv-SE"/>
        </w:rPr>
        <w:t>al-Sih</w:t>
      </w:r>
      <w:r w:rsidRPr="0082707B">
        <w:rPr>
          <w:rFonts w:asciiTheme="majorBidi" w:hAnsiTheme="majorBidi" w:cstheme="majorBidi"/>
          <w:i/>
          <w:iCs/>
        </w:rPr>
        <w:t>ā</w:t>
      </w:r>
      <w:r w:rsidRPr="00406F37">
        <w:rPr>
          <w:rFonts w:asciiTheme="majorBidi" w:hAnsiTheme="majorBidi" w:cstheme="majorBidi"/>
          <w:i/>
          <w:iCs/>
          <w:lang w:val="sv-SE"/>
        </w:rPr>
        <w:t>h T</w:t>
      </w:r>
      <w:r w:rsidRPr="0082707B">
        <w:rPr>
          <w:rFonts w:asciiTheme="majorBidi" w:hAnsiTheme="majorBidi" w:cstheme="majorBidi"/>
          <w:i/>
          <w:iCs/>
        </w:rPr>
        <w:t>ā</w:t>
      </w:r>
      <w:r w:rsidRPr="00406F37">
        <w:rPr>
          <w:rFonts w:asciiTheme="majorBidi" w:hAnsiTheme="majorBidi" w:cstheme="majorBidi"/>
          <w:i/>
          <w:iCs/>
          <w:lang w:val="sv-SE"/>
        </w:rPr>
        <w:t>j al-Lugah wa Sih</w:t>
      </w:r>
      <w:r w:rsidRPr="0082707B">
        <w:rPr>
          <w:rFonts w:asciiTheme="majorBidi" w:hAnsiTheme="majorBidi" w:cstheme="majorBidi"/>
          <w:i/>
          <w:iCs/>
        </w:rPr>
        <w:t>ā</w:t>
      </w:r>
      <w:r w:rsidRPr="00406F37">
        <w:rPr>
          <w:rFonts w:asciiTheme="majorBidi" w:hAnsiTheme="majorBidi" w:cstheme="majorBidi"/>
          <w:i/>
          <w:iCs/>
          <w:lang w:val="sv-SE"/>
        </w:rPr>
        <w:t>h al-‘Arabiyyah</w:t>
      </w:r>
      <w:r w:rsidRPr="00406F37">
        <w:rPr>
          <w:rFonts w:asciiTheme="majorBidi" w:hAnsiTheme="majorBidi" w:cstheme="majorBidi"/>
          <w:lang w:val="sv-SE"/>
        </w:rPr>
        <w:t>, (Beirut: D</w:t>
      </w:r>
      <w:r>
        <w:rPr>
          <w:rFonts w:asciiTheme="majorBidi" w:hAnsiTheme="majorBidi" w:cstheme="majorBidi"/>
          <w:lang w:val="sv-SE"/>
        </w:rPr>
        <w:t>a</w:t>
      </w:r>
      <w:r w:rsidRPr="00406F37">
        <w:rPr>
          <w:rFonts w:asciiTheme="majorBidi" w:hAnsiTheme="majorBidi" w:cstheme="majorBidi"/>
          <w:lang w:val="sv-SE"/>
        </w:rPr>
        <w:t>r al-‘Ilm li al-Mal</w:t>
      </w:r>
      <w:r w:rsidRPr="00FC4AE3">
        <w:rPr>
          <w:rFonts w:asciiTheme="majorBidi" w:hAnsiTheme="majorBidi" w:cstheme="majorBidi"/>
        </w:rPr>
        <w:t>ā</w:t>
      </w:r>
      <w:r>
        <w:rPr>
          <w:rFonts w:asciiTheme="majorBidi" w:hAnsiTheme="majorBidi" w:cstheme="majorBidi"/>
          <w:lang w:val="sv-SE"/>
        </w:rPr>
        <w:t>yi</w:t>
      </w:r>
      <w:r w:rsidRPr="00406F37">
        <w:rPr>
          <w:rFonts w:asciiTheme="majorBidi" w:hAnsiTheme="majorBidi" w:cstheme="majorBidi"/>
          <w:lang w:val="sv-SE"/>
        </w:rPr>
        <w:t>n, 1376 H/1956 M)</w:t>
      </w: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p>
    <w:p w:rsidR="00343B61" w:rsidRPr="00FC4AE3" w:rsidRDefault="00343B61" w:rsidP="00343B61">
      <w:pPr>
        <w:autoSpaceDE w:val="0"/>
        <w:autoSpaceDN w:val="0"/>
        <w:adjustRightInd w:val="0"/>
        <w:ind w:left="810" w:hanging="810"/>
        <w:jc w:val="both"/>
        <w:rPr>
          <w:rFonts w:asciiTheme="majorBidi" w:hAnsiTheme="majorBidi" w:cstheme="majorBidi"/>
          <w:lang w:val="sv-SE"/>
        </w:rPr>
      </w:pPr>
      <w:r w:rsidRPr="00406F37">
        <w:rPr>
          <w:lang w:val="sv-SE"/>
        </w:rPr>
        <w:t xml:space="preserve">Al-Jauziah, Ibnu Qayyim, </w:t>
      </w:r>
      <w:r w:rsidRPr="00406F37">
        <w:rPr>
          <w:i/>
          <w:iCs/>
          <w:lang w:val="sv-SE"/>
        </w:rPr>
        <w:t>Al</w:t>
      </w:r>
      <w:r w:rsidRPr="00FC4AE3">
        <w:rPr>
          <w:i/>
          <w:iCs/>
          <w:lang w:val="sv-SE"/>
        </w:rPr>
        <w:t xml:space="preserve"> </w:t>
      </w:r>
      <w:r w:rsidRPr="0082707B">
        <w:rPr>
          <w:i/>
          <w:iCs/>
          <w:lang w:val="sv-SE"/>
        </w:rPr>
        <w:t>Al-Thuruq al-</w:t>
      </w:r>
      <w:r w:rsidRPr="00FC4AE3">
        <w:rPr>
          <w:rFonts w:asciiTheme="majorBidi" w:hAnsiTheme="majorBidi" w:cstheme="majorBidi"/>
          <w:i/>
          <w:iCs/>
          <w:u w:val="single"/>
          <w:lang w:val="sv-SE"/>
        </w:rPr>
        <w:t>H</w:t>
      </w:r>
      <w:r w:rsidRPr="0082707B">
        <w:rPr>
          <w:i/>
          <w:iCs/>
          <w:lang w:val="sv-SE"/>
        </w:rPr>
        <w:t>ukmiyyah f</w:t>
      </w:r>
      <w:r w:rsidRPr="00FC4AE3">
        <w:rPr>
          <w:rFonts w:asciiTheme="majorBidi" w:hAnsiTheme="majorBidi" w:cstheme="majorBidi"/>
          <w:i/>
          <w:iCs/>
          <w:lang w:val="sv-SE"/>
        </w:rPr>
        <w:t>ī</w:t>
      </w:r>
      <w:r w:rsidRPr="00FC4AE3">
        <w:rPr>
          <w:rFonts w:asciiTheme="majorBidi" w:hAnsiTheme="majorBidi" w:cstheme="majorBidi"/>
          <w:bCs/>
          <w:i/>
          <w:iCs/>
          <w:lang w:val="sv-SE"/>
        </w:rPr>
        <w:t xml:space="preserve"> al</w:t>
      </w:r>
      <w:r w:rsidRPr="00FC4AE3">
        <w:rPr>
          <w:rFonts w:asciiTheme="majorBidi" w:hAnsiTheme="majorBidi" w:cstheme="majorBidi"/>
          <w:bCs/>
          <w:lang w:val="sv-SE"/>
        </w:rPr>
        <w:t>-</w:t>
      </w:r>
      <w:r w:rsidRPr="0082707B">
        <w:rPr>
          <w:rFonts w:asciiTheme="majorBidi" w:hAnsiTheme="majorBidi" w:cstheme="majorBidi"/>
          <w:i/>
          <w:iCs/>
          <w:lang w:val="id-ID"/>
        </w:rPr>
        <w:t>Siyāsah</w:t>
      </w:r>
      <w:r w:rsidRPr="00FC4AE3">
        <w:rPr>
          <w:rFonts w:asciiTheme="majorBidi" w:hAnsiTheme="majorBidi" w:cstheme="majorBidi"/>
          <w:i/>
          <w:iCs/>
          <w:lang w:val="sv-SE"/>
        </w:rPr>
        <w:t xml:space="preserve"> Al-</w:t>
      </w:r>
      <w:r w:rsidRPr="0082707B">
        <w:rPr>
          <w:rFonts w:asciiTheme="majorBidi" w:hAnsiTheme="majorBidi" w:cstheme="majorBidi"/>
          <w:i/>
          <w:iCs/>
          <w:lang w:val="id-ID"/>
        </w:rPr>
        <w:t>Syar‘</w:t>
      </w:r>
      <w:r w:rsidRPr="00FC4AE3">
        <w:rPr>
          <w:rFonts w:asciiTheme="majorBidi" w:hAnsiTheme="majorBidi" w:cstheme="majorBidi"/>
          <w:i/>
          <w:iCs/>
          <w:lang w:val="sv-SE"/>
        </w:rPr>
        <w:t>i</w:t>
      </w:r>
      <w:r w:rsidRPr="0082707B">
        <w:rPr>
          <w:rFonts w:asciiTheme="majorBidi" w:hAnsiTheme="majorBidi" w:cstheme="majorBidi"/>
          <w:i/>
          <w:iCs/>
          <w:lang w:val="id-ID"/>
        </w:rPr>
        <w:t>yyah</w:t>
      </w:r>
      <w:r>
        <w:rPr>
          <w:rFonts w:asciiTheme="majorBidi" w:hAnsiTheme="majorBidi" w:cstheme="majorBidi"/>
          <w:lang w:val="sv-SE"/>
        </w:rPr>
        <w:t xml:space="preserve"> </w:t>
      </w:r>
      <w:r w:rsidRPr="00406F37">
        <w:rPr>
          <w:lang w:val="sv-SE"/>
        </w:rPr>
        <w:t>( Mekkah Al-Mukarromah: Dar ’Alam al-Fawaid: 1428)</w:t>
      </w:r>
    </w:p>
    <w:p w:rsidR="00343B61" w:rsidRPr="00406F37" w:rsidRDefault="00343B61" w:rsidP="00343B61">
      <w:pPr>
        <w:ind w:left="810" w:hanging="810"/>
        <w:jc w:val="both"/>
        <w:rPr>
          <w:lang w:val="sv-SE"/>
        </w:rPr>
      </w:pPr>
    </w:p>
    <w:p w:rsidR="00343B61" w:rsidRPr="00FC4AE3" w:rsidRDefault="00343B61" w:rsidP="00343B61">
      <w:pPr>
        <w:autoSpaceDE w:val="0"/>
        <w:autoSpaceDN w:val="0"/>
        <w:adjustRightInd w:val="0"/>
        <w:ind w:left="810" w:hanging="810"/>
        <w:jc w:val="both"/>
        <w:rPr>
          <w:rFonts w:asciiTheme="majorBidi" w:hAnsiTheme="majorBidi" w:cstheme="majorBidi"/>
          <w:lang w:val="sv-SE"/>
        </w:rPr>
      </w:pPr>
      <w:r w:rsidRPr="00FC4AE3">
        <w:rPr>
          <w:rFonts w:asciiTheme="majorBidi" w:hAnsiTheme="majorBidi" w:cstheme="majorBidi"/>
          <w:lang w:val="sv-SE"/>
        </w:rPr>
        <w:t>Al-Jauziyah, Ibnu al-Qayyim,</w:t>
      </w:r>
      <w:r>
        <w:rPr>
          <w:rFonts w:asciiTheme="majorBidi" w:hAnsiTheme="majorBidi" w:cstheme="majorBidi"/>
          <w:lang w:val="sv-SE"/>
        </w:rPr>
        <w:t xml:space="preserve"> </w:t>
      </w:r>
      <w:r w:rsidRPr="00FC4AE3">
        <w:rPr>
          <w:rFonts w:asciiTheme="majorBidi" w:hAnsiTheme="majorBidi" w:cstheme="majorBidi"/>
          <w:lang w:val="sv-SE"/>
        </w:rPr>
        <w:t>‘</w:t>
      </w:r>
      <w:r w:rsidRPr="00FC4AE3">
        <w:rPr>
          <w:rFonts w:asciiTheme="majorBidi" w:hAnsiTheme="majorBidi" w:cstheme="majorBidi"/>
          <w:i/>
          <w:iCs/>
          <w:lang w:val="sv-SE"/>
        </w:rPr>
        <w:t>Ilām al-Muwaqqīn ‘an Rabb al-‘Alamīn</w:t>
      </w:r>
      <w:r w:rsidRPr="00FC4AE3">
        <w:rPr>
          <w:rFonts w:asciiTheme="majorBidi" w:hAnsiTheme="majorBidi" w:cstheme="majorBidi"/>
          <w:lang w:val="sv-SE"/>
        </w:rPr>
        <w:t>, (Beirut: Dar al-Kutub al-‘Ilmiyyah, 1993M-1414H)</w:t>
      </w:r>
    </w:p>
    <w:p w:rsidR="00343B61" w:rsidRPr="00FC4AE3" w:rsidRDefault="00343B61" w:rsidP="00343B61">
      <w:pPr>
        <w:autoSpaceDE w:val="0"/>
        <w:autoSpaceDN w:val="0"/>
        <w:adjustRightInd w:val="0"/>
        <w:ind w:left="810" w:hanging="810"/>
        <w:jc w:val="both"/>
        <w:rPr>
          <w:rFonts w:asciiTheme="majorBidi" w:hAnsiTheme="majorBidi" w:cstheme="majorBidi"/>
          <w:lang w:val="sv-SE"/>
        </w:rPr>
      </w:pPr>
    </w:p>
    <w:p w:rsidR="00343B61" w:rsidRPr="00406F37" w:rsidRDefault="00343B61" w:rsidP="00343B61">
      <w:pPr>
        <w:pStyle w:val="ListParagraph"/>
        <w:tabs>
          <w:tab w:val="left" w:pos="1800"/>
        </w:tabs>
        <w:ind w:left="810" w:hanging="810"/>
        <w:jc w:val="both"/>
        <w:rPr>
          <w:rFonts w:asciiTheme="majorBidi" w:hAnsiTheme="majorBidi" w:cstheme="majorBidi"/>
          <w:color w:val="000000"/>
          <w:sz w:val="24"/>
          <w:szCs w:val="24"/>
          <w:rtl/>
        </w:rPr>
      </w:pPr>
      <w:r w:rsidRPr="00406F37">
        <w:rPr>
          <w:rFonts w:asciiTheme="majorBidi" w:hAnsiTheme="majorBidi" w:cstheme="majorBidi"/>
          <w:sz w:val="24"/>
          <w:szCs w:val="24"/>
        </w:rPr>
        <w:t>Al-Jazir</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Abd Rahman, </w:t>
      </w:r>
      <w:r w:rsidRPr="00406F37">
        <w:rPr>
          <w:rFonts w:asciiTheme="majorBidi" w:hAnsiTheme="majorBidi" w:cstheme="majorBidi"/>
          <w:i/>
          <w:iCs/>
          <w:sz w:val="24"/>
          <w:szCs w:val="24"/>
        </w:rPr>
        <w:t>Al-Fiqh ‘al</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 xml:space="preserve"> al-Madzh</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b al-‘Arba’ah</w:t>
      </w:r>
      <w:r w:rsidRPr="00406F37">
        <w:rPr>
          <w:rFonts w:asciiTheme="majorBidi" w:hAnsiTheme="majorBidi" w:cstheme="majorBidi"/>
          <w:sz w:val="24"/>
          <w:szCs w:val="24"/>
        </w:rPr>
        <w:t>, ( Bairut: Dar al-fikr, 2002)</w:t>
      </w:r>
    </w:p>
    <w:p w:rsidR="00343B61" w:rsidRPr="00406F37" w:rsidRDefault="00343B61" w:rsidP="00343B61">
      <w:pPr>
        <w:autoSpaceDE w:val="0"/>
        <w:autoSpaceDN w:val="0"/>
        <w:adjustRightInd w:val="0"/>
        <w:ind w:left="810" w:hanging="810"/>
        <w:jc w:val="both"/>
        <w:rPr>
          <w:rFonts w:asciiTheme="majorBidi" w:hAnsiTheme="majorBidi" w:cstheme="majorBidi"/>
          <w:lang w:val="it-IT"/>
        </w:rPr>
      </w:pPr>
      <w:r w:rsidRPr="00406F37">
        <w:rPr>
          <w:rFonts w:asciiTheme="majorBidi" w:hAnsiTheme="majorBidi" w:cstheme="majorBidi"/>
          <w:lang w:val="it-IT"/>
        </w:rPr>
        <w:t>Al-Jurj</w:t>
      </w:r>
      <w:r w:rsidRPr="00FC4AE3">
        <w:rPr>
          <w:rFonts w:asciiTheme="majorBidi" w:hAnsiTheme="majorBidi" w:cstheme="majorBidi"/>
          <w:lang w:val="id-ID"/>
        </w:rPr>
        <w:t>ā</w:t>
      </w:r>
      <w:r w:rsidRPr="00406F37">
        <w:rPr>
          <w:rFonts w:asciiTheme="majorBidi" w:hAnsiTheme="majorBidi" w:cstheme="majorBidi"/>
          <w:lang w:val="it-IT"/>
        </w:rPr>
        <w:t>n</w:t>
      </w:r>
      <w:r w:rsidRPr="0082707B">
        <w:rPr>
          <w:rFonts w:asciiTheme="majorBidi" w:hAnsiTheme="majorBidi" w:cstheme="majorBidi"/>
        </w:rPr>
        <w:t>ī</w:t>
      </w:r>
      <w:r>
        <w:rPr>
          <w:rFonts w:asciiTheme="majorBidi" w:hAnsiTheme="majorBidi" w:cstheme="majorBidi"/>
          <w:lang w:val="it-IT"/>
        </w:rPr>
        <w:t>, Ali</w:t>
      </w:r>
      <w:r w:rsidRPr="00406F37">
        <w:rPr>
          <w:rFonts w:asciiTheme="majorBidi" w:hAnsiTheme="majorBidi" w:cstheme="majorBidi"/>
          <w:lang w:val="it-IT"/>
        </w:rPr>
        <w:t xml:space="preserve"> bin Muhammad, </w:t>
      </w:r>
      <w:r w:rsidRPr="0023261D">
        <w:rPr>
          <w:rFonts w:asciiTheme="majorBidi" w:hAnsiTheme="majorBidi" w:cstheme="majorBidi"/>
          <w:i/>
          <w:iCs/>
          <w:lang w:val="sv-SE"/>
        </w:rPr>
        <w:t>Kitāb al-Ta’rīfat</w:t>
      </w:r>
      <w:r>
        <w:rPr>
          <w:rFonts w:asciiTheme="majorBidi" w:hAnsiTheme="majorBidi" w:cstheme="majorBidi"/>
          <w:lang w:val="it-IT"/>
        </w:rPr>
        <w:t>, (Beirût: Da</w:t>
      </w:r>
      <w:r w:rsidRPr="00406F37">
        <w:rPr>
          <w:rFonts w:asciiTheme="majorBidi" w:hAnsiTheme="majorBidi" w:cstheme="majorBidi"/>
          <w:lang w:val="it-IT"/>
        </w:rPr>
        <w:t>r al-Kutub al-Ilmiyyah, 1988)</w:t>
      </w:r>
    </w:p>
    <w:p w:rsidR="00343B61" w:rsidRPr="00406F37" w:rsidRDefault="00343B61" w:rsidP="00343B61">
      <w:pPr>
        <w:autoSpaceDE w:val="0"/>
        <w:autoSpaceDN w:val="0"/>
        <w:adjustRightInd w:val="0"/>
        <w:ind w:left="810" w:hanging="810"/>
        <w:jc w:val="both"/>
        <w:rPr>
          <w:rFonts w:asciiTheme="majorBidi" w:hAnsiTheme="majorBidi" w:cstheme="majorBidi"/>
          <w:lang w:val="it-IT"/>
        </w:rPr>
      </w:pPr>
    </w:p>
    <w:p w:rsidR="00343B61" w:rsidRPr="00406F37" w:rsidRDefault="00343B61" w:rsidP="00343B61">
      <w:pPr>
        <w:autoSpaceDE w:val="0"/>
        <w:autoSpaceDN w:val="0"/>
        <w:adjustRightInd w:val="0"/>
        <w:ind w:left="810" w:hanging="810"/>
        <w:jc w:val="both"/>
        <w:rPr>
          <w:rFonts w:asciiTheme="majorBidi" w:hAnsiTheme="majorBidi" w:cstheme="majorBidi"/>
          <w:lang w:val="it-IT"/>
        </w:rPr>
      </w:pPr>
      <w:r w:rsidRPr="00406F37">
        <w:rPr>
          <w:rFonts w:asciiTheme="majorBidi" w:hAnsiTheme="majorBidi" w:cstheme="majorBidi"/>
          <w:lang w:val="it-IT"/>
        </w:rPr>
        <w:t>Al-Juwain</w:t>
      </w:r>
      <w:r w:rsidRPr="000D2F90">
        <w:rPr>
          <w:rFonts w:asciiTheme="majorBidi" w:hAnsiTheme="majorBidi" w:cstheme="majorBidi"/>
          <w:lang w:val="it-IT"/>
        </w:rPr>
        <w:t>ī</w:t>
      </w:r>
      <w:r w:rsidRPr="00406F37">
        <w:rPr>
          <w:rFonts w:asciiTheme="majorBidi" w:hAnsiTheme="majorBidi" w:cstheme="majorBidi"/>
          <w:lang w:val="it-IT"/>
        </w:rPr>
        <w:t>, Abu al-M</w:t>
      </w:r>
      <w:r w:rsidRPr="00FC4AE3">
        <w:rPr>
          <w:rFonts w:asciiTheme="majorBidi" w:hAnsiTheme="majorBidi" w:cstheme="majorBidi"/>
          <w:lang w:val="sv-SE"/>
        </w:rPr>
        <w:t>ā</w:t>
      </w:r>
      <w:r w:rsidRPr="00406F37">
        <w:rPr>
          <w:rFonts w:asciiTheme="majorBidi" w:hAnsiTheme="majorBidi" w:cstheme="majorBidi"/>
          <w:lang w:val="it-IT"/>
        </w:rPr>
        <w:t xml:space="preserve">’ali, Abd al-Malik ibn Yusuf, </w:t>
      </w:r>
      <w:r w:rsidRPr="00406F37">
        <w:rPr>
          <w:rFonts w:asciiTheme="majorBidi" w:hAnsiTheme="majorBidi" w:cstheme="majorBidi"/>
          <w:i/>
          <w:iCs/>
          <w:lang w:val="it-IT"/>
        </w:rPr>
        <w:t>al-Burh</w:t>
      </w:r>
      <w:r w:rsidRPr="0023261D">
        <w:rPr>
          <w:rFonts w:asciiTheme="majorBidi" w:hAnsiTheme="majorBidi" w:cstheme="majorBidi"/>
          <w:i/>
          <w:iCs/>
          <w:lang w:val="sv-SE"/>
        </w:rPr>
        <w:t>ā</w:t>
      </w:r>
      <w:r w:rsidRPr="00406F37">
        <w:rPr>
          <w:rFonts w:asciiTheme="majorBidi" w:hAnsiTheme="majorBidi" w:cstheme="majorBidi"/>
          <w:i/>
          <w:iCs/>
          <w:lang w:val="it-IT"/>
        </w:rPr>
        <w:t>n Fi U</w:t>
      </w:r>
      <w:bookmarkStart w:id="22" w:name="OLE_LINK163"/>
      <w:r w:rsidRPr="00406F37">
        <w:rPr>
          <w:rFonts w:asciiTheme="majorBidi" w:hAnsiTheme="majorBidi" w:cstheme="majorBidi"/>
          <w:i/>
          <w:iCs/>
          <w:u w:val="single"/>
          <w:lang w:val="it-IT"/>
        </w:rPr>
        <w:t>s</w:t>
      </w:r>
      <w:bookmarkEnd w:id="22"/>
      <w:r w:rsidRPr="005A731F">
        <w:rPr>
          <w:rFonts w:asciiTheme="majorBidi" w:hAnsiTheme="majorBidi" w:cstheme="majorBidi"/>
          <w:i/>
          <w:iCs/>
          <w:lang w:val="fi-FI"/>
        </w:rPr>
        <w:t>ū</w:t>
      </w:r>
      <w:r w:rsidRPr="00406F37">
        <w:rPr>
          <w:rFonts w:asciiTheme="majorBidi" w:hAnsiTheme="majorBidi" w:cstheme="majorBidi"/>
          <w:i/>
          <w:iCs/>
          <w:lang w:val="it-IT"/>
        </w:rPr>
        <w:t xml:space="preserve">l al- fiqh, </w:t>
      </w:r>
      <w:r w:rsidRPr="00406F37">
        <w:rPr>
          <w:rFonts w:asciiTheme="majorBidi" w:hAnsiTheme="majorBidi" w:cstheme="majorBidi"/>
          <w:lang w:val="it-IT"/>
        </w:rPr>
        <w:t>(Cairo: Dar al-Anshar, 1400 H)</w:t>
      </w:r>
    </w:p>
    <w:p w:rsidR="00343B61" w:rsidRPr="00406F37" w:rsidRDefault="00343B61" w:rsidP="00343B61">
      <w:pPr>
        <w:autoSpaceDE w:val="0"/>
        <w:autoSpaceDN w:val="0"/>
        <w:adjustRightInd w:val="0"/>
        <w:ind w:left="810" w:hanging="810"/>
        <w:jc w:val="both"/>
        <w:rPr>
          <w:rFonts w:asciiTheme="majorBidi" w:hAnsiTheme="majorBidi" w:cstheme="majorBidi"/>
          <w:lang w:val="it-IT"/>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w:t>
      </w:r>
      <w:r w:rsidRPr="00FC4AE3">
        <w:rPr>
          <w:rFonts w:asciiTheme="majorBidi" w:hAnsiTheme="majorBidi" w:cstheme="majorBidi"/>
          <w:i/>
          <w:iCs/>
          <w:sz w:val="24"/>
          <w:szCs w:val="24"/>
        </w:rPr>
        <w:t xml:space="preserve"> </w:t>
      </w:r>
      <w:r w:rsidRPr="00784DB4">
        <w:rPr>
          <w:rFonts w:asciiTheme="majorBidi" w:hAnsiTheme="majorBidi" w:cstheme="majorBidi"/>
          <w:i/>
          <w:iCs/>
          <w:sz w:val="24"/>
          <w:szCs w:val="24"/>
        </w:rPr>
        <w:t>Khāzin</w:t>
      </w:r>
      <w:r w:rsidRPr="00406F37">
        <w:rPr>
          <w:rFonts w:asciiTheme="majorBidi" w:hAnsiTheme="majorBidi" w:cstheme="majorBidi"/>
          <w:sz w:val="24"/>
          <w:szCs w:val="24"/>
        </w:rPr>
        <w:t>, ‘Ala al-Din ‘Ali bin Muhammad bin Ibrahim al-Baghdad</w:t>
      </w:r>
      <w:r w:rsidRPr="00FC4AE3">
        <w:rPr>
          <w:rFonts w:asciiTheme="majorBidi" w:hAnsiTheme="majorBidi" w:cstheme="majorBidi"/>
          <w:sz w:val="24"/>
          <w:szCs w:val="24"/>
        </w:rPr>
        <w:t>ī</w:t>
      </w:r>
      <w:r w:rsidRPr="00406F37">
        <w:rPr>
          <w:rFonts w:asciiTheme="majorBidi" w:hAnsiTheme="majorBidi" w:cstheme="majorBidi"/>
          <w:sz w:val="24"/>
          <w:szCs w:val="24"/>
        </w:rPr>
        <w:t xml:space="preserve">, </w:t>
      </w:r>
      <w:r w:rsidRPr="00784DB4">
        <w:rPr>
          <w:rFonts w:asciiTheme="majorBidi" w:hAnsiTheme="majorBidi" w:cstheme="majorBidi"/>
          <w:i/>
          <w:iCs/>
          <w:sz w:val="24"/>
          <w:szCs w:val="24"/>
        </w:rPr>
        <w:t>Tafsīr al-Khāzin</w:t>
      </w:r>
      <w:r w:rsidRPr="00406F37">
        <w:rPr>
          <w:rFonts w:asciiTheme="majorBidi" w:hAnsiTheme="majorBidi" w:cstheme="majorBidi"/>
          <w:sz w:val="24"/>
          <w:szCs w:val="24"/>
        </w:rPr>
        <w:t>, ( Bairut: Dar al-kutub al-Ilmiyah, 1415 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Al-Khudari Bik, Muhammad, </w:t>
      </w:r>
      <w:r w:rsidRPr="00FC4AE3">
        <w:rPr>
          <w:rFonts w:asciiTheme="majorBidi" w:hAnsiTheme="majorBidi" w:cstheme="majorBidi"/>
          <w:i/>
          <w:iCs/>
          <w:sz w:val="24"/>
          <w:szCs w:val="24"/>
          <w:lang w:val="it-IT"/>
        </w:rPr>
        <w:t>U</w:t>
      </w:r>
      <w:r w:rsidRPr="00FC4AE3">
        <w:rPr>
          <w:rFonts w:asciiTheme="majorBidi" w:hAnsiTheme="majorBidi" w:cstheme="majorBidi"/>
          <w:i/>
          <w:iCs/>
          <w:sz w:val="24"/>
          <w:szCs w:val="24"/>
          <w:u w:val="single"/>
          <w:lang w:val="it-IT"/>
        </w:rPr>
        <w:t>s</w:t>
      </w:r>
      <w:r w:rsidRPr="00492903">
        <w:rPr>
          <w:rFonts w:asciiTheme="majorBidi" w:hAnsiTheme="majorBidi" w:cstheme="majorBidi"/>
          <w:i/>
          <w:iCs/>
          <w:sz w:val="24"/>
          <w:szCs w:val="24"/>
        </w:rPr>
        <w:t>ū</w:t>
      </w:r>
      <w:r w:rsidRPr="00FC4AE3">
        <w:rPr>
          <w:rFonts w:asciiTheme="majorBidi" w:hAnsiTheme="majorBidi" w:cstheme="majorBidi"/>
          <w:i/>
          <w:iCs/>
          <w:sz w:val="24"/>
          <w:szCs w:val="24"/>
          <w:lang w:val="it-IT"/>
        </w:rPr>
        <w:t>l</w:t>
      </w:r>
      <w:r w:rsidRPr="00406F37">
        <w:rPr>
          <w:rFonts w:asciiTheme="majorBidi" w:hAnsiTheme="majorBidi" w:cstheme="majorBidi"/>
          <w:i/>
          <w:iCs/>
          <w:sz w:val="24"/>
          <w:szCs w:val="24"/>
        </w:rPr>
        <w:t xml:space="preserve"> al-Fiqh</w:t>
      </w:r>
      <w:r>
        <w:rPr>
          <w:rFonts w:asciiTheme="majorBidi" w:hAnsiTheme="majorBidi" w:cstheme="majorBidi"/>
          <w:sz w:val="24"/>
          <w:szCs w:val="24"/>
        </w:rPr>
        <w:t>, (Beirut: Da</w:t>
      </w:r>
      <w:r w:rsidRPr="00406F37">
        <w:rPr>
          <w:rFonts w:asciiTheme="majorBidi" w:hAnsiTheme="majorBidi" w:cstheme="majorBidi"/>
          <w:sz w:val="24"/>
          <w:szCs w:val="24"/>
        </w:rPr>
        <w:t>r al-Fikr, 1409 H/1988 M)</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Al-Kurd</w:t>
      </w:r>
      <w:r w:rsidRPr="0082707B">
        <w:rPr>
          <w:rFonts w:asciiTheme="majorBidi" w:hAnsiTheme="majorBidi" w:cstheme="majorBidi"/>
        </w:rPr>
        <w:t>ī</w:t>
      </w:r>
      <w:r w:rsidRPr="00406F37">
        <w:rPr>
          <w:rFonts w:asciiTheme="majorBidi" w:hAnsiTheme="majorBidi" w:cstheme="majorBidi"/>
        </w:rPr>
        <w:t>, Ahmad al-Hajjaj,</w:t>
      </w:r>
      <w:r>
        <w:rPr>
          <w:rFonts w:asciiTheme="majorBidi" w:hAnsiTheme="majorBidi" w:cstheme="majorBidi"/>
        </w:rPr>
        <w:t xml:space="preserve"> </w:t>
      </w:r>
      <w:r w:rsidRPr="00406F37">
        <w:rPr>
          <w:rFonts w:asciiTheme="majorBidi" w:hAnsiTheme="majorBidi" w:cstheme="majorBidi"/>
          <w:i/>
          <w:iCs/>
        </w:rPr>
        <w:t>al-Madkhol al–Fiqh</w:t>
      </w:r>
      <w:r w:rsidRPr="00FC4AE3">
        <w:rPr>
          <w:rFonts w:asciiTheme="majorBidi" w:hAnsiTheme="majorBidi" w:cstheme="majorBidi"/>
          <w:i/>
          <w:iCs/>
        </w:rPr>
        <w:t>ī</w:t>
      </w:r>
      <w:r w:rsidRPr="00406F37">
        <w:rPr>
          <w:rFonts w:asciiTheme="majorBidi" w:hAnsiTheme="majorBidi" w:cstheme="majorBidi"/>
          <w:i/>
          <w:iCs/>
        </w:rPr>
        <w:t>: al-Qaw</w:t>
      </w:r>
      <w:r w:rsidRPr="00784DB4">
        <w:rPr>
          <w:rFonts w:asciiTheme="majorBidi" w:hAnsiTheme="majorBidi" w:cstheme="majorBidi"/>
          <w:i/>
          <w:iCs/>
        </w:rPr>
        <w:t>ā</w:t>
      </w:r>
      <w:r w:rsidRPr="00406F37">
        <w:rPr>
          <w:rFonts w:asciiTheme="majorBidi" w:hAnsiTheme="majorBidi" w:cstheme="majorBidi"/>
          <w:i/>
          <w:iCs/>
        </w:rPr>
        <w:t>’id al-Kulliyah</w:t>
      </w:r>
      <w:r w:rsidRPr="00406F37">
        <w:rPr>
          <w:rFonts w:asciiTheme="majorBidi" w:hAnsiTheme="majorBidi" w:cstheme="majorBidi"/>
        </w:rPr>
        <w:t>, (Damascus: Dar al-Ma’arif, 1980)</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ListParagraph"/>
        <w:spacing w:after="0"/>
        <w:ind w:left="810" w:hanging="810"/>
        <w:jc w:val="both"/>
        <w:rPr>
          <w:rFonts w:asciiTheme="majorBidi" w:hAnsiTheme="majorBidi" w:cstheme="majorBidi"/>
          <w:sz w:val="24"/>
          <w:szCs w:val="24"/>
          <w:lang w:val="it-IT"/>
        </w:rPr>
      </w:pPr>
      <w:r w:rsidRPr="00406F37">
        <w:rPr>
          <w:rFonts w:asciiTheme="majorBidi" w:hAnsiTheme="majorBidi" w:cstheme="majorBidi"/>
          <w:sz w:val="24"/>
          <w:szCs w:val="24"/>
          <w:lang w:val="it-IT"/>
        </w:rPr>
        <w:t>Al-Maqdis</w:t>
      </w:r>
      <w:r w:rsidRPr="0082707B">
        <w:rPr>
          <w:rFonts w:asciiTheme="majorBidi" w:hAnsiTheme="majorBidi" w:cstheme="majorBidi"/>
          <w:sz w:val="24"/>
          <w:szCs w:val="24"/>
        </w:rPr>
        <w:t>ī</w:t>
      </w:r>
      <w:r w:rsidRPr="00406F37">
        <w:rPr>
          <w:rFonts w:asciiTheme="majorBidi" w:hAnsiTheme="majorBidi" w:cstheme="majorBidi"/>
          <w:sz w:val="24"/>
          <w:szCs w:val="24"/>
          <w:lang w:val="it-IT"/>
        </w:rPr>
        <w:t xml:space="preserve">, Abdullah Bin Qudamah, </w:t>
      </w:r>
      <w:r w:rsidRPr="0082707B">
        <w:rPr>
          <w:rFonts w:asciiTheme="majorBidi" w:hAnsiTheme="majorBidi" w:cstheme="majorBidi"/>
          <w:i/>
          <w:iCs/>
          <w:sz w:val="24"/>
          <w:szCs w:val="24"/>
          <w:lang w:val="fi-FI"/>
        </w:rPr>
        <w:t>Al-K</w:t>
      </w:r>
      <w:r w:rsidRPr="0082707B">
        <w:rPr>
          <w:rFonts w:asciiTheme="majorBidi" w:hAnsiTheme="majorBidi" w:cstheme="majorBidi"/>
          <w:i/>
          <w:iCs/>
          <w:spacing w:val="1"/>
          <w:sz w:val="24"/>
          <w:szCs w:val="24"/>
          <w:lang w:val="fi-FI"/>
        </w:rPr>
        <w:t>ā</w:t>
      </w:r>
      <w:r w:rsidRPr="0082707B">
        <w:rPr>
          <w:rFonts w:asciiTheme="majorBidi" w:hAnsiTheme="majorBidi" w:cstheme="majorBidi"/>
          <w:i/>
          <w:iCs/>
          <w:sz w:val="24"/>
          <w:szCs w:val="24"/>
          <w:lang w:val="fi-FI"/>
        </w:rPr>
        <w:t>fī Fī Fiqh Im</w:t>
      </w:r>
      <w:r w:rsidRPr="0082707B">
        <w:rPr>
          <w:rFonts w:asciiTheme="majorBidi" w:hAnsiTheme="majorBidi" w:cstheme="majorBidi"/>
          <w:i/>
          <w:iCs/>
          <w:spacing w:val="1"/>
          <w:sz w:val="24"/>
          <w:szCs w:val="24"/>
          <w:lang w:val="fi-FI"/>
        </w:rPr>
        <w:t>ā</w:t>
      </w:r>
      <w:r w:rsidRPr="0082707B">
        <w:rPr>
          <w:rFonts w:asciiTheme="majorBidi" w:hAnsiTheme="majorBidi" w:cstheme="majorBidi"/>
          <w:i/>
          <w:iCs/>
          <w:sz w:val="24"/>
          <w:szCs w:val="24"/>
          <w:lang w:val="fi-FI"/>
        </w:rPr>
        <w:t>m Ahmad bin Hanbal</w:t>
      </w:r>
      <w:r w:rsidRPr="00406F37">
        <w:rPr>
          <w:rFonts w:asciiTheme="majorBidi" w:hAnsiTheme="majorBidi" w:cstheme="majorBidi"/>
          <w:i/>
          <w:iCs/>
          <w:sz w:val="24"/>
          <w:szCs w:val="24"/>
          <w:lang w:val="it-IT"/>
        </w:rPr>
        <w:t>,</w:t>
      </w:r>
      <w:r w:rsidRPr="00406F37">
        <w:rPr>
          <w:rFonts w:asciiTheme="majorBidi" w:hAnsiTheme="majorBidi" w:cstheme="majorBidi"/>
          <w:sz w:val="24"/>
          <w:szCs w:val="24"/>
          <w:lang w:val="it-IT"/>
        </w:rPr>
        <w:t xml:space="preserve"> ( t.t: Maktabah Syabkah al-Badar, 2006)</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it-IT"/>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Al-Maragh</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Ahmad Mushthofa,  </w:t>
      </w:r>
      <w:r w:rsidRPr="00784DB4">
        <w:rPr>
          <w:rFonts w:asciiTheme="majorBidi" w:hAnsiTheme="majorBidi" w:cstheme="majorBidi"/>
          <w:i/>
          <w:iCs/>
          <w:sz w:val="24"/>
          <w:szCs w:val="24"/>
        </w:rPr>
        <w:t>Tafsīr</w:t>
      </w:r>
      <w:r w:rsidRPr="00406F37">
        <w:rPr>
          <w:rFonts w:asciiTheme="majorBidi" w:hAnsiTheme="majorBidi" w:cstheme="majorBidi"/>
          <w:i/>
          <w:iCs/>
          <w:sz w:val="24"/>
          <w:szCs w:val="24"/>
        </w:rPr>
        <w:t xml:space="preserve"> Al-Mar</w:t>
      </w:r>
      <w:r w:rsidRPr="0082707B">
        <w:rPr>
          <w:rFonts w:asciiTheme="majorBidi" w:hAnsiTheme="majorBidi" w:cstheme="majorBidi"/>
          <w:i/>
          <w:iCs/>
          <w:spacing w:val="1"/>
          <w:sz w:val="24"/>
          <w:szCs w:val="24"/>
          <w:lang w:val="fi-FI"/>
        </w:rPr>
        <w:t>ā</w:t>
      </w:r>
      <w:r w:rsidRPr="00406F37">
        <w:rPr>
          <w:rFonts w:asciiTheme="majorBidi" w:hAnsiTheme="majorBidi" w:cstheme="majorBidi"/>
          <w:i/>
          <w:iCs/>
          <w:sz w:val="24"/>
          <w:szCs w:val="24"/>
        </w:rPr>
        <w:t>gh</w:t>
      </w:r>
      <w:r w:rsidRPr="00784DB4">
        <w:rPr>
          <w:rFonts w:asciiTheme="majorBidi" w:hAnsiTheme="majorBidi" w:cstheme="majorBidi"/>
          <w:i/>
          <w:iCs/>
          <w:sz w:val="24"/>
          <w:szCs w:val="24"/>
        </w:rPr>
        <w:t>ī</w:t>
      </w:r>
      <w:r w:rsidRPr="00406F37">
        <w:rPr>
          <w:rFonts w:asciiTheme="majorBidi" w:hAnsiTheme="majorBidi" w:cstheme="majorBidi"/>
          <w:i/>
          <w:iCs/>
          <w:sz w:val="24"/>
          <w:szCs w:val="24"/>
        </w:rPr>
        <w:t>,</w:t>
      </w:r>
      <w:r w:rsidRPr="00406F37">
        <w:rPr>
          <w:rFonts w:asciiTheme="majorBidi" w:hAnsiTheme="majorBidi" w:cstheme="majorBidi"/>
          <w:sz w:val="24"/>
          <w:szCs w:val="24"/>
        </w:rPr>
        <w:t xml:space="preserve"> ( Mesir: Maktabah Mushtafa Al Babi Al-Halaby,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Al-Maward</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Abu al-Hasan, </w:t>
      </w:r>
      <w:r w:rsidRPr="00406F37">
        <w:rPr>
          <w:rFonts w:asciiTheme="majorBidi" w:hAnsiTheme="majorBidi" w:cstheme="majorBidi"/>
          <w:i/>
          <w:iCs/>
          <w:sz w:val="24"/>
          <w:szCs w:val="24"/>
        </w:rPr>
        <w:t>al-</w:t>
      </w:r>
      <w:r w:rsidRPr="00784DB4">
        <w:rPr>
          <w:rFonts w:asciiTheme="majorBidi" w:hAnsiTheme="majorBidi" w:cstheme="majorBidi"/>
          <w:bCs/>
          <w:i/>
          <w:iCs/>
          <w:sz w:val="24"/>
          <w:szCs w:val="24"/>
          <w:u w:val="single"/>
        </w:rPr>
        <w:t>H</w:t>
      </w:r>
      <w:r w:rsidRPr="0082707B">
        <w:rPr>
          <w:rFonts w:asciiTheme="majorBidi" w:hAnsiTheme="majorBidi" w:cstheme="majorBidi"/>
          <w:i/>
          <w:iCs/>
          <w:spacing w:val="1"/>
          <w:sz w:val="24"/>
          <w:szCs w:val="24"/>
          <w:lang w:val="fi-FI"/>
        </w:rPr>
        <w:t>ā</w:t>
      </w:r>
      <w:r w:rsidRPr="00406F37">
        <w:rPr>
          <w:rFonts w:asciiTheme="majorBidi" w:hAnsiTheme="majorBidi" w:cstheme="majorBidi"/>
          <w:i/>
          <w:iCs/>
          <w:sz w:val="24"/>
          <w:szCs w:val="24"/>
        </w:rPr>
        <w:t>w</w:t>
      </w:r>
      <w:r w:rsidRPr="00784DB4">
        <w:rPr>
          <w:rFonts w:asciiTheme="majorBidi" w:hAnsiTheme="majorBidi" w:cstheme="majorBidi"/>
          <w:i/>
          <w:iCs/>
          <w:sz w:val="24"/>
          <w:szCs w:val="24"/>
        </w:rPr>
        <w:t>ī</w:t>
      </w:r>
      <w:r w:rsidRPr="00406F37">
        <w:rPr>
          <w:rFonts w:asciiTheme="majorBidi" w:hAnsiTheme="majorBidi" w:cstheme="majorBidi"/>
          <w:i/>
          <w:iCs/>
          <w:sz w:val="24"/>
          <w:szCs w:val="24"/>
        </w:rPr>
        <w:t xml:space="preserve"> al-Kab</w:t>
      </w:r>
      <w:r w:rsidRPr="00784DB4">
        <w:rPr>
          <w:rFonts w:asciiTheme="majorBidi" w:hAnsiTheme="majorBidi" w:cstheme="majorBidi"/>
          <w:i/>
          <w:iCs/>
          <w:sz w:val="24"/>
          <w:szCs w:val="24"/>
        </w:rPr>
        <w:t>ī</w:t>
      </w:r>
      <w:r w:rsidRPr="00406F37">
        <w:rPr>
          <w:rFonts w:asciiTheme="majorBidi" w:hAnsiTheme="majorBidi" w:cstheme="majorBidi"/>
          <w:i/>
          <w:iCs/>
          <w:sz w:val="24"/>
          <w:szCs w:val="24"/>
        </w:rPr>
        <w:t>r</w:t>
      </w:r>
      <w:r w:rsidRPr="00406F37">
        <w:rPr>
          <w:rFonts w:asciiTheme="majorBidi" w:hAnsiTheme="majorBidi" w:cstheme="majorBidi"/>
          <w:sz w:val="24"/>
          <w:szCs w:val="24"/>
        </w:rPr>
        <w:t>, ( Bairut: Dar al-Fikr,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lastRenderedPageBreak/>
        <w:t>Al-Maward</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Imam, </w:t>
      </w:r>
      <w:r w:rsidRPr="0082707B">
        <w:rPr>
          <w:rFonts w:asciiTheme="majorBidi" w:hAnsiTheme="majorBidi" w:cstheme="majorBidi"/>
          <w:i/>
          <w:iCs/>
          <w:sz w:val="24"/>
          <w:szCs w:val="24"/>
        </w:rPr>
        <w:t>Al-Ahkām al-Sulthāniyyah</w:t>
      </w:r>
      <w:r w:rsidRPr="00406F37">
        <w:rPr>
          <w:rFonts w:asciiTheme="majorBidi" w:hAnsiTheme="majorBidi" w:cstheme="majorBidi"/>
          <w:i/>
          <w:iCs/>
          <w:sz w:val="24"/>
          <w:szCs w:val="24"/>
        </w:rPr>
        <w:t xml:space="preserve">, </w:t>
      </w:r>
      <w:r w:rsidRPr="00406F37">
        <w:rPr>
          <w:rFonts w:asciiTheme="majorBidi" w:hAnsiTheme="majorBidi" w:cstheme="majorBidi"/>
          <w:sz w:val="24"/>
          <w:szCs w:val="24"/>
        </w:rPr>
        <w:t>( t.t: Maktabah Syamilah, versi 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Al-Mudarris, Muhammad, </w:t>
      </w:r>
      <w:r w:rsidRPr="00FC4AE3">
        <w:rPr>
          <w:rFonts w:asciiTheme="majorBidi" w:hAnsiTheme="majorBidi" w:cstheme="majorBidi"/>
          <w:i/>
          <w:iCs/>
          <w:sz w:val="24"/>
          <w:szCs w:val="24"/>
          <w:lang w:val="it-IT"/>
        </w:rPr>
        <w:t>U</w:t>
      </w:r>
      <w:r w:rsidRPr="00FC4AE3">
        <w:rPr>
          <w:rFonts w:asciiTheme="majorBidi" w:hAnsiTheme="majorBidi" w:cstheme="majorBidi"/>
          <w:i/>
          <w:iCs/>
          <w:sz w:val="24"/>
          <w:szCs w:val="24"/>
          <w:u w:val="single"/>
          <w:lang w:val="it-IT"/>
        </w:rPr>
        <w:t>s</w:t>
      </w:r>
      <w:r w:rsidRPr="00492903">
        <w:rPr>
          <w:rFonts w:asciiTheme="majorBidi" w:hAnsiTheme="majorBidi" w:cstheme="majorBidi"/>
          <w:i/>
          <w:iCs/>
          <w:sz w:val="24"/>
          <w:szCs w:val="24"/>
        </w:rPr>
        <w:t>ū</w:t>
      </w:r>
      <w:r w:rsidRPr="00FC4AE3">
        <w:rPr>
          <w:rFonts w:asciiTheme="majorBidi" w:hAnsiTheme="majorBidi" w:cstheme="majorBidi"/>
          <w:i/>
          <w:iCs/>
          <w:sz w:val="24"/>
          <w:szCs w:val="24"/>
          <w:lang w:val="it-IT"/>
        </w:rPr>
        <w:t>l</w:t>
      </w:r>
      <w:r w:rsidRPr="00406F37">
        <w:rPr>
          <w:rFonts w:asciiTheme="majorBidi" w:hAnsiTheme="majorBidi" w:cstheme="majorBidi"/>
          <w:i/>
          <w:iCs/>
          <w:sz w:val="24"/>
          <w:szCs w:val="24"/>
        </w:rPr>
        <w:t xml:space="preserve"> </w:t>
      </w:r>
      <w:r>
        <w:rPr>
          <w:rFonts w:asciiTheme="majorBidi" w:hAnsiTheme="majorBidi" w:cstheme="majorBidi"/>
          <w:i/>
          <w:iCs/>
          <w:sz w:val="24"/>
          <w:szCs w:val="24"/>
        </w:rPr>
        <w:t>al-</w:t>
      </w:r>
      <w:r w:rsidRPr="00406F37">
        <w:rPr>
          <w:rFonts w:asciiTheme="majorBidi" w:hAnsiTheme="majorBidi" w:cstheme="majorBidi"/>
          <w:i/>
          <w:iCs/>
          <w:sz w:val="24"/>
          <w:szCs w:val="24"/>
        </w:rPr>
        <w:t xml:space="preserve">Fiqh Wal </w:t>
      </w:r>
      <w:r w:rsidRPr="004F1D24">
        <w:rPr>
          <w:rFonts w:asciiTheme="majorBidi" w:hAnsiTheme="majorBidi" w:cstheme="majorBidi"/>
          <w:i/>
          <w:iCs/>
          <w:sz w:val="24"/>
          <w:szCs w:val="24"/>
        </w:rPr>
        <w:t>al-Qawā’id</w:t>
      </w:r>
      <w:r w:rsidRPr="00406F37">
        <w:rPr>
          <w:rFonts w:asciiTheme="majorBidi" w:hAnsiTheme="majorBidi" w:cstheme="majorBidi"/>
          <w:i/>
          <w:iCs/>
          <w:sz w:val="24"/>
          <w:szCs w:val="24"/>
        </w:rPr>
        <w:t xml:space="preserve"> </w:t>
      </w:r>
      <w:r>
        <w:rPr>
          <w:rFonts w:asciiTheme="majorBidi" w:hAnsiTheme="majorBidi" w:cstheme="majorBidi"/>
          <w:i/>
          <w:iCs/>
          <w:sz w:val="24"/>
          <w:szCs w:val="24"/>
        </w:rPr>
        <w:t xml:space="preserve">al- </w:t>
      </w:r>
      <w:r w:rsidRPr="00406F37">
        <w:rPr>
          <w:rFonts w:asciiTheme="majorBidi" w:hAnsiTheme="majorBidi" w:cstheme="majorBidi"/>
          <w:i/>
          <w:iCs/>
          <w:sz w:val="24"/>
          <w:szCs w:val="24"/>
        </w:rPr>
        <w:t>Fiqhiyah</w:t>
      </w:r>
      <w:r w:rsidRPr="00406F37">
        <w:rPr>
          <w:rFonts w:asciiTheme="majorBidi" w:hAnsiTheme="majorBidi" w:cstheme="majorBidi"/>
          <w:sz w:val="24"/>
          <w:szCs w:val="24"/>
        </w:rPr>
        <w:t>, ( t.t: Maktabah Syamilah,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Al-Mufass</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Muhamad Basyir, </w:t>
      </w:r>
      <w:r w:rsidRPr="00406F37">
        <w:rPr>
          <w:rFonts w:asciiTheme="majorBidi" w:hAnsiTheme="majorBidi" w:cstheme="majorBidi"/>
          <w:i/>
          <w:iCs/>
          <w:sz w:val="24"/>
          <w:szCs w:val="24"/>
        </w:rPr>
        <w:t>Al-J</w:t>
      </w:r>
      <w:r w:rsidRPr="004F1D24">
        <w:rPr>
          <w:rFonts w:asciiTheme="majorBidi" w:hAnsiTheme="majorBidi" w:cstheme="majorBidi"/>
          <w:i/>
          <w:iCs/>
          <w:sz w:val="24"/>
          <w:szCs w:val="24"/>
        </w:rPr>
        <w:t>ā</w:t>
      </w:r>
      <w:r w:rsidRPr="00406F37">
        <w:rPr>
          <w:rFonts w:asciiTheme="majorBidi" w:hAnsiTheme="majorBidi" w:cstheme="majorBidi"/>
          <w:i/>
          <w:iCs/>
          <w:sz w:val="24"/>
          <w:szCs w:val="24"/>
        </w:rPr>
        <w:t>mi’ al-H</w:t>
      </w:r>
      <w:r w:rsidRPr="004F1D24">
        <w:rPr>
          <w:rFonts w:asciiTheme="majorBidi" w:hAnsiTheme="majorBidi" w:cstheme="majorBidi"/>
          <w:i/>
          <w:iCs/>
          <w:sz w:val="24"/>
          <w:szCs w:val="24"/>
        </w:rPr>
        <w:t>ā</w:t>
      </w:r>
      <w:r w:rsidRPr="00406F37">
        <w:rPr>
          <w:rFonts w:asciiTheme="majorBidi" w:hAnsiTheme="majorBidi" w:cstheme="majorBidi"/>
          <w:i/>
          <w:iCs/>
          <w:sz w:val="24"/>
          <w:szCs w:val="24"/>
        </w:rPr>
        <w:t>d</w:t>
      </w:r>
      <w:r w:rsidRPr="00784DB4">
        <w:rPr>
          <w:rFonts w:asciiTheme="majorBidi" w:hAnsiTheme="majorBidi" w:cstheme="majorBidi"/>
          <w:i/>
          <w:iCs/>
          <w:sz w:val="24"/>
          <w:szCs w:val="24"/>
        </w:rPr>
        <w:t>ī</w:t>
      </w:r>
      <w:r w:rsidRPr="00406F37">
        <w:rPr>
          <w:rFonts w:asciiTheme="majorBidi" w:hAnsiTheme="majorBidi" w:cstheme="majorBidi"/>
          <w:i/>
          <w:iCs/>
          <w:sz w:val="24"/>
          <w:szCs w:val="24"/>
        </w:rPr>
        <w:t>ts F</w:t>
      </w:r>
      <w:r w:rsidRPr="00784DB4">
        <w:rPr>
          <w:rFonts w:asciiTheme="majorBidi" w:hAnsiTheme="majorBidi" w:cstheme="majorBidi"/>
          <w:i/>
          <w:iCs/>
          <w:sz w:val="24"/>
          <w:szCs w:val="24"/>
        </w:rPr>
        <w:t>ī</w:t>
      </w:r>
      <w:r w:rsidRPr="00406F37">
        <w:rPr>
          <w:rFonts w:asciiTheme="majorBidi" w:hAnsiTheme="majorBidi" w:cstheme="majorBidi"/>
          <w:i/>
          <w:iCs/>
          <w:sz w:val="24"/>
          <w:szCs w:val="24"/>
        </w:rPr>
        <w:t xml:space="preserve"> </w:t>
      </w:r>
      <w:r>
        <w:rPr>
          <w:rFonts w:asciiTheme="majorBidi" w:hAnsiTheme="majorBidi" w:cstheme="majorBidi"/>
          <w:i/>
          <w:iCs/>
          <w:sz w:val="24"/>
          <w:szCs w:val="24"/>
        </w:rPr>
        <w:t>‘</w:t>
      </w:r>
      <w:r w:rsidRPr="00406F37">
        <w:rPr>
          <w:rFonts w:asciiTheme="majorBidi" w:hAnsiTheme="majorBidi" w:cstheme="majorBidi"/>
          <w:i/>
          <w:iCs/>
          <w:sz w:val="24"/>
          <w:szCs w:val="24"/>
        </w:rPr>
        <w:t>Ilm Al-F</w:t>
      </w:r>
      <w:r w:rsidRPr="004F1D24">
        <w:rPr>
          <w:rFonts w:asciiTheme="majorBidi" w:hAnsiTheme="majorBidi" w:cstheme="majorBidi"/>
          <w:i/>
          <w:iCs/>
          <w:sz w:val="24"/>
          <w:szCs w:val="24"/>
        </w:rPr>
        <w:t>ā</w:t>
      </w:r>
      <w:r w:rsidRPr="00406F37">
        <w:rPr>
          <w:rFonts w:asciiTheme="majorBidi" w:hAnsiTheme="majorBidi" w:cstheme="majorBidi"/>
          <w:i/>
          <w:iCs/>
          <w:sz w:val="24"/>
          <w:szCs w:val="24"/>
        </w:rPr>
        <w:t>raidh Wa al-M</w:t>
      </w:r>
      <w:r w:rsidRPr="00784DB4">
        <w:rPr>
          <w:rFonts w:asciiTheme="majorBidi" w:hAnsiTheme="majorBidi" w:cstheme="majorBidi"/>
          <w:i/>
          <w:iCs/>
          <w:sz w:val="24"/>
          <w:szCs w:val="24"/>
        </w:rPr>
        <w:t>ī</w:t>
      </w:r>
      <w:r w:rsidRPr="00406F37">
        <w:rPr>
          <w:rFonts w:asciiTheme="majorBidi" w:hAnsiTheme="majorBidi" w:cstheme="majorBidi"/>
          <w:i/>
          <w:iCs/>
          <w:sz w:val="24"/>
          <w:szCs w:val="24"/>
        </w:rPr>
        <w:t>r</w:t>
      </w:r>
      <w:r w:rsidRPr="004F1D24">
        <w:rPr>
          <w:rFonts w:asciiTheme="majorBidi" w:hAnsiTheme="majorBidi" w:cstheme="majorBidi"/>
          <w:i/>
          <w:iCs/>
          <w:sz w:val="24"/>
          <w:szCs w:val="24"/>
        </w:rPr>
        <w:t>ā</w:t>
      </w:r>
      <w:r w:rsidRPr="00406F37">
        <w:rPr>
          <w:rFonts w:asciiTheme="majorBidi" w:hAnsiTheme="majorBidi" w:cstheme="majorBidi"/>
          <w:i/>
          <w:iCs/>
          <w:sz w:val="24"/>
          <w:szCs w:val="24"/>
        </w:rPr>
        <w:t>ts</w:t>
      </w:r>
      <w:r w:rsidRPr="00406F37">
        <w:rPr>
          <w:rFonts w:asciiTheme="majorBidi" w:hAnsiTheme="majorBidi" w:cstheme="majorBidi"/>
          <w:sz w:val="24"/>
          <w:szCs w:val="24"/>
        </w:rPr>
        <w:t>, ( Damascus : Dar al-Majdi, 1997)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ind w:left="810" w:hanging="810"/>
        <w:jc w:val="both"/>
        <w:rPr>
          <w:rFonts w:asciiTheme="majorBidi" w:hAnsiTheme="majorBidi" w:cstheme="majorBidi"/>
          <w:color w:val="000000"/>
        </w:rPr>
      </w:pPr>
      <w:r w:rsidRPr="00406F37">
        <w:rPr>
          <w:rFonts w:asciiTheme="majorBidi" w:hAnsiTheme="majorBidi" w:cstheme="majorBidi"/>
          <w:color w:val="000000"/>
        </w:rPr>
        <w:t>Al-Muttaq</w:t>
      </w:r>
      <w:r w:rsidRPr="0082707B">
        <w:rPr>
          <w:rFonts w:asciiTheme="majorBidi" w:hAnsiTheme="majorBidi" w:cstheme="majorBidi"/>
        </w:rPr>
        <w:t>ī</w:t>
      </w:r>
      <w:r w:rsidRPr="00406F37">
        <w:rPr>
          <w:rFonts w:asciiTheme="majorBidi" w:hAnsiTheme="majorBidi" w:cstheme="majorBidi"/>
          <w:color w:val="000000"/>
        </w:rPr>
        <w:t xml:space="preserve">, ‘Ala al-Din ‘Ali bin Hisyam al-Din, </w:t>
      </w:r>
      <w:r w:rsidRPr="0082707B">
        <w:rPr>
          <w:rFonts w:asciiTheme="majorBidi" w:hAnsiTheme="majorBidi" w:cstheme="majorBidi"/>
          <w:i/>
          <w:iCs/>
        </w:rPr>
        <w:t>Kanz Al-‘Ummal Fi Sunan al-Aqwāl wa Al-Af’āl</w:t>
      </w:r>
      <w:r w:rsidRPr="00406F37">
        <w:rPr>
          <w:rFonts w:asciiTheme="majorBidi" w:hAnsiTheme="majorBidi" w:cstheme="majorBidi"/>
          <w:color w:val="000000"/>
        </w:rPr>
        <w:t>, ( Bairut: Muassah al-Risalah, 1981 M/ 1401 H)</w:t>
      </w:r>
    </w:p>
    <w:p w:rsidR="00343B61" w:rsidRPr="00406F37" w:rsidRDefault="00343B61" w:rsidP="00343B61">
      <w:pPr>
        <w:ind w:left="810" w:hanging="810"/>
        <w:jc w:val="both"/>
        <w:rPr>
          <w:rFonts w:asciiTheme="majorBidi" w:hAnsiTheme="majorBidi" w:cstheme="majorBidi"/>
          <w:color w:val="000000"/>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Al-Nadawī, Alī Ahmad, </w:t>
      </w:r>
      <w:r w:rsidRPr="00406F37">
        <w:rPr>
          <w:rFonts w:asciiTheme="majorBidi" w:hAnsiTheme="majorBidi" w:cstheme="majorBidi"/>
          <w:i/>
          <w:iCs/>
        </w:rPr>
        <w:t>al-Qawā‘id al-Fiqhiyyah</w:t>
      </w:r>
      <w:r w:rsidRPr="00406F37">
        <w:rPr>
          <w:rFonts w:asciiTheme="majorBidi" w:hAnsiTheme="majorBidi" w:cstheme="majorBidi"/>
        </w:rPr>
        <w:t>, (Damaskus: Dār al-Qalam, 2000)</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Al-Najjar, Taqiu al-Din abu Al-Baqa Muhamad bin Ahmad, </w:t>
      </w:r>
      <w:r w:rsidRPr="00492903">
        <w:rPr>
          <w:rFonts w:asciiTheme="majorBidi" w:hAnsiTheme="majorBidi" w:cstheme="majorBidi"/>
          <w:i/>
          <w:iCs/>
          <w:sz w:val="24"/>
          <w:szCs w:val="24"/>
        </w:rPr>
        <w:t>Syarh Al-Kāwākib al-</w:t>
      </w:r>
      <w:r w:rsidRPr="00406F37">
        <w:rPr>
          <w:rFonts w:asciiTheme="majorBidi" w:hAnsiTheme="majorBidi" w:cstheme="majorBidi"/>
          <w:i/>
          <w:iCs/>
          <w:sz w:val="24"/>
          <w:szCs w:val="24"/>
        </w:rPr>
        <w:t>Mun</w:t>
      </w:r>
      <w:r w:rsidRPr="00784DB4">
        <w:rPr>
          <w:rFonts w:asciiTheme="majorBidi" w:hAnsiTheme="majorBidi" w:cstheme="majorBidi"/>
          <w:i/>
          <w:iCs/>
          <w:sz w:val="24"/>
          <w:szCs w:val="24"/>
        </w:rPr>
        <w:t>ī</w:t>
      </w:r>
      <w:r w:rsidRPr="00406F37">
        <w:rPr>
          <w:rFonts w:asciiTheme="majorBidi" w:hAnsiTheme="majorBidi" w:cstheme="majorBidi"/>
          <w:i/>
          <w:iCs/>
          <w:sz w:val="24"/>
          <w:szCs w:val="24"/>
        </w:rPr>
        <w:t>r</w:t>
      </w:r>
      <w:r w:rsidRPr="00406F37">
        <w:rPr>
          <w:rFonts w:asciiTheme="majorBidi" w:hAnsiTheme="majorBidi" w:cstheme="majorBidi"/>
          <w:sz w:val="24"/>
          <w:szCs w:val="24"/>
        </w:rPr>
        <w:t>, ( t.t: Maktabah al-‘Abikan, 1997)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rFonts w:asciiTheme="majorBidi" w:eastAsiaTheme="minorHAnsi" w:hAnsiTheme="majorBidi" w:cstheme="majorBidi"/>
          <w:color w:val="000000"/>
          <w:sz w:val="24"/>
          <w:szCs w:val="24"/>
        </w:rPr>
      </w:pPr>
      <w:r w:rsidRPr="00406F37">
        <w:rPr>
          <w:rFonts w:asciiTheme="majorBidi" w:eastAsiaTheme="minorHAnsi" w:hAnsiTheme="majorBidi" w:cstheme="majorBidi"/>
          <w:color w:val="000000"/>
          <w:sz w:val="24"/>
          <w:szCs w:val="24"/>
        </w:rPr>
        <w:t>Al-Nasa’</w:t>
      </w:r>
      <w:r w:rsidRPr="00492903">
        <w:rPr>
          <w:rFonts w:asciiTheme="majorBidi" w:hAnsiTheme="majorBidi" w:cstheme="majorBidi"/>
          <w:sz w:val="24"/>
          <w:szCs w:val="24"/>
        </w:rPr>
        <w:t>ī</w:t>
      </w:r>
      <w:r w:rsidRPr="00406F37">
        <w:rPr>
          <w:rFonts w:asciiTheme="majorBidi" w:eastAsiaTheme="minorHAnsi" w:hAnsiTheme="majorBidi" w:cstheme="majorBidi"/>
          <w:color w:val="000000"/>
          <w:sz w:val="24"/>
          <w:szCs w:val="24"/>
        </w:rPr>
        <w:t>, Abu Abd Rahman Ahmad bin Syu’aib bin Ali al-Khurasan</w:t>
      </w:r>
      <w:r w:rsidRPr="00492903">
        <w:rPr>
          <w:rFonts w:asciiTheme="majorBidi" w:hAnsiTheme="majorBidi" w:cstheme="majorBidi"/>
          <w:sz w:val="24"/>
          <w:szCs w:val="24"/>
        </w:rPr>
        <w:t>ī</w:t>
      </w:r>
      <w:r w:rsidRPr="00406F37">
        <w:rPr>
          <w:rFonts w:asciiTheme="majorBidi" w:eastAsiaTheme="minorHAnsi" w:hAnsiTheme="majorBidi" w:cstheme="majorBidi"/>
          <w:color w:val="000000"/>
          <w:sz w:val="24"/>
          <w:szCs w:val="24"/>
        </w:rPr>
        <w:t xml:space="preserve">, </w:t>
      </w:r>
      <w:r w:rsidRPr="00406F37">
        <w:rPr>
          <w:rFonts w:asciiTheme="majorBidi" w:eastAsiaTheme="minorHAnsi" w:hAnsiTheme="majorBidi" w:cstheme="majorBidi"/>
          <w:i/>
          <w:iCs/>
          <w:color w:val="000000"/>
          <w:sz w:val="24"/>
          <w:szCs w:val="24"/>
        </w:rPr>
        <w:t>Sunan al-Nasa’</w:t>
      </w:r>
      <w:r w:rsidRPr="00784DB4">
        <w:rPr>
          <w:rFonts w:asciiTheme="majorBidi" w:hAnsiTheme="majorBidi" w:cstheme="majorBidi"/>
          <w:i/>
          <w:iCs/>
          <w:sz w:val="24"/>
          <w:szCs w:val="24"/>
        </w:rPr>
        <w:t>ī</w:t>
      </w:r>
      <w:r w:rsidRPr="00406F37">
        <w:rPr>
          <w:rFonts w:asciiTheme="majorBidi" w:eastAsiaTheme="minorHAnsi" w:hAnsiTheme="majorBidi" w:cstheme="majorBidi"/>
          <w:color w:val="000000"/>
          <w:sz w:val="24"/>
          <w:szCs w:val="24"/>
        </w:rPr>
        <w:t>, ( Mesir: Wizarah al-Auqaf, t.th)</w:t>
      </w:r>
    </w:p>
    <w:p w:rsidR="00343B61" w:rsidRPr="00406F37" w:rsidRDefault="00343B61" w:rsidP="00343B61">
      <w:pPr>
        <w:pStyle w:val="FootnoteText"/>
        <w:spacing w:line="276" w:lineRule="auto"/>
        <w:ind w:left="810" w:hanging="810"/>
        <w:jc w:val="both"/>
        <w:rPr>
          <w:rFonts w:asciiTheme="majorBidi" w:eastAsiaTheme="minorHAnsi" w:hAnsiTheme="majorBidi" w:cstheme="majorBidi"/>
          <w:color w:val="000000"/>
          <w:sz w:val="24"/>
          <w:szCs w:val="24"/>
        </w:rPr>
      </w:pPr>
    </w:p>
    <w:p w:rsidR="00343B61" w:rsidRPr="00492903" w:rsidRDefault="00343B61" w:rsidP="00343B61">
      <w:pPr>
        <w:autoSpaceDE w:val="0"/>
        <w:autoSpaceDN w:val="0"/>
        <w:adjustRightInd w:val="0"/>
        <w:ind w:left="810" w:hanging="810"/>
        <w:jc w:val="both"/>
        <w:rPr>
          <w:rFonts w:asciiTheme="majorBidi" w:hAnsiTheme="majorBidi" w:cstheme="majorBidi"/>
          <w:lang w:val="sv-SE"/>
        </w:rPr>
      </w:pPr>
      <w:r w:rsidRPr="00406F37">
        <w:rPr>
          <w:rFonts w:asciiTheme="majorBidi" w:hAnsiTheme="majorBidi" w:cstheme="majorBidi"/>
        </w:rPr>
        <w:t>Al-Nawaw</w:t>
      </w:r>
      <w:r w:rsidRPr="0082707B">
        <w:rPr>
          <w:rFonts w:asciiTheme="majorBidi" w:hAnsiTheme="majorBidi" w:cstheme="majorBidi"/>
        </w:rPr>
        <w:t>ī</w:t>
      </w:r>
      <w:r w:rsidRPr="00406F37">
        <w:rPr>
          <w:rFonts w:asciiTheme="majorBidi" w:hAnsiTheme="majorBidi" w:cstheme="majorBidi"/>
        </w:rPr>
        <w:t xml:space="preserve">, Abu Zakariya Yahya bin Syaraf,  </w:t>
      </w:r>
      <w:r w:rsidRPr="0082707B">
        <w:rPr>
          <w:rFonts w:asciiTheme="majorBidi" w:hAnsiTheme="majorBidi" w:cstheme="majorBidi"/>
          <w:i/>
          <w:iCs/>
        </w:rPr>
        <w:t>Al-Minhāj Syarh Shahih Muslim bin Hajjāj</w:t>
      </w:r>
      <w:r w:rsidRPr="0082707B">
        <w:rPr>
          <w:rFonts w:asciiTheme="majorBidi" w:hAnsiTheme="majorBidi" w:cstheme="majorBidi"/>
        </w:rPr>
        <w:t>,</w:t>
      </w:r>
      <w:r w:rsidRPr="00406F37">
        <w:rPr>
          <w:rFonts w:asciiTheme="majorBidi" w:hAnsiTheme="majorBidi" w:cstheme="majorBidi"/>
        </w:rPr>
        <w:t xml:space="preserve"> ( Bairut: Dar Ihya Turats al-Arabi, 1392 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Al-Qaraf</w:t>
      </w:r>
      <w:r w:rsidRPr="00492903">
        <w:rPr>
          <w:rFonts w:asciiTheme="majorBidi" w:hAnsiTheme="majorBidi" w:cstheme="majorBidi"/>
          <w:sz w:val="24"/>
          <w:szCs w:val="24"/>
        </w:rPr>
        <w:t xml:space="preserve"> ī</w:t>
      </w:r>
      <w:r w:rsidRPr="00406F37">
        <w:rPr>
          <w:rFonts w:asciiTheme="majorBidi" w:hAnsiTheme="majorBidi" w:cstheme="majorBidi"/>
          <w:sz w:val="24"/>
          <w:szCs w:val="24"/>
        </w:rPr>
        <w:t xml:space="preserve"> , </w:t>
      </w:r>
      <w:r w:rsidRPr="00406F37">
        <w:rPr>
          <w:rFonts w:asciiTheme="majorBidi" w:hAnsiTheme="majorBidi" w:cstheme="majorBidi"/>
          <w:i/>
          <w:iCs/>
          <w:sz w:val="24"/>
          <w:szCs w:val="24"/>
        </w:rPr>
        <w:t>Al-Fur</w:t>
      </w:r>
      <w:r w:rsidRPr="00492903">
        <w:rPr>
          <w:rFonts w:asciiTheme="majorBidi" w:hAnsiTheme="majorBidi" w:cstheme="majorBidi"/>
          <w:i/>
          <w:iCs/>
          <w:sz w:val="24"/>
          <w:szCs w:val="24"/>
        </w:rPr>
        <w:t>ū</w:t>
      </w:r>
      <w:r w:rsidRPr="00406F37">
        <w:rPr>
          <w:rFonts w:asciiTheme="majorBidi" w:hAnsiTheme="majorBidi" w:cstheme="majorBidi"/>
          <w:i/>
          <w:iCs/>
          <w:sz w:val="24"/>
          <w:szCs w:val="24"/>
        </w:rPr>
        <w:t>q</w:t>
      </w:r>
      <w:r w:rsidRPr="00406F37">
        <w:rPr>
          <w:rFonts w:asciiTheme="majorBidi" w:hAnsiTheme="majorBidi" w:cstheme="majorBidi"/>
          <w:sz w:val="24"/>
          <w:szCs w:val="24"/>
        </w:rPr>
        <w:t>, (Beirut: Alam al-Kutub,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Al-Qaraf</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 </w:t>
      </w:r>
      <w:r w:rsidRPr="00406F37">
        <w:rPr>
          <w:rFonts w:asciiTheme="majorBidi" w:hAnsiTheme="majorBidi" w:cstheme="majorBidi"/>
          <w:i/>
          <w:iCs/>
          <w:sz w:val="24"/>
          <w:szCs w:val="24"/>
        </w:rPr>
        <w:t>Tanq</w:t>
      </w:r>
      <w:r w:rsidRPr="00492903">
        <w:rPr>
          <w:rFonts w:asciiTheme="majorBidi" w:hAnsiTheme="majorBidi" w:cstheme="majorBidi"/>
          <w:i/>
          <w:iCs/>
          <w:sz w:val="24"/>
          <w:szCs w:val="24"/>
        </w:rPr>
        <w:t>ī</w:t>
      </w:r>
      <w:r w:rsidRPr="00406F37">
        <w:rPr>
          <w:rFonts w:asciiTheme="majorBidi" w:hAnsiTheme="majorBidi" w:cstheme="majorBidi"/>
          <w:i/>
          <w:iCs/>
          <w:sz w:val="24"/>
          <w:szCs w:val="24"/>
        </w:rPr>
        <w:t>h al-Fush</w:t>
      </w:r>
      <w:r w:rsidRPr="00492903">
        <w:rPr>
          <w:rFonts w:asciiTheme="majorBidi" w:hAnsiTheme="majorBidi" w:cstheme="majorBidi"/>
          <w:i/>
          <w:iCs/>
          <w:sz w:val="24"/>
          <w:szCs w:val="24"/>
        </w:rPr>
        <w:t>ū</w:t>
      </w:r>
      <w:r w:rsidRPr="00406F37">
        <w:rPr>
          <w:rFonts w:asciiTheme="majorBidi" w:hAnsiTheme="majorBidi" w:cstheme="majorBidi"/>
          <w:i/>
          <w:iCs/>
          <w:sz w:val="24"/>
          <w:szCs w:val="24"/>
        </w:rPr>
        <w:t xml:space="preserve">l, </w:t>
      </w:r>
      <w:r w:rsidRPr="00406F37">
        <w:rPr>
          <w:rFonts w:asciiTheme="majorBidi" w:hAnsiTheme="majorBidi" w:cstheme="majorBidi"/>
          <w:sz w:val="24"/>
          <w:szCs w:val="24"/>
        </w:rPr>
        <w:t>(Beirut : Dār al-Fikr,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ListParagraph"/>
        <w:ind w:left="810" w:hanging="810"/>
        <w:jc w:val="both"/>
        <w:rPr>
          <w:rFonts w:asciiTheme="majorBidi" w:hAnsiTheme="majorBidi" w:cstheme="majorBidi"/>
          <w:sz w:val="24"/>
          <w:szCs w:val="24"/>
        </w:rPr>
      </w:pPr>
      <w:r>
        <w:rPr>
          <w:rFonts w:asciiTheme="majorBidi" w:hAnsiTheme="majorBidi" w:cstheme="majorBidi"/>
          <w:sz w:val="24"/>
          <w:szCs w:val="24"/>
        </w:rPr>
        <w:t>Al-Qardhāwī</w:t>
      </w:r>
      <w:r w:rsidRPr="00406F37">
        <w:rPr>
          <w:rFonts w:asciiTheme="majorBidi" w:hAnsiTheme="majorBidi" w:cstheme="majorBidi"/>
          <w:sz w:val="24"/>
          <w:szCs w:val="24"/>
        </w:rPr>
        <w:t>, Yusuf</w:t>
      </w:r>
      <w:r>
        <w:rPr>
          <w:rFonts w:asciiTheme="majorBidi" w:hAnsiTheme="majorBidi" w:cstheme="majorBidi"/>
          <w:sz w:val="24"/>
          <w:szCs w:val="24"/>
        </w:rPr>
        <w:t>,</w:t>
      </w:r>
      <w:r w:rsidRPr="00406F37">
        <w:rPr>
          <w:rFonts w:asciiTheme="majorBidi" w:hAnsiTheme="majorBidi" w:cstheme="majorBidi"/>
          <w:sz w:val="24"/>
          <w:szCs w:val="24"/>
        </w:rPr>
        <w:t xml:space="preserve"> </w:t>
      </w:r>
      <w:r w:rsidRPr="00406F37">
        <w:rPr>
          <w:rFonts w:asciiTheme="majorBidi" w:hAnsiTheme="majorBidi" w:cstheme="majorBidi"/>
          <w:i/>
          <w:iCs/>
          <w:sz w:val="24"/>
          <w:szCs w:val="24"/>
        </w:rPr>
        <w:t>Dir</w:t>
      </w:r>
      <w:r w:rsidRPr="0082707B">
        <w:rPr>
          <w:rFonts w:asciiTheme="majorBidi" w:hAnsiTheme="majorBidi" w:cstheme="majorBidi"/>
          <w:i/>
          <w:iCs/>
          <w:sz w:val="24"/>
          <w:szCs w:val="24"/>
        </w:rPr>
        <w:t>ā</w:t>
      </w:r>
      <w:r w:rsidRPr="00406F37">
        <w:rPr>
          <w:rFonts w:asciiTheme="majorBidi" w:hAnsiTheme="majorBidi" w:cstheme="majorBidi"/>
          <w:i/>
          <w:iCs/>
          <w:sz w:val="24"/>
          <w:szCs w:val="24"/>
        </w:rPr>
        <w:t>sah f</w:t>
      </w:r>
      <w:r w:rsidRPr="00492903">
        <w:rPr>
          <w:rFonts w:asciiTheme="majorBidi" w:hAnsiTheme="majorBidi" w:cstheme="majorBidi"/>
          <w:i/>
          <w:iCs/>
          <w:sz w:val="24"/>
          <w:szCs w:val="24"/>
        </w:rPr>
        <w:t>ī</w:t>
      </w:r>
      <w:r w:rsidRPr="00406F37">
        <w:rPr>
          <w:rFonts w:asciiTheme="majorBidi" w:hAnsiTheme="majorBidi" w:cstheme="majorBidi"/>
          <w:i/>
          <w:iCs/>
          <w:sz w:val="24"/>
          <w:szCs w:val="24"/>
        </w:rPr>
        <w:t xml:space="preserve"> Fiqh Maq</w:t>
      </w:r>
      <w:r w:rsidRPr="0082707B">
        <w:rPr>
          <w:rFonts w:asciiTheme="majorBidi" w:hAnsiTheme="majorBidi" w:cstheme="majorBidi"/>
          <w:i/>
          <w:iCs/>
          <w:sz w:val="24"/>
          <w:szCs w:val="24"/>
        </w:rPr>
        <w:t>ā</w:t>
      </w:r>
      <w:r w:rsidRPr="00406F37">
        <w:rPr>
          <w:rFonts w:asciiTheme="majorBidi" w:hAnsiTheme="majorBidi" w:cstheme="majorBidi"/>
          <w:i/>
          <w:iCs/>
          <w:sz w:val="24"/>
          <w:szCs w:val="24"/>
        </w:rPr>
        <w:t>shid al-Syari’ah, Bain al-Maq</w:t>
      </w:r>
      <w:r w:rsidRPr="0082707B">
        <w:rPr>
          <w:rFonts w:asciiTheme="majorBidi" w:hAnsiTheme="majorBidi" w:cstheme="majorBidi"/>
          <w:i/>
          <w:iCs/>
          <w:sz w:val="24"/>
          <w:szCs w:val="24"/>
        </w:rPr>
        <w:t>ā</w:t>
      </w:r>
      <w:r w:rsidRPr="00406F37">
        <w:rPr>
          <w:rFonts w:asciiTheme="majorBidi" w:hAnsiTheme="majorBidi" w:cstheme="majorBidi"/>
          <w:i/>
          <w:iCs/>
          <w:sz w:val="24"/>
          <w:szCs w:val="24"/>
        </w:rPr>
        <w:t>shid Kulliah wa an-Nush</w:t>
      </w:r>
      <w:r w:rsidRPr="00492903">
        <w:rPr>
          <w:rFonts w:asciiTheme="majorBidi" w:hAnsiTheme="majorBidi" w:cstheme="majorBidi"/>
          <w:i/>
          <w:iCs/>
          <w:sz w:val="24"/>
          <w:szCs w:val="24"/>
        </w:rPr>
        <w:t>ū</w:t>
      </w:r>
      <w:r w:rsidRPr="00406F37">
        <w:rPr>
          <w:rFonts w:asciiTheme="majorBidi" w:hAnsiTheme="majorBidi" w:cstheme="majorBidi"/>
          <w:i/>
          <w:iCs/>
          <w:sz w:val="24"/>
          <w:szCs w:val="24"/>
        </w:rPr>
        <w:t>s al-Juz’iya</w:t>
      </w:r>
      <w:r>
        <w:rPr>
          <w:rFonts w:asciiTheme="majorBidi" w:hAnsiTheme="majorBidi" w:cstheme="majorBidi"/>
          <w:i/>
          <w:iCs/>
          <w:sz w:val="24"/>
          <w:szCs w:val="24"/>
        </w:rPr>
        <w:t>h</w:t>
      </w:r>
      <w:r w:rsidRPr="00406F37">
        <w:rPr>
          <w:rFonts w:asciiTheme="majorBidi" w:hAnsiTheme="majorBidi" w:cstheme="majorBidi"/>
          <w:sz w:val="24"/>
          <w:szCs w:val="24"/>
        </w:rPr>
        <w:t xml:space="preserve"> ( Mesir: Dar al-Syuruq, 2008) </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Pr>
          <w:rFonts w:asciiTheme="majorBidi" w:hAnsiTheme="majorBidi" w:cstheme="majorBidi"/>
          <w:sz w:val="24"/>
          <w:szCs w:val="24"/>
        </w:rPr>
        <w:t>Al-Qardhāwī</w:t>
      </w:r>
      <w:r w:rsidRPr="00406F37">
        <w:rPr>
          <w:rFonts w:asciiTheme="majorBidi" w:hAnsiTheme="majorBidi" w:cstheme="majorBidi"/>
          <w:sz w:val="24"/>
          <w:szCs w:val="24"/>
        </w:rPr>
        <w:t xml:space="preserve">, Yusuf, </w:t>
      </w:r>
      <w:r w:rsidRPr="00526D6C">
        <w:rPr>
          <w:rFonts w:asciiTheme="majorBidi" w:hAnsiTheme="majorBidi" w:cstheme="majorBidi"/>
          <w:i/>
          <w:iCs/>
          <w:sz w:val="24"/>
          <w:szCs w:val="24"/>
        </w:rPr>
        <w:t>Ushūl al-Fiqh al-Islāmi</w:t>
      </w:r>
      <w:r w:rsidRPr="00406F37">
        <w:rPr>
          <w:rFonts w:asciiTheme="majorBidi" w:hAnsiTheme="majorBidi" w:cstheme="majorBidi"/>
          <w:sz w:val="24"/>
          <w:szCs w:val="24"/>
        </w:rPr>
        <w:t>, ( Bairut: Dar al-Fikr, 1998)</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Pr>
          <w:rFonts w:asciiTheme="majorBidi" w:hAnsiTheme="majorBidi" w:cstheme="majorBidi"/>
          <w:sz w:val="24"/>
          <w:szCs w:val="24"/>
        </w:rPr>
        <w:t>Al-Qardhāwī</w:t>
      </w:r>
      <w:r w:rsidRPr="00406F37">
        <w:rPr>
          <w:rFonts w:asciiTheme="majorBidi" w:hAnsiTheme="majorBidi" w:cstheme="majorBidi"/>
          <w:sz w:val="24"/>
          <w:szCs w:val="24"/>
        </w:rPr>
        <w:t xml:space="preserve">, Yusuf, </w:t>
      </w:r>
      <w:r w:rsidRPr="00406F37">
        <w:rPr>
          <w:rFonts w:asciiTheme="majorBidi" w:hAnsiTheme="majorBidi" w:cstheme="majorBidi"/>
          <w:i/>
          <w:iCs/>
          <w:sz w:val="24"/>
          <w:szCs w:val="24"/>
        </w:rPr>
        <w:t>al-Fatw</w:t>
      </w:r>
      <w:r w:rsidRPr="0082707B">
        <w:rPr>
          <w:rFonts w:asciiTheme="majorBidi" w:hAnsiTheme="majorBidi" w:cstheme="majorBidi"/>
          <w:i/>
          <w:iCs/>
          <w:sz w:val="24"/>
          <w:szCs w:val="24"/>
        </w:rPr>
        <w:t>ā</w:t>
      </w:r>
      <w:r w:rsidRPr="00406F37">
        <w:rPr>
          <w:rFonts w:asciiTheme="majorBidi" w:hAnsiTheme="majorBidi" w:cstheme="majorBidi"/>
          <w:i/>
          <w:iCs/>
          <w:sz w:val="24"/>
          <w:szCs w:val="24"/>
        </w:rPr>
        <w:t xml:space="preserve"> Bayn al-Indib</w:t>
      </w:r>
      <w:r w:rsidRPr="0082707B">
        <w:rPr>
          <w:rFonts w:asciiTheme="majorBidi" w:hAnsiTheme="majorBidi" w:cstheme="majorBidi"/>
          <w:i/>
          <w:iCs/>
          <w:sz w:val="24"/>
          <w:szCs w:val="24"/>
        </w:rPr>
        <w:t>ā</w:t>
      </w:r>
      <w:r w:rsidRPr="00406F37">
        <w:rPr>
          <w:rFonts w:asciiTheme="majorBidi" w:hAnsiTheme="majorBidi" w:cstheme="majorBidi"/>
          <w:i/>
          <w:iCs/>
          <w:sz w:val="24"/>
          <w:szCs w:val="24"/>
        </w:rPr>
        <w:t>t wa al-Tasayyub</w:t>
      </w:r>
      <w:r w:rsidRPr="00406F37">
        <w:rPr>
          <w:rFonts w:asciiTheme="majorBidi" w:hAnsiTheme="majorBidi" w:cstheme="majorBidi"/>
          <w:sz w:val="24"/>
          <w:szCs w:val="24"/>
        </w:rPr>
        <w:t xml:space="preserve"> (Kairo: Dar Sahwah li al-Nashr wa al-Tawzi‘, 1988)</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sz w:val="24"/>
          <w:szCs w:val="24"/>
        </w:rPr>
      </w:pPr>
      <w:r w:rsidRPr="00406F37">
        <w:rPr>
          <w:sz w:val="24"/>
          <w:szCs w:val="24"/>
        </w:rPr>
        <w:t>Al-Qardh</w:t>
      </w:r>
      <w:r w:rsidRPr="00492903">
        <w:rPr>
          <w:rFonts w:asciiTheme="majorBidi" w:hAnsiTheme="majorBidi" w:cstheme="majorBidi"/>
          <w:sz w:val="24"/>
          <w:szCs w:val="24"/>
        </w:rPr>
        <w:t>ā</w:t>
      </w:r>
      <w:r w:rsidRPr="00406F37">
        <w:rPr>
          <w:sz w:val="24"/>
          <w:szCs w:val="24"/>
        </w:rPr>
        <w:t>w</w:t>
      </w:r>
      <w:r>
        <w:rPr>
          <w:rFonts w:asciiTheme="majorBidi" w:hAnsiTheme="majorBidi" w:cstheme="majorBidi"/>
          <w:sz w:val="24"/>
          <w:szCs w:val="24"/>
        </w:rPr>
        <w:t>ī</w:t>
      </w:r>
      <w:r>
        <w:rPr>
          <w:sz w:val="24"/>
          <w:szCs w:val="24"/>
        </w:rPr>
        <w:t>, Yu</w:t>
      </w:r>
      <w:r w:rsidRPr="00406F37">
        <w:rPr>
          <w:sz w:val="24"/>
          <w:szCs w:val="24"/>
        </w:rPr>
        <w:t xml:space="preserve">suf, </w:t>
      </w:r>
      <w:r w:rsidRPr="00406F37">
        <w:rPr>
          <w:i/>
          <w:iCs/>
          <w:sz w:val="24"/>
          <w:szCs w:val="24"/>
        </w:rPr>
        <w:t>al-Ijtih</w:t>
      </w:r>
      <w:r w:rsidRPr="0082707B">
        <w:rPr>
          <w:rFonts w:asciiTheme="majorBidi" w:hAnsiTheme="majorBidi" w:cstheme="majorBidi"/>
          <w:i/>
          <w:iCs/>
          <w:sz w:val="24"/>
          <w:szCs w:val="24"/>
        </w:rPr>
        <w:t>ā</w:t>
      </w:r>
      <w:r w:rsidRPr="00406F37">
        <w:rPr>
          <w:i/>
          <w:iCs/>
          <w:sz w:val="24"/>
          <w:szCs w:val="24"/>
        </w:rPr>
        <w:t xml:space="preserve">d </w:t>
      </w:r>
      <w:r w:rsidRPr="00492903">
        <w:rPr>
          <w:i/>
          <w:iCs/>
          <w:sz w:val="24"/>
          <w:szCs w:val="24"/>
        </w:rPr>
        <w:t>f</w:t>
      </w:r>
      <w:r w:rsidRPr="00492903">
        <w:rPr>
          <w:rFonts w:asciiTheme="majorBidi" w:hAnsiTheme="majorBidi" w:cstheme="majorBidi"/>
          <w:i/>
          <w:iCs/>
          <w:sz w:val="24"/>
          <w:szCs w:val="24"/>
        </w:rPr>
        <w:t>ī</w:t>
      </w:r>
      <w:r w:rsidRPr="00406F37">
        <w:rPr>
          <w:i/>
          <w:iCs/>
          <w:sz w:val="24"/>
          <w:szCs w:val="24"/>
        </w:rPr>
        <w:t xml:space="preserve"> al-Syar</w:t>
      </w:r>
      <w:r w:rsidRPr="00492903">
        <w:rPr>
          <w:rFonts w:asciiTheme="majorBidi" w:hAnsiTheme="majorBidi" w:cstheme="majorBidi"/>
          <w:i/>
          <w:iCs/>
          <w:sz w:val="24"/>
          <w:szCs w:val="24"/>
        </w:rPr>
        <w:t>ī</w:t>
      </w:r>
      <w:r w:rsidRPr="00406F37">
        <w:rPr>
          <w:rFonts w:ascii="TimesNewRoman,Italic" w:cs="TimesNewRoman,Italic" w:hint="cs"/>
          <w:i/>
          <w:iCs/>
          <w:sz w:val="24"/>
          <w:szCs w:val="24"/>
        </w:rPr>
        <w:t>’</w:t>
      </w:r>
      <w:r w:rsidRPr="00406F37">
        <w:rPr>
          <w:i/>
          <w:iCs/>
          <w:sz w:val="24"/>
          <w:szCs w:val="24"/>
        </w:rPr>
        <w:t>ah al-Isl</w:t>
      </w:r>
      <w:r w:rsidRPr="0082707B">
        <w:rPr>
          <w:rFonts w:asciiTheme="majorBidi" w:hAnsiTheme="majorBidi" w:cstheme="majorBidi"/>
          <w:i/>
          <w:iCs/>
          <w:sz w:val="24"/>
          <w:szCs w:val="24"/>
        </w:rPr>
        <w:t>ā</w:t>
      </w:r>
      <w:r w:rsidRPr="00406F37">
        <w:rPr>
          <w:i/>
          <w:iCs/>
          <w:sz w:val="24"/>
          <w:szCs w:val="24"/>
        </w:rPr>
        <w:t>miyah ma</w:t>
      </w:r>
      <w:r w:rsidRPr="00406F37">
        <w:rPr>
          <w:rFonts w:ascii="TimesNewRoman,Italic" w:cs="TimesNewRoman,Italic" w:hint="cs"/>
          <w:i/>
          <w:iCs/>
          <w:sz w:val="24"/>
          <w:szCs w:val="24"/>
        </w:rPr>
        <w:t>’</w:t>
      </w:r>
      <w:r w:rsidRPr="00406F37">
        <w:rPr>
          <w:i/>
          <w:iCs/>
          <w:sz w:val="24"/>
          <w:szCs w:val="24"/>
        </w:rPr>
        <w:t>a Nazhar</w:t>
      </w:r>
      <w:r w:rsidRPr="0082707B">
        <w:rPr>
          <w:rFonts w:asciiTheme="majorBidi" w:hAnsiTheme="majorBidi" w:cstheme="majorBidi"/>
          <w:i/>
          <w:iCs/>
          <w:sz w:val="24"/>
          <w:szCs w:val="24"/>
        </w:rPr>
        <w:t>ā</w:t>
      </w:r>
      <w:r w:rsidRPr="00406F37">
        <w:rPr>
          <w:i/>
          <w:iCs/>
          <w:sz w:val="24"/>
          <w:szCs w:val="24"/>
        </w:rPr>
        <w:t>t Tahl</w:t>
      </w:r>
      <w:r w:rsidRPr="00492903">
        <w:rPr>
          <w:rFonts w:asciiTheme="majorBidi" w:hAnsiTheme="majorBidi" w:cstheme="majorBidi"/>
          <w:i/>
          <w:iCs/>
          <w:sz w:val="24"/>
          <w:szCs w:val="24"/>
        </w:rPr>
        <w:t>ī</w:t>
      </w:r>
      <w:r w:rsidRPr="00406F37">
        <w:rPr>
          <w:i/>
          <w:iCs/>
          <w:sz w:val="24"/>
          <w:szCs w:val="24"/>
        </w:rPr>
        <w:t>liyah f</w:t>
      </w:r>
      <w:r w:rsidRPr="00492903">
        <w:rPr>
          <w:rFonts w:asciiTheme="majorBidi" w:hAnsiTheme="majorBidi" w:cstheme="majorBidi"/>
          <w:i/>
          <w:iCs/>
          <w:sz w:val="24"/>
          <w:szCs w:val="24"/>
        </w:rPr>
        <w:t>ī</w:t>
      </w:r>
      <w:r w:rsidRPr="00406F37">
        <w:rPr>
          <w:i/>
          <w:iCs/>
          <w:sz w:val="24"/>
          <w:szCs w:val="24"/>
        </w:rPr>
        <w:t xml:space="preserve"> al- Ijtih</w:t>
      </w:r>
      <w:r w:rsidRPr="0082707B">
        <w:rPr>
          <w:rFonts w:asciiTheme="majorBidi" w:hAnsiTheme="majorBidi" w:cstheme="majorBidi"/>
          <w:i/>
          <w:iCs/>
          <w:sz w:val="24"/>
          <w:szCs w:val="24"/>
        </w:rPr>
        <w:t>ā</w:t>
      </w:r>
      <w:r w:rsidRPr="00406F37">
        <w:rPr>
          <w:i/>
          <w:iCs/>
          <w:sz w:val="24"/>
          <w:szCs w:val="24"/>
        </w:rPr>
        <w:t>d al-Mu</w:t>
      </w:r>
      <w:r w:rsidRPr="00406F37">
        <w:rPr>
          <w:rFonts w:ascii="TimesNewRoman,Italic" w:cs="TimesNewRoman,Italic" w:hint="cs"/>
          <w:i/>
          <w:iCs/>
          <w:sz w:val="24"/>
          <w:szCs w:val="24"/>
        </w:rPr>
        <w:t>’</w:t>
      </w:r>
      <w:r w:rsidRPr="0082707B">
        <w:rPr>
          <w:rFonts w:asciiTheme="majorBidi" w:hAnsiTheme="majorBidi" w:cstheme="majorBidi"/>
          <w:i/>
          <w:iCs/>
          <w:sz w:val="24"/>
          <w:szCs w:val="24"/>
        </w:rPr>
        <w:t>ā</w:t>
      </w:r>
      <w:r w:rsidRPr="00406F37">
        <w:rPr>
          <w:i/>
          <w:iCs/>
          <w:sz w:val="24"/>
          <w:szCs w:val="24"/>
        </w:rPr>
        <w:t xml:space="preserve">shir, </w:t>
      </w:r>
      <w:r w:rsidRPr="00406F37">
        <w:rPr>
          <w:sz w:val="24"/>
          <w:szCs w:val="24"/>
        </w:rPr>
        <w:t>(Kuwait, Dar al-Qalam 1985)</w:t>
      </w:r>
    </w:p>
    <w:p w:rsidR="00343B61" w:rsidRPr="007A7DF9" w:rsidRDefault="00343B61" w:rsidP="00343B61">
      <w:pPr>
        <w:pStyle w:val="FootnoteText"/>
        <w:spacing w:line="276" w:lineRule="auto"/>
        <w:ind w:left="810" w:hanging="810"/>
        <w:jc w:val="both"/>
        <w:rPr>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Al-Qardhow</w:t>
      </w:r>
      <w:r w:rsidRPr="0082707B">
        <w:rPr>
          <w:rFonts w:asciiTheme="majorBidi" w:hAnsiTheme="majorBidi" w:cstheme="majorBidi"/>
          <w:sz w:val="24"/>
          <w:szCs w:val="24"/>
        </w:rPr>
        <w:t>ī</w:t>
      </w:r>
      <w:r w:rsidRPr="00406F37">
        <w:rPr>
          <w:rFonts w:asciiTheme="majorBidi" w:hAnsiTheme="majorBidi" w:cstheme="majorBidi"/>
          <w:sz w:val="24"/>
          <w:szCs w:val="24"/>
        </w:rPr>
        <w:t xml:space="preserve">,Yusuf, </w:t>
      </w:r>
      <w:r w:rsidRPr="00406F37">
        <w:rPr>
          <w:rFonts w:asciiTheme="majorBidi" w:hAnsiTheme="majorBidi" w:cstheme="majorBidi"/>
          <w:i/>
          <w:iCs/>
          <w:sz w:val="24"/>
          <w:szCs w:val="24"/>
        </w:rPr>
        <w:t>Mal</w:t>
      </w:r>
      <w:r w:rsidRPr="0082707B">
        <w:rPr>
          <w:rFonts w:asciiTheme="majorBidi" w:hAnsiTheme="majorBidi" w:cstheme="majorBidi"/>
          <w:i/>
          <w:iCs/>
          <w:sz w:val="24"/>
          <w:szCs w:val="24"/>
        </w:rPr>
        <w:t>ā</w:t>
      </w:r>
      <w:r w:rsidRPr="00406F37">
        <w:rPr>
          <w:rFonts w:asciiTheme="majorBidi" w:hAnsiTheme="majorBidi" w:cstheme="majorBidi"/>
          <w:i/>
          <w:iCs/>
          <w:sz w:val="24"/>
          <w:szCs w:val="24"/>
        </w:rPr>
        <w:t>mih al-Mujtama’ al-Muslim alladzi Nasy</w:t>
      </w:r>
      <w:r w:rsidRPr="00526D6C">
        <w:rPr>
          <w:rFonts w:asciiTheme="majorBidi" w:hAnsiTheme="majorBidi" w:cstheme="majorBidi"/>
          <w:i/>
          <w:iCs/>
          <w:sz w:val="24"/>
          <w:szCs w:val="24"/>
        </w:rPr>
        <w:t>ū</w:t>
      </w:r>
      <w:r w:rsidRPr="00406F37">
        <w:rPr>
          <w:rFonts w:asciiTheme="majorBidi" w:hAnsiTheme="majorBidi" w:cstheme="majorBidi"/>
          <w:i/>
          <w:iCs/>
          <w:sz w:val="24"/>
          <w:szCs w:val="24"/>
        </w:rPr>
        <w:t>dhuh</w:t>
      </w:r>
      <w:r w:rsidRPr="00526D6C">
        <w:rPr>
          <w:rFonts w:asciiTheme="majorBidi" w:hAnsiTheme="majorBidi" w:cstheme="majorBidi"/>
          <w:i/>
          <w:iCs/>
          <w:sz w:val="24"/>
          <w:szCs w:val="24"/>
        </w:rPr>
        <w:t>ū</w:t>
      </w:r>
      <w:r w:rsidRPr="00406F37">
        <w:rPr>
          <w:rFonts w:asciiTheme="majorBidi" w:hAnsiTheme="majorBidi" w:cstheme="majorBidi"/>
          <w:sz w:val="24"/>
          <w:szCs w:val="24"/>
        </w:rPr>
        <w:t>, ( Kairo: Maktabah Wahbah, 2001)</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Al-Qasim</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Muhammad, </w:t>
      </w:r>
      <w:r w:rsidRPr="00406F37">
        <w:rPr>
          <w:rFonts w:asciiTheme="majorBidi" w:hAnsiTheme="majorBidi" w:cstheme="majorBidi"/>
          <w:i/>
          <w:iCs/>
          <w:sz w:val="24"/>
          <w:szCs w:val="24"/>
        </w:rPr>
        <w:t>Mab</w:t>
      </w:r>
      <w:r w:rsidRPr="0082707B">
        <w:rPr>
          <w:rFonts w:asciiTheme="majorBidi" w:hAnsiTheme="majorBidi" w:cstheme="majorBidi"/>
          <w:i/>
          <w:iCs/>
          <w:sz w:val="24"/>
          <w:szCs w:val="24"/>
        </w:rPr>
        <w:t>ā</w:t>
      </w:r>
      <w:r w:rsidRPr="00406F37">
        <w:rPr>
          <w:rFonts w:asciiTheme="majorBidi" w:hAnsiTheme="majorBidi" w:cstheme="majorBidi"/>
          <w:i/>
          <w:iCs/>
          <w:sz w:val="24"/>
          <w:szCs w:val="24"/>
        </w:rPr>
        <w:t>h</w:t>
      </w:r>
      <w:r w:rsidRPr="00492903">
        <w:rPr>
          <w:rFonts w:asciiTheme="majorBidi" w:hAnsiTheme="majorBidi" w:cstheme="majorBidi"/>
          <w:i/>
          <w:iCs/>
          <w:sz w:val="24"/>
          <w:szCs w:val="24"/>
        </w:rPr>
        <w:t>ī</w:t>
      </w:r>
      <w:r w:rsidRPr="00406F37">
        <w:rPr>
          <w:rFonts w:asciiTheme="majorBidi" w:hAnsiTheme="majorBidi" w:cstheme="majorBidi"/>
          <w:i/>
          <w:iCs/>
          <w:sz w:val="24"/>
          <w:szCs w:val="24"/>
        </w:rPr>
        <w:t>s</w:t>
      </w:r>
      <w:r>
        <w:rPr>
          <w:rFonts w:asciiTheme="majorBidi" w:hAnsiTheme="majorBidi" w:cstheme="majorBidi"/>
          <w:i/>
          <w:iCs/>
          <w:sz w:val="24"/>
          <w:szCs w:val="24"/>
        </w:rPr>
        <w:t>t</w:t>
      </w:r>
      <w:r w:rsidRPr="00406F37">
        <w:rPr>
          <w:rFonts w:asciiTheme="majorBidi" w:hAnsiTheme="majorBidi" w:cstheme="majorBidi"/>
          <w:i/>
          <w:iCs/>
          <w:sz w:val="24"/>
          <w:szCs w:val="24"/>
        </w:rPr>
        <w:t xml:space="preserve"> At-Takw</w:t>
      </w:r>
      <w:r w:rsidRPr="00492903">
        <w:rPr>
          <w:rFonts w:asciiTheme="majorBidi" w:hAnsiTheme="majorBidi" w:cstheme="majorBidi"/>
          <w:i/>
          <w:iCs/>
          <w:sz w:val="24"/>
          <w:szCs w:val="24"/>
        </w:rPr>
        <w:t>ī</w:t>
      </w:r>
      <w:r w:rsidRPr="00406F37">
        <w:rPr>
          <w:rFonts w:asciiTheme="majorBidi" w:hAnsiTheme="majorBidi" w:cstheme="majorBidi"/>
          <w:i/>
          <w:iCs/>
          <w:sz w:val="24"/>
          <w:szCs w:val="24"/>
        </w:rPr>
        <w:t>l</w:t>
      </w:r>
      <w:r w:rsidRPr="00406F37">
        <w:rPr>
          <w:rFonts w:asciiTheme="majorBidi" w:hAnsiTheme="majorBidi" w:cstheme="majorBidi"/>
          <w:sz w:val="24"/>
          <w:szCs w:val="24"/>
        </w:rPr>
        <w:t>, ( Damascus: Dar al-Fikr, 2001)</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Al-Qathan, Manna'</w:t>
      </w:r>
      <w:r w:rsidRPr="00406F37">
        <w:rPr>
          <w:rFonts w:asciiTheme="majorBidi" w:hAnsiTheme="majorBidi" w:cstheme="majorBidi"/>
          <w:i/>
          <w:iCs/>
          <w:sz w:val="24"/>
          <w:szCs w:val="24"/>
        </w:rPr>
        <w:t xml:space="preserve">, </w:t>
      </w:r>
      <w:r w:rsidRPr="0082707B">
        <w:rPr>
          <w:rFonts w:asciiTheme="majorBidi" w:hAnsiTheme="majorBidi" w:cstheme="majorBidi"/>
          <w:i/>
          <w:iCs/>
          <w:sz w:val="24"/>
          <w:szCs w:val="24"/>
        </w:rPr>
        <w:t>Mab</w:t>
      </w:r>
      <w:r w:rsidRPr="0082707B">
        <w:rPr>
          <w:rFonts w:asciiTheme="majorBidi" w:hAnsiTheme="majorBidi" w:cstheme="majorBidi"/>
          <w:i/>
          <w:iCs/>
          <w:sz w:val="24"/>
          <w:szCs w:val="24"/>
          <w:lang w:val="id-ID"/>
        </w:rPr>
        <w:t>ā</w:t>
      </w:r>
      <w:r w:rsidRPr="0082707B">
        <w:rPr>
          <w:rFonts w:asciiTheme="majorBidi" w:hAnsiTheme="majorBidi" w:cstheme="majorBidi"/>
          <w:i/>
          <w:iCs/>
          <w:sz w:val="24"/>
          <w:szCs w:val="24"/>
        </w:rPr>
        <w:t xml:space="preserve">hits fī </w:t>
      </w:r>
      <w:r w:rsidRPr="00406F37">
        <w:rPr>
          <w:rFonts w:asciiTheme="majorBidi" w:hAnsiTheme="majorBidi" w:cstheme="majorBidi"/>
          <w:i/>
          <w:iCs/>
          <w:sz w:val="24"/>
          <w:szCs w:val="24"/>
        </w:rPr>
        <w:t>‘Ul</w:t>
      </w:r>
      <w:r>
        <w:rPr>
          <w:rFonts w:asciiTheme="majorBidi" w:hAnsiTheme="majorBidi" w:cstheme="majorBidi"/>
          <w:i/>
          <w:iCs/>
          <w:sz w:val="24"/>
          <w:szCs w:val="24"/>
        </w:rPr>
        <w:t>ū</w:t>
      </w:r>
      <w:r w:rsidRPr="00406F37">
        <w:rPr>
          <w:rFonts w:asciiTheme="majorBidi" w:hAnsiTheme="majorBidi" w:cstheme="majorBidi"/>
          <w:i/>
          <w:iCs/>
          <w:sz w:val="24"/>
          <w:szCs w:val="24"/>
        </w:rPr>
        <w:t>m Al-Qur'</w:t>
      </w:r>
      <w:r w:rsidRPr="0082707B">
        <w:rPr>
          <w:rFonts w:asciiTheme="majorBidi" w:hAnsiTheme="majorBidi" w:cstheme="majorBidi"/>
          <w:i/>
          <w:iCs/>
          <w:sz w:val="24"/>
          <w:szCs w:val="24"/>
        </w:rPr>
        <w:t>ā</w:t>
      </w:r>
      <w:r w:rsidRPr="00406F37">
        <w:rPr>
          <w:rFonts w:asciiTheme="majorBidi" w:hAnsiTheme="majorBidi" w:cstheme="majorBidi"/>
          <w:i/>
          <w:iCs/>
          <w:sz w:val="24"/>
          <w:szCs w:val="24"/>
        </w:rPr>
        <w:t>n</w:t>
      </w:r>
      <w:r w:rsidRPr="00406F37">
        <w:rPr>
          <w:rFonts w:asciiTheme="majorBidi" w:hAnsiTheme="majorBidi" w:cstheme="majorBidi"/>
          <w:sz w:val="24"/>
          <w:szCs w:val="24"/>
        </w:rPr>
        <w:t>,( Bairut: Dār al-Fikr)</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Al-Qazwain</w:t>
      </w:r>
      <w:r w:rsidRPr="0082707B">
        <w:rPr>
          <w:rFonts w:asciiTheme="majorBidi" w:hAnsiTheme="majorBidi" w:cstheme="majorBidi"/>
        </w:rPr>
        <w:t>ī</w:t>
      </w:r>
      <w:r w:rsidRPr="00406F37">
        <w:rPr>
          <w:rFonts w:asciiTheme="majorBidi" w:hAnsiTheme="majorBidi" w:cstheme="majorBidi"/>
        </w:rPr>
        <w:t xml:space="preserve">, Muhammad Ibn Yazin, </w:t>
      </w:r>
      <w:r w:rsidRPr="00406F37">
        <w:rPr>
          <w:rFonts w:asciiTheme="majorBidi" w:hAnsiTheme="majorBidi" w:cstheme="majorBidi"/>
          <w:i/>
          <w:iCs/>
        </w:rPr>
        <w:t>Sunan Ibn</w:t>
      </w:r>
      <w:r>
        <w:rPr>
          <w:rFonts w:asciiTheme="majorBidi" w:hAnsiTheme="majorBidi" w:cstheme="majorBidi"/>
          <w:i/>
          <w:iCs/>
        </w:rPr>
        <w:t>ū</w:t>
      </w:r>
      <w:r w:rsidRPr="00406F37">
        <w:rPr>
          <w:rFonts w:asciiTheme="majorBidi" w:hAnsiTheme="majorBidi" w:cstheme="majorBidi"/>
          <w:i/>
          <w:iCs/>
        </w:rPr>
        <w:t xml:space="preserve"> M</w:t>
      </w:r>
      <w:r w:rsidRPr="0082707B">
        <w:rPr>
          <w:rFonts w:asciiTheme="majorBidi" w:hAnsiTheme="majorBidi" w:cstheme="majorBidi"/>
          <w:i/>
          <w:iCs/>
          <w:lang w:val="id-ID"/>
        </w:rPr>
        <w:t>ā</w:t>
      </w:r>
      <w:r w:rsidRPr="00406F37">
        <w:rPr>
          <w:rFonts w:asciiTheme="majorBidi" w:hAnsiTheme="majorBidi" w:cstheme="majorBidi"/>
          <w:i/>
          <w:iCs/>
        </w:rPr>
        <w:t>jah</w:t>
      </w:r>
      <w:r w:rsidRPr="00406F37">
        <w:rPr>
          <w:rFonts w:asciiTheme="majorBidi" w:hAnsiTheme="majorBidi" w:cstheme="majorBidi"/>
        </w:rPr>
        <w:t>, ( Bairut: Dar Al-Fikr, t.th)</w:t>
      </w:r>
    </w:p>
    <w:p w:rsidR="00343B61" w:rsidRPr="00406F37" w:rsidRDefault="00343B61" w:rsidP="00343B61">
      <w:pPr>
        <w:ind w:left="810" w:hanging="810"/>
        <w:jc w:val="both"/>
        <w:rPr>
          <w:rFonts w:asciiTheme="majorBidi" w:eastAsiaTheme="minorHAnsi" w:hAnsiTheme="majorBidi" w:cstheme="majorBidi"/>
          <w:color w:val="000000"/>
        </w:rPr>
      </w:pPr>
      <w:r w:rsidRPr="00406F37">
        <w:rPr>
          <w:rFonts w:asciiTheme="majorBidi" w:eastAsiaTheme="minorHAnsi" w:hAnsiTheme="majorBidi" w:cstheme="majorBidi"/>
          <w:color w:val="000000"/>
        </w:rPr>
        <w:t>Al-Qura</w:t>
      </w:r>
      <w:r>
        <w:rPr>
          <w:rFonts w:asciiTheme="majorBidi" w:eastAsiaTheme="minorHAnsi" w:hAnsiTheme="majorBidi" w:cstheme="majorBidi"/>
          <w:color w:val="000000"/>
        </w:rPr>
        <w:t>i</w:t>
      </w:r>
      <w:r w:rsidRPr="00406F37">
        <w:rPr>
          <w:rFonts w:asciiTheme="majorBidi" w:eastAsiaTheme="minorHAnsi" w:hAnsiTheme="majorBidi" w:cstheme="majorBidi"/>
          <w:color w:val="000000"/>
        </w:rPr>
        <w:t>sy</w:t>
      </w:r>
      <w:r w:rsidRPr="0082707B">
        <w:rPr>
          <w:rFonts w:asciiTheme="majorBidi" w:hAnsiTheme="majorBidi" w:cstheme="majorBidi"/>
        </w:rPr>
        <w:t>ī</w:t>
      </w:r>
      <w:r w:rsidRPr="00406F37">
        <w:rPr>
          <w:rFonts w:asciiTheme="majorBidi" w:eastAsiaTheme="minorHAnsi" w:hAnsiTheme="majorBidi" w:cstheme="majorBidi"/>
          <w:color w:val="000000"/>
        </w:rPr>
        <w:t xml:space="preserve">, Radhi al-Din al-Hasan Ibn Muhammad Ibn al-Hasan, </w:t>
      </w:r>
      <w:r w:rsidRPr="00406F37">
        <w:rPr>
          <w:rFonts w:asciiTheme="majorBidi" w:eastAsiaTheme="minorHAnsi" w:hAnsiTheme="majorBidi" w:cstheme="majorBidi"/>
          <w:i/>
          <w:iCs/>
          <w:color w:val="000000"/>
        </w:rPr>
        <w:t>al-‘Abb</w:t>
      </w:r>
      <w:r w:rsidRPr="0082707B">
        <w:rPr>
          <w:rFonts w:asciiTheme="majorBidi" w:hAnsiTheme="majorBidi" w:cstheme="majorBidi"/>
          <w:i/>
          <w:iCs/>
          <w:lang w:val="id-ID"/>
        </w:rPr>
        <w:t>ā</w:t>
      </w:r>
      <w:r w:rsidRPr="00406F37">
        <w:rPr>
          <w:rFonts w:asciiTheme="majorBidi" w:eastAsiaTheme="minorHAnsi" w:hAnsiTheme="majorBidi" w:cstheme="majorBidi"/>
          <w:i/>
          <w:iCs/>
          <w:color w:val="000000"/>
        </w:rPr>
        <w:t>d al-</w:t>
      </w:r>
      <w:r w:rsidRPr="002B7395">
        <w:rPr>
          <w:rFonts w:asciiTheme="majorBidi" w:eastAsiaTheme="minorHAnsi" w:hAnsiTheme="majorBidi" w:cstheme="majorBidi"/>
          <w:i/>
          <w:iCs/>
          <w:color w:val="000000"/>
        </w:rPr>
        <w:t>Zakh</w:t>
      </w:r>
      <w:r w:rsidRPr="002B7395">
        <w:rPr>
          <w:rFonts w:asciiTheme="majorBidi" w:hAnsiTheme="majorBidi" w:cstheme="majorBidi"/>
          <w:i/>
          <w:iCs/>
        </w:rPr>
        <w:t>ī</w:t>
      </w:r>
      <w:r w:rsidRPr="002B7395">
        <w:rPr>
          <w:rFonts w:asciiTheme="majorBidi" w:eastAsiaTheme="minorHAnsi" w:hAnsiTheme="majorBidi" w:cstheme="majorBidi"/>
          <w:i/>
          <w:iCs/>
          <w:color w:val="000000"/>
        </w:rPr>
        <w:t>r wa al-Lub</w:t>
      </w:r>
      <w:r w:rsidRPr="002B7395">
        <w:rPr>
          <w:rFonts w:asciiTheme="majorBidi" w:hAnsiTheme="majorBidi" w:cstheme="majorBidi"/>
          <w:i/>
          <w:iCs/>
          <w:lang w:val="id-ID"/>
        </w:rPr>
        <w:t>ā</w:t>
      </w:r>
      <w:r w:rsidRPr="002B7395">
        <w:rPr>
          <w:rFonts w:asciiTheme="majorBidi" w:eastAsiaTheme="minorHAnsi" w:hAnsiTheme="majorBidi" w:cstheme="majorBidi"/>
          <w:i/>
          <w:iCs/>
          <w:color w:val="000000"/>
        </w:rPr>
        <w:t>b al-Fakh</w:t>
      </w:r>
      <w:r w:rsidRPr="002B7395">
        <w:rPr>
          <w:rFonts w:asciiTheme="majorBidi" w:hAnsiTheme="majorBidi" w:cstheme="majorBidi"/>
          <w:i/>
          <w:iCs/>
        </w:rPr>
        <w:t>ī</w:t>
      </w:r>
      <w:r w:rsidRPr="002B7395">
        <w:rPr>
          <w:rFonts w:asciiTheme="majorBidi" w:eastAsiaTheme="minorHAnsi" w:hAnsiTheme="majorBidi" w:cstheme="majorBidi"/>
          <w:i/>
          <w:iCs/>
          <w:color w:val="000000"/>
        </w:rPr>
        <w:t>r,</w:t>
      </w:r>
      <w:r w:rsidRPr="00406F37">
        <w:rPr>
          <w:rFonts w:asciiTheme="majorBidi" w:eastAsiaTheme="minorHAnsi" w:hAnsiTheme="majorBidi" w:cstheme="majorBidi"/>
          <w:color w:val="000000"/>
        </w:rPr>
        <w:t xml:space="preserve"> ( t.t: Maktabah al-Syamilah, t.tp)</w:t>
      </w:r>
    </w:p>
    <w:p w:rsidR="00343B61" w:rsidRPr="00406F37" w:rsidRDefault="00343B61" w:rsidP="00343B61">
      <w:pPr>
        <w:ind w:left="810" w:hanging="810"/>
        <w:jc w:val="both"/>
        <w:rPr>
          <w:rFonts w:asciiTheme="majorBidi" w:eastAsiaTheme="minorHAnsi" w:hAnsiTheme="majorBidi" w:cstheme="majorBidi"/>
          <w:color w:val="000000"/>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Pr>
          <w:rFonts w:asciiTheme="majorBidi" w:hAnsiTheme="majorBidi" w:cstheme="majorBidi"/>
          <w:sz w:val="24"/>
          <w:szCs w:val="24"/>
        </w:rPr>
        <w:t>Al-Qurthub</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w:t>
      </w:r>
      <w:r>
        <w:rPr>
          <w:rFonts w:asciiTheme="majorBidi" w:hAnsiTheme="majorBidi" w:cstheme="majorBidi"/>
          <w:sz w:val="24"/>
          <w:szCs w:val="24"/>
        </w:rPr>
        <w:t xml:space="preserve">Abi Abdullah, Muhammad bin Ahmad Al-Anshari, </w:t>
      </w:r>
      <w:r w:rsidRPr="0082707B">
        <w:rPr>
          <w:rFonts w:asciiTheme="majorBidi" w:hAnsiTheme="majorBidi" w:cstheme="majorBidi"/>
          <w:i/>
          <w:iCs/>
          <w:sz w:val="24"/>
          <w:szCs w:val="24"/>
        </w:rPr>
        <w:t>Al-Jami’ Li Ahkām Al-Qur’ān</w:t>
      </w:r>
      <w:r>
        <w:rPr>
          <w:rFonts w:asciiTheme="majorBidi" w:hAnsiTheme="majorBidi" w:cstheme="majorBidi"/>
          <w:i/>
          <w:iCs/>
          <w:sz w:val="24"/>
          <w:szCs w:val="24"/>
        </w:rPr>
        <w:t>,</w:t>
      </w:r>
      <w:r w:rsidRPr="00406F37">
        <w:rPr>
          <w:rFonts w:asciiTheme="majorBidi" w:hAnsiTheme="majorBidi" w:cstheme="majorBidi"/>
          <w:sz w:val="24"/>
          <w:szCs w:val="24"/>
        </w:rPr>
        <w:t xml:space="preserve"> (Kairo: Dar al-Hadits, 1994)</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Al-Qusyair</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Muslim Ibn Hajjaj, </w:t>
      </w:r>
      <w:r w:rsidRPr="0082707B">
        <w:rPr>
          <w:rFonts w:asciiTheme="majorBidi" w:hAnsiTheme="majorBidi" w:cstheme="majorBidi"/>
          <w:i/>
          <w:iCs/>
          <w:sz w:val="24"/>
          <w:szCs w:val="24"/>
        </w:rPr>
        <w:t>Al-Jami’ Al- Shohīh Al-Musammā Bi Shohīh Muslim</w:t>
      </w:r>
      <w:r w:rsidRPr="00406F37">
        <w:rPr>
          <w:rFonts w:asciiTheme="majorBidi" w:hAnsiTheme="majorBidi" w:cstheme="majorBidi"/>
          <w:i/>
          <w:iCs/>
          <w:sz w:val="24"/>
          <w:szCs w:val="24"/>
        </w:rPr>
        <w:t>,</w:t>
      </w:r>
      <w:r w:rsidRPr="00406F37">
        <w:rPr>
          <w:rFonts w:asciiTheme="majorBidi" w:hAnsiTheme="majorBidi" w:cstheme="majorBidi"/>
          <w:sz w:val="24"/>
          <w:szCs w:val="24"/>
        </w:rPr>
        <w:t>( Bairut: Dar al-Jail,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Al-Raisun</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Ahmad, </w:t>
      </w:r>
      <w:r w:rsidRPr="00406F37">
        <w:rPr>
          <w:rFonts w:asciiTheme="majorBidi" w:hAnsiTheme="majorBidi" w:cstheme="majorBidi"/>
          <w:i/>
          <w:iCs/>
          <w:sz w:val="24"/>
          <w:szCs w:val="24"/>
        </w:rPr>
        <w:t>Nazhariyyat al-Maq</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sid ‘Inda al-Sy</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thib</w:t>
      </w:r>
      <w:r w:rsidRPr="0082707B">
        <w:rPr>
          <w:rFonts w:asciiTheme="majorBidi" w:hAnsiTheme="majorBidi" w:cstheme="majorBidi"/>
          <w:i/>
          <w:iCs/>
          <w:sz w:val="24"/>
          <w:szCs w:val="24"/>
        </w:rPr>
        <w:t>ī</w:t>
      </w:r>
      <w:r w:rsidRPr="00406F37">
        <w:rPr>
          <w:rFonts w:asciiTheme="majorBidi" w:hAnsiTheme="majorBidi" w:cstheme="majorBidi"/>
          <w:sz w:val="24"/>
          <w:szCs w:val="24"/>
        </w:rPr>
        <w:t>, ( Rabath: Dar al-Aman, 1991)</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Al-Raz</w:t>
      </w:r>
      <w:r w:rsidRPr="0082707B">
        <w:rPr>
          <w:rFonts w:asciiTheme="majorBidi" w:hAnsiTheme="majorBidi" w:cstheme="majorBidi"/>
          <w:sz w:val="24"/>
          <w:szCs w:val="24"/>
        </w:rPr>
        <w:t>ī</w:t>
      </w:r>
      <w:r w:rsidRPr="00406F37">
        <w:rPr>
          <w:rFonts w:asciiTheme="majorBidi" w:hAnsiTheme="majorBidi" w:cstheme="majorBidi"/>
          <w:sz w:val="24"/>
          <w:szCs w:val="24"/>
        </w:rPr>
        <w:t>, Abu Abdullah Muhammad bin Umar bin Al-Hasan al-Taimi</w:t>
      </w:r>
      <w:r>
        <w:rPr>
          <w:rFonts w:asciiTheme="majorBidi" w:hAnsiTheme="majorBidi" w:cstheme="majorBidi"/>
          <w:sz w:val="24"/>
          <w:szCs w:val="24"/>
        </w:rPr>
        <w:t>,</w:t>
      </w:r>
      <w:r w:rsidRPr="00406F37">
        <w:rPr>
          <w:rFonts w:asciiTheme="majorBidi" w:hAnsiTheme="majorBidi" w:cstheme="majorBidi"/>
          <w:sz w:val="24"/>
          <w:szCs w:val="24"/>
        </w:rPr>
        <w:t xml:space="preserve"> </w:t>
      </w:r>
      <w:r w:rsidRPr="0082707B">
        <w:rPr>
          <w:rFonts w:asciiTheme="majorBidi" w:hAnsiTheme="majorBidi" w:cstheme="majorBidi"/>
          <w:i/>
          <w:iCs/>
          <w:sz w:val="24"/>
          <w:szCs w:val="24"/>
        </w:rPr>
        <w:t>Mafātih al-Ghaib</w:t>
      </w:r>
      <w:r w:rsidRPr="0082707B">
        <w:rPr>
          <w:rFonts w:asciiTheme="majorBidi" w:hAnsiTheme="majorBidi" w:cstheme="majorBidi"/>
          <w:sz w:val="24"/>
          <w:szCs w:val="24"/>
        </w:rPr>
        <w:t>,</w:t>
      </w:r>
      <w:r w:rsidRPr="00406F37">
        <w:rPr>
          <w:rFonts w:asciiTheme="majorBidi" w:hAnsiTheme="majorBidi" w:cstheme="majorBidi"/>
          <w:sz w:val="24"/>
          <w:szCs w:val="24"/>
        </w:rPr>
        <w:t xml:space="preserve"> ( Bairut: Dar Ihya Turats al-‘Arabi,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tl/>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Al-R</w:t>
      </w:r>
      <w:r w:rsidRPr="007A2C3F">
        <w:rPr>
          <w:rFonts w:asciiTheme="majorBidi" w:hAnsiTheme="majorBidi" w:cstheme="majorBidi"/>
        </w:rPr>
        <w:t>ā</w:t>
      </w:r>
      <w:r w:rsidRPr="00406F37">
        <w:rPr>
          <w:rFonts w:asciiTheme="majorBidi" w:hAnsiTheme="majorBidi" w:cstheme="majorBidi"/>
        </w:rPr>
        <w:t>z</w:t>
      </w:r>
      <w:r w:rsidRPr="0082707B">
        <w:rPr>
          <w:rFonts w:asciiTheme="majorBidi" w:hAnsiTheme="majorBidi" w:cstheme="majorBidi"/>
        </w:rPr>
        <w:t>ī</w:t>
      </w:r>
      <w:r w:rsidRPr="00406F37">
        <w:rPr>
          <w:rFonts w:asciiTheme="majorBidi" w:hAnsiTheme="majorBidi" w:cstheme="majorBidi"/>
        </w:rPr>
        <w:t>, Muh</w:t>
      </w:r>
      <w:r>
        <w:rPr>
          <w:rFonts w:asciiTheme="majorBidi" w:hAnsiTheme="majorBidi" w:cstheme="majorBidi"/>
        </w:rPr>
        <w:t>ammad ibn Abi Bakr ibn ‘Abd al-</w:t>
      </w:r>
      <w:r w:rsidRPr="00406F37">
        <w:rPr>
          <w:rFonts w:asciiTheme="majorBidi" w:hAnsiTheme="majorBidi" w:cstheme="majorBidi"/>
        </w:rPr>
        <w:t>Q</w:t>
      </w:r>
      <w:r w:rsidRPr="007A2C3F">
        <w:rPr>
          <w:rFonts w:asciiTheme="majorBidi" w:hAnsiTheme="majorBidi" w:cstheme="majorBidi"/>
        </w:rPr>
        <w:t>ā</w:t>
      </w:r>
      <w:r w:rsidRPr="00406F37">
        <w:rPr>
          <w:rFonts w:asciiTheme="majorBidi" w:hAnsiTheme="majorBidi" w:cstheme="majorBidi"/>
        </w:rPr>
        <w:t xml:space="preserve">dir, </w:t>
      </w:r>
      <w:r w:rsidRPr="0082707B">
        <w:rPr>
          <w:rFonts w:asciiTheme="majorBidi" w:hAnsiTheme="majorBidi" w:cstheme="majorBidi"/>
          <w:i/>
          <w:iCs/>
          <w:color w:val="000000"/>
        </w:rPr>
        <w:t>Mukht</w:t>
      </w:r>
      <w:r w:rsidRPr="0082707B">
        <w:rPr>
          <w:rFonts w:asciiTheme="majorBidi" w:hAnsiTheme="majorBidi" w:cstheme="majorBidi"/>
          <w:i/>
          <w:iCs/>
        </w:rPr>
        <w:t>ā</w:t>
      </w:r>
      <w:r w:rsidRPr="0082707B">
        <w:rPr>
          <w:rFonts w:asciiTheme="majorBidi" w:hAnsiTheme="majorBidi" w:cstheme="majorBidi"/>
          <w:i/>
          <w:iCs/>
          <w:color w:val="000000"/>
        </w:rPr>
        <w:t>r al-Shih</w:t>
      </w:r>
      <w:r w:rsidRPr="0082707B">
        <w:rPr>
          <w:rFonts w:asciiTheme="majorBidi" w:hAnsiTheme="majorBidi" w:cstheme="majorBidi"/>
          <w:i/>
          <w:iCs/>
        </w:rPr>
        <w:t>ā</w:t>
      </w:r>
      <w:r w:rsidRPr="0082707B">
        <w:rPr>
          <w:rFonts w:asciiTheme="majorBidi" w:hAnsiTheme="majorBidi" w:cstheme="majorBidi"/>
          <w:i/>
          <w:iCs/>
          <w:color w:val="000000"/>
        </w:rPr>
        <w:t>h</w:t>
      </w:r>
      <w:r w:rsidRPr="00406F37">
        <w:rPr>
          <w:rFonts w:asciiTheme="majorBidi" w:hAnsiTheme="majorBidi" w:cstheme="majorBidi"/>
        </w:rPr>
        <w:t>, (Beirut: Dâr al-Kitâb al-‘Arabi, 1979)</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7A2C3F" w:rsidRDefault="00343B61" w:rsidP="00343B61">
      <w:pPr>
        <w:autoSpaceDE w:val="0"/>
        <w:autoSpaceDN w:val="0"/>
        <w:adjustRightInd w:val="0"/>
        <w:ind w:left="810" w:hanging="810"/>
        <w:jc w:val="both"/>
        <w:rPr>
          <w:rFonts w:asciiTheme="majorBidi" w:hAnsiTheme="majorBidi" w:cstheme="majorBidi"/>
          <w:bCs/>
          <w:i/>
          <w:iCs/>
          <w:spacing w:val="11"/>
        </w:rPr>
      </w:pPr>
      <w:r w:rsidRPr="00406F37">
        <w:rPr>
          <w:rFonts w:asciiTheme="majorBidi" w:hAnsiTheme="majorBidi" w:cstheme="majorBidi"/>
        </w:rPr>
        <w:t>Al-Sa‘d</w:t>
      </w:r>
      <w:r w:rsidRPr="0082707B">
        <w:rPr>
          <w:rFonts w:asciiTheme="majorBidi" w:hAnsiTheme="majorBidi" w:cstheme="majorBidi"/>
        </w:rPr>
        <w:t>ī</w:t>
      </w:r>
      <w:r>
        <w:rPr>
          <w:rFonts w:asciiTheme="majorBidi" w:hAnsiTheme="majorBidi" w:cstheme="majorBidi"/>
        </w:rPr>
        <w:t>, Abd al-Haki</w:t>
      </w:r>
      <w:r w:rsidRPr="00406F37">
        <w:rPr>
          <w:rFonts w:asciiTheme="majorBidi" w:hAnsiTheme="majorBidi" w:cstheme="majorBidi"/>
        </w:rPr>
        <w:t xml:space="preserve">m ‘Abd al-Rahmân As‘ad, </w:t>
      </w:r>
      <w:r w:rsidRPr="0082707B">
        <w:rPr>
          <w:rFonts w:asciiTheme="majorBidi" w:hAnsiTheme="majorBidi" w:cstheme="majorBidi"/>
          <w:i/>
          <w:iCs/>
        </w:rPr>
        <w:t>Mab</w:t>
      </w:r>
      <w:r w:rsidRPr="0082707B">
        <w:rPr>
          <w:rFonts w:asciiTheme="majorBidi" w:hAnsiTheme="majorBidi" w:cstheme="majorBidi"/>
          <w:i/>
          <w:iCs/>
          <w:lang w:val="id-ID"/>
        </w:rPr>
        <w:t>ā</w:t>
      </w:r>
      <w:r w:rsidRPr="0082707B">
        <w:rPr>
          <w:rFonts w:asciiTheme="majorBidi" w:hAnsiTheme="majorBidi" w:cstheme="majorBidi"/>
          <w:i/>
          <w:iCs/>
        </w:rPr>
        <w:t>hits al-‘Illah fī al-Qiy</w:t>
      </w:r>
      <w:r w:rsidRPr="0082707B">
        <w:rPr>
          <w:rFonts w:asciiTheme="majorBidi" w:hAnsiTheme="majorBidi" w:cstheme="majorBidi"/>
          <w:i/>
          <w:iCs/>
          <w:lang w:val="id-ID"/>
        </w:rPr>
        <w:t>ā</w:t>
      </w:r>
      <w:r w:rsidRPr="0082707B">
        <w:rPr>
          <w:rFonts w:asciiTheme="majorBidi" w:hAnsiTheme="majorBidi" w:cstheme="majorBidi"/>
          <w:i/>
          <w:iCs/>
        </w:rPr>
        <w:t>s ‘ind al- Usūliyyīn</w:t>
      </w:r>
      <w:r w:rsidRPr="0082707B">
        <w:rPr>
          <w:rFonts w:asciiTheme="majorBidi" w:hAnsiTheme="majorBidi" w:cstheme="majorBidi"/>
        </w:rPr>
        <w:t>,</w:t>
      </w:r>
      <w:r w:rsidRPr="00406F37">
        <w:rPr>
          <w:rFonts w:asciiTheme="majorBidi" w:hAnsiTheme="majorBidi" w:cstheme="majorBidi"/>
        </w:rPr>
        <w:t xml:space="preserve">, (Beirut: Dâr al-Basyâ’ir al-Islâmiyyah, </w:t>
      </w:r>
      <w:r>
        <w:rPr>
          <w:rFonts w:asciiTheme="majorBidi" w:hAnsiTheme="majorBidi" w:cstheme="majorBidi"/>
        </w:rPr>
        <w:t>1986</w:t>
      </w:r>
      <w:r w:rsidRPr="00406F37">
        <w:rPr>
          <w:rFonts w:asciiTheme="majorBidi" w:hAnsiTheme="majorBidi" w:cstheme="majorBidi"/>
        </w:rPr>
        <w:t>)</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ind w:left="810" w:hanging="810"/>
        <w:jc w:val="both"/>
        <w:rPr>
          <w:rFonts w:asciiTheme="majorBidi" w:hAnsiTheme="majorBidi" w:cstheme="majorBidi"/>
        </w:rPr>
      </w:pPr>
      <w:r w:rsidRPr="00406F37">
        <w:rPr>
          <w:rFonts w:asciiTheme="majorBidi" w:hAnsiTheme="majorBidi" w:cstheme="majorBidi"/>
        </w:rPr>
        <w:t>Al-Sadlan, Shalih Bin Ghanim</w:t>
      </w:r>
      <w:r w:rsidRPr="00406F37">
        <w:rPr>
          <w:rFonts w:asciiTheme="majorBidi" w:hAnsiTheme="majorBidi" w:cstheme="majorBidi"/>
          <w:i/>
          <w:iCs/>
        </w:rPr>
        <w:t>, Al-Qawā‘id  al-Fiqhiyah al-Kubrā  Wama Tafar’a ‘anhā</w:t>
      </w:r>
      <w:r w:rsidRPr="00406F37">
        <w:rPr>
          <w:rFonts w:asciiTheme="majorBidi" w:hAnsiTheme="majorBidi" w:cstheme="majorBidi"/>
        </w:rPr>
        <w:t>, ( Riyadh: Dar Balansiah, 1417 H)</w:t>
      </w:r>
    </w:p>
    <w:p w:rsidR="00343B61" w:rsidRPr="00406F37" w:rsidRDefault="00343B61" w:rsidP="00343B61">
      <w:pPr>
        <w:ind w:left="810" w:hanging="810"/>
        <w:jc w:val="both"/>
        <w:rPr>
          <w:rFonts w:asciiTheme="majorBidi" w:hAnsiTheme="majorBidi" w:cstheme="majorBidi"/>
        </w:rPr>
      </w:pPr>
    </w:p>
    <w:p w:rsidR="00343B61" w:rsidRPr="007A2C3F" w:rsidRDefault="00343B61" w:rsidP="00343B61">
      <w:pPr>
        <w:autoSpaceDE w:val="0"/>
        <w:autoSpaceDN w:val="0"/>
        <w:adjustRightInd w:val="0"/>
        <w:ind w:left="900" w:hanging="900"/>
        <w:rPr>
          <w:rFonts w:asciiTheme="majorBidi" w:hAnsiTheme="majorBidi" w:cstheme="majorBidi"/>
        </w:rPr>
      </w:pPr>
      <w:r w:rsidRPr="00406F37">
        <w:rPr>
          <w:rFonts w:asciiTheme="majorBidi" w:hAnsiTheme="majorBidi" w:cstheme="majorBidi"/>
        </w:rPr>
        <w:t xml:space="preserve">Al-Sayis, Muhammad ‘Ali, </w:t>
      </w:r>
      <w:r>
        <w:rPr>
          <w:rFonts w:asciiTheme="majorBidi" w:hAnsiTheme="majorBidi" w:cstheme="majorBidi"/>
          <w:i/>
          <w:iCs/>
        </w:rPr>
        <w:t>Tafs</w:t>
      </w:r>
      <w:r w:rsidRPr="0082707B">
        <w:rPr>
          <w:rFonts w:asciiTheme="majorBidi" w:hAnsiTheme="majorBidi" w:cstheme="majorBidi"/>
          <w:i/>
          <w:iCs/>
        </w:rPr>
        <w:t>ī</w:t>
      </w:r>
      <w:r>
        <w:rPr>
          <w:rFonts w:asciiTheme="majorBidi" w:hAnsiTheme="majorBidi" w:cstheme="majorBidi"/>
          <w:i/>
          <w:iCs/>
        </w:rPr>
        <w:t>r</w:t>
      </w:r>
      <w:r w:rsidRPr="0082707B">
        <w:rPr>
          <w:rFonts w:asciiTheme="majorBidi" w:hAnsiTheme="majorBidi" w:cstheme="majorBidi"/>
          <w:i/>
          <w:iCs/>
        </w:rPr>
        <w:t xml:space="preserve"> Ayat al-A</w:t>
      </w:r>
      <w:r w:rsidRPr="0082707B">
        <w:rPr>
          <w:i/>
          <w:iCs/>
          <w:u w:val="single"/>
          <w:lang w:val="id-ID"/>
        </w:rPr>
        <w:t>h</w:t>
      </w:r>
      <w:r w:rsidRPr="0082707B">
        <w:rPr>
          <w:rFonts w:asciiTheme="majorBidi" w:hAnsiTheme="majorBidi" w:cstheme="majorBidi"/>
          <w:i/>
          <w:iCs/>
        </w:rPr>
        <w:t>kām</w:t>
      </w:r>
      <w:r w:rsidRPr="00406F37">
        <w:rPr>
          <w:rFonts w:asciiTheme="majorBidi" w:hAnsiTheme="majorBidi" w:cstheme="majorBidi"/>
        </w:rPr>
        <w:t>, ( Mesir: Maktabah al-Ashriyah, 2002)</w:t>
      </w:r>
    </w:p>
    <w:p w:rsidR="00343B61" w:rsidRPr="007A7DF9"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Al-Shabun</w:t>
      </w:r>
      <w:r w:rsidRPr="0082707B">
        <w:rPr>
          <w:rFonts w:asciiTheme="majorBidi" w:hAnsiTheme="majorBidi" w:cstheme="majorBidi"/>
        </w:rPr>
        <w:t>ī</w:t>
      </w:r>
      <w:r w:rsidRPr="00406F37">
        <w:rPr>
          <w:rFonts w:asciiTheme="majorBidi" w:hAnsiTheme="majorBidi" w:cstheme="majorBidi"/>
        </w:rPr>
        <w:t xml:space="preserve">, M. Ali, </w:t>
      </w:r>
      <w:r w:rsidRPr="00406F37">
        <w:rPr>
          <w:rFonts w:asciiTheme="majorBidi" w:hAnsiTheme="majorBidi" w:cstheme="majorBidi"/>
          <w:i/>
          <w:iCs/>
        </w:rPr>
        <w:t>A1-Maw</w:t>
      </w:r>
      <w:r w:rsidRPr="0082707B">
        <w:rPr>
          <w:rFonts w:asciiTheme="majorBidi" w:hAnsiTheme="majorBidi" w:cstheme="majorBidi"/>
          <w:i/>
          <w:iCs/>
        </w:rPr>
        <w:t>ā</w:t>
      </w:r>
      <w:r w:rsidRPr="00406F37">
        <w:rPr>
          <w:rFonts w:asciiTheme="majorBidi" w:hAnsiTheme="majorBidi" w:cstheme="majorBidi"/>
          <w:i/>
          <w:iCs/>
        </w:rPr>
        <w:t>ris f</w:t>
      </w:r>
      <w:r w:rsidRPr="0082707B">
        <w:rPr>
          <w:rFonts w:asciiTheme="majorBidi" w:hAnsiTheme="majorBidi" w:cstheme="majorBidi"/>
          <w:i/>
          <w:iCs/>
        </w:rPr>
        <w:t>ī</w:t>
      </w:r>
      <w:r w:rsidRPr="00406F37">
        <w:rPr>
          <w:rFonts w:asciiTheme="majorBidi" w:hAnsiTheme="majorBidi" w:cstheme="majorBidi"/>
          <w:i/>
          <w:iCs/>
        </w:rPr>
        <w:t xml:space="preserve"> Syariat al-Isl</w:t>
      </w:r>
      <w:r w:rsidRPr="0082707B">
        <w:rPr>
          <w:rFonts w:asciiTheme="majorBidi" w:hAnsiTheme="majorBidi" w:cstheme="majorBidi"/>
          <w:i/>
          <w:iCs/>
        </w:rPr>
        <w:t>ā</w:t>
      </w:r>
      <w:r w:rsidRPr="00406F37">
        <w:rPr>
          <w:rFonts w:asciiTheme="majorBidi" w:hAnsiTheme="majorBidi" w:cstheme="majorBidi"/>
          <w:i/>
          <w:iCs/>
        </w:rPr>
        <w:t>miyyah `al</w:t>
      </w:r>
      <w:r w:rsidRPr="0082707B">
        <w:rPr>
          <w:rFonts w:asciiTheme="majorBidi" w:hAnsiTheme="majorBidi" w:cstheme="majorBidi"/>
          <w:i/>
          <w:iCs/>
        </w:rPr>
        <w:t>ā</w:t>
      </w:r>
      <w:r w:rsidRPr="00406F37">
        <w:rPr>
          <w:rFonts w:asciiTheme="majorBidi" w:hAnsiTheme="majorBidi" w:cstheme="majorBidi"/>
          <w:i/>
          <w:iCs/>
        </w:rPr>
        <w:t xml:space="preserve"> Dhau'i Kit</w:t>
      </w:r>
      <w:r w:rsidRPr="0082707B">
        <w:rPr>
          <w:rFonts w:asciiTheme="majorBidi" w:hAnsiTheme="majorBidi" w:cstheme="majorBidi"/>
          <w:i/>
          <w:iCs/>
        </w:rPr>
        <w:t>ā</w:t>
      </w:r>
      <w:r w:rsidRPr="00406F37">
        <w:rPr>
          <w:rFonts w:asciiTheme="majorBidi" w:hAnsiTheme="majorBidi" w:cstheme="majorBidi"/>
          <w:i/>
          <w:iCs/>
        </w:rPr>
        <w:t>bi wa al- Sunah</w:t>
      </w:r>
      <w:r w:rsidRPr="00406F37">
        <w:rPr>
          <w:rFonts w:asciiTheme="majorBidi" w:hAnsiTheme="majorBidi" w:cstheme="majorBidi"/>
        </w:rPr>
        <w:t>, (Arab Saudi: Dar al Qalam, 1979)</w:t>
      </w:r>
    </w:p>
    <w:p w:rsidR="00343B61" w:rsidRPr="00406F37" w:rsidRDefault="00343B61" w:rsidP="00343B61">
      <w:pPr>
        <w:pStyle w:val="ListParagraph"/>
        <w:tabs>
          <w:tab w:val="left" w:pos="0"/>
          <w:tab w:val="right" w:pos="5687"/>
        </w:tabs>
        <w:ind w:left="810" w:hanging="810"/>
        <w:jc w:val="both"/>
        <w:rPr>
          <w:rFonts w:asciiTheme="majorBidi" w:hAnsiTheme="majorBidi" w:cstheme="majorBidi"/>
          <w:color w:val="000000"/>
          <w:sz w:val="24"/>
          <w:szCs w:val="24"/>
        </w:rPr>
      </w:pPr>
      <w:r w:rsidRPr="00406F37">
        <w:rPr>
          <w:rFonts w:asciiTheme="majorBidi" w:hAnsiTheme="majorBidi" w:cstheme="majorBidi"/>
          <w:color w:val="000000"/>
          <w:sz w:val="24"/>
          <w:szCs w:val="24"/>
        </w:rPr>
        <w:lastRenderedPageBreak/>
        <w:t xml:space="preserve">Al-Shan’ani, ‘Abd al-Razzaq bin Hamma, </w:t>
      </w:r>
      <w:r>
        <w:rPr>
          <w:rFonts w:asciiTheme="majorBidi" w:hAnsiTheme="majorBidi" w:cstheme="majorBidi"/>
          <w:i/>
          <w:iCs/>
        </w:rPr>
        <w:t>Tafs</w:t>
      </w:r>
      <w:r w:rsidRPr="0082707B">
        <w:rPr>
          <w:rFonts w:asciiTheme="majorBidi" w:hAnsiTheme="majorBidi" w:cstheme="majorBidi"/>
          <w:i/>
          <w:iCs/>
          <w:sz w:val="24"/>
          <w:szCs w:val="24"/>
        </w:rPr>
        <w:t>ī</w:t>
      </w:r>
      <w:r>
        <w:rPr>
          <w:rFonts w:asciiTheme="majorBidi" w:hAnsiTheme="majorBidi" w:cstheme="majorBidi"/>
          <w:i/>
          <w:iCs/>
        </w:rPr>
        <w:t>r</w:t>
      </w:r>
      <w:r w:rsidRPr="00406F37">
        <w:rPr>
          <w:rFonts w:asciiTheme="majorBidi" w:hAnsiTheme="majorBidi" w:cstheme="majorBidi"/>
          <w:i/>
          <w:iCs/>
          <w:color w:val="000000"/>
          <w:sz w:val="24"/>
          <w:szCs w:val="24"/>
        </w:rPr>
        <w:t xml:space="preserve"> al-Qur’</w:t>
      </w:r>
      <w:r w:rsidRPr="0082707B">
        <w:rPr>
          <w:rFonts w:asciiTheme="majorBidi" w:hAnsiTheme="majorBidi" w:cstheme="majorBidi"/>
          <w:i/>
          <w:iCs/>
          <w:sz w:val="24"/>
          <w:szCs w:val="24"/>
        </w:rPr>
        <w:t>ā</w:t>
      </w:r>
      <w:r w:rsidRPr="00406F37">
        <w:rPr>
          <w:rFonts w:asciiTheme="majorBidi" w:hAnsiTheme="majorBidi" w:cstheme="majorBidi"/>
          <w:i/>
          <w:iCs/>
          <w:color w:val="000000"/>
          <w:sz w:val="24"/>
          <w:szCs w:val="24"/>
        </w:rPr>
        <w:t>n</w:t>
      </w:r>
      <w:r w:rsidRPr="00406F37">
        <w:rPr>
          <w:rFonts w:asciiTheme="majorBidi" w:hAnsiTheme="majorBidi" w:cstheme="majorBidi"/>
          <w:color w:val="000000"/>
          <w:sz w:val="24"/>
          <w:szCs w:val="24"/>
        </w:rPr>
        <w:t>, (Riyadh, Maktabah al-Rusyd, 1410)</w:t>
      </w:r>
    </w:p>
    <w:p w:rsidR="00343B61" w:rsidRPr="00406F37" w:rsidRDefault="00343B61" w:rsidP="00343B61">
      <w:pPr>
        <w:ind w:left="810" w:hanging="810"/>
        <w:jc w:val="both"/>
        <w:rPr>
          <w:rFonts w:asciiTheme="majorBidi" w:hAnsiTheme="majorBidi" w:cstheme="majorBidi"/>
        </w:rPr>
      </w:pPr>
      <w:r w:rsidRPr="00406F37">
        <w:rPr>
          <w:rFonts w:asciiTheme="majorBidi" w:hAnsiTheme="majorBidi" w:cstheme="majorBidi"/>
        </w:rPr>
        <w:t>Al-Sijistan</w:t>
      </w:r>
      <w:r w:rsidRPr="0082707B">
        <w:rPr>
          <w:rFonts w:asciiTheme="majorBidi" w:hAnsiTheme="majorBidi" w:cstheme="majorBidi"/>
        </w:rPr>
        <w:t>ī</w:t>
      </w:r>
      <w:r w:rsidRPr="00406F37">
        <w:rPr>
          <w:rFonts w:asciiTheme="majorBidi" w:hAnsiTheme="majorBidi" w:cstheme="majorBidi"/>
        </w:rPr>
        <w:t xml:space="preserve">, Abu Daud Sulaiman bin al-Asy’ats, </w:t>
      </w:r>
      <w:r w:rsidRPr="00406F37">
        <w:rPr>
          <w:rFonts w:asciiTheme="majorBidi" w:hAnsiTheme="majorBidi" w:cstheme="majorBidi"/>
          <w:i/>
          <w:iCs/>
        </w:rPr>
        <w:t>Sunan Ab</w:t>
      </w:r>
      <w:r w:rsidRPr="0082707B">
        <w:rPr>
          <w:rFonts w:asciiTheme="majorBidi" w:hAnsiTheme="majorBidi" w:cstheme="majorBidi"/>
          <w:i/>
          <w:iCs/>
        </w:rPr>
        <w:t>ū</w:t>
      </w:r>
      <w:r w:rsidRPr="00406F37">
        <w:rPr>
          <w:rFonts w:asciiTheme="majorBidi" w:hAnsiTheme="majorBidi" w:cstheme="majorBidi"/>
          <w:i/>
          <w:iCs/>
        </w:rPr>
        <w:t xml:space="preserve"> Daud</w:t>
      </w:r>
      <w:r w:rsidRPr="00406F37">
        <w:rPr>
          <w:rFonts w:asciiTheme="majorBidi" w:hAnsiTheme="majorBidi" w:cstheme="majorBidi"/>
        </w:rPr>
        <w:t>, ( Bairut: Dar al-Kitab al-‘Arabi, t.th)</w:t>
      </w:r>
    </w:p>
    <w:p w:rsidR="00343B61" w:rsidRPr="00406F37" w:rsidRDefault="00343B61" w:rsidP="00343B61">
      <w:pPr>
        <w:ind w:left="810" w:hanging="810"/>
        <w:jc w:val="both"/>
        <w:rPr>
          <w:rFonts w:asciiTheme="majorBidi" w:hAnsiTheme="majorBidi" w:cstheme="majorBidi"/>
          <w:rtl/>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Al-Subkī, Tājuddīn, </w:t>
      </w:r>
      <w:r w:rsidRPr="00406F37">
        <w:rPr>
          <w:rFonts w:asciiTheme="majorBidi" w:hAnsiTheme="majorBidi" w:cstheme="majorBidi"/>
          <w:i/>
          <w:iCs/>
        </w:rPr>
        <w:t xml:space="preserve">al-Asybāh wa al-Nadhāir, </w:t>
      </w:r>
      <w:r w:rsidRPr="00406F37">
        <w:rPr>
          <w:rFonts w:asciiTheme="majorBidi" w:hAnsiTheme="majorBidi" w:cstheme="majorBidi"/>
        </w:rPr>
        <w:t>(Beirūt: Dār al-Kutub al-‘Ilmiyyah, 1991)</w:t>
      </w:r>
    </w:p>
    <w:p w:rsidR="00343B61" w:rsidRPr="00406F37" w:rsidRDefault="00343B61" w:rsidP="00343B61">
      <w:pPr>
        <w:autoSpaceDE w:val="0"/>
        <w:autoSpaceDN w:val="0"/>
        <w:adjustRightInd w:val="0"/>
        <w:ind w:left="810" w:hanging="810"/>
        <w:jc w:val="both"/>
        <w:rPr>
          <w:rFonts w:asciiTheme="majorBidi" w:hAnsiTheme="majorBidi" w:cstheme="majorBidi"/>
          <w:rtl/>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Al-Suyuth</w:t>
      </w:r>
      <w:r w:rsidRPr="0082707B">
        <w:rPr>
          <w:rFonts w:asciiTheme="majorBidi" w:hAnsiTheme="majorBidi" w:cstheme="majorBidi"/>
          <w:sz w:val="24"/>
          <w:szCs w:val="24"/>
        </w:rPr>
        <w:t>ī</w:t>
      </w:r>
      <w:r>
        <w:rPr>
          <w:rFonts w:asciiTheme="majorBidi" w:hAnsiTheme="majorBidi" w:cstheme="majorBidi"/>
          <w:sz w:val="24"/>
          <w:szCs w:val="24"/>
        </w:rPr>
        <w:t xml:space="preserve">, </w:t>
      </w:r>
      <w:r w:rsidRPr="00406F37">
        <w:rPr>
          <w:rFonts w:asciiTheme="majorBidi" w:hAnsiTheme="majorBidi" w:cstheme="majorBidi"/>
          <w:sz w:val="24"/>
          <w:szCs w:val="24"/>
        </w:rPr>
        <w:t xml:space="preserve">Jalal al-Din, </w:t>
      </w:r>
      <w:r w:rsidRPr="007A2C3F">
        <w:rPr>
          <w:rFonts w:asciiTheme="majorBidi" w:hAnsiTheme="majorBidi" w:cstheme="majorBidi"/>
          <w:i/>
          <w:iCs/>
          <w:sz w:val="24"/>
          <w:szCs w:val="24"/>
        </w:rPr>
        <w:t>Tarikh al-Khulafā</w:t>
      </w:r>
      <w:r w:rsidRPr="007A2C3F">
        <w:rPr>
          <w:rFonts w:asciiTheme="majorBidi" w:hAnsiTheme="majorBidi" w:cstheme="majorBidi"/>
          <w:sz w:val="24"/>
          <w:szCs w:val="24"/>
        </w:rPr>
        <w:t>,</w:t>
      </w:r>
      <w:r w:rsidRPr="00406F37">
        <w:rPr>
          <w:rFonts w:asciiTheme="majorBidi" w:hAnsiTheme="majorBidi" w:cstheme="majorBidi"/>
          <w:sz w:val="24"/>
          <w:szCs w:val="24"/>
        </w:rPr>
        <w:t xml:space="preserve"> ( Bairut: Dār al-Fikr,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ind w:left="810" w:hanging="810"/>
        <w:jc w:val="both"/>
        <w:rPr>
          <w:rFonts w:asciiTheme="majorBidi" w:eastAsiaTheme="minorHAnsi" w:hAnsiTheme="majorBidi" w:cstheme="majorBidi"/>
          <w:color w:val="000000"/>
        </w:rPr>
      </w:pPr>
      <w:r w:rsidRPr="00406F37">
        <w:rPr>
          <w:rFonts w:asciiTheme="majorBidi" w:eastAsiaTheme="minorHAnsi" w:hAnsiTheme="majorBidi" w:cstheme="majorBidi"/>
          <w:color w:val="000000"/>
        </w:rPr>
        <w:t>Al-Suyuth</w:t>
      </w:r>
      <w:r w:rsidRPr="0082707B">
        <w:rPr>
          <w:rFonts w:asciiTheme="majorBidi" w:hAnsiTheme="majorBidi" w:cstheme="majorBidi"/>
        </w:rPr>
        <w:t>ī</w:t>
      </w:r>
      <w:r w:rsidRPr="00406F37">
        <w:rPr>
          <w:rFonts w:asciiTheme="majorBidi" w:eastAsiaTheme="minorHAnsi" w:hAnsiTheme="majorBidi" w:cstheme="majorBidi"/>
          <w:color w:val="000000"/>
        </w:rPr>
        <w:t>, Abd al-Rahman Bin Abi Bakar,</w:t>
      </w:r>
      <w:r w:rsidRPr="00406F37">
        <w:rPr>
          <w:rFonts w:asciiTheme="majorBidi" w:hAnsiTheme="majorBidi" w:cstheme="majorBidi"/>
        </w:rPr>
        <w:t xml:space="preserve"> Jala al-Din,</w:t>
      </w:r>
      <w:r w:rsidRPr="00406F37">
        <w:rPr>
          <w:rFonts w:asciiTheme="majorBidi" w:eastAsiaTheme="minorHAnsi" w:hAnsiTheme="majorBidi" w:cstheme="majorBidi"/>
          <w:color w:val="000000"/>
        </w:rPr>
        <w:t xml:space="preserve"> </w:t>
      </w:r>
      <w:r w:rsidRPr="00406F37">
        <w:rPr>
          <w:rFonts w:asciiTheme="majorBidi" w:hAnsiTheme="majorBidi" w:cstheme="majorBidi"/>
          <w:i/>
          <w:iCs/>
        </w:rPr>
        <w:t>al-Asybāh wa al-Nadhāir</w:t>
      </w:r>
      <w:r w:rsidRPr="00406F37">
        <w:rPr>
          <w:rFonts w:asciiTheme="majorBidi" w:eastAsiaTheme="minorHAnsi" w:hAnsiTheme="majorBidi" w:cstheme="majorBidi"/>
          <w:i/>
          <w:iCs/>
          <w:color w:val="000000"/>
        </w:rPr>
        <w:t xml:space="preserve">, </w:t>
      </w:r>
      <w:r w:rsidRPr="00406F37">
        <w:rPr>
          <w:rFonts w:asciiTheme="majorBidi" w:eastAsiaTheme="minorHAnsi" w:hAnsiTheme="majorBidi" w:cstheme="majorBidi"/>
          <w:color w:val="000000"/>
        </w:rPr>
        <w:t>( Bairut: Dar al-Kutub al-‘Ilmiyah, 1403 )</w:t>
      </w:r>
    </w:p>
    <w:p w:rsidR="00343B61" w:rsidRPr="00406F37" w:rsidRDefault="00343B61" w:rsidP="00343B61">
      <w:pPr>
        <w:ind w:left="810" w:hanging="810"/>
        <w:jc w:val="both"/>
        <w:rPr>
          <w:rFonts w:asciiTheme="majorBidi" w:eastAsiaTheme="minorHAnsi" w:hAnsiTheme="majorBidi" w:cstheme="majorBidi"/>
          <w:color w:val="000000"/>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Al-Suyuthi, Jalal al-Din bin Abd Rahman bin Abi Bakar, </w:t>
      </w:r>
      <w:r w:rsidRPr="0082707B">
        <w:rPr>
          <w:rFonts w:asciiTheme="majorBidi" w:hAnsiTheme="majorBidi" w:cstheme="majorBidi"/>
          <w:i/>
          <w:iCs/>
          <w:sz w:val="24"/>
          <w:szCs w:val="24"/>
        </w:rPr>
        <w:t>Al-Jami’ al-Shaghīr fī Ahādīts al-Basyīr an-Nadzīr</w:t>
      </w:r>
      <w:r w:rsidRPr="00406F37">
        <w:rPr>
          <w:rFonts w:asciiTheme="majorBidi" w:hAnsiTheme="majorBidi" w:cstheme="majorBidi"/>
          <w:sz w:val="24"/>
          <w:szCs w:val="24"/>
        </w:rPr>
        <w:t>, ( Bairut: Dār al-Fikr,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Al-Syabih</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Muhammad al-Fudhail bin Muhammad, </w:t>
      </w:r>
      <w:r w:rsidRPr="00406F37">
        <w:rPr>
          <w:rFonts w:asciiTheme="majorBidi" w:hAnsiTheme="majorBidi" w:cstheme="majorBidi"/>
          <w:i/>
          <w:iCs/>
          <w:sz w:val="24"/>
          <w:szCs w:val="24"/>
        </w:rPr>
        <w:t>Al-Fajr S</w:t>
      </w:r>
      <w:r w:rsidRPr="0082707B">
        <w:rPr>
          <w:rFonts w:asciiTheme="majorBidi" w:hAnsiTheme="majorBidi" w:cstheme="majorBidi"/>
          <w:i/>
          <w:iCs/>
          <w:sz w:val="24"/>
          <w:szCs w:val="24"/>
        </w:rPr>
        <w:t>ā</w:t>
      </w:r>
      <w:r w:rsidRPr="00406F37">
        <w:rPr>
          <w:rFonts w:asciiTheme="majorBidi" w:hAnsiTheme="majorBidi" w:cstheme="majorBidi"/>
          <w:i/>
          <w:iCs/>
          <w:sz w:val="24"/>
          <w:szCs w:val="24"/>
        </w:rPr>
        <w:t>th’i ‘ala Shoh</w:t>
      </w:r>
      <w:r w:rsidRPr="0082707B">
        <w:rPr>
          <w:rFonts w:asciiTheme="majorBidi" w:hAnsiTheme="majorBidi" w:cstheme="majorBidi"/>
          <w:i/>
          <w:iCs/>
          <w:sz w:val="24"/>
          <w:szCs w:val="24"/>
        </w:rPr>
        <w:t>ī</w:t>
      </w:r>
      <w:r w:rsidRPr="00406F37">
        <w:rPr>
          <w:rFonts w:asciiTheme="majorBidi" w:hAnsiTheme="majorBidi" w:cstheme="majorBidi"/>
          <w:i/>
          <w:iCs/>
          <w:sz w:val="24"/>
          <w:szCs w:val="24"/>
        </w:rPr>
        <w:t xml:space="preserve">h al-Jami’ </w:t>
      </w:r>
      <w:r w:rsidRPr="00406F37">
        <w:rPr>
          <w:rFonts w:asciiTheme="majorBidi" w:hAnsiTheme="majorBidi" w:cstheme="majorBidi"/>
          <w:sz w:val="24"/>
          <w:szCs w:val="24"/>
        </w:rPr>
        <w:t>( Maroco: Maktabah Syamilah, t.th)</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Al-Syaiban</w:t>
      </w:r>
      <w:r w:rsidRPr="0082707B">
        <w:rPr>
          <w:rFonts w:asciiTheme="majorBidi" w:hAnsiTheme="majorBidi" w:cstheme="majorBidi"/>
        </w:rPr>
        <w:t>ī</w:t>
      </w:r>
      <w:r w:rsidRPr="00406F37">
        <w:rPr>
          <w:rFonts w:asciiTheme="majorBidi" w:hAnsiTheme="majorBidi" w:cstheme="majorBidi"/>
        </w:rPr>
        <w:t xml:space="preserve">, Ahamd bin Hanbal Abu Abdullah, </w:t>
      </w:r>
      <w:r w:rsidRPr="00406F37">
        <w:rPr>
          <w:rFonts w:asciiTheme="majorBidi" w:hAnsiTheme="majorBidi" w:cstheme="majorBidi"/>
          <w:i/>
          <w:iCs/>
        </w:rPr>
        <w:t>Musnad Ahmad bin Hanbal</w:t>
      </w:r>
      <w:r w:rsidRPr="00406F37">
        <w:rPr>
          <w:rFonts w:asciiTheme="majorBidi" w:hAnsiTheme="majorBidi" w:cstheme="majorBidi"/>
        </w:rPr>
        <w:t>, ( Kairo: Muassasah al-Qurthubah,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Al-Syarbain</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Muhammad al-Khathib, </w:t>
      </w:r>
      <w:r w:rsidRPr="00406F37">
        <w:rPr>
          <w:rFonts w:asciiTheme="majorBidi" w:hAnsiTheme="majorBidi" w:cstheme="majorBidi"/>
          <w:i/>
          <w:iCs/>
          <w:sz w:val="24"/>
          <w:szCs w:val="24"/>
        </w:rPr>
        <w:t>Mughni al-Muht</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j ila Ma’rifati Ma’ani Alf</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zh al-Minh</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j,</w:t>
      </w:r>
      <w:r w:rsidRPr="00406F37">
        <w:rPr>
          <w:rFonts w:asciiTheme="majorBidi" w:hAnsiTheme="majorBidi" w:cstheme="majorBidi"/>
          <w:sz w:val="24"/>
          <w:szCs w:val="24"/>
        </w:rPr>
        <w:t xml:space="preserve"> ( Bairut: Dar al-Fikr, t.th)</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sz w:val="24"/>
          <w:szCs w:val="24"/>
        </w:rPr>
      </w:pPr>
      <w:r w:rsidRPr="00406F37">
        <w:rPr>
          <w:sz w:val="24"/>
          <w:szCs w:val="24"/>
        </w:rPr>
        <w:t>Al-Sy</w:t>
      </w:r>
      <w:r w:rsidRPr="003C58EC">
        <w:rPr>
          <w:rFonts w:asciiTheme="majorBidi" w:hAnsiTheme="majorBidi" w:cstheme="majorBidi"/>
          <w:sz w:val="24"/>
          <w:szCs w:val="24"/>
          <w:lang w:val="id-ID"/>
        </w:rPr>
        <w:t>ā</w:t>
      </w:r>
      <w:r w:rsidRPr="00406F37">
        <w:rPr>
          <w:sz w:val="24"/>
          <w:szCs w:val="24"/>
        </w:rPr>
        <w:t>tib</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Ibrahim bin Musa bin Muhammad al-Lakhmi al-Gharnathi, </w:t>
      </w:r>
      <w:r w:rsidRPr="00406F37">
        <w:rPr>
          <w:sz w:val="24"/>
          <w:szCs w:val="24"/>
        </w:rPr>
        <w:t xml:space="preserve">, </w:t>
      </w:r>
      <w:r w:rsidRPr="00406F37">
        <w:rPr>
          <w:i/>
          <w:iCs/>
          <w:sz w:val="24"/>
          <w:szCs w:val="24"/>
        </w:rPr>
        <w:t>al-Muw</w:t>
      </w:r>
      <w:r w:rsidRPr="00784DB4">
        <w:rPr>
          <w:rFonts w:asciiTheme="majorBidi" w:hAnsiTheme="majorBidi" w:cstheme="majorBidi"/>
          <w:i/>
          <w:iCs/>
          <w:sz w:val="24"/>
          <w:szCs w:val="24"/>
          <w:lang w:val="id-ID"/>
        </w:rPr>
        <w:t>ā</w:t>
      </w:r>
      <w:r w:rsidRPr="00406F37">
        <w:rPr>
          <w:i/>
          <w:iCs/>
          <w:sz w:val="24"/>
          <w:szCs w:val="24"/>
        </w:rPr>
        <w:t>faq</w:t>
      </w:r>
      <w:r w:rsidRPr="00784DB4">
        <w:rPr>
          <w:rFonts w:asciiTheme="majorBidi" w:hAnsiTheme="majorBidi" w:cstheme="majorBidi"/>
          <w:i/>
          <w:iCs/>
          <w:sz w:val="24"/>
          <w:szCs w:val="24"/>
          <w:lang w:val="id-ID"/>
        </w:rPr>
        <w:t>ā</w:t>
      </w:r>
      <w:r w:rsidRPr="00406F37">
        <w:rPr>
          <w:i/>
          <w:iCs/>
          <w:sz w:val="24"/>
          <w:szCs w:val="24"/>
        </w:rPr>
        <w:t xml:space="preserve">t, </w:t>
      </w:r>
      <w:r>
        <w:rPr>
          <w:sz w:val="24"/>
          <w:szCs w:val="24"/>
        </w:rPr>
        <w:t>(Beirut: Da</w:t>
      </w:r>
      <w:r w:rsidRPr="00406F37">
        <w:rPr>
          <w:sz w:val="24"/>
          <w:szCs w:val="24"/>
        </w:rPr>
        <w:t>r al-Fikr, t.th)</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Al-Syaukan</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Muhammad bin ‘Ali bin Muhammad, </w:t>
      </w:r>
      <w:r w:rsidRPr="00406F37">
        <w:rPr>
          <w:rFonts w:asciiTheme="majorBidi" w:hAnsiTheme="majorBidi" w:cstheme="majorBidi"/>
          <w:i/>
          <w:iCs/>
          <w:sz w:val="24"/>
          <w:szCs w:val="24"/>
        </w:rPr>
        <w:t>Irsyād al-Fuhūl ilā Tahqīq ‘ilm al-U</w:t>
      </w:r>
      <w:r w:rsidRPr="00406F37">
        <w:rPr>
          <w:rFonts w:asciiTheme="majorBidi" w:hAnsiTheme="majorBidi" w:cstheme="majorBidi"/>
          <w:i/>
          <w:iCs/>
          <w:sz w:val="24"/>
          <w:szCs w:val="24"/>
          <w:u w:val="single"/>
          <w:lang w:val="sv-SE"/>
        </w:rPr>
        <w:t>s</w:t>
      </w:r>
      <w:r w:rsidRPr="00406F37">
        <w:rPr>
          <w:rFonts w:asciiTheme="majorBidi" w:hAnsiTheme="majorBidi" w:cstheme="majorBidi"/>
          <w:i/>
          <w:iCs/>
          <w:sz w:val="24"/>
          <w:szCs w:val="24"/>
        </w:rPr>
        <w:t>ūl</w:t>
      </w:r>
      <w:r>
        <w:rPr>
          <w:rFonts w:asciiTheme="majorBidi" w:hAnsiTheme="majorBidi" w:cstheme="majorBidi"/>
          <w:sz w:val="24"/>
          <w:szCs w:val="24"/>
        </w:rPr>
        <w:t>,</w:t>
      </w:r>
      <w:r w:rsidRPr="00406F37">
        <w:rPr>
          <w:rFonts w:asciiTheme="majorBidi" w:hAnsiTheme="majorBidi" w:cstheme="majorBidi"/>
          <w:sz w:val="24"/>
          <w:szCs w:val="24"/>
        </w:rPr>
        <w:t xml:space="preserve"> ( Bairut: Dar al-Kutub al-‘Ilmiyah, 1994)</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Al-Taftāzānī</w:t>
      </w:r>
      <w:r w:rsidRPr="00406F37">
        <w:rPr>
          <w:rFonts w:asciiTheme="majorBidi" w:hAnsiTheme="majorBidi" w:cstheme="majorBidi"/>
          <w:i/>
          <w:iCs/>
        </w:rPr>
        <w:t xml:space="preserve">, al-Talwīh `alā al-Taudīh. </w:t>
      </w:r>
      <w:r w:rsidRPr="00406F37">
        <w:rPr>
          <w:rFonts w:asciiTheme="majorBidi" w:hAnsiTheme="majorBidi" w:cstheme="majorBidi"/>
        </w:rPr>
        <w:t>(Mesir: Maţba`ah Syam al-Hurriyah, 1989)</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Al-Tamim</w:t>
      </w:r>
      <w:r w:rsidRPr="0082707B">
        <w:rPr>
          <w:rFonts w:asciiTheme="majorBidi" w:hAnsiTheme="majorBidi" w:cstheme="majorBidi"/>
        </w:rPr>
        <w:t>ī</w:t>
      </w:r>
      <w:r w:rsidRPr="00406F37">
        <w:rPr>
          <w:rFonts w:asciiTheme="majorBidi" w:hAnsiTheme="majorBidi" w:cstheme="majorBidi"/>
        </w:rPr>
        <w:t xml:space="preserve">, Muhammad Ibn Hibban, </w:t>
      </w:r>
      <w:r w:rsidRPr="00406F37">
        <w:rPr>
          <w:rFonts w:asciiTheme="majorBidi" w:hAnsiTheme="majorBidi" w:cstheme="majorBidi"/>
          <w:i/>
          <w:iCs/>
        </w:rPr>
        <w:t>Shohīh Ibn Hibban</w:t>
      </w:r>
      <w:r w:rsidRPr="00406F37">
        <w:rPr>
          <w:rFonts w:asciiTheme="majorBidi" w:hAnsiTheme="majorBidi" w:cstheme="majorBidi"/>
        </w:rPr>
        <w:t>,(Bairut: Muassasah Al-Risalah, 1993)</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lang w:val="id-ID"/>
        </w:rPr>
        <w:t>Al-Turmudz</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w:t>
      </w:r>
      <w:r w:rsidRPr="00406F37">
        <w:rPr>
          <w:rFonts w:asciiTheme="majorBidi" w:hAnsiTheme="majorBidi" w:cstheme="majorBidi"/>
          <w:sz w:val="24"/>
          <w:szCs w:val="24"/>
          <w:lang w:val="id-ID"/>
        </w:rPr>
        <w:t xml:space="preserve">Muhammab Ibn ‘Isa, </w:t>
      </w:r>
      <w:r w:rsidRPr="00406F37">
        <w:rPr>
          <w:rFonts w:asciiTheme="majorBidi" w:hAnsiTheme="majorBidi" w:cstheme="majorBidi"/>
          <w:i/>
          <w:iCs/>
          <w:sz w:val="24"/>
          <w:szCs w:val="24"/>
          <w:lang w:val="id-ID"/>
        </w:rPr>
        <w:t>Al-Jami’Al-Shoh</w:t>
      </w:r>
      <w:r w:rsidRPr="00406F37">
        <w:rPr>
          <w:rFonts w:asciiTheme="majorBidi" w:hAnsiTheme="majorBidi" w:cstheme="majorBidi"/>
          <w:i/>
          <w:iCs/>
        </w:rPr>
        <w:t>ī</w:t>
      </w:r>
      <w:r w:rsidRPr="00406F37">
        <w:rPr>
          <w:rFonts w:asciiTheme="majorBidi" w:hAnsiTheme="majorBidi" w:cstheme="majorBidi"/>
          <w:i/>
          <w:iCs/>
          <w:sz w:val="24"/>
          <w:szCs w:val="24"/>
          <w:lang w:val="id-ID"/>
        </w:rPr>
        <w:t>h Sunan Turmudzi</w:t>
      </w:r>
      <w:r w:rsidRPr="00406F37">
        <w:rPr>
          <w:rFonts w:asciiTheme="majorBidi" w:hAnsiTheme="majorBidi" w:cstheme="majorBidi"/>
          <w:sz w:val="24"/>
          <w:szCs w:val="24"/>
          <w:lang w:val="id-ID"/>
        </w:rPr>
        <w:t xml:space="preserve">,  </w:t>
      </w:r>
      <w:r w:rsidRPr="00406F37">
        <w:rPr>
          <w:rFonts w:asciiTheme="majorBidi" w:hAnsiTheme="majorBidi" w:cstheme="majorBidi"/>
          <w:sz w:val="24"/>
          <w:szCs w:val="24"/>
        </w:rPr>
        <w:t>(</w:t>
      </w:r>
      <w:r w:rsidRPr="00406F37">
        <w:rPr>
          <w:rFonts w:asciiTheme="majorBidi" w:hAnsiTheme="majorBidi" w:cstheme="majorBidi"/>
          <w:sz w:val="24"/>
          <w:szCs w:val="24"/>
          <w:lang w:val="id-ID"/>
        </w:rPr>
        <w:t>Bairut:</w:t>
      </w:r>
      <w:r w:rsidRPr="00406F37">
        <w:rPr>
          <w:rFonts w:asciiTheme="majorBidi" w:hAnsiTheme="majorBidi" w:cstheme="majorBidi"/>
          <w:sz w:val="24"/>
          <w:szCs w:val="24"/>
        </w:rPr>
        <w:t xml:space="preserve"> </w:t>
      </w:r>
      <w:r w:rsidRPr="00406F37">
        <w:rPr>
          <w:rFonts w:asciiTheme="majorBidi" w:hAnsiTheme="majorBidi" w:cstheme="majorBidi"/>
          <w:sz w:val="24"/>
          <w:szCs w:val="24"/>
          <w:lang w:val="id-ID"/>
        </w:rPr>
        <w:t>Dar Al-Ihya Al-Turats Al-Arabi,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Al-w</w:t>
      </w:r>
      <w:r w:rsidRPr="003C58EC">
        <w:rPr>
          <w:rFonts w:asciiTheme="majorBidi" w:hAnsiTheme="majorBidi" w:cstheme="majorBidi"/>
          <w:sz w:val="24"/>
          <w:szCs w:val="24"/>
        </w:rPr>
        <w:t>ā</w:t>
      </w:r>
      <w:r w:rsidRPr="00406F37">
        <w:rPr>
          <w:rFonts w:asciiTheme="majorBidi" w:hAnsiTheme="majorBidi" w:cstheme="majorBidi"/>
          <w:sz w:val="24"/>
          <w:szCs w:val="24"/>
        </w:rPr>
        <w:t>hid</w:t>
      </w:r>
      <w:r w:rsidRPr="0082707B">
        <w:rPr>
          <w:rFonts w:asciiTheme="majorBidi" w:hAnsiTheme="majorBidi" w:cstheme="majorBidi"/>
          <w:sz w:val="24"/>
          <w:szCs w:val="24"/>
        </w:rPr>
        <w:t>ī</w:t>
      </w:r>
      <w:r w:rsidRPr="00406F37">
        <w:rPr>
          <w:rFonts w:asciiTheme="majorBidi" w:hAnsiTheme="majorBidi" w:cstheme="majorBidi"/>
          <w:sz w:val="24"/>
          <w:szCs w:val="24"/>
        </w:rPr>
        <w:t>, Ab</w:t>
      </w:r>
      <w:r w:rsidRPr="003C58EC">
        <w:rPr>
          <w:rFonts w:asciiTheme="majorBidi" w:hAnsiTheme="majorBidi" w:cstheme="majorBidi"/>
          <w:sz w:val="24"/>
          <w:szCs w:val="24"/>
        </w:rPr>
        <w:t>ū</w:t>
      </w:r>
      <w:r w:rsidRPr="00406F37">
        <w:rPr>
          <w:rFonts w:asciiTheme="majorBidi" w:hAnsiTheme="majorBidi" w:cstheme="majorBidi"/>
          <w:sz w:val="24"/>
          <w:szCs w:val="24"/>
        </w:rPr>
        <w:t xml:space="preserve"> al-Hasan `Alî ibn Ahmad, </w:t>
      </w:r>
      <w:r w:rsidRPr="00406F37">
        <w:rPr>
          <w:rFonts w:asciiTheme="majorBidi" w:hAnsiTheme="majorBidi" w:cstheme="majorBidi"/>
          <w:i/>
          <w:iCs/>
          <w:sz w:val="24"/>
          <w:szCs w:val="24"/>
        </w:rPr>
        <w:t>Asb</w:t>
      </w:r>
      <w:r w:rsidRPr="00406F37">
        <w:rPr>
          <w:rFonts w:asciiTheme="majorBidi" w:hAnsiTheme="majorBidi" w:cstheme="majorBidi"/>
          <w:i/>
          <w:iCs/>
        </w:rPr>
        <w:t>ā</w:t>
      </w:r>
      <w:r w:rsidRPr="00406F37">
        <w:rPr>
          <w:rFonts w:asciiTheme="majorBidi" w:hAnsiTheme="majorBidi" w:cstheme="majorBidi"/>
          <w:i/>
          <w:iCs/>
          <w:sz w:val="24"/>
          <w:szCs w:val="24"/>
        </w:rPr>
        <w:t>b Nuz</w:t>
      </w:r>
      <w:r w:rsidRPr="00784DB4">
        <w:rPr>
          <w:rFonts w:asciiTheme="majorBidi" w:hAnsiTheme="majorBidi" w:cstheme="majorBidi"/>
          <w:i/>
          <w:iCs/>
          <w:sz w:val="24"/>
          <w:szCs w:val="24"/>
        </w:rPr>
        <w:t>ū</w:t>
      </w:r>
      <w:r w:rsidRPr="00406F37">
        <w:rPr>
          <w:rFonts w:asciiTheme="majorBidi" w:hAnsiTheme="majorBidi" w:cstheme="majorBidi"/>
          <w:i/>
          <w:iCs/>
          <w:sz w:val="24"/>
          <w:szCs w:val="24"/>
        </w:rPr>
        <w:t>l al-Qur</w:t>
      </w:r>
      <w:r w:rsidRPr="00406F37">
        <w:rPr>
          <w:rFonts w:asciiTheme="majorBidi" w:hAnsiTheme="majorBidi" w:cstheme="majorBidi"/>
          <w:i/>
          <w:iCs/>
        </w:rPr>
        <w:t>ā</w:t>
      </w:r>
      <w:r w:rsidRPr="00406F37">
        <w:rPr>
          <w:rFonts w:asciiTheme="majorBidi" w:hAnsiTheme="majorBidi" w:cstheme="majorBidi"/>
          <w:i/>
          <w:iCs/>
          <w:sz w:val="24"/>
          <w:szCs w:val="24"/>
        </w:rPr>
        <w:t>n</w:t>
      </w:r>
      <w:r w:rsidRPr="00406F37">
        <w:rPr>
          <w:rFonts w:asciiTheme="majorBidi" w:hAnsiTheme="majorBidi" w:cstheme="majorBidi"/>
          <w:sz w:val="24"/>
          <w:szCs w:val="24"/>
        </w:rPr>
        <w:t xml:space="preserve">, (Kairo: t.p., 1968) </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Al-Zahabi, Husein, </w:t>
      </w:r>
      <w:r w:rsidRPr="003C58EC">
        <w:rPr>
          <w:rFonts w:asciiTheme="majorBidi" w:hAnsiTheme="majorBidi" w:cstheme="majorBidi"/>
          <w:i/>
          <w:iCs/>
          <w:sz w:val="24"/>
          <w:szCs w:val="24"/>
        </w:rPr>
        <w:t>al-Syari’ah al-Islāmiyah Dirāsah Muqāranah Bain Ahl al-Sunnah wa al-Syi’ah</w:t>
      </w:r>
      <w:r w:rsidRPr="003C58EC">
        <w:rPr>
          <w:rFonts w:asciiTheme="majorBidi" w:hAnsiTheme="majorBidi" w:cstheme="majorBidi"/>
          <w:sz w:val="24"/>
          <w:szCs w:val="24"/>
        </w:rPr>
        <w:t>,</w:t>
      </w:r>
      <w:r w:rsidRPr="00406F37">
        <w:rPr>
          <w:rFonts w:asciiTheme="majorBidi" w:hAnsiTheme="majorBidi" w:cstheme="majorBidi"/>
          <w:sz w:val="24"/>
          <w:szCs w:val="24"/>
        </w:rPr>
        <w:t xml:space="preserve"> ( Kairo: Maktabah Maktabah, 1991)</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Al-Zamakhsyar</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Abu Al-Qasim Mahmud Ibn Umar Bin Ahmad Jar Allah, </w:t>
      </w:r>
      <w:r w:rsidRPr="00DA0268">
        <w:rPr>
          <w:rFonts w:asciiTheme="majorBidi" w:hAnsiTheme="majorBidi" w:cstheme="majorBidi"/>
          <w:i/>
          <w:iCs/>
          <w:sz w:val="24"/>
          <w:szCs w:val="24"/>
        </w:rPr>
        <w:t>Tafsīr al-Kasysyāf,</w:t>
      </w:r>
      <w:r w:rsidRPr="00406F37">
        <w:rPr>
          <w:rFonts w:asciiTheme="majorBidi" w:hAnsiTheme="majorBidi" w:cstheme="majorBidi"/>
          <w:sz w:val="24"/>
          <w:szCs w:val="24"/>
        </w:rPr>
        <w:t xml:space="preserve"> ( t.t: Maktabah Syamilah,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pPr>
      <w:r w:rsidRPr="00406F37">
        <w:t>Al-Zarkasy</w:t>
      </w:r>
      <w:r>
        <w:t>ar</w:t>
      </w:r>
      <w:r w:rsidRPr="0082707B">
        <w:rPr>
          <w:rFonts w:asciiTheme="majorBidi" w:hAnsiTheme="majorBidi" w:cstheme="majorBidi"/>
        </w:rPr>
        <w:t>ī</w:t>
      </w:r>
      <w:r w:rsidRPr="00406F37">
        <w:t xml:space="preserve">, Muhammad bin Bihadir bin Abdullah, </w:t>
      </w:r>
      <w:r w:rsidRPr="00406F37">
        <w:rPr>
          <w:i/>
          <w:iCs/>
        </w:rPr>
        <w:t>al-Mantsur fi al-Qaw</w:t>
      </w:r>
      <w:r w:rsidRPr="00DA0268">
        <w:rPr>
          <w:rFonts w:asciiTheme="majorBidi" w:hAnsiTheme="majorBidi" w:cstheme="majorBidi"/>
          <w:i/>
          <w:iCs/>
        </w:rPr>
        <w:t>ā</w:t>
      </w:r>
      <w:r w:rsidRPr="00406F37">
        <w:rPr>
          <w:i/>
          <w:iCs/>
        </w:rPr>
        <w:t xml:space="preserve">’id </w:t>
      </w:r>
      <w:r w:rsidRPr="00406F37">
        <w:t>( Kuwait: Wizarah al-Auqaf wa al-Syu’un al-Islmaiyah, 1405)</w:t>
      </w:r>
    </w:p>
    <w:p w:rsidR="00343B61" w:rsidRPr="00406F37" w:rsidRDefault="00343B61" w:rsidP="00343B61">
      <w:pPr>
        <w:autoSpaceDE w:val="0"/>
        <w:autoSpaceDN w:val="0"/>
        <w:adjustRightInd w:val="0"/>
        <w:ind w:left="810" w:hanging="810"/>
        <w:jc w:val="both"/>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Al-Zarqa, Ahamd bin Muhammad, </w:t>
      </w:r>
      <w:r w:rsidRPr="00406F37">
        <w:rPr>
          <w:rFonts w:asciiTheme="majorBidi" w:hAnsiTheme="majorBidi" w:cstheme="majorBidi"/>
          <w:i/>
          <w:iCs/>
        </w:rPr>
        <w:t>Syarah al-Qaw</w:t>
      </w:r>
      <w:r w:rsidRPr="00DA0268">
        <w:rPr>
          <w:rFonts w:asciiTheme="majorBidi" w:hAnsiTheme="majorBidi" w:cstheme="majorBidi"/>
          <w:i/>
          <w:iCs/>
        </w:rPr>
        <w:t>ā</w:t>
      </w:r>
      <w:r>
        <w:rPr>
          <w:rFonts w:asciiTheme="majorBidi" w:hAnsiTheme="majorBidi" w:cstheme="majorBidi"/>
          <w:i/>
          <w:iCs/>
        </w:rPr>
        <w:t>’</w:t>
      </w:r>
      <w:r w:rsidRPr="00406F37">
        <w:rPr>
          <w:rFonts w:asciiTheme="majorBidi" w:hAnsiTheme="majorBidi" w:cstheme="majorBidi"/>
          <w:i/>
          <w:iCs/>
        </w:rPr>
        <w:t>id al-Fiqhiyah</w:t>
      </w:r>
      <w:r w:rsidRPr="00406F37">
        <w:rPr>
          <w:rFonts w:asciiTheme="majorBidi" w:hAnsiTheme="majorBidi" w:cstheme="majorBidi"/>
        </w:rPr>
        <w:t>, ( Damascus Dar al-Qalam, 1989)</w:t>
      </w:r>
    </w:p>
    <w:p w:rsidR="00343B61" w:rsidRPr="00406F37" w:rsidRDefault="00343B61" w:rsidP="00343B61">
      <w:pPr>
        <w:autoSpaceDE w:val="0"/>
        <w:autoSpaceDN w:val="0"/>
        <w:adjustRightInd w:val="0"/>
        <w:ind w:left="810" w:hanging="810"/>
        <w:jc w:val="both"/>
        <w:rPr>
          <w:rFonts w:asciiTheme="majorBidi" w:hAnsiTheme="majorBidi" w:cstheme="majorBidi"/>
          <w:rtl/>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Al-Zuhail</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Wahbah bin Mushtofa, </w:t>
      </w:r>
      <w:r w:rsidRPr="00784DB4">
        <w:rPr>
          <w:rFonts w:asciiTheme="majorBidi" w:hAnsiTheme="majorBidi" w:cstheme="majorBidi"/>
          <w:bCs/>
          <w:i/>
          <w:iCs/>
          <w:spacing w:val="11"/>
          <w:sz w:val="24"/>
          <w:szCs w:val="24"/>
        </w:rPr>
        <w:t>U</w:t>
      </w:r>
      <w:r w:rsidRPr="00784DB4">
        <w:rPr>
          <w:rFonts w:asciiTheme="majorBidi" w:hAnsiTheme="majorBidi" w:cstheme="majorBidi"/>
          <w:i/>
          <w:iCs/>
          <w:color w:val="222222"/>
          <w:sz w:val="24"/>
          <w:szCs w:val="24"/>
        </w:rPr>
        <w:t>ṣ</w:t>
      </w:r>
      <w:r>
        <w:rPr>
          <w:rFonts w:asciiTheme="majorBidi" w:hAnsiTheme="majorBidi" w:cstheme="majorBidi"/>
          <w:i/>
          <w:iCs/>
          <w:color w:val="222222"/>
          <w:sz w:val="24"/>
          <w:szCs w:val="24"/>
        </w:rPr>
        <w:t>h</w:t>
      </w:r>
      <w:r w:rsidRPr="00784DB4">
        <w:rPr>
          <w:rFonts w:asciiTheme="majorBidi" w:hAnsiTheme="majorBidi" w:cstheme="majorBidi"/>
          <w:i/>
          <w:iCs/>
          <w:sz w:val="24"/>
          <w:szCs w:val="24"/>
        </w:rPr>
        <w:t>ū</w:t>
      </w:r>
      <w:r w:rsidRPr="00784DB4">
        <w:rPr>
          <w:rFonts w:asciiTheme="majorBidi" w:hAnsiTheme="majorBidi" w:cstheme="majorBidi"/>
          <w:bCs/>
          <w:i/>
          <w:iCs/>
          <w:spacing w:val="11"/>
          <w:sz w:val="24"/>
          <w:szCs w:val="24"/>
        </w:rPr>
        <w:t>l</w:t>
      </w:r>
      <w:r w:rsidRPr="00406F37">
        <w:rPr>
          <w:rFonts w:asciiTheme="majorBidi" w:hAnsiTheme="majorBidi" w:cstheme="majorBidi"/>
          <w:i/>
          <w:iCs/>
          <w:sz w:val="24"/>
          <w:szCs w:val="24"/>
        </w:rPr>
        <w:t xml:space="preserve"> Fiqh</w:t>
      </w:r>
      <w:r w:rsidRPr="00406F37">
        <w:rPr>
          <w:rFonts w:asciiTheme="majorBidi" w:hAnsiTheme="majorBidi" w:cstheme="majorBidi"/>
          <w:sz w:val="24"/>
          <w:szCs w:val="24"/>
        </w:rPr>
        <w:t>, ( Tripoli, Kulliah Dakwah Islamiah, 1998)</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Al-Zuhail</w:t>
      </w:r>
      <w:r w:rsidRPr="0082707B">
        <w:rPr>
          <w:rFonts w:asciiTheme="majorBidi" w:hAnsiTheme="majorBidi" w:cstheme="majorBidi"/>
        </w:rPr>
        <w:t>ī</w:t>
      </w:r>
      <w:r w:rsidRPr="00406F37">
        <w:rPr>
          <w:rFonts w:asciiTheme="majorBidi" w:hAnsiTheme="majorBidi" w:cstheme="majorBidi"/>
        </w:rPr>
        <w:t>, Wahbah</w:t>
      </w:r>
      <w:r>
        <w:rPr>
          <w:rFonts w:asciiTheme="majorBidi" w:hAnsiTheme="majorBidi" w:cstheme="majorBidi"/>
        </w:rPr>
        <w:t xml:space="preserve">, </w:t>
      </w:r>
      <w:r w:rsidRPr="00784DB4">
        <w:rPr>
          <w:rFonts w:asciiTheme="majorBidi" w:hAnsiTheme="majorBidi" w:cstheme="majorBidi"/>
          <w:bCs/>
          <w:i/>
          <w:iCs/>
          <w:spacing w:val="11"/>
        </w:rPr>
        <w:t>U</w:t>
      </w:r>
      <w:r w:rsidRPr="00784DB4">
        <w:rPr>
          <w:rFonts w:asciiTheme="majorBidi" w:hAnsiTheme="majorBidi" w:cstheme="majorBidi"/>
          <w:i/>
          <w:iCs/>
          <w:color w:val="222222"/>
        </w:rPr>
        <w:t>ṣ</w:t>
      </w:r>
      <w:r>
        <w:rPr>
          <w:rFonts w:asciiTheme="majorBidi" w:hAnsiTheme="majorBidi" w:cstheme="majorBidi"/>
          <w:i/>
          <w:iCs/>
          <w:color w:val="222222"/>
        </w:rPr>
        <w:t>h</w:t>
      </w:r>
      <w:r w:rsidRPr="00784DB4">
        <w:rPr>
          <w:rFonts w:asciiTheme="majorBidi" w:hAnsiTheme="majorBidi" w:cstheme="majorBidi"/>
          <w:i/>
          <w:iCs/>
        </w:rPr>
        <w:t>ū</w:t>
      </w:r>
      <w:r w:rsidRPr="00784DB4">
        <w:rPr>
          <w:rFonts w:asciiTheme="majorBidi" w:hAnsiTheme="majorBidi" w:cstheme="majorBidi"/>
          <w:bCs/>
          <w:i/>
          <w:iCs/>
          <w:spacing w:val="11"/>
        </w:rPr>
        <w:t>l</w:t>
      </w:r>
      <w:r w:rsidRPr="00406F37">
        <w:rPr>
          <w:rFonts w:asciiTheme="majorBidi" w:hAnsiTheme="majorBidi" w:cstheme="majorBidi"/>
          <w:i/>
          <w:iCs/>
        </w:rPr>
        <w:t xml:space="preserve"> Al-Fiqh Al</w:t>
      </w:r>
      <w:r w:rsidRPr="00DA0268">
        <w:rPr>
          <w:rFonts w:asciiTheme="majorBidi" w:hAnsiTheme="majorBidi" w:cstheme="majorBidi"/>
          <w:i/>
          <w:iCs/>
        </w:rPr>
        <w:t>-Islamī</w:t>
      </w:r>
      <w:r w:rsidRPr="00406F37">
        <w:rPr>
          <w:rFonts w:asciiTheme="majorBidi" w:hAnsiTheme="majorBidi" w:cstheme="majorBidi"/>
        </w:rPr>
        <w:t>,</w:t>
      </w:r>
      <w:r>
        <w:rPr>
          <w:rFonts w:asciiTheme="majorBidi" w:hAnsiTheme="majorBidi" w:cstheme="majorBidi"/>
        </w:rPr>
        <w:t xml:space="preserve"> </w:t>
      </w:r>
      <w:r w:rsidRPr="00406F37">
        <w:rPr>
          <w:rFonts w:asciiTheme="majorBidi" w:hAnsiTheme="majorBidi" w:cstheme="majorBidi"/>
        </w:rPr>
        <w:t xml:space="preserve">( Damascus: Dar Al-Fikir, 2014) </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Al-Zuhail</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Wahbah, </w:t>
      </w:r>
      <w:r w:rsidRPr="0082707B">
        <w:rPr>
          <w:rFonts w:asciiTheme="majorBidi" w:hAnsiTheme="majorBidi" w:cstheme="majorBidi"/>
          <w:i/>
          <w:iCs/>
          <w:sz w:val="24"/>
          <w:szCs w:val="24"/>
        </w:rPr>
        <w:t>Al-Fiqh Islāmī Wa Adillatuhū</w:t>
      </w:r>
      <w:r w:rsidRPr="00406F37">
        <w:rPr>
          <w:rFonts w:asciiTheme="majorBidi" w:hAnsiTheme="majorBidi" w:cstheme="majorBidi"/>
          <w:sz w:val="24"/>
          <w:szCs w:val="24"/>
        </w:rPr>
        <w:t>, ( Bairut: Dar al-Fkr, 1989)</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sz w:val="24"/>
          <w:szCs w:val="24"/>
        </w:rPr>
      </w:pPr>
      <w:r w:rsidRPr="00406F37">
        <w:rPr>
          <w:rFonts w:asciiTheme="majorBidi" w:hAnsiTheme="majorBidi" w:cstheme="majorBidi"/>
          <w:sz w:val="24"/>
          <w:szCs w:val="24"/>
        </w:rPr>
        <w:t>Al-Zuhail</w:t>
      </w:r>
      <w:r w:rsidRPr="0082707B">
        <w:rPr>
          <w:rFonts w:asciiTheme="majorBidi" w:hAnsiTheme="majorBidi" w:cstheme="majorBidi"/>
          <w:sz w:val="24"/>
          <w:szCs w:val="24"/>
        </w:rPr>
        <w:t>ī</w:t>
      </w:r>
      <w:r>
        <w:rPr>
          <w:sz w:val="24"/>
          <w:szCs w:val="24"/>
        </w:rPr>
        <w:t>,</w:t>
      </w:r>
      <w:r w:rsidRPr="00406F37">
        <w:rPr>
          <w:sz w:val="24"/>
          <w:szCs w:val="24"/>
        </w:rPr>
        <w:t xml:space="preserve">Wahbah, </w:t>
      </w:r>
      <w:r w:rsidRPr="0094784A">
        <w:rPr>
          <w:i/>
          <w:iCs/>
          <w:sz w:val="24"/>
          <w:szCs w:val="24"/>
        </w:rPr>
        <w:t>Al-Was</w:t>
      </w:r>
      <w:r w:rsidRPr="0094784A">
        <w:rPr>
          <w:rFonts w:asciiTheme="majorBidi" w:hAnsiTheme="majorBidi" w:cstheme="majorBidi"/>
          <w:i/>
          <w:iCs/>
          <w:sz w:val="24"/>
          <w:szCs w:val="24"/>
        </w:rPr>
        <w:t>ī</w:t>
      </w:r>
      <w:r w:rsidRPr="0094784A">
        <w:rPr>
          <w:i/>
          <w:iCs/>
          <w:sz w:val="24"/>
          <w:szCs w:val="24"/>
        </w:rPr>
        <w:t xml:space="preserve">th fi </w:t>
      </w:r>
      <w:r w:rsidRPr="0094784A">
        <w:rPr>
          <w:rFonts w:asciiTheme="majorBidi" w:hAnsiTheme="majorBidi" w:cstheme="majorBidi"/>
          <w:bCs/>
          <w:i/>
          <w:iCs/>
          <w:spacing w:val="11"/>
          <w:sz w:val="24"/>
          <w:szCs w:val="24"/>
        </w:rPr>
        <w:t>U</w:t>
      </w:r>
      <w:r w:rsidRPr="0094784A">
        <w:rPr>
          <w:rFonts w:asciiTheme="majorBidi" w:hAnsiTheme="majorBidi" w:cstheme="majorBidi"/>
          <w:i/>
          <w:iCs/>
          <w:color w:val="222222"/>
          <w:sz w:val="24"/>
          <w:szCs w:val="24"/>
        </w:rPr>
        <w:t>ṣh</w:t>
      </w:r>
      <w:r w:rsidRPr="0094784A">
        <w:rPr>
          <w:rFonts w:asciiTheme="majorBidi" w:hAnsiTheme="majorBidi" w:cstheme="majorBidi"/>
          <w:i/>
          <w:iCs/>
          <w:sz w:val="24"/>
          <w:szCs w:val="24"/>
        </w:rPr>
        <w:t>ū</w:t>
      </w:r>
      <w:r w:rsidRPr="0094784A">
        <w:rPr>
          <w:rFonts w:asciiTheme="majorBidi" w:hAnsiTheme="majorBidi" w:cstheme="majorBidi"/>
          <w:bCs/>
          <w:i/>
          <w:iCs/>
          <w:spacing w:val="11"/>
          <w:sz w:val="24"/>
          <w:szCs w:val="24"/>
        </w:rPr>
        <w:t>l</w:t>
      </w:r>
      <w:r w:rsidRPr="0094784A">
        <w:rPr>
          <w:i/>
          <w:iCs/>
          <w:sz w:val="24"/>
          <w:szCs w:val="24"/>
        </w:rPr>
        <w:t xml:space="preserve"> al-Fiqh al-Isl</w:t>
      </w:r>
      <w:r w:rsidRPr="0094784A">
        <w:rPr>
          <w:rFonts w:asciiTheme="majorBidi" w:hAnsiTheme="majorBidi" w:cstheme="majorBidi"/>
          <w:i/>
          <w:iCs/>
          <w:sz w:val="24"/>
          <w:szCs w:val="24"/>
        </w:rPr>
        <w:t>ā</w:t>
      </w:r>
      <w:r w:rsidRPr="0094784A">
        <w:rPr>
          <w:i/>
          <w:iCs/>
          <w:sz w:val="24"/>
          <w:szCs w:val="24"/>
        </w:rPr>
        <w:t>my,</w:t>
      </w:r>
      <w:r w:rsidRPr="00406F37">
        <w:rPr>
          <w:i/>
          <w:iCs/>
          <w:sz w:val="24"/>
          <w:szCs w:val="24"/>
        </w:rPr>
        <w:t xml:space="preserve"> </w:t>
      </w:r>
      <w:r w:rsidRPr="00406F37">
        <w:rPr>
          <w:sz w:val="24"/>
          <w:szCs w:val="24"/>
        </w:rPr>
        <w:t>( Damascus: Mathba’ah Dar al-Kitab, 1978)</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Al-Zuhail</w:t>
      </w:r>
      <w:r w:rsidRPr="0082707B">
        <w:rPr>
          <w:rFonts w:asciiTheme="majorBidi" w:hAnsiTheme="majorBidi" w:cstheme="majorBidi"/>
          <w:sz w:val="24"/>
          <w:szCs w:val="24"/>
        </w:rPr>
        <w:t>ī</w:t>
      </w:r>
      <w:r w:rsidRPr="00406F37">
        <w:rPr>
          <w:rFonts w:asciiTheme="majorBidi" w:hAnsiTheme="majorBidi" w:cstheme="majorBidi"/>
          <w:sz w:val="24"/>
          <w:szCs w:val="24"/>
        </w:rPr>
        <w:t xml:space="preserve">, Wahbah bin Mushthofa, </w:t>
      </w:r>
      <w:r w:rsidRPr="00406F37">
        <w:rPr>
          <w:rFonts w:asciiTheme="majorBidi" w:hAnsiTheme="majorBidi" w:cstheme="majorBidi"/>
          <w:i/>
          <w:iCs/>
          <w:sz w:val="24"/>
          <w:szCs w:val="24"/>
        </w:rPr>
        <w:t>Fat</w:t>
      </w:r>
      <w:r w:rsidRPr="0082707B">
        <w:rPr>
          <w:rFonts w:asciiTheme="majorBidi" w:hAnsiTheme="majorBidi" w:cstheme="majorBidi"/>
          <w:i/>
          <w:iCs/>
          <w:sz w:val="24"/>
          <w:szCs w:val="24"/>
        </w:rPr>
        <w:t>ā</w:t>
      </w:r>
      <w:r w:rsidRPr="00406F37">
        <w:rPr>
          <w:rFonts w:asciiTheme="majorBidi" w:hAnsiTheme="majorBidi" w:cstheme="majorBidi"/>
          <w:i/>
          <w:iCs/>
          <w:sz w:val="24"/>
          <w:szCs w:val="24"/>
        </w:rPr>
        <w:t>wa Mu</w:t>
      </w:r>
      <w:r>
        <w:rPr>
          <w:rFonts w:asciiTheme="majorBidi" w:hAnsiTheme="majorBidi" w:cstheme="majorBidi"/>
          <w:i/>
          <w:iCs/>
          <w:sz w:val="24"/>
          <w:szCs w:val="24"/>
        </w:rPr>
        <w:t>’</w:t>
      </w:r>
      <w:r w:rsidRPr="0082707B">
        <w:rPr>
          <w:rFonts w:asciiTheme="majorBidi" w:hAnsiTheme="majorBidi" w:cstheme="majorBidi"/>
          <w:i/>
          <w:iCs/>
          <w:sz w:val="24"/>
          <w:szCs w:val="24"/>
        </w:rPr>
        <w:t>ā</w:t>
      </w:r>
      <w:r w:rsidRPr="00406F37">
        <w:rPr>
          <w:rFonts w:asciiTheme="majorBidi" w:hAnsiTheme="majorBidi" w:cstheme="majorBidi"/>
          <w:i/>
          <w:iCs/>
          <w:sz w:val="24"/>
          <w:szCs w:val="24"/>
        </w:rPr>
        <w:t>shirah</w:t>
      </w:r>
      <w:r w:rsidRPr="00406F37">
        <w:rPr>
          <w:rFonts w:asciiTheme="majorBidi" w:hAnsiTheme="majorBidi" w:cstheme="majorBidi"/>
          <w:sz w:val="24"/>
          <w:szCs w:val="24"/>
        </w:rPr>
        <w:t>, ( Damascus: Dar al-Fikr, 2006)</w:t>
      </w: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Al-Zuhail</w:t>
      </w:r>
      <w:r w:rsidRPr="0082707B">
        <w:rPr>
          <w:rFonts w:asciiTheme="majorBidi" w:hAnsiTheme="majorBidi" w:cstheme="majorBidi"/>
        </w:rPr>
        <w:t>ī</w:t>
      </w:r>
      <w:r w:rsidRPr="00406F37">
        <w:rPr>
          <w:rFonts w:asciiTheme="majorBidi" w:hAnsiTheme="majorBidi" w:cstheme="majorBidi"/>
        </w:rPr>
        <w:t xml:space="preserve">, Wahbah, </w:t>
      </w:r>
      <w:r w:rsidRPr="0082707B">
        <w:rPr>
          <w:rFonts w:asciiTheme="majorBidi" w:hAnsiTheme="majorBidi" w:cstheme="majorBidi"/>
          <w:i/>
          <w:iCs/>
        </w:rPr>
        <w:t>Al-Zaw</w:t>
      </w:r>
      <w:r w:rsidRPr="0082707B">
        <w:rPr>
          <w:rFonts w:asciiTheme="majorBidi" w:hAnsiTheme="majorBidi" w:cstheme="majorBidi"/>
          <w:i/>
          <w:iCs/>
          <w:spacing w:val="1"/>
        </w:rPr>
        <w:t>ā</w:t>
      </w:r>
      <w:r w:rsidRPr="0082707B">
        <w:rPr>
          <w:rFonts w:asciiTheme="majorBidi" w:hAnsiTheme="majorBidi" w:cstheme="majorBidi"/>
          <w:i/>
          <w:iCs/>
        </w:rPr>
        <w:t>j Wa al-Thal</w:t>
      </w:r>
      <w:r w:rsidRPr="0082707B">
        <w:rPr>
          <w:rFonts w:asciiTheme="majorBidi" w:hAnsiTheme="majorBidi" w:cstheme="majorBidi"/>
          <w:i/>
          <w:iCs/>
          <w:spacing w:val="1"/>
        </w:rPr>
        <w:t>ā</w:t>
      </w:r>
      <w:r w:rsidRPr="0082707B">
        <w:rPr>
          <w:rFonts w:asciiTheme="majorBidi" w:hAnsiTheme="majorBidi" w:cstheme="majorBidi"/>
          <w:i/>
          <w:iCs/>
        </w:rPr>
        <w:t>q</w:t>
      </w:r>
      <w:r w:rsidRPr="00406F37">
        <w:rPr>
          <w:rFonts w:asciiTheme="majorBidi" w:hAnsiTheme="majorBidi" w:cstheme="majorBidi"/>
        </w:rPr>
        <w:t>, (Tripoli: Kulliyah al-Dakwah al-Islamiyah, 1998)</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lastRenderedPageBreak/>
        <w:t xml:space="preserve">Amin, Qasim, </w:t>
      </w:r>
      <w:r w:rsidRPr="0094784A">
        <w:rPr>
          <w:rFonts w:asciiTheme="majorBidi" w:hAnsiTheme="majorBidi" w:cstheme="majorBidi"/>
          <w:i/>
          <w:iCs/>
        </w:rPr>
        <w:t>Tahrīr</w:t>
      </w:r>
      <w:r w:rsidRPr="00406F37">
        <w:rPr>
          <w:rFonts w:asciiTheme="majorBidi" w:hAnsiTheme="majorBidi" w:cstheme="majorBidi"/>
          <w:i/>
          <w:iCs/>
        </w:rPr>
        <w:t xml:space="preserve"> al-Mar‘ah</w:t>
      </w:r>
      <w:r w:rsidRPr="00406F37">
        <w:rPr>
          <w:rFonts w:asciiTheme="majorBidi" w:hAnsiTheme="majorBidi" w:cstheme="majorBidi"/>
        </w:rPr>
        <w:t>, (Kairo : Al-Markaz al-‘Arabi li al-Bahst wa al-Nasyr, 1981)</w:t>
      </w:r>
    </w:p>
    <w:p w:rsidR="00343B61" w:rsidRPr="00406F37" w:rsidRDefault="00343B61" w:rsidP="00343B61">
      <w:pPr>
        <w:autoSpaceDE w:val="0"/>
        <w:autoSpaceDN w:val="0"/>
        <w:adjustRightInd w:val="0"/>
        <w:ind w:left="810" w:hanging="810"/>
        <w:jc w:val="both"/>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Arfah, Abul Hasan al-tusuli al-masyhur bi ibn, </w:t>
      </w:r>
      <w:r w:rsidRPr="00406F37">
        <w:rPr>
          <w:rFonts w:asciiTheme="majorBidi" w:hAnsiTheme="majorBidi" w:cstheme="majorBidi"/>
          <w:i/>
          <w:iCs/>
          <w:sz w:val="24"/>
          <w:szCs w:val="24"/>
        </w:rPr>
        <w:t xml:space="preserve">Al-Bahjah </w:t>
      </w:r>
      <w:r w:rsidRPr="0094784A">
        <w:rPr>
          <w:rFonts w:asciiTheme="majorBidi" w:hAnsiTheme="majorBidi" w:cstheme="majorBidi"/>
          <w:i/>
          <w:iCs/>
          <w:sz w:val="24"/>
          <w:szCs w:val="24"/>
        </w:rPr>
        <w:t>Fī</w:t>
      </w:r>
      <w:r w:rsidRPr="00406F37">
        <w:rPr>
          <w:rFonts w:asciiTheme="majorBidi" w:hAnsiTheme="majorBidi" w:cstheme="majorBidi"/>
          <w:i/>
          <w:iCs/>
          <w:sz w:val="24"/>
          <w:szCs w:val="24"/>
        </w:rPr>
        <w:t xml:space="preserve"> Syarh al-Tuhfah</w:t>
      </w:r>
      <w:r w:rsidRPr="00406F37">
        <w:rPr>
          <w:rFonts w:asciiTheme="majorBidi" w:hAnsiTheme="majorBidi" w:cstheme="majorBidi"/>
          <w:sz w:val="24"/>
          <w:szCs w:val="24"/>
        </w:rPr>
        <w:t>, ( Bairut: Dar Kutub Ilmiyah, 1998)</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94784A" w:rsidRDefault="00343B61" w:rsidP="00343B61">
      <w:pPr>
        <w:ind w:left="810" w:hanging="810"/>
        <w:jc w:val="both"/>
        <w:rPr>
          <w:rFonts w:asciiTheme="majorBidi" w:hAnsiTheme="majorBidi" w:cstheme="majorBidi"/>
          <w:i/>
          <w:iCs/>
          <w:lang w:val="sv-SE"/>
        </w:rPr>
      </w:pPr>
      <w:r w:rsidRPr="00406F37">
        <w:rPr>
          <w:rFonts w:asciiTheme="majorBidi" w:hAnsiTheme="majorBidi" w:cstheme="majorBidi"/>
        </w:rPr>
        <w:t xml:space="preserve">Athwah, Abd al-‘Al Ahmad, </w:t>
      </w:r>
      <w:r w:rsidRPr="00406F37">
        <w:rPr>
          <w:rFonts w:asciiTheme="majorBidi" w:hAnsiTheme="majorBidi" w:cstheme="majorBidi"/>
          <w:i/>
          <w:iCs/>
        </w:rPr>
        <w:t xml:space="preserve">Al-Madkhal ila </w:t>
      </w:r>
      <w:r>
        <w:rPr>
          <w:rFonts w:asciiTheme="majorBidi" w:hAnsiTheme="majorBidi" w:cstheme="majorBidi"/>
          <w:i/>
          <w:iCs/>
        </w:rPr>
        <w:t>al-</w:t>
      </w:r>
      <w:r w:rsidRPr="00784DB4">
        <w:rPr>
          <w:rFonts w:asciiTheme="majorBidi" w:hAnsiTheme="majorBidi" w:cstheme="majorBidi"/>
          <w:i/>
          <w:iCs/>
          <w:lang w:val="sv-SE"/>
        </w:rPr>
        <w:t xml:space="preserve">Siyāsah </w:t>
      </w:r>
      <w:r>
        <w:rPr>
          <w:rFonts w:asciiTheme="majorBidi" w:hAnsiTheme="majorBidi" w:cstheme="majorBidi"/>
          <w:i/>
          <w:iCs/>
          <w:lang w:val="sv-SE"/>
        </w:rPr>
        <w:t>al-</w:t>
      </w:r>
      <w:r w:rsidRPr="00784DB4">
        <w:rPr>
          <w:rFonts w:asciiTheme="majorBidi" w:hAnsiTheme="majorBidi" w:cstheme="majorBidi"/>
          <w:i/>
          <w:iCs/>
          <w:lang w:val="sv-SE"/>
        </w:rPr>
        <w:t>Syar</w:t>
      </w:r>
      <w:r w:rsidRPr="00784DB4">
        <w:rPr>
          <w:rFonts w:asciiTheme="majorBidi" w:hAnsiTheme="majorBidi" w:cstheme="majorBidi"/>
          <w:lang w:val="sv-SE"/>
        </w:rPr>
        <w:t>‘</w:t>
      </w:r>
      <w:r w:rsidRPr="00784DB4">
        <w:rPr>
          <w:rFonts w:asciiTheme="majorBidi" w:hAnsiTheme="majorBidi" w:cstheme="majorBidi"/>
          <w:i/>
          <w:iCs/>
          <w:lang w:val="sv-SE"/>
        </w:rPr>
        <w:t>iyyah</w:t>
      </w:r>
      <w:r w:rsidRPr="00406F37">
        <w:rPr>
          <w:rFonts w:asciiTheme="majorBidi" w:hAnsiTheme="majorBidi" w:cstheme="majorBidi"/>
        </w:rPr>
        <w:t xml:space="preserve">, (Riyadh: </w:t>
      </w:r>
      <w:r w:rsidRPr="00406F37">
        <w:rPr>
          <w:rFonts w:asciiTheme="majorBidi" w:hAnsiTheme="majorBidi" w:cstheme="majorBidi"/>
          <w:color w:val="FF0000"/>
        </w:rPr>
        <w:t xml:space="preserve"> </w:t>
      </w:r>
      <w:r w:rsidRPr="00406F37">
        <w:rPr>
          <w:rFonts w:asciiTheme="majorBidi" w:hAnsiTheme="majorBidi" w:cstheme="majorBidi"/>
          <w:color w:val="000000" w:themeColor="text1"/>
        </w:rPr>
        <w:t xml:space="preserve">Jam’iah al-Imam Muhammad Ibn Su’ud al-Islamiyah, </w:t>
      </w:r>
      <w:r w:rsidRPr="00406F37">
        <w:rPr>
          <w:rFonts w:asciiTheme="majorBidi" w:hAnsiTheme="majorBidi" w:cstheme="majorBidi"/>
        </w:rPr>
        <w:t>1993)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sz w:val="24"/>
          <w:szCs w:val="24"/>
        </w:rPr>
      </w:pPr>
      <w:r w:rsidRPr="00406F37">
        <w:rPr>
          <w:sz w:val="24"/>
          <w:szCs w:val="24"/>
        </w:rPr>
        <w:t>At-Tabar</w:t>
      </w:r>
      <w:r w:rsidRPr="0082707B">
        <w:rPr>
          <w:rFonts w:asciiTheme="majorBidi" w:hAnsiTheme="majorBidi" w:cstheme="majorBidi"/>
          <w:sz w:val="24"/>
          <w:szCs w:val="24"/>
        </w:rPr>
        <w:t>ī</w:t>
      </w:r>
      <w:r w:rsidRPr="00406F37">
        <w:rPr>
          <w:sz w:val="24"/>
          <w:szCs w:val="24"/>
        </w:rPr>
        <w:t xml:space="preserve">, </w:t>
      </w:r>
      <w:r w:rsidRPr="0094784A">
        <w:rPr>
          <w:i/>
          <w:iCs/>
          <w:sz w:val="24"/>
          <w:szCs w:val="24"/>
        </w:rPr>
        <w:t>Tafs</w:t>
      </w:r>
      <w:r w:rsidRPr="0094784A">
        <w:rPr>
          <w:rFonts w:asciiTheme="majorBidi" w:hAnsiTheme="majorBidi" w:cstheme="majorBidi"/>
          <w:i/>
          <w:iCs/>
          <w:sz w:val="24"/>
          <w:szCs w:val="24"/>
        </w:rPr>
        <w:t>ī</w:t>
      </w:r>
      <w:r w:rsidRPr="00406F37">
        <w:rPr>
          <w:i/>
          <w:iCs/>
          <w:sz w:val="24"/>
          <w:szCs w:val="24"/>
        </w:rPr>
        <w:t>r Jami</w:t>
      </w:r>
      <w:r>
        <w:rPr>
          <w:i/>
          <w:iCs/>
          <w:sz w:val="24"/>
          <w:szCs w:val="24"/>
        </w:rPr>
        <w:t>’</w:t>
      </w:r>
      <w:r w:rsidRPr="00406F37">
        <w:rPr>
          <w:i/>
          <w:iCs/>
          <w:sz w:val="24"/>
          <w:szCs w:val="24"/>
        </w:rPr>
        <w:t>ul Bay</w:t>
      </w:r>
      <w:r w:rsidRPr="00784DB4">
        <w:rPr>
          <w:rFonts w:asciiTheme="majorBidi" w:hAnsiTheme="majorBidi" w:cstheme="majorBidi"/>
          <w:i/>
          <w:iCs/>
          <w:sz w:val="24"/>
          <w:szCs w:val="24"/>
          <w:lang w:val="sv-SE"/>
        </w:rPr>
        <w:t>ā</w:t>
      </w:r>
      <w:r w:rsidRPr="00406F37">
        <w:rPr>
          <w:i/>
          <w:iCs/>
          <w:sz w:val="24"/>
          <w:szCs w:val="24"/>
        </w:rPr>
        <w:t xml:space="preserve">n </w:t>
      </w:r>
      <w:r w:rsidRPr="00406F37">
        <w:rPr>
          <w:sz w:val="24"/>
          <w:szCs w:val="24"/>
        </w:rPr>
        <w:t xml:space="preserve">(T.tp: Iqamu ad-Din, 1988) </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Darwuzah, Muhammad ‘Azzah, </w:t>
      </w:r>
      <w:r w:rsidRPr="00406F37">
        <w:rPr>
          <w:rFonts w:asciiTheme="majorBidi" w:hAnsiTheme="majorBidi" w:cstheme="majorBidi"/>
          <w:i/>
          <w:iCs/>
          <w:sz w:val="24"/>
          <w:szCs w:val="24"/>
        </w:rPr>
        <w:t>al-</w:t>
      </w:r>
      <w:r w:rsidRPr="0094784A">
        <w:rPr>
          <w:i/>
          <w:iCs/>
          <w:sz w:val="24"/>
          <w:szCs w:val="24"/>
        </w:rPr>
        <w:t>Tafs</w:t>
      </w:r>
      <w:r w:rsidRPr="0094784A">
        <w:rPr>
          <w:rFonts w:asciiTheme="majorBidi" w:hAnsiTheme="majorBidi" w:cstheme="majorBidi"/>
          <w:i/>
          <w:iCs/>
          <w:sz w:val="24"/>
          <w:szCs w:val="24"/>
        </w:rPr>
        <w:t>ī</w:t>
      </w:r>
      <w:r w:rsidRPr="00406F37">
        <w:rPr>
          <w:i/>
          <w:iCs/>
          <w:sz w:val="24"/>
          <w:szCs w:val="24"/>
        </w:rPr>
        <w:t>r</w:t>
      </w:r>
      <w:r w:rsidRPr="00406F37">
        <w:rPr>
          <w:rFonts w:asciiTheme="majorBidi" w:hAnsiTheme="majorBidi" w:cstheme="majorBidi"/>
          <w:i/>
          <w:iCs/>
          <w:sz w:val="24"/>
          <w:szCs w:val="24"/>
        </w:rPr>
        <w:t xml:space="preserve"> al-Had</w:t>
      </w:r>
      <w:r w:rsidRPr="0094784A">
        <w:rPr>
          <w:rFonts w:asciiTheme="majorBidi" w:hAnsiTheme="majorBidi" w:cstheme="majorBidi"/>
          <w:i/>
          <w:iCs/>
          <w:sz w:val="24"/>
          <w:szCs w:val="24"/>
        </w:rPr>
        <w:t>ī</w:t>
      </w:r>
      <w:r w:rsidRPr="00406F37">
        <w:rPr>
          <w:rFonts w:asciiTheme="majorBidi" w:hAnsiTheme="majorBidi" w:cstheme="majorBidi"/>
          <w:i/>
          <w:iCs/>
          <w:sz w:val="24"/>
          <w:szCs w:val="24"/>
        </w:rPr>
        <w:t>ts Tartib al-Shuwar Hasb al-Nuz</w:t>
      </w:r>
      <w:r w:rsidRPr="0082707B">
        <w:rPr>
          <w:rFonts w:asciiTheme="majorBidi" w:hAnsiTheme="majorBidi" w:cstheme="majorBidi"/>
          <w:i/>
          <w:iCs/>
          <w:sz w:val="24"/>
          <w:szCs w:val="24"/>
        </w:rPr>
        <w:t>ū</w:t>
      </w:r>
      <w:r w:rsidRPr="00406F37">
        <w:rPr>
          <w:rFonts w:asciiTheme="majorBidi" w:hAnsiTheme="majorBidi" w:cstheme="majorBidi"/>
          <w:i/>
          <w:iCs/>
          <w:sz w:val="24"/>
          <w:szCs w:val="24"/>
        </w:rPr>
        <w:t>l</w:t>
      </w:r>
      <w:r w:rsidRPr="00406F37">
        <w:rPr>
          <w:rFonts w:asciiTheme="majorBidi" w:hAnsiTheme="majorBidi" w:cstheme="majorBidi"/>
          <w:sz w:val="24"/>
          <w:szCs w:val="24"/>
        </w:rPr>
        <w:t>, ( Bairut: Dar al-Gharb al-Islami, 1994)</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color w:val="000000"/>
        </w:rPr>
      </w:pPr>
      <w:r w:rsidRPr="00406F37">
        <w:rPr>
          <w:rFonts w:asciiTheme="majorBidi" w:eastAsiaTheme="minorHAnsi" w:hAnsiTheme="majorBidi" w:cstheme="majorBidi"/>
          <w:color w:val="000000"/>
        </w:rPr>
        <w:t xml:space="preserve">Fa’ur Mahmud Abd al-Hadi, </w:t>
      </w:r>
      <w:r w:rsidRPr="00406F37">
        <w:rPr>
          <w:rFonts w:asciiTheme="majorBidi" w:eastAsiaTheme="minorHAnsi" w:hAnsiTheme="majorBidi" w:cstheme="majorBidi"/>
          <w:i/>
          <w:iCs/>
          <w:color w:val="000000"/>
        </w:rPr>
        <w:t>al-Maq</w:t>
      </w:r>
      <w:r w:rsidRPr="00784DB4">
        <w:rPr>
          <w:rFonts w:asciiTheme="majorBidi" w:hAnsiTheme="majorBidi" w:cstheme="majorBidi"/>
          <w:i/>
          <w:iCs/>
          <w:lang w:val="sv-SE"/>
        </w:rPr>
        <w:t>ā</w:t>
      </w:r>
      <w:r w:rsidRPr="00406F37">
        <w:rPr>
          <w:rFonts w:asciiTheme="majorBidi" w:eastAsiaTheme="minorHAnsi" w:hAnsiTheme="majorBidi" w:cstheme="majorBidi"/>
          <w:i/>
          <w:iCs/>
          <w:color w:val="000000"/>
        </w:rPr>
        <w:t>shid ‘Ind al-Imam al-Syathibi, Dir</w:t>
      </w:r>
      <w:r w:rsidRPr="00784DB4">
        <w:rPr>
          <w:rFonts w:asciiTheme="majorBidi" w:hAnsiTheme="majorBidi" w:cstheme="majorBidi"/>
          <w:i/>
          <w:iCs/>
          <w:lang w:val="sv-SE"/>
        </w:rPr>
        <w:t>ā</w:t>
      </w:r>
      <w:r w:rsidRPr="00406F37">
        <w:rPr>
          <w:rFonts w:asciiTheme="majorBidi" w:eastAsiaTheme="minorHAnsi" w:hAnsiTheme="majorBidi" w:cstheme="majorBidi"/>
          <w:i/>
          <w:iCs/>
          <w:color w:val="000000"/>
        </w:rPr>
        <w:t>sah Ush</w:t>
      </w:r>
      <w:r w:rsidRPr="0082707B">
        <w:rPr>
          <w:rFonts w:asciiTheme="majorBidi" w:hAnsiTheme="majorBidi" w:cstheme="majorBidi"/>
          <w:i/>
          <w:iCs/>
        </w:rPr>
        <w:t>ū</w:t>
      </w:r>
      <w:r>
        <w:rPr>
          <w:rFonts w:asciiTheme="majorBidi" w:eastAsiaTheme="minorHAnsi" w:hAnsiTheme="majorBidi" w:cstheme="majorBidi"/>
          <w:i/>
          <w:iCs/>
          <w:color w:val="000000"/>
        </w:rPr>
        <w:t>lyah F</w:t>
      </w:r>
      <w:r w:rsidRPr="00406F37">
        <w:rPr>
          <w:rFonts w:asciiTheme="majorBidi" w:eastAsiaTheme="minorHAnsi" w:hAnsiTheme="majorBidi" w:cstheme="majorBidi"/>
          <w:i/>
          <w:iCs/>
          <w:color w:val="000000"/>
        </w:rPr>
        <w:t>iqhiyah</w:t>
      </w:r>
      <w:r w:rsidRPr="00406F37">
        <w:rPr>
          <w:rFonts w:asciiTheme="majorBidi" w:eastAsiaTheme="minorHAnsi" w:hAnsiTheme="majorBidi" w:cstheme="majorBidi"/>
          <w:color w:val="000000"/>
        </w:rPr>
        <w:t>, ( Libanon: Tho’ba’ah  shaida, 2006)</w:t>
      </w: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color w:val="000000"/>
        </w:rPr>
      </w:pPr>
    </w:p>
    <w:p w:rsidR="00343B61" w:rsidRPr="009C01EF" w:rsidRDefault="00343B61" w:rsidP="00343B61">
      <w:pPr>
        <w:ind w:left="810" w:hanging="810"/>
        <w:jc w:val="both"/>
        <w:rPr>
          <w:rFonts w:asciiTheme="majorBidi" w:hAnsiTheme="majorBidi" w:cstheme="majorBidi"/>
          <w:i/>
          <w:iCs/>
        </w:rPr>
      </w:pPr>
      <w:r w:rsidRPr="00406F37">
        <w:rPr>
          <w:rFonts w:asciiTheme="majorBidi" w:hAnsiTheme="majorBidi" w:cstheme="majorBidi"/>
        </w:rPr>
        <w:t xml:space="preserve">Faidillah, Muhammad Fauzi, </w:t>
      </w:r>
      <w:r w:rsidRPr="00406F37">
        <w:rPr>
          <w:rFonts w:asciiTheme="majorBidi" w:hAnsiTheme="majorBidi" w:cstheme="majorBidi"/>
          <w:i/>
          <w:iCs/>
        </w:rPr>
        <w:t>al-Ijtih</w:t>
      </w:r>
      <w:r w:rsidRPr="00784DB4">
        <w:rPr>
          <w:rFonts w:asciiTheme="majorBidi" w:hAnsiTheme="majorBidi" w:cstheme="majorBidi"/>
          <w:i/>
          <w:iCs/>
          <w:lang w:val="sv-SE"/>
        </w:rPr>
        <w:t>ā</w:t>
      </w:r>
      <w:r w:rsidRPr="00406F37">
        <w:rPr>
          <w:rFonts w:asciiTheme="majorBidi" w:hAnsiTheme="majorBidi" w:cstheme="majorBidi"/>
          <w:i/>
          <w:iCs/>
        </w:rPr>
        <w:t>d f</w:t>
      </w:r>
      <w:r w:rsidRPr="00DB33DB">
        <w:rPr>
          <w:rFonts w:asciiTheme="majorBidi" w:hAnsiTheme="majorBidi" w:cstheme="majorBidi"/>
          <w:i/>
          <w:iCs/>
        </w:rPr>
        <w:t>ī</w:t>
      </w:r>
      <w:r w:rsidRPr="00406F37">
        <w:rPr>
          <w:rFonts w:asciiTheme="majorBidi" w:hAnsiTheme="majorBidi" w:cstheme="majorBidi"/>
          <w:i/>
          <w:iCs/>
        </w:rPr>
        <w:t xml:space="preserve"> </w:t>
      </w:r>
      <w:r w:rsidRPr="00DB33DB">
        <w:rPr>
          <w:rFonts w:asciiTheme="majorBidi" w:hAnsiTheme="majorBidi" w:cstheme="majorBidi"/>
          <w:i/>
          <w:iCs/>
        </w:rPr>
        <w:t>Syarī</w:t>
      </w:r>
      <w:r w:rsidRPr="00DB33DB">
        <w:rPr>
          <w:i/>
          <w:iCs/>
        </w:rPr>
        <w:t>‘</w:t>
      </w:r>
      <w:r w:rsidRPr="00DB33DB">
        <w:rPr>
          <w:rFonts w:asciiTheme="majorBidi" w:hAnsiTheme="majorBidi" w:cstheme="majorBidi"/>
          <w:i/>
          <w:iCs/>
        </w:rPr>
        <w:t>ah  Islāmiyah</w:t>
      </w:r>
      <w:r>
        <w:rPr>
          <w:rFonts w:asciiTheme="majorBidi" w:hAnsiTheme="majorBidi" w:cstheme="majorBidi"/>
        </w:rPr>
        <w:t>,</w:t>
      </w:r>
      <w:r w:rsidRPr="00406F37">
        <w:rPr>
          <w:rFonts w:asciiTheme="majorBidi" w:hAnsiTheme="majorBidi" w:cstheme="majorBidi"/>
        </w:rPr>
        <w:t>( Kuwait: Maktabah Dar al-Turats, 1984)</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Fathi, Bahansi Ahmad </w:t>
      </w:r>
      <w:r w:rsidRPr="00406F37">
        <w:rPr>
          <w:rFonts w:asciiTheme="majorBidi" w:hAnsiTheme="majorBidi" w:cstheme="majorBidi"/>
          <w:i/>
          <w:iCs/>
          <w:sz w:val="24"/>
          <w:szCs w:val="24"/>
        </w:rPr>
        <w:t>Al-</w:t>
      </w:r>
      <w:r w:rsidRPr="00784DB4">
        <w:rPr>
          <w:rFonts w:asciiTheme="majorBidi" w:hAnsiTheme="majorBidi" w:cstheme="majorBidi"/>
          <w:i/>
          <w:iCs/>
          <w:sz w:val="24"/>
          <w:szCs w:val="24"/>
          <w:lang w:val="sv-SE"/>
        </w:rPr>
        <w:t>Siyāsah</w:t>
      </w:r>
      <w:r w:rsidRPr="00406F37">
        <w:rPr>
          <w:rFonts w:asciiTheme="majorBidi" w:hAnsiTheme="majorBidi" w:cstheme="majorBidi"/>
          <w:i/>
          <w:iCs/>
          <w:sz w:val="24"/>
          <w:szCs w:val="24"/>
        </w:rPr>
        <w:t xml:space="preserve"> al-Jin</w:t>
      </w:r>
      <w:r w:rsidRPr="00784DB4">
        <w:rPr>
          <w:rFonts w:asciiTheme="majorBidi" w:hAnsiTheme="majorBidi" w:cstheme="majorBidi"/>
          <w:i/>
          <w:iCs/>
          <w:sz w:val="24"/>
          <w:szCs w:val="24"/>
          <w:lang w:val="sv-SE"/>
        </w:rPr>
        <w:t>ā</w:t>
      </w:r>
      <w:r w:rsidRPr="00406F37">
        <w:rPr>
          <w:rFonts w:asciiTheme="majorBidi" w:hAnsiTheme="majorBidi" w:cstheme="majorBidi"/>
          <w:i/>
          <w:iCs/>
          <w:sz w:val="24"/>
          <w:szCs w:val="24"/>
        </w:rPr>
        <w:t>iyah f</w:t>
      </w:r>
      <w:r w:rsidRPr="00DB33DB">
        <w:rPr>
          <w:rFonts w:asciiTheme="majorBidi" w:hAnsiTheme="majorBidi" w:cstheme="majorBidi"/>
          <w:i/>
          <w:iCs/>
          <w:sz w:val="24"/>
          <w:szCs w:val="24"/>
        </w:rPr>
        <w:t>ī</w:t>
      </w:r>
      <w:r w:rsidRPr="00406F37">
        <w:rPr>
          <w:rFonts w:asciiTheme="majorBidi" w:hAnsiTheme="majorBidi" w:cstheme="majorBidi"/>
          <w:i/>
          <w:iCs/>
          <w:sz w:val="24"/>
          <w:szCs w:val="24"/>
        </w:rPr>
        <w:t xml:space="preserve"> al- Syari’at</w:t>
      </w:r>
      <w:r w:rsidRPr="00406F37">
        <w:rPr>
          <w:rFonts w:asciiTheme="majorBidi" w:hAnsiTheme="majorBidi" w:cstheme="majorBidi"/>
          <w:sz w:val="24"/>
          <w:szCs w:val="24"/>
        </w:rPr>
        <w:t>, ( Mesir: Maktabah Dar al-‘Urubat, 1965)</w:t>
      </w:r>
    </w:p>
    <w:p w:rsidR="00343B61" w:rsidRPr="00406F37" w:rsidRDefault="00343B61" w:rsidP="00343B61">
      <w:pPr>
        <w:pStyle w:val="FootnoteText"/>
        <w:spacing w:line="276" w:lineRule="auto"/>
        <w:ind w:left="810" w:hanging="810"/>
        <w:jc w:val="both"/>
        <w:rPr>
          <w:rFonts w:asciiTheme="majorBidi" w:hAnsiTheme="majorBidi" w:cstheme="majorBidi"/>
          <w:color w:val="000000" w:themeColor="text1"/>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r w:rsidRPr="00406F37">
        <w:rPr>
          <w:rFonts w:asciiTheme="majorBidi" w:hAnsiTheme="majorBidi" w:cstheme="majorBidi"/>
          <w:sz w:val="24"/>
          <w:szCs w:val="24"/>
          <w:lang w:val="sv-SE"/>
        </w:rPr>
        <w:t xml:space="preserve">Hakīm, Abd al-Hamīd, </w:t>
      </w:r>
      <w:r w:rsidRPr="00406F37">
        <w:rPr>
          <w:rFonts w:asciiTheme="majorBidi" w:hAnsiTheme="majorBidi" w:cstheme="majorBidi"/>
          <w:i/>
          <w:iCs/>
          <w:sz w:val="24"/>
          <w:szCs w:val="24"/>
          <w:lang w:val="sv-SE"/>
        </w:rPr>
        <w:t>Mabādī Awwaliyyah</w:t>
      </w:r>
      <w:r w:rsidRPr="00406F37">
        <w:rPr>
          <w:rFonts w:asciiTheme="majorBidi" w:hAnsiTheme="majorBidi" w:cstheme="majorBidi"/>
          <w:sz w:val="24"/>
          <w:szCs w:val="24"/>
          <w:lang w:val="sv-SE"/>
        </w:rPr>
        <w:t>, (Jakarta: Sa‘adiyah Putra,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406F37" w:rsidRDefault="00343B61" w:rsidP="00343B61">
      <w:pPr>
        <w:pStyle w:val="ListParagraph"/>
        <w:spacing w:after="0"/>
        <w:ind w:left="810" w:hanging="810"/>
        <w:jc w:val="both"/>
        <w:rPr>
          <w:rFonts w:asciiTheme="majorBidi" w:hAnsiTheme="majorBidi" w:cstheme="majorBidi"/>
          <w:sz w:val="24"/>
          <w:szCs w:val="24"/>
          <w:lang w:val="sv-SE"/>
        </w:rPr>
      </w:pPr>
      <w:r w:rsidRPr="00406F37">
        <w:rPr>
          <w:rFonts w:asciiTheme="majorBidi" w:hAnsiTheme="majorBidi" w:cstheme="majorBidi"/>
          <w:sz w:val="24"/>
          <w:szCs w:val="24"/>
          <w:lang w:val="sv-SE"/>
        </w:rPr>
        <w:t xml:space="preserve">Husein, Sā’iḥ ‘Ali, </w:t>
      </w:r>
      <w:r w:rsidRPr="00784DB4">
        <w:rPr>
          <w:rFonts w:asciiTheme="majorBidi" w:hAnsiTheme="majorBidi" w:cstheme="majorBidi"/>
          <w:i/>
          <w:iCs/>
          <w:sz w:val="24"/>
          <w:szCs w:val="24"/>
          <w:lang w:val="fi-FI"/>
        </w:rPr>
        <w:t>Munjid al-Du’</w:t>
      </w:r>
      <w:r w:rsidRPr="00784DB4">
        <w:rPr>
          <w:rFonts w:asciiTheme="majorBidi" w:hAnsiTheme="majorBidi" w:cstheme="majorBidi"/>
          <w:i/>
          <w:iCs/>
          <w:spacing w:val="1"/>
          <w:sz w:val="24"/>
          <w:szCs w:val="24"/>
          <w:lang w:val="fi-FI"/>
        </w:rPr>
        <w:t>ā</w:t>
      </w:r>
      <w:r w:rsidRPr="00784DB4">
        <w:rPr>
          <w:rFonts w:asciiTheme="majorBidi" w:hAnsiTheme="majorBidi" w:cstheme="majorBidi"/>
          <w:i/>
          <w:iCs/>
          <w:sz w:val="24"/>
          <w:szCs w:val="24"/>
          <w:lang w:val="fi-FI"/>
        </w:rPr>
        <w:t>t fi al-Fiqh al-Isl</w:t>
      </w:r>
      <w:r w:rsidRPr="00784DB4">
        <w:rPr>
          <w:rFonts w:asciiTheme="majorBidi" w:hAnsiTheme="majorBidi" w:cstheme="majorBidi"/>
          <w:i/>
          <w:iCs/>
          <w:spacing w:val="1"/>
          <w:sz w:val="24"/>
          <w:szCs w:val="24"/>
          <w:lang w:val="fi-FI"/>
        </w:rPr>
        <w:t>ā</w:t>
      </w:r>
      <w:r w:rsidRPr="00784DB4">
        <w:rPr>
          <w:rFonts w:asciiTheme="majorBidi" w:hAnsiTheme="majorBidi" w:cstheme="majorBidi"/>
          <w:i/>
          <w:iCs/>
          <w:sz w:val="24"/>
          <w:szCs w:val="24"/>
          <w:lang w:val="fi-FI"/>
        </w:rPr>
        <w:t>mi al-Muq</w:t>
      </w:r>
      <w:r w:rsidRPr="00784DB4">
        <w:rPr>
          <w:rFonts w:asciiTheme="majorBidi" w:hAnsiTheme="majorBidi" w:cstheme="majorBidi"/>
          <w:i/>
          <w:iCs/>
          <w:spacing w:val="1"/>
          <w:sz w:val="24"/>
          <w:szCs w:val="24"/>
          <w:lang w:val="fi-FI"/>
        </w:rPr>
        <w:t>ā</w:t>
      </w:r>
      <w:r w:rsidRPr="00784DB4">
        <w:rPr>
          <w:rFonts w:asciiTheme="majorBidi" w:hAnsiTheme="majorBidi" w:cstheme="majorBidi"/>
          <w:i/>
          <w:iCs/>
          <w:sz w:val="24"/>
          <w:szCs w:val="24"/>
          <w:lang w:val="fi-FI"/>
        </w:rPr>
        <w:t>ron Qismu al-Ahw</w:t>
      </w:r>
      <w:r w:rsidRPr="00784DB4">
        <w:rPr>
          <w:rFonts w:asciiTheme="majorBidi" w:hAnsiTheme="majorBidi" w:cstheme="majorBidi"/>
          <w:i/>
          <w:iCs/>
          <w:spacing w:val="1"/>
          <w:sz w:val="24"/>
          <w:szCs w:val="24"/>
          <w:lang w:val="fi-FI"/>
        </w:rPr>
        <w:t>ā</w:t>
      </w:r>
      <w:r w:rsidRPr="00784DB4">
        <w:rPr>
          <w:rFonts w:asciiTheme="majorBidi" w:hAnsiTheme="majorBidi" w:cstheme="majorBidi"/>
          <w:i/>
          <w:iCs/>
          <w:sz w:val="24"/>
          <w:szCs w:val="24"/>
          <w:lang w:val="fi-FI"/>
        </w:rPr>
        <w:t>l al-Syakhshiah</w:t>
      </w:r>
      <w:r w:rsidRPr="00406F37">
        <w:rPr>
          <w:rFonts w:asciiTheme="majorBidi" w:hAnsiTheme="majorBidi" w:cstheme="majorBidi"/>
          <w:sz w:val="24"/>
          <w:szCs w:val="24"/>
          <w:lang w:val="sv-SE"/>
        </w:rPr>
        <w:t>, ( Tripoli: Kulliah al-Dakwah al-Islamiyah, 1429 H)</w:t>
      </w:r>
    </w:p>
    <w:p w:rsidR="00343B61" w:rsidRPr="00406F37" w:rsidRDefault="00343B61" w:rsidP="00343B61">
      <w:pPr>
        <w:pStyle w:val="ListParagraph"/>
        <w:spacing w:after="0"/>
        <w:ind w:left="810" w:hanging="810"/>
        <w:jc w:val="both"/>
        <w:rPr>
          <w:rFonts w:asciiTheme="majorBidi" w:hAnsiTheme="majorBidi" w:cstheme="majorBidi"/>
          <w:sz w:val="24"/>
          <w:szCs w:val="24"/>
          <w:lang w:val="sv-SE"/>
        </w:rPr>
      </w:pPr>
    </w:p>
    <w:p w:rsidR="00343B61" w:rsidRPr="009C01EF" w:rsidRDefault="00343B61" w:rsidP="00343B61">
      <w:pPr>
        <w:pStyle w:val="FootnoteText"/>
        <w:spacing w:line="276" w:lineRule="auto"/>
        <w:ind w:left="810" w:hanging="810"/>
        <w:jc w:val="both"/>
        <w:rPr>
          <w:rFonts w:asciiTheme="majorBidi" w:hAnsiTheme="majorBidi" w:cstheme="majorBidi"/>
          <w:sz w:val="24"/>
          <w:szCs w:val="24"/>
          <w:lang w:val="sv-SE"/>
        </w:rPr>
      </w:pPr>
      <w:r w:rsidRPr="009C01EF">
        <w:rPr>
          <w:rFonts w:asciiTheme="majorBidi" w:hAnsiTheme="majorBidi" w:cstheme="majorBidi"/>
          <w:sz w:val="24"/>
          <w:szCs w:val="24"/>
          <w:lang w:val="sv-SE"/>
        </w:rPr>
        <w:t xml:space="preserve">Ibn ‘Abdi al-Salam, </w:t>
      </w:r>
      <w:r w:rsidRPr="005A731F">
        <w:rPr>
          <w:rFonts w:asciiTheme="majorBidi" w:hAnsiTheme="majorBidi" w:cstheme="majorBidi"/>
          <w:i/>
          <w:iCs/>
          <w:sz w:val="24"/>
          <w:szCs w:val="24"/>
          <w:lang w:val="fi-FI"/>
        </w:rPr>
        <w:t>Qaw</w:t>
      </w:r>
      <w:r w:rsidRPr="0082707B">
        <w:rPr>
          <w:rFonts w:asciiTheme="majorBidi" w:hAnsiTheme="majorBidi" w:cstheme="majorBidi"/>
          <w:i/>
          <w:iCs/>
          <w:sz w:val="24"/>
          <w:szCs w:val="24"/>
          <w:lang w:val="id-ID"/>
        </w:rPr>
        <w:t>ā</w:t>
      </w:r>
      <w:r w:rsidRPr="005A731F">
        <w:rPr>
          <w:rFonts w:asciiTheme="majorBidi" w:hAnsiTheme="majorBidi" w:cstheme="majorBidi"/>
          <w:i/>
          <w:iCs/>
          <w:sz w:val="24"/>
          <w:szCs w:val="24"/>
          <w:lang w:val="fi-FI"/>
        </w:rPr>
        <w:t xml:space="preserve"> ‘id al-Ahk</w:t>
      </w:r>
      <w:r w:rsidRPr="0082707B">
        <w:rPr>
          <w:rFonts w:asciiTheme="majorBidi" w:hAnsiTheme="majorBidi" w:cstheme="majorBidi"/>
          <w:i/>
          <w:iCs/>
          <w:sz w:val="24"/>
          <w:szCs w:val="24"/>
          <w:lang w:val="id-ID"/>
        </w:rPr>
        <w:t>ā</w:t>
      </w:r>
      <w:r w:rsidRPr="005A731F">
        <w:rPr>
          <w:rFonts w:asciiTheme="majorBidi" w:hAnsiTheme="majorBidi" w:cstheme="majorBidi"/>
          <w:i/>
          <w:iCs/>
          <w:sz w:val="24"/>
          <w:szCs w:val="24"/>
          <w:lang w:val="fi-FI"/>
        </w:rPr>
        <w:t>m fī Mas</w:t>
      </w:r>
      <w:r w:rsidRPr="0082707B">
        <w:rPr>
          <w:rFonts w:asciiTheme="majorBidi" w:hAnsiTheme="majorBidi" w:cstheme="majorBidi"/>
          <w:i/>
          <w:iCs/>
          <w:sz w:val="24"/>
          <w:szCs w:val="24"/>
          <w:lang w:val="id-ID"/>
        </w:rPr>
        <w:t>ā</w:t>
      </w:r>
      <w:r w:rsidRPr="005A731F">
        <w:rPr>
          <w:rFonts w:asciiTheme="majorBidi" w:hAnsiTheme="majorBidi" w:cstheme="majorBidi"/>
          <w:i/>
          <w:iCs/>
          <w:sz w:val="24"/>
          <w:szCs w:val="24"/>
          <w:lang w:val="fi-FI"/>
        </w:rPr>
        <w:t>lih al-An</w:t>
      </w:r>
      <w:r w:rsidRPr="0082707B">
        <w:rPr>
          <w:rFonts w:asciiTheme="majorBidi" w:hAnsiTheme="majorBidi" w:cstheme="majorBidi"/>
          <w:i/>
          <w:iCs/>
          <w:sz w:val="24"/>
          <w:szCs w:val="24"/>
          <w:lang w:val="id-ID"/>
        </w:rPr>
        <w:t>ā</w:t>
      </w:r>
      <w:r w:rsidRPr="005A731F">
        <w:rPr>
          <w:rFonts w:asciiTheme="majorBidi" w:hAnsiTheme="majorBidi" w:cstheme="majorBidi"/>
          <w:i/>
          <w:iCs/>
          <w:sz w:val="24"/>
          <w:szCs w:val="24"/>
          <w:lang w:val="fi-FI"/>
        </w:rPr>
        <w:t>m</w:t>
      </w:r>
      <w:r w:rsidRPr="009C01EF">
        <w:rPr>
          <w:rFonts w:asciiTheme="majorBidi" w:hAnsiTheme="majorBidi" w:cstheme="majorBidi"/>
          <w:sz w:val="24"/>
          <w:szCs w:val="24"/>
          <w:lang w:val="sv-SE"/>
        </w:rPr>
        <w:t>, ( Kairo: al-Istiqamat, t.th), Jilid I</w:t>
      </w:r>
    </w:p>
    <w:p w:rsidR="00343B61" w:rsidRPr="009C01EF"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9C01EF" w:rsidRDefault="00343B61" w:rsidP="00343B61">
      <w:pPr>
        <w:pStyle w:val="ListParagraph"/>
        <w:ind w:left="810" w:hanging="810"/>
        <w:jc w:val="center"/>
        <w:rPr>
          <w:rFonts w:asciiTheme="majorBidi" w:hAnsiTheme="majorBidi" w:cstheme="majorBidi"/>
          <w:i/>
          <w:iCs/>
        </w:rPr>
      </w:pPr>
      <w:r w:rsidRPr="009C01EF">
        <w:rPr>
          <w:rFonts w:asciiTheme="majorBidi" w:hAnsiTheme="majorBidi" w:cstheme="majorBidi"/>
          <w:sz w:val="24"/>
          <w:szCs w:val="24"/>
          <w:lang w:val="sv-SE"/>
        </w:rPr>
        <w:t>Ibn</w:t>
      </w:r>
      <w:r w:rsidRPr="00406F37">
        <w:rPr>
          <w:rFonts w:asciiTheme="majorBidi" w:hAnsiTheme="majorBidi" w:cstheme="majorBidi"/>
          <w:sz w:val="24"/>
          <w:szCs w:val="24"/>
          <w:lang w:val="id-ID"/>
        </w:rPr>
        <w:t xml:space="preserve"> </w:t>
      </w:r>
      <w:r w:rsidRPr="009C01EF">
        <w:rPr>
          <w:rFonts w:asciiTheme="majorBidi" w:hAnsiTheme="majorBidi" w:cstheme="majorBidi"/>
          <w:sz w:val="24"/>
          <w:szCs w:val="24"/>
          <w:lang w:val="sv-SE"/>
        </w:rPr>
        <w:t>‘</w:t>
      </w:r>
      <w:r w:rsidRPr="00406F37">
        <w:rPr>
          <w:rFonts w:asciiTheme="majorBidi" w:hAnsiTheme="majorBidi" w:cstheme="majorBidi"/>
          <w:sz w:val="24"/>
          <w:szCs w:val="24"/>
          <w:lang w:val="id-ID"/>
        </w:rPr>
        <w:t>Asyur</w:t>
      </w:r>
      <w:r w:rsidRPr="009C01EF">
        <w:rPr>
          <w:rFonts w:asciiTheme="majorBidi" w:hAnsiTheme="majorBidi" w:cstheme="majorBidi"/>
          <w:sz w:val="24"/>
          <w:szCs w:val="24"/>
          <w:lang w:val="sv-SE"/>
        </w:rPr>
        <w:t>,</w:t>
      </w:r>
      <w:r w:rsidRPr="00406F37">
        <w:rPr>
          <w:rFonts w:asciiTheme="majorBidi" w:hAnsiTheme="majorBidi" w:cstheme="majorBidi"/>
          <w:sz w:val="24"/>
          <w:szCs w:val="24"/>
          <w:lang w:val="id-ID"/>
        </w:rPr>
        <w:t xml:space="preserve"> Thahir, </w:t>
      </w:r>
      <w:r w:rsidRPr="009C01EF">
        <w:rPr>
          <w:rFonts w:asciiTheme="majorBidi" w:hAnsiTheme="majorBidi" w:cstheme="majorBidi"/>
          <w:i/>
          <w:iCs/>
          <w:sz w:val="24"/>
          <w:szCs w:val="24"/>
          <w:lang w:val="sv-SE"/>
        </w:rPr>
        <w:t>Maqāṣid al-Sharī</w:t>
      </w:r>
      <w:r w:rsidRPr="009C01EF">
        <w:rPr>
          <w:sz w:val="24"/>
          <w:szCs w:val="24"/>
          <w:lang w:val="sv-SE"/>
        </w:rPr>
        <w:t>‘</w:t>
      </w:r>
      <w:r w:rsidRPr="009C01EF">
        <w:rPr>
          <w:rFonts w:asciiTheme="majorBidi" w:hAnsiTheme="majorBidi" w:cstheme="majorBidi"/>
          <w:i/>
          <w:iCs/>
          <w:sz w:val="24"/>
          <w:szCs w:val="24"/>
          <w:lang w:val="sv-SE"/>
        </w:rPr>
        <w:t xml:space="preserve">ah </w:t>
      </w:r>
      <w:r w:rsidRPr="009C01EF">
        <w:rPr>
          <w:rFonts w:asciiTheme="majorBidi" w:hAnsiTheme="majorBidi" w:cstheme="majorBidi"/>
          <w:i/>
          <w:iCs/>
          <w:sz w:val="24"/>
          <w:szCs w:val="24"/>
          <w:lang w:val="id-ID"/>
        </w:rPr>
        <w:t>al-Isl</w:t>
      </w:r>
      <w:r w:rsidRPr="009C01EF">
        <w:rPr>
          <w:rFonts w:asciiTheme="majorBidi" w:hAnsiTheme="majorBidi" w:cstheme="majorBidi"/>
          <w:i/>
          <w:iCs/>
          <w:sz w:val="24"/>
          <w:szCs w:val="24"/>
          <w:lang w:val="sv-SE"/>
        </w:rPr>
        <w:t>ā</w:t>
      </w:r>
      <w:r w:rsidRPr="009C01EF">
        <w:rPr>
          <w:rFonts w:asciiTheme="majorBidi" w:hAnsiTheme="majorBidi" w:cstheme="majorBidi"/>
          <w:i/>
          <w:iCs/>
          <w:sz w:val="24"/>
          <w:szCs w:val="24"/>
          <w:lang w:val="id-ID"/>
        </w:rPr>
        <w:t>miah</w:t>
      </w:r>
      <w:r w:rsidRPr="00406F37">
        <w:rPr>
          <w:rFonts w:asciiTheme="majorBidi" w:hAnsiTheme="majorBidi" w:cstheme="majorBidi"/>
          <w:i/>
          <w:iCs/>
          <w:sz w:val="24"/>
          <w:szCs w:val="24"/>
          <w:lang w:val="id-ID"/>
        </w:rPr>
        <w:t>,</w:t>
      </w:r>
      <w:r w:rsidRPr="00406F37">
        <w:rPr>
          <w:rFonts w:asciiTheme="majorBidi" w:hAnsiTheme="majorBidi" w:cstheme="majorBidi"/>
          <w:sz w:val="24"/>
          <w:szCs w:val="24"/>
          <w:lang w:val="id-ID"/>
        </w:rPr>
        <w:t xml:space="preserve"> ditahkik oleh Muhammad al-Thahir al-Misawiy, (Kuala Lumpur : Darul Fajr, cet. </w:t>
      </w:r>
      <w:r w:rsidRPr="00406F37">
        <w:rPr>
          <w:rFonts w:asciiTheme="majorBidi" w:hAnsiTheme="majorBidi" w:cstheme="majorBidi"/>
          <w:sz w:val="24"/>
          <w:szCs w:val="24"/>
        </w:rPr>
        <w:t>I, 1999)</w:t>
      </w:r>
    </w:p>
    <w:p w:rsidR="00343B61" w:rsidRPr="00406F37" w:rsidRDefault="00343B61" w:rsidP="00343B61">
      <w:pPr>
        <w:pStyle w:val="FootnoteText"/>
        <w:spacing w:line="276" w:lineRule="auto"/>
        <w:ind w:left="810" w:hanging="810"/>
        <w:jc w:val="both"/>
        <w:rPr>
          <w:rFonts w:asciiTheme="majorBidi" w:hAnsiTheme="majorBidi" w:cstheme="majorBidi"/>
          <w:color w:val="000000" w:themeColor="text1"/>
          <w:sz w:val="24"/>
          <w:szCs w:val="24"/>
        </w:rPr>
      </w:pPr>
      <w:r w:rsidRPr="00406F37">
        <w:rPr>
          <w:rFonts w:asciiTheme="majorBidi" w:hAnsiTheme="majorBidi" w:cstheme="majorBidi"/>
          <w:color w:val="000000" w:themeColor="text1"/>
          <w:sz w:val="24"/>
          <w:szCs w:val="24"/>
        </w:rPr>
        <w:t xml:space="preserve">Ibn Abidin, </w:t>
      </w:r>
      <w:r w:rsidRPr="00784DB4">
        <w:rPr>
          <w:i/>
          <w:iCs/>
          <w:sz w:val="24"/>
          <w:szCs w:val="24"/>
        </w:rPr>
        <w:t>Radd al-Muht</w:t>
      </w:r>
      <w:r w:rsidRPr="00784DB4">
        <w:rPr>
          <w:rFonts w:asciiTheme="majorBidi" w:hAnsiTheme="majorBidi" w:cstheme="majorBidi"/>
          <w:i/>
          <w:iCs/>
          <w:sz w:val="24"/>
          <w:szCs w:val="24"/>
        </w:rPr>
        <w:t>ā</w:t>
      </w:r>
      <w:r w:rsidRPr="00784DB4">
        <w:rPr>
          <w:i/>
          <w:iCs/>
          <w:sz w:val="24"/>
          <w:szCs w:val="24"/>
        </w:rPr>
        <w:t>r ‘ala al-Durar al-Mukht</w:t>
      </w:r>
      <w:r w:rsidRPr="00784DB4">
        <w:rPr>
          <w:rFonts w:asciiTheme="majorBidi" w:hAnsiTheme="majorBidi" w:cstheme="majorBidi"/>
          <w:i/>
          <w:iCs/>
          <w:sz w:val="24"/>
          <w:szCs w:val="24"/>
        </w:rPr>
        <w:t>ā</w:t>
      </w:r>
      <w:r w:rsidRPr="00784DB4">
        <w:rPr>
          <w:i/>
          <w:iCs/>
          <w:sz w:val="24"/>
          <w:szCs w:val="24"/>
        </w:rPr>
        <w:t>r</w:t>
      </w:r>
      <w:r w:rsidRPr="00406F37">
        <w:rPr>
          <w:rFonts w:asciiTheme="majorBidi" w:hAnsiTheme="majorBidi" w:cstheme="majorBidi"/>
          <w:color w:val="000000" w:themeColor="text1"/>
          <w:sz w:val="24"/>
          <w:szCs w:val="24"/>
        </w:rPr>
        <w:t>, (Beirut, Dar Al-Fikr, 1421 H/ 2000M )</w:t>
      </w:r>
    </w:p>
    <w:p w:rsidR="00343B61" w:rsidRPr="00406F37" w:rsidRDefault="00343B61" w:rsidP="00343B61">
      <w:pPr>
        <w:pStyle w:val="FootnoteText"/>
        <w:spacing w:line="276" w:lineRule="auto"/>
        <w:ind w:left="810" w:hanging="810"/>
        <w:jc w:val="both"/>
        <w:rPr>
          <w:rFonts w:asciiTheme="majorBidi" w:hAnsiTheme="majorBidi" w:cstheme="majorBidi"/>
          <w:color w:val="000000" w:themeColor="text1"/>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lastRenderedPageBreak/>
        <w:t>Ibn al- Najjar, Muh</w:t>
      </w:r>
      <w:r>
        <w:rPr>
          <w:rFonts w:asciiTheme="majorBidi" w:hAnsiTheme="majorBidi" w:cstheme="majorBidi"/>
        </w:rPr>
        <w:t>ammad bin Ahmad bin ‘Abd al-‘Aziz bin Ali al-Futu</w:t>
      </w:r>
      <w:r w:rsidRPr="00406F37">
        <w:rPr>
          <w:rFonts w:asciiTheme="majorBidi" w:hAnsiTheme="majorBidi" w:cstheme="majorBidi"/>
        </w:rPr>
        <w:t>hi al-</w:t>
      </w:r>
    </w:p>
    <w:p w:rsidR="00343B61" w:rsidRPr="00406F37" w:rsidRDefault="00343B61" w:rsidP="00343B61">
      <w:pPr>
        <w:autoSpaceDE w:val="0"/>
        <w:autoSpaceDN w:val="0"/>
        <w:adjustRightInd w:val="0"/>
        <w:ind w:left="810" w:hanging="90"/>
        <w:jc w:val="both"/>
        <w:rPr>
          <w:rFonts w:asciiTheme="majorBidi" w:hAnsiTheme="majorBidi" w:cstheme="majorBidi"/>
        </w:rPr>
      </w:pPr>
      <w:r>
        <w:rPr>
          <w:rFonts w:asciiTheme="majorBidi" w:hAnsiTheme="majorBidi" w:cstheme="majorBidi"/>
        </w:rPr>
        <w:t xml:space="preserve"> Hanbali</w:t>
      </w:r>
      <w:r w:rsidRPr="00406F37">
        <w:rPr>
          <w:rFonts w:asciiTheme="majorBidi" w:hAnsiTheme="majorBidi" w:cstheme="majorBidi"/>
        </w:rPr>
        <w:t xml:space="preserve">, dikenal, </w:t>
      </w:r>
      <w:r w:rsidRPr="00406F37">
        <w:rPr>
          <w:rFonts w:asciiTheme="majorBidi" w:hAnsiTheme="majorBidi" w:cstheme="majorBidi"/>
          <w:i/>
          <w:iCs/>
        </w:rPr>
        <w:t>Syarh al-Ka</w:t>
      </w:r>
      <w:r>
        <w:rPr>
          <w:rFonts w:asciiTheme="majorBidi" w:hAnsiTheme="majorBidi" w:cstheme="majorBidi"/>
          <w:i/>
          <w:iCs/>
        </w:rPr>
        <w:t>w</w:t>
      </w:r>
      <w:r w:rsidRPr="0082707B">
        <w:rPr>
          <w:rFonts w:asciiTheme="majorBidi" w:hAnsiTheme="majorBidi" w:cstheme="majorBidi"/>
          <w:i/>
          <w:iCs/>
          <w:lang w:val="id-ID"/>
        </w:rPr>
        <w:t>ā</w:t>
      </w:r>
      <w:r w:rsidRPr="00406F37">
        <w:rPr>
          <w:rFonts w:asciiTheme="majorBidi" w:hAnsiTheme="majorBidi" w:cstheme="majorBidi"/>
          <w:i/>
          <w:iCs/>
        </w:rPr>
        <w:t>kib al-Mun</w:t>
      </w:r>
      <w:r w:rsidRPr="009C01EF">
        <w:rPr>
          <w:rFonts w:asciiTheme="majorBidi" w:hAnsiTheme="majorBidi" w:cstheme="majorBidi"/>
          <w:i/>
          <w:iCs/>
          <w:lang w:val="sv-SE"/>
        </w:rPr>
        <w:t>ī</w:t>
      </w:r>
      <w:r w:rsidRPr="00406F37">
        <w:rPr>
          <w:rFonts w:asciiTheme="majorBidi" w:hAnsiTheme="majorBidi" w:cstheme="majorBidi"/>
          <w:i/>
          <w:iCs/>
        </w:rPr>
        <w:t>r</w:t>
      </w:r>
      <w:r w:rsidRPr="00406F37">
        <w:rPr>
          <w:rFonts w:asciiTheme="majorBidi" w:hAnsiTheme="majorBidi" w:cstheme="majorBidi"/>
        </w:rPr>
        <w:t>, (Riy</w:t>
      </w:r>
      <w:r w:rsidRPr="009C01EF">
        <w:rPr>
          <w:rFonts w:asciiTheme="majorBidi" w:hAnsiTheme="majorBidi" w:cstheme="majorBidi"/>
          <w:lang w:val="id-ID"/>
        </w:rPr>
        <w:t>ā</w:t>
      </w:r>
      <w:r w:rsidRPr="00406F37">
        <w:rPr>
          <w:rFonts w:asciiTheme="majorBidi" w:hAnsiTheme="majorBidi" w:cstheme="majorBidi"/>
        </w:rPr>
        <w:t>dh: Maktabah al-Abikan, 1997)</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ind w:left="810" w:hanging="810"/>
        <w:jc w:val="both"/>
        <w:rPr>
          <w:rFonts w:asciiTheme="majorBidi" w:hAnsiTheme="majorBidi" w:cstheme="majorBidi"/>
          <w:color w:val="000000"/>
        </w:rPr>
      </w:pPr>
      <w:r w:rsidRPr="00406F37">
        <w:rPr>
          <w:rFonts w:asciiTheme="majorBidi" w:hAnsiTheme="majorBidi" w:cstheme="majorBidi"/>
          <w:color w:val="000000"/>
        </w:rPr>
        <w:t xml:space="preserve">Ibn Hanbal, Ahmad, </w:t>
      </w:r>
      <w:r w:rsidRPr="00406F37">
        <w:rPr>
          <w:rFonts w:asciiTheme="majorBidi" w:hAnsiTheme="majorBidi" w:cstheme="majorBidi"/>
          <w:i/>
          <w:iCs/>
          <w:color w:val="000000"/>
        </w:rPr>
        <w:t>Musnad al-Im</w:t>
      </w:r>
      <w:r w:rsidRPr="0082707B">
        <w:rPr>
          <w:rFonts w:asciiTheme="majorBidi" w:hAnsiTheme="majorBidi" w:cstheme="majorBidi"/>
          <w:i/>
          <w:iCs/>
          <w:lang w:val="id-ID"/>
        </w:rPr>
        <w:t>ā</w:t>
      </w:r>
      <w:r w:rsidRPr="00406F37">
        <w:rPr>
          <w:rFonts w:asciiTheme="majorBidi" w:hAnsiTheme="majorBidi" w:cstheme="majorBidi"/>
          <w:i/>
          <w:iCs/>
          <w:color w:val="000000"/>
        </w:rPr>
        <w:t>m Ahman bin Hambal</w:t>
      </w:r>
      <w:r w:rsidRPr="00406F37">
        <w:rPr>
          <w:rFonts w:asciiTheme="majorBidi" w:hAnsiTheme="majorBidi" w:cstheme="majorBidi"/>
          <w:color w:val="000000"/>
        </w:rPr>
        <w:t>, ( Bairut: Mussasah al-Risalah: 1420 H/ 1999 M)</w:t>
      </w:r>
    </w:p>
    <w:p w:rsidR="00343B61" w:rsidRPr="00406F37" w:rsidRDefault="00343B61" w:rsidP="00343B61">
      <w:pPr>
        <w:ind w:left="810" w:hanging="810"/>
        <w:jc w:val="both"/>
        <w:rPr>
          <w:rFonts w:asciiTheme="majorBidi" w:hAnsiTheme="majorBidi" w:cstheme="majorBidi"/>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Ibn Hazm</w:t>
      </w:r>
      <w:r w:rsidRPr="00406F37">
        <w:rPr>
          <w:rFonts w:asciiTheme="majorBidi" w:hAnsiTheme="majorBidi" w:cstheme="majorBidi"/>
          <w:i/>
          <w:iCs/>
          <w:sz w:val="24"/>
          <w:szCs w:val="24"/>
        </w:rPr>
        <w:t>,</w:t>
      </w:r>
      <w:r>
        <w:rPr>
          <w:rFonts w:asciiTheme="majorBidi" w:hAnsiTheme="majorBidi" w:cstheme="majorBidi"/>
          <w:sz w:val="24"/>
          <w:szCs w:val="24"/>
        </w:rPr>
        <w:t>Abu Muhammad Ali bin Ahmad,</w:t>
      </w:r>
      <w:r w:rsidRPr="00406F37">
        <w:rPr>
          <w:rFonts w:asciiTheme="majorBidi" w:hAnsiTheme="majorBidi" w:cstheme="majorBidi"/>
          <w:i/>
          <w:iCs/>
          <w:sz w:val="24"/>
          <w:szCs w:val="24"/>
        </w:rPr>
        <w:t xml:space="preserve"> al-Muhall</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 xml:space="preserve"> bi al-Atsar</w:t>
      </w:r>
      <w:r w:rsidRPr="00406F37">
        <w:rPr>
          <w:rFonts w:asciiTheme="majorBidi" w:hAnsiTheme="majorBidi" w:cstheme="majorBidi"/>
          <w:sz w:val="24"/>
          <w:szCs w:val="24"/>
        </w:rPr>
        <w:t>, ( Bairut: Dar al-Kutub al-‘Ilmiyah,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ind w:left="810" w:hanging="810"/>
        <w:jc w:val="both"/>
        <w:rPr>
          <w:rFonts w:asciiTheme="majorBidi" w:eastAsia="Adobe Song Std L" w:hAnsiTheme="majorBidi" w:cstheme="majorBidi"/>
          <w:color w:val="000000"/>
        </w:rPr>
      </w:pPr>
      <w:r w:rsidRPr="00406F37">
        <w:rPr>
          <w:rFonts w:asciiTheme="majorBidi" w:eastAsia="Adobe Song Std L" w:hAnsiTheme="majorBidi" w:cstheme="majorBidi"/>
          <w:color w:val="000000"/>
        </w:rPr>
        <w:t xml:space="preserve">Ibn Hisyam, Abd al-Malik bin Ayyub al-Himyari, </w:t>
      </w:r>
      <w:r w:rsidRPr="00406F37">
        <w:rPr>
          <w:rFonts w:asciiTheme="majorBidi" w:eastAsia="Adobe Song Std L" w:hAnsiTheme="majorBidi" w:cstheme="majorBidi"/>
          <w:i/>
          <w:iCs/>
          <w:color w:val="000000"/>
        </w:rPr>
        <w:t>al-S</w:t>
      </w:r>
      <w:r w:rsidRPr="009C01EF">
        <w:rPr>
          <w:rFonts w:asciiTheme="majorBidi" w:hAnsiTheme="majorBidi" w:cstheme="majorBidi"/>
          <w:i/>
          <w:iCs/>
          <w:lang w:val="sv-SE"/>
        </w:rPr>
        <w:t>ī</w:t>
      </w:r>
      <w:r w:rsidRPr="00406F37">
        <w:rPr>
          <w:rFonts w:asciiTheme="majorBidi" w:eastAsia="Adobe Song Std L" w:hAnsiTheme="majorBidi" w:cstheme="majorBidi"/>
          <w:i/>
          <w:iCs/>
          <w:color w:val="000000"/>
        </w:rPr>
        <w:t>rah al-Nabwiyah</w:t>
      </w:r>
      <w:r w:rsidRPr="00406F37">
        <w:rPr>
          <w:rFonts w:asciiTheme="majorBidi" w:eastAsia="Adobe Song Std L" w:hAnsiTheme="majorBidi" w:cstheme="majorBidi"/>
          <w:color w:val="000000"/>
        </w:rPr>
        <w:t>, ( Bairut: Dar al-Jail, 1411 H)</w:t>
      </w:r>
    </w:p>
    <w:p w:rsidR="00343B61" w:rsidRPr="00406F37" w:rsidRDefault="00343B61" w:rsidP="00343B61">
      <w:pPr>
        <w:ind w:left="810" w:hanging="810"/>
        <w:jc w:val="both"/>
        <w:rPr>
          <w:rFonts w:asciiTheme="majorBidi" w:eastAsia="Adobe Song Std L"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Ibn Khaldun, Abd Rahman bin Muhamad, </w:t>
      </w:r>
      <w:r w:rsidRPr="00406F37">
        <w:rPr>
          <w:rFonts w:asciiTheme="majorBidi" w:hAnsiTheme="majorBidi" w:cstheme="majorBidi"/>
          <w:i/>
          <w:iCs/>
          <w:sz w:val="24"/>
          <w:szCs w:val="24"/>
        </w:rPr>
        <w:t>Tarikh Ibnu Khald</w:t>
      </w:r>
      <w:r w:rsidRPr="0082707B">
        <w:rPr>
          <w:rFonts w:asciiTheme="majorBidi" w:hAnsiTheme="majorBidi" w:cstheme="majorBidi"/>
          <w:i/>
          <w:iCs/>
          <w:sz w:val="24"/>
          <w:szCs w:val="24"/>
        </w:rPr>
        <w:t>ū</w:t>
      </w:r>
      <w:r w:rsidRPr="00406F37">
        <w:rPr>
          <w:rFonts w:asciiTheme="majorBidi" w:hAnsiTheme="majorBidi" w:cstheme="majorBidi"/>
          <w:i/>
          <w:iCs/>
          <w:sz w:val="24"/>
          <w:szCs w:val="24"/>
        </w:rPr>
        <w:t>n</w:t>
      </w:r>
      <w:r w:rsidRPr="00406F37">
        <w:rPr>
          <w:rFonts w:asciiTheme="majorBidi" w:hAnsiTheme="majorBidi" w:cstheme="majorBidi"/>
          <w:sz w:val="24"/>
          <w:szCs w:val="24"/>
        </w:rPr>
        <w:t>, ( Maktabah Syamilah), Jilid 1</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Ibn Khaldun, </w:t>
      </w:r>
      <w:r w:rsidRPr="00406F37">
        <w:rPr>
          <w:rFonts w:asciiTheme="majorBidi" w:hAnsiTheme="majorBidi" w:cstheme="majorBidi"/>
          <w:i/>
          <w:iCs/>
          <w:sz w:val="24"/>
          <w:szCs w:val="24"/>
        </w:rPr>
        <w:t>Muqaddimah</w:t>
      </w:r>
      <w:r w:rsidRPr="00406F37">
        <w:rPr>
          <w:rFonts w:asciiTheme="majorBidi" w:hAnsiTheme="majorBidi" w:cstheme="majorBidi"/>
          <w:sz w:val="24"/>
          <w:szCs w:val="24"/>
        </w:rPr>
        <w:t>, ( Bairut: Dal al-Fikr, t.tp)</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Ibn Manzh</w:t>
      </w:r>
      <w:r w:rsidRPr="009C01EF">
        <w:rPr>
          <w:rFonts w:asciiTheme="majorBidi" w:hAnsiTheme="majorBidi" w:cstheme="majorBidi"/>
        </w:rPr>
        <w:t>ūr</w:t>
      </w:r>
      <w:r w:rsidRPr="00406F37">
        <w:rPr>
          <w:rFonts w:asciiTheme="majorBidi" w:hAnsiTheme="majorBidi" w:cstheme="majorBidi"/>
        </w:rPr>
        <w:t xml:space="preserve">, Abû al-Fadl Jamâl al-Dîn Muhammad bin Mukarram ibn Manzhûr al-Afriqî al-Misrî, , </w:t>
      </w:r>
      <w:r w:rsidRPr="00406F37">
        <w:rPr>
          <w:rFonts w:asciiTheme="majorBidi" w:hAnsiTheme="majorBidi" w:cstheme="majorBidi"/>
          <w:i/>
          <w:iCs/>
        </w:rPr>
        <w:t>Lis</w:t>
      </w:r>
      <w:r w:rsidRPr="00784DB4">
        <w:rPr>
          <w:rFonts w:asciiTheme="majorBidi" w:hAnsiTheme="majorBidi" w:cstheme="majorBidi"/>
          <w:i/>
          <w:iCs/>
        </w:rPr>
        <w:t>ā</w:t>
      </w:r>
      <w:r w:rsidRPr="00406F37">
        <w:rPr>
          <w:rFonts w:asciiTheme="majorBidi" w:hAnsiTheme="majorBidi" w:cstheme="majorBidi"/>
          <w:i/>
          <w:iCs/>
        </w:rPr>
        <w:t>n al-Arab</w:t>
      </w:r>
      <w:r>
        <w:rPr>
          <w:rFonts w:asciiTheme="majorBidi" w:hAnsiTheme="majorBidi" w:cstheme="majorBidi"/>
        </w:rPr>
        <w:t>, (Beirût: Da</w:t>
      </w:r>
      <w:r w:rsidRPr="00406F37">
        <w:rPr>
          <w:rFonts w:asciiTheme="majorBidi" w:hAnsiTheme="majorBidi" w:cstheme="majorBidi"/>
        </w:rPr>
        <w:t>r Shadir, 1990)</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9C01EF" w:rsidRDefault="00343B61" w:rsidP="00343B61">
      <w:pPr>
        <w:ind w:left="810" w:hanging="810"/>
        <w:jc w:val="both"/>
        <w:rPr>
          <w:i/>
          <w:iCs/>
        </w:rPr>
      </w:pPr>
      <w:r>
        <w:rPr>
          <w:rFonts w:asciiTheme="majorBidi" w:hAnsiTheme="majorBidi" w:cstheme="majorBidi"/>
          <w:lang w:val="sv-SE"/>
        </w:rPr>
        <w:t>Ibn Nu</w:t>
      </w:r>
      <w:r w:rsidRPr="00406F37">
        <w:rPr>
          <w:rFonts w:asciiTheme="majorBidi" w:hAnsiTheme="majorBidi" w:cstheme="majorBidi"/>
          <w:lang w:val="sv-SE"/>
        </w:rPr>
        <w:t>j</w:t>
      </w:r>
      <w:r>
        <w:rPr>
          <w:rFonts w:asciiTheme="majorBidi" w:hAnsiTheme="majorBidi" w:cstheme="majorBidi"/>
          <w:lang w:val="sv-SE"/>
        </w:rPr>
        <w:t>a</w:t>
      </w:r>
      <w:r w:rsidRPr="00406F37">
        <w:rPr>
          <w:rFonts w:asciiTheme="majorBidi" w:hAnsiTheme="majorBidi" w:cstheme="majorBidi"/>
          <w:lang w:val="sv-SE"/>
        </w:rPr>
        <w:t xml:space="preserve">im, Zainuddin Al-Hanafi, </w:t>
      </w:r>
      <w:r w:rsidRPr="00784DB4">
        <w:rPr>
          <w:i/>
          <w:iCs/>
        </w:rPr>
        <w:t>al-Bahr al-R</w:t>
      </w:r>
      <w:r w:rsidRPr="00784DB4">
        <w:rPr>
          <w:rFonts w:asciiTheme="majorBidi" w:hAnsiTheme="majorBidi" w:cstheme="majorBidi"/>
          <w:i/>
          <w:iCs/>
        </w:rPr>
        <w:t>ā</w:t>
      </w:r>
      <w:r w:rsidRPr="00784DB4">
        <w:rPr>
          <w:i/>
          <w:iCs/>
        </w:rPr>
        <w:t>iq Syarh Kanz ad-D</w:t>
      </w:r>
      <w:r w:rsidRPr="00784DB4">
        <w:rPr>
          <w:rFonts w:asciiTheme="majorBidi" w:hAnsiTheme="majorBidi" w:cstheme="majorBidi"/>
          <w:i/>
          <w:iCs/>
        </w:rPr>
        <w:t>ā</w:t>
      </w:r>
      <w:r w:rsidRPr="00784DB4">
        <w:rPr>
          <w:i/>
          <w:iCs/>
        </w:rPr>
        <w:t>qaiq</w:t>
      </w:r>
      <w:r w:rsidRPr="00406F37">
        <w:rPr>
          <w:rFonts w:asciiTheme="majorBidi" w:hAnsiTheme="majorBidi" w:cstheme="majorBidi"/>
          <w:lang w:val="sv-SE"/>
        </w:rPr>
        <w:t>,             ( Bairul: Dar Al-Makrifah,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9C01EF" w:rsidRDefault="00343B61" w:rsidP="00343B61">
      <w:pPr>
        <w:autoSpaceDE w:val="0"/>
        <w:autoSpaceDN w:val="0"/>
        <w:adjustRightInd w:val="0"/>
        <w:ind w:left="810" w:hanging="810"/>
        <w:jc w:val="both"/>
        <w:rPr>
          <w:rFonts w:asciiTheme="majorBidi" w:hAnsiTheme="majorBidi" w:cstheme="majorBidi"/>
          <w:lang w:val="sv-SE"/>
        </w:rPr>
      </w:pPr>
      <w:r w:rsidRPr="009C01EF">
        <w:rPr>
          <w:rFonts w:asciiTheme="majorBidi" w:eastAsiaTheme="minorHAnsi" w:hAnsiTheme="majorBidi" w:cstheme="majorBidi"/>
          <w:color w:val="000000"/>
          <w:lang w:val="sv-SE"/>
        </w:rPr>
        <w:t xml:space="preserve">Ibn Nujaim, Zain al-‘Abidin Ibn Ibrahim, </w:t>
      </w:r>
      <w:r w:rsidRPr="009C01EF">
        <w:rPr>
          <w:rFonts w:asciiTheme="majorBidi" w:hAnsiTheme="majorBidi" w:cstheme="majorBidi"/>
          <w:i/>
          <w:iCs/>
          <w:color w:val="000000"/>
          <w:lang w:val="sv-SE"/>
        </w:rPr>
        <w:t>al-Asyab</w:t>
      </w:r>
      <w:r w:rsidRPr="009C01EF">
        <w:rPr>
          <w:rFonts w:asciiTheme="majorBidi" w:hAnsiTheme="majorBidi" w:cstheme="majorBidi"/>
          <w:i/>
          <w:iCs/>
          <w:lang w:val="sv-SE"/>
        </w:rPr>
        <w:t>ā</w:t>
      </w:r>
      <w:r w:rsidRPr="009C01EF">
        <w:rPr>
          <w:rFonts w:asciiTheme="majorBidi" w:hAnsiTheme="majorBidi" w:cstheme="majorBidi"/>
          <w:i/>
          <w:iCs/>
          <w:color w:val="000000"/>
          <w:lang w:val="sv-SE"/>
        </w:rPr>
        <w:t>h wa al-Nazh</w:t>
      </w:r>
      <w:r w:rsidRPr="009C01EF">
        <w:rPr>
          <w:rFonts w:asciiTheme="majorBidi" w:hAnsiTheme="majorBidi" w:cstheme="majorBidi"/>
          <w:i/>
          <w:iCs/>
          <w:lang w:val="sv-SE"/>
        </w:rPr>
        <w:t>ā</w:t>
      </w:r>
      <w:r w:rsidRPr="009C01EF">
        <w:rPr>
          <w:rFonts w:asciiTheme="majorBidi" w:hAnsiTheme="majorBidi" w:cstheme="majorBidi"/>
          <w:i/>
          <w:iCs/>
          <w:color w:val="000000"/>
          <w:lang w:val="sv-SE"/>
        </w:rPr>
        <w:t>’ir</w:t>
      </w:r>
      <w:r w:rsidRPr="009C01EF">
        <w:rPr>
          <w:rFonts w:asciiTheme="majorBidi" w:eastAsiaTheme="minorHAnsi" w:hAnsiTheme="majorBidi" w:cstheme="majorBidi"/>
          <w:color w:val="000000"/>
          <w:lang w:val="sv-SE"/>
        </w:rPr>
        <w:t>, ( Bairut: Dar al-Kutub al-‘Ilmiyah, 1980 )</w:t>
      </w:r>
    </w:p>
    <w:p w:rsidR="00343B61" w:rsidRPr="009C01EF" w:rsidRDefault="00343B61" w:rsidP="00343B61">
      <w:pPr>
        <w:pStyle w:val="FootnoteText"/>
        <w:spacing w:line="276" w:lineRule="auto"/>
        <w:ind w:left="810" w:hanging="810"/>
        <w:jc w:val="both"/>
        <w:rPr>
          <w:sz w:val="24"/>
          <w:szCs w:val="24"/>
          <w:lang w:val="sv-SE"/>
        </w:rPr>
      </w:pPr>
    </w:p>
    <w:p w:rsidR="00343B61" w:rsidRPr="007A7DF9" w:rsidRDefault="00343B61" w:rsidP="00343B61">
      <w:pPr>
        <w:pStyle w:val="ListParagraph"/>
        <w:ind w:left="810" w:hanging="810"/>
        <w:jc w:val="both"/>
        <w:rPr>
          <w:rFonts w:asciiTheme="majorBidi" w:hAnsiTheme="majorBidi" w:cstheme="majorBidi"/>
          <w:i/>
          <w:iCs/>
          <w:sz w:val="24"/>
          <w:szCs w:val="24"/>
          <w:lang w:val="sv-SE"/>
        </w:rPr>
      </w:pPr>
      <w:r w:rsidRPr="007A7DF9">
        <w:rPr>
          <w:rFonts w:asciiTheme="majorBidi" w:hAnsiTheme="majorBidi" w:cstheme="majorBidi"/>
          <w:sz w:val="24"/>
          <w:szCs w:val="24"/>
          <w:lang w:val="sv-SE"/>
        </w:rPr>
        <w:t>Ibn Taimiyah Taqiu al-Din Abu al-‘Abbas Ahamd</w:t>
      </w:r>
      <w:r w:rsidRPr="007A7DF9">
        <w:rPr>
          <w:rFonts w:asciiTheme="majorBidi" w:hAnsiTheme="majorBidi" w:cstheme="majorBidi"/>
          <w:i/>
          <w:iCs/>
          <w:sz w:val="24"/>
          <w:szCs w:val="24"/>
          <w:lang w:val="sv-SE"/>
        </w:rPr>
        <w:t>, al-Siyasah al-Syar’iyyah fi Ishla al-Rā’i wa al-Ra’iyah</w:t>
      </w:r>
      <w:r w:rsidRPr="007A7DF9">
        <w:rPr>
          <w:rFonts w:asciiTheme="majorBidi" w:hAnsiTheme="majorBidi" w:cstheme="majorBidi"/>
          <w:sz w:val="24"/>
          <w:szCs w:val="24"/>
          <w:lang w:val="sv-SE"/>
        </w:rPr>
        <w:t>, ( Bairut: Dar al-Afaq al-Jadidah,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Ibn Taimiyah, Taqi al Din Abu al-Abbas, </w:t>
      </w:r>
      <w:r w:rsidRPr="00406F37">
        <w:rPr>
          <w:rFonts w:asciiTheme="majorBidi" w:hAnsiTheme="majorBidi" w:cstheme="majorBidi"/>
          <w:i/>
          <w:iCs/>
          <w:sz w:val="24"/>
          <w:szCs w:val="24"/>
        </w:rPr>
        <w:t>Majmu’ al-Fatāwa</w:t>
      </w:r>
      <w:r w:rsidRPr="00406F37">
        <w:rPr>
          <w:rFonts w:asciiTheme="majorBidi" w:hAnsiTheme="majorBidi" w:cstheme="majorBidi"/>
          <w:sz w:val="24"/>
          <w:szCs w:val="24"/>
        </w:rPr>
        <w:t>, ( Bairut: Dar al-‘Arabiyah, t.tp)</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9C01EF" w:rsidRDefault="00343B61" w:rsidP="00343B61">
      <w:pPr>
        <w:ind w:left="810" w:hanging="810"/>
        <w:jc w:val="both"/>
        <w:rPr>
          <w:rFonts w:asciiTheme="majorBidi" w:hAnsiTheme="majorBidi" w:cstheme="majorBidi"/>
          <w:bCs/>
          <w:i/>
          <w:iCs/>
        </w:rPr>
      </w:pPr>
      <w:r w:rsidRPr="00406F37">
        <w:rPr>
          <w:rFonts w:asciiTheme="majorBidi" w:hAnsiTheme="majorBidi" w:cstheme="majorBidi"/>
          <w:lang w:val="sv-SE"/>
        </w:rPr>
        <w:t xml:space="preserve">Ibn Taimiyah, Taqi al Din Abu al-Abbas, </w:t>
      </w:r>
      <w:r w:rsidRPr="00784DB4">
        <w:rPr>
          <w:rFonts w:asciiTheme="majorBidi" w:hAnsiTheme="majorBidi" w:cstheme="majorBidi"/>
          <w:bCs/>
          <w:i/>
          <w:iCs/>
        </w:rPr>
        <w:t>Minh</w:t>
      </w:r>
      <w:r w:rsidRPr="00784DB4">
        <w:rPr>
          <w:rFonts w:asciiTheme="majorBidi" w:hAnsiTheme="majorBidi" w:cstheme="majorBidi"/>
          <w:i/>
          <w:iCs/>
          <w:lang w:val="id-ID"/>
        </w:rPr>
        <w:t>ā</w:t>
      </w:r>
      <w:r w:rsidRPr="00784DB4">
        <w:rPr>
          <w:rFonts w:asciiTheme="majorBidi" w:hAnsiTheme="majorBidi" w:cstheme="majorBidi"/>
          <w:bCs/>
          <w:i/>
          <w:iCs/>
        </w:rPr>
        <w:t>j al-Sunnah al-Nabawiyah fī Naqd al-Syī</w:t>
      </w:r>
      <w:r w:rsidRPr="00784DB4">
        <w:t>‘</w:t>
      </w:r>
      <w:r w:rsidRPr="00784DB4">
        <w:rPr>
          <w:rFonts w:asciiTheme="majorBidi" w:hAnsiTheme="majorBidi" w:cstheme="majorBidi"/>
          <w:bCs/>
          <w:i/>
          <w:iCs/>
        </w:rPr>
        <w:t>ah wa al-Qadariyah</w:t>
      </w:r>
      <w:r w:rsidRPr="00406F37">
        <w:rPr>
          <w:rFonts w:asciiTheme="majorBidi" w:hAnsiTheme="majorBidi" w:cstheme="majorBidi"/>
          <w:bCs/>
          <w:i/>
          <w:iCs/>
          <w:lang w:val="sv-SE"/>
        </w:rPr>
        <w:t xml:space="preserve">, </w:t>
      </w:r>
      <w:r w:rsidRPr="00406F37">
        <w:rPr>
          <w:rFonts w:asciiTheme="majorBidi" w:hAnsiTheme="majorBidi" w:cstheme="majorBidi"/>
          <w:bCs/>
          <w:lang w:val="sv-SE"/>
        </w:rPr>
        <w:t xml:space="preserve">( Riyadh: Maktabah Riyadh al-Haditsh, t.tp), </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lang w:val="sv-SE"/>
        </w:rPr>
      </w:pP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r w:rsidRPr="00406F37">
        <w:rPr>
          <w:rFonts w:asciiTheme="majorBidi" w:hAnsiTheme="majorBidi" w:cstheme="majorBidi"/>
          <w:lang w:val="sv-SE"/>
        </w:rPr>
        <w:t>I</w:t>
      </w:r>
      <w:r>
        <w:rPr>
          <w:rFonts w:asciiTheme="majorBidi" w:hAnsiTheme="majorBidi" w:cstheme="majorBidi"/>
          <w:lang w:val="sv-SE"/>
        </w:rPr>
        <w:t>bn Zakariyya, Abû al-Husain Ahmad ibn Fa</w:t>
      </w:r>
      <w:r w:rsidRPr="00406F37">
        <w:rPr>
          <w:rFonts w:asciiTheme="majorBidi" w:hAnsiTheme="majorBidi" w:cstheme="majorBidi"/>
          <w:lang w:val="sv-SE"/>
        </w:rPr>
        <w:t xml:space="preserve">ris, </w:t>
      </w:r>
      <w:r w:rsidRPr="00406F37">
        <w:rPr>
          <w:rFonts w:asciiTheme="majorBidi" w:hAnsiTheme="majorBidi" w:cstheme="majorBidi"/>
          <w:i/>
          <w:iCs/>
          <w:lang w:val="sv-SE"/>
        </w:rPr>
        <w:t>Mu‘jam Maq</w:t>
      </w:r>
      <w:r w:rsidRPr="00784DB4">
        <w:rPr>
          <w:rFonts w:asciiTheme="majorBidi" w:hAnsiTheme="majorBidi" w:cstheme="majorBidi"/>
          <w:i/>
          <w:iCs/>
          <w:lang w:val="id-ID"/>
        </w:rPr>
        <w:t>ā</w:t>
      </w:r>
      <w:r w:rsidRPr="00406F37">
        <w:rPr>
          <w:rFonts w:asciiTheme="majorBidi" w:hAnsiTheme="majorBidi" w:cstheme="majorBidi"/>
          <w:i/>
          <w:iCs/>
          <w:lang w:val="sv-SE"/>
        </w:rPr>
        <w:t>y</w:t>
      </w:r>
      <w:r w:rsidRPr="00617540">
        <w:rPr>
          <w:rFonts w:asciiTheme="majorBidi" w:hAnsiTheme="majorBidi" w:cstheme="majorBidi"/>
          <w:bCs/>
          <w:i/>
          <w:iCs/>
          <w:lang w:val="sv-SE"/>
        </w:rPr>
        <w:t>ī</w:t>
      </w:r>
      <w:r w:rsidRPr="00406F37">
        <w:rPr>
          <w:rFonts w:asciiTheme="majorBidi" w:hAnsiTheme="majorBidi" w:cstheme="majorBidi"/>
          <w:i/>
          <w:iCs/>
          <w:lang w:val="sv-SE"/>
        </w:rPr>
        <w:t>s al-Lugah</w:t>
      </w:r>
      <w:r w:rsidRPr="00406F37">
        <w:rPr>
          <w:rFonts w:asciiTheme="majorBidi" w:hAnsiTheme="majorBidi" w:cstheme="majorBidi"/>
          <w:lang w:val="sv-SE"/>
        </w:rPr>
        <w:t>, (Kairo: Maktabah al-Khânjî, 1403 H/1981 M)</w:t>
      </w: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Ibrahim Najib Muhammad Iwa, </w:t>
      </w:r>
      <w:r w:rsidRPr="00406F37">
        <w:rPr>
          <w:rFonts w:asciiTheme="majorBidi" w:hAnsiTheme="majorBidi" w:cstheme="majorBidi"/>
          <w:i/>
          <w:iCs/>
          <w:sz w:val="24"/>
          <w:szCs w:val="24"/>
        </w:rPr>
        <w:t>al Qad</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 xml:space="preserve"> f</w:t>
      </w:r>
      <w:r w:rsidRPr="00784DB4">
        <w:rPr>
          <w:rFonts w:asciiTheme="majorBidi" w:hAnsiTheme="majorBidi" w:cstheme="majorBidi"/>
          <w:bCs/>
          <w:i/>
          <w:iCs/>
          <w:sz w:val="24"/>
          <w:szCs w:val="24"/>
        </w:rPr>
        <w:t>ī</w:t>
      </w:r>
      <w:r w:rsidRPr="00406F37">
        <w:rPr>
          <w:rFonts w:asciiTheme="majorBidi" w:hAnsiTheme="majorBidi" w:cstheme="majorBidi"/>
          <w:i/>
          <w:iCs/>
          <w:sz w:val="24"/>
          <w:szCs w:val="24"/>
        </w:rPr>
        <w:t xml:space="preserve"> Al-Isl</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m</w:t>
      </w:r>
      <w:r w:rsidRPr="00406F37">
        <w:rPr>
          <w:rFonts w:asciiTheme="majorBidi" w:hAnsiTheme="majorBidi" w:cstheme="majorBidi"/>
          <w:sz w:val="24"/>
          <w:szCs w:val="24"/>
        </w:rPr>
        <w:t>.( Kairo: Majma’ Al Buhuth al Islam, 1975)</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rPr>
      </w:pPr>
      <w:r w:rsidRPr="00406F37">
        <w:rPr>
          <w:rFonts w:asciiTheme="majorBidi" w:hAnsiTheme="majorBidi" w:cstheme="majorBidi"/>
        </w:rPr>
        <w:t xml:space="preserve">Ismail, Sya'ban Muhammad, </w:t>
      </w:r>
      <w:r w:rsidRPr="0082707B">
        <w:rPr>
          <w:rFonts w:asciiTheme="majorBidi" w:hAnsiTheme="majorBidi" w:cstheme="majorBidi"/>
          <w:i/>
          <w:iCs/>
          <w:color w:val="000000"/>
        </w:rPr>
        <w:t>Ush</w:t>
      </w:r>
      <w:r w:rsidRPr="0082707B">
        <w:rPr>
          <w:rFonts w:asciiTheme="majorBidi" w:hAnsiTheme="majorBidi" w:cstheme="majorBidi"/>
          <w:i/>
          <w:iCs/>
        </w:rPr>
        <w:t>ū</w:t>
      </w:r>
      <w:r w:rsidRPr="0082707B">
        <w:rPr>
          <w:rFonts w:asciiTheme="majorBidi" w:hAnsiTheme="majorBidi" w:cstheme="majorBidi"/>
          <w:i/>
          <w:iCs/>
          <w:color w:val="000000"/>
        </w:rPr>
        <w:t>l</w:t>
      </w:r>
      <w:r w:rsidRPr="00406F37">
        <w:rPr>
          <w:rFonts w:asciiTheme="majorBidi" w:hAnsiTheme="majorBidi" w:cstheme="majorBidi"/>
          <w:i/>
          <w:iCs/>
        </w:rPr>
        <w:t xml:space="preserve"> al-Fiqh al-Muyassar</w:t>
      </w:r>
      <w:r w:rsidRPr="00406F37">
        <w:rPr>
          <w:rFonts w:asciiTheme="majorBidi" w:hAnsiTheme="majorBidi" w:cstheme="majorBidi"/>
        </w:rPr>
        <w:t xml:space="preserve">, </w:t>
      </w:r>
      <w:r w:rsidRPr="00406F37">
        <w:rPr>
          <w:rFonts w:asciiTheme="majorBidi" w:eastAsiaTheme="minorHAnsi" w:hAnsiTheme="majorBidi" w:cstheme="majorBidi"/>
        </w:rPr>
        <w:t>(Cairo: Dar al-Kitab al-Jami.i, 1994)</w:t>
      </w:r>
    </w:p>
    <w:p w:rsidR="00343B61" w:rsidRPr="00406F37" w:rsidRDefault="00343B61" w:rsidP="00343B61">
      <w:pPr>
        <w:autoSpaceDE w:val="0"/>
        <w:autoSpaceDN w:val="0"/>
        <w:adjustRightInd w:val="0"/>
        <w:ind w:left="810" w:hanging="810"/>
        <w:jc w:val="both"/>
        <w:rPr>
          <w:rFonts w:asciiTheme="majorBidi" w:eastAsiaTheme="minorHAns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Khalid, ‘Amru, </w:t>
      </w:r>
      <w:r w:rsidRPr="00406F37">
        <w:rPr>
          <w:rFonts w:asciiTheme="majorBidi" w:hAnsiTheme="majorBidi" w:cstheme="majorBidi"/>
          <w:i/>
          <w:iCs/>
          <w:sz w:val="24"/>
          <w:szCs w:val="24"/>
        </w:rPr>
        <w:t>‘Ala Khatthi al-Hab</w:t>
      </w:r>
      <w:r w:rsidRPr="00784DB4">
        <w:rPr>
          <w:rFonts w:asciiTheme="majorBidi" w:hAnsiTheme="majorBidi" w:cstheme="majorBidi"/>
          <w:bCs/>
          <w:i/>
          <w:iCs/>
          <w:sz w:val="24"/>
          <w:szCs w:val="24"/>
        </w:rPr>
        <w:t>ī</w:t>
      </w:r>
      <w:r w:rsidRPr="00406F37">
        <w:rPr>
          <w:rFonts w:asciiTheme="majorBidi" w:hAnsiTheme="majorBidi" w:cstheme="majorBidi"/>
          <w:i/>
          <w:iCs/>
          <w:sz w:val="24"/>
          <w:szCs w:val="24"/>
        </w:rPr>
        <w:t>b</w:t>
      </w:r>
      <w:r w:rsidRPr="00406F37">
        <w:rPr>
          <w:rFonts w:asciiTheme="majorBidi" w:hAnsiTheme="majorBidi" w:cstheme="majorBidi"/>
          <w:sz w:val="24"/>
          <w:szCs w:val="24"/>
        </w:rPr>
        <w:t>, ( Bairut: al-Dar al-‘Arabiyah li al-‘Ulum, 2006)</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Khallâf, ‘Abd al-Wahhâb, </w:t>
      </w:r>
      <w:r w:rsidRPr="00406F37">
        <w:rPr>
          <w:rFonts w:asciiTheme="majorBidi" w:hAnsiTheme="majorBidi" w:cstheme="majorBidi"/>
          <w:i/>
          <w:iCs/>
        </w:rPr>
        <w:t xml:space="preserve">‘Ilmu </w:t>
      </w:r>
      <w:r w:rsidRPr="0082707B">
        <w:rPr>
          <w:rFonts w:asciiTheme="majorBidi" w:hAnsiTheme="majorBidi" w:cstheme="majorBidi"/>
          <w:i/>
          <w:iCs/>
          <w:color w:val="000000"/>
        </w:rPr>
        <w:t>Ush</w:t>
      </w:r>
      <w:r w:rsidRPr="0082707B">
        <w:rPr>
          <w:rFonts w:asciiTheme="majorBidi" w:hAnsiTheme="majorBidi" w:cstheme="majorBidi"/>
          <w:i/>
          <w:iCs/>
        </w:rPr>
        <w:t>ū</w:t>
      </w:r>
      <w:r w:rsidRPr="0082707B">
        <w:rPr>
          <w:rFonts w:asciiTheme="majorBidi" w:hAnsiTheme="majorBidi" w:cstheme="majorBidi"/>
          <w:i/>
          <w:iCs/>
          <w:color w:val="000000"/>
        </w:rPr>
        <w:t>l</w:t>
      </w:r>
      <w:r w:rsidRPr="00406F37">
        <w:rPr>
          <w:rFonts w:asciiTheme="majorBidi" w:hAnsiTheme="majorBidi" w:cstheme="majorBidi"/>
          <w:i/>
          <w:iCs/>
        </w:rPr>
        <w:t xml:space="preserve"> al-Fiqh</w:t>
      </w:r>
      <w:r w:rsidRPr="00406F37">
        <w:rPr>
          <w:rFonts w:asciiTheme="majorBidi" w:hAnsiTheme="majorBidi" w:cstheme="majorBidi"/>
        </w:rPr>
        <w:t>, (Kairo: Dâr al-Qalam, 1978)</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Khallâf, ‘Abd al-Wahhab, </w:t>
      </w:r>
      <w:r w:rsidRPr="005A731F">
        <w:rPr>
          <w:rFonts w:asciiTheme="majorBidi" w:hAnsiTheme="majorBidi" w:cstheme="majorBidi"/>
          <w:i/>
          <w:iCs/>
          <w:lang w:val="fi-FI"/>
        </w:rPr>
        <w:t>Mas</w:t>
      </w:r>
      <w:r w:rsidRPr="0082707B">
        <w:rPr>
          <w:rFonts w:asciiTheme="majorBidi" w:hAnsiTheme="majorBidi" w:cstheme="majorBidi"/>
          <w:i/>
          <w:iCs/>
          <w:lang w:val="id-ID"/>
        </w:rPr>
        <w:t>ā</w:t>
      </w:r>
      <w:r w:rsidRPr="005A731F">
        <w:rPr>
          <w:rFonts w:asciiTheme="majorBidi" w:hAnsiTheme="majorBidi" w:cstheme="majorBidi"/>
          <w:i/>
          <w:iCs/>
          <w:lang w:val="fi-FI"/>
        </w:rPr>
        <w:t>dir al-Tasyrī ‘ fī m</w:t>
      </w:r>
      <w:r w:rsidRPr="0082707B">
        <w:rPr>
          <w:rFonts w:asciiTheme="majorBidi" w:hAnsiTheme="majorBidi" w:cstheme="majorBidi"/>
          <w:i/>
          <w:iCs/>
          <w:lang w:val="id-ID"/>
        </w:rPr>
        <w:t>ā</w:t>
      </w:r>
      <w:r w:rsidRPr="005A731F">
        <w:rPr>
          <w:rFonts w:asciiTheme="majorBidi" w:hAnsiTheme="majorBidi" w:cstheme="majorBidi"/>
          <w:i/>
          <w:iCs/>
          <w:lang w:val="fi-FI"/>
        </w:rPr>
        <w:t xml:space="preserve"> l</w:t>
      </w:r>
      <w:r w:rsidRPr="0082707B">
        <w:rPr>
          <w:rFonts w:asciiTheme="majorBidi" w:hAnsiTheme="majorBidi" w:cstheme="majorBidi"/>
          <w:i/>
          <w:iCs/>
          <w:lang w:val="id-ID"/>
        </w:rPr>
        <w:t>ā</w:t>
      </w:r>
      <w:r w:rsidRPr="005A731F">
        <w:rPr>
          <w:rFonts w:asciiTheme="majorBidi" w:hAnsiTheme="majorBidi" w:cstheme="majorBidi"/>
          <w:i/>
          <w:iCs/>
          <w:lang w:val="fi-FI"/>
        </w:rPr>
        <w:t xml:space="preserve"> Nassa fīh</w:t>
      </w:r>
      <w:r w:rsidRPr="00406F37">
        <w:rPr>
          <w:rFonts w:asciiTheme="majorBidi" w:hAnsiTheme="majorBidi" w:cstheme="majorBidi"/>
        </w:rPr>
        <w:t>, (Kuwait: Dâr al-Qalam, 1392 H/1972 M)</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ListParagraph"/>
        <w:ind w:left="810" w:hanging="810"/>
        <w:jc w:val="both"/>
        <w:rPr>
          <w:rFonts w:asciiTheme="majorBidi" w:hAnsiTheme="majorBidi" w:cstheme="majorBidi"/>
          <w:iCs/>
          <w:sz w:val="24"/>
          <w:szCs w:val="24"/>
        </w:rPr>
      </w:pPr>
      <w:r>
        <w:rPr>
          <w:rFonts w:asciiTheme="majorBidi" w:hAnsiTheme="majorBidi" w:cstheme="majorBidi"/>
          <w:sz w:val="24"/>
          <w:szCs w:val="24"/>
          <w:lang w:val="id-ID"/>
        </w:rPr>
        <w:t xml:space="preserve">Khallāf </w:t>
      </w:r>
      <w:r w:rsidRPr="00406F37">
        <w:rPr>
          <w:rFonts w:asciiTheme="majorBidi" w:hAnsiTheme="majorBidi" w:cstheme="majorBidi"/>
          <w:sz w:val="24"/>
          <w:szCs w:val="24"/>
        </w:rPr>
        <w:t xml:space="preserve">, </w:t>
      </w:r>
      <w:r w:rsidRPr="00406F37">
        <w:rPr>
          <w:rFonts w:asciiTheme="majorBidi" w:hAnsiTheme="majorBidi" w:cstheme="majorBidi"/>
          <w:sz w:val="24"/>
          <w:szCs w:val="24"/>
          <w:lang w:val="id-ID"/>
        </w:rPr>
        <w:t>Abdul Wah</w:t>
      </w:r>
      <w:r w:rsidRPr="00406F37">
        <w:rPr>
          <w:rFonts w:asciiTheme="majorBidi" w:hAnsiTheme="majorBidi" w:cstheme="majorBidi"/>
          <w:sz w:val="24"/>
          <w:szCs w:val="24"/>
        </w:rPr>
        <w:t>h</w:t>
      </w:r>
      <w:r w:rsidRPr="00406F37">
        <w:rPr>
          <w:rFonts w:asciiTheme="majorBidi" w:hAnsiTheme="majorBidi" w:cstheme="majorBidi"/>
          <w:sz w:val="24"/>
          <w:szCs w:val="24"/>
          <w:lang w:val="id-ID"/>
        </w:rPr>
        <w:t xml:space="preserve">ab, </w:t>
      </w:r>
      <w:r w:rsidRPr="005A731F">
        <w:rPr>
          <w:rFonts w:asciiTheme="majorBidi" w:hAnsiTheme="majorBidi" w:cstheme="majorBidi"/>
          <w:i/>
          <w:iCs/>
          <w:sz w:val="24"/>
          <w:szCs w:val="24"/>
          <w:lang w:val="fi-FI"/>
        </w:rPr>
        <w:t>Al-</w:t>
      </w:r>
      <w:r w:rsidRPr="0082707B">
        <w:rPr>
          <w:rFonts w:asciiTheme="majorBidi" w:hAnsiTheme="majorBidi" w:cstheme="majorBidi"/>
          <w:i/>
          <w:iCs/>
          <w:sz w:val="24"/>
          <w:szCs w:val="24"/>
          <w:lang w:val="id-ID"/>
        </w:rPr>
        <w:t>Siyāsah</w:t>
      </w:r>
      <w:r w:rsidRPr="005A731F">
        <w:rPr>
          <w:rFonts w:asciiTheme="majorBidi" w:hAnsiTheme="majorBidi" w:cstheme="majorBidi"/>
          <w:i/>
          <w:iCs/>
          <w:sz w:val="24"/>
          <w:szCs w:val="24"/>
          <w:lang w:val="fi-FI"/>
        </w:rPr>
        <w:t xml:space="preserve"> al-</w:t>
      </w:r>
      <w:r w:rsidRPr="0082707B">
        <w:rPr>
          <w:rFonts w:asciiTheme="majorBidi" w:hAnsiTheme="majorBidi" w:cstheme="majorBidi"/>
          <w:i/>
          <w:iCs/>
          <w:sz w:val="24"/>
          <w:szCs w:val="24"/>
          <w:lang w:val="id-ID"/>
        </w:rPr>
        <w:t>syar‘iyyah</w:t>
      </w:r>
      <w:r w:rsidRPr="005A731F">
        <w:rPr>
          <w:rFonts w:asciiTheme="majorBidi" w:hAnsiTheme="majorBidi" w:cstheme="majorBidi"/>
          <w:i/>
          <w:iCs/>
          <w:sz w:val="24"/>
          <w:szCs w:val="24"/>
          <w:lang w:val="fi-FI"/>
        </w:rPr>
        <w:t xml:space="preserve"> aw Nidhām Al-Dawlah Al-Islāmiyah Fī al-Syu’ūn al-Dustūriyah wa al-Khārijiyah wa al-Māliyah</w:t>
      </w:r>
      <w:r w:rsidRPr="00406F37">
        <w:rPr>
          <w:rFonts w:asciiTheme="majorBidi" w:hAnsiTheme="majorBidi" w:cstheme="majorBidi"/>
          <w:i/>
          <w:sz w:val="24"/>
          <w:szCs w:val="24"/>
          <w:lang w:val="id-ID"/>
        </w:rPr>
        <w:t>,</w:t>
      </w:r>
      <w:r w:rsidRPr="00406F37">
        <w:rPr>
          <w:rFonts w:asciiTheme="majorBidi" w:hAnsiTheme="majorBidi" w:cstheme="majorBidi"/>
          <w:iCs/>
          <w:sz w:val="24"/>
          <w:szCs w:val="24"/>
        </w:rPr>
        <w:t>( Cairo : Mathba’ah al-Slafiyah, 1350 H)</w:t>
      </w:r>
    </w:p>
    <w:p w:rsidR="00343B61" w:rsidRPr="00406F37" w:rsidRDefault="00343B61" w:rsidP="00343B61">
      <w:pPr>
        <w:ind w:left="810" w:hanging="810"/>
        <w:jc w:val="both"/>
        <w:rPr>
          <w:rFonts w:asciiTheme="majorBidi" w:hAnsiTheme="majorBidi" w:cstheme="majorBidi"/>
        </w:rPr>
      </w:pPr>
      <w:r w:rsidRPr="00406F37">
        <w:rPr>
          <w:rFonts w:asciiTheme="majorBidi" w:hAnsiTheme="majorBidi" w:cstheme="majorBidi"/>
        </w:rPr>
        <w:t>Luwis Ma’luf,</w:t>
      </w:r>
      <w:r w:rsidRPr="00406F37">
        <w:rPr>
          <w:rFonts w:asciiTheme="majorBidi" w:hAnsiTheme="majorBidi" w:cstheme="majorBidi"/>
          <w:i/>
          <w:iCs/>
        </w:rPr>
        <w:t xml:space="preserve"> Al-Munjid</w:t>
      </w:r>
      <w:r w:rsidRPr="00406F37">
        <w:rPr>
          <w:rFonts w:asciiTheme="majorBidi" w:hAnsiTheme="majorBidi" w:cstheme="majorBidi"/>
        </w:rPr>
        <w:t>,  (Beirut: Dar al-Masyriq, 1976)</w:t>
      </w:r>
    </w:p>
    <w:p w:rsidR="00343B61" w:rsidRPr="00406F37" w:rsidRDefault="00343B61" w:rsidP="00343B61">
      <w:pPr>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Madhkur, </w:t>
      </w:r>
      <w:r w:rsidRPr="00406F37">
        <w:rPr>
          <w:sz w:val="24"/>
          <w:szCs w:val="24"/>
        </w:rPr>
        <w:t>Muhammad</w:t>
      </w:r>
      <w:r w:rsidRPr="00406F37">
        <w:rPr>
          <w:rFonts w:asciiTheme="majorBidi" w:hAnsiTheme="majorBidi" w:cstheme="majorBidi"/>
          <w:sz w:val="24"/>
          <w:szCs w:val="24"/>
        </w:rPr>
        <w:t xml:space="preserve"> Salam, </w:t>
      </w:r>
      <w:r w:rsidRPr="00406F37">
        <w:rPr>
          <w:rFonts w:asciiTheme="majorBidi" w:hAnsiTheme="majorBidi" w:cstheme="majorBidi"/>
          <w:i/>
          <w:iCs/>
          <w:sz w:val="24"/>
          <w:szCs w:val="24"/>
        </w:rPr>
        <w:t>al-Qad</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 xml:space="preserve"> </w:t>
      </w:r>
      <w:r w:rsidRPr="0082707B">
        <w:rPr>
          <w:rFonts w:asciiTheme="majorBidi" w:hAnsiTheme="majorBidi" w:cstheme="majorBidi"/>
          <w:i/>
          <w:iCs/>
          <w:sz w:val="24"/>
          <w:szCs w:val="24"/>
        </w:rPr>
        <w:t>fī</w:t>
      </w:r>
      <w:r w:rsidRPr="00406F37">
        <w:rPr>
          <w:rFonts w:asciiTheme="majorBidi" w:hAnsiTheme="majorBidi" w:cstheme="majorBidi"/>
          <w:i/>
          <w:iCs/>
          <w:sz w:val="24"/>
          <w:szCs w:val="24"/>
        </w:rPr>
        <w:t xml:space="preserve"> al-Isl</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m</w:t>
      </w:r>
      <w:r w:rsidRPr="00406F37">
        <w:rPr>
          <w:rFonts w:asciiTheme="majorBidi" w:hAnsiTheme="majorBidi" w:cstheme="majorBidi"/>
          <w:sz w:val="24"/>
          <w:szCs w:val="24"/>
        </w:rPr>
        <w:t xml:space="preserve"> (Kairo: Dar al-Nahdah al-‘Arabiyyah, 1964)</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r w:rsidRPr="00406F37">
        <w:rPr>
          <w:rFonts w:asciiTheme="majorBidi" w:hAnsiTheme="majorBidi" w:cstheme="majorBidi"/>
          <w:lang w:val="sv-SE"/>
        </w:rPr>
        <w:t xml:space="preserve">Madkūr, </w:t>
      </w:r>
      <w:r w:rsidRPr="00406F37">
        <w:t>Muhammad</w:t>
      </w:r>
      <w:r w:rsidRPr="00406F37">
        <w:rPr>
          <w:rFonts w:asciiTheme="majorBidi" w:hAnsiTheme="majorBidi" w:cstheme="majorBidi"/>
          <w:lang w:val="sv-SE"/>
        </w:rPr>
        <w:t xml:space="preserve"> Salām </w:t>
      </w:r>
      <w:r w:rsidRPr="00406F37">
        <w:rPr>
          <w:rFonts w:asciiTheme="majorBidi" w:hAnsiTheme="majorBidi" w:cstheme="majorBidi"/>
          <w:i/>
          <w:iCs/>
          <w:lang w:val="sv-SE"/>
        </w:rPr>
        <w:t>al-Ibāhah ‘Inda al-Uşūliyyīn wa al-Fuqahā</w:t>
      </w:r>
      <w:r w:rsidRPr="00406F37">
        <w:rPr>
          <w:rFonts w:asciiTheme="majorBidi" w:hAnsiTheme="majorBidi" w:cstheme="majorBidi"/>
          <w:lang w:val="sv-SE"/>
        </w:rPr>
        <w:t>, (Kairo: Dār al-Nahdah al- Islāmiyyah, 1996)</w:t>
      </w:r>
    </w:p>
    <w:p w:rsidR="00343B61" w:rsidRPr="00406F37" w:rsidRDefault="00343B61" w:rsidP="00343B61">
      <w:pPr>
        <w:autoSpaceDE w:val="0"/>
        <w:autoSpaceDN w:val="0"/>
        <w:adjustRightInd w:val="0"/>
        <w:ind w:left="810" w:hanging="810"/>
        <w:jc w:val="both"/>
        <w:rPr>
          <w:rFonts w:asciiTheme="majorBidi" w:hAnsiTheme="majorBidi" w:cstheme="majorBidi"/>
          <w:lang w:val="sv-SE"/>
        </w:rPr>
      </w:pPr>
    </w:p>
    <w:p w:rsidR="00343B61" w:rsidRPr="00406F37" w:rsidRDefault="00343B61" w:rsidP="00343B61">
      <w:pPr>
        <w:pStyle w:val="FootnoteText"/>
        <w:spacing w:line="276" w:lineRule="auto"/>
        <w:ind w:left="810" w:hanging="810"/>
        <w:jc w:val="both"/>
        <w:rPr>
          <w:sz w:val="24"/>
          <w:szCs w:val="24"/>
        </w:rPr>
      </w:pPr>
      <w:r w:rsidRPr="00406F37">
        <w:rPr>
          <w:sz w:val="24"/>
          <w:szCs w:val="24"/>
        </w:rPr>
        <w:t xml:space="preserve">Madkur, Muhammad Salam, </w:t>
      </w:r>
      <w:r w:rsidRPr="00617540">
        <w:rPr>
          <w:i/>
          <w:iCs/>
          <w:sz w:val="24"/>
          <w:szCs w:val="24"/>
        </w:rPr>
        <w:t>al-Ijtih</w:t>
      </w:r>
      <w:r w:rsidRPr="00617540">
        <w:rPr>
          <w:rFonts w:asciiTheme="majorBidi" w:hAnsiTheme="majorBidi" w:cstheme="majorBidi"/>
          <w:i/>
          <w:iCs/>
          <w:sz w:val="24"/>
          <w:szCs w:val="24"/>
          <w:lang w:val="sv-SE"/>
        </w:rPr>
        <w:t>ā</w:t>
      </w:r>
      <w:r w:rsidRPr="00617540">
        <w:rPr>
          <w:i/>
          <w:iCs/>
          <w:sz w:val="24"/>
          <w:szCs w:val="24"/>
        </w:rPr>
        <w:t>d fi al-Tasyri al-Isl</w:t>
      </w:r>
      <w:r w:rsidRPr="00617540">
        <w:rPr>
          <w:rFonts w:asciiTheme="majorBidi" w:hAnsiTheme="majorBidi" w:cstheme="majorBidi"/>
          <w:i/>
          <w:iCs/>
          <w:sz w:val="24"/>
          <w:szCs w:val="24"/>
          <w:lang w:val="sv-SE"/>
        </w:rPr>
        <w:t>ā</w:t>
      </w:r>
      <w:r w:rsidRPr="00617540">
        <w:rPr>
          <w:i/>
          <w:iCs/>
          <w:sz w:val="24"/>
          <w:szCs w:val="24"/>
        </w:rPr>
        <w:t>mi</w:t>
      </w:r>
      <w:r w:rsidRPr="00406F37">
        <w:rPr>
          <w:sz w:val="24"/>
          <w:szCs w:val="24"/>
        </w:rPr>
        <w:t>, (t.t: Dar al-Nahdhoh al-‘Arabiyah, 1984)</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Style w:val="Bodytext4"/>
          <w:rFonts w:asciiTheme="majorBidi" w:hAnsiTheme="majorBidi" w:cstheme="majorBidi"/>
          <w:color w:val="000000"/>
          <w:sz w:val="24"/>
          <w:szCs w:val="24"/>
        </w:rPr>
      </w:pPr>
      <w:r w:rsidRPr="00406F37">
        <w:rPr>
          <w:rStyle w:val="Bodytext4"/>
          <w:rFonts w:asciiTheme="majorBidi" w:hAnsiTheme="majorBidi" w:cstheme="majorBidi"/>
          <w:color w:val="000000"/>
          <w:sz w:val="24"/>
          <w:szCs w:val="24"/>
        </w:rPr>
        <w:lastRenderedPageBreak/>
        <w:t xml:space="preserve">Mahmashani, Subhi, </w:t>
      </w:r>
      <w:r w:rsidRPr="00406F37">
        <w:rPr>
          <w:rStyle w:val="Bodytext4Italic"/>
          <w:rFonts w:asciiTheme="majorBidi" w:hAnsiTheme="majorBidi" w:cstheme="majorBidi"/>
          <w:color w:val="000000"/>
          <w:sz w:val="24"/>
          <w:szCs w:val="24"/>
        </w:rPr>
        <w:t xml:space="preserve">Falsafah al-Tasyri' fi </w:t>
      </w:r>
      <w:r w:rsidRPr="00617540">
        <w:rPr>
          <w:rStyle w:val="Bodytext4Italic"/>
          <w:rFonts w:asciiTheme="majorBidi" w:hAnsiTheme="majorBidi" w:cstheme="majorBidi"/>
          <w:color w:val="000000"/>
          <w:sz w:val="24"/>
          <w:szCs w:val="24"/>
        </w:rPr>
        <w:t>al-lsl</w:t>
      </w:r>
      <w:r w:rsidRPr="00617540">
        <w:rPr>
          <w:rFonts w:asciiTheme="majorBidi" w:hAnsiTheme="majorBidi" w:cstheme="majorBidi"/>
          <w:i/>
          <w:iCs/>
          <w:sz w:val="24"/>
          <w:szCs w:val="24"/>
          <w:lang w:val="sv-SE"/>
        </w:rPr>
        <w:t>ā</w:t>
      </w:r>
      <w:r w:rsidRPr="00617540">
        <w:rPr>
          <w:rStyle w:val="Bodytext4Italic"/>
          <w:rFonts w:asciiTheme="majorBidi" w:hAnsiTheme="majorBidi" w:cstheme="majorBidi"/>
          <w:color w:val="000000"/>
          <w:sz w:val="24"/>
          <w:szCs w:val="24"/>
        </w:rPr>
        <w:t>m</w:t>
      </w:r>
      <w:r w:rsidRPr="00406F37">
        <w:rPr>
          <w:rStyle w:val="Bodytext4Italic"/>
          <w:rFonts w:asciiTheme="majorBidi" w:hAnsiTheme="majorBidi" w:cstheme="majorBidi"/>
          <w:color w:val="000000"/>
          <w:sz w:val="24"/>
          <w:szCs w:val="24"/>
        </w:rPr>
        <w:t>,</w:t>
      </w:r>
      <w:r w:rsidRPr="00406F37">
        <w:rPr>
          <w:rStyle w:val="Bodytext4"/>
          <w:rFonts w:asciiTheme="majorBidi" w:hAnsiTheme="majorBidi" w:cstheme="majorBidi"/>
          <w:color w:val="000000"/>
          <w:sz w:val="24"/>
          <w:szCs w:val="24"/>
        </w:rPr>
        <w:t xml:space="preserve"> (Kairo: Dar al-Kasysyaf, 1953)</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sz w:val="24"/>
          <w:szCs w:val="24"/>
        </w:rPr>
      </w:pPr>
      <w:r w:rsidRPr="00406F37">
        <w:rPr>
          <w:sz w:val="24"/>
          <w:szCs w:val="24"/>
        </w:rPr>
        <w:t>Muhammad Fauzi</w:t>
      </w:r>
      <w:r>
        <w:rPr>
          <w:sz w:val="24"/>
          <w:szCs w:val="24"/>
        </w:rPr>
        <w:t>,</w:t>
      </w:r>
      <w:r w:rsidRPr="00406F37">
        <w:rPr>
          <w:sz w:val="24"/>
          <w:szCs w:val="24"/>
        </w:rPr>
        <w:t xml:space="preserve"> </w:t>
      </w:r>
      <w:r w:rsidRPr="00406F37">
        <w:rPr>
          <w:i/>
          <w:iCs/>
          <w:sz w:val="24"/>
          <w:szCs w:val="24"/>
        </w:rPr>
        <w:t>al-Ijtih</w:t>
      </w:r>
      <w:r w:rsidRPr="00617540">
        <w:rPr>
          <w:rFonts w:asciiTheme="majorBidi" w:hAnsiTheme="majorBidi" w:cstheme="majorBidi"/>
          <w:i/>
          <w:iCs/>
          <w:sz w:val="24"/>
          <w:szCs w:val="24"/>
          <w:lang w:val="sv-SE"/>
        </w:rPr>
        <w:t>ā</w:t>
      </w:r>
      <w:r w:rsidRPr="00406F37">
        <w:rPr>
          <w:i/>
          <w:iCs/>
          <w:sz w:val="24"/>
          <w:szCs w:val="24"/>
        </w:rPr>
        <w:t>d fi al-Syari’ah al-Isl</w:t>
      </w:r>
      <w:r w:rsidRPr="00617540">
        <w:rPr>
          <w:rFonts w:asciiTheme="majorBidi" w:hAnsiTheme="majorBidi" w:cstheme="majorBidi"/>
          <w:i/>
          <w:iCs/>
          <w:sz w:val="24"/>
          <w:szCs w:val="24"/>
          <w:lang w:val="sv-SE"/>
        </w:rPr>
        <w:t>ā</w:t>
      </w:r>
      <w:r w:rsidRPr="00406F37">
        <w:rPr>
          <w:i/>
          <w:iCs/>
          <w:sz w:val="24"/>
          <w:szCs w:val="24"/>
        </w:rPr>
        <w:t>miyah</w:t>
      </w:r>
      <w:r w:rsidRPr="00406F37">
        <w:rPr>
          <w:sz w:val="24"/>
          <w:szCs w:val="24"/>
        </w:rPr>
        <w:t>, ( Kuwait: Maktabah Dar al-Turats, 1984)</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Muhammad Iwah, Ibrahim Najib, </w:t>
      </w:r>
      <w:r w:rsidRPr="00406F37">
        <w:rPr>
          <w:rFonts w:asciiTheme="majorBidi" w:hAnsiTheme="majorBidi" w:cstheme="majorBidi"/>
          <w:i/>
          <w:iCs/>
          <w:sz w:val="24"/>
          <w:szCs w:val="24"/>
        </w:rPr>
        <w:t>Al-Qad</w:t>
      </w:r>
      <w:r w:rsidRPr="00617540">
        <w:rPr>
          <w:rFonts w:asciiTheme="majorBidi" w:hAnsiTheme="majorBidi" w:cstheme="majorBidi"/>
          <w:i/>
          <w:iCs/>
          <w:sz w:val="24"/>
          <w:szCs w:val="24"/>
          <w:lang w:val="sv-SE"/>
        </w:rPr>
        <w:t>ā</w:t>
      </w:r>
      <w:r w:rsidRPr="00406F37">
        <w:rPr>
          <w:rFonts w:asciiTheme="majorBidi" w:hAnsiTheme="majorBidi" w:cstheme="majorBidi"/>
          <w:i/>
          <w:iCs/>
          <w:sz w:val="24"/>
          <w:szCs w:val="24"/>
        </w:rPr>
        <w:t xml:space="preserve"> fi Al-Isl</w:t>
      </w:r>
      <w:r w:rsidRPr="00617540">
        <w:rPr>
          <w:rFonts w:asciiTheme="majorBidi" w:hAnsiTheme="majorBidi" w:cstheme="majorBidi"/>
          <w:i/>
          <w:iCs/>
          <w:sz w:val="24"/>
          <w:szCs w:val="24"/>
          <w:lang w:val="sv-SE"/>
        </w:rPr>
        <w:t>ā</w:t>
      </w:r>
      <w:r w:rsidRPr="00406F37">
        <w:rPr>
          <w:rFonts w:asciiTheme="majorBidi" w:hAnsiTheme="majorBidi" w:cstheme="majorBidi"/>
          <w:i/>
          <w:iCs/>
          <w:sz w:val="24"/>
          <w:szCs w:val="24"/>
        </w:rPr>
        <w:t>m</w:t>
      </w:r>
      <w:r w:rsidRPr="00406F37">
        <w:rPr>
          <w:rFonts w:asciiTheme="majorBidi" w:hAnsiTheme="majorBidi" w:cstheme="majorBidi"/>
          <w:sz w:val="24"/>
          <w:szCs w:val="24"/>
        </w:rPr>
        <w:t>,(Kairo: Majma’ Al Buhuth al Islam, 1975)</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ListParagraph"/>
        <w:autoSpaceDE w:val="0"/>
        <w:autoSpaceDN w:val="0"/>
        <w:adjustRightInd w:val="0"/>
        <w:spacing w:after="0"/>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Muhammad, Abu Su’ud, </w:t>
      </w:r>
      <w:r w:rsidRPr="00406F37">
        <w:rPr>
          <w:rFonts w:asciiTheme="majorBidi" w:hAnsiTheme="majorBidi" w:cstheme="majorBidi"/>
          <w:i/>
          <w:iCs/>
          <w:sz w:val="24"/>
          <w:szCs w:val="24"/>
        </w:rPr>
        <w:t>Risalah fi Jawazi Waqf al-</w:t>
      </w:r>
      <w:r w:rsidRPr="00406F37">
        <w:rPr>
          <w:rFonts w:asciiTheme="majorBidi" w:hAnsiTheme="majorBidi" w:cstheme="majorBidi"/>
          <w:sz w:val="24"/>
          <w:szCs w:val="24"/>
        </w:rPr>
        <w:t xml:space="preserve"> </w:t>
      </w:r>
      <w:r w:rsidRPr="00406F37">
        <w:rPr>
          <w:rFonts w:asciiTheme="majorBidi" w:hAnsiTheme="majorBidi" w:cstheme="majorBidi"/>
          <w:i/>
          <w:iCs/>
          <w:sz w:val="24"/>
          <w:szCs w:val="24"/>
        </w:rPr>
        <w:t xml:space="preserve">Nuqud, </w:t>
      </w:r>
      <w:r w:rsidRPr="00406F37">
        <w:rPr>
          <w:rFonts w:asciiTheme="majorBidi" w:hAnsiTheme="majorBidi" w:cstheme="majorBidi"/>
          <w:sz w:val="24"/>
          <w:szCs w:val="24"/>
        </w:rPr>
        <w:t xml:space="preserve">(Beirut: Dar Ibn Hazm, 1997) </w:t>
      </w:r>
    </w:p>
    <w:p w:rsidR="00343B61" w:rsidRPr="00406F37" w:rsidRDefault="00343B61" w:rsidP="00343B61">
      <w:pPr>
        <w:pStyle w:val="ListParagraph"/>
        <w:autoSpaceDE w:val="0"/>
        <w:autoSpaceDN w:val="0"/>
        <w:adjustRightInd w:val="0"/>
        <w:spacing w:after="0"/>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Munawwir, Ahmad Warson, </w:t>
      </w:r>
      <w:r w:rsidRPr="00406F37">
        <w:rPr>
          <w:rFonts w:asciiTheme="majorBidi" w:hAnsiTheme="majorBidi" w:cstheme="majorBidi"/>
          <w:i/>
          <w:iCs/>
          <w:sz w:val="24"/>
          <w:szCs w:val="24"/>
        </w:rPr>
        <w:t>Kamus al-Munawwir Arab Indonesia Terlengkap</w:t>
      </w:r>
      <w:r w:rsidRPr="00406F37">
        <w:rPr>
          <w:rFonts w:asciiTheme="majorBidi" w:hAnsiTheme="majorBidi" w:cstheme="majorBidi"/>
          <w:sz w:val="24"/>
          <w:szCs w:val="24"/>
        </w:rPr>
        <w:t>, ( Yogyakarta: Pustaka Progresif, 1984)</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617540" w:rsidRDefault="00343B61" w:rsidP="00343B61">
      <w:pPr>
        <w:ind w:left="810" w:hanging="810"/>
        <w:jc w:val="both"/>
        <w:rPr>
          <w:rFonts w:asciiTheme="majorBidi" w:hAnsiTheme="majorBidi" w:cstheme="majorBidi"/>
          <w:i/>
          <w:iCs/>
        </w:rPr>
      </w:pPr>
      <w:r w:rsidRPr="00406F37">
        <w:rPr>
          <w:rFonts w:asciiTheme="majorBidi" w:hAnsiTheme="majorBidi" w:cstheme="majorBidi"/>
        </w:rPr>
        <w:t xml:space="preserve">Musa Muhammad Yusuf, </w:t>
      </w:r>
      <w:r w:rsidRPr="00784DB4">
        <w:rPr>
          <w:rFonts w:asciiTheme="majorBidi" w:hAnsiTheme="majorBidi" w:cstheme="majorBidi"/>
          <w:i/>
          <w:iCs/>
        </w:rPr>
        <w:t>Ni</w:t>
      </w:r>
      <w:r w:rsidRPr="00617540">
        <w:rPr>
          <w:rFonts w:asciiTheme="majorBidi" w:hAnsiTheme="majorBidi" w:cstheme="majorBidi"/>
          <w:color w:val="222222"/>
          <w:sz w:val="20"/>
          <w:szCs w:val="20"/>
        </w:rPr>
        <w:t>Ẓ</w:t>
      </w:r>
      <w:r w:rsidRPr="00784DB4">
        <w:rPr>
          <w:rFonts w:asciiTheme="majorBidi" w:hAnsiTheme="majorBidi" w:cstheme="majorBidi"/>
          <w:i/>
          <w:iCs/>
          <w:lang w:val="id-ID"/>
        </w:rPr>
        <w:t>ā</w:t>
      </w:r>
      <w:r w:rsidRPr="00784DB4">
        <w:rPr>
          <w:rFonts w:asciiTheme="majorBidi" w:hAnsiTheme="majorBidi" w:cstheme="majorBidi"/>
          <w:i/>
          <w:iCs/>
        </w:rPr>
        <w:t>m al-</w:t>
      </w:r>
      <w:r w:rsidRPr="00784DB4">
        <w:rPr>
          <w:rFonts w:asciiTheme="majorBidi" w:hAnsiTheme="majorBidi" w:cstheme="majorBidi"/>
          <w:bCs/>
          <w:i/>
          <w:iCs/>
          <w:u w:val="single"/>
        </w:rPr>
        <w:t>H</w:t>
      </w:r>
      <w:r w:rsidRPr="00784DB4">
        <w:rPr>
          <w:rFonts w:asciiTheme="majorBidi" w:hAnsiTheme="majorBidi" w:cstheme="majorBidi"/>
          <w:i/>
          <w:iCs/>
        </w:rPr>
        <w:t xml:space="preserve">ukm </w:t>
      </w:r>
      <w:r w:rsidRPr="00784DB4">
        <w:rPr>
          <w:rFonts w:asciiTheme="majorBidi" w:hAnsiTheme="majorBidi" w:cstheme="majorBidi"/>
          <w:bCs/>
          <w:i/>
          <w:iCs/>
        </w:rPr>
        <w:t>fī</w:t>
      </w:r>
      <w:r w:rsidRPr="00784DB4">
        <w:rPr>
          <w:rFonts w:asciiTheme="majorBidi" w:hAnsiTheme="majorBidi" w:cstheme="majorBidi"/>
          <w:bCs/>
          <w:i/>
          <w:iCs/>
          <w:spacing w:val="11"/>
        </w:rPr>
        <w:t xml:space="preserve"> </w:t>
      </w:r>
      <w:r w:rsidRPr="00784DB4">
        <w:rPr>
          <w:rFonts w:asciiTheme="majorBidi" w:hAnsiTheme="majorBidi" w:cstheme="majorBidi"/>
          <w:i/>
          <w:iCs/>
        </w:rPr>
        <w:t>al-Isl</w:t>
      </w:r>
      <w:r w:rsidRPr="00784DB4">
        <w:rPr>
          <w:rFonts w:asciiTheme="majorBidi" w:hAnsiTheme="majorBidi" w:cstheme="majorBidi"/>
          <w:i/>
          <w:iCs/>
          <w:lang w:val="id-ID"/>
        </w:rPr>
        <w:t>ā</w:t>
      </w:r>
      <w:r w:rsidRPr="00784DB4">
        <w:rPr>
          <w:rFonts w:asciiTheme="majorBidi" w:hAnsiTheme="majorBidi" w:cstheme="majorBidi"/>
          <w:i/>
          <w:iCs/>
        </w:rPr>
        <w:t>m.</w:t>
      </w:r>
      <w:r w:rsidRPr="00406F37">
        <w:rPr>
          <w:rFonts w:asciiTheme="majorBidi" w:hAnsiTheme="majorBidi" w:cstheme="majorBidi"/>
        </w:rPr>
        <w:t>, ( Cairo: Dar al-Kitab Al-Arabi, 1963 )</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Mushtofa, Ibrahim dkk, </w:t>
      </w:r>
      <w:r w:rsidRPr="00406F37">
        <w:rPr>
          <w:rFonts w:asciiTheme="majorBidi" w:hAnsiTheme="majorBidi" w:cstheme="majorBidi"/>
          <w:i/>
          <w:iCs/>
          <w:sz w:val="24"/>
          <w:szCs w:val="24"/>
        </w:rPr>
        <w:t>Mu’jam al-Was</w:t>
      </w:r>
      <w:r w:rsidRPr="00617540">
        <w:rPr>
          <w:rFonts w:asciiTheme="majorBidi" w:hAnsiTheme="majorBidi" w:cstheme="majorBidi"/>
          <w:i/>
          <w:iCs/>
          <w:sz w:val="24"/>
          <w:szCs w:val="24"/>
        </w:rPr>
        <w:t>ī</w:t>
      </w:r>
      <w:r w:rsidRPr="00406F37">
        <w:rPr>
          <w:rFonts w:asciiTheme="majorBidi" w:hAnsiTheme="majorBidi" w:cstheme="majorBidi"/>
          <w:i/>
          <w:iCs/>
          <w:sz w:val="24"/>
          <w:szCs w:val="24"/>
        </w:rPr>
        <w:t>th</w:t>
      </w:r>
      <w:r w:rsidRPr="00406F37">
        <w:rPr>
          <w:rFonts w:asciiTheme="majorBidi" w:hAnsiTheme="majorBidi" w:cstheme="majorBidi"/>
          <w:sz w:val="24"/>
          <w:szCs w:val="24"/>
        </w:rPr>
        <w:t>, ( t.t: Dar al-Da’wah,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Quthub, Sayyid, </w:t>
      </w:r>
      <w:r w:rsidRPr="00406F37">
        <w:rPr>
          <w:rFonts w:asciiTheme="majorBidi" w:hAnsiTheme="majorBidi" w:cstheme="majorBidi"/>
          <w:i/>
          <w:iCs/>
          <w:sz w:val="24"/>
          <w:szCs w:val="24"/>
        </w:rPr>
        <w:t>Ma’</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lim F</w:t>
      </w:r>
      <w:r w:rsidRPr="00617540">
        <w:rPr>
          <w:rFonts w:asciiTheme="majorBidi" w:hAnsiTheme="majorBidi" w:cstheme="majorBidi"/>
          <w:i/>
          <w:iCs/>
          <w:sz w:val="24"/>
          <w:szCs w:val="24"/>
        </w:rPr>
        <w:t>ī</w:t>
      </w:r>
      <w:r w:rsidRPr="00406F37">
        <w:rPr>
          <w:rFonts w:asciiTheme="majorBidi" w:hAnsiTheme="majorBidi" w:cstheme="majorBidi"/>
          <w:i/>
          <w:iCs/>
          <w:sz w:val="24"/>
          <w:szCs w:val="24"/>
        </w:rPr>
        <w:t xml:space="preserve"> al-Tha</w:t>
      </w:r>
      <w:r w:rsidRPr="00617540">
        <w:rPr>
          <w:rFonts w:asciiTheme="majorBidi" w:hAnsiTheme="majorBidi" w:cstheme="majorBidi"/>
          <w:i/>
          <w:iCs/>
          <w:sz w:val="24"/>
          <w:szCs w:val="24"/>
        </w:rPr>
        <w:t>rī</w:t>
      </w:r>
      <w:r w:rsidRPr="00406F37">
        <w:rPr>
          <w:rFonts w:asciiTheme="majorBidi" w:hAnsiTheme="majorBidi" w:cstheme="majorBidi"/>
          <w:i/>
          <w:iCs/>
          <w:sz w:val="24"/>
          <w:szCs w:val="24"/>
        </w:rPr>
        <w:t>q</w:t>
      </w:r>
      <w:r w:rsidRPr="00406F37">
        <w:rPr>
          <w:rFonts w:asciiTheme="majorBidi" w:hAnsiTheme="majorBidi" w:cstheme="majorBidi"/>
          <w:sz w:val="24"/>
          <w:szCs w:val="24"/>
        </w:rPr>
        <w:t xml:space="preserve">, terj. </w:t>
      </w:r>
      <w:r w:rsidRPr="00406F37">
        <w:rPr>
          <w:rFonts w:asciiTheme="majorBidi" w:hAnsiTheme="majorBidi" w:cstheme="majorBidi"/>
          <w:i/>
          <w:iCs/>
          <w:sz w:val="24"/>
          <w:szCs w:val="24"/>
        </w:rPr>
        <w:t>Petunjuk Jalan</w:t>
      </w:r>
      <w:r w:rsidRPr="00406F37">
        <w:rPr>
          <w:rFonts w:asciiTheme="majorBidi" w:hAnsiTheme="majorBidi" w:cstheme="majorBidi"/>
          <w:sz w:val="24"/>
          <w:szCs w:val="24"/>
        </w:rPr>
        <w:t>, ( Bandung: Al-Ma’arif,t.tp)</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Rasyid Ridha, Muhammad, </w:t>
      </w:r>
      <w:r w:rsidRPr="00406F37">
        <w:rPr>
          <w:rFonts w:asciiTheme="majorBidi" w:hAnsiTheme="majorBidi" w:cstheme="majorBidi"/>
          <w:i/>
          <w:iCs/>
          <w:sz w:val="24"/>
          <w:szCs w:val="24"/>
        </w:rPr>
        <w:t>Al-Khil</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fah</w:t>
      </w:r>
      <w:r w:rsidRPr="00406F37">
        <w:rPr>
          <w:rFonts w:asciiTheme="majorBidi" w:hAnsiTheme="majorBidi" w:cstheme="majorBidi"/>
          <w:sz w:val="24"/>
          <w:szCs w:val="24"/>
        </w:rPr>
        <w:t>, ( Kairo: Al-Zahra Lil ‘ilam al-Arabi, t.th)</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Rida, Muhammad Rashid, </w:t>
      </w:r>
      <w:r w:rsidRPr="00406F37">
        <w:rPr>
          <w:rFonts w:asciiTheme="majorBidi" w:hAnsiTheme="majorBidi" w:cstheme="majorBidi"/>
          <w:i/>
          <w:iCs/>
          <w:sz w:val="24"/>
          <w:szCs w:val="24"/>
        </w:rPr>
        <w:t>Tarikh Ust</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zd al-Im</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m al-Shaikh Muhammad ‘Abduh</w:t>
      </w:r>
      <w:r w:rsidRPr="00406F37">
        <w:rPr>
          <w:rFonts w:asciiTheme="majorBidi" w:hAnsiTheme="majorBidi" w:cstheme="majorBidi"/>
          <w:sz w:val="24"/>
          <w:szCs w:val="24"/>
        </w:rPr>
        <w:t xml:space="preserve"> (Mesir: Dar al-Iman, 1367)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Ridho, Muhammad Rasyid bin Ali, </w:t>
      </w:r>
      <w:r w:rsidRPr="00406F37">
        <w:rPr>
          <w:rFonts w:asciiTheme="majorBidi" w:hAnsiTheme="majorBidi" w:cstheme="majorBidi"/>
          <w:i/>
          <w:iCs/>
          <w:sz w:val="24"/>
          <w:szCs w:val="24"/>
        </w:rPr>
        <w:t>Tafsir al-Man</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r</w:t>
      </w:r>
      <w:r w:rsidRPr="00406F37">
        <w:rPr>
          <w:rFonts w:asciiTheme="majorBidi" w:hAnsiTheme="majorBidi" w:cstheme="majorBidi"/>
          <w:sz w:val="24"/>
          <w:szCs w:val="24"/>
        </w:rPr>
        <w:t>, ( Mesir: Al-Hai’ah al-Mishriyah al-‘Ammah Lil Kitab, 1990)</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Sabiq, Sayyid, </w:t>
      </w:r>
      <w:r w:rsidRPr="00406F37">
        <w:rPr>
          <w:rFonts w:asciiTheme="majorBidi" w:hAnsiTheme="majorBidi" w:cstheme="majorBidi"/>
          <w:i/>
          <w:iCs/>
          <w:sz w:val="24"/>
          <w:szCs w:val="24"/>
        </w:rPr>
        <w:t>al-Fiqh al-Sunnah</w:t>
      </w:r>
      <w:r w:rsidRPr="00406F37">
        <w:rPr>
          <w:rFonts w:asciiTheme="majorBidi" w:hAnsiTheme="majorBidi" w:cstheme="majorBidi"/>
          <w:sz w:val="24"/>
          <w:szCs w:val="24"/>
        </w:rPr>
        <w:t>, ( Kairo: Dâr al-Fikr, 1997)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Sanu, Qatab Mushthafâ, </w:t>
      </w:r>
      <w:r w:rsidRPr="00406F37">
        <w:rPr>
          <w:rFonts w:asciiTheme="majorBidi" w:hAnsiTheme="majorBidi" w:cstheme="majorBidi"/>
          <w:i/>
          <w:iCs/>
        </w:rPr>
        <w:t>Mu’jam Musthal</w:t>
      </w:r>
      <w:r w:rsidRPr="00784DB4">
        <w:rPr>
          <w:rFonts w:asciiTheme="majorBidi" w:hAnsiTheme="majorBidi" w:cstheme="majorBidi"/>
          <w:i/>
          <w:iCs/>
          <w:lang w:val="id-ID"/>
        </w:rPr>
        <w:t>ā</w:t>
      </w:r>
      <w:r>
        <w:rPr>
          <w:rFonts w:asciiTheme="majorBidi" w:hAnsiTheme="majorBidi" w:cstheme="majorBidi"/>
          <w:i/>
          <w:iCs/>
        </w:rPr>
        <w:t>t Ushul</w:t>
      </w:r>
      <w:r w:rsidRPr="00406F37">
        <w:rPr>
          <w:rFonts w:asciiTheme="majorBidi" w:hAnsiTheme="majorBidi" w:cstheme="majorBidi"/>
          <w:i/>
          <w:iCs/>
        </w:rPr>
        <w:t xml:space="preserve"> al-Fiqh Arabi-Injilizi</w:t>
      </w:r>
      <w:r w:rsidRPr="00406F37">
        <w:rPr>
          <w:rFonts w:asciiTheme="majorBidi" w:hAnsiTheme="majorBidi" w:cstheme="majorBidi"/>
        </w:rPr>
        <w:t>, (Damaskus: Dâr al-Fikr, 2000)</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Syaibah, Abu Bakar Abdullah bin Muhammad bin Abi, </w:t>
      </w:r>
      <w:r w:rsidRPr="00406F37">
        <w:rPr>
          <w:rFonts w:asciiTheme="majorBidi" w:hAnsiTheme="majorBidi" w:cstheme="majorBidi"/>
          <w:i/>
          <w:iCs/>
        </w:rPr>
        <w:t>al-Mushannaf fi al-Ah</w:t>
      </w:r>
      <w:r w:rsidRPr="00784DB4">
        <w:rPr>
          <w:rFonts w:asciiTheme="majorBidi" w:hAnsiTheme="majorBidi" w:cstheme="majorBidi"/>
          <w:i/>
          <w:iCs/>
          <w:lang w:val="id-ID"/>
        </w:rPr>
        <w:t>ā</w:t>
      </w:r>
      <w:r w:rsidRPr="00406F37">
        <w:rPr>
          <w:rFonts w:asciiTheme="majorBidi" w:hAnsiTheme="majorBidi" w:cstheme="majorBidi"/>
          <w:i/>
          <w:iCs/>
        </w:rPr>
        <w:t>dits wa al-Ats</w:t>
      </w:r>
      <w:r w:rsidRPr="00784DB4">
        <w:rPr>
          <w:rFonts w:asciiTheme="majorBidi" w:hAnsiTheme="majorBidi" w:cstheme="majorBidi"/>
          <w:i/>
          <w:iCs/>
          <w:lang w:val="id-ID"/>
        </w:rPr>
        <w:t>ā</w:t>
      </w:r>
      <w:r w:rsidRPr="00406F37">
        <w:rPr>
          <w:rFonts w:asciiTheme="majorBidi" w:hAnsiTheme="majorBidi" w:cstheme="majorBidi"/>
          <w:i/>
          <w:iCs/>
        </w:rPr>
        <w:t>r</w:t>
      </w:r>
      <w:r w:rsidRPr="00406F37">
        <w:rPr>
          <w:rFonts w:asciiTheme="majorBidi" w:hAnsiTheme="majorBidi" w:cstheme="majorBidi"/>
        </w:rPr>
        <w:t>, ( Riyadh: Maktabah al-Rusyd: 1409)</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Syaltut, Mahmud, </w:t>
      </w:r>
      <w:r w:rsidRPr="00406F37">
        <w:rPr>
          <w:rFonts w:asciiTheme="majorBidi" w:hAnsiTheme="majorBidi" w:cstheme="majorBidi"/>
          <w:i/>
          <w:iCs/>
          <w:sz w:val="24"/>
          <w:szCs w:val="24"/>
        </w:rPr>
        <w:t>Min Taujih</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t Al-Isl</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m</w:t>
      </w:r>
      <w:r w:rsidRPr="00406F37">
        <w:rPr>
          <w:rFonts w:asciiTheme="majorBidi" w:hAnsiTheme="majorBidi" w:cstheme="majorBidi"/>
          <w:sz w:val="24"/>
          <w:szCs w:val="24"/>
        </w:rPr>
        <w:t>, (Kairo: al-Idarah al-Amah, 1959)</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Syubair, Muhammad Utsman, </w:t>
      </w:r>
      <w:r w:rsidRPr="00406F37">
        <w:rPr>
          <w:rFonts w:asciiTheme="majorBidi" w:hAnsiTheme="majorBidi" w:cstheme="majorBidi"/>
          <w:i/>
          <w:iCs/>
          <w:sz w:val="24"/>
          <w:szCs w:val="24"/>
        </w:rPr>
        <w:t>Fat</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wa Al-Syeikh Abu Zahrah</w:t>
      </w:r>
      <w:r w:rsidRPr="00406F37">
        <w:rPr>
          <w:rFonts w:asciiTheme="majorBidi" w:hAnsiTheme="majorBidi" w:cstheme="majorBidi"/>
          <w:sz w:val="24"/>
          <w:szCs w:val="24"/>
        </w:rPr>
        <w:t>, ( Damascus: Dar al-Qalam, 2006)</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sz w:val="24"/>
          <w:szCs w:val="24"/>
        </w:rPr>
      </w:pPr>
      <w:r w:rsidRPr="00406F37">
        <w:rPr>
          <w:sz w:val="24"/>
          <w:szCs w:val="24"/>
          <w:lang w:val="id-ID"/>
        </w:rPr>
        <w:t>Taj</w:t>
      </w:r>
      <w:r w:rsidRPr="00406F37">
        <w:rPr>
          <w:sz w:val="24"/>
          <w:szCs w:val="24"/>
        </w:rPr>
        <w:t xml:space="preserve">, </w:t>
      </w:r>
      <w:r w:rsidRPr="00406F37">
        <w:rPr>
          <w:sz w:val="24"/>
          <w:szCs w:val="24"/>
          <w:lang w:val="id-ID"/>
        </w:rPr>
        <w:t xml:space="preserve">Abdurrahman, </w:t>
      </w:r>
      <w:r>
        <w:rPr>
          <w:i/>
          <w:sz w:val="24"/>
          <w:szCs w:val="24"/>
          <w:lang w:val="id-ID"/>
        </w:rPr>
        <w:t>Al-siyasah al-Syar’iyah wa</w:t>
      </w:r>
      <w:r>
        <w:rPr>
          <w:i/>
          <w:sz w:val="24"/>
          <w:szCs w:val="24"/>
        </w:rPr>
        <w:t xml:space="preserve"> </w:t>
      </w:r>
      <w:r w:rsidRPr="00406F37">
        <w:rPr>
          <w:i/>
          <w:sz w:val="24"/>
          <w:szCs w:val="24"/>
          <w:lang w:val="id-ID"/>
        </w:rPr>
        <w:t>al-Fiqh al-Isl</w:t>
      </w:r>
      <w:r w:rsidRPr="00784DB4">
        <w:rPr>
          <w:rFonts w:asciiTheme="majorBidi" w:hAnsiTheme="majorBidi" w:cstheme="majorBidi"/>
          <w:i/>
          <w:iCs/>
          <w:sz w:val="24"/>
          <w:szCs w:val="24"/>
          <w:lang w:val="id-ID"/>
        </w:rPr>
        <w:t>ā</w:t>
      </w:r>
      <w:r w:rsidRPr="00406F37">
        <w:rPr>
          <w:i/>
          <w:sz w:val="24"/>
          <w:szCs w:val="24"/>
          <w:lang w:val="id-ID"/>
        </w:rPr>
        <w:t xml:space="preserve">mi, </w:t>
      </w:r>
      <w:r w:rsidRPr="00406F37">
        <w:rPr>
          <w:sz w:val="24"/>
          <w:szCs w:val="24"/>
          <w:lang w:val="id-ID"/>
        </w:rPr>
        <w:t>(Mesir:</w:t>
      </w:r>
      <w:r w:rsidRPr="00406F37">
        <w:rPr>
          <w:sz w:val="24"/>
          <w:szCs w:val="24"/>
        </w:rPr>
        <w:t xml:space="preserve"> </w:t>
      </w:r>
      <w:r w:rsidRPr="00406F37">
        <w:rPr>
          <w:sz w:val="24"/>
          <w:szCs w:val="24"/>
          <w:lang w:val="id-ID"/>
        </w:rPr>
        <w:t>Mathba’ah Dar al-Ta’lif,1993</w:t>
      </w:r>
      <w:r w:rsidRPr="00406F37">
        <w:rPr>
          <w:sz w:val="24"/>
          <w:szCs w:val="24"/>
        </w:rPr>
        <w:t>)</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Wizarah al-Auqaf Kuwait, </w:t>
      </w:r>
      <w:r w:rsidRPr="00406F37">
        <w:rPr>
          <w:rFonts w:asciiTheme="majorBidi" w:hAnsiTheme="majorBidi" w:cstheme="majorBidi"/>
          <w:i/>
          <w:iCs/>
          <w:sz w:val="24"/>
          <w:szCs w:val="24"/>
        </w:rPr>
        <w:t>al-Mausu’ah al-Fiqhiyah al-Kuwa</w:t>
      </w:r>
      <w:r>
        <w:rPr>
          <w:rFonts w:asciiTheme="majorBidi" w:hAnsiTheme="majorBidi" w:cstheme="majorBidi"/>
          <w:i/>
          <w:iCs/>
          <w:sz w:val="24"/>
          <w:szCs w:val="24"/>
        </w:rPr>
        <w:t>i</w:t>
      </w:r>
      <w:r w:rsidRPr="00406F37">
        <w:rPr>
          <w:rFonts w:asciiTheme="majorBidi" w:hAnsiTheme="majorBidi" w:cstheme="majorBidi"/>
          <w:i/>
          <w:iCs/>
          <w:sz w:val="24"/>
          <w:szCs w:val="24"/>
        </w:rPr>
        <w:t>tiyah</w:t>
      </w:r>
      <w:r w:rsidRPr="00406F37">
        <w:rPr>
          <w:rFonts w:asciiTheme="majorBidi" w:hAnsiTheme="majorBidi" w:cstheme="majorBidi"/>
          <w:sz w:val="24"/>
          <w:szCs w:val="24"/>
        </w:rPr>
        <w:t>, ( Mesir: Dar al shofwah, 1427)</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tl/>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Pr>
          <w:rFonts w:asciiTheme="majorBidi" w:hAnsiTheme="majorBidi" w:cstheme="majorBidi"/>
          <w:sz w:val="24"/>
          <w:szCs w:val="24"/>
          <w:lang w:val="sv-SE"/>
        </w:rPr>
        <w:t>Zagibah, ‘Izzuddi</w:t>
      </w:r>
      <w:r w:rsidRPr="00406F37">
        <w:rPr>
          <w:rFonts w:asciiTheme="majorBidi" w:hAnsiTheme="majorBidi" w:cstheme="majorBidi"/>
          <w:sz w:val="24"/>
          <w:szCs w:val="24"/>
          <w:lang w:val="sv-SE"/>
        </w:rPr>
        <w:t xml:space="preserve">n, </w:t>
      </w:r>
      <w:r w:rsidRPr="00406F37">
        <w:rPr>
          <w:rFonts w:asciiTheme="majorBidi" w:hAnsiTheme="majorBidi" w:cstheme="majorBidi"/>
          <w:i/>
          <w:iCs/>
          <w:sz w:val="24"/>
          <w:szCs w:val="24"/>
          <w:lang w:val="sv-SE"/>
        </w:rPr>
        <w:t>al-Maq</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lang w:val="sv-SE"/>
        </w:rPr>
        <w:t>shid al-’Âmmah li al-Syarî‘ah al-Isl</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lang w:val="sv-SE"/>
        </w:rPr>
        <w:t>miyya,</w:t>
      </w:r>
      <w:r w:rsidRPr="00406F37">
        <w:rPr>
          <w:rFonts w:asciiTheme="majorBidi" w:hAnsiTheme="majorBidi" w:cstheme="majorBidi"/>
          <w:sz w:val="24"/>
          <w:szCs w:val="24"/>
          <w:lang w:val="sv-SE"/>
        </w:rPr>
        <w:t xml:space="preserve">( Kairo: Dar al-Shafwah, cet. </w:t>
      </w:r>
      <w:r w:rsidRPr="00406F37">
        <w:rPr>
          <w:rFonts w:asciiTheme="majorBidi" w:hAnsiTheme="majorBidi" w:cstheme="majorBidi"/>
          <w:sz w:val="24"/>
          <w:szCs w:val="24"/>
        </w:rPr>
        <w:t>I, 1996)</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Zahrah, M, Abu, </w:t>
      </w:r>
      <w:r w:rsidRPr="00406F37">
        <w:rPr>
          <w:rFonts w:asciiTheme="majorBidi" w:hAnsiTheme="majorBidi" w:cstheme="majorBidi"/>
          <w:i/>
          <w:iCs/>
          <w:sz w:val="24"/>
          <w:szCs w:val="24"/>
        </w:rPr>
        <w:t>Al</w:t>
      </w:r>
      <w:r>
        <w:rPr>
          <w:rFonts w:asciiTheme="majorBidi" w:hAnsiTheme="majorBidi" w:cstheme="majorBidi"/>
          <w:i/>
          <w:iCs/>
          <w:sz w:val="24"/>
          <w:szCs w:val="24"/>
        </w:rPr>
        <w:t>-</w:t>
      </w:r>
      <w:r w:rsidRPr="00406F37">
        <w:rPr>
          <w:rFonts w:asciiTheme="majorBidi" w:hAnsiTheme="majorBidi" w:cstheme="majorBidi"/>
          <w:i/>
          <w:iCs/>
          <w:sz w:val="24"/>
          <w:szCs w:val="24"/>
        </w:rPr>
        <w:t xml:space="preserve"> Tirkh wa al Mir</w:t>
      </w:r>
      <w:r w:rsidRPr="00784DB4">
        <w:rPr>
          <w:rFonts w:asciiTheme="majorBidi" w:hAnsiTheme="majorBidi" w:cstheme="majorBidi"/>
          <w:i/>
          <w:iCs/>
          <w:sz w:val="24"/>
          <w:szCs w:val="24"/>
          <w:lang w:val="id-ID"/>
        </w:rPr>
        <w:t>ā</w:t>
      </w:r>
      <w:r w:rsidRPr="00406F37">
        <w:rPr>
          <w:rFonts w:asciiTheme="majorBidi" w:hAnsiTheme="majorBidi" w:cstheme="majorBidi"/>
          <w:i/>
          <w:iCs/>
          <w:sz w:val="24"/>
          <w:szCs w:val="24"/>
        </w:rPr>
        <w:t>ts</w:t>
      </w:r>
      <w:r w:rsidRPr="00406F37">
        <w:rPr>
          <w:rFonts w:asciiTheme="majorBidi" w:hAnsiTheme="majorBidi" w:cstheme="majorBidi"/>
          <w:sz w:val="24"/>
          <w:szCs w:val="24"/>
        </w:rPr>
        <w:t>, (Cairo'. Dar Al Filer, 1975)</w:t>
      </w:r>
    </w:p>
    <w:p w:rsidR="00343B61" w:rsidRPr="00406F37" w:rsidRDefault="00343B61" w:rsidP="00343B61">
      <w:pPr>
        <w:autoSpaceDE w:val="0"/>
        <w:autoSpaceDN w:val="0"/>
        <w:adjustRightInd w:val="0"/>
        <w:ind w:left="810" w:hanging="810"/>
        <w:jc w:val="both"/>
        <w:rPr>
          <w:rFonts w:asciiTheme="majorBidi" w:hAnsiTheme="majorBidi" w:cstheme="majorBidi"/>
        </w:rPr>
      </w:pPr>
      <w:r w:rsidRPr="00406F37">
        <w:rPr>
          <w:rFonts w:asciiTheme="majorBidi" w:hAnsiTheme="majorBidi" w:cstheme="majorBidi"/>
        </w:rPr>
        <w:t xml:space="preserve">Zaid, Mustafa, </w:t>
      </w:r>
      <w:r w:rsidRPr="0082707B">
        <w:rPr>
          <w:rFonts w:asciiTheme="majorBidi" w:hAnsiTheme="majorBidi" w:cstheme="majorBidi"/>
          <w:i/>
          <w:iCs/>
        </w:rPr>
        <w:t>Al-masla</w:t>
      </w:r>
      <w:r w:rsidRPr="0082707B">
        <w:rPr>
          <w:i/>
          <w:iCs/>
          <w:u w:val="single"/>
        </w:rPr>
        <w:t>h</w:t>
      </w:r>
      <w:r w:rsidRPr="0082707B">
        <w:rPr>
          <w:rFonts w:asciiTheme="majorBidi" w:hAnsiTheme="majorBidi" w:cstheme="majorBidi"/>
          <w:i/>
          <w:iCs/>
        </w:rPr>
        <w:t>ah fī at-Tasyri'i al-Islāmī wa Najmuddin al-Thūfī</w:t>
      </w:r>
      <w:r w:rsidRPr="00406F37">
        <w:rPr>
          <w:rFonts w:asciiTheme="majorBidi" w:hAnsiTheme="majorBidi" w:cstheme="majorBidi"/>
        </w:rPr>
        <w:t>, t.tp.: Dâr al-Fikr al-‘Arabiy, 1384 H/1964 M)</w:t>
      </w:r>
    </w:p>
    <w:p w:rsidR="00343B61" w:rsidRPr="00406F37" w:rsidRDefault="00343B61" w:rsidP="00343B61">
      <w:pPr>
        <w:autoSpaceDE w:val="0"/>
        <w:autoSpaceDN w:val="0"/>
        <w:adjustRightInd w:val="0"/>
        <w:ind w:left="810" w:hanging="810"/>
        <w:jc w:val="both"/>
        <w:rPr>
          <w:rFonts w:asciiTheme="majorBidi" w:hAnsiTheme="majorBidi" w:cstheme="majorBidi"/>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Zaidan, Abd Karim, </w:t>
      </w:r>
      <w:r w:rsidRPr="00406F37">
        <w:rPr>
          <w:rFonts w:asciiTheme="majorBidi" w:hAnsiTheme="majorBidi" w:cstheme="majorBidi"/>
          <w:i/>
          <w:iCs/>
          <w:sz w:val="24"/>
          <w:szCs w:val="24"/>
        </w:rPr>
        <w:t>al-Mufasshal fi Ahk</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m al-Mar’ah wa al-Bayt al-Muslim fi al-Syari’ah al-Isl</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miyah</w:t>
      </w:r>
      <w:r w:rsidRPr="00406F37">
        <w:rPr>
          <w:rFonts w:asciiTheme="majorBidi" w:hAnsiTheme="majorBidi" w:cstheme="majorBidi"/>
          <w:sz w:val="24"/>
          <w:szCs w:val="24"/>
        </w:rPr>
        <w:t>, ( Bairut: Mu’assah al-Risalah, 1994)</w:t>
      </w:r>
    </w:p>
    <w:p w:rsidR="00343B61" w:rsidRPr="00406F37" w:rsidRDefault="00343B61" w:rsidP="00343B61">
      <w:pPr>
        <w:pStyle w:val="FootnoteText"/>
        <w:spacing w:line="276" w:lineRule="auto"/>
        <w:ind w:left="810" w:hanging="810"/>
        <w:jc w:val="both"/>
        <w:rPr>
          <w:sz w:val="24"/>
          <w:szCs w:val="24"/>
        </w:rPr>
      </w:pP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Zaidan, Abd Karim, </w:t>
      </w:r>
      <w:r w:rsidRPr="0082707B">
        <w:rPr>
          <w:rFonts w:asciiTheme="majorBidi" w:hAnsiTheme="majorBidi" w:cstheme="majorBidi"/>
          <w:i/>
          <w:iCs/>
          <w:sz w:val="24"/>
          <w:szCs w:val="24"/>
        </w:rPr>
        <w:t>Al-Wajīz Fī Ushūl al-Fiqh</w:t>
      </w:r>
      <w:r w:rsidRPr="00406F37">
        <w:rPr>
          <w:rFonts w:asciiTheme="majorBidi" w:hAnsiTheme="majorBidi" w:cstheme="majorBidi"/>
          <w:sz w:val="24"/>
          <w:szCs w:val="24"/>
        </w:rPr>
        <w:t>, ( Baghdad: Muassasah al-Qurthubah, 1976)</w:t>
      </w:r>
    </w:p>
    <w:p w:rsidR="00343B61" w:rsidRPr="00406F37" w:rsidRDefault="00343B61" w:rsidP="00343B61">
      <w:pPr>
        <w:pStyle w:val="FootnoteText"/>
        <w:spacing w:line="276" w:lineRule="auto"/>
        <w:ind w:left="810" w:hanging="810"/>
        <w:jc w:val="both"/>
        <w:rPr>
          <w:rFonts w:asciiTheme="majorBidi" w:hAnsiTheme="majorBidi" w:cstheme="majorBidi"/>
          <w:sz w:val="24"/>
          <w:szCs w:val="24"/>
        </w:rPr>
      </w:pPr>
    </w:p>
    <w:p w:rsidR="00343B61" w:rsidRDefault="00343B61" w:rsidP="00343B61">
      <w:pPr>
        <w:pStyle w:val="FootnoteText"/>
        <w:spacing w:line="276" w:lineRule="auto"/>
        <w:ind w:left="810" w:hanging="810"/>
        <w:jc w:val="both"/>
        <w:rPr>
          <w:rFonts w:asciiTheme="majorBidi" w:hAnsiTheme="majorBidi" w:cstheme="majorBidi"/>
          <w:sz w:val="24"/>
          <w:szCs w:val="24"/>
        </w:rPr>
      </w:pPr>
      <w:r w:rsidRPr="00406F37">
        <w:rPr>
          <w:rFonts w:asciiTheme="majorBidi" w:hAnsiTheme="majorBidi" w:cstheme="majorBidi"/>
          <w:sz w:val="24"/>
          <w:szCs w:val="24"/>
        </w:rPr>
        <w:t xml:space="preserve">Zaidan, Abdul Karim, </w:t>
      </w:r>
      <w:r w:rsidRPr="00406F37">
        <w:rPr>
          <w:rFonts w:asciiTheme="majorBidi" w:hAnsiTheme="majorBidi" w:cstheme="majorBidi"/>
          <w:i/>
          <w:iCs/>
          <w:sz w:val="24"/>
          <w:szCs w:val="24"/>
        </w:rPr>
        <w:t>Al-fardh wa Dawlah f</w:t>
      </w:r>
      <w:r w:rsidRPr="0082707B">
        <w:rPr>
          <w:rFonts w:asciiTheme="majorBidi" w:hAnsiTheme="majorBidi" w:cstheme="majorBidi"/>
          <w:i/>
          <w:iCs/>
          <w:sz w:val="24"/>
          <w:szCs w:val="24"/>
        </w:rPr>
        <w:t>ī</w:t>
      </w:r>
      <w:r w:rsidRPr="00406F37">
        <w:rPr>
          <w:rFonts w:asciiTheme="majorBidi" w:hAnsiTheme="majorBidi" w:cstheme="majorBidi"/>
          <w:i/>
          <w:iCs/>
          <w:sz w:val="24"/>
          <w:szCs w:val="24"/>
        </w:rPr>
        <w:t xml:space="preserve"> Syariah al-isl</w:t>
      </w:r>
      <w:r w:rsidRPr="0082707B">
        <w:rPr>
          <w:rFonts w:asciiTheme="majorBidi" w:hAnsiTheme="majorBidi" w:cstheme="majorBidi"/>
          <w:i/>
          <w:iCs/>
          <w:sz w:val="24"/>
          <w:szCs w:val="24"/>
          <w:lang w:val="id-ID"/>
        </w:rPr>
        <w:t>ā</w:t>
      </w:r>
      <w:r w:rsidRPr="00406F37">
        <w:rPr>
          <w:rFonts w:asciiTheme="majorBidi" w:hAnsiTheme="majorBidi" w:cstheme="majorBidi"/>
          <w:i/>
          <w:iCs/>
          <w:sz w:val="24"/>
          <w:szCs w:val="24"/>
        </w:rPr>
        <w:t>miyyah</w:t>
      </w:r>
      <w:r w:rsidRPr="00406F37">
        <w:rPr>
          <w:rFonts w:asciiTheme="majorBidi" w:hAnsiTheme="majorBidi" w:cstheme="majorBidi"/>
          <w:sz w:val="24"/>
          <w:szCs w:val="24"/>
        </w:rPr>
        <w:t>, ( t.t: Al-Ijtihad al-islamiyyah, al- ‘Alamiy, 1970)</w:t>
      </w:r>
    </w:p>
    <w:p w:rsidR="00343B61" w:rsidRDefault="00343B61" w:rsidP="00343B61">
      <w:pPr>
        <w:pStyle w:val="FootnoteText"/>
        <w:spacing w:line="276" w:lineRule="auto"/>
        <w:ind w:left="810" w:hanging="810"/>
        <w:jc w:val="both"/>
        <w:rPr>
          <w:rFonts w:asciiTheme="majorBidi" w:hAnsiTheme="majorBidi" w:cstheme="majorBidi"/>
          <w:sz w:val="24"/>
          <w:szCs w:val="24"/>
        </w:rPr>
      </w:pPr>
    </w:p>
    <w:p w:rsidR="00343B61" w:rsidRPr="00E320A9" w:rsidRDefault="00343B61" w:rsidP="00343B61">
      <w:pPr>
        <w:rPr>
          <w:rFonts w:asciiTheme="majorBidi" w:hAnsiTheme="majorBidi" w:cstheme="majorBidi"/>
          <w:b/>
          <w:bCs/>
        </w:rPr>
      </w:pPr>
      <w:r w:rsidRPr="00E320A9">
        <w:rPr>
          <w:rFonts w:asciiTheme="majorBidi" w:hAnsiTheme="majorBidi" w:cstheme="majorBidi"/>
          <w:b/>
          <w:bCs/>
        </w:rPr>
        <w:t xml:space="preserve">Buku-Buku Berbahasa Inggris dan Asing Lainnya </w:t>
      </w:r>
    </w:p>
    <w:p w:rsidR="00343B61" w:rsidRPr="00AA36EE" w:rsidRDefault="00343B61" w:rsidP="00343B61">
      <w:pPr>
        <w:pStyle w:val="FootnoteText"/>
        <w:spacing w:line="276" w:lineRule="auto"/>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Al-Maududi, Abu al-‘Ala, </w:t>
      </w:r>
      <w:r w:rsidRPr="009629E6">
        <w:rPr>
          <w:rFonts w:asciiTheme="majorBidi" w:hAnsiTheme="majorBidi" w:cstheme="majorBidi"/>
          <w:i/>
          <w:iCs/>
          <w:sz w:val="24"/>
          <w:szCs w:val="24"/>
        </w:rPr>
        <w:t>Islamic Law and Constitution</w:t>
      </w:r>
      <w:r w:rsidRPr="009629E6">
        <w:rPr>
          <w:rFonts w:asciiTheme="majorBidi" w:hAnsiTheme="majorBidi" w:cstheme="majorBidi"/>
          <w:sz w:val="24"/>
          <w:szCs w:val="24"/>
        </w:rPr>
        <w:t>, ( Lahore: Islamic Publications Ltd, 1975)</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9629E6">
        <w:rPr>
          <w:rFonts w:asciiTheme="majorBidi" w:hAnsiTheme="majorBidi" w:cstheme="majorBidi"/>
        </w:rPr>
        <w:t xml:space="preserve">Anderson, J. N. D, </w:t>
      </w:r>
      <w:r w:rsidRPr="009629E6">
        <w:rPr>
          <w:rFonts w:asciiTheme="majorBidi" w:hAnsiTheme="majorBidi" w:cstheme="majorBidi"/>
          <w:i/>
          <w:iCs/>
        </w:rPr>
        <w:t>Islamic Law in the Modern World</w:t>
      </w:r>
      <w:r w:rsidRPr="009629E6">
        <w:rPr>
          <w:rFonts w:asciiTheme="majorBidi" w:hAnsiTheme="majorBidi" w:cstheme="majorBidi"/>
        </w:rPr>
        <w:t>, ( New York: Un</w:t>
      </w:r>
      <w:r>
        <w:rPr>
          <w:rFonts w:asciiTheme="majorBidi" w:hAnsiTheme="majorBidi" w:cstheme="majorBidi"/>
        </w:rPr>
        <w:t>iversity Press, 1959)</w:t>
      </w:r>
      <w:r w:rsidRPr="009629E6">
        <w:rPr>
          <w:rFonts w:asciiTheme="majorBidi" w:hAnsiTheme="majorBidi" w:cstheme="majorBidi"/>
        </w:rPr>
        <w:t xml:space="preserve"> </w:t>
      </w:r>
    </w:p>
    <w:p w:rsidR="00343B61" w:rsidRPr="009629E6"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lastRenderedPageBreak/>
        <w:t xml:space="preserve">Anderson, Norman, </w:t>
      </w:r>
      <w:r w:rsidRPr="009629E6">
        <w:rPr>
          <w:rFonts w:asciiTheme="majorBidi" w:hAnsiTheme="majorBidi" w:cstheme="majorBidi"/>
          <w:i/>
          <w:iCs/>
          <w:sz w:val="24"/>
          <w:szCs w:val="24"/>
        </w:rPr>
        <w:t>Law Reform in the Muslim World</w:t>
      </w:r>
      <w:r w:rsidRPr="009629E6">
        <w:rPr>
          <w:rFonts w:asciiTheme="majorBidi" w:hAnsiTheme="majorBidi" w:cstheme="majorBidi"/>
          <w:sz w:val="24"/>
          <w:szCs w:val="24"/>
        </w:rPr>
        <w:t>. ( Cambridge: The Athlone Press University of London,  1976)</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Arkoun, Mohammed, </w:t>
      </w:r>
      <w:r w:rsidRPr="009629E6">
        <w:rPr>
          <w:rFonts w:asciiTheme="majorBidi" w:hAnsiTheme="majorBidi" w:cstheme="majorBidi"/>
          <w:i/>
          <w:iCs/>
          <w:sz w:val="24"/>
          <w:szCs w:val="24"/>
        </w:rPr>
        <w:t>Rethingking Islam: Common Questions Uncommon Answers</w:t>
      </w:r>
      <w:r w:rsidRPr="009629E6">
        <w:rPr>
          <w:rFonts w:asciiTheme="majorBidi" w:hAnsiTheme="majorBidi" w:cstheme="majorBidi"/>
          <w:sz w:val="24"/>
          <w:szCs w:val="24"/>
        </w:rPr>
        <w:t xml:space="preserve">, Translated and Edited by Robert D. Lee (Colorado and Oxford: Westview Press, 1994) </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Besant, Annie, </w:t>
      </w:r>
      <w:r w:rsidRPr="009629E6">
        <w:rPr>
          <w:rFonts w:asciiTheme="majorBidi" w:hAnsiTheme="majorBidi" w:cstheme="majorBidi"/>
          <w:i/>
          <w:iCs/>
          <w:sz w:val="24"/>
          <w:szCs w:val="24"/>
        </w:rPr>
        <w:t>The Life and Teachings of Muhammad</w:t>
      </w:r>
      <w:r w:rsidRPr="009629E6">
        <w:rPr>
          <w:rFonts w:asciiTheme="majorBidi" w:hAnsiTheme="majorBidi" w:cstheme="majorBidi"/>
          <w:sz w:val="24"/>
          <w:szCs w:val="24"/>
        </w:rPr>
        <w:t>, (Madras: t.p., 1932)</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Davis, Rene and John E.C Brierlay, </w:t>
      </w:r>
      <w:r w:rsidRPr="009629E6">
        <w:rPr>
          <w:rFonts w:asciiTheme="majorBidi" w:hAnsiTheme="majorBidi" w:cstheme="majorBidi"/>
          <w:i/>
          <w:iCs/>
          <w:sz w:val="24"/>
          <w:szCs w:val="24"/>
        </w:rPr>
        <w:t>Major Legal System in the Wor</w:t>
      </w:r>
      <w:r>
        <w:rPr>
          <w:rFonts w:asciiTheme="majorBidi" w:hAnsiTheme="majorBidi" w:cstheme="majorBidi"/>
          <w:i/>
          <w:iCs/>
          <w:sz w:val="24"/>
          <w:szCs w:val="24"/>
        </w:rPr>
        <w:t>ld Today: An Introd</w:t>
      </w:r>
      <w:r w:rsidRPr="009629E6">
        <w:rPr>
          <w:rFonts w:asciiTheme="majorBidi" w:hAnsiTheme="majorBidi" w:cstheme="majorBidi"/>
          <w:i/>
          <w:iCs/>
          <w:sz w:val="24"/>
          <w:szCs w:val="24"/>
        </w:rPr>
        <w:t>uction to the Comparative Study of Law</w:t>
      </w:r>
      <w:r w:rsidRPr="009629E6">
        <w:rPr>
          <w:rFonts w:asciiTheme="majorBidi" w:hAnsiTheme="majorBidi" w:cstheme="majorBidi"/>
          <w:sz w:val="24"/>
          <w:szCs w:val="24"/>
        </w:rPr>
        <w:t>, ( London: Steven&amp; Sons)</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9629E6">
        <w:rPr>
          <w:rFonts w:asciiTheme="majorBidi" w:hAnsiTheme="majorBidi" w:cstheme="majorBidi"/>
        </w:rPr>
        <w:t>El Alami, Dawoud &amp; Doreen Hinchcliffe</w:t>
      </w:r>
      <w:r w:rsidRPr="009629E6">
        <w:rPr>
          <w:rFonts w:asciiTheme="majorBidi" w:hAnsiTheme="majorBidi" w:cstheme="majorBidi"/>
          <w:i/>
          <w:iCs/>
        </w:rPr>
        <w:t>, Islamic Marriage and Divorce Laws of the Arab World.</w:t>
      </w:r>
      <w:r w:rsidRPr="009629E6">
        <w:rPr>
          <w:rFonts w:asciiTheme="majorBidi" w:hAnsiTheme="majorBidi" w:cstheme="majorBidi"/>
        </w:rPr>
        <w:t>(</w:t>
      </w:r>
      <w:r w:rsidRPr="009629E6">
        <w:rPr>
          <w:rFonts w:asciiTheme="majorBidi" w:hAnsiTheme="majorBidi" w:cstheme="majorBidi"/>
          <w:i/>
          <w:iCs/>
        </w:rPr>
        <w:t xml:space="preserve"> </w:t>
      </w:r>
      <w:r w:rsidRPr="009629E6">
        <w:rPr>
          <w:rFonts w:asciiTheme="majorBidi" w:hAnsiTheme="majorBidi" w:cstheme="majorBidi"/>
        </w:rPr>
        <w:t>London: the Hague, Boston, Kluwer Law International, 1996)</w:t>
      </w:r>
    </w:p>
    <w:p w:rsidR="00343B61" w:rsidRPr="009629E6"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9629E6">
        <w:rPr>
          <w:rFonts w:asciiTheme="majorBidi" w:hAnsiTheme="majorBidi" w:cstheme="majorBidi"/>
          <w:sz w:val="24"/>
          <w:szCs w:val="24"/>
          <w:lang w:val="sv-SE"/>
        </w:rPr>
        <w:t xml:space="preserve">Hooker, M.B, dengan judul” </w:t>
      </w:r>
      <w:r>
        <w:rPr>
          <w:rFonts w:asciiTheme="majorBidi" w:hAnsiTheme="majorBidi" w:cstheme="majorBidi"/>
          <w:i/>
          <w:iCs/>
          <w:sz w:val="24"/>
          <w:szCs w:val="24"/>
          <w:lang w:val="sv-SE"/>
        </w:rPr>
        <w:t>Islam and Me</w:t>
      </w:r>
      <w:r w:rsidRPr="009629E6">
        <w:rPr>
          <w:rFonts w:asciiTheme="majorBidi" w:hAnsiTheme="majorBidi" w:cstheme="majorBidi"/>
          <w:i/>
          <w:iCs/>
          <w:sz w:val="24"/>
          <w:szCs w:val="24"/>
          <w:lang w:val="sv-SE"/>
        </w:rPr>
        <w:t xml:space="preserve">dical Science: Evidence from Malaysian and Indonesia Fatwas 1960-1996, </w:t>
      </w:r>
      <w:r w:rsidRPr="009629E6">
        <w:rPr>
          <w:rFonts w:asciiTheme="majorBidi" w:hAnsiTheme="majorBidi" w:cstheme="majorBidi"/>
          <w:sz w:val="24"/>
          <w:szCs w:val="24"/>
          <w:lang w:val="sv-SE"/>
        </w:rPr>
        <w:t>Sudia Islamica: Indonesian Journal of Islamic Studeis, Volume 4, Number 4, 1997.</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John L. Esposito, </w:t>
      </w:r>
      <w:r w:rsidRPr="009629E6">
        <w:rPr>
          <w:rFonts w:asciiTheme="majorBidi" w:hAnsiTheme="majorBidi" w:cstheme="majorBidi"/>
          <w:i/>
          <w:iCs/>
          <w:sz w:val="24"/>
          <w:szCs w:val="24"/>
        </w:rPr>
        <w:t>Ensiklopedi Oxford: Dunia Islam Modern</w:t>
      </w:r>
      <w:r w:rsidRPr="009629E6">
        <w:rPr>
          <w:rFonts w:asciiTheme="majorBidi" w:hAnsiTheme="majorBidi" w:cstheme="majorBidi"/>
          <w:sz w:val="24"/>
          <w:szCs w:val="24"/>
        </w:rPr>
        <w:t>, Jilid 3, terj. Eva Y.N</w:t>
      </w:r>
      <w:r>
        <w:rPr>
          <w:rFonts w:asciiTheme="majorBidi" w:hAnsiTheme="majorBidi" w:cstheme="majorBidi"/>
          <w:sz w:val="24"/>
          <w:szCs w:val="24"/>
        </w:rPr>
        <w:t>. dkk.,( Bandung: Mizan, 2001)</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K. Hitti, Philip, </w:t>
      </w:r>
      <w:r w:rsidRPr="009629E6">
        <w:rPr>
          <w:rFonts w:asciiTheme="majorBidi" w:hAnsiTheme="majorBidi" w:cstheme="majorBidi"/>
          <w:i/>
          <w:iCs/>
          <w:sz w:val="24"/>
          <w:szCs w:val="24"/>
        </w:rPr>
        <w:t>History Of the Arabs</w:t>
      </w:r>
      <w:r w:rsidRPr="009629E6">
        <w:rPr>
          <w:rFonts w:asciiTheme="majorBidi" w:hAnsiTheme="majorBidi" w:cstheme="majorBidi"/>
          <w:sz w:val="24"/>
          <w:szCs w:val="24"/>
        </w:rPr>
        <w:t>, ( Jakarta: Serambi Ilmu Semesta, 2002)</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Mahmood, Tahir, </w:t>
      </w:r>
      <w:r w:rsidRPr="009629E6">
        <w:rPr>
          <w:rFonts w:asciiTheme="majorBidi" w:hAnsiTheme="majorBidi" w:cstheme="majorBidi"/>
          <w:i/>
          <w:iCs/>
          <w:sz w:val="24"/>
          <w:szCs w:val="24"/>
        </w:rPr>
        <w:t>Family Law Reform in the Muslim World</w:t>
      </w:r>
      <w:r w:rsidRPr="009629E6">
        <w:rPr>
          <w:rFonts w:asciiTheme="majorBidi" w:hAnsiTheme="majorBidi" w:cstheme="majorBidi"/>
          <w:sz w:val="24"/>
          <w:szCs w:val="24"/>
        </w:rPr>
        <w:t xml:space="preserve"> (New Delhi: Tripathi, 1972)</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Malcom H. </w:t>
      </w:r>
      <w:r w:rsidRPr="009629E6">
        <w:rPr>
          <w:rFonts w:asciiTheme="majorBidi" w:hAnsiTheme="majorBidi" w:cstheme="majorBidi"/>
          <w:i/>
          <w:iCs/>
          <w:sz w:val="24"/>
          <w:szCs w:val="24"/>
        </w:rPr>
        <w:t>Kerr, Islamic Reform: the Poli</w:t>
      </w:r>
      <w:r>
        <w:rPr>
          <w:rFonts w:asciiTheme="majorBidi" w:hAnsiTheme="majorBidi" w:cstheme="majorBidi"/>
          <w:i/>
          <w:iCs/>
          <w:sz w:val="24"/>
          <w:szCs w:val="24"/>
        </w:rPr>
        <w:t>tical and Legal Theories of Muh</w:t>
      </w:r>
      <w:r w:rsidRPr="009629E6">
        <w:rPr>
          <w:rFonts w:asciiTheme="majorBidi" w:hAnsiTheme="majorBidi" w:cstheme="majorBidi"/>
          <w:i/>
          <w:iCs/>
          <w:sz w:val="24"/>
          <w:szCs w:val="24"/>
        </w:rPr>
        <w:t>ammad ‘Abduh and Rashid Ridha</w:t>
      </w:r>
      <w:r w:rsidRPr="009629E6">
        <w:rPr>
          <w:rFonts w:asciiTheme="majorBidi" w:hAnsiTheme="majorBidi" w:cstheme="majorBidi"/>
          <w:sz w:val="24"/>
          <w:szCs w:val="24"/>
        </w:rPr>
        <w:t xml:space="preserve"> (Berkeley: Universitas of California, 1966)</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Martin Van Bruinessen, </w:t>
      </w:r>
      <w:r w:rsidRPr="009629E6">
        <w:rPr>
          <w:rFonts w:asciiTheme="majorBidi" w:hAnsiTheme="majorBidi" w:cstheme="majorBidi"/>
          <w:i/>
          <w:iCs/>
          <w:sz w:val="24"/>
          <w:szCs w:val="24"/>
        </w:rPr>
        <w:t>The Origigins and Development Of Sufi Prders</w:t>
      </w:r>
      <w:r w:rsidRPr="009629E6">
        <w:rPr>
          <w:rFonts w:asciiTheme="majorBidi" w:hAnsiTheme="majorBidi" w:cstheme="majorBidi"/>
          <w:sz w:val="24"/>
          <w:szCs w:val="24"/>
        </w:rPr>
        <w:t xml:space="preserve">( </w:t>
      </w:r>
      <w:r w:rsidRPr="009629E6">
        <w:rPr>
          <w:rFonts w:asciiTheme="majorBidi" w:hAnsiTheme="majorBidi" w:cstheme="majorBidi"/>
          <w:i/>
          <w:iCs/>
          <w:sz w:val="24"/>
          <w:szCs w:val="24"/>
        </w:rPr>
        <w:t>Tarekat) in Southeast Asia, dalam Studi Islamika</w:t>
      </w:r>
      <w:r w:rsidRPr="009629E6">
        <w:rPr>
          <w:rFonts w:asciiTheme="majorBidi" w:hAnsiTheme="majorBidi" w:cstheme="majorBidi"/>
          <w:sz w:val="24"/>
          <w:szCs w:val="24"/>
        </w:rPr>
        <w:t xml:space="preserve">, Edisi April-Juni 1994. </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9629E6">
        <w:rPr>
          <w:rFonts w:asciiTheme="majorBidi" w:hAnsiTheme="majorBidi" w:cstheme="majorBidi"/>
          <w:sz w:val="24"/>
          <w:szCs w:val="24"/>
        </w:rPr>
        <w:t xml:space="preserve">Mudzhar, Muhammad Atho, </w:t>
      </w:r>
      <w:r>
        <w:rPr>
          <w:rFonts w:asciiTheme="majorBidi" w:hAnsiTheme="majorBidi" w:cstheme="majorBidi"/>
          <w:i/>
          <w:iCs/>
          <w:sz w:val="24"/>
          <w:szCs w:val="24"/>
          <w:lang w:val="sv-SE"/>
        </w:rPr>
        <w:t>fatwa</w:t>
      </w:r>
      <w:r w:rsidRPr="009629E6">
        <w:rPr>
          <w:rFonts w:asciiTheme="majorBidi" w:hAnsiTheme="majorBidi" w:cstheme="majorBidi"/>
          <w:i/>
          <w:iCs/>
          <w:sz w:val="24"/>
          <w:szCs w:val="24"/>
          <w:lang w:val="sv-SE"/>
        </w:rPr>
        <w:t>s of the Indonesian Ulama: A Study of Isla</w:t>
      </w:r>
      <w:r>
        <w:rPr>
          <w:rFonts w:asciiTheme="majorBidi" w:hAnsiTheme="majorBidi" w:cstheme="majorBidi"/>
          <w:i/>
          <w:iCs/>
          <w:sz w:val="24"/>
          <w:szCs w:val="24"/>
          <w:lang w:val="sv-SE"/>
        </w:rPr>
        <w:t>m</w:t>
      </w:r>
      <w:r w:rsidRPr="009629E6">
        <w:rPr>
          <w:rFonts w:asciiTheme="majorBidi" w:hAnsiTheme="majorBidi" w:cstheme="majorBidi"/>
          <w:i/>
          <w:iCs/>
          <w:sz w:val="24"/>
          <w:szCs w:val="24"/>
          <w:lang w:val="sv-SE"/>
        </w:rPr>
        <w:t>ic Legal Thoug</w:t>
      </w:r>
      <w:r>
        <w:rPr>
          <w:rFonts w:asciiTheme="majorBidi" w:hAnsiTheme="majorBidi" w:cstheme="majorBidi"/>
          <w:i/>
          <w:iCs/>
          <w:sz w:val="24"/>
          <w:szCs w:val="24"/>
          <w:lang w:val="sv-SE"/>
        </w:rPr>
        <w:t>h</w:t>
      </w:r>
      <w:r w:rsidRPr="009629E6">
        <w:rPr>
          <w:rFonts w:asciiTheme="majorBidi" w:hAnsiTheme="majorBidi" w:cstheme="majorBidi"/>
          <w:i/>
          <w:iCs/>
          <w:sz w:val="24"/>
          <w:szCs w:val="24"/>
          <w:lang w:val="sv-SE"/>
        </w:rPr>
        <w:t>t in Indonesia 1975-1988,</w:t>
      </w:r>
      <w:r w:rsidRPr="009629E6">
        <w:rPr>
          <w:rFonts w:asciiTheme="majorBidi" w:hAnsiTheme="majorBidi" w:cstheme="majorBidi"/>
          <w:sz w:val="24"/>
          <w:szCs w:val="24"/>
          <w:lang w:val="sv-SE"/>
        </w:rPr>
        <w:t>( Jakarta:INIS, 1993), edisi dwibahasa</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 xml:space="preserve">R Gibb  H.A. dan J. H. Krames, </w:t>
      </w:r>
      <w:r w:rsidRPr="009629E6">
        <w:rPr>
          <w:rFonts w:asciiTheme="majorBidi" w:hAnsiTheme="majorBidi" w:cstheme="majorBidi"/>
          <w:i/>
          <w:iCs/>
          <w:sz w:val="24"/>
          <w:szCs w:val="24"/>
        </w:rPr>
        <w:t>Shorter Encyclopedia of Islam</w:t>
      </w:r>
      <w:r w:rsidRPr="009629E6">
        <w:rPr>
          <w:rFonts w:asciiTheme="majorBidi" w:hAnsiTheme="majorBidi" w:cstheme="majorBidi"/>
          <w:sz w:val="24"/>
          <w:szCs w:val="24"/>
        </w:rPr>
        <w:t>, ( leiden: E.J.Brill, 1961)</w:t>
      </w: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textAlignment w:val="baseline"/>
        <w:rPr>
          <w:rFonts w:asciiTheme="majorBidi" w:eastAsia="Garamond" w:hAnsiTheme="majorBidi" w:cstheme="majorBidi"/>
        </w:rPr>
      </w:pPr>
      <w:r w:rsidRPr="009629E6">
        <w:rPr>
          <w:rFonts w:asciiTheme="majorBidi" w:eastAsia="Garamond" w:hAnsiTheme="majorBidi" w:cstheme="majorBidi"/>
        </w:rPr>
        <w:t>Rifai, Nuriena, "</w:t>
      </w:r>
      <w:r w:rsidRPr="009629E6">
        <w:rPr>
          <w:rFonts w:asciiTheme="majorBidi" w:eastAsia="Garamond" w:hAnsiTheme="majorBidi" w:cstheme="majorBidi"/>
          <w:i/>
          <w:iCs/>
        </w:rPr>
        <w:t>Muslim Women in Indonesia's Politics: An Historical Examination of the Political Career  of Ai syah Aminy</w:t>
      </w:r>
      <w:r w:rsidRPr="009629E6">
        <w:rPr>
          <w:rFonts w:asciiTheme="majorBidi" w:eastAsia="Garamond" w:hAnsiTheme="majorBidi" w:cstheme="majorBidi"/>
        </w:rPr>
        <w:t>", (Montreal: Tesis MA pada McGill University 1993)</w:t>
      </w:r>
    </w:p>
    <w:p w:rsidR="00343B61" w:rsidRPr="009629E6" w:rsidRDefault="00343B61" w:rsidP="00343B61">
      <w:pPr>
        <w:ind w:left="720" w:hanging="720"/>
        <w:jc w:val="both"/>
        <w:textAlignment w:val="baseline"/>
        <w:rPr>
          <w:rFonts w:asciiTheme="majorBidi" w:eastAsia="Garamond" w:hAnsiTheme="majorBidi" w:cstheme="majorBidi"/>
        </w:rPr>
      </w:pPr>
    </w:p>
    <w:p w:rsidR="00343B61" w:rsidRPr="009629E6" w:rsidRDefault="00343B61" w:rsidP="00343B61">
      <w:pPr>
        <w:autoSpaceDE w:val="0"/>
        <w:autoSpaceDN w:val="0"/>
        <w:adjustRightInd w:val="0"/>
        <w:ind w:left="720" w:hanging="720"/>
        <w:jc w:val="both"/>
        <w:rPr>
          <w:rFonts w:asciiTheme="majorBidi" w:hAnsiTheme="majorBidi" w:cstheme="majorBidi"/>
        </w:rPr>
      </w:pPr>
      <w:r w:rsidRPr="009629E6">
        <w:rPr>
          <w:rFonts w:asciiTheme="majorBidi" w:hAnsiTheme="majorBidi" w:cstheme="majorBidi"/>
        </w:rPr>
        <w:t xml:space="preserve">Saeed, </w:t>
      </w:r>
      <w:r w:rsidRPr="009629E6">
        <w:rPr>
          <w:rFonts w:asciiTheme="majorBidi" w:hAnsiTheme="majorBidi" w:cstheme="majorBidi"/>
          <w:i/>
          <w:iCs/>
        </w:rPr>
        <w:t>Islamic Thought</w:t>
      </w:r>
      <w:r w:rsidRPr="009629E6">
        <w:rPr>
          <w:rFonts w:asciiTheme="majorBidi" w:hAnsiTheme="majorBidi" w:cstheme="majorBidi"/>
        </w:rPr>
        <w:t xml:space="preserve"> </w:t>
      </w:r>
      <w:r w:rsidRPr="009629E6">
        <w:rPr>
          <w:rFonts w:asciiTheme="majorBidi" w:hAnsiTheme="majorBidi" w:cstheme="majorBidi"/>
          <w:i/>
          <w:iCs/>
        </w:rPr>
        <w:t xml:space="preserve">An Introduction, </w:t>
      </w:r>
      <w:r w:rsidRPr="009629E6">
        <w:rPr>
          <w:rFonts w:asciiTheme="majorBidi" w:hAnsiTheme="majorBidi" w:cstheme="majorBidi"/>
        </w:rPr>
        <w:t>(</w:t>
      </w:r>
      <w:r w:rsidRPr="009629E6">
        <w:rPr>
          <w:rFonts w:asciiTheme="majorBidi" w:hAnsiTheme="majorBidi" w:cstheme="majorBidi"/>
          <w:i/>
          <w:iCs/>
        </w:rPr>
        <w:t xml:space="preserve"> </w:t>
      </w:r>
      <w:r w:rsidRPr="009629E6">
        <w:rPr>
          <w:rFonts w:asciiTheme="majorBidi" w:hAnsiTheme="majorBidi" w:cstheme="majorBidi"/>
        </w:rPr>
        <w:t>London and New York: Routledge, 2006)</w:t>
      </w:r>
    </w:p>
    <w:p w:rsidR="00343B61" w:rsidRDefault="00343B61" w:rsidP="00343B61">
      <w:pPr>
        <w:autoSpaceDE w:val="0"/>
        <w:autoSpaceDN w:val="0"/>
        <w:adjustRightInd w:val="0"/>
        <w:ind w:left="720" w:hanging="720"/>
        <w:jc w:val="both"/>
        <w:rPr>
          <w:rFonts w:asciiTheme="majorBidi" w:hAnsiTheme="majorBidi" w:cstheme="majorBidi"/>
          <w:i/>
          <w:iCs/>
        </w:rPr>
      </w:pPr>
      <w:r w:rsidRPr="009629E6">
        <w:rPr>
          <w:rFonts w:asciiTheme="majorBidi" w:hAnsiTheme="majorBidi" w:cstheme="majorBidi"/>
        </w:rPr>
        <w:t>Safwat, Ahmad, “</w:t>
      </w:r>
      <w:r w:rsidRPr="009629E6">
        <w:rPr>
          <w:rFonts w:asciiTheme="majorBidi" w:hAnsiTheme="majorBidi" w:cstheme="majorBidi"/>
          <w:i/>
          <w:iCs/>
        </w:rPr>
        <w:t>The Theory of Mohammedan Law</w:t>
      </w:r>
      <w:r w:rsidRPr="009629E6">
        <w:rPr>
          <w:rFonts w:asciiTheme="majorBidi" w:hAnsiTheme="majorBidi" w:cstheme="majorBidi"/>
        </w:rPr>
        <w:t xml:space="preserve">”, dalam </w:t>
      </w:r>
      <w:r w:rsidRPr="009629E6">
        <w:rPr>
          <w:rFonts w:asciiTheme="majorBidi" w:hAnsiTheme="majorBidi" w:cstheme="majorBidi"/>
          <w:i/>
          <w:iCs/>
        </w:rPr>
        <w:t>Journal of Comparative Legislation and International Law, vol. 2 (1920)</w:t>
      </w:r>
    </w:p>
    <w:p w:rsidR="00343B61" w:rsidRPr="009629E6" w:rsidRDefault="00343B61" w:rsidP="00343B61">
      <w:pPr>
        <w:autoSpaceDE w:val="0"/>
        <w:autoSpaceDN w:val="0"/>
        <w:adjustRightInd w:val="0"/>
        <w:ind w:left="720" w:hanging="720"/>
        <w:jc w:val="both"/>
        <w:rPr>
          <w:rFonts w:asciiTheme="majorBidi" w:hAnsiTheme="majorBidi" w:cstheme="majorBidi"/>
          <w:i/>
          <w:iCs/>
        </w:rPr>
      </w:pPr>
    </w:p>
    <w:p w:rsidR="00343B61" w:rsidRPr="009629E6" w:rsidRDefault="00343B61" w:rsidP="00343B61">
      <w:pPr>
        <w:pStyle w:val="FootnoteText"/>
        <w:spacing w:line="276" w:lineRule="auto"/>
        <w:ind w:left="720" w:hanging="720"/>
        <w:jc w:val="both"/>
        <w:rPr>
          <w:rFonts w:asciiTheme="majorBidi" w:hAnsiTheme="majorBidi" w:cstheme="majorBidi"/>
          <w:sz w:val="24"/>
          <w:szCs w:val="24"/>
        </w:rPr>
      </w:pPr>
      <w:r w:rsidRPr="009629E6">
        <w:rPr>
          <w:rFonts w:asciiTheme="majorBidi" w:hAnsiTheme="majorBidi" w:cstheme="majorBidi"/>
          <w:sz w:val="24"/>
          <w:szCs w:val="24"/>
        </w:rPr>
        <w:t>V</w:t>
      </w:r>
      <w:r>
        <w:rPr>
          <w:rFonts w:asciiTheme="majorBidi" w:hAnsiTheme="majorBidi" w:cstheme="majorBidi"/>
          <w:sz w:val="24"/>
          <w:szCs w:val="24"/>
        </w:rPr>
        <w:t>ogel, Frank E &amp; Hayes, Samuel L,</w:t>
      </w:r>
      <w:r w:rsidRPr="009629E6">
        <w:rPr>
          <w:rFonts w:asciiTheme="majorBidi" w:hAnsiTheme="majorBidi" w:cstheme="majorBidi"/>
          <w:sz w:val="24"/>
          <w:szCs w:val="24"/>
        </w:rPr>
        <w:t xml:space="preserve"> </w:t>
      </w:r>
      <w:r w:rsidRPr="009629E6">
        <w:rPr>
          <w:rFonts w:asciiTheme="majorBidi" w:hAnsiTheme="majorBidi" w:cstheme="majorBidi"/>
          <w:i/>
          <w:iCs/>
          <w:sz w:val="24"/>
          <w:szCs w:val="24"/>
        </w:rPr>
        <w:t xml:space="preserve"> Islamic Law and Finance – Religion, Risk, and Return, </w:t>
      </w:r>
      <w:r w:rsidRPr="009629E6">
        <w:rPr>
          <w:rFonts w:asciiTheme="majorBidi" w:hAnsiTheme="majorBidi" w:cstheme="majorBidi"/>
          <w:sz w:val="24"/>
          <w:szCs w:val="24"/>
        </w:rPr>
        <w:t>(The Hague, Kluwer International, 1998)</w:t>
      </w:r>
    </w:p>
    <w:p w:rsidR="00343B61" w:rsidRDefault="00343B61" w:rsidP="00343B61">
      <w:pPr>
        <w:pStyle w:val="FootnoteText"/>
        <w:spacing w:line="276" w:lineRule="auto"/>
        <w:ind w:left="810" w:hanging="810"/>
        <w:jc w:val="both"/>
        <w:rPr>
          <w:rFonts w:asciiTheme="majorBidi" w:hAnsiTheme="majorBidi" w:cstheme="majorBidi"/>
          <w:sz w:val="24"/>
          <w:szCs w:val="24"/>
        </w:rPr>
      </w:pPr>
    </w:p>
    <w:p w:rsidR="00343B61" w:rsidRPr="009105DC" w:rsidRDefault="00343B61" w:rsidP="00343B61">
      <w:pPr>
        <w:rPr>
          <w:rFonts w:asciiTheme="majorBidi" w:hAnsiTheme="majorBidi" w:cstheme="majorBidi"/>
          <w:b/>
          <w:bCs/>
        </w:rPr>
      </w:pPr>
      <w:r w:rsidRPr="009105DC">
        <w:rPr>
          <w:rFonts w:asciiTheme="majorBidi" w:hAnsiTheme="majorBidi" w:cstheme="majorBidi"/>
          <w:b/>
          <w:bCs/>
        </w:rPr>
        <w:t xml:space="preserve">Buku-Buku Berbahasa Indonesia </w:t>
      </w:r>
    </w:p>
    <w:p w:rsidR="00343B61" w:rsidRPr="004768C0" w:rsidRDefault="00343B61" w:rsidP="00343B61">
      <w:pPr>
        <w:pStyle w:val="FootnoteText"/>
        <w:spacing w:line="276" w:lineRule="auto"/>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Abbas, Anwar dkk, </w:t>
      </w:r>
      <w:r w:rsidRPr="004768C0">
        <w:rPr>
          <w:rFonts w:asciiTheme="majorBidi" w:hAnsiTheme="majorBidi" w:cstheme="majorBidi"/>
          <w:i/>
          <w:iCs/>
          <w:sz w:val="24"/>
          <w:szCs w:val="24"/>
        </w:rPr>
        <w:t>Wawasan Majelis Ulama Indonesia</w:t>
      </w:r>
      <w:r w:rsidRPr="004768C0">
        <w:rPr>
          <w:rFonts w:asciiTheme="majorBidi" w:hAnsiTheme="majorBidi" w:cstheme="majorBidi"/>
          <w:sz w:val="24"/>
          <w:szCs w:val="24"/>
        </w:rPr>
        <w:t xml:space="preserve">, dalam; </w:t>
      </w:r>
      <w:r w:rsidRPr="004768C0">
        <w:rPr>
          <w:rFonts w:asciiTheme="majorBidi" w:hAnsiTheme="majorBidi" w:cstheme="majorBidi"/>
          <w:i/>
          <w:iCs/>
          <w:sz w:val="24"/>
          <w:szCs w:val="24"/>
        </w:rPr>
        <w:t>Pedoman penyelengaraan Organisasi Majelis Ulama Indonesia</w:t>
      </w:r>
      <w:r w:rsidRPr="004768C0">
        <w:rPr>
          <w:rFonts w:asciiTheme="majorBidi" w:hAnsiTheme="majorBidi" w:cstheme="majorBidi"/>
          <w:sz w:val="24"/>
          <w:szCs w:val="24"/>
        </w:rPr>
        <w:t>, ( Sekretrariat Majelis Ulama Indonesia,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 Abbas, Anwar, dkk, </w:t>
      </w:r>
      <w:r w:rsidRPr="004768C0">
        <w:rPr>
          <w:rFonts w:asciiTheme="majorBidi" w:hAnsiTheme="majorBidi" w:cstheme="majorBidi"/>
          <w:i/>
          <w:iCs/>
          <w:sz w:val="24"/>
          <w:szCs w:val="24"/>
        </w:rPr>
        <w:t>Pedoman penyelengaraan Organisasi Majelis Ulama Indonesia</w:t>
      </w:r>
      <w:r w:rsidRPr="004768C0">
        <w:rPr>
          <w:rFonts w:asciiTheme="majorBidi" w:hAnsiTheme="majorBidi" w:cstheme="majorBidi"/>
          <w:sz w:val="24"/>
          <w:szCs w:val="24"/>
        </w:rPr>
        <w:t>, ( Sekretrariat Majelis Ulama Indonesia,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 Abd Muhaimin, Abdul </w:t>
      </w:r>
      <w:r>
        <w:rPr>
          <w:rFonts w:asciiTheme="majorBidi" w:hAnsiTheme="majorBidi" w:cstheme="majorBidi"/>
          <w:sz w:val="24"/>
          <w:szCs w:val="24"/>
        </w:rPr>
        <w:t>Wahhab</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Adopsi Hukum Islam Dalam Sistem Hukum Nasional</w:t>
      </w:r>
      <w:r w:rsidRPr="004768C0">
        <w:rPr>
          <w:rFonts w:asciiTheme="majorBidi" w:hAnsiTheme="majorBidi" w:cstheme="majorBidi"/>
          <w:sz w:val="24"/>
          <w:szCs w:val="24"/>
        </w:rPr>
        <w:t>, ( Jakarta: Gaung Persada Press,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Abdullah, Abdul Gani, </w:t>
      </w:r>
      <w:r w:rsidRPr="004768C0">
        <w:rPr>
          <w:rFonts w:asciiTheme="majorBidi" w:hAnsiTheme="majorBidi" w:cstheme="majorBidi"/>
          <w:i/>
          <w:iCs/>
          <w:sz w:val="24"/>
          <w:szCs w:val="24"/>
        </w:rPr>
        <w:t>Pengantar Kompilasi Hukum Islam dalam Tata Hukum Indonesia</w:t>
      </w:r>
      <w:r w:rsidRPr="004768C0">
        <w:rPr>
          <w:rFonts w:asciiTheme="majorBidi" w:hAnsiTheme="majorBidi" w:cstheme="majorBidi"/>
          <w:sz w:val="24"/>
          <w:szCs w:val="24"/>
        </w:rPr>
        <w:t>, ( Jakarta: Gema Insani Pres,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Abdullah, Sulaiman, </w:t>
      </w:r>
      <w:r w:rsidRPr="004768C0">
        <w:rPr>
          <w:rFonts w:asciiTheme="majorBidi" w:hAnsiTheme="majorBidi" w:cstheme="majorBidi"/>
          <w:i/>
          <w:iCs/>
        </w:rPr>
        <w:t>Dinamika Qiyas dalam Pembaharuan Hukum Islam: kajian Konsep Qiyas Imam Syafi'i</w:t>
      </w:r>
      <w:r w:rsidRPr="004768C0">
        <w:rPr>
          <w:rFonts w:asciiTheme="majorBidi" w:hAnsiTheme="majorBidi" w:cstheme="majorBidi"/>
        </w:rPr>
        <w:t>, ( Jakarta: pedoman Ilmu Jaya, 1966)</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Adams, Wahiduddin, </w:t>
      </w:r>
      <w:r w:rsidRPr="004768C0">
        <w:rPr>
          <w:rFonts w:asciiTheme="majorBidi" w:hAnsiTheme="majorBidi" w:cstheme="majorBidi"/>
          <w:i/>
          <w:iCs/>
          <w:sz w:val="24"/>
          <w:szCs w:val="24"/>
          <w:lang w:val="sv-SE"/>
        </w:rPr>
        <w:t>Pola penyerapan Fatwa Majelis Ulama Indonesia dalam Peraturan Undang-Undang 1975 1997</w:t>
      </w:r>
      <w:r w:rsidRPr="004768C0">
        <w:rPr>
          <w:rFonts w:asciiTheme="majorBidi" w:hAnsiTheme="majorBidi" w:cstheme="majorBidi"/>
          <w:sz w:val="24"/>
          <w:szCs w:val="24"/>
          <w:lang w:val="sv-SE"/>
        </w:rPr>
        <w:t>”, Disertasi Doktor Ilmu Agama Islam,(Jakarta: Perpustakaan Pascasarjana UIN Syarif Hidatullah, 2002)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textAlignment w:val="baseline"/>
        <w:rPr>
          <w:rFonts w:asciiTheme="majorBidi" w:hAnsiTheme="majorBidi" w:cstheme="majorBidi"/>
        </w:rPr>
      </w:pPr>
      <w:r w:rsidRPr="004768C0">
        <w:rPr>
          <w:rFonts w:asciiTheme="majorBidi" w:eastAsia="Garamond" w:hAnsiTheme="majorBidi" w:cstheme="majorBidi"/>
          <w:color w:val="000000"/>
          <w:spacing w:val="-4"/>
        </w:rPr>
        <w:t xml:space="preserve">Ahmad, Amrullah, </w:t>
      </w:r>
      <w:r w:rsidRPr="004768C0">
        <w:rPr>
          <w:rFonts w:asciiTheme="majorBidi" w:eastAsia="Garamond" w:hAnsiTheme="majorBidi" w:cstheme="majorBidi"/>
          <w:i/>
          <w:color w:val="000000"/>
          <w:spacing w:val="-4"/>
        </w:rPr>
        <w:t xml:space="preserve">Dimensi Hukum Islam dalam Sistem Hukum Nasional, </w:t>
      </w:r>
      <w:r w:rsidRPr="004768C0">
        <w:rPr>
          <w:rFonts w:asciiTheme="majorBidi" w:hAnsiTheme="majorBidi" w:cstheme="majorBidi"/>
        </w:rPr>
        <w:t>( Jakarta: Gema Insani Press, 1996)</w:t>
      </w:r>
    </w:p>
    <w:p w:rsidR="00343B61" w:rsidRPr="004768C0" w:rsidRDefault="00343B61" w:rsidP="00343B61">
      <w:pPr>
        <w:ind w:left="720" w:hanging="720"/>
        <w:jc w:val="both"/>
        <w:textAlignment w:val="baseline"/>
        <w:rPr>
          <w:rFonts w:asciiTheme="majorBidi" w:hAnsiTheme="majorBidi" w:cstheme="majorBidi"/>
        </w:rPr>
      </w:pPr>
    </w:p>
    <w:p w:rsidR="00343B61" w:rsidRDefault="00343B61" w:rsidP="00343B61">
      <w:pPr>
        <w:pStyle w:val="Bodytext140"/>
        <w:shd w:val="clear" w:color="auto" w:fill="auto"/>
        <w:spacing w:before="0" w:line="276" w:lineRule="auto"/>
        <w:ind w:left="720" w:hanging="720"/>
        <w:rPr>
          <w:rStyle w:val="Bodytext14"/>
          <w:rFonts w:asciiTheme="majorBidi" w:hAnsiTheme="majorBidi" w:cstheme="majorBidi"/>
          <w:color w:val="000000"/>
          <w:sz w:val="24"/>
          <w:szCs w:val="24"/>
        </w:rPr>
      </w:pPr>
      <w:r w:rsidRPr="004768C0">
        <w:rPr>
          <w:rStyle w:val="Bodytext14"/>
          <w:rFonts w:asciiTheme="majorBidi" w:hAnsiTheme="majorBidi" w:cstheme="majorBidi"/>
          <w:color w:val="000000"/>
          <w:sz w:val="24"/>
          <w:szCs w:val="24"/>
        </w:rPr>
        <w:t>Ainurrofiq (ed.), “</w:t>
      </w:r>
      <w:r w:rsidRPr="004768C0">
        <w:rPr>
          <w:rStyle w:val="Bodytext148pt"/>
          <w:rFonts w:asciiTheme="majorBidi" w:hAnsiTheme="majorBidi" w:cstheme="majorBidi"/>
          <w:color w:val="000000"/>
          <w:sz w:val="24"/>
          <w:szCs w:val="24"/>
        </w:rPr>
        <w:t>Mazhab” Jogja, Mengagas</w:t>
      </w:r>
      <w:r w:rsidRPr="004768C0">
        <w:rPr>
          <w:rStyle w:val="Bodytext14"/>
          <w:rFonts w:asciiTheme="majorBidi" w:hAnsiTheme="majorBidi" w:cstheme="majorBidi"/>
          <w:color w:val="000000"/>
          <w:sz w:val="24"/>
          <w:szCs w:val="24"/>
        </w:rPr>
        <w:t xml:space="preserve"> </w:t>
      </w:r>
      <w:r w:rsidRPr="004768C0">
        <w:rPr>
          <w:rStyle w:val="Bodytext14"/>
          <w:rFonts w:asciiTheme="majorBidi" w:hAnsiTheme="majorBidi" w:cstheme="majorBidi"/>
          <w:i/>
          <w:iCs/>
          <w:color w:val="000000"/>
          <w:sz w:val="24"/>
          <w:szCs w:val="24"/>
        </w:rPr>
        <w:t>Paradigm Usul Fiqh</w:t>
      </w:r>
      <w:r w:rsidRPr="004768C0">
        <w:rPr>
          <w:rStyle w:val="Bodytext14"/>
          <w:rFonts w:asciiTheme="majorBidi" w:hAnsiTheme="majorBidi" w:cstheme="majorBidi"/>
          <w:color w:val="000000"/>
          <w:sz w:val="24"/>
          <w:szCs w:val="24"/>
        </w:rPr>
        <w:t xml:space="preserve"> </w:t>
      </w:r>
      <w:r w:rsidRPr="004768C0">
        <w:rPr>
          <w:rStyle w:val="Bodytext148pt"/>
          <w:rFonts w:asciiTheme="majorBidi" w:hAnsiTheme="majorBidi" w:cstheme="majorBidi"/>
          <w:color w:val="000000"/>
          <w:sz w:val="24"/>
          <w:szCs w:val="24"/>
        </w:rPr>
        <w:t>Kontemporer,</w:t>
      </w:r>
      <w:r w:rsidRPr="004768C0">
        <w:rPr>
          <w:rStyle w:val="Bodytext14"/>
          <w:rFonts w:asciiTheme="majorBidi" w:hAnsiTheme="majorBidi" w:cstheme="majorBidi"/>
          <w:color w:val="000000"/>
          <w:sz w:val="24"/>
          <w:szCs w:val="24"/>
        </w:rPr>
        <w:t xml:space="preserve"> ((Yogyakarta: Aruzz Press, 2002)</w:t>
      </w:r>
    </w:p>
    <w:p w:rsidR="00343B61" w:rsidRPr="004768C0" w:rsidRDefault="00343B61" w:rsidP="00343B61">
      <w:pPr>
        <w:pStyle w:val="Bodytext140"/>
        <w:shd w:val="clear" w:color="auto" w:fill="auto"/>
        <w:spacing w:before="0" w:line="276" w:lineRule="auto"/>
        <w:ind w:left="720" w:hanging="720"/>
        <w:rPr>
          <w:rStyle w:val="Bodytext14"/>
          <w:rFonts w:asciiTheme="majorBidi" w:hAnsiTheme="majorBidi" w:cstheme="majorBidi"/>
          <w:color w:val="000000"/>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Al-Asyhar, Achmad Djunaidi dan Tholib, </w:t>
      </w:r>
      <w:r w:rsidRPr="004768C0">
        <w:rPr>
          <w:rFonts w:asciiTheme="majorBidi" w:hAnsiTheme="majorBidi" w:cstheme="majorBidi"/>
          <w:i/>
          <w:iCs/>
          <w:sz w:val="24"/>
          <w:szCs w:val="24"/>
        </w:rPr>
        <w:t>Menuju Era Wakah Produktif, Sebuah Upaya Propresif Kesejahteraan Umat,</w:t>
      </w:r>
      <w:r w:rsidRPr="004768C0">
        <w:rPr>
          <w:rFonts w:asciiTheme="majorBidi" w:hAnsiTheme="majorBidi" w:cstheme="majorBidi"/>
          <w:sz w:val="24"/>
          <w:szCs w:val="24"/>
        </w:rPr>
        <w:t xml:space="preserve"> ( Jakarta: Mitra Abadi Press)</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Al-Ghozali, Muhammad </w:t>
      </w:r>
      <w:r w:rsidRPr="004768C0">
        <w:rPr>
          <w:rFonts w:asciiTheme="majorBidi" w:hAnsiTheme="majorBidi" w:cstheme="majorBidi"/>
          <w:i/>
          <w:iCs/>
          <w:sz w:val="24"/>
          <w:szCs w:val="24"/>
        </w:rPr>
        <w:t>Fiqhus Sirah</w:t>
      </w:r>
      <w:r w:rsidRPr="004768C0">
        <w:rPr>
          <w:rFonts w:asciiTheme="majorBidi" w:hAnsiTheme="majorBidi" w:cstheme="majorBidi"/>
          <w:sz w:val="24"/>
          <w:szCs w:val="24"/>
        </w:rPr>
        <w:t xml:space="preserve">, terj. Abu Laila dan Muhammad Tohir, ( Bandung: Al-Ma’arif, t.th)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Ali, Maulana Muhammad, </w:t>
      </w:r>
      <w:r w:rsidRPr="004768C0">
        <w:rPr>
          <w:rFonts w:asciiTheme="majorBidi" w:hAnsiTheme="majorBidi" w:cstheme="majorBidi"/>
          <w:i/>
          <w:iCs/>
        </w:rPr>
        <w:t xml:space="preserve">Qur’an Suci: Teks Arab Terjamah dan Tafsir </w:t>
      </w:r>
      <w:r w:rsidRPr="004768C0">
        <w:rPr>
          <w:rFonts w:asciiTheme="majorBidi" w:hAnsiTheme="majorBidi" w:cstheme="majorBidi"/>
        </w:rPr>
        <w:t>( Jakarta : Dar al-Kutub al-Islamiyah, 1993)</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Al-Maududi, Abu al- ‘Ala, </w:t>
      </w:r>
      <w:r w:rsidRPr="004768C0">
        <w:rPr>
          <w:rFonts w:asciiTheme="majorBidi" w:hAnsiTheme="majorBidi" w:cstheme="majorBidi"/>
          <w:i/>
          <w:iCs/>
          <w:sz w:val="24"/>
          <w:szCs w:val="24"/>
        </w:rPr>
        <w:t>Khilafah dan Kejaraan</w:t>
      </w:r>
      <w:r w:rsidRPr="004768C0">
        <w:rPr>
          <w:rFonts w:asciiTheme="majorBidi" w:hAnsiTheme="majorBidi" w:cstheme="majorBidi"/>
          <w:sz w:val="24"/>
          <w:szCs w:val="24"/>
        </w:rPr>
        <w:t>, ( Bandung: Mizan, 1990)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Al-Maududi, Abul Ala, </w:t>
      </w:r>
      <w:r w:rsidRPr="004768C0">
        <w:rPr>
          <w:rFonts w:asciiTheme="majorBidi" w:hAnsiTheme="majorBidi" w:cstheme="majorBidi"/>
          <w:i/>
          <w:iCs/>
          <w:sz w:val="24"/>
          <w:szCs w:val="24"/>
        </w:rPr>
        <w:t>Politik Islam, Konsepsi dan Dokumentasi</w:t>
      </w:r>
      <w:r w:rsidRPr="004768C0">
        <w:rPr>
          <w:rFonts w:asciiTheme="majorBidi" w:hAnsiTheme="majorBidi" w:cstheme="majorBidi"/>
          <w:sz w:val="24"/>
          <w:szCs w:val="24"/>
        </w:rPr>
        <w:t xml:space="preserve">, ( Surabaya: Bina Ilmu, 1990)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Pr>
          <w:rFonts w:asciiTheme="majorBidi" w:hAnsiTheme="majorBidi" w:cstheme="majorBidi"/>
        </w:rPr>
        <w:t>Al-Qaradhāwī</w:t>
      </w:r>
      <w:r w:rsidRPr="004768C0">
        <w:rPr>
          <w:rFonts w:asciiTheme="majorBidi" w:hAnsiTheme="majorBidi" w:cstheme="majorBidi"/>
        </w:rPr>
        <w:t xml:space="preserve">, Yusuf, </w:t>
      </w:r>
      <w:r w:rsidRPr="004768C0">
        <w:rPr>
          <w:rFonts w:asciiTheme="majorBidi" w:hAnsiTheme="majorBidi" w:cstheme="majorBidi"/>
          <w:i/>
          <w:iCs/>
        </w:rPr>
        <w:t>Fatwa Antara Ketelitian &amp; Kecerobohan</w:t>
      </w:r>
      <w:r w:rsidRPr="004768C0">
        <w:rPr>
          <w:rFonts w:asciiTheme="majorBidi" w:hAnsiTheme="majorBidi" w:cstheme="majorBidi"/>
        </w:rPr>
        <w:t>, (Jakarta: Gema Insani Press, 1997)</w:t>
      </w:r>
    </w:p>
    <w:p w:rsidR="00343B61"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Pr>
          <w:rFonts w:asciiTheme="majorBidi" w:hAnsiTheme="majorBidi" w:cstheme="majorBidi"/>
          <w:sz w:val="24"/>
          <w:szCs w:val="24"/>
        </w:rPr>
        <w:t>Al-</w:t>
      </w:r>
      <w:r w:rsidRPr="004768C0">
        <w:rPr>
          <w:rFonts w:asciiTheme="majorBidi" w:hAnsiTheme="majorBidi" w:cstheme="majorBidi"/>
          <w:sz w:val="24"/>
          <w:szCs w:val="24"/>
        </w:rPr>
        <w:t>Qardhowi, Yusuf</w:t>
      </w:r>
      <w:r w:rsidRPr="004768C0">
        <w:rPr>
          <w:rFonts w:asciiTheme="majorBidi" w:hAnsiTheme="majorBidi" w:cstheme="majorBidi"/>
          <w:i/>
          <w:iCs/>
          <w:sz w:val="24"/>
          <w:szCs w:val="24"/>
        </w:rPr>
        <w:t xml:space="preserve">, Ijtihad dalam syariat Islam, Beberapa Pendangan Analisi tentang ijtihad Kontemporer, terjamahan Achmad Syathori </w:t>
      </w:r>
      <w:r w:rsidRPr="004768C0">
        <w:rPr>
          <w:rFonts w:asciiTheme="majorBidi" w:hAnsiTheme="majorBidi" w:cstheme="majorBidi"/>
          <w:sz w:val="24"/>
          <w:szCs w:val="24"/>
        </w:rPr>
        <w:t>( Jakarta: Bulan Bintang, 1987)</w:t>
      </w:r>
    </w:p>
    <w:p w:rsidR="00343B61" w:rsidRPr="00B96D13"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D72D48">
        <w:rPr>
          <w:rFonts w:asciiTheme="majorBidi" w:hAnsiTheme="majorBidi" w:cstheme="majorBidi"/>
        </w:rPr>
        <w:t xml:space="preserve">Amin, Ma’ruf, dkk, </w:t>
      </w:r>
      <w:r w:rsidRPr="00D72D48">
        <w:rPr>
          <w:rFonts w:asciiTheme="majorBidi" w:hAnsiTheme="majorBidi" w:cstheme="majorBidi"/>
          <w:i/>
          <w:iCs/>
        </w:rPr>
        <w:t>Himpunan Fatwa MUI Sejak 1975</w:t>
      </w:r>
      <w:r w:rsidRPr="00D72D48">
        <w:rPr>
          <w:rFonts w:asciiTheme="majorBidi" w:hAnsiTheme="majorBidi" w:cstheme="majorBidi"/>
        </w:rPr>
        <w:t>, ( Jakarta: Erlangga, 2011)</w:t>
      </w:r>
    </w:p>
    <w:p w:rsidR="00343B61" w:rsidRPr="00D72D48"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Amin, Ma’ruf, </w:t>
      </w:r>
      <w:r w:rsidRPr="004768C0">
        <w:rPr>
          <w:rFonts w:asciiTheme="majorBidi" w:hAnsiTheme="majorBidi" w:cstheme="majorBidi"/>
          <w:i/>
          <w:iCs/>
          <w:sz w:val="24"/>
          <w:szCs w:val="24"/>
        </w:rPr>
        <w:t>Himpunan Fatwa Majelis Ulama Indonesia</w:t>
      </w:r>
      <w:r w:rsidRPr="004768C0">
        <w:rPr>
          <w:rFonts w:asciiTheme="majorBidi" w:hAnsiTheme="majorBidi" w:cstheme="majorBidi"/>
          <w:sz w:val="24"/>
          <w:szCs w:val="24"/>
        </w:rPr>
        <w:t>,( Jakarta: Direktorat Jenderal Bimbingan Masyaratkat Islam dan Penyelenggaraan Haji Depag RI, 2003)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Amin, Ma’ruf, </w:t>
      </w:r>
      <w:r w:rsidRPr="004768C0">
        <w:rPr>
          <w:rFonts w:asciiTheme="majorBidi" w:hAnsiTheme="majorBidi" w:cstheme="majorBidi"/>
          <w:i/>
          <w:iCs/>
          <w:sz w:val="24"/>
          <w:szCs w:val="24"/>
        </w:rPr>
        <w:t>Pengantar Komisi Fatwa dalam</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Fatwa Munas VII  Majelis Ulama Indonesia</w:t>
      </w:r>
      <w:r w:rsidRPr="004768C0">
        <w:rPr>
          <w:rFonts w:asciiTheme="majorBidi" w:hAnsiTheme="majorBidi" w:cstheme="majorBidi"/>
          <w:sz w:val="24"/>
          <w:szCs w:val="24"/>
        </w:rPr>
        <w:t>, ( Jakarta: Majelis Ulama Indonesia,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Amin, Ma'ruf (et. al), </w:t>
      </w:r>
      <w:r w:rsidRPr="004768C0">
        <w:rPr>
          <w:rFonts w:asciiTheme="majorBidi" w:hAnsiTheme="majorBidi" w:cstheme="majorBidi"/>
          <w:i/>
          <w:iCs/>
        </w:rPr>
        <w:t>Pedoman Fatwa Produk Halal</w:t>
      </w:r>
      <w:r w:rsidRPr="004768C0">
        <w:rPr>
          <w:rFonts w:asciiTheme="majorBidi" w:hAnsiTheme="majorBidi" w:cstheme="majorBidi"/>
        </w:rPr>
        <w:t>, (Jakarta: Proyek Pembinaan Pangan Halal Ditjen Bimas Islam dan Penyelenggaraan Haji Departemen Agama RI, 2003)</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Anderson, J.N.D., </w:t>
      </w:r>
      <w:r w:rsidRPr="004768C0">
        <w:rPr>
          <w:rFonts w:asciiTheme="majorBidi" w:hAnsiTheme="majorBidi" w:cstheme="majorBidi"/>
          <w:i/>
          <w:iCs/>
          <w:sz w:val="24"/>
          <w:szCs w:val="24"/>
        </w:rPr>
        <w:t>Islamic Law in</w:t>
      </w:r>
      <w:r>
        <w:rPr>
          <w:rFonts w:asciiTheme="majorBidi" w:hAnsiTheme="majorBidi" w:cstheme="majorBidi"/>
          <w:i/>
          <w:iCs/>
          <w:sz w:val="24"/>
          <w:szCs w:val="24"/>
        </w:rPr>
        <w:t xml:space="preserve"> the</w:t>
      </w:r>
      <w:r w:rsidRPr="004768C0">
        <w:rPr>
          <w:rFonts w:asciiTheme="majorBidi" w:hAnsiTheme="majorBidi" w:cstheme="majorBidi"/>
          <w:i/>
          <w:iCs/>
          <w:sz w:val="24"/>
          <w:szCs w:val="24"/>
        </w:rPr>
        <w:t xml:space="preserve"> Modern World</w:t>
      </w:r>
      <w:r w:rsidRPr="004768C0">
        <w:rPr>
          <w:rFonts w:asciiTheme="majorBidi" w:hAnsiTheme="majorBidi" w:cstheme="majorBidi"/>
          <w:sz w:val="24"/>
          <w:szCs w:val="24"/>
        </w:rPr>
        <w:t>, alih bahasa oleh Machnun Husain dengan judul : Hukum Islam di Dunia Modern (Get. I; Surabaya : Amar Press, 1991)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An-Na'im, Abdullah Ahmed, </w:t>
      </w:r>
      <w:r w:rsidRPr="004768C0">
        <w:rPr>
          <w:rFonts w:asciiTheme="majorBidi" w:hAnsiTheme="majorBidi" w:cstheme="majorBidi"/>
          <w:i/>
        </w:rPr>
        <w:t>Dekonstruksi Syariah</w:t>
      </w:r>
      <w:r w:rsidRPr="004768C0">
        <w:rPr>
          <w:rFonts w:asciiTheme="majorBidi" w:hAnsiTheme="majorBidi" w:cstheme="majorBidi"/>
        </w:rPr>
        <w:t>, pentrj. Ahmad Suaedy dan Amiruddin Arrani (Yogvakarta : LKIS, 1994)</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Arifin, Busthanul, </w:t>
      </w:r>
      <w:r w:rsidRPr="004768C0">
        <w:rPr>
          <w:rFonts w:asciiTheme="majorBidi" w:hAnsiTheme="majorBidi" w:cstheme="majorBidi"/>
          <w:i/>
          <w:iCs/>
          <w:sz w:val="24"/>
          <w:szCs w:val="24"/>
        </w:rPr>
        <w:t>Pelembagaan Hukum Islam di Indonesia,</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 xml:space="preserve">Akar Sejarah, Hambatan dan Prospeknya, </w:t>
      </w:r>
      <w:r w:rsidRPr="004768C0">
        <w:rPr>
          <w:rFonts w:asciiTheme="majorBidi" w:hAnsiTheme="majorBidi" w:cstheme="majorBidi"/>
          <w:sz w:val="24"/>
          <w:szCs w:val="24"/>
        </w:rPr>
        <w:t>( Jakarta: Rajawali Press, 1996)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rPr>
          <w:rFonts w:asciiTheme="majorBidi" w:hAnsiTheme="majorBidi" w:cstheme="majorBidi"/>
        </w:rPr>
      </w:pPr>
      <w:r w:rsidRPr="004768C0">
        <w:rPr>
          <w:rFonts w:asciiTheme="majorBidi" w:hAnsiTheme="majorBidi" w:cstheme="majorBidi"/>
        </w:rPr>
        <w:t xml:space="preserve">Arikunto, Suharsimi, </w:t>
      </w:r>
      <w:r w:rsidRPr="004768C0">
        <w:rPr>
          <w:rFonts w:asciiTheme="majorBidi" w:hAnsiTheme="majorBidi" w:cstheme="majorBidi"/>
          <w:i/>
          <w:iCs/>
        </w:rPr>
        <w:t>Prosedur Penelitian Suatu Pendekatan Praktek</w:t>
      </w:r>
      <w:r w:rsidRPr="004768C0">
        <w:rPr>
          <w:rFonts w:asciiTheme="majorBidi" w:hAnsiTheme="majorBidi" w:cstheme="majorBidi"/>
        </w:rPr>
        <w:t xml:space="preserve"> ( Jakarta: Rineka Cipta, 1993)</w:t>
      </w:r>
    </w:p>
    <w:p w:rsidR="00343B61" w:rsidRPr="004768C0" w:rsidRDefault="00343B61" w:rsidP="00343B61">
      <w:pPr>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Ash-Shiddieqy, Hasbi, </w:t>
      </w:r>
      <w:r w:rsidRPr="004768C0">
        <w:rPr>
          <w:rFonts w:asciiTheme="majorBidi" w:hAnsiTheme="majorBidi" w:cstheme="majorBidi"/>
          <w:i/>
          <w:iCs/>
          <w:sz w:val="24"/>
          <w:szCs w:val="24"/>
        </w:rPr>
        <w:t>Beberapa Permasalahan Hukum; Para Ulama dan Menetapkan Hukum</w:t>
      </w:r>
      <w:r w:rsidRPr="004768C0">
        <w:rPr>
          <w:rFonts w:asciiTheme="majorBidi" w:hAnsiTheme="majorBidi" w:cstheme="majorBidi"/>
          <w:sz w:val="24"/>
          <w:szCs w:val="24"/>
        </w:rPr>
        <w:t>, ( Yogyakarta: IAIN Sunan Kalijaga, t.th)</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color w:val="000000"/>
          <w:sz w:val="24"/>
          <w:szCs w:val="24"/>
        </w:rPr>
      </w:pPr>
      <w:r w:rsidRPr="004768C0">
        <w:rPr>
          <w:rFonts w:asciiTheme="majorBidi" w:hAnsiTheme="majorBidi" w:cstheme="majorBidi"/>
          <w:color w:val="000000"/>
          <w:sz w:val="24"/>
          <w:szCs w:val="24"/>
        </w:rPr>
        <w:t xml:space="preserve">Ash-Shiddieqy, Hasbi, </w:t>
      </w:r>
      <w:r w:rsidRPr="004768C0">
        <w:rPr>
          <w:rFonts w:asciiTheme="majorBidi" w:hAnsiTheme="majorBidi" w:cstheme="majorBidi"/>
          <w:i/>
          <w:iCs/>
          <w:color w:val="000000"/>
          <w:sz w:val="24"/>
          <w:szCs w:val="24"/>
        </w:rPr>
        <w:t>Syari’at Islam</w:t>
      </w:r>
      <w:r w:rsidRPr="004768C0">
        <w:rPr>
          <w:rFonts w:asciiTheme="majorBidi" w:hAnsiTheme="majorBidi" w:cstheme="majorBidi"/>
          <w:i/>
          <w:iCs/>
          <w:sz w:val="24"/>
          <w:szCs w:val="24"/>
        </w:rPr>
        <w:t xml:space="preserve"> mendjawab tantangan zaman</w:t>
      </w:r>
      <w:r w:rsidRPr="004768C0">
        <w:rPr>
          <w:rFonts w:asciiTheme="majorBidi" w:hAnsiTheme="majorBidi" w:cstheme="majorBidi"/>
          <w:sz w:val="24"/>
          <w:szCs w:val="24"/>
        </w:rPr>
        <w:t>, ( Jakarta: Bulan Bintang, 1966</w:t>
      </w:r>
      <w:r w:rsidRPr="004768C0">
        <w:rPr>
          <w:rFonts w:asciiTheme="majorBidi" w:hAnsiTheme="majorBidi" w:cstheme="majorBidi"/>
          <w:color w:val="000000"/>
          <w:sz w:val="24"/>
          <w:szCs w:val="24"/>
        </w:rPr>
        <w:t xml:space="preserve">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Style w:val="Bodytext4"/>
          <w:rFonts w:asciiTheme="majorBidi" w:hAnsiTheme="majorBidi" w:cstheme="majorBidi"/>
          <w:color w:val="000000"/>
          <w:sz w:val="24"/>
          <w:szCs w:val="24"/>
        </w:rPr>
      </w:pPr>
      <w:r w:rsidRPr="004768C0">
        <w:rPr>
          <w:rStyle w:val="Bodytext4"/>
          <w:rFonts w:asciiTheme="majorBidi" w:hAnsiTheme="majorBidi" w:cstheme="majorBidi"/>
          <w:color w:val="000000"/>
          <w:sz w:val="24"/>
          <w:szCs w:val="24"/>
        </w:rPr>
        <w:t xml:space="preserve">Ash-Shiddieqy, T.M. Hasbi, </w:t>
      </w:r>
      <w:r w:rsidRPr="004768C0">
        <w:rPr>
          <w:rStyle w:val="Bodytext4Italic"/>
          <w:rFonts w:asciiTheme="majorBidi" w:hAnsiTheme="majorBidi" w:cstheme="majorBidi"/>
          <w:color w:val="000000"/>
          <w:sz w:val="24"/>
          <w:szCs w:val="24"/>
        </w:rPr>
        <w:t>Dinamika dan Elastisitas Hukum Islam,</w:t>
      </w:r>
      <w:r w:rsidRPr="004768C0">
        <w:rPr>
          <w:rStyle w:val="Bodytext4"/>
          <w:rFonts w:asciiTheme="majorBidi" w:hAnsiTheme="majorBidi" w:cstheme="majorBidi"/>
          <w:color w:val="000000"/>
          <w:sz w:val="24"/>
          <w:szCs w:val="24"/>
        </w:rPr>
        <w:t xml:space="preserve"> (Jakarta: Tintamas, 1975)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Asni, </w:t>
      </w:r>
      <w:r w:rsidRPr="004768C0">
        <w:rPr>
          <w:rFonts w:asciiTheme="majorBidi" w:hAnsiTheme="majorBidi" w:cstheme="majorBidi"/>
          <w:i/>
          <w:iCs/>
          <w:sz w:val="24"/>
          <w:szCs w:val="24"/>
        </w:rPr>
        <w:t>Pembaruan Hukum Islam di Indoenesia, Telaah Epetemologis Kedudukan Perempuan dalam Hukum Keluarga</w:t>
      </w:r>
      <w:r w:rsidRPr="004768C0">
        <w:rPr>
          <w:rFonts w:asciiTheme="majorBidi" w:hAnsiTheme="majorBidi" w:cstheme="majorBidi"/>
          <w:sz w:val="24"/>
          <w:szCs w:val="24"/>
        </w:rPr>
        <w:t>, ( Jakarta: Kementerian Agama RI Diroktorat Pendidikan Islam, 2012)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Ayub, Muhammad, </w:t>
      </w:r>
      <w:r w:rsidRPr="004768C0">
        <w:rPr>
          <w:rFonts w:asciiTheme="majorBidi" w:hAnsiTheme="majorBidi" w:cstheme="majorBidi"/>
          <w:i/>
          <w:iCs/>
          <w:sz w:val="24"/>
          <w:szCs w:val="24"/>
        </w:rPr>
        <w:t xml:space="preserve">Understanding Islamic Finance, A – Z Keuangan Syariah, </w:t>
      </w:r>
      <w:r>
        <w:rPr>
          <w:rFonts w:asciiTheme="majorBidi" w:hAnsiTheme="majorBidi" w:cstheme="majorBidi"/>
          <w:sz w:val="24"/>
          <w:szCs w:val="24"/>
        </w:rPr>
        <w:t>penerja</w:t>
      </w:r>
      <w:r w:rsidRPr="004768C0">
        <w:rPr>
          <w:rFonts w:asciiTheme="majorBidi" w:hAnsiTheme="majorBidi" w:cstheme="majorBidi"/>
          <w:sz w:val="24"/>
          <w:szCs w:val="24"/>
        </w:rPr>
        <w:t>mah Aditiya Wisnu Abadi, (Jakarta: Kompas Gramedi</w:t>
      </w:r>
      <w:r>
        <w:rPr>
          <w:rFonts w:asciiTheme="majorBidi" w:hAnsiTheme="majorBidi" w:cstheme="majorBidi"/>
          <w:sz w:val="24"/>
          <w:szCs w:val="24"/>
        </w:rPr>
        <w:t>a, 2009)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Aziz, Abdul, (ed.), G</w:t>
      </w:r>
      <w:r w:rsidRPr="004768C0">
        <w:rPr>
          <w:rFonts w:asciiTheme="majorBidi" w:hAnsiTheme="majorBidi" w:cstheme="majorBidi"/>
          <w:i/>
          <w:iCs/>
          <w:sz w:val="24"/>
          <w:szCs w:val="24"/>
        </w:rPr>
        <w:t xml:space="preserve">erakan Kontemporer Islam di Indonesia </w:t>
      </w:r>
      <w:r w:rsidRPr="004768C0">
        <w:rPr>
          <w:rFonts w:asciiTheme="majorBidi" w:hAnsiTheme="majorBidi" w:cstheme="majorBidi"/>
          <w:sz w:val="24"/>
          <w:szCs w:val="24"/>
        </w:rPr>
        <w:t xml:space="preserve">(Jakarta: Pustaka Firdaus, 1989)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Azra, Azymuardi, </w:t>
      </w:r>
      <w:r w:rsidRPr="004768C0">
        <w:rPr>
          <w:rFonts w:asciiTheme="majorBidi" w:hAnsiTheme="majorBidi" w:cstheme="majorBidi"/>
          <w:i/>
          <w:iCs/>
          <w:sz w:val="24"/>
          <w:szCs w:val="24"/>
        </w:rPr>
        <w:t>Akar-akar Historis Pembaruan Islam di Indonesia: Neo-Sufisme Abad ke 11-12,</w:t>
      </w:r>
      <w:r w:rsidRPr="004768C0">
        <w:rPr>
          <w:rFonts w:asciiTheme="majorBidi" w:hAnsiTheme="majorBidi" w:cstheme="majorBidi"/>
          <w:sz w:val="24"/>
          <w:szCs w:val="24"/>
        </w:rPr>
        <w:t xml:space="preserve"> (Jakarta: Paramadina, tt.h)</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pacing w:val="6"/>
          <w:sz w:val="24"/>
          <w:szCs w:val="24"/>
        </w:rPr>
      </w:pPr>
      <w:r w:rsidRPr="004768C0">
        <w:rPr>
          <w:rFonts w:asciiTheme="majorBidi" w:hAnsiTheme="majorBidi" w:cstheme="majorBidi"/>
          <w:spacing w:val="6"/>
          <w:sz w:val="24"/>
          <w:szCs w:val="24"/>
        </w:rPr>
        <w:lastRenderedPageBreak/>
        <w:t xml:space="preserve">Barlini, Yeni Salma, </w:t>
      </w:r>
      <w:r w:rsidRPr="004768C0">
        <w:rPr>
          <w:rFonts w:asciiTheme="majorBidi" w:hAnsiTheme="majorBidi" w:cstheme="majorBidi"/>
          <w:i/>
          <w:iCs/>
          <w:spacing w:val="6"/>
          <w:sz w:val="24"/>
          <w:szCs w:val="24"/>
        </w:rPr>
        <w:t>Kedudukan Fatwa Dewan Syari’ah Nasional dalam Sistim Hukum Nasional di Indonesia</w:t>
      </w:r>
      <w:r w:rsidRPr="004768C0">
        <w:rPr>
          <w:rFonts w:asciiTheme="majorBidi" w:hAnsiTheme="majorBidi" w:cstheme="majorBidi"/>
          <w:spacing w:val="6"/>
          <w:sz w:val="24"/>
          <w:szCs w:val="24"/>
        </w:rPr>
        <w:t>, (Jakarta: Disertasi Doktor Fakultas Hukum Universtias Indonesia,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Basyir, Ahmad Azhar</w:t>
      </w:r>
      <w:r w:rsidRPr="004768C0">
        <w:rPr>
          <w:rFonts w:asciiTheme="majorBidi" w:hAnsiTheme="majorBidi" w:cstheme="majorBidi"/>
          <w:i/>
          <w:iCs/>
          <w:sz w:val="24"/>
          <w:szCs w:val="24"/>
        </w:rPr>
        <w:t>, Hukum Perkawinan Islam</w:t>
      </w:r>
      <w:r w:rsidRPr="004768C0">
        <w:rPr>
          <w:rFonts w:asciiTheme="majorBidi" w:hAnsiTheme="majorBidi" w:cstheme="majorBidi"/>
          <w:sz w:val="24"/>
          <w:szCs w:val="24"/>
        </w:rPr>
        <w:t>, ( Yogyakarta: Fakultas Hukum UII, 1977)</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Beni Ahmad Saebani, </w:t>
      </w:r>
      <w:r w:rsidRPr="004768C0">
        <w:rPr>
          <w:rFonts w:asciiTheme="majorBidi" w:hAnsiTheme="majorBidi" w:cstheme="majorBidi"/>
          <w:i/>
          <w:iCs/>
          <w:sz w:val="24"/>
          <w:szCs w:val="24"/>
        </w:rPr>
        <w:t>Fiqh Siyasah, Termonologi dan Lintas sejarah Poliyik Islam Sejak Muhammad Saw hingga khulafa Ar.Rasyidun</w:t>
      </w:r>
      <w:r w:rsidRPr="004768C0">
        <w:rPr>
          <w:rFonts w:asciiTheme="majorBidi" w:hAnsiTheme="majorBidi" w:cstheme="majorBidi"/>
          <w:sz w:val="24"/>
          <w:szCs w:val="24"/>
        </w:rPr>
        <w:t>, ( Bandung: Pustaka Setia,2015)</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Djazuli</w:t>
      </w:r>
      <w:r w:rsidRPr="004768C0">
        <w:rPr>
          <w:rFonts w:asciiTheme="majorBidi" w:hAnsiTheme="majorBidi" w:cstheme="majorBidi"/>
          <w:i/>
          <w:iCs/>
          <w:sz w:val="24"/>
          <w:szCs w:val="24"/>
        </w:rPr>
        <w:t>,</w:t>
      </w:r>
      <w:r>
        <w:rPr>
          <w:rFonts w:asciiTheme="majorBidi" w:hAnsiTheme="majorBidi" w:cstheme="majorBidi"/>
          <w:sz w:val="24"/>
          <w:szCs w:val="24"/>
        </w:rPr>
        <w:t>A,</w:t>
      </w:r>
      <w:r w:rsidRPr="004768C0">
        <w:rPr>
          <w:rFonts w:asciiTheme="majorBidi" w:hAnsiTheme="majorBidi" w:cstheme="majorBidi"/>
          <w:i/>
          <w:iCs/>
          <w:sz w:val="24"/>
          <w:szCs w:val="24"/>
        </w:rPr>
        <w:t xml:space="preserve"> Fiqh Siyasah, Implementasi Kemaslatan Umat dalam Ramru-Rambu Syari’ah</w:t>
      </w:r>
      <w:r w:rsidRPr="004768C0">
        <w:rPr>
          <w:rFonts w:asciiTheme="majorBidi" w:hAnsiTheme="majorBidi" w:cstheme="majorBidi"/>
          <w:sz w:val="24"/>
          <w:szCs w:val="24"/>
        </w:rPr>
        <w:t>, ( Jakarta: Prenada Media Group, 2013)</w:t>
      </w:r>
    </w:p>
    <w:p w:rsidR="00343B61" w:rsidRPr="004768C0" w:rsidRDefault="00343B61" w:rsidP="00343B61">
      <w:pPr>
        <w:pStyle w:val="FootnoteText"/>
        <w:spacing w:line="276" w:lineRule="auto"/>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Daud Ali, Mohammad, </w:t>
      </w:r>
      <w:r w:rsidRPr="004768C0">
        <w:rPr>
          <w:rFonts w:asciiTheme="majorBidi" w:hAnsiTheme="majorBidi" w:cstheme="majorBidi"/>
          <w:i/>
          <w:iCs/>
        </w:rPr>
        <w:t xml:space="preserve">Hukum Islam dan Peradilan Agama, </w:t>
      </w:r>
      <w:r w:rsidRPr="004768C0">
        <w:rPr>
          <w:rFonts w:asciiTheme="majorBidi" w:hAnsiTheme="majorBidi" w:cstheme="majorBidi"/>
        </w:rPr>
        <w:t>(Jakarta : Raja Grafindo Persada, 2002)</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Depag RI, </w:t>
      </w:r>
      <w:r w:rsidRPr="004768C0">
        <w:rPr>
          <w:rFonts w:asciiTheme="majorBidi" w:hAnsiTheme="majorBidi" w:cstheme="majorBidi"/>
          <w:i/>
          <w:iCs/>
          <w:sz w:val="24"/>
          <w:szCs w:val="24"/>
        </w:rPr>
        <w:t>Al-Quran dan Terjamahannya</w:t>
      </w:r>
      <w:r w:rsidRPr="004768C0">
        <w:rPr>
          <w:rFonts w:asciiTheme="majorBidi" w:hAnsiTheme="majorBidi" w:cstheme="majorBidi"/>
          <w:sz w:val="24"/>
          <w:szCs w:val="24"/>
        </w:rPr>
        <w:t xml:space="preserve">, (Medinah al-Munawwarah: </w:t>
      </w:r>
      <w:r>
        <w:rPr>
          <w:rFonts w:asciiTheme="majorBidi" w:hAnsiTheme="majorBidi" w:cstheme="majorBidi"/>
          <w:sz w:val="24"/>
          <w:szCs w:val="24"/>
        </w:rPr>
        <w:t xml:space="preserve">Mujamma‘  </w:t>
      </w:r>
      <w:r w:rsidRPr="004768C0">
        <w:rPr>
          <w:rFonts w:asciiTheme="majorBidi" w:hAnsiTheme="majorBidi" w:cstheme="majorBidi"/>
          <w:sz w:val="24"/>
          <w:szCs w:val="24"/>
        </w:rPr>
        <w:t xml:space="preserve"> al-Malik Fahd Li </w:t>
      </w:r>
      <w:r>
        <w:rPr>
          <w:rFonts w:asciiTheme="majorBidi" w:hAnsiTheme="majorBidi" w:cstheme="majorBidi"/>
          <w:sz w:val="24"/>
          <w:szCs w:val="24"/>
        </w:rPr>
        <w:t xml:space="preserve">al-Thiba‘ah </w:t>
      </w:r>
      <w:r w:rsidRPr="004768C0">
        <w:rPr>
          <w:rFonts w:asciiTheme="majorBidi" w:hAnsiTheme="majorBidi" w:cstheme="majorBidi"/>
          <w:sz w:val="24"/>
          <w:szCs w:val="24"/>
        </w:rPr>
        <w:t xml:space="preserve"> Mush-haf al-Syarif, 1418)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Departemen Penerangan RI, </w:t>
      </w:r>
      <w:r w:rsidRPr="004768C0">
        <w:rPr>
          <w:rFonts w:asciiTheme="majorBidi" w:hAnsiTheme="majorBidi" w:cstheme="majorBidi"/>
          <w:i/>
          <w:sz w:val="24"/>
          <w:szCs w:val="24"/>
        </w:rPr>
        <w:t>10 Tahun Majelis Ulama Indonesia</w:t>
      </w:r>
      <w:r w:rsidRPr="004768C0">
        <w:rPr>
          <w:rFonts w:asciiTheme="majorBidi" w:hAnsiTheme="majorBidi" w:cstheme="majorBidi"/>
          <w:sz w:val="24"/>
          <w:szCs w:val="24"/>
        </w:rPr>
        <w:t>, (Jakarta : Sekretaris Majelis Indoneisa, 1985)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Djamil, Abdul, </w:t>
      </w:r>
      <w:r w:rsidRPr="004768C0">
        <w:rPr>
          <w:rFonts w:asciiTheme="majorBidi" w:hAnsiTheme="majorBidi" w:cstheme="majorBidi"/>
          <w:i/>
          <w:iCs/>
          <w:sz w:val="24"/>
          <w:szCs w:val="24"/>
        </w:rPr>
        <w:t>Fatwa-Fatwa Majelis Ulama Indonesia (MUI) dalam Perspektif Hukum dan Perundang-Undangan</w:t>
      </w:r>
      <w:r w:rsidRPr="004768C0">
        <w:rPr>
          <w:rFonts w:asciiTheme="majorBidi" w:hAnsiTheme="majorBidi" w:cstheme="majorBidi"/>
          <w:sz w:val="24"/>
          <w:szCs w:val="24"/>
        </w:rPr>
        <w:t xml:space="preserve">, (Jakarta: Puslitbang Lektur dan Khazanah Keagamaan Kementerian Agama, 2012)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Djamil, Fathurrahman, </w:t>
      </w:r>
      <w:r w:rsidRPr="004768C0">
        <w:rPr>
          <w:rFonts w:asciiTheme="majorBidi" w:hAnsiTheme="majorBidi" w:cstheme="majorBidi"/>
          <w:i/>
          <w:iCs/>
          <w:sz w:val="24"/>
          <w:szCs w:val="24"/>
        </w:rPr>
        <w:t>Ijtihad Muhammadiyah Dalam Masalah-Masalah Kontemporer</w:t>
      </w:r>
      <w:r w:rsidRPr="004768C0">
        <w:rPr>
          <w:rFonts w:asciiTheme="majorBidi" w:hAnsiTheme="majorBidi" w:cstheme="majorBidi"/>
          <w:sz w:val="24"/>
          <w:szCs w:val="24"/>
        </w:rPr>
        <w:t>, (Jakarta, PPS,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Djamil, Fathurrahman, </w:t>
      </w:r>
      <w:r w:rsidRPr="004768C0">
        <w:rPr>
          <w:rFonts w:asciiTheme="majorBidi" w:hAnsiTheme="majorBidi" w:cstheme="majorBidi"/>
          <w:i/>
          <w:iCs/>
          <w:sz w:val="24"/>
          <w:szCs w:val="24"/>
        </w:rPr>
        <w:t>Metode Ijtihad Majelis Tarjih Muhammadiyah</w:t>
      </w:r>
      <w:r w:rsidRPr="004768C0">
        <w:rPr>
          <w:rFonts w:asciiTheme="majorBidi" w:hAnsiTheme="majorBidi" w:cstheme="majorBidi"/>
          <w:sz w:val="24"/>
          <w:szCs w:val="24"/>
        </w:rPr>
        <w:t>, (Jakarta: Logos Publishing House, 1995)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Djunaidi, Achmad dan Tholib Al-ASyhar, </w:t>
      </w:r>
      <w:r w:rsidRPr="004768C0">
        <w:rPr>
          <w:rFonts w:asciiTheme="majorBidi" w:hAnsiTheme="majorBidi" w:cstheme="majorBidi"/>
          <w:i/>
          <w:iCs/>
          <w:sz w:val="24"/>
          <w:szCs w:val="24"/>
        </w:rPr>
        <w:t>Menuju Era Wakah Produktif, Sebuah Upaya Propresif Kesejahteraan Umat,</w:t>
      </w:r>
      <w:r w:rsidRPr="004768C0">
        <w:rPr>
          <w:rFonts w:asciiTheme="majorBidi" w:hAnsiTheme="majorBidi" w:cstheme="majorBidi"/>
          <w:sz w:val="24"/>
          <w:szCs w:val="24"/>
        </w:rPr>
        <w:t xml:space="preserve"> ( Jakarta: Mitra Abadi Press)</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E. Utrecht dan Moh Saleh Djindang, </w:t>
      </w:r>
      <w:r w:rsidRPr="004768C0">
        <w:rPr>
          <w:rFonts w:asciiTheme="majorBidi" w:hAnsiTheme="majorBidi" w:cstheme="majorBidi"/>
          <w:i/>
          <w:iCs/>
          <w:sz w:val="24"/>
          <w:szCs w:val="24"/>
        </w:rPr>
        <w:t>Pengantar dalam Hukum Indonesia</w:t>
      </w:r>
      <w:r w:rsidRPr="004768C0">
        <w:rPr>
          <w:rFonts w:asciiTheme="majorBidi" w:hAnsiTheme="majorBidi" w:cstheme="majorBidi"/>
          <w:sz w:val="24"/>
          <w:szCs w:val="24"/>
        </w:rPr>
        <w:t>, ( Jakarta: Sinar Harapan, 1989)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El Fadl, Khlaed M. Abou , </w:t>
      </w:r>
      <w:r w:rsidRPr="004768C0">
        <w:rPr>
          <w:rFonts w:asciiTheme="majorBidi" w:hAnsiTheme="majorBidi" w:cstheme="majorBidi"/>
          <w:i/>
          <w:iCs/>
          <w:sz w:val="24"/>
          <w:szCs w:val="24"/>
        </w:rPr>
        <w:t>Atas Nama Tuhan dari Fikih Otoriter ke Fikih Otoritatif</w:t>
      </w:r>
      <w:r w:rsidRPr="004768C0">
        <w:rPr>
          <w:rFonts w:asciiTheme="majorBidi" w:hAnsiTheme="majorBidi" w:cstheme="majorBidi"/>
          <w:sz w:val="24"/>
          <w:szCs w:val="24"/>
        </w:rPr>
        <w:t xml:space="preserve"> (Jakarta: Serambi, 2003)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Federspiel, Howard M,  </w:t>
      </w:r>
      <w:r w:rsidRPr="004768C0">
        <w:rPr>
          <w:rFonts w:asciiTheme="majorBidi" w:hAnsiTheme="majorBidi" w:cstheme="majorBidi"/>
          <w:i/>
          <w:iCs/>
          <w:sz w:val="24"/>
          <w:szCs w:val="24"/>
        </w:rPr>
        <w:t>Persatuan Islam: Pembaharuan Islam Indonesia Abad XX</w:t>
      </w:r>
      <w:r w:rsidRPr="004768C0">
        <w:rPr>
          <w:rFonts w:asciiTheme="majorBidi" w:hAnsiTheme="majorBidi" w:cstheme="majorBidi"/>
          <w:sz w:val="24"/>
          <w:szCs w:val="24"/>
        </w:rPr>
        <w:t>, terj. Yudian W. Asmin dan Affandi Mukhtar (Yogyakarta: Gadjah Mada University Press, 1996)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Fuady, Munir, </w:t>
      </w:r>
      <w:r w:rsidRPr="004768C0">
        <w:rPr>
          <w:rFonts w:asciiTheme="majorBidi" w:hAnsiTheme="majorBidi" w:cstheme="majorBidi"/>
          <w:i/>
          <w:iCs/>
          <w:sz w:val="24"/>
          <w:szCs w:val="24"/>
        </w:rPr>
        <w:t>Perbandingan Ilmu Hukum</w:t>
      </w:r>
      <w:r w:rsidRPr="004768C0">
        <w:rPr>
          <w:rFonts w:asciiTheme="majorBidi" w:hAnsiTheme="majorBidi" w:cstheme="majorBidi"/>
          <w:sz w:val="24"/>
          <w:szCs w:val="24"/>
        </w:rPr>
        <w:t>, ( Bandung: Refika Aditama, 2007)</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FZ, Amak, </w:t>
      </w:r>
      <w:r w:rsidRPr="004768C0">
        <w:rPr>
          <w:rFonts w:asciiTheme="majorBidi" w:hAnsiTheme="majorBidi" w:cstheme="majorBidi"/>
          <w:i/>
          <w:iCs/>
          <w:sz w:val="24"/>
          <w:szCs w:val="24"/>
        </w:rPr>
        <w:t>Proses Pembentukan UU Parkawinan</w:t>
      </w:r>
      <w:r w:rsidRPr="004768C0">
        <w:rPr>
          <w:rFonts w:asciiTheme="majorBidi" w:hAnsiTheme="majorBidi" w:cstheme="majorBidi"/>
          <w:sz w:val="24"/>
          <w:szCs w:val="24"/>
        </w:rPr>
        <w:t>, ( Bandung: Bulan Bintang)</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Default"/>
        <w:spacing w:line="276" w:lineRule="auto"/>
        <w:ind w:left="720" w:hanging="720"/>
        <w:jc w:val="both"/>
        <w:rPr>
          <w:rFonts w:asciiTheme="majorBidi" w:hAnsiTheme="majorBidi" w:cstheme="majorBidi"/>
        </w:rPr>
      </w:pPr>
      <w:r w:rsidRPr="004768C0">
        <w:rPr>
          <w:rFonts w:asciiTheme="majorBidi" w:hAnsiTheme="majorBidi" w:cstheme="majorBidi"/>
        </w:rPr>
        <w:t xml:space="preserve">Gayo, Ahyar A, </w:t>
      </w:r>
      <w:r w:rsidRPr="004768C0">
        <w:rPr>
          <w:rFonts w:asciiTheme="majorBidi" w:hAnsiTheme="majorBidi" w:cstheme="majorBidi"/>
          <w:i/>
          <w:iCs/>
        </w:rPr>
        <w:t>Kedudukan Fatwa MUI Dalam Upaya Mendorong Pelaksanaan Ekonomi Syariah</w:t>
      </w:r>
      <w:r w:rsidRPr="004768C0">
        <w:rPr>
          <w:rFonts w:asciiTheme="majorBidi" w:hAnsiTheme="majorBidi" w:cstheme="majorBidi"/>
        </w:rPr>
        <w:t>,  (Laporan Akhir Penelitian Hukum, Badan Pembinaan Hukum Nasional Kementerian Hukum Dan HAM RI, Tahun 2011)</w:t>
      </w:r>
    </w:p>
    <w:p w:rsidR="00343B61" w:rsidRPr="004768C0" w:rsidRDefault="00343B61" w:rsidP="00343B61">
      <w:pPr>
        <w:pStyle w:val="Default"/>
        <w:spacing w:line="276" w:lineRule="auto"/>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Ghazaly, Abd. Rahman, </w:t>
      </w:r>
      <w:r w:rsidRPr="004768C0">
        <w:rPr>
          <w:rFonts w:asciiTheme="majorBidi" w:hAnsiTheme="majorBidi" w:cstheme="majorBidi"/>
          <w:i/>
          <w:iCs/>
          <w:sz w:val="24"/>
          <w:szCs w:val="24"/>
        </w:rPr>
        <w:t>Fiqih Munakahat</w:t>
      </w:r>
      <w:r w:rsidRPr="004768C0">
        <w:rPr>
          <w:rFonts w:asciiTheme="majorBidi" w:hAnsiTheme="majorBidi" w:cstheme="majorBidi"/>
          <w:sz w:val="24"/>
          <w:szCs w:val="24"/>
        </w:rPr>
        <w:t>, ( Jakarta: Kencana, 2006)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pacing w:val="-4"/>
          <w:sz w:val="24"/>
          <w:szCs w:val="24"/>
        </w:rPr>
      </w:pPr>
      <w:r w:rsidRPr="004768C0">
        <w:rPr>
          <w:rFonts w:asciiTheme="majorBidi" w:hAnsiTheme="majorBidi" w:cstheme="majorBidi"/>
          <w:sz w:val="24"/>
          <w:szCs w:val="24"/>
        </w:rPr>
        <w:t xml:space="preserve">Haikal, Muhammad Husein </w:t>
      </w:r>
      <w:r w:rsidRPr="004768C0">
        <w:rPr>
          <w:rFonts w:asciiTheme="majorBidi" w:hAnsiTheme="majorBidi" w:cstheme="majorBidi"/>
          <w:i/>
          <w:iCs/>
          <w:spacing w:val="-4"/>
          <w:sz w:val="24"/>
          <w:szCs w:val="24"/>
        </w:rPr>
        <w:t>Al</w:t>
      </w:r>
      <w:r w:rsidRPr="004768C0">
        <w:rPr>
          <w:rFonts w:asciiTheme="majorBidi" w:hAnsiTheme="majorBidi" w:cstheme="majorBidi"/>
          <w:i/>
          <w:iCs/>
          <w:spacing w:val="-4"/>
          <w:sz w:val="24"/>
          <w:szCs w:val="24"/>
        </w:rPr>
        <w:softHyphen/>
        <w:t>-Hukumat al-lslamiyat,</w:t>
      </w:r>
      <w:r w:rsidRPr="004768C0">
        <w:rPr>
          <w:rFonts w:asciiTheme="majorBidi" w:hAnsiTheme="majorBidi" w:cstheme="majorBidi"/>
          <w:spacing w:val="-4"/>
          <w:sz w:val="24"/>
          <w:szCs w:val="24"/>
        </w:rPr>
        <w:t>( Mesir: Dar al-Ma’arif, 1983)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Halim, Abdul, </w:t>
      </w:r>
      <w:r w:rsidRPr="004768C0">
        <w:rPr>
          <w:rFonts w:asciiTheme="majorBidi" w:hAnsiTheme="majorBidi" w:cstheme="majorBidi"/>
          <w:i/>
          <w:iCs/>
          <w:sz w:val="24"/>
          <w:szCs w:val="24"/>
        </w:rPr>
        <w:t>Hukum Perwakafan di Indonesia</w:t>
      </w:r>
      <w:r w:rsidRPr="004768C0">
        <w:rPr>
          <w:rFonts w:asciiTheme="majorBidi" w:hAnsiTheme="majorBidi" w:cstheme="majorBidi"/>
          <w:sz w:val="24"/>
          <w:szCs w:val="24"/>
        </w:rPr>
        <w:t>, ( Jakarta: Ciputat Press,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Hamidah, Tutik, </w:t>
      </w:r>
      <w:r w:rsidRPr="004768C0">
        <w:rPr>
          <w:rFonts w:asciiTheme="majorBidi" w:hAnsiTheme="majorBidi" w:cstheme="majorBidi"/>
          <w:i/>
          <w:iCs/>
          <w:sz w:val="24"/>
          <w:szCs w:val="24"/>
        </w:rPr>
        <w:t>Pemikiran Feminis Muslim Indonesia</w:t>
      </w:r>
      <w:r w:rsidRPr="004768C0">
        <w:rPr>
          <w:rFonts w:asciiTheme="majorBidi" w:hAnsiTheme="majorBidi" w:cstheme="majorBidi"/>
          <w:sz w:val="24"/>
          <w:szCs w:val="24"/>
        </w:rPr>
        <w:t>, ( Jakarta: Disertasi Pada UIN Syarif Hidayatullah, 2009)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Hamka, Irfan, </w:t>
      </w:r>
      <w:r w:rsidRPr="004768C0">
        <w:rPr>
          <w:rFonts w:asciiTheme="majorBidi" w:hAnsiTheme="majorBidi" w:cstheme="majorBidi"/>
          <w:i/>
          <w:iCs/>
          <w:sz w:val="24"/>
          <w:szCs w:val="24"/>
        </w:rPr>
        <w:t>Ayah, Kisah Buya Hamka</w:t>
      </w:r>
      <w:r w:rsidRPr="004768C0">
        <w:rPr>
          <w:rFonts w:asciiTheme="majorBidi" w:hAnsiTheme="majorBidi" w:cstheme="majorBidi"/>
          <w:sz w:val="24"/>
          <w:szCs w:val="24"/>
        </w:rPr>
        <w:t>,</w:t>
      </w:r>
      <w:r w:rsidRPr="004768C0">
        <w:rPr>
          <w:rFonts w:asciiTheme="majorBidi" w:hAnsiTheme="majorBidi" w:cstheme="majorBidi"/>
          <w:i/>
          <w:iCs/>
          <w:sz w:val="24"/>
          <w:szCs w:val="24"/>
        </w:rPr>
        <w:t xml:space="preserve"> Masa Muda, Dewasa, Menjadi Ulama,</w:t>
      </w:r>
      <w:r w:rsidRPr="004768C0">
        <w:rPr>
          <w:rFonts w:asciiTheme="majorBidi" w:hAnsiTheme="majorBidi" w:cstheme="majorBidi"/>
          <w:sz w:val="24"/>
          <w:szCs w:val="24"/>
        </w:rPr>
        <w:t xml:space="preserve"> ( Jakarta: Republika, 2014)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Default"/>
        <w:spacing w:line="276" w:lineRule="auto"/>
        <w:ind w:left="720" w:hanging="720"/>
        <w:jc w:val="both"/>
        <w:rPr>
          <w:rFonts w:asciiTheme="majorBidi" w:eastAsia="Times New Roman" w:hAnsiTheme="majorBidi" w:cstheme="majorBidi"/>
          <w:i/>
          <w:iCs/>
        </w:rPr>
      </w:pPr>
      <w:r w:rsidRPr="004768C0">
        <w:rPr>
          <w:rFonts w:asciiTheme="majorBidi" w:hAnsiTheme="majorBidi" w:cstheme="majorBidi"/>
        </w:rPr>
        <w:t xml:space="preserve">Hamsin, Muhammad Khaeruddin, </w:t>
      </w:r>
      <w:r w:rsidRPr="004768C0">
        <w:rPr>
          <w:rFonts w:asciiTheme="majorBidi" w:hAnsiTheme="majorBidi" w:cstheme="majorBidi"/>
          <w:i/>
          <w:iCs/>
        </w:rPr>
        <w:t xml:space="preserve">Perkawinan Beda Agama dalam Tinjauan Syariah dan Hukum Positif </w:t>
      </w:r>
      <w:r w:rsidRPr="004768C0">
        <w:rPr>
          <w:rFonts w:asciiTheme="majorBidi" w:eastAsia="Times New Roman" w:hAnsiTheme="majorBidi" w:cstheme="majorBidi"/>
          <w:i/>
          <w:iCs/>
        </w:rPr>
        <w:t xml:space="preserve"> (Menyoal Pasal 2 ayat (1) UU No. 1 Th. 1974)</w:t>
      </w:r>
    </w:p>
    <w:p w:rsidR="00343B61" w:rsidRPr="004768C0" w:rsidRDefault="00343B61" w:rsidP="00343B61">
      <w:pPr>
        <w:pStyle w:val="Default"/>
        <w:spacing w:line="276" w:lineRule="auto"/>
        <w:ind w:left="720" w:hanging="720"/>
        <w:jc w:val="both"/>
        <w:rPr>
          <w:rFonts w:asciiTheme="majorBidi" w:eastAsia="Times New Roman" w:hAnsiTheme="majorBidi" w:cstheme="majorBidi"/>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Hanafi, Ahmad, </w:t>
      </w:r>
      <w:r w:rsidRPr="004768C0">
        <w:rPr>
          <w:rFonts w:asciiTheme="majorBidi" w:hAnsiTheme="majorBidi" w:cstheme="majorBidi"/>
          <w:i/>
          <w:iCs/>
        </w:rPr>
        <w:t xml:space="preserve">Sejarah dan Pengantar Hukum Islam </w:t>
      </w:r>
      <w:r w:rsidRPr="004768C0">
        <w:rPr>
          <w:rFonts w:asciiTheme="majorBidi" w:hAnsiTheme="majorBidi" w:cstheme="majorBidi"/>
        </w:rPr>
        <w:t>(Cet. IV; Jakarta : Bulan Bintang, 1986)</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Haris, Syamsuddin, </w:t>
      </w:r>
      <w:r w:rsidRPr="004768C0">
        <w:rPr>
          <w:rFonts w:asciiTheme="majorBidi" w:hAnsiTheme="majorBidi" w:cstheme="majorBidi"/>
          <w:i/>
          <w:iCs/>
          <w:sz w:val="24"/>
          <w:szCs w:val="24"/>
        </w:rPr>
        <w:t xml:space="preserve">PPP dan Orde Baru, </w:t>
      </w:r>
      <w:r w:rsidRPr="004768C0">
        <w:rPr>
          <w:rFonts w:asciiTheme="majorBidi" w:hAnsiTheme="majorBidi" w:cstheme="majorBidi"/>
          <w:sz w:val="24"/>
          <w:szCs w:val="24"/>
        </w:rPr>
        <w:t xml:space="preserve">( Jakarta: Gramedia Widiasarana, 1991)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Harun, Nasrun, </w:t>
      </w:r>
      <w:r w:rsidRPr="004768C0">
        <w:rPr>
          <w:rFonts w:asciiTheme="majorBidi" w:hAnsiTheme="majorBidi" w:cstheme="majorBidi"/>
          <w:i/>
          <w:iCs/>
          <w:sz w:val="24"/>
          <w:szCs w:val="24"/>
        </w:rPr>
        <w:t>Konsep Ijtihad Al-Syaukani, Relevansinya Bagi Pembaruan Hukum Islam di Indonesia</w:t>
      </w:r>
      <w:r w:rsidRPr="004768C0">
        <w:rPr>
          <w:rFonts w:asciiTheme="majorBidi" w:hAnsiTheme="majorBidi" w:cstheme="majorBidi"/>
          <w:sz w:val="24"/>
          <w:szCs w:val="24"/>
        </w:rPr>
        <w:t>, ( Jakarta Logos Waca Ilmu, 1999)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Hasan Ibrahim Hasan, </w:t>
      </w:r>
      <w:r w:rsidRPr="004768C0">
        <w:rPr>
          <w:rFonts w:asciiTheme="majorBidi" w:hAnsiTheme="majorBidi" w:cstheme="majorBidi"/>
          <w:i/>
          <w:iCs/>
          <w:sz w:val="24"/>
          <w:szCs w:val="24"/>
        </w:rPr>
        <w:t>Sejarah dan Kebudayaan Islam</w:t>
      </w:r>
      <w:r w:rsidRPr="004768C0">
        <w:rPr>
          <w:rFonts w:asciiTheme="majorBidi" w:hAnsiTheme="majorBidi" w:cstheme="majorBidi"/>
          <w:sz w:val="24"/>
          <w:szCs w:val="24"/>
        </w:rPr>
        <w:t>, ( Yogyakarta: Kota Kembang, 1989)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Hasan, Kamal, </w:t>
      </w:r>
      <w:r w:rsidRPr="004768C0">
        <w:rPr>
          <w:rFonts w:asciiTheme="majorBidi" w:hAnsiTheme="majorBidi" w:cstheme="majorBidi"/>
          <w:i/>
          <w:iCs/>
        </w:rPr>
        <w:t>Modernisasi Indonesia; Respons Cendekiawan Muslim</w:t>
      </w:r>
      <w:r w:rsidRPr="004768C0">
        <w:rPr>
          <w:rFonts w:asciiTheme="majorBidi" w:hAnsiTheme="majorBidi" w:cstheme="majorBidi"/>
        </w:rPr>
        <w:t>, (Jakarta: Lingkaran Studi Indonesia, 1987)</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Hasanah, Uswatun, </w:t>
      </w:r>
      <w:r w:rsidRPr="004768C0">
        <w:rPr>
          <w:rFonts w:asciiTheme="majorBidi" w:hAnsiTheme="majorBidi" w:cstheme="majorBidi"/>
          <w:i/>
          <w:iCs/>
        </w:rPr>
        <w:t>Pengkajian Hukum Tentang Aspek Hukum Wakaf</w:t>
      </w:r>
      <w:r w:rsidRPr="004768C0">
        <w:rPr>
          <w:rFonts w:asciiTheme="majorBidi" w:hAnsiTheme="majorBidi" w:cstheme="majorBidi"/>
        </w:rPr>
        <w:t xml:space="preserve"> </w:t>
      </w:r>
      <w:r w:rsidRPr="004768C0">
        <w:rPr>
          <w:rFonts w:asciiTheme="majorBidi" w:hAnsiTheme="majorBidi" w:cstheme="majorBidi"/>
          <w:i/>
          <w:iCs/>
        </w:rPr>
        <w:t>Uang</w:t>
      </w:r>
      <w:r w:rsidRPr="004768C0">
        <w:rPr>
          <w:rFonts w:asciiTheme="majorBidi" w:hAnsiTheme="majorBidi" w:cstheme="majorBidi"/>
          <w:b/>
          <w:bCs/>
        </w:rPr>
        <w:t xml:space="preserve">, </w:t>
      </w:r>
      <w:r w:rsidRPr="004768C0">
        <w:rPr>
          <w:rFonts w:asciiTheme="majorBidi" w:hAnsiTheme="majorBidi" w:cstheme="majorBidi"/>
        </w:rPr>
        <w:t>( Jakarta:</w:t>
      </w:r>
      <w:r w:rsidRPr="004768C0">
        <w:rPr>
          <w:rFonts w:asciiTheme="majorBidi" w:hAnsiTheme="majorBidi" w:cstheme="majorBidi"/>
          <w:b/>
          <w:bCs/>
        </w:rPr>
        <w:t xml:space="preserve"> </w:t>
      </w:r>
      <w:r w:rsidRPr="004768C0">
        <w:rPr>
          <w:rFonts w:asciiTheme="majorBidi" w:hAnsiTheme="majorBidi" w:cstheme="majorBidi"/>
        </w:rPr>
        <w:t>Badan Pembinaan Hukum Nasional Kementerian Hukum Dan Hak Asasi Manusia RI)</w:t>
      </w:r>
    </w:p>
    <w:p w:rsidR="00343B61" w:rsidRPr="004768C0" w:rsidRDefault="00343B61" w:rsidP="00343B61">
      <w:pPr>
        <w:autoSpaceDE w:val="0"/>
        <w:autoSpaceDN w:val="0"/>
        <w:adjustRightInd w:val="0"/>
        <w:ind w:left="720" w:hanging="720"/>
        <w:jc w:val="both"/>
        <w:rPr>
          <w:rFonts w:asciiTheme="majorBidi" w:hAnsiTheme="majorBidi" w:cstheme="majorBidi"/>
          <w:b/>
          <w:bCs/>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Hasanuddin AF (et.al), </w:t>
      </w:r>
      <w:r w:rsidRPr="004768C0">
        <w:rPr>
          <w:rFonts w:asciiTheme="majorBidi" w:hAnsiTheme="majorBidi" w:cstheme="majorBidi"/>
          <w:i/>
          <w:iCs/>
        </w:rPr>
        <w:t>Pengantar Ilmu Hukum,</w:t>
      </w:r>
      <w:r w:rsidRPr="004768C0">
        <w:rPr>
          <w:rFonts w:asciiTheme="majorBidi" w:hAnsiTheme="majorBidi" w:cstheme="majorBidi"/>
        </w:rPr>
        <w:t>(</w:t>
      </w:r>
      <w:r w:rsidRPr="004768C0">
        <w:rPr>
          <w:rFonts w:asciiTheme="majorBidi" w:hAnsiTheme="majorBidi" w:cstheme="majorBidi"/>
          <w:i/>
          <w:iCs/>
        </w:rPr>
        <w:t xml:space="preserve"> </w:t>
      </w:r>
      <w:r w:rsidRPr="004768C0">
        <w:rPr>
          <w:rFonts w:asciiTheme="majorBidi" w:hAnsiTheme="majorBidi" w:cstheme="majorBidi"/>
        </w:rPr>
        <w:t>Jakarta : Pustaka Al-Husna Baru, 2004)</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pacing w:val="6"/>
          <w:sz w:val="24"/>
          <w:szCs w:val="24"/>
          <w:lang w:val="sv-SE"/>
        </w:rPr>
      </w:pPr>
      <w:r w:rsidRPr="004768C0">
        <w:rPr>
          <w:rFonts w:asciiTheme="majorBidi" w:hAnsiTheme="majorBidi" w:cstheme="majorBidi"/>
          <w:spacing w:val="6"/>
          <w:sz w:val="24"/>
          <w:szCs w:val="24"/>
          <w:lang w:val="sv-SE"/>
        </w:rPr>
        <w:t xml:space="preserve">Hasanudin, AF,  </w:t>
      </w:r>
      <w:r w:rsidRPr="004768C0">
        <w:rPr>
          <w:rFonts w:asciiTheme="majorBidi" w:hAnsiTheme="majorBidi" w:cstheme="majorBidi"/>
          <w:i/>
          <w:iCs/>
          <w:spacing w:val="6"/>
          <w:sz w:val="24"/>
          <w:szCs w:val="24"/>
          <w:lang w:val="sv-SE"/>
        </w:rPr>
        <w:t>Konsep dan Standar Multi Akad dalam Fatwa Dewan Syari’ah Nasional Majelis Ulama Indonesia ( DSN-MUI)”</w:t>
      </w:r>
      <w:r w:rsidRPr="004768C0">
        <w:rPr>
          <w:rFonts w:asciiTheme="majorBidi" w:hAnsiTheme="majorBidi" w:cstheme="majorBidi"/>
          <w:spacing w:val="6"/>
          <w:sz w:val="24"/>
          <w:szCs w:val="24"/>
          <w:lang w:val="sv-SE"/>
        </w:rPr>
        <w:t>( Jakarta: Universitas Islam Negeri Syarif Hidayatullah, 2008)</w:t>
      </w:r>
    </w:p>
    <w:p w:rsidR="00343B61" w:rsidRPr="004768C0" w:rsidRDefault="00343B61" w:rsidP="00343B61">
      <w:pPr>
        <w:pStyle w:val="FootnoteText"/>
        <w:spacing w:line="276" w:lineRule="auto"/>
        <w:ind w:left="720" w:hanging="720"/>
        <w:jc w:val="both"/>
        <w:rPr>
          <w:rFonts w:asciiTheme="majorBidi" w:hAnsiTheme="majorBidi" w:cstheme="majorBidi"/>
          <w:spacing w:val="6"/>
          <w:sz w:val="24"/>
          <w:szCs w:val="24"/>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Iqbal, Muhammad, </w:t>
      </w:r>
      <w:r w:rsidRPr="004768C0">
        <w:rPr>
          <w:rFonts w:asciiTheme="majorBidi" w:hAnsiTheme="majorBidi" w:cstheme="majorBidi"/>
          <w:i/>
          <w:iCs/>
          <w:sz w:val="24"/>
          <w:szCs w:val="24"/>
        </w:rPr>
        <w:t>Fiqh Siyasah: Kontekstualisasi Doktrin Politik Islam</w:t>
      </w:r>
      <w:r w:rsidRPr="004768C0">
        <w:rPr>
          <w:rFonts w:asciiTheme="majorBidi" w:hAnsiTheme="majorBidi" w:cstheme="majorBidi"/>
          <w:sz w:val="24"/>
          <w:szCs w:val="24"/>
        </w:rPr>
        <w:t>,( Jak</w:t>
      </w:r>
      <w:r>
        <w:rPr>
          <w:rFonts w:asciiTheme="majorBidi" w:hAnsiTheme="majorBidi" w:cstheme="majorBidi"/>
          <w:sz w:val="24"/>
          <w:szCs w:val="24"/>
        </w:rPr>
        <w:t>arta: Gaya Media Pratama, 2007)</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Style w:val="Bodytext4"/>
          <w:rFonts w:asciiTheme="majorBidi" w:hAnsiTheme="majorBidi" w:cstheme="majorBidi"/>
          <w:color w:val="000000"/>
          <w:sz w:val="24"/>
          <w:szCs w:val="24"/>
        </w:rPr>
      </w:pPr>
      <w:r w:rsidRPr="004768C0">
        <w:rPr>
          <w:rStyle w:val="Bodytext4"/>
          <w:rFonts w:asciiTheme="majorBidi" w:hAnsiTheme="majorBidi" w:cstheme="majorBidi"/>
          <w:color w:val="000000"/>
          <w:sz w:val="24"/>
          <w:szCs w:val="24"/>
        </w:rPr>
        <w:t xml:space="preserve">Iqbal, Muhammad, </w:t>
      </w:r>
      <w:r w:rsidRPr="004768C0">
        <w:rPr>
          <w:rStyle w:val="Bodytext4Italic"/>
          <w:rFonts w:asciiTheme="majorBidi" w:hAnsiTheme="majorBidi" w:cstheme="majorBidi"/>
          <w:color w:val="000000"/>
          <w:sz w:val="24"/>
          <w:szCs w:val="24"/>
        </w:rPr>
        <w:t>Rekonstruksi Pemikiran Islam,</w:t>
      </w:r>
      <w:r w:rsidRPr="004768C0">
        <w:rPr>
          <w:rStyle w:val="Bodytext4"/>
          <w:rFonts w:asciiTheme="majorBidi" w:hAnsiTheme="majorBidi" w:cstheme="majorBidi"/>
          <w:color w:val="000000"/>
          <w:sz w:val="24"/>
          <w:szCs w:val="24"/>
        </w:rPr>
        <w:t xml:space="preserve"> (Jakarta: Kalam Mulia,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Jamil, M., </w:t>
      </w:r>
      <w:r w:rsidRPr="004768C0">
        <w:rPr>
          <w:rFonts w:asciiTheme="majorBidi" w:hAnsiTheme="majorBidi" w:cstheme="majorBidi"/>
          <w:i/>
          <w:iCs/>
          <w:sz w:val="24"/>
          <w:szCs w:val="24"/>
        </w:rPr>
        <w:t>Metode Istinbȃt Hukum Hamka (Studi Terhadap Ayat-Ayat Aẖkâm Tafsir Al-Azhar</w:t>
      </w:r>
      <w:r w:rsidRPr="004768C0">
        <w:rPr>
          <w:rFonts w:asciiTheme="majorBidi" w:hAnsiTheme="majorBidi" w:cstheme="majorBidi"/>
          <w:sz w:val="24"/>
          <w:szCs w:val="24"/>
        </w:rPr>
        <w:t>), Disertasi, Sekolah Pascasarjana Universitas Islam Negeri Syarif Hidayatullah Jakarta 1429 H/2008 M</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Jaya Bakri, Asafri, </w:t>
      </w:r>
      <w:r w:rsidRPr="004768C0">
        <w:rPr>
          <w:rFonts w:asciiTheme="majorBidi" w:hAnsiTheme="majorBidi" w:cstheme="majorBidi"/>
          <w:i/>
          <w:iCs/>
          <w:sz w:val="24"/>
          <w:szCs w:val="24"/>
        </w:rPr>
        <w:t>Konsep Maqashid Syari’ah Menurut Al-Syathibi</w:t>
      </w:r>
      <w:r w:rsidRPr="004768C0">
        <w:rPr>
          <w:rFonts w:asciiTheme="majorBidi" w:hAnsiTheme="majorBidi" w:cstheme="majorBidi"/>
          <w:sz w:val="24"/>
          <w:szCs w:val="24"/>
        </w:rPr>
        <w:t>, (Jakarta: Raja Grapindo Persada,  1996)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Ka'bah, Rifyal, </w:t>
      </w:r>
      <w:r w:rsidRPr="004768C0">
        <w:rPr>
          <w:rFonts w:asciiTheme="majorBidi" w:hAnsiTheme="majorBidi" w:cstheme="majorBidi"/>
          <w:i/>
          <w:iCs/>
          <w:sz w:val="24"/>
          <w:szCs w:val="24"/>
        </w:rPr>
        <w:t>Hukum Islam di Indonesia: Perspektif Muhammadiyah dan NU</w:t>
      </w:r>
      <w:r w:rsidRPr="004768C0">
        <w:rPr>
          <w:rFonts w:asciiTheme="majorBidi" w:hAnsiTheme="majorBidi" w:cstheme="majorBidi"/>
          <w:sz w:val="24"/>
          <w:szCs w:val="24"/>
        </w:rPr>
        <w:t>, (Jakarta : Universitas Yarsi, 1999)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rPr>
          <w:rFonts w:asciiTheme="majorBidi" w:hAnsiTheme="majorBidi" w:cstheme="majorBidi"/>
          <w:lang w:val="sv-SE"/>
        </w:rPr>
      </w:pPr>
      <w:r w:rsidRPr="004768C0">
        <w:rPr>
          <w:rFonts w:asciiTheme="majorBidi" w:hAnsiTheme="majorBidi" w:cstheme="majorBidi"/>
          <w:lang w:val="sv-SE"/>
        </w:rPr>
        <w:t xml:space="preserve">Karim, Helmi, </w:t>
      </w:r>
      <w:r w:rsidRPr="004768C0">
        <w:rPr>
          <w:rFonts w:asciiTheme="majorBidi" w:hAnsiTheme="majorBidi" w:cstheme="majorBidi"/>
          <w:i/>
          <w:iCs/>
          <w:lang w:val="sv-SE"/>
        </w:rPr>
        <w:t>Konsep Ijtihad Majelis Ulama Indonesia dalam pengembangan hukum Islam,</w:t>
      </w:r>
      <w:r w:rsidRPr="004768C0">
        <w:rPr>
          <w:rFonts w:asciiTheme="majorBidi" w:hAnsiTheme="majorBidi" w:cstheme="majorBidi"/>
          <w:lang w:val="sv-SE"/>
        </w:rPr>
        <w:t xml:space="preserve"> Disertasi doktor Ilmu Agam Islam,( Jakarta: Perpustakaan Pasca sarjana UIN 1993).</w:t>
      </w:r>
    </w:p>
    <w:p w:rsidR="00343B61" w:rsidRPr="004768C0" w:rsidRDefault="00343B61" w:rsidP="00343B61">
      <w:pPr>
        <w:ind w:left="720" w:hanging="720"/>
        <w:jc w:val="both"/>
        <w:rPr>
          <w:rFonts w:asciiTheme="majorBidi" w:hAnsiTheme="majorBidi" w:cstheme="majorBidi"/>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Karim, M. Rusli, </w:t>
      </w:r>
      <w:r w:rsidRPr="004768C0">
        <w:rPr>
          <w:rFonts w:asciiTheme="majorBidi" w:hAnsiTheme="majorBidi" w:cstheme="majorBidi"/>
          <w:i/>
          <w:sz w:val="24"/>
          <w:szCs w:val="24"/>
        </w:rPr>
        <w:t>Negara dan Peminggiran Islam Politik</w:t>
      </w:r>
      <w:r w:rsidRPr="004768C0">
        <w:rPr>
          <w:rFonts w:asciiTheme="majorBidi" w:hAnsiTheme="majorBidi" w:cstheme="majorBidi"/>
          <w:sz w:val="24"/>
          <w:szCs w:val="24"/>
        </w:rPr>
        <w:t xml:space="preserve"> (Yogyakarta: Tiara Wacana, 1999)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Kartini Kartono, </w:t>
      </w:r>
      <w:r w:rsidRPr="004768C0">
        <w:rPr>
          <w:rFonts w:asciiTheme="majorBidi" w:hAnsiTheme="majorBidi" w:cstheme="majorBidi"/>
          <w:i/>
          <w:iCs/>
          <w:sz w:val="24"/>
          <w:szCs w:val="24"/>
          <w:lang w:val="sv-SE"/>
        </w:rPr>
        <w:t>Pengantar Metodologi Riset Sosial</w:t>
      </w:r>
      <w:r w:rsidRPr="004768C0">
        <w:rPr>
          <w:rFonts w:asciiTheme="majorBidi" w:hAnsiTheme="majorBidi" w:cstheme="majorBidi"/>
          <w:sz w:val="24"/>
          <w:szCs w:val="24"/>
          <w:lang w:val="sv-SE"/>
        </w:rPr>
        <w:t>, ( Bandung: Mandar Maju, 1996) Cet VII</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Kementerian Agama RI, </w:t>
      </w:r>
      <w:r w:rsidRPr="004768C0">
        <w:rPr>
          <w:rFonts w:asciiTheme="majorBidi" w:hAnsiTheme="majorBidi" w:cstheme="majorBidi"/>
          <w:i/>
          <w:iCs/>
        </w:rPr>
        <w:t>Proses Lahirnya Undang-Undang No. 41 Tahun 2004 Tentang Wakaf</w:t>
      </w:r>
      <w:r w:rsidRPr="004768C0">
        <w:rPr>
          <w:rFonts w:asciiTheme="majorBidi" w:hAnsiTheme="majorBidi" w:cstheme="majorBidi"/>
        </w:rPr>
        <w:t>, (Jakarta: Direktorat Pengembangan Zakat dan Wakaf Ditjen Bimas Islam dan Penyelenggaraan Haji Tahun 2005)</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Lubis, Ridwan dan Syahminan, </w:t>
      </w:r>
      <w:r w:rsidRPr="004768C0">
        <w:rPr>
          <w:rFonts w:asciiTheme="majorBidi" w:hAnsiTheme="majorBidi" w:cstheme="majorBidi"/>
          <w:i/>
          <w:iCs/>
          <w:sz w:val="24"/>
          <w:szCs w:val="24"/>
        </w:rPr>
        <w:t>Perspektif Pembaharuan Pemikiran Islam</w:t>
      </w:r>
      <w:r w:rsidRPr="004768C0">
        <w:rPr>
          <w:rFonts w:asciiTheme="majorBidi" w:hAnsiTheme="majorBidi" w:cstheme="majorBidi"/>
          <w:sz w:val="24"/>
          <w:szCs w:val="24"/>
        </w:rPr>
        <w:t xml:space="preserve"> (Medan: Pustaka Widyasarana,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 Zein, Satria Effdendi, </w:t>
      </w:r>
      <w:r w:rsidRPr="004768C0">
        <w:rPr>
          <w:rFonts w:asciiTheme="majorBidi" w:hAnsiTheme="majorBidi" w:cstheme="majorBidi"/>
          <w:i/>
          <w:iCs/>
          <w:sz w:val="24"/>
          <w:szCs w:val="24"/>
        </w:rPr>
        <w:t>Problematika Hukum Keluarga Islam Kontemporer, Analisis Yurisprudensi dengan pendekatan Ushuliyah</w:t>
      </w:r>
      <w:r w:rsidRPr="004768C0">
        <w:rPr>
          <w:rFonts w:asciiTheme="majorBidi" w:hAnsiTheme="majorBidi" w:cstheme="majorBidi"/>
          <w:sz w:val="24"/>
          <w:szCs w:val="24"/>
        </w:rPr>
        <w:t>, ( Jakarta: Prenada Media, 2004)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Ma’arif, Ahmad Syafi’i, </w:t>
      </w:r>
      <w:r w:rsidRPr="004768C0">
        <w:rPr>
          <w:rFonts w:asciiTheme="majorBidi" w:hAnsiTheme="majorBidi" w:cstheme="majorBidi"/>
          <w:i/>
          <w:iCs/>
          <w:sz w:val="24"/>
          <w:szCs w:val="24"/>
        </w:rPr>
        <w:t>Islam dan Masalah Kenegaraan</w:t>
      </w:r>
      <w:r w:rsidRPr="004768C0">
        <w:rPr>
          <w:rFonts w:asciiTheme="majorBidi" w:hAnsiTheme="majorBidi" w:cstheme="majorBidi"/>
          <w:sz w:val="24"/>
          <w:szCs w:val="24"/>
        </w:rPr>
        <w:t xml:space="preserve"> ( Jakarta: LP3s, 1985)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D25297">
        <w:rPr>
          <w:rFonts w:asciiTheme="majorBidi" w:hAnsiTheme="majorBidi" w:cstheme="majorBidi"/>
          <w:sz w:val="24"/>
          <w:szCs w:val="24"/>
        </w:rPr>
        <w:t>Ma’lūf,</w:t>
      </w:r>
      <w:r w:rsidRPr="004768C0">
        <w:rPr>
          <w:rFonts w:asciiTheme="majorBidi" w:hAnsiTheme="majorBidi" w:cstheme="majorBidi"/>
          <w:sz w:val="24"/>
          <w:szCs w:val="24"/>
        </w:rPr>
        <w:t xml:space="preserve"> Luwis </w:t>
      </w:r>
      <w:r w:rsidRPr="004768C0">
        <w:rPr>
          <w:rFonts w:asciiTheme="majorBidi" w:hAnsiTheme="majorBidi" w:cstheme="majorBidi"/>
          <w:i/>
          <w:iCs/>
          <w:sz w:val="24"/>
          <w:szCs w:val="24"/>
        </w:rPr>
        <w:t>al-Munjid</w:t>
      </w:r>
      <w:r w:rsidRPr="004768C0">
        <w:rPr>
          <w:rFonts w:asciiTheme="majorBidi" w:hAnsiTheme="majorBidi" w:cstheme="majorBidi"/>
          <w:sz w:val="24"/>
          <w:szCs w:val="24"/>
        </w:rPr>
        <w:t xml:space="preserve">, </w:t>
      </w:r>
      <w:r>
        <w:rPr>
          <w:rFonts w:asciiTheme="majorBidi" w:hAnsiTheme="majorBidi" w:cstheme="majorBidi"/>
          <w:sz w:val="24"/>
          <w:szCs w:val="24"/>
        </w:rPr>
        <w:t>(Beirut: Dar al-Masyriq, 1976)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Mahfudh, M.A Sahal, dkk, </w:t>
      </w:r>
      <w:r w:rsidRPr="004768C0">
        <w:rPr>
          <w:rFonts w:asciiTheme="majorBidi" w:hAnsiTheme="majorBidi" w:cstheme="majorBidi"/>
          <w:i/>
          <w:iCs/>
          <w:sz w:val="24"/>
          <w:szCs w:val="24"/>
        </w:rPr>
        <w:t>Fatwa Munas VII Majelis Ulama Indonesia</w:t>
      </w:r>
      <w:r w:rsidRPr="004768C0">
        <w:rPr>
          <w:rFonts w:asciiTheme="majorBidi" w:hAnsiTheme="majorBidi" w:cstheme="majorBidi"/>
          <w:sz w:val="24"/>
          <w:szCs w:val="24"/>
        </w:rPr>
        <w:t>, ( Jakarta: Majelis Ulama Indonesia,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Mahfudh, M.A. Sahal, </w:t>
      </w:r>
      <w:r w:rsidRPr="004768C0">
        <w:rPr>
          <w:rFonts w:asciiTheme="majorBidi" w:hAnsiTheme="majorBidi" w:cstheme="majorBidi"/>
          <w:i/>
          <w:sz w:val="24"/>
          <w:szCs w:val="24"/>
        </w:rPr>
        <w:t>Nuansa Fiqih Sosial</w:t>
      </w:r>
      <w:r w:rsidRPr="004768C0">
        <w:rPr>
          <w:rFonts w:asciiTheme="majorBidi" w:hAnsiTheme="majorBidi" w:cstheme="majorBidi"/>
          <w:sz w:val="24"/>
          <w:szCs w:val="24"/>
        </w:rPr>
        <w:t>, (Yogvakarta: LKiS,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Mahfudh, M.A.Sahal, dkk, </w:t>
      </w:r>
      <w:r w:rsidRPr="004768C0">
        <w:rPr>
          <w:rFonts w:asciiTheme="majorBidi" w:hAnsiTheme="majorBidi" w:cstheme="majorBidi"/>
          <w:i/>
          <w:iCs/>
          <w:sz w:val="24"/>
          <w:szCs w:val="24"/>
        </w:rPr>
        <w:t>Himpunan Keputusan Musyawarah Nasional</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VII Majelis Ulama Indonesia</w:t>
      </w:r>
      <w:r w:rsidRPr="004768C0">
        <w:rPr>
          <w:rFonts w:asciiTheme="majorBidi" w:hAnsiTheme="majorBidi" w:cstheme="majorBidi"/>
          <w:sz w:val="24"/>
          <w:szCs w:val="24"/>
        </w:rPr>
        <w:t>, ( Jakarta: Majelis Ulama Indonesia,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Mahfudz, Sahal, </w:t>
      </w:r>
      <w:r w:rsidRPr="004768C0">
        <w:rPr>
          <w:rFonts w:asciiTheme="majorBidi" w:hAnsiTheme="majorBidi" w:cstheme="majorBidi"/>
          <w:i/>
          <w:iCs/>
          <w:sz w:val="24"/>
          <w:szCs w:val="24"/>
        </w:rPr>
        <w:t>Ba</w:t>
      </w:r>
      <w:r w:rsidRPr="004768C0">
        <w:rPr>
          <w:rFonts w:asciiTheme="majorBidi" w:hAnsiTheme="majorBidi" w:cstheme="majorBidi"/>
          <w:i/>
          <w:iCs/>
          <w:sz w:val="24"/>
          <w:szCs w:val="24"/>
          <w:u w:val="single"/>
          <w:lang w:val="sv-SE"/>
        </w:rPr>
        <w:t>h</w:t>
      </w:r>
      <w:r w:rsidRPr="004768C0">
        <w:rPr>
          <w:rFonts w:asciiTheme="majorBidi" w:hAnsiTheme="majorBidi" w:cstheme="majorBidi"/>
          <w:i/>
          <w:iCs/>
          <w:sz w:val="24"/>
          <w:szCs w:val="24"/>
        </w:rPr>
        <w:t>tsul Masāil dan Istinbaṭ hukum NU: Sebuah Catatan Pendek. dalam Solusi Problematika Aktual Hukum Islam,</w:t>
      </w:r>
      <w:r w:rsidRPr="004768C0">
        <w:rPr>
          <w:rFonts w:asciiTheme="majorBidi" w:hAnsiTheme="majorBidi" w:cstheme="majorBidi"/>
          <w:sz w:val="24"/>
          <w:szCs w:val="24"/>
        </w:rPr>
        <w:t xml:space="preserve"> Keputusan Muktamar, Munas, dan Konbes Nahdlatul Ulama 1926-1999 M (Surabaya: Lajnah Ta’lif wan Nasyr (LTN) NU Jatim,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Mahfudz, Sahal, </w:t>
      </w:r>
      <w:r w:rsidRPr="004768C0">
        <w:rPr>
          <w:rFonts w:asciiTheme="majorBidi" w:hAnsiTheme="majorBidi" w:cstheme="majorBidi"/>
          <w:i/>
          <w:iCs/>
          <w:sz w:val="24"/>
          <w:szCs w:val="24"/>
        </w:rPr>
        <w:t xml:space="preserve">Solusi Problematika Aktual Hukum Islam, Keputusan Muktamar, Munas, dan Konbes Nahdlatul Ulama </w:t>
      </w:r>
      <w:r w:rsidRPr="004768C0">
        <w:rPr>
          <w:rFonts w:asciiTheme="majorBidi" w:hAnsiTheme="majorBidi" w:cstheme="majorBidi"/>
          <w:sz w:val="24"/>
          <w:szCs w:val="24"/>
        </w:rPr>
        <w:t>1926-1999 M)</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Majelis Ulama Indonesia, </w:t>
      </w:r>
      <w:r w:rsidRPr="004768C0">
        <w:rPr>
          <w:rFonts w:asciiTheme="majorBidi" w:hAnsiTheme="majorBidi" w:cstheme="majorBidi"/>
          <w:i/>
          <w:iCs/>
          <w:sz w:val="24"/>
          <w:szCs w:val="24"/>
        </w:rPr>
        <w:t>Pedoman Prosedur Penetapan Fatwa Majelis Ulama Indonesia</w:t>
      </w:r>
      <w:r w:rsidRPr="004768C0">
        <w:rPr>
          <w:rFonts w:asciiTheme="majorBidi" w:hAnsiTheme="majorBidi" w:cstheme="majorBidi"/>
          <w:sz w:val="24"/>
          <w:szCs w:val="24"/>
        </w:rPr>
        <w:t>,( Jakarta: Sekeretaris MUI, 2001)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Manan,  Abd., </w:t>
      </w:r>
      <w:r w:rsidRPr="004768C0">
        <w:rPr>
          <w:rFonts w:asciiTheme="majorBidi" w:hAnsiTheme="majorBidi" w:cstheme="majorBidi"/>
          <w:i/>
          <w:iCs/>
        </w:rPr>
        <w:t>Aneka Masalah Hukum Perdata Islam di Indonesia</w:t>
      </w:r>
      <w:r w:rsidRPr="004768C0">
        <w:rPr>
          <w:rFonts w:asciiTheme="majorBidi" w:hAnsiTheme="majorBidi" w:cstheme="majorBidi"/>
        </w:rPr>
        <w:t>, (Jakarta : Kencana Prenada Media Group, 2006)</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Manan, Abdul </w:t>
      </w:r>
      <w:r w:rsidRPr="004768C0">
        <w:rPr>
          <w:rFonts w:asciiTheme="majorBidi" w:hAnsiTheme="majorBidi" w:cstheme="majorBidi"/>
          <w:i/>
          <w:iCs/>
          <w:sz w:val="24"/>
          <w:szCs w:val="24"/>
        </w:rPr>
        <w:t>Reformasi Hukum Islam di Indonesia</w:t>
      </w:r>
      <w:r w:rsidRPr="004768C0">
        <w:rPr>
          <w:rFonts w:asciiTheme="majorBidi" w:hAnsiTheme="majorBidi" w:cstheme="majorBidi"/>
          <w:sz w:val="24"/>
          <w:szCs w:val="24"/>
        </w:rPr>
        <w:t xml:space="preserve">, (Jakarta: RajaGrafindo Persada, 2006)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Manan, Abdul, </w:t>
      </w:r>
      <w:r w:rsidRPr="004768C0">
        <w:rPr>
          <w:rFonts w:asciiTheme="majorBidi" w:hAnsiTheme="majorBidi" w:cstheme="majorBidi"/>
          <w:i/>
          <w:iCs/>
        </w:rPr>
        <w:t>Aspek-aspek Pengubah Hukum</w:t>
      </w:r>
      <w:r w:rsidRPr="004768C0">
        <w:rPr>
          <w:rFonts w:asciiTheme="majorBidi" w:hAnsiTheme="majorBidi" w:cstheme="majorBidi"/>
        </w:rPr>
        <w:t xml:space="preserve"> (Ed. I; Cet. III; Jakarta: Kencana Prenada Media, 2005)</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Manan, Bagir, </w:t>
      </w:r>
      <w:r w:rsidRPr="004768C0">
        <w:rPr>
          <w:rFonts w:asciiTheme="majorBidi" w:hAnsiTheme="majorBidi" w:cstheme="majorBidi"/>
          <w:i/>
          <w:sz w:val="24"/>
          <w:szCs w:val="24"/>
        </w:rPr>
        <w:t>Konvensi Ketatanegaraan</w:t>
      </w:r>
      <w:r w:rsidRPr="004768C0">
        <w:rPr>
          <w:rFonts w:asciiTheme="majorBidi" w:hAnsiTheme="majorBidi" w:cstheme="majorBidi"/>
          <w:sz w:val="24"/>
          <w:szCs w:val="24"/>
        </w:rPr>
        <w:t>, ( Bandung: Armico, 1987)</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Mansyur, Ali, </w:t>
      </w:r>
      <w:r w:rsidRPr="004768C0">
        <w:rPr>
          <w:rFonts w:asciiTheme="majorBidi" w:hAnsiTheme="majorBidi" w:cstheme="majorBidi"/>
          <w:i/>
          <w:iCs/>
          <w:sz w:val="24"/>
          <w:szCs w:val="24"/>
        </w:rPr>
        <w:t>Aspek Hukum Perbankan Syariah Dan Implementasinya Di Indonesia</w:t>
      </w:r>
      <w:r w:rsidRPr="004768C0">
        <w:rPr>
          <w:rFonts w:asciiTheme="majorBidi" w:hAnsiTheme="majorBidi" w:cstheme="majorBidi"/>
          <w:sz w:val="24"/>
          <w:szCs w:val="24"/>
        </w:rPr>
        <w:t>, (Jurnal Dinamika Hukum Vol. 11 Edisi Khusus Februari 2011)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Mardalis, </w:t>
      </w:r>
      <w:r w:rsidRPr="004768C0">
        <w:rPr>
          <w:rFonts w:asciiTheme="majorBidi" w:hAnsiTheme="majorBidi" w:cstheme="majorBidi"/>
          <w:i/>
          <w:iCs/>
          <w:sz w:val="24"/>
          <w:szCs w:val="24"/>
          <w:lang w:val="sv-SE"/>
        </w:rPr>
        <w:t>Metode penelitian: Suatu Pendekatan Proposal</w:t>
      </w:r>
      <w:r w:rsidRPr="004768C0">
        <w:rPr>
          <w:rFonts w:asciiTheme="majorBidi" w:hAnsiTheme="majorBidi" w:cstheme="majorBidi"/>
          <w:sz w:val="24"/>
          <w:szCs w:val="24"/>
          <w:lang w:val="sv-SE"/>
        </w:rPr>
        <w:t xml:space="preserve">( Jakarta: Bumi Aksara, 1996)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Mu'alim, Amir  dan Yusdani, </w:t>
      </w:r>
      <w:r w:rsidRPr="004768C0">
        <w:rPr>
          <w:rFonts w:asciiTheme="majorBidi" w:hAnsiTheme="majorBidi" w:cstheme="majorBidi"/>
          <w:i/>
          <w:iCs/>
          <w:sz w:val="24"/>
          <w:szCs w:val="24"/>
        </w:rPr>
        <w:t>Konfigurasi Pemikiran Hukum Islam</w:t>
      </w:r>
      <w:r w:rsidRPr="004768C0">
        <w:rPr>
          <w:rFonts w:asciiTheme="majorBidi" w:hAnsiTheme="majorBidi" w:cstheme="majorBidi"/>
          <w:sz w:val="24"/>
          <w:szCs w:val="24"/>
        </w:rPr>
        <w:t>, ( Yogyakarta: UII Pess, 2001)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Mubarok, Jaih, </w:t>
      </w:r>
      <w:r w:rsidRPr="004768C0">
        <w:rPr>
          <w:rFonts w:asciiTheme="majorBidi" w:hAnsiTheme="majorBidi" w:cstheme="majorBidi"/>
          <w:i/>
          <w:iCs/>
          <w:sz w:val="24"/>
          <w:szCs w:val="24"/>
        </w:rPr>
        <w:t>Sejarah Peradaban Islam</w:t>
      </w:r>
      <w:r w:rsidRPr="004768C0">
        <w:rPr>
          <w:rFonts w:asciiTheme="majorBidi" w:hAnsiTheme="majorBidi" w:cstheme="majorBidi"/>
          <w:sz w:val="24"/>
          <w:szCs w:val="24"/>
        </w:rPr>
        <w:t>, ( Bandung: Pustaka Islamika,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Mudzhar, M. Atho, (etd) </w:t>
      </w:r>
      <w:r w:rsidRPr="004768C0">
        <w:rPr>
          <w:rFonts w:asciiTheme="majorBidi" w:hAnsiTheme="majorBidi" w:cstheme="majorBidi"/>
          <w:i/>
          <w:iCs/>
          <w:sz w:val="24"/>
          <w:szCs w:val="24"/>
        </w:rPr>
        <w:t>Fatwa Majelis Ulama Indonesia ( MUI) dalam Perspektif Hukum dan Perundang-Undangan</w:t>
      </w:r>
      <w:r w:rsidRPr="004768C0">
        <w:rPr>
          <w:rFonts w:asciiTheme="majorBidi" w:hAnsiTheme="majorBidi" w:cstheme="majorBidi"/>
          <w:sz w:val="24"/>
          <w:szCs w:val="24"/>
        </w:rPr>
        <w:t>, ( Jakarta: Pusdiklat Lektur dan Khazanah Keagamaan Badan Litbang dan Diklat Kementerian Agama RI, 2012)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Mudzhar, M. Atho, </w:t>
      </w:r>
      <w:r w:rsidRPr="004768C0">
        <w:rPr>
          <w:rFonts w:asciiTheme="majorBidi" w:hAnsiTheme="majorBidi" w:cstheme="majorBidi"/>
          <w:i/>
          <w:sz w:val="24"/>
          <w:szCs w:val="24"/>
        </w:rPr>
        <w:t xml:space="preserve">Fatwa-Fatwa Majelis Ulama Indonesia, Sebuah Studi Pemikiran Hukum Islam di Indonesia 1975-1988 edisi dwibahasa, </w:t>
      </w:r>
      <w:r w:rsidRPr="004768C0">
        <w:rPr>
          <w:rFonts w:asciiTheme="majorBidi" w:hAnsiTheme="majorBidi" w:cstheme="majorBidi"/>
          <w:sz w:val="24"/>
          <w:szCs w:val="24"/>
        </w:rPr>
        <w:t>( Jakarta: INIS, 1993)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pacing w:val="6"/>
          <w:sz w:val="24"/>
          <w:szCs w:val="24"/>
          <w:lang w:val="sv-SE"/>
        </w:rPr>
      </w:pPr>
      <w:r w:rsidRPr="004768C0">
        <w:rPr>
          <w:rFonts w:asciiTheme="majorBidi" w:hAnsiTheme="majorBidi" w:cstheme="majorBidi"/>
          <w:spacing w:val="6"/>
          <w:sz w:val="24"/>
          <w:szCs w:val="24"/>
          <w:lang w:val="sv-SE"/>
        </w:rPr>
        <w:t xml:space="preserve">Mufrodi, Ali, </w:t>
      </w:r>
      <w:r w:rsidRPr="004768C0">
        <w:rPr>
          <w:rFonts w:asciiTheme="majorBidi" w:hAnsiTheme="majorBidi" w:cstheme="majorBidi"/>
          <w:i/>
          <w:iCs/>
          <w:spacing w:val="6"/>
          <w:sz w:val="24"/>
          <w:szCs w:val="24"/>
          <w:lang w:val="sv-SE"/>
        </w:rPr>
        <w:t>Peranan Ulama dalam Masa Orde Baru: Studi tentang Perkembangan Majelis Ulama Indonesia,</w:t>
      </w:r>
      <w:r w:rsidRPr="004768C0">
        <w:rPr>
          <w:rFonts w:asciiTheme="majorBidi" w:hAnsiTheme="majorBidi" w:cstheme="majorBidi"/>
          <w:spacing w:val="6"/>
          <w:sz w:val="24"/>
          <w:szCs w:val="24"/>
          <w:lang w:val="sv-SE"/>
        </w:rPr>
        <w:t>(Jakarta: IAIN Syarif Hidayatullah,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Mukri, Moh, </w:t>
      </w:r>
      <w:r w:rsidRPr="004768C0">
        <w:rPr>
          <w:rFonts w:asciiTheme="majorBidi" w:hAnsiTheme="majorBidi" w:cstheme="majorBidi"/>
          <w:i/>
          <w:iCs/>
          <w:sz w:val="24"/>
          <w:szCs w:val="24"/>
        </w:rPr>
        <w:t>Rekonstruksi Hukum Islam Indonesia, Kontektualitas Konsep Maslahah Imam Al-Ghozali</w:t>
      </w:r>
      <w:r w:rsidRPr="004768C0">
        <w:rPr>
          <w:rFonts w:asciiTheme="majorBidi" w:hAnsiTheme="majorBidi" w:cstheme="majorBidi"/>
          <w:sz w:val="24"/>
          <w:szCs w:val="24"/>
        </w:rPr>
        <w:t>, ( Yogyakarta: Idea Press, 2014)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Muzarie, Mukhlisin, </w:t>
      </w:r>
      <w:r w:rsidRPr="004768C0">
        <w:rPr>
          <w:rFonts w:asciiTheme="majorBidi" w:hAnsiTheme="majorBidi" w:cstheme="majorBidi"/>
          <w:i/>
          <w:iCs/>
          <w:sz w:val="24"/>
          <w:szCs w:val="24"/>
        </w:rPr>
        <w:t>Hukum Perwakafan dan Implikasinya Terhadap Kesejahteraan Masyarakat</w:t>
      </w:r>
      <w:r w:rsidRPr="004768C0">
        <w:rPr>
          <w:rFonts w:asciiTheme="majorBidi" w:hAnsiTheme="majorBidi" w:cstheme="majorBidi"/>
          <w:sz w:val="24"/>
          <w:szCs w:val="24"/>
        </w:rPr>
        <w:t>, ( Jakarta: Kementerian Agama RI,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Nasution Harun, </w:t>
      </w:r>
      <w:r w:rsidRPr="004768C0">
        <w:rPr>
          <w:rFonts w:asciiTheme="majorBidi" w:hAnsiTheme="majorBidi" w:cstheme="majorBidi"/>
          <w:i/>
          <w:iCs/>
          <w:sz w:val="24"/>
          <w:szCs w:val="24"/>
        </w:rPr>
        <w:t>Islam Ditinjau dari Berbagai Aspeknya</w:t>
      </w:r>
      <w:r w:rsidRPr="004768C0">
        <w:rPr>
          <w:rFonts w:asciiTheme="majorBidi" w:hAnsiTheme="majorBidi" w:cstheme="majorBidi"/>
          <w:sz w:val="24"/>
          <w:szCs w:val="24"/>
        </w:rPr>
        <w:t xml:space="preserve"> ( Jakarta: UI Pres, 2005)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Nasution, Harun dan Azra, Azyumardi, </w:t>
      </w:r>
      <w:r w:rsidRPr="004768C0">
        <w:rPr>
          <w:rFonts w:asciiTheme="majorBidi" w:hAnsiTheme="majorBidi" w:cstheme="majorBidi"/>
          <w:i/>
          <w:iCs/>
          <w:sz w:val="24"/>
          <w:szCs w:val="24"/>
        </w:rPr>
        <w:t xml:space="preserve">Perkembangan Modern dalam Islam </w:t>
      </w:r>
      <w:r w:rsidRPr="004768C0">
        <w:rPr>
          <w:rFonts w:asciiTheme="majorBidi" w:hAnsiTheme="majorBidi" w:cstheme="majorBidi"/>
          <w:sz w:val="24"/>
          <w:szCs w:val="24"/>
        </w:rPr>
        <w:t xml:space="preserve">(Jakarta: Obor, 1985)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Nasution, Harun, </w:t>
      </w:r>
      <w:r w:rsidRPr="004768C0">
        <w:rPr>
          <w:rFonts w:asciiTheme="majorBidi" w:hAnsiTheme="majorBidi" w:cstheme="majorBidi"/>
          <w:i/>
          <w:iCs/>
          <w:sz w:val="24"/>
          <w:szCs w:val="24"/>
        </w:rPr>
        <w:t>Pembaharuan dalam Islam Sejarah, Pemikiran, dan Gerakan</w:t>
      </w:r>
      <w:r w:rsidRPr="004768C0">
        <w:rPr>
          <w:rFonts w:asciiTheme="majorBidi" w:hAnsiTheme="majorBidi" w:cstheme="majorBidi"/>
          <w:sz w:val="24"/>
          <w:szCs w:val="24"/>
        </w:rPr>
        <w:t xml:space="preserve"> (Jakarta: Bulan Bintang, 1996)</w:t>
      </w:r>
    </w:p>
    <w:p w:rsidR="00343B61" w:rsidRPr="004768C0" w:rsidRDefault="00343B61" w:rsidP="00343B61">
      <w:pPr>
        <w:pStyle w:val="FootnoteText"/>
        <w:spacing w:line="276" w:lineRule="auto"/>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Nasution, Khairuddin, </w:t>
      </w:r>
      <w:r w:rsidRPr="004768C0">
        <w:rPr>
          <w:rFonts w:asciiTheme="majorBidi" w:hAnsiTheme="majorBidi" w:cstheme="majorBidi"/>
          <w:i/>
          <w:iCs/>
          <w:sz w:val="24"/>
          <w:szCs w:val="24"/>
        </w:rPr>
        <w:t>Hukum Keluarga (Perdata) Islam Indonesia</w:t>
      </w:r>
      <w:r w:rsidRPr="004768C0">
        <w:rPr>
          <w:rFonts w:asciiTheme="majorBidi" w:hAnsiTheme="majorBidi" w:cstheme="majorBidi"/>
          <w:sz w:val="24"/>
          <w:szCs w:val="24"/>
        </w:rPr>
        <w:t>, ( Yogyakarta: Academia &amp; Tazzafa, 2010)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Nasution, Khairuddin, </w:t>
      </w:r>
      <w:r w:rsidRPr="004768C0">
        <w:rPr>
          <w:rFonts w:asciiTheme="majorBidi" w:hAnsiTheme="majorBidi" w:cstheme="majorBidi"/>
          <w:i/>
          <w:iCs/>
          <w:sz w:val="24"/>
          <w:szCs w:val="24"/>
        </w:rPr>
        <w:t>Hukum Perdata ( Keluarga) Islam Indonesia dan Perbandingan Hukum Perkawinan di Dunia Muslim, dengan Pendekatan Intergratif Onterkonektif</w:t>
      </w:r>
      <w:r w:rsidRPr="004768C0">
        <w:rPr>
          <w:rFonts w:asciiTheme="majorBidi" w:hAnsiTheme="majorBidi" w:cstheme="majorBidi"/>
          <w:sz w:val="24"/>
          <w:szCs w:val="24"/>
        </w:rPr>
        <w:t>,( Yogyakarta:  Acamedia dan Tazaffa, 2013)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textAlignment w:val="baseline"/>
        <w:rPr>
          <w:rFonts w:asciiTheme="majorBidi" w:hAnsiTheme="majorBidi" w:cstheme="majorBidi"/>
        </w:rPr>
      </w:pPr>
      <w:r w:rsidRPr="004768C0">
        <w:rPr>
          <w:rFonts w:asciiTheme="majorBidi" w:hAnsiTheme="majorBidi" w:cstheme="majorBidi"/>
        </w:rPr>
        <w:t xml:space="preserve">Nasution, Khoiruddin, </w:t>
      </w:r>
      <w:r w:rsidRPr="004768C0">
        <w:rPr>
          <w:rFonts w:asciiTheme="majorBidi" w:hAnsiTheme="majorBidi" w:cstheme="majorBidi"/>
          <w:i/>
          <w:iCs/>
        </w:rPr>
        <w:t>Status Wanita Di Asia Tenggara: Studi Terhadap Perundang-undangan Perkawinan Muslim Komtemporer di Indonesia dan Malaysia,</w:t>
      </w:r>
      <w:r w:rsidRPr="004768C0">
        <w:rPr>
          <w:rFonts w:asciiTheme="majorBidi" w:hAnsiTheme="majorBidi" w:cstheme="majorBidi"/>
        </w:rPr>
        <w:t xml:space="preserve"> (</w:t>
      </w:r>
      <w:r w:rsidRPr="004768C0">
        <w:rPr>
          <w:rFonts w:asciiTheme="majorBidi" w:hAnsiTheme="majorBidi" w:cstheme="majorBidi"/>
          <w:i/>
          <w:iCs/>
        </w:rPr>
        <w:t xml:space="preserve"> </w:t>
      </w:r>
      <w:r w:rsidRPr="004768C0">
        <w:rPr>
          <w:rFonts w:asciiTheme="majorBidi" w:hAnsiTheme="majorBidi" w:cstheme="majorBidi"/>
        </w:rPr>
        <w:t>Leiden-Jakarta: INIS, 2002)</w:t>
      </w:r>
    </w:p>
    <w:p w:rsidR="00343B61" w:rsidRPr="004768C0" w:rsidRDefault="00343B61" w:rsidP="00343B61">
      <w:pPr>
        <w:ind w:left="720" w:hanging="720"/>
        <w:jc w:val="both"/>
        <w:textAlignment w:val="baseline"/>
        <w:rPr>
          <w:rFonts w:asciiTheme="majorBidi" w:eastAsia="Garamond" w:hAnsiTheme="majorBidi" w:cstheme="majorBidi"/>
          <w:color w:val="282026"/>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Nawawi, Rif’at Syauqi, </w:t>
      </w:r>
      <w:r w:rsidRPr="004768C0">
        <w:rPr>
          <w:rFonts w:asciiTheme="majorBidi" w:hAnsiTheme="majorBidi" w:cstheme="majorBidi"/>
          <w:i/>
          <w:iCs/>
          <w:sz w:val="24"/>
          <w:szCs w:val="24"/>
        </w:rPr>
        <w:t>Rasionalitas Tafsir Muhammad ‘Abduh, Kajian Masalah Ibadah dan Akidah</w:t>
      </w:r>
      <w:r w:rsidRPr="004768C0">
        <w:rPr>
          <w:rFonts w:asciiTheme="majorBidi" w:hAnsiTheme="majorBidi" w:cstheme="majorBidi"/>
          <w:sz w:val="24"/>
          <w:szCs w:val="24"/>
        </w:rPr>
        <w:t xml:space="preserve"> (Jakarta: Paramadina, 2002)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Noer, Delian, </w:t>
      </w:r>
      <w:r w:rsidRPr="004768C0">
        <w:rPr>
          <w:rFonts w:asciiTheme="majorBidi" w:hAnsiTheme="majorBidi" w:cstheme="majorBidi"/>
          <w:i/>
          <w:sz w:val="24"/>
          <w:szCs w:val="24"/>
        </w:rPr>
        <w:t>Administerasi Islam di Indonesia</w:t>
      </w:r>
      <w:r w:rsidRPr="004768C0">
        <w:rPr>
          <w:rFonts w:asciiTheme="majorBidi" w:hAnsiTheme="majorBidi" w:cstheme="majorBidi"/>
          <w:sz w:val="24"/>
          <w:szCs w:val="24"/>
        </w:rPr>
        <w:t>, (Jakarta : CV Rajawali, 1983)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Noer, Deliar, </w:t>
      </w:r>
      <w:r w:rsidRPr="004768C0">
        <w:rPr>
          <w:rFonts w:asciiTheme="majorBidi" w:hAnsiTheme="majorBidi" w:cstheme="majorBidi"/>
          <w:i/>
          <w:iCs/>
          <w:sz w:val="24"/>
          <w:szCs w:val="24"/>
        </w:rPr>
        <w:t>Gerakan Modern Islam di Indonesia 1900-1942</w:t>
      </w:r>
      <w:r w:rsidRPr="004768C0">
        <w:rPr>
          <w:rFonts w:asciiTheme="majorBidi" w:hAnsiTheme="majorBidi" w:cstheme="majorBidi"/>
          <w:sz w:val="24"/>
          <w:szCs w:val="24"/>
        </w:rPr>
        <w:t>, ( Jakarta: PT. Pustaka LP3ES Indonesia, 1995)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Nu’mani, Syabli, </w:t>
      </w:r>
      <w:r w:rsidRPr="004768C0">
        <w:rPr>
          <w:rFonts w:asciiTheme="majorBidi" w:hAnsiTheme="majorBidi" w:cstheme="majorBidi"/>
          <w:i/>
          <w:iCs/>
          <w:sz w:val="24"/>
          <w:szCs w:val="24"/>
        </w:rPr>
        <w:t>Umar bin Khoththab Yang Agung Sejarah dan Analisis Kepemimpinannya</w:t>
      </w:r>
      <w:r w:rsidRPr="004768C0">
        <w:rPr>
          <w:rFonts w:asciiTheme="majorBidi" w:hAnsiTheme="majorBidi" w:cstheme="majorBidi"/>
          <w:sz w:val="24"/>
          <w:szCs w:val="24"/>
        </w:rPr>
        <w:t>, ( Bandung, Pustaka,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Nur Wahid, M. Hidayat, “</w:t>
      </w:r>
      <w:r w:rsidRPr="004768C0">
        <w:rPr>
          <w:rFonts w:asciiTheme="majorBidi" w:hAnsiTheme="majorBidi" w:cstheme="majorBidi"/>
          <w:i/>
          <w:iCs/>
          <w:sz w:val="24"/>
          <w:szCs w:val="24"/>
        </w:rPr>
        <w:t>Tajdid Sebagai sebuah Harokat ( Gerakan</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Jurnal Kajian Islam Ma’rifah</w:t>
      </w:r>
      <w:r w:rsidRPr="004768C0">
        <w:rPr>
          <w:rFonts w:asciiTheme="majorBidi" w:hAnsiTheme="majorBidi" w:cstheme="majorBidi"/>
          <w:sz w:val="24"/>
          <w:szCs w:val="24"/>
        </w:rPr>
        <w:t xml:space="preserve">, Vol. 2, Tahun 1415 / 1995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Nuruddin, Amiur dan Tarigan, Azhari Akmal</w:t>
      </w:r>
      <w:r w:rsidRPr="004768C0">
        <w:rPr>
          <w:rFonts w:asciiTheme="majorBidi" w:hAnsiTheme="majorBidi" w:cstheme="majorBidi"/>
          <w:i/>
          <w:iCs/>
        </w:rPr>
        <w:t>, Hukum Perdata Islam di Indonesia</w:t>
      </w:r>
      <w:r w:rsidRPr="004768C0">
        <w:rPr>
          <w:rFonts w:asciiTheme="majorBidi" w:hAnsiTheme="majorBidi" w:cstheme="majorBidi"/>
        </w:rPr>
        <w:t>, (Jakarta: Kencana, 2006)</w:t>
      </w:r>
    </w:p>
    <w:p w:rsidR="00343B61" w:rsidRPr="004768C0"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Pagar, </w:t>
      </w:r>
      <w:r w:rsidRPr="004768C0">
        <w:rPr>
          <w:rFonts w:asciiTheme="majorBidi" w:hAnsiTheme="majorBidi" w:cstheme="majorBidi"/>
          <w:i/>
          <w:iCs/>
        </w:rPr>
        <w:t xml:space="preserve">Himpunan Peraturan Perundang-Undangan: Peradilan Agama di Indonesia, </w:t>
      </w:r>
      <w:r w:rsidRPr="004768C0">
        <w:rPr>
          <w:rFonts w:asciiTheme="majorBidi" w:hAnsiTheme="majorBidi" w:cstheme="majorBidi"/>
        </w:rPr>
        <w:t xml:space="preserve">( Medan: </w:t>
      </w:r>
      <w:r w:rsidRPr="004768C0">
        <w:rPr>
          <w:rFonts w:asciiTheme="majorBidi" w:hAnsiTheme="majorBidi" w:cstheme="majorBidi"/>
          <w:i/>
          <w:iCs/>
        </w:rPr>
        <w:t>Perdana Publishing</w:t>
      </w:r>
      <w:r w:rsidRPr="004768C0">
        <w:rPr>
          <w:rFonts w:asciiTheme="majorBidi" w:hAnsiTheme="majorBidi" w:cstheme="majorBidi"/>
        </w:rPr>
        <w:t>, 2010)</w:t>
      </w:r>
    </w:p>
    <w:p w:rsidR="00343B61" w:rsidRPr="00B96D13"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Poerwadarminta, W.J.S. </w:t>
      </w:r>
      <w:r w:rsidRPr="004768C0">
        <w:rPr>
          <w:rFonts w:asciiTheme="majorBidi" w:hAnsiTheme="majorBidi" w:cstheme="majorBidi"/>
          <w:i/>
          <w:iCs/>
          <w:sz w:val="24"/>
          <w:szCs w:val="24"/>
        </w:rPr>
        <w:t xml:space="preserve">Kamus Umum Bahasa Indonesia, </w:t>
      </w:r>
      <w:r w:rsidRPr="004768C0">
        <w:rPr>
          <w:rFonts w:asciiTheme="majorBidi" w:hAnsiTheme="majorBidi" w:cstheme="majorBidi"/>
          <w:sz w:val="24"/>
          <w:szCs w:val="24"/>
        </w:rPr>
        <w:t>(Jakarta, 1976)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Prasetya, Johan, </w:t>
      </w:r>
      <w:r w:rsidRPr="004768C0">
        <w:rPr>
          <w:rFonts w:asciiTheme="majorBidi" w:hAnsiTheme="majorBidi" w:cstheme="majorBidi"/>
          <w:i/>
          <w:iCs/>
          <w:sz w:val="24"/>
          <w:szCs w:val="24"/>
        </w:rPr>
        <w:t>Ajaran- Ajaran Founding Father dan Orang-orang di Sekitarnya</w:t>
      </w:r>
      <w:r w:rsidRPr="004768C0">
        <w:rPr>
          <w:rFonts w:asciiTheme="majorBidi" w:hAnsiTheme="majorBidi" w:cstheme="majorBidi"/>
          <w:sz w:val="24"/>
          <w:szCs w:val="24"/>
        </w:rPr>
        <w:t>, ( Jogyakarta: Palapa, 2014)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eastAsia="Garamond" w:hAnsiTheme="majorBidi" w:cstheme="majorBidi"/>
          <w:iCs/>
          <w:color w:val="000000"/>
          <w:sz w:val="24"/>
          <w:szCs w:val="24"/>
        </w:rPr>
      </w:pPr>
      <w:r w:rsidRPr="004768C0">
        <w:rPr>
          <w:rFonts w:asciiTheme="majorBidi" w:eastAsia="Garamond" w:hAnsiTheme="majorBidi" w:cstheme="majorBidi"/>
          <w:color w:val="000000"/>
          <w:sz w:val="24"/>
          <w:szCs w:val="24"/>
        </w:rPr>
        <w:t xml:space="preserve">Prodjodikoro, Wirjono, </w:t>
      </w:r>
      <w:r w:rsidRPr="004768C0">
        <w:rPr>
          <w:rFonts w:asciiTheme="majorBidi" w:eastAsia="Garamond" w:hAnsiTheme="majorBidi" w:cstheme="majorBidi"/>
          <w:i/>
          <w:color w:val="000000"/>
          <w:sz w:val="24"/>
          <w:szCs w:val="24"/>
        </w:rPr>
        <w:t xml:space="preserve">Hukum Perkawinan di Indonesia, </w:t>
      </w:r>
      <w:r w:rsidRPr="004768C0">
        <w:rPr>
          <w:rFonts w:asciiTheme="majorBidi" w:eastAsia="Garamond" w:hAnsiTheme="majorBidi" w:cstheme="majorBidi"/>
          <w:iCs/>
          <w:color w:val="000000"/>
          <w:sz w:val="24"/>
          <w:szCs w:val="24"/>
        </w:rPr>
        <w:t>( Bandung: Penerbit Sumur, 1974)</w:t>
      </w:r>
    </w:p>
    <w:p w:rsidR="00343B61" w:rsidRPr="004768C0" w:rsidRDefault="00343B61" w:rsidP="00343B61">
      <w:pPr>
        <w:pStyle w:val="FootnoteText"/>
        <w:spacing w:line="276" w:lineRule="auto"/>
        <w:ind w:left="720" w:hanging="720"/>
        <w:jc w:val="both"/>
        <w:rPr>
          <w:rFonts w:asciiTheme="majorBidi" w:eastAsia="Garamond" w:hAnsiTheme="majorBidi" w:cstheme="majorBidi"/>
          <w:iCs/>
          <w:color w:val="000000"/>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Prodjokusuma, H.S. dkk, </w:t>
      </w:r>
      <w:r w:rsidRPr="004768C0">
        <w:rPr>
          <w:rFonts w:asciiTheme="majorBidi" w:hAnsiTheme="majorBidi" w:cstheme="majorBidi"/>
          <w:i/>
          <w:sz w:val="24"/>
          <w:szCs w:val="24"/>
        </w:rPr>
        <w:t>20 Tahun Majelis Ulama Indonesia</w:t>
      </w:r>
      <w:r w:rsidRPr="004768C0">
        <w:rPr>
          <w:rFonts w:asciiTheme="majorBidi" w:hAnsiTheme="majorBidi" w:cstheme="majorBidi"/>
          <w:sz w:val="24"/>
          <w:szCs w:val="24"/>
        </w:rPr>
        <w:t>, (Jakarta: Sekretariat MUI,1995)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Pulungan, J. Suyuthi, </w:t>
      </w:r>
      <w:r w:rsidRPr="004768C0">
        <w:rPr>
          <w:rFonts w:asciiTheme="majorBidi" w:hAnsiTheme="majorBidi" w:cstheme="majorBidi"/>
          <w:i/>
          <w:iCs/>
          <w:sz w:val="24"/>
          <w:szCs w:val="24"/>
        </w:rPr>
        <w:t>Fiqh Siyasah, Ajaran Sejarah dan Pemikiran</w:t>
      </w:r>
      <w:r w:rsidRPr="004768C0">
        <w:rPr>
          <w:rFonts w:asciiTheme="majorBidi" w:hAnsiTheme="majorBidi" w:cstheme="majorBidi"/>
          <w:sz w:val="24"/>
          <w:szCs w:val="24"/>
        </w:rPr>
        <w:t>, ( Jakarta: Raja Grafindo Persada,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Qadiry, Abdullah Ahmad, </w:t>
      </w:r>
      <w:r w:rsidRPr="004768C0">
        <w:rPr>
          <w:rFonts w:asciiTheme="majorBidi" w:eastAsia="TimesNewRoman,Italic" w:hAnsiTheme="majorBidi" w:cstheme="majorBidi"/>
          <w:i/>
          <w:iCs/>
        </w:rPr>
        <w:t xml:space="preserve">Nikah Beda Agama Menurut Islam. </w:t>
      </w:r>
      <w:r w:rsidRPr="004768C0">
        <w:rPr>
          <w:rFonts w:asciiTheme="majorBidi" w:hAnsiTheme="majorBidi" w:cstheme="majorBidi"/>
        </w:rPr>
        <w:t>Terjemahan dari Syaihu Asnawi (Cet. I; Yogyakarta: Media Wacana, 2003)</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Pr="004768C0" w:rsidRDefault="00343B61" w:rsidP="00343B61">
      <w:pPr>
        <w:autoSpaceDE w:val="0"/>
        <w:autoSpaceDN w:val="0"/>
        <w:adjustRightInd w:val="0"/>
        <w:ind w:left="720" w:hanging="720"/>
        <w:jc w:val="both"/>
        <w:rPr>
          <w:rFonts w:asciiTheme="majorBidi" w:hAnsiTheme="majorBidi" w:cstheme="majorBidi"/>
          <w:i/>
          <w:iCs/>
        </w:rPr>
      </w:pPr>
      <w:r w:rsidRPr="004768C0">
        <w:rPr>
          <w:rFonts w:asciiTheme="majorBidi" w:hAnsiTheme="majorBidi" w:cstheme="majorBidi"/>
        </w:rPr>
        <w:t xml:space="preserve">Rahardjo, Sajipto, </w:t>
      </w:r>
      <w:r w:rsidRPr="004768C0">
        <w:rPr>
          <w:rFonts w:asciiTheme="majorBidi" w:hAnsiTheme="majorBidi" w:cstheme="majorBidi"/>
          <w:i/>
          <w:iCs/>
        </w:rPr>
        <w:t xml:space="preserve">Menggagas Hukum Progresif, </w:t>
      </w:r>
      <w:r w:rsidRPr="004768C0">
        <w:rPr>
          <w:rFonts w:asciiTheme="majorBidi" w:hAnsiTheme="majorBidi" w:cstheme="majorBidi"/>
        </w:rPr>
        <w:t>( Semarang : Pustaka Pelajar, 2007)</w:t>
      </w: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Rais, Isnawati, </w:t>
      </w:r>
      <w:r w:rsidRPr="004768C0">
        <w:rPr>
          <w:rFonts w:asciiTheme="majorBidi" w:eastAsia="TimesNewRoman,Italic" w:hAnsiTheme="majorBidi" w:cstheme="majorBidi"/>
          <w:i/>
          <w:iCs/>
          <w:sz w:val="24"/>
          <w:szCs w:val="24"/>
        </w:rPr>
        <w:t xml:space="preserve">Hukum Perkawinan dalam Islam </w:t>
      </w:r>
      <w:r w:rsidRPr="004768C0">
        <w:rPr>
          <w:rFonts w:asciiTheme="majorBidi" w:hAnsiTheme="majorBidi" w:cstheme="majorBidi"/>
          <w:sz w:val="24"/>
          <w:szCs w:val="24"/>
        </w:rPr>
        <w:t>(Cet. I; Jakarta: Balitbang, 2006)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Rajafi, Ahmad, </w:t>
      </w:r>
      <w:r w:rsidRPr="004768C0">
        <w:rPr>
          <w:rFonts w:asciiTheme="majorBidi" w:hAnsiTheme="majorBidi" w:cstheme="majorBidi"/>
          <w:i/>
          <w:iCs/>
          <w:sz w:val="24"/>
          <w:szCs w:val="24"/>
        </w:rPr>
        <w:t>Inkulturasi wahyu dan Budaya Lokal Serta Implikasinya terhadap Pembaruan Hukum Keluarga di Indonesia</w:t>
      </w:r>
      <w:r w:rsidRPr="004768C0">
        <w:rPr>
          <w:rFonts w:asciiTheme="majorBidi" w:hAnsiTheme="majorBidi" w:cstheme="majorBidi"/>
          <w:sz w:val="24"/>
          <w:szCs w:val="24"/>
        </w:rPr>
        <w:t>, ( Lampung: Disertasi Program Pascasarjana Institut Agama Islam Negeri ( IAIN) Raden Intan Lampung, 2015)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Rangkuti, Ramlan Yusuf, </w:t>
      </w:r>
      <w:r w:rsidRPr="004768C0">
        <w:rPr>
          <w:rFonts w:asciiTheme="majorBidi" w:hAnsiTheme="majorBidi" w:cstheme="majorBidi"/>
          <w:i/>
          <w:iCs/>
        </w:rPr>
        <w:t>Pembaruan Hukum Islam di Indonesia ( Studi Tentang Kompilasi Hukum Islam</w:t>
      </w:r>
      <w:r w:rsidRPr="004768C0">
        <w:rPr>
          <w:rFonts w:asciiTheme="majorBidi" w:hAnsiTheme="majorBidi" w:cstheme="majorBidi"/>
        </w:rPr>
        <w:t>), Disertasi ( Jakarta: UIN Syahid, 2007)</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ind w:left="720" w:hanging="720"/>
        <w:jc w:val="both"/>
        <w:rPr>
          <w:rFonts w:asciiTheme="majorBidi" w:hAnsiTheme="majorBidi" w:cstheme="majorBidi"/>
        </w:rPr>
      </w:pPr>
      <w:r w:rsidRPr="004768C0">
        <w:rPr>
          <w:rFonts w:asciiTheme="majorBidi" w:hAnsiTheme="majorBidi" w:cstheme="majorBidi"/>
        </w:rPr>
        <w:t xml:space="preserve">Rohayana, Ade Dedi, </w:t>
      </w:r>
      <w:r w:rsidRPr="004768C0">
        <w:rPr>
          <w:rFonts w:asciiTheme="majorBidi" w:hAnsiTheme="majorBidi" w:cstheme="majorBidi"/>
          <w:i/>
          <w:iCs/>
        </w:rPr>
        <w:t>Qawā‘id fiqhiyyah dan Pengaruhnya Terhadap Perbedaan Pendapat Ulama</w:t>
      </w:r>
      <w:r w:rsidRPr="004768C0">
        <w:rPr>
          <w:rFonts w:asciiTheme="majorBidi" w:hAnsiTheme="majorBidi" w:cstheme="majorBidi"/>
        </w:rPr>
        <w:t>, (Disertasi Sekolah Pascasarjana UIN Syarif Hidayatullah Jakara, 2008)</w:t>
      </w:r>
    </w:p>
    <w:p w:rsidR="00343B61" w:rsidRPr="004768C0" w:rsidRDefault="00343B61" w:rsidP="00343B61">
      <w:pPr>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Sabri Samin, </w:t>
      </w:r>
      <w:r w:rsidRPr="004768C0">
        <w:rPr>
          <w:rFonts w:asciiTheme="majorBidi" w:hAnsiTheme="majorBidi" w:cstheme="majorBidi"/>
          <w:i/>
          <w:iCs/>
          <w:sz w:val="24"/>
          <w:szCs w:val="24"/>
        </w:rPr>
        <w:t>Pidana Islam dalam Politik Hukum Indoensia: Elektisisme dan Pandangan Non Muslim</w:t>
      </w:r>
      <w:r w:rsidRPr="004768C0">
        <w:rPr>
          <w:rFonts w:asciiTheme="majorBidi" w:hAnsiTheme="majorBidi" w:cstheme="majorBidi"/>
          <w:sz w:val="24"/>
          <w:szCs w:val="24"/>
        </w:rPr>
        <w:t>,( Jakarta: Kholam Publishing,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Pr="004768C0" w:rsidRDefault="00343B61" w:rsidP="00343B61">
      <w:pPr>
        <w:pStyle w:val="ListParagraph"/>
        <w:ind w:hanging="720"/>
        <w:jc w:val="both"/>
        <w:rPr>
          <w:rFonts w:asciiTheme="majorBidi" w:hAnsiTheme="majorBidi" w:cstheme="majorBidi"/>
          <w:sz w:val="24"/>
          <w:szCs w:val="24"/>
        </w:rPr>
      </w:pPr>
      <w:r w:rsidRPr="004768C0">
        <w:rPr>
          <w:rFonts w:asciiTheme="majorBidi" w:hAnsiTheme="majorBidi" w:cstheme="majorBidi"/>
          <w:sz w:val="24"/>
          <w:szCs w:val="24"/>
        </w:rPr>
        <w:t xml:space="preserve">Saebani, Beni Ahmad </w:t>
      </w:r>
      <w:r w:rsidRPr="004768C0">
        <w:rPr>
          <w:rFonts w:asciiTheme="majorBidi" w:hAnsiTheme="majorBidi" w:cstheme="majorBidi"/>
          <w:i/>
          <w:iCs/>
          <w:sz w:val="24"/>
          <w:szCs w:val="24"/>
        </w:rPr>
        <w:t>Fiqh Siyasah, Terminologi dan Lintas Sejarah Politik Islam Sejak Muhammad Saw Hingga Al-Khulafa Ar-Rasyidun</w:t>
      </w:r>
      <w:r w:rsidRPr="004768C0">
        <w:rPr>
          <w:rFonts w:asciiTheme="majorBidi" w:hAnsiTheme="majorBidi" w:cstheme="majorBidi"/>
          <w:sz w:val="24"/>
          <w:szCs w:val="24"/>
        </w:rPr>
        <w:t>, ( Bandung: Pustaka Setia, 2015)</w:t>
      </w:r>
    </w:p>
    <w:p w:rsidR="00343B61" w:rsidRDefault="00343B61" w:rsidP="00343B61">
      <w:pPr>
        <w:pStyle w:val="FootnoteText"/>
        <w:spacing w:line="276" w:lineRule="auto"/>
        <w:ind w:left="720" w:hanging="720"/>
        <w:jc w:val="both"/>
        <w:rPr>
          <w:rFonts w:asciiTheme="majorBidi" w:eastAsia="Garamond" w:hAnsiTheme="majorBidi" w:cstheme="majorBidi"/>
          <w:iCs/>
          <w:sz w:val="24"/>
          <w:szCs w:val="24"/>
        </w:rPr>
      </w:pPr>
      <w:r w:rsidRPr="004768C0">
        <w:rPr>
          <w:rFonts w:asciiTheme="majorBidi" w:eastAsia="Garamond" w:hAnsiTheme="majorBidi" w:cstheme="majorBidi"/>
          <w:sz w:val="24"/>
          <w:szCs w:val="24"/>
        </w:rPr>
        <w:t xml:space="preserve">Saleh,Wantjik, </w:t>
      </w:r>
      <w:r w:rsidRPr="004768C0">
        <w:rPr>
          <w:rFonts w:asciiTheme="majorBidi" w:eastAsia="Garamond" w:hAnsiTheme="majorBidi" w:cstheme="majorBidi"/>
          <w:i/>
          <w:sz w:val="24"/>
          <w:szCs w:val="24"/>
        </w:rPr>
        <w:t xml:space="preserve">Hukum Perkawinan Indonesia, </w:t>
      </w:r>
      <w:r w:rsidRPr="004768C0">
        <w:rPr>
          <w:rFonts w:asciiTheme="majorBidi" w:eastAsia="Garamond" w:hAnsiTheme="majorBidi" w:cstheme="majorBidi"/>
          <w:iCs/>
          <w:sz w:val="24"/>
          <w:szCs w:val="24"/>
        </w:rPr>
        <w:t>( Jakarta: Balai Aksara, 1987)</w:t>
      </w:r>
    </w:p>
    <w:p w:rsidR="00343B61" w:rsidRPr="004768C0" w:rsidRDefault="00343B61" w:rsidP="00343B61">
      <w:pPr>
        <w:pStyle w:val="FootnoteText"/>
        <w:spacing w:line="276" w:lineRule="auto"/>
        <w:ind w:left="720" w:hanging="720"/>
        <w:jc w:val="both"/>
        <w:rPr>
          <w:rFonts w:asciiTheme="majorBidi" w:eastAsia="Garamond" w:hAnsiTheme="majorBidi" w:cstheme="majorBidi"/>
          <w:iCs/>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Shiddiqi, Nouuzzaman </w:t>
      </w:r>
      <w:r w:rsidRPr="004768C0">
        <w:rPr>
          <w:rFonts w:asciiTheme="majorBidi" w:hAnsiTheme="majorBidi" w:cstheme="majorBidi"/>
          <w:i/>
          <w:iCs/>
          <w:sz w:val="24"/>
          <w:szCs w:val="24"/>
        </w:rPr>
        <w:t>Fiqh Indonesia Penggagas dan Gagasannya</w:t>
      </w:r>
      <w:r w:rsidRPr="004768C0">
        <w:rPr>
          <w:rFonts w:asciiTheme="majorBidi" w:hAnsiTheme="majorBidi" w:cstheme="majorBidi"/>
          <w:sz w:val="24"/>
          <w:szCs w:val="24"/>
        </w:rPr>
        <w:t>,( Yogyakarta: Pustaka Pelajar, 1997), cet I</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Shihab, M. Quraish </w:t>
      </w:r>
      <w:r w:rsidRPr="004768C0">
        <w:rPr>
          <w:rFonts w:asciiTheme="majorBidi" w:hAnsiTheme="majorBidi" w:cstheme="majorBidi"/>
          <w:i/>
          <w:iCs/>
          <w:sz w:val="24"/>
          <w:szCs w:val="24"/>
        </w:rPr>
        <w:t>Wawasan Al-Qur’ān, Tafsir Tematik Atas Perbagai Persolan Umat</w:t>
      </w:r>
      <w:r w:rsidRPr="004768C0">
        <w:rPr>
          <w:rFonts w:asciiTheme="majorBidi" w:hAnsiTheme="majorBidi" w:cstheme="majorBidi"/>
          <w:sz w:val="24"/>
          <w:szCs w:val="24"/>
        </w:rPr>
        <w:t>, ( Bandung: Mizan, 2013)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Shihab, M.Quraish, </w:t>
      </w:r>
      <w:r w:rsidRPr="004768C0">
        <w:rPr>
          <w:rFonts w:asciiTheme="majorBidi" w:hAnsiTheme="majorBidi" w:cstheme="majorBidi"/>
          <w:i/>
          <w:iCs/>
          <w:sz w:val="24"/>
          <w:szCs w:val="24"/>
        </w:rPr>
        <w:t>Tafsir al-Misbah Pesan Kesan dan Keserasian Al-Qur’an,</w:t>
      </w:r>
      <w:r w:rsidRPr="004768C0">
        <w:rPr>
          <w:rFonts w:asciiTheme="majorBidi" w:hAnsiTheme="majorBidi" w:cstheme="majorBidi"/>
          <w:sz w:val="24"/>
          <w:szCs w:val="24"/>
        </w:rPr>
        <w:t>( Bandung: Muzan, 2000)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Sholeh, Asrarun Ni’am, </w:t>
      </w:r>
      <w:r w:rsidRPr="004768C0">
        <w:rPr>
          <w:rFonts w:asciiTheme="majorBidi" w:hAnsiTheme="majorBidi" w:cstheme="majorBidi"/>
          <w:i/>
          <w:iCs/>
          <w:sz w:val="24"/>
          <w:szCs w:val="24"/>
        </w:rPr>
        <w:t xml:space="preserve">Fatwa-fatwa masalah Pernikahan dan Keluarga, </w:t>
      </w:r>
      <w:r>
        <w:rPr>
          <w:rFonts w:asciiTheme="majorBidi" w:hAnsiTheme="majorBidi" w:cstheme="majorBidi"/>
          <w:sz w:val="24"/>
          <w:szCs w:val="24"/>
        </w:rPr>
        <w:t>( Jakarta: Elsas,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Sholeh, Asrarun Ni’am, </w:t>
      </w:r>
      <w:r w:rsidRPr="004768C0">
        <w:rPr>
          <w:rFonts w:asciiTheme="majorBidi" w:hAnsiTheme="majorBidi" w:cstheme="majorBidi"/>
          <w:i/>
          <w:iCs/>
          <w:sz w:val="24"/>
          <w:szCs w:val="24"/>
        </w:rPr>
        <w:t>Solusi Hukum Islam Terhadap Masalah Keumatan dan Kebangsaan</w:t>
      </w:r>
      <w:r w:rsidRPr="004768C0">
        <w:rPr>
          <w:rFonts w:asciiTheme="majorBidi" w:hAnsiTheme="majorBidi" w:cstheme="majorBidi"/>
          <w:sz w:val="24"/>
          <w:szCs w:val="24"/>
        </w:rPr>
        <w:t>, ( Jakarta: Majelis Ulama Indonesia, 2012)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Sholeh, Asror Ni’am, </w:t>
      </w:r>
      <w:r w:rsidRPr="004768C0">
        <w:rPr>
          <w:rFonts w:asciiTheme="majorBidi" w:hAnsiTheme="majorBidi" w:cstheme="majorBidi"/>
          <w:i/>
          <w:iCs/>
          <w:sz w:val="24"/>
          <w:szCs w:val="24"/>
          <w:lang w:val="sv-SE"/>
        </w:rPr>
        <w:t xml:space="preserve">Sadd add-Dzari’ah dan Aplikasinya dalam Fatwa Majelis Ulama Indonesia, </w:t>
      </w:r>
      <w:r w:rsidRPr="004768C0">
        <w:rPr>
          <w:rFonts w:asciiTheme="majorBidi" w:hAnsiTheme="majorBidi" w:cstheme="majorBidi"/>
          <w:sz w:val="24"/>
          <w:szCs w:val="24"/>
          <w:lang w:val="sv-SE"/>
        </w:rPr>
        <w:t>Disertasi Doktor Konsentrasi Syari’ah ( Jakarta: Perpustakaan Pascasarjana UIN Syarif Hidatullah,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Sirajuddin, </w:t>
      </w:r>
      <w:r w:rsidRPr="004768C0">
        <w:rPr>
          <w:rFonts w:asciiTheme="majorBidi" w:hAnsiTheme="majorBidi" w:cstheme="majorBidi"/>
          <w:i/>
          <w:iCs/>
          <w:sz w:val="24"/>
          <w:szCs w:val="24"/>
        </w:rPr>
        <w:t>Legislasi Hukum Islam di Indonesia</w:t>
      </w:r>
      <w:r w:rsidRPr="004768C0">
        <w:rPr>
          <w:rFonts w:asciiTheme="majorBidi" w:hAnsiTheme="majorBidi" w:cstheme="majorBidi"/>
          <w:sz w:val="24"/>
          <w:szCs w:val="24"/>
        </w:rPr>
        <w:t>, ( Yogy</w:t>
      </w:r>
      <w:r>
        <w:rPr>
          <w:rFonts w:asciiTheme="majorBidi" w:hAnsiTheme="majorBidi" w:cstheme="majorBidi"/>
          <w:sz w:val="24"/>
          <w:szCs w:val="24"/>
        </w:rPr>
        <w:t>akarta: Pustaka Pelajar,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Sjadzali, Munawir </w:t>
      </w:r>
      <w:r w:rsidRPr="004768C0">
        <w:rPr>
          <w:rFonts w:asciiTheme="majorBidi" w:hAnsiTheme="majorBidi" w:cstheme="majorBidi"/>
          <w:i/>
          <w:sz w:val="24"/>
          <w:szCs w:val="24"/>
        </w:rPr>
        <w:t xml:space="preserve">Islam dan Tata Negara, Ajaran, Sejarah dan pemikiran, </w:t>
      </w:r>
      <w:r w:rsidRPr="004768C0">
        <w:rPr>
          <w:rFonts w:asciiTheme="majorBidi" w:hAnsiTheme="majorBidi" w:cstheme="majorBidi"/>
          <w:sz w:val="24"/>
          <w:szCs w:val="24"/>
        </w:rPr>
        <w:t>(Jakarta : UI Press, 1991)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Sopa, </w:t>
      </w:r>
      <w:r w:rsidRPr="004768C0">
        <w:rPr>
          <w:rFonts w:asciiTheme="majorBidi" w:hAnsiTheme="majorBidi" w:cstheme="majorBidi"/>
          <w:i/>
          <w:iCs/>
          <w:sz w:val="24"/>
          <w:szCs w:val="24"/>
          <w:lang w:val="sv-SE"/>
        </w:rPr>
        <w:t xml:space="preserve">Sertifikasi Halal Majelis Ulama Indonesia: Studi Atas Fatwa Halal MUI Terhadap Produk Makanan, Obat-obatan dan Kosmetika, </w:t>
      </w:r>
      <w:r w:rsidRPr="004768C0">
        <w:rPr>
          <w:rFonts w:asciiTheme="majorBidi" w:hAnsiTheme="majorBidi" w:cstheme="majorBidi"/>
          <w:sz w:val="24"/>
          <w:szCs w:val="24"/>
          <w:lang w:val="sv-SE"/>
        </w:rPr>
        <w:t>( Jakarta: Gaung Persada Press Group, 2013)</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Sopyan, Yayan, </w:t>
      </w:r>
      <w:r w:rsidRPr="004768C0">
        <w:rPr>
          <w:rFonts w:asciiTheme="majorBidi" w:hAnsiTheme="majorBidi" w:cstheme="majorBidi"/>
          <w:i/>
          <w:iCs/>
          <w:sz w:val="24"/>
          <w:szCs w:val="24"/>
        </w:rPr>
        <w:t>Transformasi Hukum Islam ke Dalam Sistem Hukum Nasional</w:t>
      </w:r>
      <w:r w:rsidRPr="004768C0">
        <w:rPr>
          <w:rFonts w:asciiTheme="majorBidi" w:hAnsiTheme="majorBidi" w:cstheme="majorBidi"/>
          <w:sz w:val="24"/>
          <w:szCs w:val="24"/>
        </w:rPr>
        <w:t>, (Disertasi SPS Jakarta, 2007).</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Subadio, Maria Ulfa</w:t>
      </w:r>
      <w:r w:rsidRPr="004768C0">
        <w:rPr>
          <w:rFonts w:asciiTheme="majorBidi" w:hAnsiTheme="majorBidi" w:cstheme="majorBidi"/>
          <w:i/>
          <w:iCs/>
          <w:sz w:val="24"/>
          <w:szCs w:val="24"/>
        </w:rPr>
        <w:t>, Perjuangan Untuk Mencapai UU Perkawinan</w:t>
      </w:r>
      <w:r w:rsidRPr="004768C0">
        <w:rPr>
          <w:rFonts w:asciiTheme="majorBidi" w:hAnsiTheme="majorBidi" w:cstheme="majorBidi"/>
          <w:sz w:val="24"/>
          <w:szCs w:val="24"/>
        </w:rPr>
        <w:t xml:space="preserve">, ( Jakarta:  Yayasan Idayu, 1981)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Sukarja, Ahmad, </w:t>
      </w:r>
      <w:r w:rsidRPr="004768C0">
        <w:rPr>
          <w:rFonts w:asciiTheme="majorBidi" w:hAnsiTheme="majorBidi" w:cstheme="majorBidi"/>
          <w:i/>
          <w:iCs/>
          <w:sz w:val="24"/>
          <w:szCs w:val="24"/>
        </w:rPr>
        <w:t>Piagam Madinah dan UUD 1945</w:t>
      </w:r>
      <w:r w:rsidRPr="004768C0">
        <w:rPr>
          <w:rFonts w:asciiTheme="majorBidi" w:hAnsiTheme="majorBidi" w:cstheme="majorBidi"/>
          <w:sz w:val="24"/>
          <w:szCs w:val="24"/>
        </w:rPr>
        <w:t xml:space="preserve">, ( Jakarta: Universitas Indonesia Press, 1995) </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Supian, Aan</w:t>
      </w:r>
      <w:r w:rsidRPr="004768C0">
        <w:rPr>
          <w:rFonts w:asciiTheme="majorBidi" w:hAnsiTheme="majorBidi" w:cstheme="majorBidi"/>
          <w:i/>
          <w:iCs/>
          <w:sz w:val="24"/>
          <w:szCs w:val="24"/>
        </w:rPr>
        <w:t>, Konsep Syadz dan ‘Illat Kriteria Matan Hadis</w:t>
      </w:r>
      <w:r w:rsidRPr="004768C0">
        <w:rPr>
          <w:rFonts w:asciiTheme="majorBidi" w:hAnsiTheme="majorBidi" w:cstheme="majorBidi"/>
          <w:sz w:val="24"/>
          <w:szCs w:val="24"/>
        </w:rPr>
        <w:t xml:space="preserve">, </w:t>
      </w:r>
      <w:r w:rsidRPr="004768C0">
        <w:rPr>
          <w:rFonts w:asciiTheme="majorBidi" w:hAnsiTheme="majorBidi" w:cstheme="majorBidi"/>
          <w:i/>
          <w:iCs/>
          <w:sz w:val="24"/>
          <w:szCs w:val="24"/>
        </w:rPr>
        <w:t>op,cit</w:t>
      </w:r>
      <w:r w:rsidRPr="004768C0">
        <w:rPr>
          <w:rFonts w:asciiTheme="majorBidi" w:hAnsiTheme="majorBidi" w:cstheme="majorBidi"/>
          <w:sz w:val="24"/>
          <w:szCs w:val="24"/>
        </w:rPr>
        <w:t>., (t.t:  Studia Press,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Suyanto, Bagong dkk, </w:t>
      </w:r>
      <w:r w:rsidRPr="004768C0">
        <w:rPr>
          <w:rFonts w:asciiTheme="majorBidi" w:hAnsiTheme="majorBidi" w:cstheme="majorBidi"/>
          <w:i/>
          <w:iCs/>
          <w:sz w:val="24"/>
          <w:szCs w:val="24"/>
        </w:rPr>
        <w:t>Metode Penelitian Sosial, berbagai Alternatif Pendekatan,</w:t>
      </w:r>
      <w:r w:rsidRPr="004768C0">
        <w:rPr>
          <w:rFonts w:asciiTheme="majorBidi" w:hAnsiTheme="majorBidi" w:cstheme="majorBidi"/>
          <w:sz w:val="24"/>
          <w:szCs w:val="24"/>
        </w:rPr>
        <w:t xml:space="preserve"> ( Jakarta: Prenada Media Group, 2011)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Syahuri, Taufiqurrohman, </w:t>
      </w:r>
      <w:r w:rsidRPr="004768C0">
        <w:rPr>
          <w:rFonts w:asciiTheme="majorBidi" w:hAnsiTheme="majorBidi" w:cstheme="majorBidi"/>
          <w:i/>
          <w:iCs/>
          <w:sz w:val="24"/>
          <w:szCs w:val="24"/>
        </w:rPr>
        <w:t>Legislasi Hukum Perkawinan di Indonesia, Pro-Kontra Pembentukannya Hingga Putusan Mahkamah Konstitusi</w:t>
      </w:r>
      <w:r w:rsidRPr="004768C0">
        <w:rPr>
          <w:rFonts w:asciiTheme="majorBidi" w:hAnsiTheme="majorBidi" w:cstheme="majorBidi"/>
          <w:sz w:val="24"/>
          <w:szCs w:val="24"/>
        </w:rPr>
        <w:t>, ( Jakarta: Prenadamedia Group, 2015)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Syaifuddin, Muhammad, dkk, </w:t>
      </w:r>
      <w:r w:rsidRPr="004768C0">
        <w:rPr>
          <w:rFonts w:asciiTheme="majorBidi" w:hAnsiTheme="majorBidi" w:cstheme="majorBidi"/>
          <w:i/>
          <w:iCs/>
        </w:rPr>
        <w:t>Hukum Perceraian</w:t>
      </w:r>
      <w:r w:rsidRPr="004768C0">
        <w:rPr>
          <w:rFonts w:asciiTheme="majorBidi" w:hAnsiTheme="majorBidi" w:cstheme="majorBidi"/>
        </w:rPr>
        <w:t>, ( Jakarta: Sinar Grafika, 2013)</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Syam, Ichwan, dkk, </w:t>
      </w:r>
      <w:r w:rsidRPr="004768C0">
        <w:rPr>
          <w:rFonts w:asciiTheme="majorBidi" w:hAnsiTheme="majorBidi" w:cstheme="majorBidi"/>
          <w:i/>
          <w:iCs/>
          <w:sz w:val="24"/>
          <w:szCs w:val="24"/>
        </w:rPr>
        <w:t>Himpunan Keputusan Ijtima Ulama Komisa Fatwa MUI se-Indonesia IV Tahun 2012 di Ponpes Cipasung, Tasikmalaya</w:t>
      </w:r>
      <w:r w:rsidRPr="004768C0">
        <w:rPr>
          <w:rFonts w:asciiTheme="majorBidi" w:hAnsiTheme="majorBidi" w:cstheme="majorBidi"/>
          <w:sz w:val="24"/>
          <w:szCs w:val="24"/>
        </w:rPr>
        <w:t>, ( Jakarta: Majelis Ulama Indonesia, 2012)</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Syarifuddin, Amir, </w:t>
      </w:r>
      <w:r w:rsidRPr="004768C0">
        <w:rPr>
          <w:rFonts w:asciiTheme="majorBidi" w:hAnsiTheme="majorBidi" w:cstheme="majorBidi"/>
          <w:i/>
          <w:iCs/>
          <w:sz w:val="24"/>
          <w:szCs w:val="24"/>
        </w:rPr>
        <w:t>Hukum Perkawninan Islam di Indonesia Anatara Fiqh Munakahat dan Undang-Undang Perkawinan</w:t>
      </w:r>
      <w:r w:rsidRPr="004768C0">
        <w:rPr>
          <w:rFonts w:asciiTheme="majorBidi" w:hAnsiTheme="majorBidi" w:cstheme="majorBidi"/>
          <w:sz w:val="24"/>
          <w:szCs w:val="24"/>
        </w:rPr>
        <w:t>, ( Jakarta: PrenadaMedia group, 2006)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Syarifuddin, Amir, </w:t>
      </w:r>
      <w:r w:rsidRPr="004768C0">
        <w:rPr>
          <w:rFonts w:asciiTheme="majorBidi" w:hAnsiTheme="majorBidi" w:cstheme="majorBidi"/>
          <w:i/>
          <w:iCs/>
          <w:sz w:val="24"/>
          <w:szCs w:val="24"/>
        </w:rPr>
        <w:t>Pelaksanaan Hukum Kewarisan Islam Dalam Lingkungan Minangkanbau</w:t>
      </w:r>
      <w:r w:rsidRPr="004768C0">
        <w:rPr>
          <w:rFonts w:asciiTheme="majorBidi" w:hAnsiTheme="majorBidi" w:cstheme="majorBidi"/>
          <w:sz w:val="24"/>
          <w:szCs w:val="24"/>
        </w:rPr>
        <w:t>, (Jakarta: Gunung Agung, 1984)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Syarifuddin, Amir, </w:t>
      </w:r>
      <w:r w:rsidRPr="004768C0">
        <w:rPr>
          <w:rFonts w:asciiTheme="majorBidi" w:hAnsiTheme="majorBidi" w:cstheme="majorBidi"/>
          <w:i/>
          <w:iCs/>
        </w:rPr>
        <w:t>Pembaharuan Pemikiran dalam Hukum Islam</w:t>
      </w:r>
      <w:r w:rsidRPr="004768C0">
        <w:rPr>
          <w:rFonts w:asciiTheme="majorBidi" w:hAnsiTheme="majorBidi" w:cstheme="majorBidi"/>
        </w:rPr>
        <w:t xml:space="preserve"> (Cet. II; Padang: Angkasa Raya, 1993)</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Syarifuddin, Amir, </w:t>
      </w:r>
      <w:r w:rsidRPr="004768C0">
        <w:rPr>
          <w:rFonts w:asciiTheme="majorBidi" w:hAnsiTheme="majorBidi" w:cstheme="majorBidi"/>
          <w:i/>
          <w:iCs/>
          <w:sz w:val="24"/>
          <w:szCs w:val="24"/>
        </w:rPr>
        <w:t>Ushul Fiqh</w:t>
      </w:r>
      <w:r w:rsidRPr="004768C0">
        <w:rPr>
          <w:rFonts w:asciiTheme="majorBidi" w:hAnsiTheme="majorBidi" w:cstheme="majorBidi"/>
          <w:sz w:val="24"/>
          <w:szCs w:val="24"/>
        </w:rPr>
        <w:t xml:space="preserve">, ( Jakarta: logos wacana Ilmu,  1999)  </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Syraifuddin, Amir, </w:t>
      </w:r>
      <w:r w:rsidRPr="004768C0">
        <w:rPr>
          <w:rFonts w:asciiTheme="majorBidi" w:hAnsiTheme="majorBidi" w:cstheme="majorBidi"/>
          <w:i/>
          <w:iCs/>
          <w:sz w:val="24"/>
          <w:szCs w:val="24"/>
        </w:rPr>
        <w:t>Meretas Kebekuan Ijtihad; Isu-Isu Penting Hukum Islam Kontemporer Indonesia</w:t>
      </w:r>
      <w:r w:rsidRPr="004768C0">
        <w:rPr>
          <w:rFonts w:asciiTheme="majorBidi" w:hAnsiTheme="majorBidi" w:cstheme="majorBidi"/>
          <w:sz w:val="24"/>
          <w:szCs w:val="24"/>
        </w:rPr>
        <w:t>, ( Jakarta: Ciputat Press,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Syaukani, Imam, </w:t>
      </w:r>
      <w:r w:rsidRPr="004768C0">
        <w:rPr>
          <w:rFonts w:asciiTheme="majorBidi" w:hAnsiTheme="majorBidi" w:cstheme="majorBidi"/>
          <w:i/>
          <w:iCs/>
          <w:sz w:val="24"/>
          <w:szCs w:val="24"/>
        </w:rPr>
        <w:t>Rekonstruksi Epistemologi Hukum Islam Indonesia dan Relevansinya Bagi Pembanginan Hukum Nasional</w:t>
      </w:r>
      <w:r w:rsidRPr="004768C0">
        <w:rPr>
          <w:rFonts w:asciiTheme="majorBidi" w:hAnsiTheme="majorBidi" w:cstheme="majorBidi"/>
          <w:sz w:val="24"/>
          <w:szCs w:val="24"/>
        </w:rPr>
        <w:t>,( Jakarta: Raja Grapindo Persada, 2006)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4768C0">
        <w:rPr>
          <w:rFonts w:asciiTheme="majorBidi" w:hAnsiTheme="majorBidi" w:cstheme="majorBidi"/>
          <w:sz w:val="24"/>
          <w:szCs w:val="24"/>
          <w:lang w:val="sv-SE"/>
        </w:rPr>
        <w:t xml:space="preserve">Taufiki, Muhammad, </w:t>
      </w:r>
      <w:r w:rsidRPr="004768C0">
        <w:rPr>
          <w:rFonts w:asciiTheme="majorBidi" w:hAnsiTheme="majorBidi" w:cstheme="majorBidi"/>
          <w:i/>
          <w:iCs/>
          <w:sz w:val="24"/>
          <w:szCs w:val="24"/>
          <w:lang w:val="sv-SE"/>
        </w:rPr>
        <w:t>Penarapan Konsep Ijtihad Tathbiqi Al-Syathibi dalam Fatwa MUI: Kajian Terhadap Fatwa Tahun 1997-2007.</w:t>
      </w:r>
      <w:r w:rsidRPr="004768C0">
        <w:rPr>
          <w:rFonts w:asciiTheme="majorBidi" w:hAnsiTheme="majorBidi" w:cstheme="majorBidi"/>
          <w:sz w:val="24"/>
          <w:szCs w:val="24"/>
          <w:lang w:val="sv-SE"/>
        </w:rPr>
        <w:t>( Jakarta: Disertasi Doktor UIN Jakarta, 2008)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Thaba, Abdullah Aziz, </w:t>
      </w:r>
      <w:r w:rsidRPr="004768C0">
        <w:rPr>
          <w:rFonts w:asciiTheme="majorBidi" w:hAnsiTheme="majorBidi" w:cstheme="majorBidi"/>
          <w:i/>
          <w:iCs/>
        </w:rPr>
        <w:t xml:space="preserve">Islam dan Negara Dalam Politik Orde Baru, </w:t>
      </w:r>
      <w:r w:rsidRPr="004768C0">
        <w:rPr>
          <w:rFonts w:asciiTheme="majorBidi" w:hAnsiTheme="majorBidi" w:cstheme="majorBidi"/>
        </w:rPr>
        <w:t>(Jakarta: Gema Insani Press, 1996)</w:t>
      </w:r>
    </w:p>
    <w:p w:rsidR="00343B61" w:rsidRPr="004768C0"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Tim Penyusun Kamus Pusat Bahasa Departemen Pendidikan Nasional, </w:t>
      </w:r>
      <w:r w:rsidRPr="004768C0">
        <w:rPr>
          <w:rFonts w:asciiTheme="majorBidi" w:hAnsiTheme="majorBidi" w:cstheme="majorBidi"/>
          <w:i/>
          <w:iCs/>
        </w:rPr>
        <w:t>Kamus Besar Bahasa Indonesia</w:t>
      </w:r>
      <w:r w:rsidRPr="004768C0">
        <w:rPr>
          <w:rFonts w:asciiTheme="majorBidi" w:hAnsiTheme="majorBidi" w:cstheme="majorBidi"/>
        </w:rPr>
        <w:t xml:space="preserve"> (Ed. III; Cet. IV; Jakarta: Balai Pustaka, 2007)</w:t>
      </w:r>
    </w:p>
    <w:p w:rsidR="00343B61" w:rsidRPr="004768C0"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Tobibatussaadah, </w:t>
      </w:r>
      <w:r w:rsidRPr="004768C0">
        <w:rPr>
          <w:rFonts w:asciiTheme="majorBidi" w:hAnsiTheme="majorBidi" w:cstheme="majorBidi"/>
          <w:i/>
          <w:iCs/>
          <w:sz w:val="24"/>
          <w:szCs w:val="24"/>
        </w:rPr>
        <w:t>Fatwa-Fatwa Majelis Ulama Indonesia 2005: Otoritas Keagamaan Versus Liberalisasi Pemikiran Islam Pasca Orde Baru</w:t>
      </w:r>
      <w:r w:rsidRPr="004768C0">
        <w:rPr>
          <w:rFonts w:asciiTheme="majorBidi" w:hAnsiTheme="majorBidi" w:cstheme="majorBidi"/>
          <w:sz w:val="24"/>
          <w:szCs w:val="24"/>
        </w:rPr>
        <w:t>, Tesis UIN Syarif Hidayatullah Jakarta, 2009)</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U. Maman Kh, dkk, </w:t>
      </w:r>
      <w:r w:rsidRPr="004768C0">
        <w:rPr>
          <w:rFonts w:asciiTheme="majorBidi" w:hAnsiTheme="majorBidi" w:cstheme="majorBidi"/>
          <w:i/>
          <w:iCs/>
          <w:sz w:val="24"/>
          <w:szCs w:val="24"/>
        </w:rPr>
        <w:t>Metodologi Penelitian Agama, Teori dan Praktek</w:t>
      </w:r>
      <w:r w:rsidRPr="004768C0">
        <w:rPr>
          <w:rFonts w:asciiTheme="majorBidi" w:hAnsiTheme="majorBidi" w:cstheme="majorBidi"/>
          <w:sz w:val="24"/>
          <w:szCs w:val="24"/>
        </w:rPr>
        <w:t>, ( Jakarta: Raja Grafindo Persada, 2006)</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Usman, Iskandar, </w:t>
      </w:r>
      <w:r w:rsidRPr="004768C0">
        <w:rPr>
          <w:rFonts w:asciiTheme="majorBidi" w:hAnsiTheme="majorBidi" w:cstheme="majorBidi"/>
          <w:i/>
          <w:iCs/>
          <w:sz w:val="24"/>
          <w:szCs w:val="24"/>
        </w:rPr>
        <w:t>Istihsan dan Pembaharuan Hukum Islam</w:t>
      </w:r>
      <w:r w:rsidRPr="004768C0">
        <w:rPr>
          <w:rFonts w:asciiTheme="majorBidi" w:hAnsiTheme="majorBidi" w:cstheme="majorBidi"/>
          <w:sz w:val="24"/>
          <w:szCs w:val="24"/>
        </w:rPr>
        <w:t xml:space="preserve"> (Jakarta: Rajawali dan LSIK, 1998)</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4768C0">
        <w:rPr>
          <w:rFonts w:asciiTheme="majorBidi" w:hAnsiTheme="majorBidi" w:cstheme="majorBidi"/>
        </w:rPr>
        <w:t xml:space="preserve">Usman, Rachmadi, </w:t>
      </w:r>
      <w:r w:rsidRPr="004768C0">
        <w:rPr>
          <w:rFonts w:asciiTheme="majorBidi" w:hAnsiTheme="majorBidi" w:cstheme="majorBidi"/>
          <w:i/>
          <w:iCs/>
        </w:rPr>
        <w:t xml:space="preserve">Perkembangan Hukum Perdata, dalam Dimensi Sejarah dan Politik Hukum di Indonesia, </w:t>
      </w:r>
      <w:r w:rsidRPr="004768C0">
        <w:rPr>
          <w:rFonts w:asciiTheme="majorBidi" w:hAnsiTheme="majorBidi" w:cstheme="majorBidi"/>
        </w:rPr>
        <w:t>(Jakarta: Grafiti, 2003)</w:t>
      </w:r>
    </w:p>
    <w:p w:rsidR="00343B61" w:rsidRPr="004768C0"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Wahid Marzuki dan Rumadi</w:t>
      </w:r>
      <w:r w:rsidRPr="004768C0">
        <w:rPr>
          <w:rFonts w:asciiTheme="majorBidi" w:hAnsiTheme="majorBidi" w:cstheme="majorBidi"/>
          <w:i/>
          <w:iCs/>
          <w:sz w:val="24"/>
          <w:szCs w:val="24"/>
        </w:rPr>
        <w:t>, Fiqh Mazhab Negara; Kritik atas Politik Hukum Islam di Indonesia,</w:t>
      </w:r>
      <w:r w:rsidRPr="004768C0">
        <w:rPr>
          <w:rFonts w:asciiTheme="majorBidi" w:hAnsiTheme="majorBidi" w:cstheme="majorBidi"/>
          <w:sz w:val="24"/>
          <w:szCs w:val="24"/>
        </w:rPr>
        <w:t xml:space="preserve"> ( Yogyakarta: LKis, 2001)</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Wirdaningsih, </w:t>
      </w:r>
      <w:r w:rsidRPr="004768C0">
        <w:rPr>
          <w:rFonts w:asciiTheme="majorBidi" w:hAnsiTheme="majorBidi" w:cstheme="majorBidi"/>
          <w:i/>
          <w:iCs/>
          <w:sz w:val="24"/>
          <w:szCs w:val="24"/>
        </w:rPr>
        <w:t>Bank dan Asuransi islam di Indonesia</w:t>
      </w:r>
      <w:r w:rsidRPr="004768C0">
        <w:rPr>
          <w:rFonts w:asciiTheme="majorBidi" w:hAnsiTheme="majorBidi" w:cstheme="majorBidi"/>
          <w:sz w:val="24"/>
          <w:szCs w:val="24"/>
        </w:rPr>
        <w:t xml:space="preserve"> (Jakarta, Kencana, 2005)</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Yafie, Ali, </w:t>
      </w:r>
      <w:r w:rsidRPr="004768C0">
        <w:rPr>
          <w:rFonts w:asciiTheme="majorBidi" w:hAnsiTheme="majorBidi" w:cstheme="majorBidi"/>
          <w:i/>
          <w:iCs/>
          <w:sz w:val="24"/>
          <w:szCs w:val="24"/>
        </w:rPr>
        <w:t xml:space="preserve">Fikih Sosial </w:t>
      </w:r>
      <w:r w:rsidRPr="004768C0">
        <w:rPr>
          <w:rFonts w:asciiTheme="majorBidi" w:hAnsiTheme="majorBidi" w:cstheme="majorBidi"/>
          <w:sz w:val="24"/>
          <w:szCs w:val="24"/>
        </w:rPr>
        <w:t>(Cet. I; Jakarta: Logos Wacana Ilmu, 1994)</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t xml:space="preserve">Yunus, Mahmud, </w:t>
      </w:r>
      <w:r w:rsidRPr="004768C0">
        <w:rPr>
          <w:rFonts w:asciiTheme="majorBidi" w:hAnsiTheme="majorBidi" w:cstheme="majorBidi"/>
          <w:i/>
          <w:iCs/>
          <w:sz w:val="24"/>
          <w:szCs w:val="24"/>
        </w:rPr>
        <w:t>Kamus Arab Indonesia</w:t>
      </w:r>
      <w:r w:rsidRPr="004768C0">
        <w:rPr>
          <w:rFonts w:asciiTheme="majorBidi" w:hAnsiTheme="majorBidi" w:cstheme="majorBidi"/>
          <w:sz w:val="24"/>
          <w:szCs w:val="24"/>
        </w:rPr>
        <w:t>, (  Jakart</w:t>
      </w:r>
      <w:r>
        <w:rPr>
          <w:rFonts w:asciiTheme="majorBidi" w:hAnsiTheme="majorBidi" w:cstheme="majorBidi"/>
          <w:sz w:val="24"/>
          <w:szCs w:val="24"/>
        </w:rPr>
        <w:t>a: Hidakarya Agung, t.th.  1972</w:t>
      </w:r>
      <w:r w:rsidRPr="004768C0">
        <w:rPr>
          <w:rFonts w:asciiTheme="majorBidi" w:hAnsiTheme="majorBidi" w:cstheme="majorBidi"/>
          <w:sz w:val="24"/>
          <w:szCs w:val="24"/>
        </w:rPr>
        <w:t xml:space="preserve">) </w:t>
      </w: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4768C0">
        <w:rPr>
          <w:rFonts w:asciiTheme="majorBidi" w:hAnsiTheme="majorBidi" w:cstheme="majorBidi"/>
          <w:sz w:val="24"/>
          <w:szCs w:val="24"/>
        </w:rPr>
        <w:lastRenderedPageBreak/>
        <w:t xml:space="preserve">Yusuf,  Fathuddin, </w:t>
      </w:r>
      <w:r w:rsidRPr="004768C0">
        <w:rPr>
          <w:rFonts w:asciiTheme="majorBidi" w:hAnsiTheme="majorBidi" w:cstheme="majorBidi"/>
          <w:i/>
          <w:iCs/>
          <w:sz w:val="24"/>
          <w:szCs w:val="24"/>
        </w:rPr>
        <w:t>Melacak Banda Masjid yang Hilang</w:t>
      </w:r>
      <w:r w:rsidRPr="004768C0">
        <w:rPr>
          <w:rFonts w:asciiTheme="majorBidi" w:hAnsiTheme="majorBidi" w:cstheme="majorBidi"/>
          <w:sz w:val="24"/>
          <w:szCs w:val="24"/>
        </w:rPr>
        <w:t>, ( Semarang: Aneka Ilmu, 2000)</w:t>
      </w:r>
    </w:p>
    <w:p w:rsidR="00343B61" w:rsidRPr="004768C0" w:rsidRDefault="00343B61" w:rsidP="00343B61">
      <w:pPr>
        <w:pStyle w:val="FootnoteText"/>
        <w:spacing w:line="276" w:lineRule="auto"/>
        <w:ind w:left="720" w:hanging="720"/>
        <w:jc w:val="both"/>
        <w:rPr>
          <w:rFonts w:asciiTheme="majorBidi" w:hAnsiTheme="majorBidi" w:cstheme="majorBidi"/>
          <w:sz w:val="24"/>
          <w:szCs w:val="24"/>
        </w:rPr>
      </w:pPr>
    </w:p>
    <w:p w:rsidR="00343B61" w:rsidRPr="001977AE" w:rsidRDefault="00343B61" w:rsidP="00343B61">
      <w:pPr>
        <w:rPr>
          <w:rFonts w:asciiTheme="majorBidi" w:hAnsiTheme="majorBidi" w:cstheme="majorBidi"/>
          <w:b/>
          <w:bCs/>
        </w:rPr>
      </w:pPr>
      <w:r w:rsidRPr="001977AE">
        <w:rPr>
          <w:rFonts w:asciiTheme="majorBidi" w:hAnsiTheme="majorBidi" w:cstheme="majorBidi"/>
          <w:b/>
          <w:bCs/>
        </w:rPr>
        <w:t>Ensiklopedi, Jurnal dan Majalah</w:t>
      </w:r>
    </w:p>
    <w:p w:rsidR="00343B61" w:rsidRPr="00CB1635" w:rsidRDefault="00343B61" w:rsidP="00343B61">
      <w:pPr>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Ahmad, Amrullah, </w:t>
      </w:r>
      <w:r w:rsidRPr="00CB1635">
        <w:rPr>
          <w:rFonts w:asciiTheme="majorBidi" w:hAnsiTheme="majorBidi" w:cstheme="majorBidi"/>
          <w:i/>
          <w:iCs/>
          <w:sz w:val="24"/>
          <w:szCs w:val="24"/>
        </w:rPr>
        <w:t>Dimensi Hukum Islam dalam Sistem Hukum Nasional, Mengenang 65 Tahun Prof. Dr.Bustanul Arifin, SH,</w:t>
      </w:r>
      <w:r w:rsidRPr="00CB1635">
        <w:rPr>
          <w:rFonts w:asciiTheme="majorBidi" w:hAnsiTheme="majorBidi" w:cstheme="majorBidi"/>
          <w:sz w:val="24"/>
          <w:szCs w:val="24"/>
        </w:rPr>
        <w:t xml:space="preserve"> ( Jakarta: Gema Insani Priss, 1996)</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Ali Yafie, </w:t>
      </w:r>
      <w:r w:rsidRPr="00CB1635">
        <w:rPr>
          <w:rFonts w:asciiTheme="majorBidi" w:hAnsiTheme="majorBidi" w:cstheme="majorBidi"/>
          <w:i/>
          <w:iCs/>
          <w:sz w:val="24"/>
          <w:szCs w:val="24"/>
        </w:rPr>
        <w:t>Fatwa Hanya Mengikat Secara Moral</w:t>
      </w:r>
      <w:r w:rsidRPr="00CB1635">
        <w:rPr>
          <w:rFonts w:asciiTheme="majorBidi" w:hAnsiTheme="majorBidi" w:cstheme="majorBidi"/>
          <w:sz w:val="24"/>
          <w:szCs w:val="24"/>
        </w:rPr>
        <w:t xml:space="preserve">, </w:t>
      </w:r>
      <w:r w:rsidRPr="00CB1635">
        <w:rPr>
          <w:rFonts w:asciiTheme="majorBidi" w:hAnsiTheme="majorBidi" w:cstheme="majorBidi"/>
          <w:i/>
          <w:iCs/>
          <w:sz w:val="24"/>
          <w:szCs w:val="24"/>
        </w:rPr>
        <w:t>Tidak Secara Formal</w:t>
      </w:r>
      <w:r w:rsidRPr="00CB1635">
        <w:rPr>
          <w:rFonts w:asciiTheme="majorBidi" w:hAnsiTheme="majorBidi" w:cstheme="majorBidi"/>
          <w:sz w:val="24"/>
          <w:szCs w:val="24"/>
        </w:rPr>
        <w:t xml:space="preserve">, dalam </w:t>
      </w:r>
      <w:r w:rsidRPr="00CB1635">
        <w:rPr>
          <w:rFonts w:asciiTheme="majorBidi" w:hAnsiTheme="majorBidi" w:cstheme="majorBidi"/>
          <w:i/>
          <w:iCs/>
          <w:sz w:val="24"/>
          <w:szCs w:val="24"/>
        </w:rPr>
        <w:t>Mimbar Ulama</w:t>
      </w:r>
      <w:r w:rsidRPr="00CB1635">
        <w:rPr>
          <w:rFonts w:asciiTheme="majorBidi" w:hAnsiTheme="majorBidi" w:cstheme="majorBidi"/>
          <w:sz w:val="24"/>
          <w:szCs w:val="24"/>
        </w:rPr>
        <w:t>, No 124 Tahun XI, edisi Desember 1987</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Ali, A.Mukti, “</w:t>
      </w:r>
      <w:r w:rsidRPr="00CB1635">
        <w:rPr>
          <w:rFonts w:asciiTheme="majorBidi" w:hAnsiTheme="majorBidi" w:cstheme="majorBidi"/>
          <w:i/>
          <w:iCs/>
          <w:sz w:val="24"/>
          <w:szCs w:val="24"/>
        </w:rPr>
        <w:t>Persepsi Buya Hamka : Ulama Sudah Lama Terjual</w:t>
      </w:r>
      <w:r w:rsidRPr="00CB1635">
        <w:rPr>
          <w:rFonts w:asciiTheme="majorBidi" w:hAnsiTheme="majorBidi" w:cstheme="majorBidi"/>
          <w:sz w:val="24"/>
          <w:szCs w:val="24"/>
        </w:rPr>
        <w:t xml:space="preserve">”, dalam: Nasir Tamara, et. al. (penyunting), </w:t>
      </w:r>
      <w:r w:rsidRPr="00CB1635">
        <w:rPr>
          <w:rFonts w:asciiTheme="majorBidi" w:hAnsiTheme="majorBidi" w:cstheme="majorBidi"/>
          <w:i/>
          <w:sz w:val="24"/>
          <w:szCs w:val="24"/>
        </w:rPr>
        <w:t>Hamka di Mata Hati Umat</w:t>
      </w:r>
      <w:r w:rsidRPr="00CB1635">
        <w:rPr>
          <w:rFonts w:asciiTheme="majorBidi" w:hAnsiTheme="majorBidi" w:cstheme="majorBidi"/>
          <w:sz w:val="24"/>
          <w:szCs w:val="24"/>
        </w:rPr>
        <w:t>, (Jakarta : Pustaka Sinar Harapan, 1996)</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outlineLvl w:val="0"/>
        <w:rPr>
          <w:rFonts w:asciiTheme="majorBidi" w:hAnsiTheme="majorBidi" w:cstheme="majorBidi"/>
        </w:rPr>
      </w:pPr>
      <w:r w:rsidRPr="00CB1635">
        <w:rPr>
          <w:rFonts w:asciiTheme="majorBidi" w:hAnsiTheme="majorBidi" w:cstheme="majorBidi"/>
        </w:rPr>
        <w:t xml:space="preserve">Al-Yasa’ Abu Bakar, , </w:t>
      </w:r>
      <w:r w:rsidRPr="00CB1635">
        <w:rPr>
          <w:rFonts w:asciiTheme="majorBidi" w:hAnsiTheme="majorBidi" w:cstheme="majorBidi"/>
          <w:i/>
          <w:iCs/>
          <w:kern w:val="36"/>
        </w:rPr>
        <w:t xml:space="preserve">Al-Siyasah Al-Syar`Iyyah Dan Uli Al-Amr: Pengertian Dan Cakupan Isinya, </w:t>
      </w:r>
      <w:r w:rsidRPr="00CB1635">
        <w:rPr>
          <w:rFonts w:asciiTheme="majorBidi" w:hAnsiTheme="majorBidi" w:cstheme="majorBidi"/>
        </w:rPr>
        <w:t>Makalah ditulis atas permintaan editor untuk Jurnal Tarjih PP Muhammadiyah, Januari 2014</w:t>
      </w:r>
    </w:p>
    <w:p w:rsidR="00343B61" w:rsidRPr="00CB1635" w:rsidRDefault="00343B61" w:rsidP="00343B61">
      <w:pPr>
        <w:ind w:left="720" w:hanging="720"/>
        <w:jc w:val="both"/>
        <w:outlineLvl w:val="0"/>
        <w:rPr>
          <w:rFonts w:asciiTheme="majorBidi" w:hAnsiTheme="majorBidi" w:cstheme="majorBidi"/>
          <w:b/>
          <w:bCs/>
          <w:kern w:val="36"/>
        </w:rPr>
      </w:pPr>
    </w:p>
    <w:p w:rsidR="00343B61" w:rsidRPr="00CB1635"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 xml:space="preserve">Bisri, Hasan, (Peny.), </w:t>
      </w:r>
      <w:r w:rsidRPr="00CB1635">
        <w:rPr>
          <w:rFonts w:asciiTheme="majorBidi" w:hAnsiTheme="majorBidi" w:cstheme="majorBidi"/>
          <w:i/>
          <w:iCs/>
        </w:rPr>
        <w:t xml:space="preserve">Kompilasi Hukum Islam dan Peradilan Agama dalam Sistem Hukum Nasional </w:t>
      </w:r>
      <w:r w:rsidRPr="00CB1635">
        <w:rPr>
          <w:rFonts w:asciiTheme="majorBidi" w:hAnsiTheme="majorBidi" w:cstheme="majorBidi"/>
        </w:rPr>
        <w:t>(Cet. II; Jakarta : Logos Wacana Ilmu, 1999)</w:t>
      </w:r>
    </w:p>
    <w:p w:rsidR="00343B61" w:rsidRDefault="00343B61" w:rsidP="00343B61">
      <w:pPr>
        <w:pStyle w:val="Default"/>
        <w:spacing w:line="276" w:lineRule="auto"/>
        <w:ind w:left="720" w:hanging="720"/>
        <w:jc w:val="both"/>
        <w:rPr>
          <w:rFonts w:asciiTheme="majorBidi" w:hAnsiTheme="majorBidi" w:cstheme="majorBidi"/>
        </w:rPr>
      </w:pPr>
      <w:r w:rsidRPr="00CB1635">
        <w:rPr>
          <w:rFonts w:asciiTheme="majorBidi" w:hAnsiTheme="majorBidi" w:cstheme="majorBidi"/>
        </w:rPr>
        <w:t xml:space="preserve">Borham, Abd Jalil  </w:t>
      </w:r>
      <w:r w:rsidRPr="00CB1635">
        <w:rPr>
          <w:rFonts w:asciiTheme="majorBidi" w:hAnsiTheme="majorBidi" w:cstheme="majorBidi"/>
          <w:i/>
          <w:iCs/>
        </w:rPr>
        <w:t>Konsep siyasah syar`iyyah dan pelaksanaannya Dalam konteks Malaysia</w:t>
      </w:r>
      <w:r w:rsidRPr="00CB1635">
        <w:rPr>
          <w:rFonts w:asciiTheme="majorBidi" w:hAnsiTheme="majorBidi" w:cstheme="majorBidi"/>
        </w:rPr>
        <w:t xml:space="preserve">, Makalah, Disampaikan pada Seminar Nasional dengan teman: </w:t>
      </w:r>
      <w:r w:rsidRPr="00CB1635">
        <w:rPr>
          <w:rFonts w:asciiTheme="majorBidi" w:hAnsiTheme="majorBidi" w:cstheme="majorBidi"/>
          <w:i/>
          <w:iCs/>
        </w:rPr>
        <w:t>Pelaksanaan Siyasah Syar`iyyah Dalam Konteks Masa Kini: Isu Dan Cabaran</w:t>
      </w:r>
      <w:r w:rsidRPr="00CB1635">
        <w:rPr>
          <w:rFonts w:asciiTheme="majorBidi" w:hAnsiTheme="majorBidi" w:cstheme="majorBidi"/>
        </w:rPr>
        <w:t>, anjuran Kolej Universiti Islam Melaka (KUIM) pada 2 Februari, 2013 di Auditorium Pujangga KUIM, Melaka</w:t>
      </w:r>
    </w:p>
    <w:p w:rsidR="00343B61" w:rsidRPr="00CB1635" w:rsidRDefault="00343B61" w:rsidP="00343B61">
      <w:pPr>
        <w:pStyle w:val="Default"/>
        <w:spacing w:line="276" w:lineRule="auto"/>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Dahlan, Abdul Aziz</w:t>
      </w:r>
      <w:r w:rsidRPr="00CB1635">
        <w:rPr>
          <w:rFonts w:asciiTheme="majorBidi" w:hAnsiTheme="majorBidi" w:cstheme="majorBidi"/>
          <w:i/>
          <w:iCs/>
          <w:sz w:val="24"/>
          <w:szCs w:val="24"/>
        </w:rPr>
        <w:t>, Ensiklopedi Hukum Islam</w:t>
      </w:r>
      <w:r w:rsidRPr="00CB1635">
        <w:rPr>
          <w:rFonts w:asciiTheme="majorBidi" w:hAnsiTheme="majorBidi" w:cstheme="majorBidi"/>
          <w:sz w:val="24"/>
          <w:szCs w:val="24"/>
        </w:rPr>
        <w:t>, (Jakarta: Ichti</w:t>
      </w:r>
      <w:r>
        <w:rPr>
          <w:rFonts w:asciiTheme="majorBidi" w:hAnsiTheme="majorBidi" w:cstheme="majorBidi"/>
          <w:sz w:val="24"/>
          <w:szCs w:val="24"/>
        </w:rPr>
        <w:t>ar Baru Van Hoeve, 1996)</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 xml:space="preserve">Departemen Agama RI, </w:t>
      </w:r>
      <w:r w:rsidRPr="00CB1635">
        <w:rPr>
          <w:rFonts w:asciiTheme="majorBidi" w:hAnsiTheme="majorBidi" w:cstheme="majorBidi"/>
          <w:i/>
          <w:iCs/>
        </w:rPr>
        <w:t>Ensiklopedia Islam di Indonesia</w:t>
      </w:r>
      <w:r w:rsidRPr="00CB1635">
        <w:rPr>
          <w:rFonts w:asciiTheme="majorBidi" w:hAnsiTheme="majorBidi" w:cstheme="majorBidi"/>
        </w:rPr>
        <w:t>, ( Jakarta: Direktorat Jendral Pembinaan Kelembagaan Agama Islam Proyek Peningkatan Prasarana dan Sarana Perguruan Tinggi Agama/ IAIN, 1992/1993)</w:t>
      </w:r>
    </w:p>
    <w:p w:rsidR="00343B61" w:rsidRPr="00CB1635"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ind w:left="720" w:hanging="720"/>
        <w:jc w:val="both"/>
        <w:rPr>
          <w:rFonts w:asciiTheme="majorBidi" w:hAnsiTheme="majorBidi" w:cstheme="majorBidi"/>
          <w:lang w:val="fi-FI"/>
        </w:rPr>
      </w:pPr>
      <w:r w:rsidRPr="00CB1635">
        <w:rPr>
          <w:rFonts w:asciiTheme="majorBidi" w:hAnsiTheme="majorBidi" w:cstheme="majorBidi"/>
          <w:lang w:val="sv-SE"/>
        </w:rPr>
        <w:t xml:space="preserve">Departemen Agama, </w:t>
      </w:r>
      <w:r w:rsidRPr="00CB1635">
        <w:rPr>
          <w:rFonts w:asciiTheme="majorBidi" w:hAnsiTheme="majorBidi" w:cstheme="majorBidi"/>
          <w:i/>
          <w:iCs/>
          <w:lang w:val="sv-SE"/>
        </w:rPr>
        <w:t>Himpunan Peraturan Perundang-undangan Perkawinan.</w:t>
      </w:r>
      <w:r w:rsidRPr="00CB1635">
        <w:rPr>
          <w:rFonts w:asciiTheme="majorBidi" w:hAnsiTheme="majorBidi" w:cstheme="majorBidi"/>
          <w:lang w:val="fi-FI"/>
        </w:rPr>
        <w:t xml:space="preserve"> ( Jakarta : Dirjen Bimas Islam dan Penyelenggaraan Haji, 2001) </w:t>
      </w:r>
    </w:p>
    <w:p w:rsidR="00343B61" w:rsidRPr="00CB1635" w:rsidRDefault="00343B61" w:rsidP="00343B61">
      <w:pPr>
        <w:ind w:left="720" w:hanging="720"/>
        <w:jc w:val="both"/>
        <w:rPr>
          <w:rFonts w:asciiTheme="majorBidi" w:hAnsiTheme="majorBidi" w:cstheme="majorBidi"/>
          <w:lang w:val="fi-FI"/>
        </w:rPr>
      </w:pPr>
    </w:p>
    <w:p w:rsidR="00343B61"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 xml:space="preserve">Direktorat Jenderal Bimbingan Masyarakat Islam dan Penyelenggaraan Haji, </w:t>
      </w:r>
      <w:r w:rsidRPr="00CB1635">
        <w:rPr>
          <w:rFonts w:asciiTheme="majorBidi" w:hAnsiTheme="majorBidi" w:cstheme="majorBidi"/>
          <w:i/>
          <w:iCs/>
        </w:rPr>
        <w:t>Himpunan Fatwa Majelis Ulama Indonesia</w:t>
      </w:r>
      <w:r w:rsidRPr="00CB1635">
        <w:rPr>
          <w:rFonts w:asciiTheme="majorBidi" w:hAnsiTheme="majorBidi" w:cstheme="majorBidi"/>
        </w:rPr>
        <w:t>, (Jakarta: Departemen Agama RI, 2003)</w:t>
      </w:r>
    </w:p>
    <w:p w:rsidR="00343B61" w:rsidRPr="00CB1635"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 xml:space="preserve">Efendi, Satria, “ </w:t>
      </w:r>
      <w:r w:rsidRPr="00CB1635">
        <w:rPr>
          <w:rFonts w:asciiTheme="majorBidi" w:hAnsiTheme="majorBidi" w:cstheme="majorBidi"/>
          <w:i/>
          <w:iCs/>
        </w:rPr>
        <w:t>Maqâsid al-Syari’ah dan Perubahan Sosial</w:t>
      </w:r>
      <w:r w:rsidRPr="00CB1635">
        <w:rPr>
          <w:rFonts w:asciiTheme="majorBidi" w:hAnsiTheme="majorBidi" w:cstheme="majorBidi"/>
        </w:rPr>
        <w:t>”, dimuat dalam Dialog ( Badan Litbang-Depag, No, 33 tahun XV, Januari, 1991)</w:t>
      </w:r>
    </w:p>
    <w:p w:rsidR="00343B61" w:rsidRPr="00CB1635"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 xml:space="preserve">Hidayati, Rahmi, </w:t>
      </w:r>
      <w:r w:rsidRPr="00CB1635">
        <w:rPr>
          <w:rFonts w:asciiTheme="majorBidi" w:hAnsiTheme="majorBidi" w:cstheme="majorBidi"/>
          <w:i/>
          <w:iCs/>
        </w:rPr>
        <w:t>Paradigma Fiqh Indonesia Dalam Bingkai Reformasi Hukum Islam</w:t>
      </w:r>
      <w:r w:rsidRPr="00CB1635">
        <w:rPr>
          <w:rFonts w:asciiTheme="majorBidi" w:hAnsiTheme="majorBidi" w:cstheme="majorBidi"/>
        </w:rPr>
        <w:t>, dalam: AL-RISALAH Jurnal Kajian Hukum Islam | Vol. 12, No. 1, Desember 2012</w:t>
      </w:r>
    </w:p>
    <w:p w:rsidR="00343B61" w:rsidRPr="00CB1635"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Hosen, Ibrahim” </w:t>
      </w:r>
      <w:r w:rsidRPr="00CB1635">
        <w:rPr>
          <w:rFonts w:asciiTheme="majorBidi" w:hAnsiTheme="majorBidi" w:cstheme="majorBidi"/>
          <w:i/>
          <w:iCs/>
          <w:sz w:val="24"/>
          <w:szCs w:val="24"/>
        </w:rPr>
        <w:t>Dapatkan Hukum Islam direaktualisasikan</w:t>
      </w:r>
      <w:r>
        <w:rPr>
          <w:rFonts w:asciiTheme="majorBidi" w:hAnsiTheme="majorBidi" w:cstheme="majorBidi"/>
          <w:sz w:val="24"/>
          <w:szCs w:val="24"/>
        </w:rPr>
        <w:t>?” dalam</w:t>
      </w:r>
      <w:r w:rsidRPr="00CB1635">
        <w:rPr>
          <w:rFonts w:asciiTheme="majorBidi" w:hAnsiTheme="majorBidi" w:cstheme="majorBidi"/>
          <w:sz w:val="24"/>
          <w:szCs w:val="24"/>
        </w:rPr>
        <w:t xml:space="preserve">: Pelita Tanggal 18 September 1982. </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rPr>
          <w:rFonts w:asciiTheme="majorBidi" w:hAnsiTheme="majorBidi" w:cstheme="majorBidi"/>
        </w:rPr>
      </w:pPr>
      <w:r w:rsidRPr="00CB1635">
        <w:rPr>
          <w:rFonts w:asciiTheme="majorBidi" w:hAnsiTheme="majorBidi" w:cstheme="majorBidi"/>
        </w:rPr>
        <w:t>Ismail</w:t>
      </w:r>
      <w:r w:rsidRPr="00CB1635">
        <w:rPr>
          <w:rFonts w:asciiTheme="majorBidi" w:hAnsiTheme="majorBidi" w:cstheme="majorBidi"/>
          <w:i/>
          <w:iCs/>
        </w:rPr>
        <w:t>,</w:t>
      </w:r>
      <w:r w:rsidRPr="00CB1635">
        <w:rPr>
          <w:rFonts w:asciiTheme="majorBidi" w:hAnsiTheme="majorBidi" w:cstheme="majorBidi"/>
        </w:rPr>
        <w:t xml:space="preserve">Iffatul Umniati, </w:t>
      </w:r>
      <w:r w:rsidRPr="00CB1635">
        <w:rPr>
          <w:rFonts w:asciiTheme="majorBidi" w:hAnsiTheme="majorBidi" w:cstheme="majorBidi"/>
          <w:i/>
          <w:iCs/>
        </w:rPr>
        <w:t xml:space="preserve">Telaah Kritis Metodologi Istinbath MUI (Studi Kasus Fatwa Tentang Golput), </w:t>
      </w:r>
      <w:r w:rsidRPr="00CB1635">
        <w:rPr>
          <w:rFonts w:asciiTheme="majorBidi" w:hAnsiTheme="majorBidi" w:cstheme="majorBidi"/>
        </w:rPr>
        <w:t>dalam : Media Syari’ah, Vol. XIII No 1 Januari-Juni 2011</w:t>
      </w:r>
    </w:p>
    <w:p w:rsidR="00343B61" w:rsidRPr="00CB1635" w:rsidRDefault="00343B61" w:rsidP="00343B61">
      <w:pPr>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Kementerian Agama RI, </w:t>
      </w:r>
      <w:r w:rsidRPr="00CB1635">
        <w:rPr>
          <w:rFonts w:asciiTheme="majorBidi" w:hAnsiTheme="majorBidi" w:cstheme="majorBidi"/>
          <w:i/>
          <w:iCs/>
          <w:sz w:val="24"/>
          <w:szCs w:val="24"/>
        </w:rPr>
        <w:t>Himpunan Peraturan Perundang-Undangan Tentang Wakaf</w:t>
      </w:r>
      <w:r w:rsidRPr="00CB1635">
        <w:rPr>
          <w:rFonts w:asciiTheme="majorBidi" w:hAnsiTheme="majorBidi" w:cstheme="majorBidi"/>
          <w:sz w:val="24"/>
          <w:szCs w:val="24"/>
        </w:rPr>
        <w:t>, ( Jakarta: Kementeria Agama RI, 2016)</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Moh. Natsir, "</w:t>
      </w:r>
      <w:r w:rsidRPr="00CB1635">
        <w:rPr>
          <w:rFonts w:asciiTheme="majorBidi" w:hAnsiTheme="majorBidi" w:cstheme="majorBidi"/>
          <w:i/>
          <w:iCs/>
          <w:sz w:val="24"/>
          <w:szCs w:val="24"/>
        </w:rPr>
        <w:t>Menggagas Negara Hukum di Indonesia</w:t>
      </w:r>
      <w:r w:rsidRPr="00CB1635">
        <w:rPr>
          <w:rFonts w:asciiTheme="majorBidi" w:hAnsiTheme="majorBidi" w:cstheme="majorBidi"/>
          <w:sz w:val="24"/>
          <w:szCs w:val="24"/>
        </w:rPr>
        <w:t>", artikel dalam Media Dakwah DDII Jakarta, edisi 86 tahun 1997</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Mudzhar, M. Atho, </w:t>
      </w:r>
      <w:r w:rsidRPr="00CB1635">
        <w:rPr>
          <w:rFonts w:asciiTheme="majorBidi" w:hAnsiTheme="majorBidi" w:cstheme="majorBidi"/>
          <w:i/>
          <w:iCs/>
          <w:sz w:val="24"/>
          <w:szCs w:val="24"/>
        </w:rPr>
        <w:t>Pengaruh Faktor Sosial Budaya terhadap Pemikiran Hukum Islam</w:t>
      </w:r>
      <w:r w:rsidRPr="00CB1635">
        <w:rPr>
          <w:rFonts w:asciiTheme="majorBidi" w:hAnsiTheme="majorBidi" w:cstheme="majorBidi"/>
          <w:sz w:val="24"/>
          <w:szCs w:val="24"/>
        </w:rPr>
        <w:t>, dalam Mimbar Hukum, No 4 Tahun II, 1991</w:t>
      </w:r>
    </w:p>
    <w:p w:rsidR="00343B61"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autoSpaceDE w:val="0"/>
        <w:autoSpaceDN w:val="0"/>
        <w:adjustRightInd w:val="0"/>
        <w:ind w:left="720" w:hanging="720"/>
        <w:jc w:val="both"/>
        <w:rPr>
          <w:rFonts w:asciiTheme="majorBidi" w:hAnsiTheme="majorBidi" w:cstheme="majorBidi"/>
          <w:i/>
          <w:iCs/>
        </w:rPr>
      </w:pPr>
      <w:r w:rsidRPr="00CB1635">
        <w:rPr>
          <w:rFonts w:asciiTheme="majorBidi" w:hAnsiTheme="majorBidi" w:cstheme="majorBidi"/>
        </w:rPr>
        <w:t xml:space="preserve">Muhammadong, </w:t>
      </w:r>
      <w:r w:rsidRPr="00CB1635">
        <w:rPr>
          <w:rFonts w:asciiTheme="majorBidi" w:hAnsiTheme="majorBidi" w:cstheme="majorBidi"/>
          <w:i/>
          <w:iCs/>
        </w:rPr>
        <w:t>Dinamika pembaharuan hukum islam di indonesia dan Tantangannya</w:t>
      </w:r>
      <w:r w:rsidRPr="00CB1635">
        <w:rPr>
          <w:rFonts w:asciiTheme="majorBidi" w:hAnsiTheme="majorBidi" w:cstheme="majorBidi"/>
        </w:rPr>
        <w:t xml:space="preserve">, dalam: Jurnal </w:t>
      </w:r>
      <w:r w:rsidRPr="00CB1635">
        <w:rPr>
          <w:rFonts w:asciiTheme="majorBidi" w:hAnsiTheme="majorBidi" w:cstheme="majorBidi"/>
          <w:i/>
          <w:iCs/>
        </w:rPr>
        <w:t>Sulesana</w:t>
      </w:r>
      <w:r w:rsidRPr="00CB1635">
        <w:rPr>
          <w:rFonts w:asciiTheme="majorBidi" w:hAnsiTheme="majorBidi" w:cstheme="majorBidi"/>
        </w:rPr>
        <w:t xml:space="preserve"> </w:t>
      </w:r>
      <w:r w:rsidRPr="00CB1635">
        <w:rPr>
          <w:rFonts w:asciiTheme="majorBidi" w:hAnsiTheme="majorBidi" w:cstheme="majorBidi"/>
          <w:i/>
          <w:iCs/>
        </w:rPr>
        <w:t>Volume 8 Nomor 2 Tahun 2013</w:t>
      </w:r>
    </w:p>
    <w:p w:rsidR="00343B61" w:rsidRPr="00CB1635" w:rsidRDefault="00343B61" w:rsidP="00343B61">
      <w:pPr>
        <w:autoSpaceDE w:val="0"/>
        <w:autoSpaceDN w:val="0"/>
        <w:adjustRightInd w:val="0"/>
        <w:ind w:left="720" w:hanging="720"/>
        <w:jc w:val="both"/>
        <w:rPr>
          <w:rFonts w:asciiTheme="majorBidi" w:hAnsiTheme="majorBidi" w:cstheme="majorBidi"/>
          <w:i/>
          <w:iCs/>
        </w:rPr>
      </w:pPr>
    </w:p>
    <w:p w:rsidR="00343B61" w:rsidRDefault="00343B61" w:rsidP="00343B61">
      <w:pPr>
        <w:pStyle w:val="Default"/>
        <w:spacing w:line="276" w:lineRule="auto"/>
        <w:ind w:left="720" w:hanging="720"/>
        <w:jc w:val="both"/>
        <w:rPr>
          <w:rFonts w:asciiTheme="majorBidi" w:eastAsia="Calibri" w:hAnsiTheme="majorBidi" w:cstheme="majorBidi"/>
        </w:rPr>
      </w:pPr>
      <w:r w:rsidRPr="00CB1635">
        <w:rPr>
          <w:rFonts w:asciiTheme="majorBidi" w:eastAsia="Calibri" w:hAnsiTheme="majorBidi" w:cstheme="majorBidi"/>
        </w:rPr>
        <w:t xml:space="preserve">Mukri, Moh., </w:t>
      </w:r>
      <w:r w:rsidRPr="00CB1635">
        <w:rPr>
          <w:rFonts w:asciiTheme="majorBidi" w:eastAsia="Calibri" w:hAnsiTheme="majorBidi" w:cstheme="majorBidi"/>
          <w:i/>
          <w:iCs/>
        </w:rPr>
        <w:t xml:space="preserve">Dinamika pemikiran fikih Mazhab Indonesia </w:t>
      </w:r>
      <w:r w:rsidRPr="00CB1635">
        <w:rPr>
          <w:rFonts w:asciiTheme="majorBidi" w:eastAsia="Calibri" w:hAnsiTheme="majorBidi" w:cstheme="majorBidi"/>
          <w:b/>
          <w:bCs/>
          <w:i/>
          <w:iCs/>
        </w:rPr>
        <w:t>(</w:t>
      </w:r>
      <w:r w:rsidRPr="00CB1635">
        <w:rPr>
          <w:rFonts w:asciiTheme="majorBidi" w:eastAsia="Calibri" w:hAnsiTheme="majorBidi" w:cstheme="majorBidi"/>
          <w:i/>
          <w:iCs/>
        </w:rPr>
        <w:t>Perspektif Sejarah Sosial)</w:t>
      </w:r>
      <w:r w:rsidRPr="00CB1635">
        <w:rPr>
          <w:rFonts w:asciiTheme="majorBidi" w:eastAsia="Calibri" w:hAnsiTheme="majorBidi" w:cstheme="majorBidi"/>
          <w:b/>
          <w:bCs/>
          <w:i/>
          <w:iCs/>
        </w:rPr>
        <w:t>,</w:t>
      </w:r>
      <w:r w:rsidRPr="00CB1635">
        <w:rPr>
          <w:rFonts w:asciiTheme="majorBidi" w:eastAsia="Calibri" w:hAnsiTheme="majorBidi" w:cstheme="majorBidi"/>
          <w:b/>
          <w:bCs/>
        </w:rPr>
        <w:t xml:space="preserve"> </w:t>
      </w:r>
      <w:r w:rsidRPr="00CB1635">
        <w:rPr>
          <w:rFonts w:asciiTheme="majorBidi" w:eastAsia="Calibri" w:hAnsiTheme="majorBidi" w:cstheme="majorBidi"/>
          <w:i/>
          <w:iCs/>
        </w:rPr>
        <w:t>Analisis</w:t>
      </w:r>
      <w:r w:rsidRPr="00CB1635">
        <w:rPr>
          <w:rFonts w:asciiTheme="majorBidi" w:eastAsia="Calibri" w:hAnsiTheme="majorBidi" w:cstheme="majorBidi"/>
        </w:rPr>
        <w:t>, Volume XI, Nomor 2, Desember 2011</w:t>
      </w:r>
    </w:p>
    <w:p w:rsidR="00343B61" w:rsidRPr="00CB1635" w:rsidRDefault="00343B61" w:rsidP="00343B61">
      <w:pPr>
        <w:pStyle w:val="Default"/>
        <w:spacing w:line="276" w:lineRule="auto"/>
        <w:ind w:left="720" w:hanging="720"/>
        <w:jc w:val="both"/>
        <w:rPr>
          <w:rFonts w:asciiTheme="majorBidi" w:eastAsia="Calibr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i/>
          <w:iCs/>
          <w:sz w:val="24"/>
          <w:szCs w:val="24"/>
        </w:rPr>
      </w:pPr>
      <w:r w:rsidRPr="00CB1635">
        <w:rPr>
          <w:rFonts w:asciiTheme="majorBidi" w:hAnsiTheme="majorBidi" w:cstheme="majorBidi"/>
          <w:sz w:val="24"/>
          <w:szCs w:val="24"/>
        </w:rPr>
        <w:t xml:space="preserve">Nasution, Khairuddin, </w:t>
      </w:r>
      <w:r w:rsidRPr="00CB1635">
        <w:rPr>
          <w:rFonts w:asciiTheme="majorBidi" w:hAnsiTheme="majorBidi" w:cstheme="majorBidi"/>
          <w:i/>
          <w:iCs/>
          <w:sz w:val="24"/>
          <w:szCs w:val="24"/>
        </w:rPr>
        <w:t>Metode Pembaruan Hukum Keluarga Islam Kontemporer</w:t>
      </w:r>
      <w:r w:rsidRPr="00CB1635">
        <w:rPr>
          <w:rFonts w:asciiTheme="majorBidi" w:hAnsiTheme="majorBidi" w:cstheme="majorBidi"/>
          <w:sz w:val="24"/>
          <w:szCs w:val="24"/>
        </w:rPr>
        <w:t xml:space="preserve">, dalam Jurnal </w:t>
      </w:r>
      <w:r w:rsidRPr="00CB1635">
        <w:rPr>
          <w:rFonts w:asciiTheme="majorBidi" w:hAnsiTheme="majorBidi" w:cstheme="majorBidi"/>
          <w:i/>
          <w:iCs/>
          <w:sz w:val="24"/>
          <w:szCs w:val="24"/>
        </w:rPr>
        <w:t>UNISIA, Vol. XXX No. 66 Desember 2007</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Pardede, Marulak &amp; Ahyar, </w:t>
      </w:r>
      <w:r w:rsidRPr="00CB1635">
        <w:rPr>
          <w:rFonts w:asciiTheme="majorBidi" w:hAnsiTheme="majorBidi" w:cstheme="majorBidi"/>
          <w:i/>
          <w:iCs/>
          <w:sz w:val="24"/>
          <w:szCs w:val="24"/>
        </w:rPr>
        <w:t xml:space="preserve">Problem Dual Banking System, </w:t>
      </w:r>
      <w:r w:rsidRPr="00CB1635">
        <w:rPr>
          <w:rFonts w:asciiTheme="majorBidi" w:hAnsiTheme="majorBidi" w:cstheme="majorBidi"/>
          <w:sz w:val="24"/>
          <w:szCs w:val="24"/>
        </w:rPr>
        <w:t xml:space="preserve"> dalam Buletin Hukum Perbankan  &amp; Kebanksetralan Vol. 3 – 1 April 2005</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Salim</w:t>
      </w:r>
      <w:r w:rsidRPr="00CB1635">
        <w:rPr>
          <w:rFonts w:asciiTheme="majorBidi" w:hAnsiTheme="majorBidi" w:cstheme="majorBidi"/>
          <w:i/>
          <w:iCs/>
          <w:sz w:val="24"/>
          <w:szCs w:val="24"/>
        </w:rPr>
        <w:t xml:space="preserve">, </w:t>
      </w:r>
      <w:r w:rsidRPr="00CB1635">
        <w:rPr>
          <w:rFonts w:asciiTheme="majorBidi" w:hAnsiTheme="majorBidi" w:cstheme="majorBidi"/>
          <w:sz w:val="24"/>
          <w:szCs w:val="24"/>
        </w:rPr>
        <w:t xml:space="preserve">Zafrullah, </w:t>
      </w:r>
      <w:r w:rsidRPr="00CB1635">
        <w:rPr>
          <w:rFonts w:asciiTheme="majorBidi" w:hAnsiTheme="majorBidi" w:cstheme="majorBidi"/>
          <w:i/>
          <w:iCs/>
          <w:sz w:val="24"/>
          <w:szCs w:val="24"/>
        </w:rPr>
        <w:t>Kedudukan Fatwa Dalam Negara Hukum Republik Indonesia</w:t>
      </w:r>
      <w:r w:rsidRPr="00CB1635">
        <w:rPr>
          <w:rFonts w:asciiTheme="majorBidi" w:hAnsiTheme="majorBidi" w:cstheme="majorBidi"/>
          <w:sz w:val="24"/>
          <w:szCs w:val="24"/>
        </w:rPr>
        <w:t>, dalam: Jurnal Fatwa, Volume 1 No 1 Tahun 2011</w:t>
      </w:r>
    </w:p>
    <w:p w:rsidR="00343B61"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autoSpaceDE w:val="0"/>
        <w:autoSpaceDN w:val="0"/>
        <w:adjustRightInd w:val="0"/>
        <w:ind w:left="720" w:hanging="720"/>
        <w:jc w:val="both"/>
        <w:rPr>
          <w:rFonts w:asciiTheme="majorBidi" w:hAnsiTheme="majorBidi" w:cstheme="majorBidi"/>
        </w:rPr>
      </w:pPr>
      <w:r w:rsidRPr="00CB1635">
        <w:rPr>
          <w:rFonts w:asciiTheme="majorBidi" w:hAnsiTheme="majorBidi" w:cstheme="majorBidi"/>
        </w:rPr>
        <w:t>Siti Musdah Mulia, "</w:t>
      </w:r>
      <w:r w:rsidRPr="00CB1635">
        <w:rPr>
          <w:rFonts w:asciiTheme="majorBidi" w:hAnsiTheme="majorBidi" w:cstheme="majorBidi"/>
          <w:i/>
        </w:rPr>
        <w:t>Fatwa Majelis Ulama Indonesia</w:t>
      </w:r>
      <w:r w:rsidRPr="00CB1635">
        <w:rPr>
          <w:rFonts w:asciiTheme="majorBidi" w:hAnsiTheme="majorBidi" w:cstheme="majorBidi"/>
        </w:rPr>
        <w:t>", dalam Jauhar, Jurnal Pemikiran Islam Kontekstual, (Jakarta: Program Pascasarjana Universitas Islam Negeri Jakarta, 2003), Volume 4, No. 2, Desember 2003</w:t>
      </w:r>
    </w:p>
    <w:p w:rsidR="00343B61" w:rsidRPr="00CB1635" w:rsidRDefault="00343B61" w:rsidP="00343B61">
      <w:pPr>
        <w:autoSpaceDE w:val="0"/>
        <w:autoSpaceDN w:val="0"/>
        <w:adjustRightInd w:val="0"/>
        <w:ind w:left="720" w:hanging="720"/>
        <w:jc w:val="both"/>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CB1635">
        <w:rPr>
          <w:rFonts w:asciiTheme="majorBidi" w:hAnsiTheme="majorBidi" w:cstheme="majorBidi"/>
          <w:sz w:val="24"/>
          <w:szCs w:val="24"/>
        </w:rPr>
        <w:t xml:space="preserve">Yafie, Ali, </w:t>
      </w:r>
      <w:r w:rsidRPr="00CB1635">
        <w:rPr>
          <w:rFonts w:asciiTheme="majorBidi" w:hAnsiTheme="majorBidi" w:cstheme="majorBidi"/>
          <w:i/>
          <w:iCs/>
          <w:sz w:val="24"/>
          <w:szCs w:val="24"/>
        </w:rPr>
        <w:t>Fatwa Hanya Mengikat Secara Moral, Tidak Secara Formal,</w:t>
      </w:r>
      <w:r w:rsidRPr="00CB1635">
        <w:rPr>
          <w:rFonts w:asciiTheme="majorBidi" w:hAnsiTheme="majorBidi" w:cstheme="majorBidi"/>
          <w:sz w:val="24"/>
          <w:szCs w:val="24"/>
        </w:rPr>
        <w:t xml:space="preserve"> dalam: </w:t>
      </w:r>
      <w:r w:rsidRPr="00CB1635">
        <w:rPr>
          <w:rFonts w:asciiTheme="majorBidi" w:hAnsiTheme="majorBidi" w:cstheme="majorBidi"/>
          <w:i/>
          <w:iCs/>
          <w:sz w:val="24"/>
          <w:szCs w:val="24"/>
        </w:rPr>
        <w:t>Mimbar Ulama</w:t>
      </w:r>
      <w:r w:rsidRPr="00CB1635">
        <w:rPr>
          <w:rFonts w:asciiTheme="majorBidi" w:hAnsiTheme="majorBidi" w:cstheme="majorBidi"/>
          <w:sz w:val="24"/>
          <w:szCs w:val="24"/>
        </w:rPr>
        <w:t>, No 124 Tahun XI, edisi Desember 1987)</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pStyle w:val="FootnoteText"/>
        <w:spacing w:line="276" w:lineRule="auto"/>
        <w:ind w:left="720" w:hanging="720"/>
        <w:jc w:val="both"/>
        <w:rPr>
          <w:rFonts w:asciiTheme="majorBidi" w:hAnsiTheme="majorBidi" w:cstheme="majorBidi"/>
          <w:sz w:val="24"/>
          <w:szCs w:val="24"/>
          <w:lang w:val="sv-SE"/>
        </w:rPr>
      </w:pPr>
      <w:r w:rsidRPr="00CB1635">
        <w:rPr>
          <w:rFonts w:asciiTheme="majorBidi" w:hAnsiTheme="majorBidi" w:cstheme="majorBidi"/>
          <w:sz w:val="24"/>
          <w:szCs w:val="24"/>
          <w:lang w:val="sv-SE"/>
        </w:rPr>
        <w:t xml:space="preserve">Yusuf, Muhammad Yasir </w:t>
      </w:r>
      <w:r w:rsidRPr="00CB1635">
        <w:rPr>
          <w:rFonts w:asciiTheme="majorBidi" w:hAnsiTheme="majorBidi" w:cstheme="majorBidi"/>
          <w:i/>
          <w:iCs/>
          <w:sz w:val="24"/>
          <w:szCs w:val="24"/>
          <w:lang w:val="sv-SE"/>
        </w:rPr>
        <w:t>Dinamika Fatwa Bunga Bank di Indonesia: Kajian Terhadap Fatwa MUI, Muhammaddiyah dan Nahdhatul Ulama</w:t>
      </w:r>
      <w:r w:rsidRPr="00CB1635">
        <w:rPr>
          <w:rFonts w:asciiTheme="majorBidi" w:hAnsiTheme="majorBidi" w:cstheme="majorBidi"/>
          <w:sz w:val="24"/>
          <w:szCs w:val="24"/>
          <w:lang w:val="sv-SE"/>
        </w:rPr>
        <w:t>, Media Syariah, Vol. XIV No 2 Juli-Desember 2012</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lang w:val="sv-SE"/>
        </w:rPr>
      </w:pPr>
    </w:p>
    <w:p w:rsidR="00343B61" w:rsidRDefault="00343B61" w:rsidP="00343B61">
      <w:pPr>
        <w:pStyle w:val="FootnoteText"/>
        <w:spacing w:line="276" w:lineRule="auto"/>
        <w:ind w:left="720" w:hanging="720"/>
        <w:jc w:val="both"/>
        <w:rPr>
          <w:rFonts w:asciiTheme="majorBidi" w:eastAsia="Garamond" w:hAnsiTheme="majorBidi" w:cstheme="majorBidi"/>
          <w:spacing w:val="1"/>
          <w:sz w:val="24"/>
          <w:szCs w:val="24"/>
        </w:rPr>
      </w:pPr>
      <w:r w:rsidRPr="00CB1635">
        <w:rPr>
          <w:rFonts w:asciiTheme="majorBidi" w:eastAsia="Garamond" w:hAnsiTheme="majorBidi" w:cstheme="majorBidi"/>
          <w:color w:val="282026"/>
          <w:spacing w:val="1"/>
          <w:sz w:val="24"/>
          <w:szCs w:val="24"/>
        </w:rPr>
        <w:t xml:space="preserve">Zaini Ahmad Noeh, </w:t>
      </w:r>
      <w:r w:rsidRPr="00CB1635">
        <w:rPr>
          <w:rFonts w:asciiTheme="majorBidi" w:eastAsia="Garamond" w:hAnsiTheme="majorBidi" w:cstheme="majorBidi"/>
          <w:i/>
          <w:iCs/>
          <w:spacing w:val="1"/>
          <w:sz w:val="24"/>
          <w:szCs w:val="24"/>
        </w:rPr>
        <w:t>Lima Tahun Undang-Undang Peradilan Agama</w:t>
      </w:r>
      <w:r>
        <w:rPr>
          <w:rFonts w:asciiTheme="majorBidi" w:eastAsia="Garamond" w:hAnsiTheme="majorBidi" w:cstheme="majorBidi"/>
          <w:spacing w:val="1"/>
          <w:sz w:val="24"/>
          <w:szCs w:val="24"/>
        </w:rPr>
        <w:t>,(Sebuah Kilas Balik)</w:t>
      </w:r>
      <w:r w:rsidRPr="00CB1635">
        <w:rPr>
          <w:rFonts w:asciiTheme="majorBidi" w:eastAsia="Garamond" w:hAnsiTheme="majorBidi" w:cstheme="majorBidi"/>
          <w:spacing w:val="1"/>
          <w:sz w:val="24"/>
          <w:szCs w:val="24"/>
        </w:rPr>
        <w:t xml:space="preserve">, </w:t>
      </w:r>
      <w:r w:rsidRPr="00CB1635">
        <w:rPr>
          <w:rFonts w:asciiTheme="majorBidi" w:eastAsia="Garamond" w:hAnsiTheme="majorBidi" w:cstheme="majorBidi"/>
          <w:i/>
          <w:iCs/>
          <w:spacing w:val="1"/>
          <w:sz w:val="24"/>
          <w:szCs w:val="24"/>
        </w:rPr>
        <w:t>Mimbar Hukum</w:t>
      </w:r>
      <w:r w:rsidRPr="00CB1635">
        <w:rPr>
          <w:rFonts w:asciiTheme="majorBidi" w:eastAsia="Garamond" w:hAnsiTheme="majorBidi" w:cstheme="majorBidi"/>
          <w:spacing w:val="1"/>
          <w:sz w:val="24"/>
          <w:szCs w:val="24"/>
        </w:rPr>
        <w:t>, No 27 Tahun V (November-Desember 1994)</w:t>
      </w:r>
    </w:p>
    <w:p w:rsidR="00343B61" w:rsidRPr="00CB1635" w:rsidRDefault="00343B61" w:rsidP="00343B61">
      <w:pPr>
        <w:pStyle w:val="FootnoteText"/>
        <w:spacing w:line="276" w:lineRule="auto"/>
        <w:ind w:left="720" w:hanging="720"/>
        <w:jc w:val="both"/>
        <w:rPr>
          <w:rFonts w:asciiTheme="majorBidi" w:hAnsiTheme="majorBidi" w:cstheme="majorBidi"/>
          <w:sz w:val="24"/>
          <w:szCs w:val="24"/>
        </w:rPr>
      </w:pPr>
    </w:p>
    <w:p w:rsidR="00343B61" w:rsidRPr="001977AE" w:rsidRDefault="00343B61" w:rsidP="00343B61">
      <w:pPr>
        <w:rPr>
          <w:rFonts w:asciiTheme="majorBidi" w:hAnsiTheme="majorBidi" w:cstheme="majorBidi"/>
          <w:b/>
          <w:bCs/>
        </w:rPr>
      </w:pPr>
      <w:r w:rsidRPr="001977AE">
        <w:rPr>
          <w:rFonts w:asciiTheme="majorBidi" w:hAnsiTheme="majorBidi" w:cstheme="majorBidi"/>
          <w:b/>
          <w:bCs/>
        </w:rPr>
        <w:t xml:space="preserve">Situs Internet </w:t>
      </w:r>
    </w:p>
    <w:p w:rsidR="00343B61" w:rsidRPr="007C1603" w:rsidRDefault="00343B61" w:rsidP="00343B61">
      <w:pPr>
        <w:rPr>
          <w:rFonts w:asciiTheme="majorBidi" w:hAnsiTheme="majorBidi" w:cstheme="majorBidi"/>
        </w:rPr>
      </w:pPr>
    </w:p>
    <w:p w:rsidR="00343B61" w:rsidRDefault="00343B61" w:rsidP="00343B61">
      <w:pPr>
        <w:pStyle w:val="FootnoteText"/>
        <w:spacing w:line="276" w:lineRule="auto"/>
        <w:ind w:left="720" w:hanging="720"/>
        <w:jc w:val="both"/>
        <w:rPr>
          <w:rFonts w:asciiTheme="majorBidi" w:hAnsiTheme="majorBidi" w:cstheme="majorBidi"/>
          <w:sz w:val="24"/>
          <w:szCs w:val="24"/>
        </w:rPr>
      </w:pPr>
      <w:r w:rsidRPr="007C1603">
        <w:rPr>
          <w:rFonts w:asciiTheme="majorBidi" w:hAnsiTheme="majorBidi" w:cstheme="majorBidi"/>
          <w:sz w:val="24"/>
          <w:szCs w:val="24"/>
        </w:rPr>
        <w:t xml:space="preserve">Amin, Ma'ruf </w:t>
      </w:r>
      <w:r w:rsidRPr="007C1603">
        <w:rPr>
          <w:rFonts w:asciiTheme="majorBidi" w:hAnsiTheme="majorBidi" w:cstheme="majorBidi"/>
          <w:i/>
          <w:iCs/>
          <w:sz w:val="24"/>
          <w:szCs w:val="24"/>
        </w:rPr>
        <w:t xml:space="preserve">Fatwa dan Kedudukannya Dalam Islam, </w:t>
      </w:r>
      <w:r w:rsidRPr="007C1603">
        <w:rPr>
          <w:rFonts w:asciiTheme="majorBidi" w:hAnsiTheme="majorBidi" w:cstheme="majorBidi"/>
          <w:sz w:val="24"/>
          <w:szCs w:val="24"/>
        </w:rPr>
        <w:t>disampaikan pada</w:t>
      </w:r>
      <w:r w:rsidRPr="007C1603">
        <w:rPr>
          <w:rFonts w:asciiTheme="majorBidi" w:hAnsiTheme="majorBidi" w:cstheme="majorBidi"/>
          <w:i/>
          <w:iCs/>
          <w:sz w:val="24"/>
          <w:szCs w:val="24"/>
        </w:rPr>
        <w:t xml:space="preserve"> </w:t>
      </w:r>
      <w:r w:rsidRPr="007C1603">
        <w:rPr>
          <w:rFonts w:asciiTheme="majorBidi" w:hAnsiTheme="majorBidi" w:cstheme="majorBidi"/>
          <w:sz w:val="24"/>
          <w:szCs w:val="24"/>
        </w:rPr>
        <w:t xml:space="preserve">Konferensi Internasional tentang Fatwa di Jakarta, Selasa 25 Desember 2012. </w:t>
      </w:r>
      <w:r>
        <w:rPr>
          <w:rFonts w:asciiTheme="majorBidi" w:hAnsiTheme="majorBidi" w:cstheme="majorBidi"/>
          <w:sz w:val="24"/>
          <w:szCs w:val="24"/>
        </w:rPr>
        <w:t>www.republika.co.id</w:t>
      </w:r>
    </w:p>
    <w:p w:rsidR="00343B61" w:rsidRDefault="00343B61" w:rsidP="00343B61">
      <w:pPr>
        <w:pStyle w:val="FootnoteText"/>
        <w:spacing w:line="276" w:lineRule="auto"/>
        <w:ind w:left="720" w:hanging="720"/>
        <w:jc w:val="both"/>
        <w:rPr>
          <w:rFonts w:asciiTheme="majorBidi" w:hAnsiTheme="majorBidi" w:cstheme="majorBidi"/>
          <w:sz w:val="24"/>
          <w:szCs w:val="24"/>
        </w:rPr>
      </w:pPr>
    </w:p>
    <w:p w:rsidR="00343B61" w:rsidRDefault="00343B61" w:rsidP="00343B61">
      <w:pPr>
        <w:ind w:left="720" w:hanging="720"/>
        <w:jc w:val="both"/>
        <w:rPr>
          <w:rFonts w:asciiTheme="majorBidi" w:hAnsiTheme="majorBidi" w:cstheme="majorBidi"/>
          <w:lang w:val="fi-FI"/>
        </w:rPr>
      </w:pPr>
      <w:r w:rsidRPr="007C1603">
        <w:rPr>
          <w:rFonts w:asciiTheme="majorBidi" w:hAnsiTheme="majorBidi" w:cstheme="majorBidi"/>
          <w:color w:val="000000" w:themeColor="text1"/>
        </w:rPr>
        <w:t xml:space="preserve">Shom, Sarnubi, </w:t>
      </w:r>
      <w:r w:rsidRPr="007C1603">
        <w:rPr>
          <w:rFonts w:asciiTheme="majorBidi" w:hAnsiTheme="majorBidi" w:cstheme="majorBidi"/>
          <w:i/>
          <w:iCs/>
          <w:color w:val="000000" w:themeColor="text1"/>
          <w:lang w:val="fi-FI"/>
        </w:rPr>
        <w:t>Nikah Sirri</w:t>
      </w:r>
      <w:r w:rsidRPr="007C1603">
        <w:rPr>
          <w:rFonts w:asciiTheme="majorBidi" w:hAnsiTheme="majorBidi" w:cstheme="majorBidi"/>
          <w:color w:val="000000" w:themeColor="text1"/>
        </w:rPr>
        <w:t xml:space="preserve"> </w:t>
      </w:r>
      <w:r w:rsidRPr="007C1603">
        <w:rPr>
          <w:rFonts w:asciiTheme="majorBidi" w:hAnsiTheme="majorBidi" w:cstheme="majorBidi"/>
          <w:i/>
          <w:iCs/>
          <w:color w:val="000000" w:themeColor="text1"/>
          <w:lang w:val="fi-FI"/>
        </w:rPr>
        <w:t>Merugikan Pihak Perempuan, Menguntungkan Laki-Laki</w:t>
      </w:r>
      <w:r w:rsidRPr="007C1603">
        <w:rPr>
          <w:rFonts w:asciiTheme="majorBidi" w:hAnsiTheme="majorBidi" w:cstheme="majorBidi"/>
          <w:color w:val="000000" w:themeColor="text1"/>
          <w:lang w:val="fi-FI"/>
        </w:rPr>
        <w:t>, (</w:t>
      </w:r>
      <w:hyperlink r:id="rId13" w:history="1">
        <w:r w:rsidRPr="00AA6A09">
          <w:rPr>
            <w:rStyle w:val="Hyperlink"/>
            <w:rFonts w:asciiTheme="majorBidi" w:hAnsiTheme="majorBidi" w:cstheme="majorBidi"/>
            <w:color w:val="000000" w:themeColor="text1"/>
            <w:lang w:val="fi-FI"/>
          </w:rPr>
          <w:t>http://syarnubi.wordpress.com</w:t>
        </w:r>
      </w:hyperlink>
      <w:r w:rsidRPr="00AA6A09">
        <w:rPr>
          <w:rFonts w:asciiTheme="majorBidi" w:hAnsiTheme="majorBidi" w:cstheme="majorBidi"/>
          <w:color w:val="000000" w:themeColor="text1"/>
          <w:lang w:val="fi-FI"/>
        </w:rPr>
        <w:t>)</w:t>
      </w:r>
      <w:r w:rsidRPr="007C1603">
        <w:rPr>
          <w:rFonts w:asciiTheme="majorBidi" w:hAnsiTheme="majorBidi" w:cstheme="majorBidi"/>
          <w:color w:val="000000" w:themeColor="text1"/>
          <w:lang w:val="fi-FI"/>
        </w:rPr>
        <w:t xml:space="preserve"> diakses pada tanggal 07 Desember 2008</w:t>
      </w:r>
      <w:r w:rsidRPr="007C1603">
        <w:rPr>
          <w:rFonts w:asciiTheme="majorBidi" w:hAnsiTheme="majorBidi" w:cstheme="majorBidi"/>
          <w:lang w:val="fi-FI"/>
        </w:rPr>
        <w:t xml:space="preserve"> </w:t>
      </w:r>
    </w:p>
    <w:p w:rsidR="00343B61" w:rsidRPr="007C1603" w:rsidRDefault="00343B61" w:rsidP="00343B61">
      <w:pPr>
        <w:ind w:left="720" w:hanging="720"/>
        <w:jc w:val="both"/>
        <w:rPr>
          <w:rFonts w:asciiTheme="majorBidi" w:hAnsiTheme="majorBidi" w:cstheme="majorBidi"/>
          <w:lang w:val="fi-FI"/>
        </w:rPr>
      </w:pPr>
    </w:p>
    <w:p w:rsidR="00343B61" w:rsidRDefault="00343B61" w:rsidP="00343B61">
      <w:pPr>
        <w:ind w:left="720" w:hanging="720"/>
        <w:jc w:val="both"/>
        <w:rPr>
          <w:rFonts w:asciiTheme="majorBidi" w:hAnsiTheme="majorBidi" w:cstheme="majorBidi"/>
          <w:color w:val="000000" w:themeColor="text1"/>
        </w:rPr>
      </w:pPr>
      <w:r w:rsidRPr="007C1603">
        <w:rPr>
          <w:rFonts w:asciiTheme="majorBidi" w:hAnsiTheme="majorBidi" w:cstheme="majorBidi"/>
        </w:rPr>
        <w:t xml:space="preserve">Thaha, Ahmadie, </w:t>
      </w:r>
      <w:r w:rsidRPr="007C1603">
        <w:rPr>
          <w:rFonts w:asciiTheme="majorBidi" w:hAnsiTheme="majorBidi" w:cstheme="majorBidi"/>
          <w:i/>
          <w:iCs/>
        </w:rPr>
        <w:t xml:space="preserve">Profil Ketua MUI dari Masa Ke Masa, </w:t>
      </w:r>
      <w:r w:rsidRPr="007C1603">
        <w:rPr>
          <w:rFonts w:asciiTheme="majorBidi" w:hAnsiTheme="majorBidi" w:cstheme="majorBidi"/>
        </w:rPr>
        <w:t xml:space="preserve">www. mui.or.id </w:t>
      </w:r>
      <w:r w:rsidRPr="007C1603">
        <w:rPr>
          <w:rFonts w:asciiTheme="majorBidi" w:hAnsiTheme="majorBidi" w:cstheme="majorBidi"/>
          <w:color w:val="000000" w:themeColor="text1"/>
        </w:rPr>
        <w:t>diakse</w:t>
      </w:r>
      <w:r>
        <w:rPr>
          <w:rFonts w:asciiTheme="majorBidi" w:hAnsiTheme="majorBidi" w:cstheme="majorBidi"/>
          <w:color w:val="000000" w:themeColor="text1"/>
        </w:rPr>
        <w:t>s tgl 6 september 2015 jam 08.20</w:t>
      </w:r>
    </w:p>
    <w:p w:rsidR="00343B61" w:rsidRPr="00DD5D71" w:rsidRDefault="00343B61" w:rsidP="00343B61">
      <w:pPr>
        <w:ind w:left="720" w:hanging="720"/>
        <w:jc w:val="both"/>
        <w:rPr>
          <w:rFonts w:asciiTheme="majorBidi" w:hAnsiTheme="majorBidi" w:cstheme="majorBidi"/>
          <w:color w:val="000000" w:themeColor="text1"/>
        </w:rPr>
      </w:pPr>
    </w:p>
    <w:p w:rsidR="00343B61" w:rsidRDefault="00343B61" w:rsidP="00343B61">
      <w:pPr>
        <w:ind w:left="720" w:hanging="720"/>
        <w:jc w:val="both"/>
        <w:rPr>
          <w:rFonts w:asciiTheme="majorBidi" w:hAnsiTheme="majorBidi" w:cstheme="majorBidi"/>
          <w:color w:val="000000" w:themeColor="text1"/>
        </w:rPr>
      </w:pPr>
      <w:r w:rsidRPr="007C1603">
        <w:rPr>
          <w:rFonts w:asciiTheme="majorBidi" w:hAnsiTheme="majorBidi" w:cstheme="majorBidi"/>
          <w:color w:val="000000" w:themeColor="text1"/>
        </w:rPr>
        <w:t xml:space="preserve">Thaha, Ahmadie, </w:t>
      </w:r>
      <w:r w:rsidRPr="007C1603">
        <w:rPr>
          <w:rFonts w:asciiTheme="majorBidi" w:hAnsiTheme="majorBidi" w:cstheme="majorBidi"/>
          <w:i/>
          <w:iCs/>
          <w:color w:val="000000" w:themeColor="text1"/>
        </w:rPr>
        <w:t>S</w:t>
      </w:r>
      <w:hyperlink r:id="rId14" w:history="1">
        <w:r w:rsidRPr="007C1603">
          <w:rPr>
            <w:rFonts w:asciiTheme="majorBidi" w:hAnsiTheme="majorBidi" w:cstheme="majorBidi"/>
            <w:i/>
            <w:iCs/>
            <w:color w:val="000000" w:themeColor="text1"/>
            <w:kern w:val="36"/>
          </w:rPr>
          <w:t>ekilas Sosok Kyai Ma’ruf Amin</w:t>
        </w:r>
      </w:hyperlink>
      <w:r w:rsidRPr="007C1603">
        <w:rPr>
          <w:rFonts w:asciiTheme="majorBidi" w:hAnsiTheme="majorBidi" w:cstheme="majorBidi"/>
          <w:i/>
          <w:iCs/>
          <w:color w:val="000000" w:themeColor="text1"/>
        </w:rPr>
        <w:t xml:space="preserve">, </w:t>
      </w:r>
      <w:r w:rsidRPr="007C1603">
        <w:rPr>
          <w:rFonts w:asciiTheme="majorBidi" w:hAnsiTheme="majorBidi" w:cstheme="majorBidi"/>
          <w:color w:val="000000" w:themeColor="text1"/>
        </w:rPr>
        <w:t>hhh.ttp//</w:t>
      </w:r>
      <w:hyperlink r:id="rId15" w:history="1">
        <w:r w:rsidRPr="00B103A6">
          <w:rPr>
            <w:rStyle w:val="Hyperlink"/>
            <w:rFonts w:asciiTheme="majorBidi" w:hAnsiTheme="majorBidi" w:cstheme="majorBidi"/>
            <w:color w:val="000000" w:themeColor="text1"/>
          </w:rPr>
          <w:t>www.mui.or.id</w:t>
        </w:r>
      </w:hyperlink>
      <w:r w:rsidRPr="007C1603">
        <w:rPr>
          <w:rFonts w:asciiTheme="majorBidi" w:hAnsiTheme="majorBidi" w:cstheme="majorBidi"/>
          <w:color w:val="000000" w:themeColor="text1"/>
        </w:rPr>
        <w:t xml:space="preserve">  diakses tgl 6 september 2015 jam 08.35</w:t>
      </w:r>
    </w:p>
    <w:p w:rsidR="00343B61" w:rsidRPr="007C1603" w:rsidRDefault="00343B61" w:rsidP="00343B61">
      <w:pPr>
        <w:jc w:val="both"/>
        <w:rPr>
          <w:rFonts w:asciiTheme="majorBidi" w:hAnsiTheme="majorBidi" w:cstheme="majorBidi"/>
          <w:color w:val="000000" w:themeColor="text1"/>
        </w:rPr>
      </w:pPr>
    </w:p>
    <w:p w:rsidR="00343B61" w:rsidRPr="00A003C5" w:rsidRDefault="00343B61" w:rsidP="00343B61">
      <w:pPr>
        <w:pStyle w:val="FootnoteText"/>
        <w:spacing w:line="276" w:lineRule="auto"/>
        <w:ind w:left="810" w:hanging="810"/>
        <w:jc w:val="both"/>
        <w:rPr>
          <w:rFonts w:asciiTheme="majorBidi" w:hAnsiTheme="majorBidi" w:cstheme="majorBidi"/>
          <w:sz w:val="24"/>
          <w:szCs w:val="24"/>
        </w:rPr>
      </w:pPr>
      <w:r w:rsidRPr="00A003C5">
        <w:rPr>
          <w:rFonts w:asciiTheme="majorBidi" w:hAnsiTheme="majorBidi" w:cstheme="majorBidi"/>
          <w:sz w:val="24"/>
          <w:szCs w:val="24"/>
        </w:rPr>
        <w:t>https://perpusmuslimind.b</w:t>
      </w:r>
      <w:r>
        <w:rPr>
          <w:rFonts w:asciiTheme="majorBidi" w:hAnsiTheme="majorBidi" w:cstheme="majorBidi"/>
          <w:sz w:val="24"/>
          <w:szCs w:val="24"/>
        </w:rPr>
        <w:t xml:space="preserve">logspot.co.id/2014/11/penerapan </w:t>
      </w:r>
      <w:r w:rsidRPr="00A003C5">
        <w:rPr>
          <w:rFonts w:asciiTheme="majorBidi" w:hAnsiTheme="majorBidi" w:cstheme="majorBidi"/>
          <w:sz w:val="24"/>
          <w:szCs w:val="24"/>
        </w:rPr>
        <w:t>syariat islam-di Indonesia.html. diakses tgl 30 Agustus 2017 Pukul 17.40.</w:t>
      </w: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Default="00343B61" w:rsidP="00343B61">
      <w:pPr>
        <w:spacing w:line="360" w:lineRule="auto"/>
        <w:ind w:firstLine="720"/>
        <w:jc w:val="both"/>
        <w:rPr>
          <w:rFonts w:asciiTheme="majorBidi" w:hAnsiTheme="majorBidi" w:cstheme="majorBidi"/>
        </w:rPr>
      </w:pPr>
    </w:p>
    <w:p w:rsidR="00343B61" w:rsidRPr="00B63B8F" w:rsidRDefault="00343B61" w:rsidP="00343B61">
      <w:pPr>
        <w:spacing w:line="360" w:lineRule="auto"/>
        <w:jc w:val="center"/>
        <w:rPr>
          <w:rFonts w:ascii="Times New Roman" w:hAnsi="Times New Roman" w:cs="Times New Roman"/>
          <w:lang w:val="sv-SE"/>
        </w:rPr>
        <w:sectPr w:rsidR="00343B61" w:rsidRPr="00B63B8F" w:rsidSect="00DA2C06">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2250" w:header="709" w:footer="709" w:gutter="0"/>
          <w:cols w:space="708"/>
          <w:docGrid w:linePitch="360"/>
        </w:sectPr>
      </w:pPr>
      <w:r w:rsidRPr="00B63B8F">
        <w:rPr>
          <w:rFonts w:ascii="Times New Roman" w:hAnsi="Times New Roman" w:cs="Times New Roman"/>
          <w:lang w:val="sv-SE"/>
        </w:rPr>
        <w:t>INDEKS</w:t>
      </w:r>
      <w:r>
        <w:rPr>
          <w:rFonts w:ascii="Times New Roman" w:hAnsi="Times New Roman" w:cs="Times New Roman"/>
          <w:lang w:val="sv-SE"/>
        </w:rPr>
        <w:fldChar w:fldCharType="begin"/>
      </w:r>
      <w:r w:rsidRPr="00B63B8F">
        <w:rPr>
          <w:rFonts w:ascii="Times New Roman" w:hAnsi="Times New Roman" w:cs="Times New Roman"/>
          <w:lang w:val="sv-SE"/>
        </w:rPr>
        <w:instrText xml:space="preserve"> INDEX \h "A" \c "2" \z "1057" </w:instrText>
      </w:r>
      <w:r>
        <w:rPr>
          <w:rFonts w:ascii="Times New Roman" w:hAnsi="Times New Roman" w:cs="Times New Roman"/>
          <w:lang w:val="sv-SE"/>
        </w:rPr>
        <w:fldChar w:fldCharType="separate"/>
      </w:r>
    </w:p>
    <w:p w:rsidR="00343B61" w:rsidRDefault="00343B61" w:rsidP="00343B61">
      <w:pPr>
        <w:pStyle w:val="IndexHeading"/>
        <w:keepNext/>
        <w:tabs>
          <w:tab w:val="right" w:pos="3607"/>
        </w:tabs>
        <w:rPr>
          <w:rFonts w:eastAsiaTheme="minorEastAsia" w:cstheme="minorBidi"/>
          <w:b w:val="0"/>
          <w:bCs w:val="0"/>
          <w:noProof/>
        </w:rPr>
      </w:pPr>
      <w:r>
        <w:rPr>
          <w:noProof/>
        </w:rPr>
        <w:lastRenderedPageBreak/>
        <w:t>A</w:t>
      </w:r>
    </w:p>
    <w:p w:rsidR="00343B61" w:rsidRDefault="00343B61" w:rsidP="00343B61">
      <w:pPr>
        <w:pStyle w:val="Index1"/>
        <w:tabs>
          <w:tab w:val="right" w:pos="3607"/>
        </w:tabs>
        <w:rPr>
          <w:noProof/>
        </w:rPr>
      </w:pPr>
      <w:r w:rsidRPr="00261EFF">
        <w:rPr>
          <w:rFonts w:ascii="Times New Roman" w:hAnsi="Times New Roman"/>
          <w:noProof/>
          <w:lang w:val="sv-SE"/>
        </w:rPr>
        <w:t>Abdullah ibn 'Umar</w:t>
      </w:r>
      <w:r>
        <w:rPr>
          <w:noProof/>
        </w:rPr>
        <w:t>, 210</w:t>
      </w:r>
    </w:p>
    <w:p w:rsidR="00343B61" w:rsidRDefault="00343B61" w:rsidP="00343B61">
      <w:pPr>
        <w:pStyle w:val="Index1"/>
        <w:tabs>
          <w:tab w:val="right" w:pos="3607"/>
        </w:tabs>
        <w:rPr>
          <w:noProof/>
        </w:rPr>
      </w:pPr>
      <w:r w:rsidRPr="00261EFF">
        <w:rPr>
          <w:rFonts w:asciiTheme="majorBidi" w:hAnsiTheme="majorBidi" w:cstheme="majorBidi"/>
          <w:noProof/>
        </w:rPr>
        <w:t>Abū Daud</w:t>
      </w:r>
      <w:r>
        <w:rPr>
          <w:noProof/>
        </w:rPr>
        <w:t>, 4, 64, 134, 190, 276, 277</w:t>
      </w:r>
    </w:p>
    <w:p w:rsidR="00343B61" w:rsidRDefault="00343B61" w:rsidP="00343B61">
      <w:pPr>
        <w:pStyle w:val="Index1"/>
        <w:tabs>
          <w:tab w:val="right" w:pos="3607"/>
        </w:tabs>
        <w:rPr>
          <w:noProof/>
        </w:rPr>
      </w:pPr>
      <w:r w:rsidRPr="00261EFF">
        <w:rPr>
          <w:rFonts w:ascii="Times New Roman" w:hAnsi="Times New Roman"/>
          <w:noProof/>
        </w:rPr>
        <w:t>Abu Hurairah</w:t>
      </w:r>
      <w:r>
        <w:rPr>
          <w:noProof/>
        </w:rPr>
        <w:t>, 66, 133, 134, 175, 240, 241, 276</w:t>
      </w:r>
    </w:p>
    <w:p w:rsidR="00343B61" w:rsidRDefault="00343B61" w:rsidP="00343B61">
      <w:pPr>
        <w:pStyle w:val="Index1"/>
        <w:tabs>
          <w:tab w:val="right" w:pos="3607"/>
        </w:tabs>
        <w:rPr>
          <w:noProof/>
        </w:rPr>
      </w:pPr>
      <w:r w:rsidRPr="00261EFF">
        <w:rPr>
          <w:rFonts w:ascii="Times New Roman" w:hAnsi="Times New Roman"/>
          <w:noProof/>
        </w:rPr>
        <w:t>agama</w:t>
      </w:r>
      <w:r>
        <w:rPr>
          <w:noProof/>
        </w:rPr>
        <w:t>, 1, 2, 5, 11, 14, 15, 18, 28, 34, 40, 41, 42, 43, 48, 52, 53, 54, 56, 57, 58, 62, 77, 78, 79, 80, 81, 82, 83, 85, 91, 95, 98, 102, 106, 107, 116, 123, 129, 130, 139, 152, 172, 185, 193, 196, 201, 203, 205, 206, 207, 208, 209, 213, 215, 217, 222, 223, 224,227, 229, 231, 232, 236, 246, 252, 254, 255, 257, 258, 274, 275, 277, 280, 283, 286, 287, 289, 292, 293, 294, 295, 296, 297, 298, 299, 302, 303, 304, 305, 306, 307, 310, 311, 313, 315, 316, 318, 320, 322</w:t>
      </w:r>
    </w:p>
    <w:p w:rsidR="00343B61" w:rsidRDefault="00343B61" w:rsidP="00343B61">
      <w:pPr>
        <w:pStyle w:val="Index1"/>
        <w:tabs>
          <w:tab w:val="right" w:pos="3607"/>
        </w:tabs>
        <w:rPr>
          <w:noProof/>
        </w:rPr>
      </w:pPr>
      <w:r w:rsidRPr="00261EFF">
        <w:rPr>
          <w:rFonts w:asciiTheme="majorBidi" w:hAnsiTheme="majorBidi" w:cstheme="majorBidi"/>
          <w:noProof/>
          <w:lang w:val="sv-SE"/>
        </w:rPr>
        <w:lastRenderedPageBreak/>
        <w:t>agama.</w:t>
      </w:r>
      <w:r>
        <w:rPr>
          <w:noProof/>
        </w:rPr>
        <w:t>, 19, 41, 48, 77, 82, 207, 224, 255, 302, 305</w:t>
      </w:r>
    </w:p>
    <w:p w:rsidR="00343B61" w:rsidRDefault="00343B61" w:rsidP="00343B61">
      <w:pPr>
        <w:pStyle w:val="Index1"/>
        <w:tabs>
          <w:tab w:val="right" w:pos="3607"/>
        </w:tabs>
        <w:rPr>
          <w:noProof/>
        </w:rPr>
      </w:pPr>
      <w:r w:rsidRPr="00261EFF">
        <w:rPr>
          <w:rFonts w:asciiTheme="majorBidi" w:hAnsiTheme="majorBidi" w:cstheme="majorBidi"/>
          <w:i/>
          <w:iCs/>
          <w:noProof/>
        </w:rPr>
        <w:t>a</w:t>
      </w:r>
      <w:r w:rsidRPr="00261EFF">
        <w:rPr>
          <w:rFonts w:asciiTheme="majorBidi" w:hAnsiTheme="majorBidi" w:cstheme="majorBidi"/>
          <w:i/>
          <w:iCs/>
          <w:noProof/>
          <w:u w:val="single"/>
        </w:rPr>
        <w:t>h</w:t>
      </w:r>
      <w:r w:rsidRPr="00261EFF">
        <w:rPr>
          <w:rFonts w:asciiTheme="majorBidi" w:hAnsiTheme="majorBidi" w:cstheme="majorBidi"/>
          <w:i/>
          <w:iCs/>
          <w:noProof/>
        </w:rPr>
        <w:t>kām al-qaṭ</w:t>
      </w:r>
      <w:r w:rsidRPr="00261EFF">
        <w:rPr>
          <w:rFonts w:asciiTheme="majorBidi" w:hAnsiTheme="majorBidi" w:cstheme="majorBidi"/>
          <w:noProof/>
        </w:rPr>
        <w:t>‘</w:t>
      </w:r>
      <w:r w:rsidRPr="00261EFF">
        <w:rPr>
          <w:rFonts w:asciiTheme="majorBidi" w:hAnsiTheme="majorBidi" w:cstheme="majorBidi"/>
          <w:i/>
          <w:iCs/>
          <w:noProof/>
        </w:rPr>
        <w:t>iyāt</w:t>
      </w:r>
      <w:r>
        <w:rPr>
          <w:noProof/>
        </w:rPr>
        <w:t>, 18</w:t>
      </w:r>
    </w:p>
    <w:p w:rsidR="00343B61" w:rsidRDefault="00343B61" w:rsidP="00343B61">
      <w:pPr>
        <w:pStyle w:val="Index1"/>
        <w:tabs>
          <w:tab w:val="right" w:pos="3607"/>
        </w:tabs>
        <w:rPr>
          <w:noProof/>
        </w:rPr>
      </w:pPr>
      <w:r w:rsidRPr="00261EFF">
        <w:rPr>
          <w:rFonts w:ascii="Times New Roman" w:hAnsi="Times New Roman"/>
          <w:i/>
          <w:iCs/>
          <w:noProof/>
        </w:rPr>
        <w:t xml:space="preserve">ahl </w:t>
      </w:r>
      <w:r w:rsidRPr="00261EFF">
        <w:rPr>
          <w:rFonts w:asciiTheme="majorBidi" w:hAnsiTheme="majorBidi" w:cstheme="majorBidi"/>
          <w:i/>
          <w:iCs/>
          <w:noProof/>
        </w:rPr>
        <w:t>al-</w:t>
      </w:r>
      <w:r w:rsidRPr="00261EFF">
        <w:rPr>
          <w:rFonts w:asciiTheme="majorBidi" w:hAnsiTheme="majorBidi" w:cstheme="majorBidi"/>
          <w:i/>
          <w:iCs/>
          <w:noProof/>
          <w:u w:val="single"/>
        </w:rPr>
        <w:t>h</w:t>
      </w:r>
      <w:r w:rsidRPr="00261EFF">
        <w:rPr>
          <w:rFonts w:asciiTheme="majorBidi" w:hAnsiTheme="majorBidi" w:cstheme="majorBidi"/>
          <w:i/>
          <w:iCs/>
          <w:noProof/>
        </w:rPr>
        <w:t>alli</w:t>
      </w:r>
      <w:r w:rsidRPr="00261EFF">
        <w:rPr>
          <w:rFonts w:ascii="Times New Roman" w:hAnsi="Times New Roman"/>
          <w:i/>
          <w:iCs/>
          <w:noProof/>
        </w:rPr>
        <w:t xml:space="preserve"> wa al-</w:t>
      </w:r>
      <w:r>
        <w:rPr>
          <w:noProof/>
        </w:rPr>
        <w:t>‘</w:t>
      </w:r>
      <w:r w:rsidRPr="00261EFF">
        <w:rPr>
          <w:rFonts w:ascii="Times New Roman" w:hAnsi="Times New Roman"/>
          <w:i/>
          <w:iCs/>
          <w:noProof/>
        </w:rPr>
        <w:t>aqd</w:t>
      </w:r>
      <w:r>
        <w:rPr>
          <w:noProof/>
        </w:rPr>
        <w:t>, 10</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Ahl al-kitab</w:t>
      </w:r>
      <w:r>
        <w:rPr>
          <w:noProof/>
        </w:rPr>
        <w:t>, 208</w:t>
      </w:r>
    </w:p>
    <w:p w:rsidR="00343B61" w:rsidRDefault="00343B61" w:rsidP="00343B61">
      <w:pPr>
        <w:pStyle w:val="Index1"/>
        <w:tabs>
          <w:tab w:val="right" w:pos="3607"/>
        </w:tabs>
        <w:rPr>
          <w:noProof/>
        </w:rPr>
      </w:pPr>
      <w:r w:rsidRPr="00261EFF">
        <w:rPr>
          <w:rFonts w:asciiTheme="majorBidi" w:hAnsiTheme="majorBidi" w:cstheme="majorBidi"/>
          <w:iCs/>
          <w:noProof/>
          <w:lang w:val="sv-SE"/>
        </w:rPr>
        <w:t>Ahmad</w:t>
      </w:r>
      <w:r>
        <w:rPr>
          <w:noProof/>
        </w:rPr>
        <w:t>, 2, 11, 18, 25, 26, 28, 29, 31, 35, 41, 46, 50, 51, 52, 53, 56, 59, 61, 76, 78, 82, 90, 92, 95, 96, 98, 99, 100, 101, 111, 112, 113, 116, 117, 119, 129, 131, 142, 145, 148, 157, 163, 171, 172, 180, 190, 191, 198, 210, 232, 233, 237, 240, 242, 248, 249, 253, 257, 262, 266, 269, 273, 276, 277, 281, 289, 296, 307, 313, 316</w:t>
      </w:r>
    </w:p>
    <w:p w:rsidR="00343B61" w:rsidRDefault="00343B61" w:rsidP="00343B61">
      <w:pPr>
        <w:pStyle w:val="Index1"/>
        <w:tabs>
          <w:tab w:val="right" w:pos="3607"/>
        </w:tabs>
        <w:rPr>
          <w:noProof/>
        </w:rPr>
      </w:pPr>
      <w:r w:rsidRPr="00261EFF">
        <w:rPr>
          <w:rFonts w:asciiTheme="majorBidi" w:hAnsiTheme="majorBidi" w:cstheme="majorBidi"/>
          <w:noProof/>
        </w:rPr>
        <w:t>Akad</w:t>
      </w:r>
      <w:r>
        <w:rPr>
          <w:noProof/>
        </w:rPr>
        <w:t>, 226</w:t>
      </w:r>
    </w:p>
    <w:p w:rsidR="00343B61" w:rsidRDefault="00343B61" w:rsidP="00343B61">
      <w:pPr>
        <w:pStyle w:val="Index1"/>
        <w:tabs>
          <w:tab w:val="right" w:pos="3607"/>
        </w:tabs>
        <w:rPr>
          <w:noProof/>
        </w:rPr>
      </w:pPr>
      <w:r w:rsidRPr="00261EFF">
        <w:rPr>
          <w:rFonts w:asciiTheme="majorBidi" w:hAnsiTheme="majorBidi" w:cstheme="majorBidi"/>
          <w:noProof/>
        </w:rPr>
        <w:t>Al Bukhori</w:t>
      </w:r>
      <w:r>
        <w:rPr>
          <w:noProof/>
        </w:rPr>
        <w:t>, 227</w:t>
      </w:r>
    </w:p>
    <w:p w:rsidR="00343B61" w:rsidRDefault="00343B61" w:rsidP="00343B61">
      <w:pPr>
        <w:pStyle w:val="Index1"/>
        <w:tabs>
          <w:tab w:val="right" w:pos="3607"/>
        </w:tabs>
        <w:rPr>
          <w:noProof/>
        </w:rPr>
      </w:pPr>
      <w:r w:rsidRPr="00261EFF">
        <w:rPr>
          <w:rFonts w:ascii="Times New Roman" w:hAnsi="Times New Roman"/>
          <w:i/>
          <w:iCs/>
          <w:noProof/>
        </w:rPr>
        <w:t>al-</w:t>
      </w:r>
      <w:r>
        <w:rPr>
          <w:noProof/>
        </w:rPr>
        <w:t>‘</w:t>
      </w:r>
      <w:r w:rsidRPr="00261EFF">
        <w:rPr>
          <w:rFonts w:ascii="Times New Roman" w:hAnsi="Times New Roman"/>
          <w:i/>
          <w:iCs/>
          <w:noProof/>
        </w:rPr>
        <w:t>ulam</w:t>
      </w:r>
      <w:r w:rsidRPr="00261EFF">
        <w:rPr>
          <w:rFonts w:asciiTheme="majorBidi" w:hAnsiTheme="majorBidi" w:cstheme="majorBidi"/>
          <w:i/>
          <w:iCs/>
          <w:noProof/>
        </w:rPr>
        <w:t>ā</w:t>
      </w:r>
      <w:r w:rsidRPr="00261EFF">
        <w:rPr>
          <w:rFonts w:ascii="Times New Roman" w:hAnsi="Times New Roman"/>
          <w:i/>
          <w:iCs/>
          <w:noProof/>
        </w:rPr>
        <w:t>’</w:t>
      </w:r>
      <w:r>
        <w:rPr>
          <w:noProof/>
        </w:rPr>
        <w:t>, 10, 87, 296</w:t>
      </w:r>
    </w:p>
    <w:p w:rsidR="00343B61" w:rsidRDefault="00343B61" w:rsidP="00343B61">
      <w:pPr>
        <w:pStyle w:val="Index1"/>
        <w:tabs>
          <w:tab w:val="right" w:pos="3607"/>
        </w:tabs>
        <w:rPr>
          <w:noProof/>
        </w:rPr>
      </w:pPr>
      <w:r w:rsidRPr="00261EFF">
        <w:rPr>
          <w:rFonts w:asciiTheme="majorBidi" w:hAnsiTheme="majorBidi" w:cstheme="majorBidi"/>
          <w:i/>
          <w:iCs/>
          <w:noProof/>
          <w:lang w:val="sv-SE"/>
        </w:rPr>
        <w:lastRenderedPageBreak/>
        <w:t>Al</w:t>
      </w:r>
      <w:r w:rsidRPr="00261EFF">
        <w:rPr>
          <w:rFonts w:asciiTheme="majorBidi" w:hAnsiTheme="majorBidi" w:cstheme="majorBidi"/>
          <w:noProof/>
          <w:lang w:val="sv-SE"/>
        </w:rPr>
        <w:t>-</w:t>
      </w:r>
      <w:r w:rsidRPr="00261EFF">
        <w:rPr>
          <w:rFonts w:asciiTheme="majorBidi" w:hAnsiTheme="majorBidi" w:cstheme="majorBidi"/>
          <w:i/>
          <w:iCs/>
          <w:noProof/>
          <w:lang w:val="sv-SE"/>
        </w:rPr>
        <w:t>‘Urf</w:t>
      </w:r>
      <w:r>
        <w:rPr>
          <w:noProof/>
        </w:rPr>
        <w:t>, 48, 94</w:t>
      </w:r>
    </w:p>
    <w:p w:rsidR="00343B61" w:rsidRDefault="00343B61" w:rsidP="00343B61">
      <w:pPr>
        <w:pStyle w:val="Index1"/>
        <w:tabs>
          <w:tab w:val="right" w:pos="3607"/>
        </w:tabs>
        <w:rPr>
          <w:noProof/>
        </w:rPr>
      </w:pPr>
      <w:r w:rsidRPr="00261EFF">
        <w:rPr>
          <w:rFonts w:asciiTheme="majorBidi" w:hAnsiTheme="majorBidi" w:cstheme="majorBidi"/>
          <w:noProof/>
        </w:rPr>
        <w:t>Al-Āmidī</w:t>
      </w:r>
      <w:r>
        <w:rPr>
          <w:noProof/>
        </w:rPr>
        <w:t>, 202</w:t>
      </w:r>
    </w:p>
    <w:p w:rsidR="00343B61" w:rsidRDefault="00343B61" w:rsidP="00343B61">
      <w:pPr>
        <w:pStyle w:val="Index1"/>
        <w:tabs>
          <w:tab w:val="right" w:pos="3607"/>
        </w:tabs>
        <w:rPr>
          <w:noProof/>
        </w:rPr>
      </w:pPr>
      <w:r w:rsidRPr="00261EFF">
        <w:rPr>
          <w:rFonts w:asciiTheme="majorBidi" w:hAnsiTheme="majorBidi" w:cstheme="majorBidi"/>
          <w:noProof/>
          <w:lang w:val="sv-SE"/>
        </w:rPr>
        <w:t>Al-Baihaqi</w:t>
      </w:r>
      <w:r>
        <w:rPr>
          <w:noProof/>
        </w:rPr>
        <w:t>, 134, 190, 232, 237, 248</w:t>
      </w:r>
    </w:p>
    <w:p w:rsidR="00343B61" w:rsidRDefault="00343B61" w:rsidP="00343B61">
      <w:pPr>
        <w:pStyle w:val="Index1"/>
        <w:tabs>
          <w:tab w:val="right" w:pos="3607"/>
        </w:tabs>
        <w:rPr>
          <w:noProof/>
        </w:rPr>
      </w:pPr>
      <w:r w:rsidRPr="00261EFF">
        <w:rPr>
          <w:rFonts w:asciiTheme="majorBidi" w:hAnsiTheme="majorBidi" w:cstheme="majorBidi"/>
          <w:i/>
          <w:iCs/>
          <w:noProof/>
        </w:rPr>
        <w:t>al-ḍarūriyyah al-khamsah</w:t>
      </w:r>
      <w:r>
        <w:rPr>
          <w:noProof/>
        </w:rPr>
        <w:t>, 196</w:t>
      </w:r>
    </w:p>
    <w:p w:rsidR="00343B61" w:rsidRDefault="00343B61" w:rsidP="00343B61">
      <w:pPr>
        <w:pStyle w:val="Index1"/>
        <w:tabs>
          <w:tab w:val="right" w:pos="3607"/>
        </w:tabs>
        <w:rPr>
          <w:noProof/>
        </w:rPr>
      </w:pPr>
      <w:r w:rsidRPr="00261EFF">
        <w:rPr>
          <w:rFonts w:asciiTheme="majorBidi" w:eastAsiaTheme="minorHAnsi" w:hAnsiTheme="majorBidi" w:cstheme="majorBidi"/>
          <w:i/>
          <w:iCs/>
          <w:noProof/>
          <w:lang w:val="sv-SE"/>
        </w:rPr>
        <w:t>al-kulliyah al-khamsah</w:t>
      </w:r>
      <w:r>
        <w:rPr>
          <w:noProof/>
        </w:rPr>
        <w:t>, 34</w:t>
      </w:r>
    </w:p>
    <w:p w:rsidR="00343B61" w:rsidRDefault="00343B61" w:rsidP="00343B61">
      <w:pPr>
        <w:pStyle w:val="Index1"/>
        <w:tabs>
          <w:tab w:val="right" w:pos="3607"/>
        </w:tabs>
        <w:rPr>
          <w:noProof/>
        </w:rPr>
      </w:pPr>
      <w:r w:rsidRPr="00261EFF">
        <w:rPr>
          <w:rFonts w:asciiTheme="majorBidi" w:hAnsiTheme="majorBidi" w:cstheme="majorBidi"/>
          <w:noProof/>
          <w:lang w:val="it-IT"/>
        </w:rPr>
        <w:t>Al-Marāghi</w:t>
      </w:r>
      <w:r>
        <w:rPr>
          <w:noProof/>
        </w:rPr>
        <w:t>, 2</w:t>
      </w:r>
    </w:p>
    <w:p w:rsidR="00343B61" w:rsidRDefault="00343B61" w:rsidP="00343B61">
      <w:pPr>
        <w:pStyle w:val="Index1"/>
        <w:tabs>
          <w:tab w:val="right" w:pos="3607"/>
        </w:tabs>
        <w:rPr>
          <w:noProof/>
        </w:rPr>
      </w:pPr>
      <w:r w:rsidRPr="00261EFF">
        <w:rPr>
          <w:rFonts w:ascii="Times New Roman" w:hAnsi="Times New Roman"/>
          <w:noProof/>
        </w:rPr>
        <w:t>Al-Mawardi</w:t>
      </w:r>
      <w:r>
        <w:rPr>
          <w:noProof/>
        </w:rPr>
        <w:t>, 10, 25, 26, 27, 39, 40, 41, 42, 46, 78, 296, 305, 308, 312</w:t>
      </w:r>
    </w:p>
    <w:p w:rsidR="00343B61" w:rsidRDefault="00343B61" w:rsidP="00343B61">
      <w:pPr>
        <w:pStyle w:val="Index1"/>
        <w:tabs>
          <w:tab w:val="right" w:pos="3607"/>
        </w:tabs>
        <w:rPr>
          <w:noProof/>
        </w:rPr>
      </w:pPr>
      <w:r w:rsidRPr="00261EFF">
        <w:rPr>
          <w:rFonts w:ascii="Times New Roman" w:hAnsi="Times New Roman"/>
          <w:noProof/>
          <w:lang w:val="it-IT"/>
        </w:rPr>
        <w:t>Al-Qaradhāwī</w:t>
      </w:r>
      <w:r>
        <w:rPr>
          <w:noProof/>
        </w:rPr>
        <w:t>, 1, 7</w:t>
      </w:r>
    </w:p>
    <w:p w:rsidR="00343B61" w:rsidRDefault="00343B61" w:rsidP="00343B61">
      <w:pPr>
        <w:pStyle w:val="Index1"/>
        <w:tabs>
          <w:tab w:val="right" w:pos="3607"/>
        </w:tabs>
        <w:rPr>
          <w:noProof/>
        </w:rPr>
      </w:pPr>
      <w:r w:rsidRPr="00261EFF">
        <w:rPr>
          <w:rFonts w:asciiTheme="majorBidi" w:hAnsiTheme="majorBidi" w:cstheme="majorBidi"/>
          <w:noProof/>
        </w:rPr>
        <w:t>Al-Qathān</w:t>
      </w:r>
      <w:r>
        <w:rPr>
          <w:noProof/>
        </w:rPr>
        <w:t>, 53</w:t>
      </w:r>
    </w:p>
    <w:p w:rsidR="00343B61" w:rsidRDefault="00343B61" w:rsidP="00343B61">
      <w:pPr>
        <w:pStyle w:val="Index1"/>
        <w:tabs>
          <w:tab w:val="right" w:pos="3607"/>
        </w:tabs>
        <w:rPr>
          <w:noProof/>
        </w:rPr>
      </w:pPr>
      <w:r w:rsidRPr="00261EFF">
        <w:rPr>
          <w:rFonts w:ascii="Times New Roman" w:hAnsi="Times New Roman"/>
          <w:noProof/>
        </w:rPr>
        <w:t>Al-Qur’ān</w:t>
      </w:r>
      <w:r>
        <w:rPr>
          <w:noProof/>
        </w:rPr>
        <w:t>, 1, 2, 3, 4, 6, 7, 10, 11, 12, 14, 17, 30, 50, 53, 54, 55, 60, 62, 63, 64, 70, 90, 92, 93, 95, 98, 132, 147, 148, 160, 172, 179, 183, 188, 189, 190, 191, 194, 198, 199, 208, 209, 210, 226, 228, 231, 241, 242, 244, 245, 246, 250, 255, 256, 257, 272, 283, 295</w:t>
      </w:r>
    </w:p>
    <w:p w:rsidR="00343B61" w:rsidRDefault="00343B61" w:rsidP="00343B61">
      <w:pPr>
        <w:pStyle w:val="Index1"/>
        <w:tabs>
          <w:tab w:val="right" w:pos="3607"/>
        </w:tabs>
        <w:rPr>
          <w:noProof/>
        </w:rPr>
      </w:pPr>
      <w:r w:rsidRPr="00261EFF">
        <w:rPr>
          <w:rFonts w:asciiTheme="majorBidi" w:hAnsiTheme="majorBidi" w:cstheme="majorBidi"/>
          <w:i/>
          <w:iCs/>
          <w:noProof/>
        </w:rPr>
        <w:t>al-sharī</w:t>
      </w:r>
      <w:r>
        <w:rPr>
          <w:noProof/>
        </w:rPr>
        <w:t>‘</w:t>
      </w:r>
      <w:r w:rsidRPr="00261EFF">
        <w:rPr>
          <w:rFonts w:asciiTheme="majorBidi" w:hAnsiTheme="majorBidi" w:cstheme="majorBidi"/>
          <w:i/>
          <w:iCs/>
          <w:noProof/>
        </w:rPr>
        <w:t>ah</w:t>
      </w:r>
      <w:r>
        <w:rPr>
          <w:noProof/>
        </w:rPr>
        <w:t>, 12, 17</w:t>
      </w:r>
    </w:p>
    <w:p w:rsidR="00343B61" w:rsidRDefault="00343B61" w:rsidP="00343B61">
      <w:pPr>
        <w:pStyle w:val="Index1"/>
        <w:tabs>
          <w:tab w:val="right" w:pos="3607"/>
        </w:tabs>
        <w:rPr>
          <w:noProof/>
        </w:rPr>
      </w:pPr>
      <w:r w:rsidRPr="00261EFF">
        <w:rPr>
          <w:rFonts w:asciiTheme="majorBidi" w:hAnsiTheme="majorBidi" w:cstheme="majorBidi"/>
          <w:noProof/>
          <w:lang w:val="sv-SE"/>
        </w:rPr>
        <w:t>Al-Sy</w:t>
      </w:r>
      <w:r w:rsidRPr="00261EFF">
        <w:rPr>
          <w:rFonts w:asciiTheme="majorBidi" w:hAnsiTheme="majorBidi" w:cstheme="majorBidi"/>
          <w:noProof/>
        </w:rPr>
        <w:t>ā</w:t>
      </w:r>
      <w:r w:rsidRPr="00261EFF">
        <w:rPr>
          <w:rFonts w:asciiTheme="majorBidi" w:hAnsiTheme="majorBidi" w:cstheme="majorBidi"/>
          <w:noProof/>
          <w:lang w:val="sv-SE"/>
        </w:rPr>
        <w:t>thib</w:t>
      </w:r>
      <w:r w:rsidRPr="00261EFF">
        <w:rPr>
          <w:rFonts w:asciiTheme="majorBidi" w:hAnsiTheme="majorBidi" w:cstheme="majorBidi"/>
          <w:noProof/>
        </w:rPr>
        <w:t>ī</w:t>
      </w:r>
      <w:r>
        <w:rPr>
          <w:noProof/>
        </w:rPr>
        <w:t>, 12, 35, 92, 93, 94</w:t>
      </w:r>
    </w:p>
    <w:p w:rsidR="00343B61" w:rsidRDefault="00343B61" w:rsidP="00343B61">
      <w:pPr>
        <w:pStyle w:val="Index1"/>
        <w:tabs>
          <w:tab w:val="right" w:pos="3607"/>
        </w:tabs>
        <w:rPr>
          <w:noProof/>
        </w:rPr>
      </w:pPr>
      <w:r w:rsidRPr="00261EFF">
        <w:rPr>
          <w:rFonts w:asciiTheme="majorBidi" w:hAnsiTheme="majorBidi" w:cstheme="majorBidi"/>
          <w:noProof/>
        </w:rPr>
        <w:t>al-Thūfī</w:t>
      </w:r>
      <w:r>
        <w:rPr>
          <w:noProof/>
        </w:rPr>
        <w:t>, 31, 32, 33, 34, 91</w:t>
      </w:r>
    </w:p>
    <w:p w:rsidR="00343B61" w:rsidRDefault="00343B61" w:rsidP="00343B61">
      <w:pPr>
        <w:pStyle w:val="Index1"/>
        <w:tabs>
          <w:tab w:val="right" w:pos="3607"/>
        </w:tabs>
        <w:rPr>
          <w:noProof/>
        </w:rPr>
      </w:pPr>
      <w:r w:rsidRPr="00261EFF">
        <w:rPr>
          <w:rFonts w:ascii="Times New Roman" w:hAnsi="Times New Roman"/>
          <w:i/>
          <w:iCs/>
          <w:noProof/>
        </w:rPr>
        <w:t>al-</w:t>
      </w:r>
      <w:r w:rsidRPr="00261EFF">
        <w:rPr>
          <w:i/>
          <w:iCs/>
          <w:noProof/>
        </w:rPr>
        <w:t>u</w:t>
      </w:r>
      <w:r w:rsidRPr="00261EFF">
        <w:rPr>
          <w:rFonts w:ascii="Times New Roman" w:hAnsi="Times New Roman"/>
          <w:i/>
          <w:iCs/>
          <w:noProof/>
        </w:rPr>
        <w:t>mar</w:t>
      </w:r>
      <w:r w:rsidRPr="00261EFF">
        <w:rPr>
          <w:rFonts w:asciiTheme="majorBidi" w:hAnsiTheme="majorBidi" w:cstheme="majorBidi"/>
          <w:i/>
          <w:iCs/>
          <w:noProof/>
        </w:rPr>
        <w:t>ā’</w:t>
      </w:r>
      <w:r>
        <w:rPr>
          <w:noProof/>
        </w:rPr>
        <w:t>, 10, 296</w:t>
      </w:r>
    </w:p>
    <w:p w:rsidR="00343B61" w:rsidRDefault="00343B61" w:rsidP="00343B61">
      <w:pPr>
        <w:pStyle w:val="Index1"/>
        <w:tabs>
          <w:tab w:val="right" w:pos="3607"/>
        </w:tabs>
        <w:rPr>
          <w:noProof/>
        </w:rPr>
      </w:pPr>
      <w:r w:rsidRPr="00261EFF">
        <w:rPr>
          <w:rFonts w:asciiTheme="majorBidi" w:hAnsiTheme="majorBidi" w:cstheme="majorBidi"/>
          <w:noProof/>
          <w:color w:val="000000"/>
        </w:rPr>
        <w:t>Al-Zuhaily</w:t>
      </w:r>
      <w:r>
        <w:rPr>
          <w:noProof/>
        </w:rPr>
        <w:t>, 176, 236</w:t>
      </w:r>
    </w:p>
    <w:p w:rsidR="00343B61" w:rsidRDefault="00343B61" w:rsidP="00343B61">
      <w:pPr>
        <w:pStyle w:val="Index1"/>
        <w:tabs>
          <w:tab w:val="right" w:pos="3607"/>
        </w:tabs>
        <w:rPr>
          <w:noProof/>
        </w:rPr>
      </w:pPr>
      <w:r w:rsidRPr="00261EFF">
        <w:rPr>
          <w:rFonts w:asciiTheme="majorBidi" w:hAnsiTheme="majorBidi" w:cstheme="majorBidi"/>
          <w:noProof/>
          <w:lang w:val="sv-SE"/>
        </w:rPr>
        <w:t>Anak Luar Nikah</w:t>
      </w:r>
      <w:r>
        <w:rPr>
          <w:noProof/>
        </w:rPr>
        <w:t>, 321</w:t>
      </w:r>
    </w:p>
    <w:p w:rsidR="00343B61" w:rsidRDefault="00343B61" w:rsidP="00343B61">
      <w:pPr>
        <w:pStyle w:val="Index1"/>
        <w:tabs>
          <w:tab w:val="right" w:pos="3607"/>
        </w:tabs>
        <w:rPr>
          <w:noProof/>
        </w:rPr>
      </w:pPr>
      <w:r w:rsidRPr="00261EFF">
        <w:rPr>
          <w:rFonts w:ascii="Times New Roman" w:hAnsi="Times New Roman"/>
          <w:noProof/>
        </w:rPr>
        <w:t>As-Sunah</w:t>
      </w:r>
      <w:r>
        <w:rPr>
          <w:noProof/>
        </w:rPr>
        <w:t>, 1</w:t>
      </w:r>
    </w:p>
    <w:p w:rsidR="00343B61" w:rsidRDefault="00343B61" w:rsidP="00343B61">
      <w:pPr>
        <w:pStyle w:val="IndexHeading"/>
        <w:keepNext/>
        <w:tabs>
          <w:tab w:val="right" w:pos="3607"/>
        </w:tabs>
        <w:rPr>
          <w:rFonts w:eastAsiaTheme="minorEastAsia" w:cstheme="minorBidi"/>
          <w:b w:val="0"/>
          <w:bCs w:val="0"/>
          <w:noProof/>
        </w:rPr>
      </w:pPr>
      <w:r>
        <w:rPr>
          <w:noProof/>
        </w:rPr>
        <w:t>B</w:t>
      </w:r>
    </w:p>
    <w:p w:rsidR="00343B61" w:rsidRDefault="00343B61" w:rsidP="00343B61">
      <w:pPr>
        <w:pStyle w:val="Index1"/>
        <w:tabs>
          <w:tab w:val="right" w:pos="3607"/>
        </w:tabs>
        <w:rPr>
          <w:noProof/>
        </w:rPr>
      </w:pPr>
      <w:r w:rsidRPr="00261EFF">
        <w:rPr>
          <w:rFonts w:asciiTheme="majorBidi" w:hAnsiTheme="majorBidi" w:cstheme="majorBidi"/>
          <w:noProof/>
          <w:lang w:val="sv-SE"/>
        </w:rPr>
        <w:t>Bercerai</w:t>
      </w:r>
      <w:r>
        <w:rPr>
          <w:noProof/>
        </w:rPr>
        <w:t>, 207, 272, 273, 303, 304, 321, 322, 323</w:t>
      </w:r>
    </w:p>
    <w:p w:rsidR="00343B61" w:rsidRDefault="00343B61" w:rsidP="00343B61">
      <w:pPr>
        <w:pStyle w:val="Index1"/>
        <w:tabs>
          <w:tab w:val="right" w:pos="3607"/>
        </w:tabs>
        <w:rPr>
          <w:noProof/>
        </w:rPr>
      </w:pPr>
      <w:r w:rsidRPr="00261EFF">
        <w:rPr>
          <w:rFonts w:asciiTheme="majorBidi" w:hAnsiTheme="majorBidi" w:cstheme="majorBidi"/>
          <w:noProof/>
          <w:lang w:val="sv-SE"/>
        </w:rPr>
        <w:t>Bukhari dan Muslim</w:t>
      </w:r>
      <w:r>
        <w:rPr>
          <w:noProof/>
        </w:rPr>
        <w:t>, 15</w:t>
      </w:r>
    </w:p>
    <w:p w:rsidR="00343B61" w:rsidRDefault="00343B61" w:rsidP="00343B61">
      <w:pPr>
        <w:pStyle w:val="IndexHeading"/>
        <w:keepNext/>
        <w:tabs>
          <w:tab w:val="right" w:pos="3607"/>
        </w:tabs>
        <w:rPr>
          <w:rFonts w:eastAsiaTheme="minorEastAsia" w:cstheme="minorBidi"/>
          <w:b w:val="0"/>
          <w:bCs w:val="0"/>
          <w:noProof/>
        </w:rPr>
      </w:pPr>
      <w:r>
        <w:rPr>
          <w:noProof/>
        </w:rPr>
        <w:t>D</w:t>
      </w:r>
    </w:p>
    <w:p w:rsidR="00343B61" w:rsidRDefault="00343B61" w:rsidP="00343B61">
      <w:pPr>
        <w:pStyle w:val="Index1"/>
        <w:tabs>
          <w:tab w:val="right" w:pos="3607"/>
        </w:tabs>
        <w:rPr>
          <w:noProof/>
        </w:rPr>
      </w:pPr>
      <w:r w:rsidRPr="00261EFF">
        <w:rPr>
          <w:rFonts w:ascii="Times New Roman" w:hAnsi="Times New Roman"/>
          <w:noProof/>
        </w:rPr>
        <w:t>dalil</w:t>
      </w:r>
      <w:r>
        <w:rPr>
          <w:noProof/>
        </w:rPr>
        <w:t>, 7, 24, 30, 33, 34, 53, 89, 97, 144, 147, 173, 181, 188, 190, 191, 192, 194, 199, 200, 204, 205, 213, 218, 230, 231, 237, 246, 255, 257, 259, 261, 272, 281</w:t>
      </w:r>
    </w:p>
    <w:p w:rsidR="00343B61" w:rsidRDefault="00343B61" w:rsidP="00343B61">
      <w:pPr>
        <w:pStyle w:val="IndexHeading"/>
        <w:keepNext/>
        <w:tabs>
          <w:tab w:val="right" w:pos="3607"/>
        </w:tabs>
        <w:rPr>
          <w:rFonts w:eastAsiaTheme="minorEastAsia" w:cstheme="minorBidi"/>
          <w:b w:val="0"/>
          <w:bCs w:val="0"/>
          <w:noProof/>
        </w:rPr>
      </w:pPr>
      <w:r>
        <w:rPr>
          <w:noProof/>
        </w:rPr>
        <w:t>F</w:t>
      </w:r>
    </w:p>
    <w:p w:rsidR="00343B61" w:rsidRDefault="00343B61" w:rsidP="00343B61">
      <w:pPr>
        <w:pStyle w:val="Index1"/>
        <w:tabs>
          <w:tab w:val="right" w:pos="3607"/>
        </w:tabs>
        <w:rPr>
          <w:noProof/>
        </w:rPr>
      </w:pPr>
      <w:r w:rsidRPr="00261EFF">
        <w:rPr>
          <w:rFonts w:ascii="Giovanni-Book" w:hAnsi="Giovanni-Book" w:cs="Giovanni-Book"/>
          <w:noProof/>
          <w:lang w:val="it-IT"/>
        </w:rPr>
        <w:t>Fatwa</w:t>
      </w:r>
      <w:r>
        <w:rPr>
          <w:noProof/>
        </w:rPr>
        <w:t>, 1, 4, 5, 6, 13, 14, 15, 16, 17, 19, 20, 21, 22, 23, 24, 29, 30, 35, 151, 153, 155, 156, 159, 160, 161, 162, 163, 169, 170, 171, 172, 175, 176, 177, 178, 179, 180, 181, 183, 184, 185, 186, 187, 188, 189, 192, 193, 194, 195, 196, 197, 198, 199, 200, 202, 203, 204, 207, 208, 217, 218, 223, 224, 225, 230, 231, 234, 235, 246, 250, 255, 257, 258, 259, 260, 261, 262, 263, 272, 274, 275, 278, 279, 280, 285, 286, 287, 288, 289, 290, 291, 292, 293, 294, 297, 298, 302, 303, 304, 305, 306, 307, 308, 311, 312, 314, 315, 318, 319, 320, 321, 322, 323, 325, 331</w:t>
      </w:r>
    </w:p>
    <w:p w:rsidR="00343B61" w:rsidRDefault="00343B61" w:rsidP="00343B61">
      <w:pPr>
        <w:pStyle w:val="Index1"/>
        <w:tabs>
          <w:tab w:val="right" w:pos="3607"/>
        </w:tabs>
        <w:rPr>
          <w:noProof/>
        </w:rPr>
      </w:pPr>
      <w:r w:rsidRPr="00261EFF">
        <w:rPr>
          <w:rFonts w:asciiTheme="majorBidi" w:hAnsiTheme="majorBidi" w:cstheme="majorBidi"/>
          <w:noProof/>
        </w:rPr>
        <w:lastRenderedPageBreak/>
        <w:t>fiqh</w:t>
      </w:r>
      <w:r>
        <w:rPr>
          <w:noProof/>
        </w:rPr>
        <w:t>, 7, 8, 11, 17, 21, 24, 28, 29, 35, 53, 58, 85, 88, 90, 94, 96, 98, 99, 100, 101, 111, 122, 126, 128, 132, 134, 135, 137, 149, 160, 161, 162, 192, 193, 195, 197, 199, 200, 202, 204, 224, 231, 243, 248, 250, 268, 280, 281, 282, 283, 284, 285, 287, 288, 289,293, 294, 296, 298, 300, 301, 303, 307, 309, 312, 314</w:t>
      </w:r>
    </w:p>
    <w:p w:rsidR="00343B61" w:rsidRDefault="00343B61" w:rsidP="00343B61">
      <w:pPr>
        <w:pStyle w:val="IndexHeading"/>
        <w:keepNext/>
        <w:tabs>
          <w:tab w:val="right" w:pos="3607"/>
        </w:tabs>
        <w:rPr>
          <w:rFonts w:eastAsiaTheme="minorEastAsia" w:cstheme="minorBidi"/>
          <w:b w:val="0"/>
          <w:bCs w:val="0"/>
          <w:noProof/>
        </w:rPr>
      </w:pPr>
      <w:r>
        <w:rPr>
          <w:noProof/>
        </w:rPr>
        <w:t>H</w:t>
      </w:r>
    </w:p>
    <w:p w:rsidR="00343B61" w:rsidRDefault="00343B61" w:rsidP="00343B61">
      <w:pPr>
        <w:pStyle w:val="Index1"/>
        <w:tabs>
          <w:tab w:val="right" w:pos="3607"/>
        </w:tabs>
        <w:rPr>
          <w:noProof/>
        </w:rPr>
      </w:pPr>
      <w:r w:rsidRPr="00261EFF">
        <w:rPr>
          <w:rFonts w:ascii="Times New Roman" w:eastAsiaTheme="minorHAnsi" w:hAnsi="Times New Roman"/>
          <w:i/>
          <w:iCs/>
          <w:noProof/>
          <w:lang w:val="sv-SE"/>
        </w:rPr>
        <w:t>Hadhanah</w:t>
      </w:r>
      <w:r>
        <w:rPr>
          <w:noProof/>
        </w:rPr>
        <w:t>, 272</w:t>
      </w:r>
    </w:p>
    <w:p w:rsidR="00343B61" w:rsidRDefault="00343B61" w:rsidP="00343B61">
      <w:pPr>
        <w:pStyle w:val="Index1"/>
        <w:tabs>
          <w:tab w:val="right" w:pos="3607"/>
        </w:tabs>
        <w:rPr>
          <w:noProof/>
        </w:rPr>
      </w:pPr>
      <w:r w:rsidRPr="00261EFF">
        <w:rPr>
          <w:rFonts w:asciiTheme="majorBidi" w:hAnsiTheme="majorBidi" w:cstheme="majorBidi"/>
          <w:noProof/>
          <w:lang w:val="sv-SE"/>
        </w:rPr>
        <w:t>Hadis Nabi</w:t>
      </w:r>
      <w:r>
        <w:rPr>
          <w:noProof/>
        </w:rPr>
        <w:t>, 232, 248, 255, 261, 267</w:t>
      </w:r>
    </w:p>
    <w:p w:rsidR="00343B61" w:rsidRDefault="00343B61" w:rsidP="00343B61">
      <w:pPr>
        <w:pStyle w:val="Index1"/>
        <w:tabs>
          <w:tab w:val="right" w:pos="3607"/>
        </w:tabs>
        <w:rPr>
          <w:noProof/>
        </w:rPr>
      </w:pPr>
      <w:r w:rsidRPr="00261EFF">
        <w:rPr>
          <w:rFonts w:ascii="Times New Roman" w:hAnsi="Times New Roman"/>
          <w:noProof/>
        </w:rPr>
        <w:t>hakim</w:t>
      </w:r>
      <w:r>
        <w:rPr>
          <w:noProof/>
        </w:rPr>
        <w:t>, 10, 25, 26, 27, 80, 102, 137, 138, 140, 161, 177, 184, 233, 249, 283, 284, 287, 311, 313, 314, 325</w:t>
      </w:r>
    </w:p>
    <w:p w:rsidR="00343B61" w:rsidRDefault="00343B61" w:rsidP="00343B61">
      <w:pPr>
        <w:pStyle w:val="Index1"/>
        <w:tabs>
          <w:tab w:val="right" w:pos="3607"/>
        </w:tabs>
        <w:rPr>
          <w:noProof/>
        </w:rPr>
      </w:pPr>
      <w:r w:rsidRPr="00261EFF">
        <w:rPr>
          <w:rFonts w:asciiTheme="majorBidi" w:hAnsiTheme="majorBidi" w:cstheme="majorBidi"/>
          <w:noProof/>
          <w:lang w:val="sv-SE"/>
        </w:rPr>
        <w:t>HAM</w:t>
      </w:r>
      <w:r>
        <w:rPr>
          <w:noProof/>
        </w:rPr>
        <w:t>, 25, 26, 43, 44, 290, 300, 312</w:t>
      </w:r>
    </w:p>
    <w:p w:rsidR="00343B61" w:rsidRDefault="00343B61" w:rsidP="00343B61">
      <w:pPr>
        <w:pStyle w:val="Index1"/>
        <w:tabs>
          <w:tab w:val="right" w:pos="3607"/>
        </w:tabs>
        <w:rPr>
          <w:noProof/>
        </w:rPr>
      </w:pPr>
      <w:r w:rsidRPr="00261EFF">
        <w:rPr>
          <w:rFonts w:ascii="Times New Roman" w:hAnsi="Times New Roman"/>
          <w:noProof/>
        </w:rPr>
        <w:t>Hanabilah</w:t>
      </w:r>
      <w:r>
        <w:rPr>
          <w:noProof/>
        </w:rPr>
        <w:t>, 27, 253, 268</w:t>
      </w:r>
    </w:p>
    <w:p w:rsidR="00343B61" w:rsidRDefault="00343B61" w:rsidP="00343B61">
      <w:pPr>
        <w:pStyle w:val="Index1"/>
        <w:tabs>
          <w:tab w:val="right" w:pos="3607"/>
        </w:tabs>
        <w:rPr>
          <w:noProof/>
        </w:rPr>
      </w:pPr>
      <w:r w:rsidRPr="00261EFF">
        <w:rPr>
          <w:rFonts w:ascii="Times New Roman" w:hAnsi="Times New Roman"/>
          <w:noProof/>
        </w:rPr>
        <w:t>Hanafiyyah</w:t>
      </w:r>
      <w:r>
        <w:rPr>
          <w:noProof/>
        </w:rPr>
        <w:t>, 253, 268</w:t>
      </w:r>
    </w:p>
    <w:p w:rsidR="00343B61" w:rsidRDefault="00343B61" w:rsidP="00343B61">
      <w:pPr>
        <w:pStyle w:val="Index1"/>
        <w:tabs>
          <w:tab w:val="right" w:pos="3607"/>
        </w:tabs>
        <w:rPr>
          <w:noProof/>
        </w:rPr>
      </w:pPr>
      <w:r w:rsidRPr="00261EFF">
        <w:rPr>
          <w:rFonts w:asciiTheme="majorBidi" w:hAnsiTheme="majorBidi" w:cstheme="majorBidi"/>
          <w:noProof/>
        </w:rPr>
        <w:t>hibah,</w:t>
      </w:r>
      <w:r>
        <w:rPr>
          <w:noProof/>
        </w:rPr>
        <w:t>, 15, 255, 257, 258, 284, 285, 315, 316, 318</w:t>
      </w:r>
    </w:p>
    <w:p w:rsidR="00343B61" w:rsidRDefault="00343B61" w:rsidP="00343B61">
      <w:pPr>
        <w:pStyle w:val="Index1"/>
        <w:tabs>
          <w:tab w:val="right" w:pos="3607"/>
        </w:tabs>
        <w:rPr>
          <w:noProof/>
        </w:rPr>
      </w:pPr>
      <w:r w:rsidRPr="00261EFF">
        <w:rPr>
          <w:rFonts w:ascii="Times New Roman" w:hAnsi="Times New Roman"/>
          <w:i/>
          <w:iCs/>
          <w:noProof/>
          <w:u w:val="single"/>
        </w:rPr>
        <w:t>h</w:t>
      </w:r>
      <w:r w:rsidRPr="00261EFF">
        <w:rPr>
          <w:rFonts w:asciiTheme="majorBidi" w:eastAsiaTheme="minorHAnsi" w:hAnsiTheme="majorBidi" w:cstheme="majorBidi"/>
          <w:i/>
          <w:iCs/>
          <w:noProof/>
          <w:lang w:val="sv-SE"/>
        </w:rPr>
        <w:t>ifẓ al-</w:t>
      </w:r>
      <w:r w:rsidRPr="00261EFF">
        <w:rPr>
          <w:noProof/>
          <w:lang w:val="sv-SE"/>
        </w:rPr>
        <w:t>‘</w:t>
      </w:r>
      <w:r w:rsidRPr="00261EFF">
        <w:rPr>
          <w:rFonts w:asciiTheme="majorBidi" w:eastAsiaTheme="minorHAnsi" w:hAnsiTheme="majorBidi" w:cstheme="majorBidi"/>
          <w:i/>
          <w:iCs/>
          <w:noProof/>
          <w:lang w:val="sv-SE"/>
        </w:rPr>
        <w:t>aql</w:t>
      </w:r>
      <w:r>
        <w:rPr>
          <w:noProof/>
        </w:rPr>
        <w:t>, 34</w:t>
      </w:r>
    </w:p>
    <w:p w:rsidR="00343B61" w:rsidRDefault="00343B61" w:rsidP="00343B61">
      <w:pPr>
        <w:pStyle w:val="Index1"/>
        <w:tabs>
          <w:tab w:val="right" w:pos="3607"/>
        </w:tabs>
        <w:rPr>
          <w:noProof/>
        </w:rPr>
      </w:pPr>
      <w:r w:rsidRPr="00261EFF">
        <w:rPr>
          <w:rFonts w:ascii="Times New Roman" w:hAnsi="Times New Roman"/>
          <w:i/>
          <w:iCs/>
          <w:noProof/>
          <w:u w:val="single"/>
        </w:rPr>
        <w:t>h</w:t>
      </w:r>
      <w:r w:rsidRPr="00261EFF">
        <w:rPr>
          <w:rFonts w:asciiTheme="majorBidi" w:eastAsiaTheme="minorHAnsi" w:hAnsiTheme="majorBidi" w:cstheme="majorBidi"/>
          <w:i/>
          <w:iCs/>
          <w:noProof/>
          <w:lang w:val="sv-SE"/>
        </w:rPr>
        <w:t>ifẓ al-dīn</w:t>
      </w:r>
      <w:r>
        <w:rPr>
          <w:noProof/>
        </w:rPr>
        <w:t>, 34, 316</w:t>
      </w:r>
    </w:p>
    <w:p w:rsidR="00343B61" w:rsidRDefault="00343B61" w:rsidP="00343B61">
      <w:pPr>
        <w:pStyle w:val="Index1"/>
        <w:tabs>
          <w:tab w:val="right" w:pos="3607"/>
        </w:tabs>
        <w:rPr>
          <w:noProof/>
        </w:rPr>
      </w:pPr>
      <w:r w:rsidRPr="00261EFF">
        <w:rPr>
          <w:rFonts w:ascii="Times New Roman" w:hAnsi="Times New Roman"/>
          <w:i/>
          <w:iCs/>
          <w:noProof/>
          <w:u w:val="single"/>
        </w:rPr>
        <w:t>h</w:t>
      </w:r>
      <w:r w:rsidRPr="00261EFF">
        <w:rPr>
          <w:rFonts w:asciiTheme="majorBidi" w:eastAsiaTheme="minorHAnsi" w:hAnsiTheme="majorBidi" w:cstheme="majorBidi"/>
          <w:i/>
          <w:iCs/>
          <w:noProof/>
          <w:lang w:val="sv-SE"/>
        </w:rPr>
        <w:t>ifẓ al-māl</w:t>
      </w:r>
      <w:r>
        <w:rPr>
          <w:noProof/>
        </w:rPr>
        <w:t>, 34, 316</w:t>
      </w:r>
    </w:p>
    <w:p w:rsidR="00343B61" w:rsidRDefault="00343B61" w:rsidP="00343B61">
      <w:pPr>
        <w:pStyle w:val="Index1"/>
        <w:tabs>
          <w:tab w:val="right" w:pos="3607"/>
        </w:tabs>
        <w:rPr>
          <w:noProof/>
        </w:rPr>
      </w:pPr>
      <w:r w:rsidRPr="00261EFF">
        <w:rPr>
          <w:rFonts w:ascii="Times New Roman" w:hAnsi="Times New Roman"/>
          <w:i/>
          <w:iCs/>
          <w:noProof/>
          <w:u w:val="single"/>
        </w:rPr>
        <w:t>h</w:t>
      </w:r>
      <w:r w:rsidRPr="00261EFF">
        <w:rPr>
          <w:rFonts w:asciiTheme="majorBidi" w:eastAsiaTheme="minorHAnsi" w:hAnsiTheme="majorBidi" w:cstheme="majorBidi"/>
          <w:i/>
          <w:iCs/>
          <w:noProof/>
          <w:lang w:val="sv-SE"/>
        </w:rPr>
        <w:t>ifẓ al-nafs</w:t>
      </w:r>
      <w:r>
        <w:rPr>
          <w:noProof/>
        </w:rPr>
        <w:t>, 34, 316</w:t>
      </w:r>
    </w:p>
    <w:p w:rsidR="00343B61" w:rsidRDefault="00343B61" w:rsidP="00343B61">
      <w:pPr>
        <w:pStyle w:val="Index1"/>
        <w:tabs>
          <w:tab w:val="right" w:pos="3607"/>
        </w:tabs>
        <w:rPr>
          <w:noProof/>
        </w:rPr>
      </w:pPr>
      <w:r w:rsidRPr="00261EFF">
        <w:rPr>
          <w:rFonts w:ascii="Times New Roman" w:hAnsi="Times New Roman"/>
          <w:i/>
          <w:iCs/>
          <w:noProof/>
          <w:u w:val="single"/>
        </w:rPr>
        <w:t>h</w:t>
      </w:r>
      <w:r w:rsidRPr="00261EFF">
        <w:rPr>
          <w:rFonts w:asciiTheme="majorBidi" w:eastAsiaTheme="minorHAnsi" w:hAnsiTheme="majorBidi" w:cstheme="majorBidi"/>
          <w:i/>
          <w:iCs/>
          <w:noProof/>
          <w:lang w:val="sv-SE"/>
        </w:rPr>
        <w:t>ifẓ al-nasl</w:t>
      </w:r>
      <w:r>
        <w:rPr>
          <w:noProof/>
        </w:rPr>
        <w:t>, 34</w:t>
      </w:r>
    </w:p>
    <w:p w:rsidR="00343B61" w:rsidRDefault="00343B61" w:rsidP="00343B61">
      <w:pPr>
        <w:pStyle w:val="Index1"/>
        <w:tabs>
          <w:tab w:val="right" w:pos="3607"/>
        </w:tabs>
        <w:rPr>
          <w:noProof/>
        </w:rPr>
      </w:pPr>
      <w:r w:rsidRPr="00261EFF">
        <w:rPr>
          <w:rFonts w:asciiTheme="majorBidi" w:hAnsiTheme="majorBidi" w:cstheme="majorBidi"/>
          <w:noProof/>
        </w:rPr>
        <w:t>hukum</w:t>
      </w:r>
      <w:r>
        <w:rPr>
          <w:noProof/>
        </w:rPr>
        <w:t>, 1, 4, 5, 6, 7, 8, 9, 10, 11, 12, 13, 14, 15, 16, 17, 18, 19, 20, 21, 22, 23, 27, 28, 29, 30, 33, 34, 35, 36, 37, 38, 39, 41, 43, 45, 46, 47, 48, 52, 53, 54, 55, 56, 57, 58, 61, 62, 63, 67, 78, 81, 82, 83, 85, 86, 87, 88, 89, 91, 93, 94, 96, 97, 98, 99, 100, 101, 103, 104, 105, 106, 107, 108, 110, 111, 112, 113, 114, 115, 118, 120, 122, 123, 125, 126, 127, 128, 129, 132, 133, 134, 135, 136, 137, 138, 139, 140, 141, 142, 147, 148, 149, 150, 151, 154, 155, 159, 160, 167, 171, 172, 173, 174, 175, 177, 178, 179, 180, 181, 182, 184, 185, 186, 188, 190, 191, 192, 193, 195, 196, 197, 198, 199, 201, 202, 203, 204, 205, 206, 207, 211, 213, 214, 218, 220, 221, 224, 225, 226, 227, 228, 229, 230, 231, 234, 235, 236, 237, 244, 246, 247, 249, 251, 254, 257, 258, 260, 261, 262, 263, 266, 267, 268, 269, 280, 281, 282, 283, 284, 285, 286, 287, 288, 289, 290, 291, 292, 293, 294, 296, 297, 298, 299, 300, 301, 302, 303, 304, 305, 306, 307, 308, 309, 310, 311, 312, 314, 315, 317, 318, 319, 320, 322, 323, 324, 325, 326</w:t>
      </w:r>
    </w:p>
    <w:p w:rsidR="00343B61" w:rsidRDefault="00343B61" w:rsidP="00343B61">
      <w:pPr>
        <w:pStyle w:val="Index1"/>
        <w:tabs>
          <w:tab w:val="right" w:pos="3607"/>
        </w:tabs>
        <w:rPr>
          <w:noProof/>
        </w:rPr>
      </w:pPr>
      <w:r w:rsidRPr="00261EFF">
        <w:rPr>
          <w:rFonts w:asciiTheme="majorBidi" w:hAnsiTheme="majorBidi" w:cstheme="majorBidi"/>
          <w:noProof/>
          <w:lang w:val="sv-SE"/>
        </w:rPr>
        <w:t>hukum keluarga</w:t>
      </w:r>
      <w:r>
        <w:rPr>
          <w:noProof/>
        </w:rPr>
        <w:t>, 19, 20, 24, 30, 46, 133, 137, 141, 207, 280, 297, 298, 300, 302, 306, 307, 311, 314, 323, 324</w:t>
      </w:r>
    </w:p>
    <w:p w:rsidR="00343B61" w:rsidRDefault="00343B61" w:rsidP="00343B61">
      <w:pPr>
        <w:pStyle w:val="Index1"/>
        <w:tabs>
          <w:tab w:val="right" w:pos="3607"/>
        </w:tabs>
        <w:rPr>
          <w:noProof/>
        </w:rPr>
      </w:pPr>
      <w:r w:rsidRPr="00261EFF">
        <w:rPr>
          <w:rFonts w:asciiTheme="majorBidi" w:hAnsiTheme="majorBidi" w:cstheme="majorBidi"/>
          <w:noProof/>
          <w:spacing w:val="-1"/>
        </w:rPr>
        <w:t>Husain Haikal</w:t>
      </w:r>
      <w:r>
        <w:rPr>
          <w:noProof/>
        </w:rPr>
        <w:t>, 42, 83</w:t>
      </w:r>
    </w:p>
    <w:p w:rsidR="00343B61" w:rsidRDefault="00343B61" w:rsidP="00343B61">
      <w:pPr>
        <w:pStyle w:val="IndexHeading"/>
        <w:keepNext/>
        <w:tabs>
          <w:tab w:val="right" w:pos="3607"/>
        </w:tabs>
        <w:rPr>
          <w:rFonts w:eastAsiaTheme="minorEastAsia" w:cstheme="minorBidi"/>
          <w:b w:val="0"/>
          <w:bCs w:val="0"/>
          <w:noProof/>
        </w:rPr>
      </w:pPr>
      <w:r>
        <w:rPr>
          <w:noProof/>
        </w:rPr>
        <w:lastRenderedPageBreak/>
        <w:t>I</w:t>
      </w:r>
    </w:p>
    <w:p w:rsidR="00343B61" w:rsidRDefault="00343B61" w:rsidP="00343B61">
      <w:pPr>
        <w:pStyle w:val="Index1"/>
        <w:tabs>
          <w:tab w:val="right" w:pos="3607"/>
        </w:tabs>
        <w:rPr>
          <w:noProof/>
        </w:rPr>
      </w:pPr>
      <w:r w:rsidRPr="00261EFF">
        <w:rPr>
          <w:rFonts w:ascii="Times New Roman" w:hAnsi="Times New Roman"/>
          <w:noProof/>
        </w:rPr>
        <w:t>Ibn Hazm</w:t>
      </w:r>
      <w:r>
        <w:rPr>
          <w:noProof/>
        </w:rPr>
        <w:t>, 65, 269, 316</w:t>
      </w:r>
    </w:p>
    <w:p w:rsidR="00343B61" w:rsidRDefault="00343B61" w:rsidP="00343B61">
      <w:pPr>
        <w:pStyle w:val="Index1"/>
        <w:tabs>
          <w:tab w:val="right" w:pos="3607"/>
        </w:tabs>
        <w:rPr>
          <w:noProof/>
        </w:rPr>
      </w:pPr>
      <w:r w:rsidRPr="00261EFF">
        <w:rPr>
          <w:rFonts w:asciiTheme="majorBidi" w:hAnsiTheme="majorBidi" w:cstheme="majorBidi"/>
          <w:noProof/>
        </w:rPr>
        <w:t>Ibn Manzh</w:t>
      </w:r>
      <w:r w:rsidRPr="00261EFF">
        <w:rPr>
          <w:rFonts w:asciiTheme="majorBidi" w:hAnsiTheme="majorBidi" w:cstheme="majorBidi"/>
          <w:noProof/>
          <w:lang w:val="fi-FI"/>
        </w:rPr>
        <w:t>ū</w:t>
      </w:r>
      <w:r w:rsidRPr="00261EFF">
        <w:rPr>
          <w:rFonts w:asciiTheme="majorBidi" w:hAnsiTheme="majorBidi" w:cstheme="majorBidi"/>
          <w:noProof/>
        </w:rPr>
        <w:t>r</w:t>
      </w:r>
      <w:r>
        <w:rPr>
          <w:noProof/>
        </w:rPr>
        <w:t>, 51, 133</w:t>
      </w:r>
    </w:p>
    <w:p w:rsidR="00343B61" w:rsidRDefault="00343B61" w:rsidP="00343B61">
      <w:pPr>
        <w:pStyle w:val="Index1"/>
        <w:tabs>
          <w:tab w:val="right" w:pos="3607"/>
        </w:tabs>
        <w:rPr>
          <w:noProof/>
        </w:rPr>
      </w:pPr>
      <w:r w:rsidRPr="00261EFF">
        <w:rPr>
          <w:rFonts w:asciiTheme="majorBidi" w:hAnsiTheme="majorBidi" w:cstheme="majorBidi"/>
          <w:noProof/>
          <w:color w:val="000000"/>
          <w:lang w:val="sv-SE"/>
        </w:rPr>
        <w:t>Ibn Nujaim</w:t>
      </w:r>
      <w:r>
        <w:rPr>
          <w:noProof/>
        </w:rPr>
        <w:t>, 8, 55, 67, 222, 233, 235, 249, 267, 270</w:t>
      </w:r>
    </w:p>
    <w:p w:rsidR="00343B61" w:rsidRDefault="00343B61" w:rsidP="00343B61">
      <w:pPr>
        <w:pStyle w:val="Index1"/>
        <w:tabs>
          <w:tab w:val="right" w:pos="3607"/>
        </w:tabs>
        <w:rPr>
          <w:noProof/>
        </w:rPr>
      </w:pPr>
      <w:r w:rsidRPr="00261EFF">
        <w:rPr>
          <w:rFonts w:asciiTheme="majorBidi" w:hAnsiTheme="majorBidi" w:cstheme="majorBidi"/>
          <w:noProof/>
        </w:rPr>
        <w:t>Ibnu Majah</w:t>
      </w:r>
      <w:r>
        <w:rPr>
          <w:noProof/>
        </w:rPr>
        <w:t>, 227, 240, 248, 253, 262</w:t>
      </w:r>
    </w:p>
    <w:p w:rsidR="00343B61" w:rsidRDefault="00343B61" w:rsidP="00343B61">
      <w:pPr>
        <w:pStyle w:val="Index1"/>
        <w:tabs>
          <w:tab w:val="right" w:pos="3607"/>
        </w:tabs>
        <w:rPr>
          <w:noProof/>
        </w:rPr>
      </w:pPr>
      <w:r w:rsidRPr="00261EFF">
        <w:rPr>
          <w:rFonts w:ascii="Times New Roman" w:hAnsi="Times New Roman"/>
          <w:noProof/>
          <w:lang w:val="sv-SE"/>
        </w:rPr>
        <w:t>Ibnu Qayyim</w:t>
      </w:r>
      <w:r>
        <w:rPr>
          <w:noProof/>
        </w:rPr>
        <w:t>, 8, 27, 46, 55, 139, 183</w:t>
      </w:r>
    </w:p>
    <w:p w:rsidR="00343B61" w:rsidRDefault="00343B61" w:rsidP="00343B61">
      <w:pPr>
        <w:pStyle w:val="Index1"/>
        <w:tabs>
          <w:tab w:val="right" w:pos="3607"/>
        </w:tabs>
        <w:rPr>
          <w:noProof/>
        </w:rPr>
      </w:pPr>
      <w:r w:rsidRPr="00261EFF">
        <w:rPr>
          <w:rFonts w:ascii="Times New Roman" w:hAnsi="Times New Roman"/>
          <w:noProof/>
          <w:lang w:val="sv-SE"/>
        </w:rPr>
        <w:t>Ibnu Taymiyyah</w:t>
      </w:r>
      <w:r>
        <w:rPr>
          <w:noProof/>
        </w:rPr>
        <w:t>, 8, 27, 46</w:t>
      </w:r>
    </w:p>
    <w:p w:rsidR="00343B61" w:rsidRDefault="00343B61" w:rsidP="00343B61">
      <w:pPr>
        <w:pStyle w:val="Index1"/>
        <w:tabs>
          <w:tab w:val="right" w:pos="3607"/>
        </w:tabs>
        <w:rPr>
          <w:noProof/>
        </w:rPr>
      </w:pPr>
      <w:r w:rsidRPr="00261EFF">
        <w:rPr>
          <w:rFonts w:asciiTheme="majorBidi" w:hAnsiTheme="majorBidi" w:cstheme="majorBidi"/>
          <w:noProof/>
        </w:rPr>
        <w:t>ijtihad</w:t>
      </w:r>
      <w:r>
        <w:rPr>
          <w:noProof/>
        </w:rPr>
        <w:t>, 10, 12, 13, 17, 21, 23, 24, 30, 33, 58, 62, 102, 103, 137, 155, 173, 176, 190, 195, 196, 198, 199, 200, 201, 202, 215, 250, 267, 280, 281, 285, 299, 300</w:t>
      </w:r>
    </w:p>
    <w:p w:rsidR="00343B61" w:rsidRDefault="00343B61" w:rsidP="00343B61">
      <w:pPr>
        <w:pStyle w:val="Index1"/>
        <w:tabs>
          <w:tab w:val="right" w:pos="3607"/>
        </w:tabs>
        <w:rPr>
          <w:noProof/>
        </w:rPr>
      </w:pPr>
      <w:r w:rsidRPr="00261EFF">
        <w:rPr>
          <w:rFonts w:ascii="Times New Roman" w:hAnsi="Times New Roman"/>
          <w:i/>
          <w:iCs/>
          <w:noProof/>
          <w:lang w:val="sv-SE"/>
        </w:rPr>
        <w:t>ijtihad kolektif</w:t>
      </w:r>
      <w:r>
        <w:rPr>
          <w:noProof/>
        </w:rPr>
        <w:t>, 13, 155, 201</w:t>
      </w:r>
    </w:p>
    <w:p w:rsidR="00343B61" w:rsidRDefault="00343B61" w:rsidP="00343B61">
      <w:pPr>
        <w:pStyle w:val="Index1"/>
        <w:tabs>
          <w:tab w:val="right" w:pos="3607"/>
        </w:tabs>
        <w:rPr>
          <w:noProof/>
        </w:rPr>
      </w:pPr>
      <w:r w:rsidRPr="00261EFF">
        <w:rPr>
          <w:rFonts w:asciiTheme="majorBidi" w:hAnsiTheme="majorBidi" w:cstheme="majorBidi"/>
          <w:noProof/>
          <w:lang w:val="sv-SE"/>
        </w:rPr>
        <w:t xml:space="preserve">Imam </w:t>
      </w:r>
      <w:r w:rsidRPr="00261EFF">
        <w:rPr>
          <w:rFonts w:asciiTheme="majorBidi" w:hAnsiTheme="majorBidi" w:cstheme="majorBidi"/>
          <w:iCs/>
          <w:noProof/>
          <w:lang w:val="sv-SE"/>
        </w:rPr>
        <w:t>Al-Hakim</w:t>
      </w:r>
      <w:r>
        <w:rPr>
          <w:noProof/>
        </w:rPr>
        <w:t>, 233</w:t>
      </w:r>
    </w:p>
    <w:p w:rsidR="00343B61" w:rsidRDefault="00343B61" w:rsidP="00343B61">
      <w:pPr>
        <w:pStyle w:val="Index1"/>
        <w:tabs>
          <w:tab w:val="right" w:pos="3607"/>
        </w:tabs>
        <w:rPr>
          <w:noProof/>
        </w:rPr>
      </w:pPr>
      <w:r w:rsidRPr="00261EFF">
        <w:rPr>
          <w:rFonts w:ascii="Times New Roman" w:hAnsi="Times New Roman"/>
          <w:noProof/>
        </w:rPr>
        <w:t>Imam Nawawi</w:t>
      </w:r>
      <w:r>
        <w:rPr>
          <w:noProof/>
        </w:rPr>
        <w:t>, 10, 176, 233, 269, 296</w:t>
      </w:r>
    </w:p>
    <w:p w:rsidR="00343B61" w:rsidRDefault="00343B61" w:rsidP="00343B61">
      <w:pPr>
        <w:pStyle w:val="Index1"/>
        <w:tabs>
          <w:tab w:val="right" w:pos="3607"/>
        </w:tabs>
        <w:rPr>
          <w:noProof/>
        </w:rPr>
      </w:pPr>
      <w:r w:rsidRPr="00261EFF">
        <w:rPr>
          <w:rFonts w:asciiTheme="majorBidi" w:hAnsiTheme="majorBidi" w:cstheme="majorBidi"/>
          <w:noProof/>
          <w:lang w:val="sv-SE"/>
        </w:rPr>
        <w:t>Indonesia</w:t>
      </w:r>
      <w:r>
        <w:rPr>
          <w:noProof/>
        </w:rPr>
        <w:t>, 4, 6, 13, 14, 15, 16, 17, 18, 19, 20, 21, 22, 28, 29, 30, 31, 36, 37, 38, 39, 41, 45, 46, 48, 59, 61, 82, 85, 86, 90, 103, 104, 107, 108, 109, 110, 111, 112, 113, 114, 115, 116, 117, 118, 119, 120, 121, 122, 126, 127, 128, 129, 130, 131, 132, 133, 135, 137, 139, 141, 142, 143, 149, 151, 152, 153, 154, 155, 156, 157, 158, 159, 160, 161, 162, 165, 166, 167, 169, 171, 172, 175, 177, 178, 179, 180, 181, 183, 184, 185, 186, 187, 188, 192, 193, 194, 197, 198, 203, 207, 208, 217, 218, 223, 224, 225, 227, 228, 230, 231, 236, 244, 245, 246, 255, 263, 272, 274, 275, 278, 279, 280, 281, 282, 283, 284, 285, 286, 287, 288, 289, 290, 291, 292, 293, 294, 295, 296, 297, 298, 299, 300, 301, 302, 303, 304, 305, 306, 307, 308, 309, 310, 311, 312, 313, 314, 315, 316, 317, 318, 319, 320, 321, 322, 323, 324, 331</w:t>
      </w:r>
    </w:p>
    <w:p w:rsidR="00343B61" w:rsidRDefault="00343B61" w:rsidP="00343B61">
      <w:pPr>
        <w:pStyle w:val="Index1"/>
        <w:tabs>
          <w:tab w:val="right" w:pos="3607"/>
        </w:tabs>
        <w:rPr>
          <w:noProof/>
        </w:rPr>
      </w:pPr>
      <w:r w:rsidRPr="00261EFF">
        <w:rPr>
          <w:rFonts w:ascii="Times New Roman" w:hAnsi="Times New Roman"/>
          <w:noProof/>
        </w:rPr>
        <w:t>Islam</w:t>
      </w:r>
      <w:r>
        <w:rPr>
          <w:noProof/>
        </w:rPr>
        <w:t xml:space="preserve">, 1, 4, 5, 6, 7, 8, 9, 12, 13, 15, 16, 17, 18, 19, 20, 21, 22, 23, 25, 26, 27, 28, 29, 30, 31, 32, 33, 34, 35, 39, 40, 41, 42, 43, 44, 45, 46, 47, 48, 52, 53, 54, 56, 57, 58, 61, 62, 63, 68, 69, 70, 71, 72, 73, 74, 75, 76, 77, 78, 79, 80, 81, 82, 83, 84, 85, 86, 87, 88, 89, 91, 96, 103, 104, 105, 106, 107, 108, 109, 110, 111, 112, 113, 114, 115, 116, 117, 119, 120, 121, 122, 123, 124, 125, 126, 127, 128, 129, 130, 131, 132, 133, 135, 136, 137, 138, 140, 141, 142, 143, 145, 146, 147, 148, 149, 150, 152, 153, 154, 155, 156, 157, 158, 159, 160, 161, 162, 163, 165, 166, 167, 168, 169, 170, 171, 172, 174, 175, 176, 177, 178, 179, 180, 181, 183, 184, 185, 186, 187, 188, 192, 193, 194, 195, 196, 197, 198, 199, 201, 203, 204, 205, 206, 207, 208, 209, 211, 212, 213, 215, 217, 220, 222, </w:t>
      </w:r>
      <w:r>
        <w:rPr>
          <w:noProof/>
        </w:rPr>
        <w:lastRenderedPageBreak/>
        <w:t>224, 226, 229, 230, 231, 232, 236, 238, 239, 244, 245, 246, 251, 254, 255, 257, 258, 259, 263, 265, 273, 274, 275, 278, 279, 280, 281, 282, 283, 284, 285, 286, 287, 288, 289, 290, 291, 292, 293, 294, 297, 298, 299, 300, 301, 302, 304, 305, 306, 307, 309, 310, 312, 313, 314, 315, 316, 317, 318, 319, 321, 322, 323, 324, 326</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Isti</w:t>
      </w:r>
      <w:r w:rsidRPr="00261EFF">
        <w:rPr>
          <w:rFonts w:asciiTheme="majorBidi" w:hAnsiTheme="majorBidi" w:cstheme="majorBidi"/>
          <w:i/>
          <w:iCs/>
          <w:noProof/>
          <w:u w:val="single"/>
          <w:lang w:val="sv-SE"/>
        </w:rPr>
        <w:t>h</w:t>
      </w:r>
      <w:r w:rsidRPr="00261EFF">
        <w:rPr>
          <w:rFonts w:asciiTheme="majorBidi" w:hAnsiTheme="majorBidi" w:cstheme="majorBidi"/>
          <w:i/>
          <w:iCs/>
          <w:noProof/>
          <w:lang w:val="sv-SE"/>
        </w:rPr>
        <w:t>sān</w:t>
      </w:r>
      <w:r w:rsidRPr="00261EFF">
        <w:rPr>
          <w:rFonts w:asciiTheme="majorBidi" w:hAnsiTheme="majorBidi" w:cstheme="majorBidi"/>
          <w:noProof/>
          <w:lang w:val="sv-SE"/>
        </w:rPr>
        <w:t>,</w:t>
      </w:r>
      <w:r>
        <w:rPr>
          <w:noProof/>
        </w:rPr>
        <w:t>, 47, 86</w:t>
      </w:r>
    </w:p>
    <w:p w:rsidR="00343B61" w:rsidRDefault="00343B61" w:rsidP="00343B61">
      <w:pPr>
        <w:pStyle w:val="IndexHeading"/>
        <w:keepNext/>
        <w:tabs>
          <w:tab w:val="right" w:pos="3607"/>
        </w:tabs>
        <w:rPr>
          <w:rFonts w:eastAsiaTheme="minorEastAsia" w:cstheme="minorBidi"/>
          <w:b w:val="0"/>
          <w:bCs w:val="0"/>
          <w:noProof/>
        </w:rPr>
      </w:pPr>
      <w:r>
        <w:rPr>
          <w:noProof/>
        </w:rPr>
        <w:t>K</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Kaidah Fiqh</w:t>
      </w:r>
      <w:r>
        <w:rPr>
          <w:noProof/>
        </w:rPr>
        <w:t>, 231</w:t>
      </w:r>
    </w:p>
    <w:p w:rsidR="00343B61" w:rsidRDefault="00343B61" w:rsidP="00343B61">
      <w:pPr>
        <w:pStyle w:val="Index1"/>
        <w:tabs>
          <w:tab w:val="right" w:pos="3607"/>
        </w:tabs>
        <w:rPr>
          <w:noProof/>
        </w:rPr>
      </w:pPr>
      <w:r w:rsidRPr="00261EFF">
        <w:rPr>
          <w:rFonts w:asciiTheme="majorBidi" w:hAnsiTheme="majorBidi" w:cstheme="majorBidi"/>
          <w:noProof/>
          <w:spacing w:val="-5"/>
        </w:rPr>
        <w:t>kesetaraan gender</w:t>
      </w:r>
      <w:r>
        <w:rPr>
          <w:noProof/>
        </w:rPr>
        <w:t>, 43, 127</w:t>
      </w:r>
    </w:p>
    <w:p w:rsidR="00343B61" w:rsidRDefault="00343B61" w:rsidP="00343B61">
      <w:pPr>
        <w:pStyle w:val="Index1"/>
        <w:tabs>
          <w:tab w:val="right" w:pos="3607"/>
        </w:tabs>
        <w:rPr>
          <w:noProof/>
        </w:rPr>
      </w:pPr>
      <w:r w:rsidRPr="00261EFF">
        <w:rPr>
          <w:rFonts w:asciiTheme="majorBidi" w:hAnsiTheme="majorBidi" w:cstheme="majorBidi"/>
          <w:noProof/>
          <w:lang w:val="sv-SE"/>
        </w:rPr>
        <w:t>Kewarisan Beda Agama</w:t>
      </w:r>
      <w:r>
        <w:rPr>
          <w:noProof/>
        </w:rPr>
        <w:t>, 14, 207, 250, 255, 257, 318</w:t>
      </w:r>
    </w:p>
    <w:p w:rsidR="00343B61" w:rsidRDefault="00343B61" w:rsidP="00343B61">
      <w:pPr>
        <w:pStyle w:val="Index1"/>
        <w:tabs>
          <w:tab w:val="right" w:pos="3607"/>
        </w:tabs>
        <w:rPr>
          <w:noProof/>
        </w:rPr>
      </w:pPr>
      <w:r w:rsidRPr="00261EFF">
        <w:rPr>
          <w:rFonts w:asciiTheme="majorBidi" w:hAnsiTheme="majorBidi" w:cstheme="majorBidi"/>
          <w:noProof/>
          <w:lang w:val="sv-SE"/>
        </w:rPr>
        <w:t>KH. Anwar Ibrahim</w:t>
      </w:r>
      <w:r>
        <w:rPr>
          <w:noProof/>
        </w:rPr>
        <w:t>, 234</w:t>
      </w:r>
    </w:p>
    <w:p w:rsidR="00343B61" w:rsidRDefault="00343B61" w:rsidP="00343B61">
      <w:pPr>
        <w:pStyle w:val="Index1"/>
        <w:tabs>
          <w:tab w:val="right" w:pos="3607"/>
        </w:tabs>
        <w:rPr>
          <w:noProof/>
        </w:rPr>
      </w:pPr>
      <w:r w:rsidRPr="00261EFF">
        <w:rPr>
          <w:rFonts w:ascii="Times New Roman" w:hAnsi="Times New Roman"/>
          <w:noProof/>
          <w:color w:val="000000" w:themeColor="text1"/>
        </w:rPr>
        <w:t>Khallāf</w:t>
      </w:r>
      <w:r>
        <w:rPr>
          <w:noProof/>
        </w:rPr>
        <w:t>, 7, 51, 54, 55, 89, 134</w:t>
      </w:r>
    </w:p>
    <w:p w:rsidR="00343B61" w:rsidRDefault="00343B61" w:rsidP="00343B61">
      <w:pPr>
        <w:pStyle w:val="Index1"/>
        <w:tabs>
          <w:tab w:val="right" w:pos="3607"/>
        </w:tabs>
        <w:rPr>
          <w:noProof/>
        </w:rPr>
      </w:pPr>
      <w:r w:rsidRPr="00261EFF">
        <w:rPr>
          <w:rFonts w:ascii="Times New Roman" w:hAnsi="Times New Roman"/>
          <w:noProof/>
        </w:rPr>
        <w:t>KHI</w:t>
      </w:r>
      <w:r>
        <w:rPr>
          <w:noProof/>
        </w:rPr>
        <w:t>, 142, 231, 234, 236, 302, 303, 304, 306, 308, 309, 310, 313, 315, 319, 322</w:t>
      </w:r>
    </w:p>
    <w:p w:rsidR="00343B61" w:rsidRDefault="00343B61" w:rsidP="00343B61">
      <w:pPr>
        <w:pStyle w:val="Index1"/>
        <w:tabs>
          <w:tab w:val="right" w:pos="3607"/>
        </w:tabs>
        <w:rPr>
          <w:noProof/>
        </w:rPr>
      </w:pPr>
      <w:r w:rsidRPr="00261EFF">
        <w:rPr>
          <w:rFonts w:asciiTheme="majorBidi" w:hAnsiTheme="majorBidi" w:cstheme="majorBidi"/>
          <w:noProof/>
          <w:lang w:val="sv-SE"/>
        </w:rPr>
        <w:t>Komisi Fatwa MUI</w:t>
      </w:r>
      <w:r>
        <w:rPr>
          <w:noProof/>
        </w:rPr>
        <w:t>, 13, 194, 196, 204</w:t>
      </w:r>
    </w:p>
    <w:p w:rsidR="00343B61" w:rsidRDefault="00343B61" w:rsidP="00343B61">
      <w:pPr>
        <w:pStyle w:val="Index1"/>
        <w:tabs>
          <w:tab w:val="right" w:pos="3607"/>
        </w:tabs>
        <w:rPr>
          <w:noProof/>
        </w:rPr>
      </w:pPr>
      <w:r w:rsidRPr="00261EFF">
        <w:rPr>
          <w:rFonts w:ascii="Times New Roman" w:hAnsi="Times New Roman"/>
          <w:noProof/>
        </w:rPr>
        <w:t>Kompilasi Hukum Islam</w:t>
      </w:r>
      <w:r>
        <w:rPr>
          <w:noProof/>
        </w:rPr>
        <w:t>, 281, 284, 287, 300, 306, 310, 313, 315, 317</w:t>
      </w:r>
    </w:p>
    <w:p w:rsidR="00343B61" w:rsidRDefault="00343B61" w:rsidP="00343B61">
      <w:pPr>
        <w:pStyle w:val="Index1"/>
        <w:tabs>
          <w:tab w:val="right" w:pos="3607"/>
        </w:tabs>
        <w:rPr>
          <w:noProof/>
        </w:rPr>
      </w:pPr>
      <w:r w:rsidRPr="00261EFF">
        <w:rPr>
          <w:rFonts w:ascii="Times New Roman" w:hAnsi="Times New Roman"/>
          <w:noProof/>
        </w:rPr>
        <w:t>konfigurasi</w:t>
      </w:r>
      <w:r>
        <w:rPr>
          <w:noProof/>
        </w:rPr>
        <w:t>, 37, 38, 39, 307, 311, 315, 318, 320, 323</w:t>
      </w:r>
    </w:p>
    <w:p w:rsidR="00343B61" w:rsidRDefault="00343B61" w:rsidP="00343B61">
      <w:pPr>
        <w:pStyle w:val="IndexHeading"/>
        <w:keepNext/>
        <w:tabs>
          <w:tab w:val="right" w:pos="3607"/>
        </w:tabs>
        <w:rPr>
          <w:rFonts w:eastAsiaTheme="minorEastAsia" w:cstheme="minorBidi"/>
          <w:b w:val="0"/>
          <w:bCs w:val="0"/>
          <w:noProof/>
        </w:rPr>
      </w:pPr>
      <w:r>
        <w:rPr>
          <w:noProof/>
        </w:rPr>
        <w:t>M</w:t>
      </w:r>
    </w:p>
    <w:p w:rsidR="00343B61" w:rsidRDefault="00343B61" w:rsidP="00343B61">
      <w:pPr>
        <w:pStyle w:val="Index1"/>
        <w:tabs>
          <w:tab w:val="right" w:pos="3607"/>
        </w:tabs>
        <w:rPr>
          <w:noProof/>
        </w:rPr>
      </w:pPr>
      <w:r w:rsidRPr="00261EFF">
        <w:rPr>
          <w:rFonts w:ascii="Times New Roman" w:hAnsi="Times New Roman"/>
          <w:i/>
          <w:iCs/>
          <w:noProof/>
          <w:lang w:val="sv-SE"/>
        </w:rPr>
        <w:t>mafsadah</w:t>
      </w:r>
      <w:r>
        <w:rPr>
          <w:noProof/>
        </w:rPr>
        <w:t>, 23, 90, 93, 94, 195, 325</w:t>
      </w:r>
    </w:p>
    <w:p w:rsidR="00343B61" w:rsidRDefault="00343B61" w:rsidP="00343B61">
      <w:pPr>
        <w:pStyle w:val="Index1"/>
        <w:tabs>
          <w:tab w:val="right" w:pos="3607"/>
        </w:tabs>
        <w:rPr>
          <w:noProof/>
        </w:rPr>
      </w:pPr>
      <w:r w:rsidRPr="00261EFF">
        <w:rPr>
          <w:rFonts w:ascii="Times New Roman" w:hAnsi="Times New Roman"/>
          <w:noProof/>
        </w:rPr>
        <w:t>Majelis Ulama Indonesia</w:t>
      </w:r>
      <w:r>
        <w:rPr>
          <w:noProof/>
        </w:rPr>
        <w:t>, 6, 12, 13, 14, 15, 16, 17, 18, 19, 20, 21, 22, 23, 24, 29, 45, 46, 48, 151, 152, 153, 154, 155, 156, 159, 160, 161, 162, 163, 165, 166, 167, 168, 169, 170, 172, 175, 177, 179, 180, 181, 183, 185, 187, 188, 189, 192, 193, 194, 195, 196, 197, 198, 199, 203, 204, 207, 217, 218, 223, 225, 230, 231, 246, 255, 258, 259, 261, 263, 272, 274, 275, 279, 280, 288, 289, 290, 291, 292, 293, 294, 296, 297, 302, 305, 308, 311, 312, 315, 319, 320, 322, 324, 331</w:t>
      </w:r>
    </w:p>
    <w:p w:rsidR="00343B61" w:rsidRDefault="00343B61" w:rsidP="00343B61">
      <w:pPr>
        <w:pStyle w:val="Index1"/>
        <w:tabs>
          <w:tab w:val="right" w:pos="3607"/>
        </w:tabs>
        <w:rPr>
          <w:noProof/>
        </w:rPr>
      </w:pPr>
      <w:r w:rsidRPr="00261EFF">
        <w:rPr>
          <w:rFonts w:ascii="Times New Roman" w:hAnsi="Times New Roman"/>
          <w:noProof/>
        </w:rPr>
        <w:t>Malikiyyah,</w:t>
      </w:r>
      <w:r>
        <w:rPr>
          <w:noProof/>
        </w:rPr>
        <w:t>, 268</w:t>
      </w:r>
    </w:p>
    <w:p w:rsidR="00343B61" w:rsidRDefault="00343B61" w:rsidP="00343B61">
      <w:pPr>
        <w:pStyle w:val="Index1"/>
        <w:tabs>
          <w:tab w:val="right" w:pos="3607"/>
        </w:tabs>
        <w:rPr>
          <w:noProof/>
        </w:rPr>
      </w:pPr>
      <w:r w:rsidRPr="00261EFF">
        <w:rPr>
          <w:rFonts w:asciiTheme="majorBidi" w:hAnsiTheme="majorBidi" w:cstheme="majorBidi"/>
          <w:i/>
          <w:iCs/>
          <w:noProof/>
        </w:rPr>
        <w:t>maqāṣid al-sharī</w:t>
      </w:r>
      <w:r>
        <w:rPr>
          <w:noProof/>
        </w:rPr>
        <w:t>‘</w:t>
      </w:r>
      <w:r w:rsidRPr="00261EFF">
        <w:rPr>
          <w:rFonts w:asciiTheme="majorBidi" w:hAnsiTheme="majorBidi" w:cstheme="majorBidi"/>
          <w:i/>
          <w:iCs/>
          <w:noProof/>
        </w:rPr>
        <w:t>ah</w:t>
      </w:r>
      <w:r>
        <w:rPr>
          <w:noProof/>
        </w:rPr>
        <w:t>, 12, 13, 16, 34, 183, 203</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masla</w:t>
      </w:r>
      <w:r w:rsidRPr="00261EFF">
        <w:rPr>
          <w:rFonts w:asciiTheme="majorBidi" w:hAnsiTheme="majorBidi" w:cstheme="majorBidi"/>
          <w:i/>
          <w:iCs/>
          <w:noProof/>
          <w:u w:val="single"/>
          <w:lang w:val="sv-SE"/>
        </w:rPr>
        <w:t>h</w:t>
      </w:r>
      <w:r w:rsidRPr="00261EFF">
        <w:rPr>
          <w:rFonts w:asciiTheme="majorBidi" w:hAnsiTheme="majorBidi" w:cstheme="majorBidi"/>
          <w:i/>
          <w:iCs/>
          <w:noProof/>
          <w:lang w:val="sv-SE"/>
        </w:rPr>
        <w:t>ah</w:t>
      </w:r>
      <w:r>
        <w:rPr>
          <w:noProof/>
        </w:rPr>
        <w:t>, 9, 12, 13, 17, 23, 34, 56, 88, 91, 203, 204, 205, 206, 250, 307, 313</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Masla</w:t>
      </w:r>
      <w:r w:rsidRPr="00261EFF">
        <w:rPr>
          <w:rFonts w:asciiTheme="majorBidi" w:hAnsiTheme="majorBidi" w:cstheme="majorBidi"/>
          <w:i/>
          <w:iCs/>
          <w:noProof/>
          <w:u w:val="single"/>
          <w:lang w:val="sv-SE"/>
        </w:rPr>
        <w:t>h</w:t>
      </w:r>
      <w:r w:rsidRPr="00261EFF">
        <w:rPr>
          <w:rFonts w:asciiTheme="majorBidi" w:hAnsiTheme="majorBidi" w:cstheme="majorBidi"/>
          <w:i/>
          <w:iCs/>
          <w:noProof/>
          <w:lang w:val="sv-SE"/>
        </w:rPr>
        <w:t>ah Mursalah</w:t>
      </w:r>
      <w:r>
        <w:rPr>
          <w:noProof/>
        </w:rPr>
        <w:t>, 47, 86</w:t>
      </w:r>
    </w:p>
    <w:p w:rsidR="00343B61" w:rsidRDefault="00343B61" w:rsidP="00343B61">
      <w:pPr>
        <w:pStyle w:val="Index1"/>
        <w:tabs>
          <w:tab w:val="right" w:pos="3607"/>
        </w:tabs>
        <w:rPr>
          <w:noProof/>
        </w:rPr>
      </w:pPr>
      <w:r w:rsidRPr="00261EFF">
        <w:rPr>
          <w:rFonts w:ascii="Times New Roman" w:hAnsi="Times New Roman"/>
          <w:noProof/>
          <w:lang w:val="sv-SE"/>
        </w:rPr>
        <w:t>mazhab</w:t>
      </w:r>
      <w:r>
        <w:rPr>
          <w:noProof/>
        </w:rPr>
        <w:t>, 13, 21, 23, 27, 34, 136, 137, 138, 140, 141, 175, 176, 177, 179, 185, 192, 193, 194, 195, 200, 239, 289, 300, 301, 325</w:t>
      </w:r>
    </w:p>
    <w:p w:rsidR="00343B61" w:rsidRDefault="00343B61" w:rsidP="00343B61">
      <w:pPr>
        <w:pStyle w:val="Index1"/>
        <w:tabs>
          <w:tab w:val="right" w:pos="3607"/>
        </w:tabs>
        <w:rPr>
          <w:noProof/>
        </w:rPr>
      </w:pPr>
      <w:r w:rsidRPr="00261EFF">
        <w:rPr>
          <w:rFonts w:asciiTheme="majorBidi" w:hAnsiTheme="majorBidi" w:cstheme="majorBidi"/>
          <w:noProof/>
        </w:rPr>
        <w:t>Mazhab Maliki</w:t>
      </w:r>
      <w:r>
        <w:rPr>
          <w:noProof/>
        </w:rPr>
        <w:t>, 175, 225</w:t>
      </w:r>
    </w:p>
    <w:p w:rsidR="00343B61" w:rsidRDefault="00343B61" w:rsidP="00343B61">
      <w:pPr>
        <w:pStyle w:val="Index1"/>
        <w:tabs>
          <w:tab w:val="right" w:pos="3607"/>
        </w:tabs>
        <w:rPr>
          <w:noProof/>
        </w:rPr>
      </w:pPr>
      <w:r w:rsidRPr="00261EFF">
        <w:rPr>
          <w:rFonts w:ascii="Times New Roman" w:hAnsi="Times New Roman"/>
          <w:noProof/>
        </w:rPr>
        <w:t>Moh. Mahfud MD</w:t>
      </w:r>
      <w:r>
        <w:rPr>
          <w:noProof/>
        </w:rPr>
        <w:t>, 36, 37, 38, 39, 104, 311, 314</w:t>
      </w:r>
    </w:p>
    <w:p w:rsidR="00343B61" w:rsidRDefault="00343B61" w:rsidP="00343B61">
      <w:pPr>
        <w:pStyle w:val="Index1"/>
        <w:tabs>
          <w:tab w:val="right" w:pos="3607"/>
        </w:tabs>
        <w:rPr>
          <w:noProof/>
        </w:rPr>
      </w:pPr>
      <w:r w:rsidRPr="00261EFF">
        <w:rPr>
          <w:rFonts w:ascii="Times New Roman" w:hAnsi="Times New Roman"/>
          <w:i/>
          <w:iCs/>
          <w:noProof/>
        </w:rPr>
        <w:t>mudhorat</w:t>
      </w:r>
      <w:r>
        <w:rPr>
          <w:noProof/>
        </w:rPr>
        <w:t>, 15, 295, 308, 312, 326</w:t>
      </w:r>
    </w:p>
    <w:p w:rsidR="00343B61" w:rsidRDefault="00343B61" w:rsidP="00343B61">
      <w:pPr>
        <w:pStyle w:val="Index1"/>
        <w:tabs>
          <w:tab w:val="right" w:pos="3607"/>
        </w:tabs>
        <w:rPr>
          <w:noProof/>
        </w:rPr>
      </w:pPr>
      <w:r w:rsidRPr="00261EFF">
        <w:rPr>
          <w:rFonts w:ascii="Times New Roman" w:hAnsi="Times New Roman"/>
          <w:noProof/>
        </w:rPr>
        <w:lastRenderedPageBreak/>
        <w:t>Muhammad Abduh</w:t>
      </w:r>
      <w:r>
        <w:rPr>
          <w:noProof/>
        </w:rPr>
        <w:t>, 10, 82, 158, 211</w:t>
      </w:r>
    </w:p>
    <w:p w:rsidR="00343B61" w:rsidRDefault="00343B61" w:rsidP="00343B61">
      <w:pPr>
        <w:pStyle w:val="Index1"/>
        <w:tabs>
          <w:tab w:val="right" w:pos="3607"/>
        </w:tabs>
        <w:rPr>
          <w:noProof/>
        </w:rPr>
      </w:pPr>
      <w:r w:rsidRPr="00261EFF">
        <w:rPr>
          <w:rFonts w:ascii="Times New Roman" w:hAnsi="Times New Roman"/>
          <w:noProof/>
        </w:rPr>
        <w:t>MUI</w:t>
      </w:r>
      <w:r>
        <w:rPr>
          <w:noProof/>
        </w:rPr>
        <w:t>, 4, 6, 13, 14, 15, 16, 17, 18, 19, 20, 21, 22, 23, 24, 30, 35, 45, 46, 48, 151, 152, 153, 154, 155, 156, 159, 160, 161, 162, 163, 165, 166, 167, 168, 169, 170, 171, 172, 178, 180, 183, 184, 185, 186, 187, 188, 189, 192, 193, 194, 196, 197, 198, 199, 202, 203, 204, 206, 207, 217, 218, 223, 224, 230, 231, 234, 235, 246, 249, 255, 257, 258, 259, 260, 261, 262, 263, 267, 272, 273, 274, 275, 279, 280, 285, 286, 287, 288, 289, 290, 291, 292, 293, 294, 295, 296, 297, 302, 303, 304, 305, 306, 307, 308, 310, 311, 312, 314, 315, 316, 318, 319, 320, 321, 322, 323, 324, 325, 326</w:t>
      </w:r>
    </w:p>
    <w:p w:rsidR="00343B61" w:rsidRDefault="00343B61" w:rsidP="00343B61">
      <w:pPr>
        <w:pStyle w:val="Index1"/>
        <w:tabs>
          <w:tab w:val="right" w:pos="3607"/>
        </w:tabs>
        <w:rPr>
          <w:noProof/>
        </w:rPr>
      </w:pPr>
      <w:r w:rsidRPr="00261EFF">
        <w:rPr>
          <w:rFonts w:asciiTheme="majorBidi" w:hAnsiTheme="majorBidi" w:cstheme="majorBidi"/>
          <w:noProof/>
        </w:rPr>
        <w:t>Muslim</w:t>
      </w:r>
      <w:r>
        <w:rPr>
          <w:noProof/>
        </w:rPr>
        <w:t>, 10, 15, 65, 66, 67, 76, 77, 112, 114, 115, 121, 122, 126, 128, 135, 136, 137, 138, 139, 140, 150, 152, 155, 157, 161, 170, 176, 208, 211, 213, 215, 216, 218, 222, 227, 229, 232, 252, 254, 255, 256, 257, 260, 265, 277, 281, 296, 300, 303, 315, 317, 318</w:t>
      </w:r>
    </w:p>
    <w:p w:rsidR="00343B61" w:rsidRDefault="00343B61" w:rsidP="00343B61">
      <w:pPr>
        <w:pStyle w:val="Index1"/>
        <w:tabs>
          <w:tab w:val="right" w:pos="3607"/>
        </w:tabs>
        <w:rPr>
          <w:noProof/>
        </w:rPr>
      </w:pPr>
      <w:r w:rsidRPr="00261EFF">
        <w:rPr>
          <w:rFonts w:asciiTheme="majorBidi" w:hAnsiTheme="majorBidi" w:cstheme="majorBidi"/>
          <w:i/>
          <w:iCs/>
          <w:noProof/>
        </w:rPr>
        <w:t>mustaftī</w:t>
      </w:r>
      <w:r>
        <w:rPr>
          <w:noProof/>
        </w:rPr>
        <w:t>, 172, 173, 203</w:t>
      </w:r>
    </w:p>
    <w:p w:rsidR="00343B61" w:rsidRDefault="00343B61" w:rsidP="00343B61">
      <w:pPr>
        <w:pStyle w:val="Index1"/>
        <w:tabs>
          <w:tab w:val="right" w:pos="3607"/>
        </w:tabs>
        <w:rPr>
          <w:noProof/>
        </w:rPr>
      </w:pPr>
      <w:r w:rsidRPr="00261EFF">
        <w:rPr>
          <w:rFonts w:ascii="Georgia" w:hAnsi="Georgia" w:cs="Georgia"/>
          <w:noProof/>
          <w:lang w:val="sv-SE"/>
        </w:rPr>
        <w:t>muttafaq alaih</w:t>
      </w:r>
      <w:r>
        <w:rPr>
          <w:noProof/>
        </w:rPr>
        <w:t>, 254, 257</w:t>
      </w:r>
    </w:p>
    <w:p w:rsidR="00343B61" w:rsidRDefault="00343B61" w:rsidP="00343B61">
      <w:pPr>
        <w:pStyle w:val="IndexHeading"/>
        <w:keepNext/>
        <w:tabs>
          <w:tab w:val="right" w:pos="3607"/>
        </w:tabs>
        <w:rPr>
          <w:rFonts w:eastAsiaTheme="minorEastAsia" w:cstheme="minorBidi"/>
          <w:b w:val="0"/>
          <w:bCs w:val="0"/>
          <w:noProof/>
        </w:rPr>
      </w:pPr>
      <w:r>
        <w:rPr>
          <w:noProof/>
        </w:rPr>
        <w:t>N</w:t>
      </w:r>
    </w:p>
    <w:p w:rsidR="00343B61" w:rsidRDefault="00343B61" w:rsidP="00343B61">
      <w:pPr>
        <w:pStyle w:val="Index1"/>
        <w:tabs>
          <w:tab w:val="right" w:pos="3607"/>
        </w:tabs>
        <w:rPr>
          <w:noProof/>
        </w:rPr>
      </w:pPr>
      <w:r w:rsidRPr="00261EFF">
        <w:rPr>
          <w:rFonts w:asciiTheme="majorBidi" w:hAnsiTheme="majorBidi" w:cstheme="majorBidi"/>
          <w:noProof/>
          <w:color w:val="000000"/>
          <w:lang w:val="sv-SE"/>
        </w:rPr>
        <w:t>Negara</w:t>
      </w:r>
      <w:r>
        <w:rPr>
          <w:noProof/>
        </w:rPr>
        <w:t>, 9, 28, 31, 37, 38, 40, 64, 68, 72, 73, 75, 76, 77, 82, 103, 104, 105, 106, 107, 110, 111, 118, 120, 122, 130, 136, 142, 144, 152, 158, 160, 165, 166, 186, 229, 282, 286, 292, 294, 295, 303, 306, 309, 310, 311, 315, 318</w:t>
      </w:r>
    </w:p>
    <w:p w:rsidR="00343B61" w:rsidRDefault="00343B61" w:rsidP="00343B61">
      <w:pPr>
        <w:pStyle w:val="Index1"/>
        <w:tabs>
          <w:tab w:val="right" w:pos="3607"/>
        </w:tabs>
        <w:rPr>
          <w:noProof/>
        </w:rPr>
      </w:pPr>
      <w:r w:rsidRPr="00261EFF">
        <w:rPr>
          <w:rFonts w:asciiTheme="majorBidi" w:hAnsiTheme="majorBidi" w:cstheme="majorBidi"/>
          <w:noProof/>
        </w:rPr>
        <w:t>Nikah</w:t>
      </w:r>
      <w:r>
        <w:rPr>
          <w:noProof/>
        </w:rPr>
        <w:t>, 14, 15, 113, 207, 218, 224, 225, 228, 229, 230, 231, 234, 237, 258, 262, 268, 302, 303, 304, 305, 306, 307, 308, 309, 310, 319, 320</w:t>
      </w:r>
    </w:p>
    <w:p w:rsidR="00343B61" w:rsidRDefault="00343B61" w:rsidP="00343B61">
      <w:pPr>
        <w:pStyle w:val="IndexHeading"/>
        <w:keepNext/>
        <w:tabs>
          <w:tab w:val="right" w:pos="3607"/>
        </w:tabs>
        <w:rPr>
          <w:rFonts w:eastAsiaTheme="minorEastAsia" w:cstheme="minorBidi"/>
          <w:b w:val="0"/>
          <w:bCs w:val="0"/>
          <w:noProof/>
        </w:rPr>
      </w:pPr>
      <w:r>
        <w:rPr>
          <w:noProof/>
        </w:rPr>
        <w:t>P</w:t>
      </w:r>
    </w:p>
    <w:p w:rsidR="00343B61" w:rsidRDefault="00343B61" w:rsidP="00343B61">
      <w:pPr>
        <w:pStyle w:val="Index1"/>
        <w:tabs>
          <w:tab w:val="right" w:pos="3607"/>
        </w:tabs>
        <w:rPr>
          <w:noProof/>
        </w:rPr>
      </w:pPr>
      <w:r w:rsidRPr="00261EFF">
        <w:rPr>
          <w:rFonts w:asciiTheme="majorBidi" w:hAnsiTheme="majorBidi" w:cstheme="majorBidi"/>
          <w:noProof/>
          <w:lang w:val="sv-SE"/>
        </w:rPr>
        <w:t>Pembaruan Hukum</w:t>
      </w:r>
      <w:r>
        <w:rPr>
          <w:noProof/>
        </w:rPr>
        <w:t>, 16, 17, 19, 20, 29, 48, 86, 132, 133, 136, 137, 141, 142, 282, 288, 300, 302, 303, 306, 310, 312, 316, 318, 324</w:t>
      </w:r>
    </w:p>
    <w:p w:rsidR="00343B61" w:rsidRDefault="00343B61" w:rsidP="00343B61">
      <w:pPr>
        <w:pStyle w:val="Index1"/>
        <w:tabs>
          <w:tab w:val="right" w:pos="3607"/>
        </w:tabs>
        <w:rPr>
          <w:noProof/>
        </w:rPr>
      </w:pPr>
      <w:r w:rsidRPr="00261EFF">
        <w:rPr>
          <w:rFonts w:ascii="Times New Roman" w:hAnsi="Times New Roman"/>
          <w:noProof/>
          <w:lang w:val="sv-SE"/>
        </w:rPr>
        <w:t>peminta fatwa</w:t>
      </w:r>
      <w:r>
        <w:rPr>
          <w:noProof/>
        </w:rPr>
        <w:t>, 172, 173, 258, 285</w:t>
      </w:r>
    </w:p>
    <w:p w:rsidR="00343B61" w:rsidRDefault="00343B61" w:rsidP="00343B61">
      <w:pPr>
        <w:pStyle w:val="Index1"/>
        <w:tabs>
          <w:tab w:val="right" w:pos="3607"/>
        </w:tabs>
        <w:rPr>
          <w:noProof/>
        </w:rPr>
      </w:pPr>
      <w:r w:rsidRPr="00261EFF">
        <w:rPr>
          <w:rFonts w:asciiTheme="majorBidi" w:hAnsiTheme="majorBidi" w:cstheme="majorBidi"/>
          <w:noProof/>
          <w:lang w:val="sv-SE"/>
        </w:rPr>
        <w:t>pengadilan</w:t>
      </w:r>
      <w:r>
        <w:rPr>
          <w:noProof/>
        </w:rPr>
        <w:t>, 10, 16, 18, 25, 26, 29, 45, 48, 101, 107, 123, 125, 137, 138, 140, 207, 236, 246, 249, 250, 272, 274, 284, 285, 287, 293, 295, 302, 311, 312, 313, 314, 315, 321, 324</w:t>
      </w:r>
    </w:p>
    <w:p w:rsidR="00343B61" w:rsidRDefault="00343B61" w:rsidP="00343B61">
      <w:pPr>
        <w:pStyle w:val="Index1"/>
        <w:tabs>
          <w:tab w:val="right" w:pos="3607"/>
        </w:tabs>
        <w:rPr>
          <w:noProof/>
        </w:rPr>
      </w:pPr>
      <w:r w:rsidRPr="00261EFF">
        <w:rPr>
          <w:rFonts w:asciiTheme="majorBidi" w:hAnsiTheme="majorBidi" w:cstheme="majorBidi"/>
          <w:noProof/>
          <w:lang w:val="sv-SE"/>
        </w:rPr>
        <w:t>Pengasuhan Anak</w:t>
      </w:r>
      <w:r>
        <w:rPr>
          <w:noProof/>
        </w:rPr>
        <w:t>, 207, 272, 273, 303, 304, 321, 322, 323</w:t>
      </w:r>
    </w:p>
    <w:p w:rsidR="00343B61" w:rsidRDefault="00343B61" w:rsidP="00343B61">
      <w:pPr>
        <w:pStyle w:val="Index1"/>
        <w:tabs>
          <w:tab w:val="right" w:pos="3607"/>
        </w:tabs>
        <w:rPr>
          <w:noProof/>
        </w:rPr>
      </w:pPr>
      <w:r w:rsidRPr="00261EFF">
        <w:rPr>
          <w:rFonts w:asciiTheme="majorBidi" w:hAnsiTheme="majorBidi" w:cstheme="majorBidi"/>
          <w:noProof/>
          <w:lang w:val="sv-SE"/>
        </w:rPr>
        <w:t>peran</w:t>
      </w:r>
      <w:r>
        <w:rPr>
          <w:noProof/>
        </w:rPr>
        <w:t>, 1, 5, 6, 19, 48, 104, 149, 151, 152, 153, 166, 281, 286, 290, 295, 297, 300</w:t>
      </w:r>
    </w:p>
    <w:p w:rsidR="00343B61" w:rsidRDefault="00343B61" w:rsidP="00343B61">
      <w:pPr>
        <w:pStyle w:val="Index1"/>
        <w:tabs>
          <w:tab w:val="right" w:pos="3607"/>
        </w:tabs>
        <w:rPr>
          <w:noProof/>
        </w:rPr>
      </w:pPr>
      <w:r w:rsidRPr="00261EFF">
        <w:rPr>
          <w:rFonts w:asciiTheme="majorBidi" w:hAnsiTheme="majorBidi" w:cstheme="majorBidi"/>
          <w:noProof/>
          <w:lang w:val="sv-SE"/>
        </w:rPr>
        <w:t>Perkawinan</w:t>
      </w:r>
      <w:r>
        <w:rPr>
          <w:noProof/>
        </w:rPr>
        <w:t xml:space="preserve">, 14, 16, 48, 111, 112, 113, 114, 115, 116, 117, 118, 119, 120, 121, 122, 123, 126, 127, 128, 129, 130, 131, 132, 135, 142, 149, </w:t>
      </w:r>
      <w:r>
        <w:rPr>
          <w:noProof/>
        </w:rPr>
        <w:lastRenderedPageBreak/>
        <w:t>207, 208, 217, 218, 224, 225, 226, 228, 229, 230, 231, 234, 244, 245, 246, 255, 258, 287, 302, 303, 305, 306, 307, 308, 311, 312, 313</w:t>
      </w:r>
    </w:p>
    <w:p w:rsidR="00343B61" w:rsidRDefault="00343B61" w:rsidP="00343B61">
      <w:pPr>
        <w:pStyle w:val="Index1"/>
        <w:tabs>
          <w:tab w:val="right" w:pos="3607"/>
        </w:tabs>
        <w:rPr>
          <w:noProof/>
        </w:rPr>
      </w:pPr>
      <w:r w:rsidRPr="00261EFF">
        <w:rPr>
          <w:rFonts w:ascii="Times New Roman" w:hAnsi="Times New Roman"/>
          <w:noProof/>
          <w:lang w:val="en-ID"/>
        </w:rPr>
        <w:t>Politik Hukum</w:t>
      </w:r>
      <w:r>
        <w:rPr>
          <w:noProof/>
        </w:rPr>
        <w:t>, 36, 37, 38, 39, 103, 104, 130, 131, 311, 314</w:t>
      </w:r>
    </w:p>
    <w:p w:rsidR="00343B61" w:rsidRDefault="00343B61" w:rsidP="00343B61">
      <w:pPr>
        <w:pStyle w:val="Index1"/>
        <w:tabs>
          <w:tab w:val="right" w:pos="3607"/>
        </w:tabs>
        <w:rPr>
          <w:noProof/>
        </w:rPr>
      </w:pPr>
      <w:r w:rsidRPr="00261EFF">
        <w:rPr>
          <w:rFonts w:ascii="Times New Roman" w:hAnsi="Times New Roman"/>
          <w:noProof/>
        </w:rPr>
        <w:t>politik Islam</w:t>
      </w:r>
      <w:r>
        <w:rPr>
          <w:noProof/>
        </w:rPr>
        <w:t>, 70, 71, 73, 108</w:t>
      </w:r>
    </w:p>
    <w:p w:rsidR="00343B61" w:rsidRDefault="00343B61" w:rsidP="00343B61">
      <w:pPr>
        <w:pStyle w:val="IndexHeading"/>
        <w:keepNext/>
        <w:tabs>
          <w:tab w:val="right" w:pos="3607"/>
        </w:tabs>
        <w:rPr>
          <w:rFonts w:eastAsiaTheme="minorEastAsia" w:cstheme="minorBidi"/>
          <w:b w:val="0"/>
          <w:bCs w:val="0"/>
          <w:noProof/>
        </w:rPr>
      </w:pPr>
      <w:r>
        <w:rPr>
          <w:noProof/>
        </w:rPr>
        <w:t>Q</w:t>
      </w:r>
    </w:p>
    <w:p w:rsidR="00343B61" w:rsidRDefault="00343B61" w:rsidP="00343B61">
      <w:pPr>
        <w:pStyle w:val="Index1"/>
        <w:tabs>
          <w:tab w:val="right" w:pos="3607"/>
        </w:tabs>
        <w:rPr>
          <w:noProof/>
        </w:rPr>
      </w:pPr>
      <w:r w:rsidRPr="00261EFF">
        <w:rPr>
          <w:rFonts w:asciiTheme="majorBidi" w:hAnsiTheme="majorBidi" w:cstheme="majorBidi"/>
          <w:i/>
          <w:iCs/>
          <w:noProof/>
        </w:rPr>
        <w:t>qaṭh’i</w:t>
      </w:r>
      <w:r>
        <w:rPr>
          <w:noProof/>
        </w:rPr>
        <w:t>, 34</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Qawā‘id al- fiqhiyyah</w:t>
      </w:r>
      <w:r>
        <w:rPr>
          <w:noProof/>
        </w:rPr>
        <w:t>, 48</w:t>
      </w:r>
    </w:p>
    <w:p w:rsidR="00343B61" w:rsidRDefault="00343B61" w:rsidP="00343B61">
      <w:pPr>
        <w:pStyle w:val="Index1"/>
        <w:tabs>
          <w:tab w:val="right" w:pos="3607"/>
        </w:tabs>
        <w:rPr>
          <w:noProof/>
        </w:rPr>
      </w:pPr>
      <w:r w:rsidRPr="00261EFF">
        <w:rPr>
          <w:rFonts w:asciiTheme="majorBidi" w:hAnsiTheme="majorBidi" w:cstheme="majorBidi"/>
          <w:i/>
          <w:iCs/>
          <w:noProof/>
          <w:lang w:val="sv-SE"/>
        </w:rPr>
        <w:t>Qiyās</w:t>
      </w:r>
      <w:r>
        <w:rPr>
          <w:noProof/>
        </w:rPr>
        <w:t>, 47, 86, 88, 89, 141</w:t>
      </w:r>
    </w:p>
    <w:p w:rsidR="00343B61" w:rsidRDefault="00343B61" w:rsidP="00343B61">
      <w:pPr>
        <w:pStyle w:val="IndexHeading"/>
        <w:keepNext/>
        <w:tabs>
          <w:tab w:val="right" w:pos="3607"/>
        </w:tabs>
        <w:rPr>
          <w:rFonts w:eastAsiaTheme="minorEastAsia" w:cstheme="minorBidi"/>
          <w:b w:val="0"/>
          <w:bCs w:val="0"/>
          <w:noProof/>
        </w:rPr>
      </w:pPr>
      <w:r>
        <w:rPr>
          <w:noProof/>
        </w:rPr>
        <w:t>R</w:t>
      </w:r>
    </w:p>
    <w:p w:rsidR="00343B61" w:rsidRDefault="00343B61" w:rsidP="00343B61">
      <w:pPr>
        <w:pStyle w:val="Index1"/>
        <w:tabs>
          <w:tab w:val="right" w:pos="3607"/>
        </w:tabs>
        <w:rPr>
          <w:noProof/>
        </w:rPr>
      </w:pPr>
      <w:r w:rsidRPr="00261EFF">
        <w:rPr>
          <w:rFonts w:asciiTheme="majorBidi" w:hAnsiTheme="majorBidi" w:cstheme="majorBidi"/>
          <w:noProof/>
        </w:rPr>
        <w:t>Rasul</w:t>
      </w:r>
      <w:r>
        <w:rPr>
          <w:noProof/>
        </w:rPr>
        <w:t>, 4, 6, 8, 11, 42, 53, 54, 55, 57, 59, 61, 62, 63, 65, 67, 80, 134, 145, 189, 190, 222, 226, 227, 228, 232, 238, 239, 256, 257, 264, 296, 313</w:t>
      </w:r>
    </w:p>
    <w:p w:rsidR="00343B61" w:rsidRDefault="00343B61" w:rsidP="00343B61">
      <w:pPr>
        <w:pStyle w:val="Index1"/>
        <w:tabs>
          <w:tab w:val="right" w:pos="3607"/>
        </w:tabs>
        <w:rPr>
          <w:noProof/>
        </w:rPr>
      </w:pPr>
      <w:r w:rsidRPr="00261EFF">
        <w:rPr>
          <w:rFonts w:asciiTheme="majorBidi" w:hAnsiTheme="majorBidi" w:cstheme="majorBidi"/>
          <w:noProof/>
        </w:rPr>
        <w:t>reprensentasi</w:t>
      </w:r>
      <w:r>
        <w:rPr>
          <w:noProof/>
        </w:rPr>
        <w:t>, 286, 288, 324</w:t>
      </w:r>
    </w:p>
    <w:p w:rsidR="00343B61" w:rsidRDefault="00343B61" w:rsidP="00343B61">
      <w:pPr>
        <w:pStyle w:val="IndexHeading"/>
        <w:keepNext/>
        <w:tabs>
          <w:tab w:val="right" w:pos="3607"/>
        </w:tabs>
        <w:rPr>
          <w:rFonts w:eastAsiaTheme="minorEastAsia" w:cstheme="minorBidi"/>
          <w:b w:val="0"/>
          <w:bCs w:val="0"/>
          <w:noProof/>
        </w:rPr>
      </w:pPr>
      <w:r>
        <w:rPr>
          <w:noProof/>
        </w:rPr>
        <w:t>S</w:t>
      </w:r>
    </w:p>
    <w:p w:rsidR="00343B61" w:rsidRDefault="00343B61" w:rsidP="00343B61">
      <w:pPr>
        <w:pStyle w:val="Index1"/>
        <w:tabs>
          <w:tab w:val="right" w:pos="3607"/>
        </w:tabs>
        <w:rPr>
          <w:noProof/>
        </w:rPr>
      </w:pPr>
      <w:r w:rsidRPr="00261EFF">
        <w:rPr>
          <w:rFonts w:ascii="Times New Roman" w:hAnsi="Times New Roman"/>
          <w:i/>
          <w:iCs/>
          <w:noProof/>
          <w:lang w:val="sv-SE"/>
        </w:rPr>
        <w:t>sadd al-</w:t>
      </w:r>
      <w:r w:rsidRPr="00261EFF">
        <w:rPr>
          <w:rFonts w:asciiTheme="majorBidi" w:hAnsiTheme="majorBidi" w:cstheme="majorBidi"/>
          <w:noProof/>
          <w:color w:val="222222"/>
          <w:lang w:val="sv-SE"/>
        </w:rPr>
        <w:t xml:space="preserve"> ż</w:t>
      </w:r>
      <w:r w:rsidRPr="00261EFF">
        <w:rPr>
          <w:rFonts w:ascii="Times New Roman" w:hAnsi="Times New Roman"/>
          <w:i/>
          <w:iCs/>
          <w:noProof/>
          <w:lang w:val="sv-SE"/>
        </w:rPr>
        <w:t>ar</w:t>
      </w:r>
      <w:r w:rsidRPr="00261EFF">
        <w:rPr>
          <w:rFonts w:asciiTheme="majorBidi" w:hAnsiTheme="majorBidi" w:cstheme="majorBidi"/>
          <w:i/>
          <w:iCs/>
          <w:noProof/>
          <w:lang w:val="sv-SE"/>
        </w:rPr>
        <w:t>ī</w:t>
      </w:r>
      <w:r w:rsidRPr="00261EFF">
        <w:rPr>
          <w:noProof/>
          <w:lang w:val="sv-SE"/>
        </w:rPr>
        <w:t>‘</w:t>
      </w:r>
      <w:r w:rsidRPr="00261EFF">
        <w:rPr>
          <w:rFonts w:ascii="Times New Roman" w:hAnsi="Times New Roman"/>
          <w:i/>
          <w:iCs/>
          <w:noProof/>
          <w:lang w:val="sv-SE"/>
        </w:rPr>
        <w:t>ah</w:t>
      </w:r>
      <w:r>
        <w:rPr>
          <w:noProof/>
        </w:rPr>
        <w:t>, 13, 23</w:t>
      </w:r>
    </w:p>
    <w:p w:rsidR="00343B61" w:rsidRDefault="00343B61" w:rsidP="00343B61">
      <w:pPr>
        <w:pStyle w:val="Index1"/>
        <w:tabs>
          <w:tab w:val="right" w:pos="3607"/>
        </w:tabs>
        <w:rPr>
          <w:noProof/>
        </w:rPr>
      </w:pPr>
      <w:r w:rsidRPr="00261EFF">
        <w:rPr>
          <w:rFonts w:ascii="Times New Roman" w:hAnsi="Times New Roman"/>
          <w:i/>
          <w:iCs/>
          <w:noProof/>
        </w:rPr>
        <w:t>sighat</w:t>
      </w:r>
      <w:r>
        <w:rPr>
          <w:noProof/>
        </w:rPr>
        <w:t>, 3</w:t>
      </w:r>
    </w:p>
    <w:p w:rsidR="00343B61" w:rsidRDefault="00343B61" w:rsidP="00343B61">
      <w:pPr>
        <w:pStyle w:val="Index1"/>
        <w:tabs>
          <w:tab w:val="right" w:pos="3607"/>
        </w:tabs>
        <w:rPr>
          <w:noProof/>
        </w:rPr>
      </w:pPr>
      <w:r w:rsidRPr="00261EFF">
        <w:rPr>
          <w:rFonts w:asciiTheme="majorBidi" w:hAnsiTheme="majorBidi" w:cstheme="majorBidi"/>
          <w:i/>
          <w:iCs/>
          <w:noProof/>
        </w:rPr>
        <w:t>siyāsah</w:t>
      </w:r>
      <w:r>
        <w:rPr>
          <w:noProof/>
        </w:rPr>
        <w:t>, 7, 8, 9, 12, 13, 16, 17, 20, 22, 24, 27, 28, 29, 31, 36, 41, 44, 45, 46, 47, 48, 50, 51, 54, 55, 56, 57, 58, 59, 60, 61, 64, 67, 68, 72, 74, 76, 85, 99, 101, 136, 140, 141, 143, 144, 145, 146, 147, 148, 150, 203, 206, 224, 281, 309, 312</w:t>
      </w:r>
    </w:p>
    <w:p w:rsidR="00343B61" w:rsidRDefault="00343B61" w:rsidP="00343B61">
      <w:pPr>
        <w:pStyle w:val="Index1"/>
        <w:tabs>
          <w:tab w:val="right" w:pos="3607"/>
        </w:tabs>
        <w:rPr>
          <w:noProof/>
        </w:rPr>
      </w:pPr>
      <w:r w:rsidRPr="00261EFF">
        <w:rPr>
          <w:rFonts w:ascii="Times New Roman" w:hAnsi="Times New Roman"/>
          <w:i/>
          <w:iCs/>
          <w:noProof/>
          <w:color w:val="000000" w:themeColor="text1"/>
        </w:rPr>
        <w:t>siyāsah  syar‘iyyah</w:t>
      </w:r>
      <w:r>
        <w:rPr>
          <w:noProof/>
        </w:rPr>
        <w:t>, 7, 9, 12, 46, 55, 56, 58, 59, 61, 86, 99</w:t>
      </w:r>
    </w:p>
    <w:p w:rsidR="00343B61" w:rsidRDefault="00343B61" w:rsidP="00343B61">
      <w:pPr>
        <w:pStyle w:val="Index1"/>
        <w:tabs>
          <w:tab w:val="right" w:pos="3607"/>
        </w:tabs>
        <w:rPr>
          <w:noProof/>
        </w:rPr>
      </w:pPr>
      <w:r w:rsidRPr="00261EFF">
        <w:rPr>
          <w:rFonts w:asciiTheme="majorBidi" w:hAnsiTheme="majorBidi" w:cstheme="majorBidi"/>
          <w:noProof/>
        </w:rPr>
        <w:t>Syafi‘i</w:t>
      </w:r>
      <w:r>
        <w:rPr>
          <w:noProof/>
        </w:rPr>
        <w:t>, 141</w:t>
      </w:r>
    </w:p>
    <w:p w:rsidR="00343B61" w:rsidRDefault="00343B61" w:rsidP="00343B61">
      <w:pPr>
        <w:pStyle w:val="Index1"/>
        <w:tabs>
          <w:tab w:val="right" w:pos="3607"/>
        </w:tabs>
        <w:rPr>
          <w:noProof/>
        </w:rPr>
      </w:pPr>
      <w:r w:rsidRPr="00261EFF">
        <w:rPr>
          <w:rFonts w:asciiTheme="majorBidi" w:hAnsiTheme="majorBidi" w:cstheme="majorBidi"/>
          <w:noProof/>
        </w:rPr>
        <w:t>Syafi‘iyyah</w:t>
      </w:r>
      <w:r>
        <w:rPr>
          <w:noProof/>
        </w:rPr>
        <w:t>, 254</w:t>
      </w:r>
    </w:p>
    <w:p w:rsidR="00343B61" w:rsidRDefault="00343B61" w:rsidP="00343B61">
      <w:pPr>
        <w:pStyle w:val="Index1"/>
        <w:tabs>
          <w:tab w:val="right" w:pos="3607"/>
        </w:tabs>
        <w:rPr>
          <w:noProof/>
        </w:rPr>
      </w:pPr>
      <w:r w:rsidRPr="00261EFF">
        <w:rPr>
          <w:rFonts w:asciiTheme="majorBidi" w:hAnsiTheme="majorBidi" w:cstheme="majorBidi"/>
          <w:i/>
          <w:iCs/>
          <w:noProof/>
        </w:rPr>
        <w:t>Syara</w:t>
      </w:r>
      <w:r>
        <w:rPr>
          <w:noProof/>
        </w:rPr>
        <w:t>‘, 8</w:t>
      </w:r>
    </w:p>
    <w:p w:rsidR="00343B61" w:rsidRDefault="00343B61" w:rsidP="00343B61">
      <w:pPr>
        <w:pStyle w:val="Index1"/>
        <w:tabs>
          <w:tab w:val="right" w:pos="3607"/>
        </w:tabs>
        <w:rPr>
          <w:noProof/>
        </w:rPr>
      </w:pPr>
      <w:r w:rsidRPr="00261EFF">
        <w:rPr>
          <w:rFonts w:ascii="Times New Roman" w:hAnsi="Times New Roman"/>
          <w:noProof/>
        </w:rPr>
        <w:t>syariat</w:t>
      </w:r>
      <w:r>
        <w:rPr>
          <w:noProof/>
        </w:rPr>
        <w:t>, 1, 5, 7, 9, 34, 35, 41, 53, 55, 57, 58, 59, 60, 61, 75, 78, 81, 104, 105, 106, 107, 108, 109, 110, 130, 184, 246, 292, 309, 316</w:t>
      </w:r>
    </w:p>
    <w:p w:rsidR="00343B61" w:rsidRDefault="00343B61" w:rsidP="00343B61">
      <w:pPr>
        <w:pStyle w:val="IndexHeading"/>
        <w:keepNext/>
        <w:tabs>
          <w:tab w:val="right" w:pos="3607"/>
        </w:tabs>
        <w:rPr>
          <w:rFonts w:eastAsiaTheme="minorEastAsia" w:cstheme="minorBidi"/>
          <w:b w:val="0"/>
          <w:bCs w:val="0"/>
          <w:noProof/>
        </w:rPr>
      </w:pPr>
      <w:r>
        <w:rPr>
          <w:noProof/>
        </w:rPr>
        <w:t>T</w:t>
      </w:r>
    </w:p>
    <w:p w:rsidR="00343B61" w:rsidRDefault="00343B61" w:rsidP="00343B61">
      <w:pPr>
        <w:pStyle w:val="Index1"/>
        <w:tabs>
          <w:tab w:val="right" w:pos="3607"/>
        </w:tabs>
        <w:rPr>
          <w:noProof/>
        </w:rPr>
      </w:pPr>
      <w:r w:rsidRPr="00261EFF">
        <w:rPr>
          <w:rFonts w:asciiTheme="majorBidi" w:hAnsiTheme="majorBidi" w:cstheme="majorBidi"/>
          <w:i/>
          <w:iCs/>
          <w:noProof/>
        </w:rPr>
        <w:t>ta</w:t>
      </w:r>
      <w:r w:rsidRPr="00261EFF">
        <w:rPr>
          <w:rFonts w:ascii="Times New Roman" w:hAnsi="Times New Roman"/>
          <w:i/>
          <w:iCs/>
          <w:noProof/>
          <w:u w:val="single"/>
        </w:rPr>
        <w:t>h</w:t>
      </w:r>
      <w:r w:rsidRPr="00261EFF">
        <w:rPr>
          <w:rFonts w:asciiTheme="majorBidi" w:hAnsiTheme="majorBidi" w:cstheme="majorBidi"/>
          <w:i/>
          <w:iCs/>
          <w:noProof/>
        </w:rPr>
        <w:t>kim</w:t>
      </w:r>
      <w:r>
        <w:rPr>
          <w:noProof/>
        </w:rPr>
        <w:t>, 70</w:t>
      </w:r>
    </w:p>
    <w:p w:rsidR="00343B61" w:rsidRDefault="00343B61" w:rsidP="00343B61">
      <w:pPr>
        <w:pStyle w:val="Index1"/>
        <w:tabs>
          <w:tab w:val="right" w:pos="3607"/>
        </w:tabs>
        <w:rPr>
          <w:noProof/>
        </w:rPr>
      </w:pPr>
      <w:r w:rsidRPr="00261EFF">
        <w:rPr>
          <w:rFonts w:asciiTheme="majorBidi" w:hAnsiTheme="majorBidi" w:cstheme="majorBidi"/>
          <w:noProof/>
          <w:lang w:val="sv-SE"/>
        </w:rPr>
        <w:t>talak</w:t>
      </w:r>
      <w:r>
        <w:rPr>
          <w:noProof/>
        </w:rPr>
        <w:t>, 16, 18, 48, 111, 112, 114, 115, 123, 207, 235, 236, 237, 238, 239, 240, 241, 242, 243, 244, 245, 246, 248, 249, 250, 302, 303, 310, 311, 312, 313, 314, 315, 324</w:t>
      </w:r>
    </w:p>
    <w:p w:rsidR="00343B61" w:rsidRDefault="00343B61" w:rsidP="00343B61">
      <w:pPr>
        <w:pStyle w:val="Index1"/>
        <w:tabs>
          <w:tab w:val="right" w:pos="3607"/>
        </w:tabs>
        <w:rPr>
          <w:noProof/>
        </w:rPr>
      </w:pPr>
      <w:r w:rsidRPr="00261EFF">
        <w:rPr>
          <w:rFonts w:asciiTheme="majorBidi" w:hAnsiTheme="majorBidi" w:cstheme="majorBidi"/>
          <w:i/>
          <w:iCs/>
          <w:noProof/>
          <w:color w:val="000000" w:themeColor="text1"/>
          <w:lang w:val="it-IT"/>
        </w:rPr>
        <w:t>taql</w:t>
      </w:r>
      <w:r w:rsidRPr="00261EFF">
        <w:rPr>
          <w:rFonts w:asciiTheme="majorBidi" w:hAnsiTheme="majorBidi" w:cstheme="majorBidi"/>
          <w:i/>
          <w:iCs/>
          <w:noProof/>
          <w:lang w:val="it-IT"/>
        </w:rPr>
        <w:t>ī</w:t>
      </w:r>
      <w:r w:rsidRPr="00261EFF">
        <w:rPr>
          <w:rFonts w:asciiTheme="majorBidi" w:hAnsiTheme="majorBidi" w:cstheme="majorBidi"/>
          <w:i/>
          <w:iCs/>
          <w:noProof/>
          <w:color w:val="000000" w:themeColor="text1"/>
          <w:lang w:val="it-IT"/>
        </w:rPr>
        <w:t>d</w:t>
      </w:r>
      <w:r>
        <w:rPr>
          <w:noProof/>
        </w:rPr>
        <w:t>, 2</w:t>
      </w:r>
    </w:p>
    <w:p w:rsidR="00343B61" w:rsidRDefault="00343B61" w:rsidP="00343B61">
      <w:pPr>
        <w:pStyle w:val="Index1"/>
        <w:tabs>
          <w:tab w:val="right" w:pos="3607"/>
        </w:tabs>
        <w:rPr>
          <w:noProof/>
        </w:rPr>
      </w:pPr>
      <w:r w:rsidRPr="00261EFF">
        <w:rPr>
          <w:rFonts w:ascii="Times New Roman" w:hAnsi="Times New Roman"/>
          <w:i/>
          <w:iCs/>
          <w:noProof/>
          <w:spacing w:val="6"/>
          <w:lang w:val="sv-SE"/>
        </w:rPr>
        <w:t>tarjī</w:t>
      </w:r>
      <w:r w:rsidRPr="00261EFF">
        <w:rPr>
          <w:rFonts w:ascii="Times New Roman" w:hAnsi="Times New Roman"/>
          <w:i/>
          <w:iCs/>
          <w:noProof/>
          <w:spacing w:val="6"/>
          <w:u w:val="single"/>
          <w:lang w:val="sv-SE"/>
        </w:rPr>
        <w:t>h</w:t>
      </w:r>
      <w:r>
        <w:rPr>
          <w:noProof/>
        </w:rPr>
        <w:t>, 21, 89, 167, 199</w:t>
      </w:r>
    </w:p>
    <w:p w:rsidR="00343B61" w:rsidRDefault="00343B61" w:rsidP="00343B61">
      <w:pPr>
        <w:pStyle w:val="Index1"/>
        <w:tabs>
          <w:tab w:val="right" w:pos="3607"/>
        </w:tabs>
        <w:rPr>
          <w:noProof/>
        </w:rPr>
      </w:pPr>
      <w:r w:rsidRPr="00261EFF">
        <w:rPr>
          <w:rFonts w:asciiTheme="majorBidi" w:hAnsiTheme="majorBidi" w:cstheme="majorBidi"/>
          <w:noProof/>
          <w:spacing w:val="-1"/>
        </w:rPr>
        <w:t xml:space="preserve">Teori </w:t>
      </w:r>
      <w:r w:rsidRPr="00261EFF">
        <w:rPr>
          <w:rFonts w:asciiTheme="majorBidi" w:hAnsiTheme="majorBidi" w:cstheme="majorBidi"/>
          <w:noProof/>
          <w:spacing w:val="-5"/>
        </w:rPr>
        <w:t>Spiritual</w:t>
      </w:r>
      <w:r>
        <w:rPr>
          <w:noProof/>
        </w:rPr>
        <w:t>, 42</w:t>
      </w:r>
    </w:p>
    <w:p w:rsidR="00343B61" w:rsidRDefault="00343B61" w:rsidP="00343B61">
      <w:pPr>
        <w:pStyle w:val="Index1"/>
        <w:tabs>
          <w:tab w:val="right" w:pos="3607"/>
        </w:tabs>
        <w:rPr>
          <w:noProof/>
        </w:rPr>
      </w:pPr>
      <w:r w:rsidRPr="00261EFF">
        <w:rPr>
          <w:rFonts w:asciiTheme="majorBidi" w:hAnsiTheme="majorBidi" w:cstheme="majorBidi"/>
          <w:iCs/>
          <w:noProof/>
          <w:lang w:val="sv-SE"/>
        </w:rPr>
        <w:t>Turmudzi</w:t>
      </w:r>
      <w:r>
        <w:rPr>
          <w:noProof/>
        </w:rPr>
        <w:t>, 5, 147, 233, 248, 257, 266</w:t>
      </w:r>
    </w:p>
    <w:p w:rsidR="00343B61" w:rsidRDefault="00343B61" w:rsidP="00343B61">
      <w:pPr>
        <w:pStyle w:val="IndexHeading"/>
        <w:keepNext/>
        <w:tabs>
          <w:tab w:val="right" w:pos="3607"/>
        </w:tabs>
        <w:rPr>
          <w:rFonts w:eastAsiaTheme="minorEastAsia" w:cstheme="minorBidi"/>
          <w:b w:val="0"/>
          <w:bCs w:val="0"/>
          <w:noProof/>
        </w:rPr>
      </w:pPr>
      <w:r>
        <w:rPr>
          <w:noProof/>
        </w:rPr>
        <w:lastRenderedPageBreak/>
        <w:t>U</w:t>
      </w:r>
    </w:p>
    <w:p w:rsidR="00343B61" w:rsidRDefault="00343B61" w:rsidP="00343B61">
      <w:pPr>
        <w:pStyle w:val="Index1"/>
        <w:tabs>
          <w:tab w:val="right" w:pos="3607"/>
        </w:tabs>
        <w:rPr>
          <w:noProof/>
        </w:rPr>
      </w:pPr>
      <w:r w:rsidRPr="00261EFF">
        <w:rPr>
          <w:rFonts w:ascii="Times New Roman" w:hAnsi="Times New Roman"/>
          <w:noProof/>
        </w:rPr>
        <w:t>ulama</w:t>
      </w:r>
      <w:r>
        <w:rPr>
          <w:noProof/>
        </w:rPr>
        <w:t>, 1, 4, 5, 7, 10, 18, 19, 22, 27, 31, 45, 48, 57, 58, 72, 80, 85, 87, 88, 89, 90, 95, 96, 97, 98, 102, 121, 122, 127, 134, 137, 138, 149, 152, 153, 154, 155, 156, 157, 159, 160, 162, 165, 166, 168, 170, 173, 176, 178, 179, 180, 183, 185, 186, 187, 188, 189, 192, 193, 198, 199, 200, 201, 209, 213, 214, 226, 231, 237, 238, 241, 242, 243, 244, 245, 252, 253, 271, 280, 282, 284, 285, 289, 290, 292, 295, 296, 297, 299, 301, 306, 311, 312, 315</w:t>
      </w:r>
    </w:p>
    <w:p w:rsidR="00343B61" w:rsidRDefault="00343B61" w:rsidP="00343B61">
      <w:pPr>
        <w:pStyle w:val="Index1"/>
        <w:tabs>
          <w:tab w:val="right" w:pos="3607"/>
        </w:tabs>
        <w:rPr>
          <w:noProof/>
        </w:rPr>
      </w:pPr>
      <w:r w:rsidRPr="00261EFF">
        <w:rPr>
          <w:rFonts w:asciiTheme="majorBidi" w:hAnsiTheme="majorBidi" w:cstheme="majorBidi"/>
          <w:i/>
          <w:iCs/>
          <w:noProof/>
        </w:rPr>
        <w:t>ulil amr</w:t>
      </w:r>
      <w:r>
        <w:rPr>
          <w:noProof/>
        </w:rPr>
        <w:t>, 5, 9, 10, 11, 12, 56, 57, 295, 296</w:t>
      </w:r>
    </w:p>
    <w:p w:rsidR="00343B61" w:rsidRDefault="00343B61" w:rsidP="00343B61">
      <w:pPr>
        <w:pStyle w:val="Index1"/>
        <w:tabs>
          <w:tab w:val="right" w:pos="3607"/>
        </w:tabs>
        <w:rPr>
          <w:noProof/>
        </w:rPr>
      </w:pPr>
      <w:r w:rsidRPr="00261EFF">
        <w:rPr>
          <w:rFonts w:asciiTheme="majorBidi" w:hAnsiTheme="majorBidi" w:cstheme="majorBidi"/>
          <w:noProof/>
          <w:lang w:val="sv-SE"/>
        </w:rPr>
        <w:t>Undang-Undang</w:t>
      </w:r>
      <w:r>
        <w:rPr>
          <w:noProof/>
        </w:rPr>
        <w:t>, 16, 22, 23, 48, 109, 111, 112, 113, 122, 127, 128, 129, 130, 131, 132, 142, 149, 185, 224, 228, 229, 230, 244, 245, 258, 284, 285, 287, 288, 289, 293, 300, 304, 309, 310, 313, 322</w:t>
      </w:r>
    </w:p>
    <w:p w:rsidR="00343B61" w:rsidRDefault="00343B61" w:rsidP="00343B61">
      <w:pPr>
        <w:pStyle w:val="Index1"/>
        <w:tabs>
          <w:tab w:val="right" w:pos="3607"/>
        </w:tabs>
        <w:rPr>
          <w:noProof/>
        </w:rPr>
      </w:pPr>
      <w:r w:rsidRPr="00261EFF">
        <w:rPr>
          <w:rFonts w:asciiTheme="majorBidi" w:hAnsiTheme="majorBidi" w:cstheme="majorBidi"/>
          <w:noProof/>
        </w:rPr>
        <w:t>Ushul al-Fiqh</w:t>
      </w:r>
      <w:r>
        <w:rPr>
          <w:noProof/>
        </w:rPr>
        <w:t>, 30, 181</w:t>
      </w:r>
    </w:p>
    <w:p w:rsidR="00343B61" w:rsidRDefault="00343B61" w:rsidP="00343B61">
      <w:pPr>
        <w:pStyle w:val="IndexHeading"/>
        <w:keepNext/>
        <w:tabs>
          <w:tab w:val="right" w:pos="3607"/>
        </w:tabs>
        <w:rPr>
          <w:rFonts w:eastAsiaTheme="minorEastAsia" w:cstheme="minorBidi"/>
          <w:b w:val="0"/>
          <w:bCs w:val="0"/>
          <w:noProof/>
        </w:rPr>
      </w:pPr>
      <w:r>
        <w:rPr>
          <w:noProof/>
        </w:rPr>
        <w:t>W</w:t>
      </w:r>
    </w:p>
    <w:p w:rsidR="00343B61" w:rsidRDefault="00343B61" w:rsidP="00343B61">
      <w:pPr>
        <w:pStyle w:val="Index1"/>
        <w:tabs>
          <w:tab w:val="right" w:pos="3607"/>
        </w:tabs>
        <w:rPr>
          <w:noProof/>
        </w:rPr>
      </w:pPr>
      <w:r w:rsidRPr="00261EFF">
        <w:rPr>
          <w:rFonts w:ascii="Times New Roman" w:hAnsi="Times New Roman"/>
          <w:noProof/>
          <w:color w:val="000000"/>
        </w:rPr>
        <w:t>wahyu</w:t>
      </w:r>
      <w:r>
        <w:rPr>
          <w:noProof/>
        </w:rPr>
        <w:t>, 9, 17, 32, 56, 59, 142, 174, 215, 298</w:t>
      </w:r>
    </w:p>
    <w:p w:rsidR="00343B61" w:rsidRDefault="00343B61" w:rsidP="00343B61">
      <w:pPr>
        <w:pStyle w:val="Index1"/>
        <w:tabs>
          <w:tab w:val="right" w:pos="3607"/>
        </w:tabs>
        <w:rPr>
          <w:noProof/>
        </w:rPr>
      </w:pPr>
      <w:r w:rsidRPr="00261EFF">
        <w:rPr>
          <w:rFonts w:asciiTheme="majorBidi" w:hAnsiTheme="majorBidi" w:cstheme="majorBidi"/>
          <w:noProof/>
          <w:lang w:val="sv-SE"/>
        </w:rPr>
        <w:t>Waris</w:t>
      </w:r>
      <w:r>
        <w:rPr>
          <w:noProof/>
        </w:rPr>
        <w:t>, 15, 250, 251, 255, 303, 315, 317, 318</w:t>
      </w:r>
    </w:p>
    <w:p w:rsidR="00343B61" w:rsidRDefault="00343B61" w:rsidP="00343B61">
      <w:pPr>
        <w:pStyle w:val="ListParagraph"/>
        <w:spacing w:line="360" w:lineRule="auto"/>
        <w:ind w:left="450" w:firstLine="630"/>
        <w:rPr>
          <w:rFonts w:ascii="Times New Roman" w:hAnsi="Times New Roman" w:cs="Times New Roman"/>
          <w:noProof/>
          <w:lang w:val="sv-SE"/>
        </w:rPr>
        <w:sectPr w:rsidR="00343B61" w:rsidSect="00DA2C06">
          <w:type w:val="continuous"/>
          <w:pgSz w:w="11906" w:h="16838" w:code="9"/>
          <w:pgMar w:top="2268" w:right="1701" w:bottom="1701" w:left="2250" w:header="709" w:footer="709" w:gutter="0"/>
          <w:cols w:num="2" w:space="720"/>
          <w:docGrid w:linePitch="360"/>
        </w:sectPr>
      </w:pPr>
    </w:p>
    <w:p w:rsidR="00343B61" w:rsidRDefault="00343B61" w:rsidP="00343B61">
      <w:pPr>
        <w:pStyle w:val="ListParagraph"/>
        <w:spacing w:line="360" w:lineRule="auto"/>
        <w:ind w:left="450" w:firstLine="630"/>
        <w:rPr>
          <w:rFonts w:ascii="Times New Roman" w:hAnsi="Times New Roman" w:cs="Times New Roman"/>
          <w:lang w:val="sv-SE"/>
        </w:rPr>
      </w:pPr>
      <w:r>
        <w:rPr>
          <w:rFonts w:ascii="Times New Roman" w:hAnsi="Times New Roman" w:cs="Times New Roman"/>
          <w:lang w:val="sv-SE"/>
        </w:rPr>
        <w:lastRenderedPageBreak/>
        <w:fldChar w:fldCharType="end"/>
      </w: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Default="00343B61" w:rsidP="00343B61">
      <w:pPr>
        <w:pStyle w:val="ListParagraph"/>
        <w:spacing w:line="360" w:lineRule="auto"/>
        <w:ind w:left="450" w:firstLine="630"/>
        <w:jc w:val="center"/>
        <w:rPr>
          <w:rFonts w:ascii="Times New Roman" w:hAnsi="Times New Roman" w:cs="Times New Roman"/>
          <w:lang w:val="sv-SE"/>
        </w:rPr>
      </w:pPr>
    </w:p>
    <w:p w:rsidR="00343B61" w:rsidRPr="00100282" w:rsidRDefault="00343B61" w:rsidP="00343B61">
      <w:pPr>
        <w:jc w:val="center"/>
        <w:rPr>
          <w:rFonts w:asciiTheme="majorBidi" w:hAnsiTheme="majorBidi" w:cstheme="majorBidi"/>
          <w:sz w:val="24"/>
          <w:szCs w:val="24"/>
        </w:rPr>
      </w:pPr>
      <w:r w:rsidRPr="00100282">
        <w:rPr>
          <w:rFonts w:asciiTheme="majorBidi" w:hAnsiTheme="majorBidi" w:cstheme="majorBidi"/>
          <w:sz w:val="24"/>
          <w:szCs w:val="24"/>
        </w:rPr>
        <w:t>GLOSARI</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A</w:t>
      </w:r>
    </w:p>
    <w:p w:rsidR="00343B61"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 xml:space="preserve">al-jam’u wa at-taufiq </w:t>
      </w:r>
      <w:r>
        <w:rPr>
          <w:rFonts w:asciiTheme="majorBidi" w:hAnsiTheme="majorBidi" w:cstheme="majorBidi"/>
          <w:sz w:val="24"/>
          <w:szCs w:val="24"/>
        </w:rPr>
        <w:t>:</w:t>
      </w:r>
    </w:p>
    <w:p w:rsidR="00343B61" w:rsidRPr="00100282" w:rsidRDefault="00343B61" w:rsidP="00343B61">
      <w:pPr>
        <w:spacing w:after="0" w:line="240" w:lineRule="auto"/>
        <w:ind w:left="540"/>
        <w:rPr>
          <w:rFonts w:asciiTheme="majorBidi" w:hAnsiTheme="majorBidi" w:cstheme="majorBidi"/>
          <w:sz w:val="24"/>
          <w:szCs w:val="24"/>
        </w:rPr>
      </w:pPr>
      <w:r w:rsidRPr="00100282">
        <w:rPr>
          <w:rFonts w:asciiTheme="majorBidi" w:hAnsiTheme="majorBidi" w:cstheme="majorBidi"/>
          <w:sz w:val="24"/>
          <w:szCs w:val="24"/>
        </w:rPr>
        <w:t>Mengkompromikan diantara dua pendapat yang tampak bertentangan, atau sama diamalkan sesuai konteksnya.</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Al-‘Urf</w:t>
      </w:r>
      <w:r>
        <w:rPr>
          <w:rFonts w:asciiTheme="majorBidi" w:hAnsiTheme="majorBidi" w:cstheme="majorBidi"/>
          <w:sz w:val="24"/>
          <w:szCs w:val="24"/>
        </w:rPr>
        <w:t xml:space="preserve"> :</w:t>
      </w:r>
    </w:p>
    <w:p w:rsidR="00343B61" w:rsidRDefault="00343B61" w:rsidP="00343B61">
      <w:pPr>
        <w:spacing w:after="0" w:line="240" w:lineRule="auto"/>
        <w:ind w:left="540"/>
        <w:rPr>
          <w:rFonts w:asciiTheme="majorBidi" w:hAnsiTheme="majorBidi" w:cstheme="majorBidi"/>
          <w:sz w:val="24"/>
          <w:szCs w:val="24"/>
        </w:rPr>
      </w:pPr>
      <w:r w:rsidRPr="00100282">
        <w:rPr>
          <w:rFonts w:asciiTheme="majorBidi" w:hAnsiTheme="majorBidi" w:cstheme="majorBidi"/>
          <w:sz w:val="24"/>
          <w:szCs w:val="24"/>
        </w:rPr>
        <w:t>sesuatu yang telah dikenal lagi dipandang lazim dan baik oleh manusia sehingga dapat diterima akal sehat</w:t>
      </w:r>
      <w:r>
        <w:rPr>
          <w:rFonts w:asciiTheme="majorBidi" w:hAnsiTheme="majorBidi" w:cstheme="majorBidi"/>
          <w:sz w:val="24"/>
          <w:szCs w:val="24"/>
        </w:rPr>
        <w:t>.</w:t>
      </w:r>
    </w:p>
    <w:p w:rsidR="00343B61" w:rsidRPr="00100282" w:rsidRDefault="00343B61" w:rsidP="00343B61">
      <w:pPr>
        <w:spacing w:after="0" w:line="240" w:lineRule="auto"/>
        <w:ind w:left="540"/>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B</w:t>
      </w:r>
    </w:p>
    <w:p w:rsidR="00343B61" w:rsidRPr="00F93A49" w:rsidRDefault="00343B61" w:rsidP="00343B61">
      <w:pPr>
        <w:spacing w:after="0" w:line="240" w:lineRule="auto"/>
        <w:rPr>
          <w:rFonts w:asciiTheme="majorBidi" w:hAnsiTheme="majorBidi" w:cstheme="majorBidi"/>
          <w:spacing w:val="6"/>
          <w:sz w:val="24"/>
          <w:szCs w:val="24"/>
        </w:rPr>
      </w:pPr>
      <w:r w:rsidRPr="00100282">
        <w:rPr>
          <w:rFonts w:asciiTheme="majorBidi" w:hAnsiTheme="majorBidi" w:cstheme="majorBidi"/>
          <w:spacing w:val="6"/>
          <w:sz w:val="24"/>
          <w:szCs w:val="24"/>
          <w:lang w:val="id-ID"/>
        </w:rPr>
        <w:t xml:space="preserve">Bayāni </w:t>
      </w:r>
      <w:r>
        <w:rPr>
          <w:rFonts w:asciiTheme="majorBidi" w:hAnsiTheme="majorBidi" w:cstheme="majorBidi"/>
          <w:spacing w:val="6"/>
          <w:sz w:val="24"/>
          <w:szCs w:val="24"/>
        </w:rPr>
        <w:t>:</w:t>
      </w:r>
    </w:p>
    <w:p w:rsidR="00343B61" w:rsidRDefault="00343B61" w:rsidP="00343B61">
      <w:pPr>
        <w:spacing w:after="0" w:line="240" w:lineRule="auto"/>
        <w:ind w:firstLine="540"/>
        <w:rPr>
          <w:rFonts w:asciiTheme="majorBidi" w:hAnsiTheme="majorBidi" w:cstheme="majorBidi"/>
          <w:spacing w:val="6"/>
          <w:sz w:val="24"/>
          <w:szCs w:val="24"/>
        </w:rPr>
      </w:pPr>
      <w:r w:rsidRPr="00100282">
        <w:rPr>
          <w:rFonts w:asciiTheme="majorBidi" w:hAnsiTheme="majorBidi" w:cstheme="majorBidi"/>
          <w:spacing w:val="6"/>
          <w:sz w:val="24"/>
          <w:szCs w:val="24"/>
          <w:lang w:val="id-ID"/>
        </w:rPr>
        <w:t>adalah upaya menemukan hukum dalam teks dengan kajian kebahasaan</w:t>
      </w:r>
      <w:r>
        <w:rPr>
          <w:rFonts w:asciiTheme="majorBidi" w:hAnsiTheme="majorBidi" w:cstheme="majorBidi"/>
          <w:spacing w:val="6"/>
          <w:sz w:val="24"/>
          <w:szCs w:val="24"/>
        </w:rPr>
        <w:t>.</w:t>
      </w:r>
    </w:p>
    <w:p w:rsidR="00343B61" w:rsidRPr="00F93A49" w:rsidRDefault="00343B61" w:rsidP="00343B61">
      <w:pPr>
        <w:spacing w:after="0" w:line="240" w:lineRule="auto"/>
        <w:ind w:firstLine="540"/>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D</w:t>
      </w:r>
    </w:p>
    <w:p w:rsidR="00343B61" w:rsidRPr="00100282" w:rsidRDefault="00343B61" w:rsidP="00343B61">
      <w:pPr>
        <w:tabs>
          <w:tab w:val="left" w:pos="3114"/>
        </w:tabs>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Dalil</w:t>
      </w:r>
      <w:r>
        <w:rPr>
          <w:rFonts w:asciiTheme="majorBidi" w:hAnsiTheme="majorBidi" w:cstheme="majorBidi"/>
          <w:sz w:val="24"/>
          <w:szCs w:val="24"/>
        </w:rPr>
        <w:t xml:space="preserve"> :</w:t>
      </w:r>
      <w:r w:rsidRPr="00100282">
        <w:rPr>
          <w:rFonts w:asciiTheme="majorBidi" w:hAnsiTheme="majorBidi" w:cstheme="majorBidi"/>
          <w:sz w:val="24"/>
          <w:szCs w:val="24"/>
        </w:rPr>
        <w:tab/>
      </w:r>
    </w:p>
    <w:p w:rsidR="00343B61"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Segala sesuatu yang dapat dijadikan petunjuk dengan menggunakan pikiran yang benar untuk menetapkan hokum syara’ yang bersifat praktis, baik secara qath’I maupun zhanni</w:t>
      </w:r>
      <w:r>
        <w:rPr>
          <w:rFonts w:asciiTheme="majorBidi" w:hAnsiTheme="majorBidi" w:cstheme="majorBidi"/>
          <w:sz w:val="24"/>
          <w:szCs w:val="24"/>
        </w:rPr>
        <w:t>.</w:t>
      </w:r>
    </w:p>
    <w:p w:rsidR="00343B61" w:rsidRDefault="00343B61" w:rsidP="00343B61">
      <w:pPr>
        <w:spacing w:after="0" w:line="240" w:lineRule="auto"/>
        <w:jc w:val="both"/>
        <w:rPr>
          <w:rFonts w:asciiTheme="majorBidi" w:hAnsiTheme="majorBidi" w:cstheme="majorBidi"/>
          <w:sz w:val="24"/>
          <w:szCs w:val="24"/>
        </w:rPr>
      </w:pPr>
      <w:r w:rsidRPr="00611BE6">
        <w:rPr>
          <w:rFonts w:asciiTheme="majorBidi" w:hAnsiTheme="majorBidi" w:cstheme="majorBidi"/>
          <w:sz w:val="24"/>
          <w:szCs w:val="24"/>
        </w:rPr>
        <w:t>Deskirptif</w:t>
      </w:r>
      <w:r>
        <w:rPr>
          <w:rFonts w:asciiTheme="majorBidi" w:hAnsiTheme="majorBidi" w:cstheme="majorBidi"/>
          <w:sz w:val="24"/>
          <w:szCs w:val="24"/>
        </w:rPr>
        <w:t xml:space="preserve"> :</w:t>
      </w:r>
    </w:p>
    <w:p w:rsidR="00343B61" w:rsidRDefault="00343B61" w:rsidP="00343B61">
      <w:pPr>
        <w:spacing w:after="0" w:line="240" w:lineRule="auto"/>
        <w:ind w:left="540"/>
        <w:jc w:val="both"/>
        <w:rPr>
          <w:rFonts w:asciiTheme="majorBidi" w:hAnsiTheme="majorBidi" w:cstheme="majorBidi"/>
          <w:sz w:val="24"/>
          <w:szCs w:val="24"/>
        </w:rPr>
      </w:pPr>
      <w:r w:rsidRPr="00611BE6">
        <w:rPr>
          <w:rFonts w:asciiTheme="majorBidi" w:hAnsiTheme="majorBidi" w:cstheme="majorBidi"/>
          <w:sz w:val="24"/>
          <w:szCs w:val="24"/>
        </w:rPr>
        <w:t>ialah sebuah penelitian yang bertujuan untuk menggambrakan gejala sosial, politik, ekonomi, dan budaya. Dalam penelitian keagamaan, penelitian deskriptif berusaha menggambarkan sesuatu gejala keagamaan.</w:t>
      </w:r>
    </w:p>
    <w:p w:rsidR="00343B61" w:rsidRPr="00100282" w:rsidRDefault="00343B61" w:rsidP="00343B61">
      <w:pPr>
        <w:spacing w:after="0" w:line="240" w:lineRule="auto"/>
        <w:ind w:left="540"/>
        <w:jc w:val="both"/>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E</w:t>
      </w:r>
    </w:p>
    <w:p w:rsidR="00343B61" w:rsidRPr="00100282" w:rsidRDefault="00343B61" w:rsidP="00343B61">
      <w:pPr>
        <w:autoSpaceDE w:val="0"/>
        <w:autoSpaceDN w:val="0"/>
        <w:adjustRightInd w:val="0"/>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 xml:space="preserve">extradoctrinal reform </w:t>
      </w:r>
      <w:r>
        <w:rPr>
          <w:rFonts w:asciiTheme="majorBidi" w:hAnsiTheme="majorBidi" w:cstheme="majorBidi"/>
          <w:sz w:val="24"/>
          <w:szCs w:val="24"/>
        </w:rPr>
        <w:t>:</w:t>
      </w:r>
    </w:p>
    <w:p w:rsidR="00343B61" w:rsidRDefault="00343B61" w:rsidP="00343B61">
      <w:pPr>
        <w:autoSpaceDE w:val="0"/>
        <w:autoSpaceDN w:val="0"/>
        <w:adjustRightInd w:val="0"/>
        <w:spacing w:after="0" w:line="240" w:lineRule="auto"/>
        <w:ind w:left="630"/>
        <w:jc w:val="both"/>
        <w:rPr>
          <w:rFonts w:asciiTheme="majorBidi" w:hAnsiTheme="majorBidi" w:cstheme="majorBidi"/>
          <w:sz w:val="24"/>
          <w:szCs w:val="24"/>
        </w:rPr>
      </w:pPr>
      <w:r w:rsidRPr="00100282">
        <w:rPr>
          <w:rFonts w:asciiTheme="majorBidi" w:hAnsiTheme="majorBidi" w:cstheme="majorBidi"/>
          <w:sz w:val="24"/>
          <w:szCs w:val="24"/>
        </w:rPr>
        <w:t>melakukan penafsiran ulang terhadap nash (reinterpretasi) dengan merujuk pada nash al-Qur’ān dan sunnah nabi Muhammad SAW, dengan melakukan penafsiran ulang terhadap nash</w:t>
      </w:r>
      <w:r>
        <w:rPr>
          <w:rFonts w:asciiTheme="majorBidi" w:hAnsiTheme="majorBidi" w:cstheme="majorBidi"/>
          <w:sz w:val="24"/>
          <w:szCs w:val="24"/>
        </w:rPr>
        <w:t>.</w:t>
      </w:r>
    </w:p>
    <w:p w:rsidR="00343B61" w:rsidRPr="00100282" w:rsidRDefault="00343B61" w:rsidP="00343B61">
      <w:pPr>
        <w:autoSpaceDE w:val="0"/>
        <w:autoSpaceDN w:val="0"/>
        <w:adjustRightInd w:val="0"/>
        <w:spacing w:after="0" w:line="240" w:lineRule="auto"/>
        <w:ind w:left="630"/>
        <w:jc w:val="both"/>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F</w:t>
      </w:r>
    </w:p>
    <w:p w:rsidR="00343B61" w:rsidRPr="00100282" w:rsidRDefault="00343B61" w:rsidP="00343B61">
      <w:pPr>
        <w:spacing w:after="0" w:line="240" w:lineRule="auto"/>
        <w:rPr>
          <w:rFonts w:asciiTheme="majorBidi" w:hAnsiTheme="majorBidi" w:cstheme="majorBidi"/>
          <w:sz w:val="24"/>
          <w:szCs w:val="24"/>
          <w:lang w:val="sv-SE"/>
        </w:rPr>
      </w:pPr>
      <w:r w:rsidRPr="00100282">
        <w:rPr>
          <w:rFonts w:asciiTheme="majorBidi" w:hAnsiTheme="majorBidi" w:cstheme="majorBidi"/>
          <w:sz w:val="24"/>
          <w:szCs w:val="24"/>
          <w:lang w:val="sv-SE"/>
        </w:rPr>
        <w:t>Fatwa :</w:t>
      </w:r>
    </w:p>
    <w:p w:rsidR="00343B61" w:rsidRPr="002757D4" w:rsidRDefault="00343B61" w:rsidP="00343B61">
      <w:pPr>
        <w:spacing w:after="0" w:line="240" w:lineRule="auto"/>
        <w:ind w:left="540"/>
        <w:rPr>
          <w:rFonts w:asciiTheme="majorBidi" w:hAnsiTheme="majorBidi" w:cstheme="majorBidi"/>
          <w:sz w:val="24"/>
          <w:szCs w:val="24"/>
          <w:lang w:val="sv-SE"/>
        </w:rPr>
      </w:pPr>
      <w:r w:rsidRPr="00100282">
        <w:rPr>
          <w:rFonts w:asciiTheme="majorBidi" w:hAnsiTheme="majorBidi" w:cstheme="majorBidi"/>
          <w:sz w:val="24"/>
          <w:szCs w:val="24"/>
          <w:lang w:val="sv-SE"/>
        </w:rPr>
        <w:t>adalah jawaban, keputusan ataupun pendapat yang diberikan oleh seorang mufti tentang suatu masalah keagamaan</w:t>
      </w:r>
      <w:r>
        <w:rPr>
          <w:rFonts w:asciiTheme="majorBidi" w:hAnsiTheme="majorBidi" w:cstheme="majorBidi"/>
          <w:sz w:val="24"/>
          <w:szCs w:val="24"/>
          <w:lang w:val="sv-SE"/>
        </w:rPr>
        <w:t xml:space="preserve">. </w:t>
      </w:r>
      <w:r w:rsidRPr="002757D4">
        <w:rPr>
          <w:rFonts w:asciiTheme="majorBidi" w:hAnsiTheme="majorBidi" w:cstheme="majorBidi"/>
          <w:sz w:val="24"/>
          <w:szCs w:val="24"/>
          <w:lang w:val="sv-SE"/>
        </w:rPr>
        <w:t>Fatwa menurut Komisi Fatwa MUI, adalah penjelasan tentang hukum atau ajaran Islam mengenai permasalahan yang dihadapi atau ditanyakan oleh masyarakat serta merupakan pedoman dalam melaksanakan ajaran agamanya.</w:t>
      </w:r>
    </w:p>
    <w:p w:rsidR="00343B61" w:rsidRPr="00100282" w:rsidRDefault="00343B61" w:rsidP="00343B61">
      <w:pPr>
        <w:spacing w:after="0" w:line="240" w:lineRule="auto"/>
        <w:ind w:left="540"/>
        <w:rPr>
          <w:rFonts w:asciiTheme="majorBidi" w:hAnsiTheme="majorBidi" w:cstheme="majorBidi"/>
          <w:sz w:val="24"/>
          <w:szCs w:val="24"/>
          <w:lang w:val="sv-SE"/>
        </w:rPr>
      </w:pP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 xml:space="preserve">H </w:t>
      </w: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 xml:space="preserve">Hukum Keluarga </w:t>
      </w:r>
    </w:p>
    <w:p w:rsidR="00343B61"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adalah hukum tentang hubungan manusia dengan keluarganya, yang dimulai dari perkawinan sampai berakhir pada pembagian warisan karena ada anggota keluarga yang meninggal dunia</w:t>
      </w:r>
      <w:r>
        <w:rPr>
          <w:rFonts w:asciiTheme="majorBidi" w:hAnsiTheme="majorBidi" w:cstheme="majorBidi"/>
          <w:sz w:val="24"/>
          <w:szCs w:val="24"/>
          <w:lang w:val="sv-SE"/>
        </w:rPr>
        <w:t>.</w:t>
      </w:r>
    </w:p>
    <w:p w:rsidR="00343B61" w:rsidRDefault="00343B61" w:rsidP="00343B61">
      <w:pPr>
        <w:spacing w:after="0" w:line="240" w:lineRule="auto"/>
        <w:ind w:left="540"/>
        <w:jc w:val="both"/>
        <w:rPr>
          <w:rFonts w:asciiTheme="majorBidi" w:hAnsiTheme="majorBidi" w:cstheme="majorBidi"/>
          <w:sz w:val="24"/>
          <w:szCs w:val="24"/>
          <w:lang w:val="sv-SE"/>
        </w:rPr>
      </w:pPr>
    </w:p>
    <w:p w:rsidR="00343B61" w:rsidRDefault="00343B61" w:rsidP="00343B61">
      <w:pPr>
        <w:spacing w:after="0" w:line="240" w:lineRule="auto"/>
        <w:ind w:left="540"/>
        <w:jc w:val="both"/>
        <w:rPr>
          <w:rFonts w:asciiTheme="majorBidi" w:hAnsiTheme="majorBidi" w:cstheme="majorBidi"/>
          <w:sz w:val="24"/>
          <w:szCs w:val="24"/>
          <w:lang w:val="sv-SE"/>
        </w:rPr>
      </w:pPr>
    </w:p>
    <w:p w:rsidR="00343B61" w:rsidRPr="00100282" w:rsidRDefault="00343B61" w:rsidP="00343B61">
      <w:pPr>
        <w:spacing w:after="0" w:line="240" w:lineRule="auto"/>
        <w:ind w:left="540"/>
        <w:jc w:val="both"/>
        <w:rPr>
          <w:rFonts w:asciiTheme="majorBidi" w:hAnsiTheme="majorBidi" w:cstheme="majorBidi"/>
          <w:sz w:val="24"/>
          <w:szCs w:val="24"/>
          <w:lang w:val="sv-SE"/>
        </w:rPr>
      </w:pP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I</w:t>
      </w:r>
    </w:p>
    <w:p w:rsidR="00343B61" w:rsidRPr="00100282" w:rsidRDefault="00343B61" w:rsidP="00343B61">
      <w:pPr>
        <w:spacing w:after="0" w:line="240" w:lineRule="auto"/>
        <w:jc w:val="both"/>
        <w:rPr>
          <w:rFonts w:asciiTheme="majorBidi" w:hAnsiTheme="majorBidi" w:cstheme="majorBidi"/>
          <w:spacing w:val="6"/>
          <w:sz w:val="24"/>
          <w:szCs w:val="24"/>
        </w:rPr>
      </w:pPr>
      <w:r w:rsidRPr="00100282">
        <w:rPr>
          <w:rFonts w:asciiTheme="majorBidi" w:hAnsiTheme="majorBidi" w:cstheme="majorBidi"/>
          <w:spacing w:val="6"/>
          <w:sz w:val="24"/>
          <w:szCs w:val="24"/>
          <w:lang w:val="id-ID"/>
        </w:rPr>
        <w:t>Isti</w:t>
      </w:r>
      <w:r w:rsidRPr="00100282">
        <w:rPr>
          <w:rFonts w:asciiTheme="majorBidi" w:hAnsiTheme="majorBidi" w:cstheme="majorBidi"/>
          <w:spacing w:val="6"/>
          <w:sz w:val="24"/>
          <w:szCs w:val="24"/>
        </w:rPr>
        <w:t>s</w:t>
      </w:r>
      <w:r w:rsidRPr="00100282">
        <w:rPr>
          <w:rFonts w:asciiTheme="majorBidi" w:hAnsiTheme="majorBidi" w:cstheme="majorBidi"/>
          <w:spacing w:val="6"/>
          <w:sz w:val="24"/>
          <w:szCs w:val="24"/>
          <w:lang w:val="id-ID"/>
        </w:rPr>
        <w:t>lā</w:t>
      </w:r>
      <w:r w:rsidRPr="00100282">
        <w:rPr>
          <w:rFonts w:asciiTheme="majorBidi" w:hAnsiTheme="majorBidi" w:cstheme="majorBidi"/>
          <w:spacing w:val="6"/>
          <w:sz w:val="24"/>
          <w:szCs w:val="24"/>
          <w:u w:val="single"/>
          <w:lang w:val="id-ID"/>
        </w:rPr>
        <w:t>h</w:t>
      </w:r>
      <w:r w:rsidRPr="00100282">
        <w:rPr>
          <w:rFonts w:asciiTheme="majorBidi" w:hAnsiTheme="majorBidi" w:cstheme="majorBidi"/>
          <w:spacing w:val="6"/>
          <w:sz w:val="24"/>
          <w:szCs w:val="24"/>
          <w:lang w:val="id-ID"/>
        </w:rPr>
        <w:t>i</w:t>
      </w:r>
      <w:r w:rsidRPr="00100282">
        <w:rPr>
          <w:rFonts w:asciiTheme="majorBidi" w:hAnsiTheme="majorBidi" w:cstheme="majorBidi"/>
          <w:spacing w:val="6"/>
          <w:sz w:val="24"/>
          <w:szCs w:val="24"/>
        </w:rPr>
        <w:t xml:space="preserve"> :</w:t>
      </w:r>
    </w:p>
    <w:p w:rsidR="00343B61" w:rsidRPr="00100282" w:rsidRDefault="00343B61" w:rsidP="00343B61">
      <w:pPr>
        <w:spacing w:after="0" w:line="240" w:lineRule="auto"/>
        <w:ind w:left="540"/>
        <w:jc w:val="both"/>
        <w:rPr>
          <w:rFonts w:asciiTheme="majorBidi" w:hAnsiTheme="majorBidi" w:cstheme="majorBidi"/>
          <w:spacing w:val="6"/>
          <w:sz w:val="24"/>
          <w:szCs w:val="24"/>
        </w:rPr>
      </w:pPr>
      <w:r w:rsidRPr="00100282">
        <w:rPr>
          <w:rFonts w:asciiTheme="majorBidi" w:hAnsiTheme="majorBidi" w:cstheme="majorBidi"/>
          <w:spacing w:val="6"/>
          <w:sz w:val="24"/>
          <w:szCs w:val="24"/>
          <w:lang w:val="id-ID"/>
        </w:rPr>
        <w:t xml:space="preserve"> adalah upaya menemukan hukum dengan mempertimbangkan unsur kemaslahatan di dalamnya</w:t>
      </w:r>
      <w:r w:rsidRPr="00100282">
        <w:rPr>
          <w:rFonts w:asciiTheme="majorBidi" w:hAnsiTheme="majorBidi" w:cstheme="majorBidi"/>
          <w:spacing w:val="6"/>
          <w:sz w:val="24"/>
          <w:szCs w:val="24"/>
        </w:rPr>
        <w:t>.</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Isti</w:t>
      </w:r>
      <w:r w:rsidRPr="00100282">
        <w:rPr>
          <w:rFonts w:asciiTheme="majorBidi" w:hAnsiTheme="majorBidi" w:cstheme="majorBidi"/>
          <w:sz w:val="24"/>
          <w:szCs w:val="24"/>
          <w:u w:val="single"/>
        </w:rPr>
        <w:t>h</w:t>
      </w:r>
      <w:r w:rsidRPr="00100282">
        <w:rPr>
          <w:rFonts w:asciiTheme="majorBidi" w:hAnsiTheme="majorBidi" w:cstheme="majorBidi"/>
          <w:sz w:val="24"/>
          <w:szCs w:val="24"/>
        </w:rPr>
        <w:t xml:space="preserve">sān </w:t>
      </w:r>
    </w:p>
    <w:p w:rsidR="00343B61" w:rsidRPr="00100282"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Beralih dari ketentuan hukum yang dikehendaki oleh dalil Syariah mengenai suatu kasus kepada ketentuan hukum lain lantaran ada dalil Syariah lain yang menghendaki tindakan beralih tersebut</w:t>
      </w:r>
    </w:p>
    <w:p w:rsidR="00343B61" w:rsidRPr="00100282" w:rsidRDefault="00343B61" w:rsidP="00343B61">
      <w:pPr>
        <w:autoSpaceDE w:val="0"/>
        <w:autoSpaceDN w:val="0"/>
        <w:adjustRightInd w:val="0"/>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Ijtihād jama’īy :</w:t>
      </w:r>
    </w:p>
    <w:p w:rsidR="00343B61" w:rsidRPr="00100282" w:rsidRDefault="00343B61" w:rsidP="00343B61">
      <w:pPr>
        <w:autoSpaceDE w:val="0"/>
        <w:autoSpaceDN w:val="0"/>
        <w:adjustRightInd w:val="0"/>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adalah upaya maksimal berupa pengerahan segala kesanggupan dan kemampuan oleh sekelompok ulama yang secara kolektif dan telah terpenuhinya persyaratan-persyaratan ijtihad guna memecahkan hukum sesuatu masalah yang belum ditegaskan oleh Al-Qur’ān atau Sunnah dan belum pernah diijtihadi oleh ulama-ulama tersebut.</w:t>
      </w:r>
    </w:p>
    <w:p w:rsidR="00343B61" w:rsidRPr="00100282" w:rsidRDefault="00343B61" w:rsidP="00343B61">
      <w:pPr>
        <w:autoSpaceDE w:val="0"/>
        <w:autoSpaceDN w:val="0"/>
        <w:adjustRightInd w:val="0"/>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 xml:space="preserve">Ijtihād insyāiy (Ijtihad konstruktif inovatif): </w:t>
      </w:r>
    </w:p>
    <w:p w:rsidR="00343B61" w:rsidRPr="00100282" w:rsidRDefault="00343B61" w:rsidP="00343B61">
      <w:pPr>
        <w:autoSpaceDE w:val="0"/>
        <w:autoSpaceDN w:val="0"/>
        <w:adjustRightInd w:val="0"/>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yakni menetapkan hukum atas berbagai masalah baru yang belum pernah dikenal oleh ulama-ulama terdahulu karena memang belum ada pada zaman itu, atau dalam masalah lama tetapi mujtahid kontemporer mempunyai pendapat baru yang belum pernah dikemukakan oleh ulama-ulama terdahulu.</w:t>
      </w:r>
    </w:p>
    <w:p w:rsidR="00343B61" w:rsidRPr="00100282" w:rsidRDefault="00343B61" w:rsidP="00343B61">
      <w:pPr>
        <w:autoSpaceDE w:val="0"/>
        <w:autoSpaceDN w:val="0"/>
        <w:adjustRightInd w:val="0"/>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intra-doctrinal reform :</w:t>
      </w:r>
    </w:p>
    <w:p w:rsidR="00343B61" w:rsidRDefault="00343B61" w:rsidP="00343B61">
      <w:pPr>
        <w:autoSpaceDE w:val="0"/>
        <w:autoSpaceDN w:val="0"/>
        <w:adjustRightInd w:val="0"/>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 xml:space="preserve"> adalah pembaruan dengan cara tetap merujuk pada konsep fiq</w:t>
      </w:r>
      <w:r>
        <w:rPr>
          <w:rFonts w:asciiTheme="majorBidi" w:hAnsiTheme="majorBidi" w:cstheme="majorBidi"/>
          <w:sz w:val="24"/>
          <w:szCs w:val="24"/>
        </w:rPr>
        <w:t>h konvensional, dengan cara takhayyur dan</w:t>
      </w:r>
      <w:r w:rsidRPr="00100282">
        <w:rPr>
          <w:rFonts w:asciiTheme="majorBidi" w:hAnsiTheme="majorBidi" w:cstheme="majorBidi"/>
          <w:sz w:val="24"/>
          <w:szCs w:val="24"/>
        </w:rPr>
        <w:t xml:space="preserve"> talfiq. </w:t>
      </w:r>
    </w:p>
    <w:p w:rsidR="00343B61" w:rsidRPr="00100282" w:rsidRDefault="00343B61" w:rsidP="00343B61">
      <w:pPr>
        <w:autoSpaceDE w:val="0"/>
        <w:autoSpaceDN w:val="0"/>
        <w:adjustRightInd w:val="0"/>
        <w:spacing w:after="0" w:line="240" w:lineRule="auto"/>
        <w:ind w:left="540"/>
        <w:jc w:val="both"/>
        <w:rPr>
          <w:rFonts w:asciiTheme="majorBidi" w:hAnsiTheme="majorBidi" w:cstheme="majorBidi"/>
          <w:sz w:val="24"/>
          <w:szCs w:val="24"/>
        </w:rPr>
      </w:pP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M</w:t>
      </w: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Mashla</w:t>
      </w:r>
      <w:r w:rsidRPr="00100282">
        <w:rPr>
          <w:rFonts w:asciiTheme="majorBidi" w:hAnsiTheme="majorBidi" w:cstheme="majorBidi"/>
          <w:sz w:val="24"/>
          <w:szCs w:val="24"/>
          <w:u w:val="single"/>
          <w:lang w:val="sv-SE"/>
        </w:rPr>
        <w:t>h</w:t>
      </w:r>
      <w:r w:rsidRPr="00100282">
        <w:rPr>
          <w:rFonts w:asciiTheme="majorBidi" w:hAnsiTheme="majorBidi" w:cstheme="majorBidi"/>
          <w:sz w:val="24"/>
          <w:szCs w:val="24"/>
          <w:lang w:val="sv-SE"/>
        </w:rPr>
        <w:t>ah :</w:t>
      </w:r>
    </w:p>
    <w:p w:rsidR="00343B61" w:rsidRPr="00100282"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 xml:space="preserve">Perbuatan yang bersifat mendatangkan kebaikan maupun manfaat baik secara berkelanjutan dalam setiap waktu maupun pada sebagian besarnya </w:t>
      </w:r>
      <w:r w:rsidRPr="00100282">
        <w:rPr>
          <w:rFonts w:asciiTheme="majorBidi" w:hAnsiTheme="majorBidi" w:cstheme="majorBidi"/>
          <w:sz w:val="24"/>
          <w:szCs w:val="24"/>
          <w:lang w:val="sv-SE"/>
        </w:rPr>
        <w:lastRenderedPageBreak/>
        <w:t>saja, baik dirasakan oleh orang banyak maupun beberapa orang saja dari mereka.</w:t>
      </w: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Ma</w:t>
      </w:r>
      <w:r w:rsidRPr="00100282">
        <w:rPr>
          <w:rFonts w:asciiTheme="majorBidi" w:hAnsiTheme="majorBidi" w:cstheme="majorBidi"/>
          <w:color w:val="222222"/>
          <w:sz w:val="24"/>
          <w:szCs w:val="24"/>
          <w:lang w:val="sv-SE"/>
        </w:rPr>
        <w:t>ṣ</w:t>
      </w:r>
      <w:r w:rsidRPr="00100282">
        <w:rPr>
          <w:rFonts w:asciiTheme="majorBidi" w:hAnsiTheme="majorBidi" w:cstheme="majorBidi"/>
          <w:sz w:val="24"/>
          <w:szCs w:val="24"/>
          <w:lang w:val="sv-SE"/>
        </w:rPr>
        <w:t>la</w:t>
      </w:r>
      <w:r w:rsidRPr="00100282">
        <w:rPr>
          <w:rFonts w:asciiTheme="majorBidi" w:hAnsiTheme="majorBidi" w:cstheme="majorBidi"/>
          <w:sz w:val="24"/>
          <w:szCs w:val="24"/>
          <w:u w:val="single"/>
          <w:lang w:val="sv-SE"/>
        </w:rPr>
        <w:t>h</w:t>
      </w:r>
      <w:r w:rsidRPr="00100282">
        <w:rPr>
          <w:rFonts w:asciiTheme="majorBidi" w:hAnsiTheme="majorBidi" w:cstheme="majorBidi"/>
          <w:sz w:val="24"/>
          <w:szCs w:val="24"/>
          <w:lang w:val="sv-SE"/>
        </w:rPr>
        <w:t>ah Mursalah</w:t>
      </w:r>
      <w:r w:rsidRPr="00100282">
        <w:rPr>
          <w:rFonts w:asciiTheme="majorBidi" w:hAnsiTheme="majorBidi" w:cstheme="majorBidi"/>
          <w:sz w:val="24"/>
          <w:szCs w:val="24"/>
          <w:lang w:val="sv-SE"/>
        </w:rPr>
        <w:tab/>
        <w:t>:</w:t>
      </w:r>
    </w:p>
    <w:p w:rsidR="00343B61" w:rsidRPr="00100282"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Segala sesuatu yang mengandung kemanfaatan, baik dengan cara meraih atau mewujudkan, seperti mewujudkan berbagai faedah dan kenikmatan atau dengan cara menolak dan memelihara diri, seperti menjauhkan diri dari berbagai kemudharatan dan sesuatu yang menyakiti, maka hal tersebut patut disebut mashlahah.</w:t>
      </w:r>
    </w:p>
    <w:p w:rsidR="00343B61" w:rsidRPr="00100282" w:rsidRDefault="00343B61" w:rsidP="00343B61">
      <w:pPr>
        <w:spacing w:after="0" w:line="240" w:lineRule="auto"/>
        <w:jc w:val="both"/>
        <w:rPr>
          <w:rFonts w:asciiTheme="majorBidi" w:hAnsiTheme="majorBidi" w:cstheme="majorBidi"/>
          <w:color w:val="333333"/>
          <w:sz w:val="24"/>
          <w:szCs w:val="24"/>
          <w:shd w:val="clear" w:color="auto" w:fill="FFFFFF"/>
          <w:lang w:val="sv-SE"/>
        </w:rPr>
      </w:pPr>
      <w:r w:rsidRPr="00100282">
        <w:rPr>
          <w:rFonts w:asciiTheme="majorBidi" w:hAnsiTheme="majorBidi" w:cstheme="majorBidi"/>
          <w:color w:val="333333"/>
          <w:sz w:val="24"/>
          <w:szCs w:val="24"/>
          <w:bdr w:val="none" w:sz="0" w:space="0" w:color="auto" w:frame="1"/>
          <w:shd w:val="clear" w:color="auto" w:fill="FFFFFF"/>
          <w:lang w:val="sv-SE"/>
        </w:rPr>
        <w:t>Maqasid al-Syari'ah</w:t>
      </w:r>
      <w:r w:rsidRPr="00100282">
        <w:rPr>
          <w:rFonts w:asciiTheme="majorBidi" w:hAnsiTheme="majorBidi" w:cstheme="majorBidi"/>
          <w:color w:val="333333"/>
          <w:sz w:val="24"/>
          <w:szCs w:val="24"/>
          <w:bdr w:val="none" w:sz="0" w:space="0" w:color="auto" w:frame="1"/>
          <w:shd w:val="clear" w:color="auto" w:fill="FFFFFF"/>
          <w:lang w:val="sv-SE"/>
        </w:rPr>
        <w:tab/>
        <w:t>:</w:t>
      </w:r>
    </w:p>
    <w:p w:rsidR="00343B61" w:rsidRDefault="00343B61" w:rsidP="00343B61">
      <w:pPr>
        <w:spacing w:after="0" w:line="240" w:lineRule="auto"/>
        <w:ind w:left="540"/>
        <w:jc w:val="both"/>
        <w:rPr>
          <w:rFonts w:asciiTheme="majorBidi" w:hAnsiTheme="majorBidi" w:cstheme="majorBidi"/>
          <w:color w:val="333333"/>
          <w:sz w:val="24"/>
          <w:szCs w:val="24"/>
          <w:shd w:val="clear" w:color="auto" w:fill="FFFFFF"/>
          <w:lang w:val="sv-SE"/>
        </w:rPr>
      </w:pPr>
      <w:r w:rsidRPr="00100282">
        <w:rPr>
          <w:rFonts w:asciiTheme="majorBidi" w:hAnsiTheme="majorBidi" w:cstheme="majorBidi"/>
          <w:color w:val="333333"/>
          <w:sz w:val="24"/>
          <w:szCs w:val="24"/>
          <w:shd w:val="clear" w:color="auto" w:fill="FFFFFF"/>
          <w:lang w:val="sv-SE"/>
        </w:rPr>
        <w:t xml:space="preserve"> tujuan yang dikehendaki dalam mensyariatkan suatu hukum bagi kemaslahatan umat manusia.</w:t>
      </w:r>
      <w:r w:rsidRPr="00100282">
        <w:rPr>
          <w:rFonts w:asciiTheme="majorBidi" w:hAnsiTheme="majorBidi" w:cstheme="majorBidi"/>
          <w:color w:val="333333"/>
          <w:sz w:val="24"/>
          <w:szCs w:val="24"/>
          <w:bdr w:val="none" w:sz="0" w:space="0" w:color="auto" w:frame="1"/>
          <w:shd w:val="clear" w:color="auto" w:fill="FFFFFF"/>
          <w:lang w:val="sv-SE"/>
        </w:rPr>
        <w:t>Maqasid al-Syari'ah </w:t>
      </w:r>
      <w:r w:rsidRPr="00100282">
        <w:rPr>
          <w:rFonts w:asciiTheme="majorBidi" w:hAnsiTheme="majorBidi" w:cstheme="majorBidi"/>
          <w:color w:val="333333"/>
          <w:sz w:val="24"/>
          <w:szCs w:val="24"/>
          <w:shd w:val="clear" w:color="auto" w:fill="FFFFFF"/>
          <w:lang w:val="sv-SE"/>
        </w:rPr>
        <w:t>dikalangan ulama ushul fikih disebut juga dengan </w:t>
      </w:r>
      <w:r w:rsidRPr="00100282">
        <w:rPr>
          <w:rFonts w:asciiTheme="majorBidi" w:hAnsiTheme="majorBidi" w:cstheme="majorBidi"/>
          <w:color w:val="333333"/>
          <w:sz w:val="24"/>
          <w:szCs w:val="24"/>
          <w:bdr w:val="none" w:sz="0" w:space="0" w:color="auto" w:frame="1"/>
          <w:shd w:val="clear" w:color="auto" w:fill="FFFFFF"/>
          <w:lang w:val="sv-SE"/>
        </w:rPr>
        <w:t>Asrar al-Syari'ah</w:t>
      </w:r>
      <w:r w:rsidRPr="00100282">
        <w:rPr>
          <w:rFonts w:asciiTheme="majorBidi" w:hAnsiTheme="majorBidi" w:cstheme="majorBidi"/>
          <w:color w:val="333333"/>
          <w:sz w:val="24"/>
          <w:szCs w:val="24"/>
          <w:shd w:val="clear" w:color="auto" w:fill="FFFFFF"/>
          <w:lang w:val="sv-SE"/>
        </w:rPr>
        <w:t>, yaitu rahasia-rahasia yang terdapat di balik hukum yang ditetapkan oleh syara’, berupa kemaslahatan bagi umat manusia baik di dunia maupun di akhirat</w:t>
      </w:r>
      <w:r>
        <w:rPr>
          <w:rFonts w:asciiTheme="majorBidi" w:hAnsiTheme="majorBidi" w:cstheme="majorBidi"/>
          <w:color w:val="333333"/>
          <w:sz w:val="24"/>
          <w:szCs w:val="24"/>
          <w:shd w:val="clear" w:color="auto" w:fill="FFFFFF"/>
          <w:lang w:val="sv-SE"/>
        </w:rPr>
        <w:t>.</w:t>
      </w:r>
    </w:p>
    <w:p w:rsidR="00343B61" w:rsidRDefault="00343B61" w:rsidP="00343B61">
      <w:pPr>
        <w:spacing w:after="0" w:line="240" w:lineRule="auto"/>
        <w:ind w:left="540"/>
        <w:jc w:val="both"/>
        <w:rPr>
          <w:rFonts w:asciiTheme="majorBidi" w:hAnsiTheme="majorBidi" w:cstheme="majorBidi"/>
          <w:color w:val="333333"/>
          <w:sz w:val="24"/>
          <w:szCs w:val="24"/>
          <w:shd w:val="clear" w:color="auto" w:fill="FFFFFF"/>
          <w:lang w:val="sv-SE"/>
        </w:rPr>
      </w:pPr>
    </w:p>
    <w:p w:rsidR="00343B61" w:rsidRDefault="00343B61" w:rsidP="00343B61">
      <w:pPr>
        <w:spacing w:after="0" w:line="240" w:lineRule="auto"/>
        <w:ind w:left="540"/>
        <w:jc w:val="both"/>
        <w:rPr>
          <w:rFonts w:asciiTheme="majorBidi" w:hAnsiTheme="majorBidi" w:cstheme="majorBidi"/>
          <w:color w:val="333333"/>
          <w:sz w:val="24"/>
          <w:szCs w:val="24"/>
          <w:shd w:val="clear" w:color="auto" w:fill="FFFFFF"/>
          <w:lang w:val="sv-SE"/>
        </w:rPr>
      </w:pPr>
    </w:p>
    <w:p w:rsidR="00343B61" w:rsidRDefault="00343B61" w:rsidP="00343B61">
      <w:pPr>
        <w:spacing w:after="0" w:line="240" w:lineRule="auto"/>
        <w:ind w:left="540"/>
        <w:jc w:val="both"/>
        <w:rPr>
          <w:rFonts w:asciiTheme="majorBidi" w:hAnsiTheme="majorBidi" w:cstheme="majorBidi"/>
          <w:color w:val="333333"/>
          <w:sz w:val="24"/>
          <w:szCs w:val="24"/>
          <w:shd w:val="clear" w:color="auto" w:fill="FFFFFF"/>
          <w:lang w:val="sv-SE"/>
        </w:rPr>
      </w:pPr>
    </w:p>
    <w:p w:rsidR="00343B61" w:rsidRPr="00100282" w:rsidRDefault="00343B61" w:rsidP="00343B61">
      <w:pPr>
        <w:spacing w:after="0" w:line="240" w:lineRule="auto"/>
        <w:ind w:left="540"/>
        <w:jc w:val="both"/>
        <w:rPr>
          <w:rFonts w:asciiTheme="majorBidi" w:hAnsiTheme="majorBidi" w:cstheme="majorBidi"/>
          <w:sz w:val="24"/>
          <w:szCs w:val="24"/>
          <w:lang w:val="sv-SE"/>
        </w:rPr>
      </w:pP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N</w:t>
      </w: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Nikah</w:t>
      </w:r>
      <w:r w:rsidRPr="00100282">
        <w:rPr>
          <w:rFonts w:asciiTheme="majorBidi" w:hAnsiTheme="majorBidi" w:cstheme="majorBidi"/>
          <w:sz w:val="24"/>
          <w:szCs w:val="24"/>
          <w:lang w:val="sv-SE"/>
        </w:rPr>
        <w:tab/>
        <w:t>:</w:t>
      </w:r>
    </w:p>
    <w:p w:rsidR="00343B61"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Akad ( ikatan kontrak) yang menghalalkan persetubuhan antara laki-laki dan perempuan yang diucapkan oleh kata-kata yang menunjukkan nikah,sesuai dengan peraturan yang ditentukan di dalam Islam.</w:t>
      </w:r>
    </w:p>
    <w:p w:rsidR="00343B61" w:rsidRPr="00100282" w:rsidRDefault="00343B61" w:rsidP="00343B61">
      <w:pPr>
        <w:spacing w:after="0" w:line="240" w:lineRule="auto"/>
        <w:ind w:left="540"/>
        <w:jc w:val="both"/>
        <w:rPr>
          <w:rFonts w:asciiTheme="majorBidi" w:hAnsiTheme="majorBidi" w:cstheme="majorBidi"/>
          <w:sz w:val="24"/>
          <w:szCs w:val="24"/>
          <w:lang w:val="sv-SE"/>
        </w:rPr>
      </w:pPr>
    </w:p>
    <w:p w:rsidR="00343B61" w:rsidRPr="00100282" w:rsidRDefault="00343B61" w:rsidP="00343B61">
      <w:pPr>
        <w:spacing w:after="0" w:line="240" w:lineRule="auto"/>
        <w:rPr>
          <w:rFonts w:asciiTheme="majorBidi" w:hAnsiTheme="majorBidi" w:cstheme="majorBidi"/>
          <w:sz w:val="24"/>
          <w:szCs w:val="24"/>
          <w:lang w:val="sv-SE"/>
        </w:rPr>
      </w:pPr>
      <w:r w:rsidRPr="00100282">
        <w:rPr>
          <w:rFonts w:asciiTheme="majorBidi" w:hAnsiTheme="majorBidi" w:cstheme="majorBidi"/>
          <w:sz w:val="24"/>
          <w:szCs w:val="24"/>
          <w:lang w:val="sv-SE"/>
        </w:rPr>
        <w:t>O</w:t>
      </w:r>
    </w:p>
    <w:p w:rsidR="00343B61" w:rsidRPr="00100282" w:rsidRDefault="00343B61" w:rsidP="00343B61">
      <w:pPr>
        <w:spacing w:after="0" w:line="240" w:lineRule="auto"/>
        <w:rPr>
          <w:rFonts w:asciiTheme="majorBidi" w:hAnsiTheme="majorBidi" w:cstheme="majorBidi"/>
          <w:sz w:val="24"/>
          <w:szCs w:val="24"/>
          <w:lang w:val="sv-SE"/>
        </w:rPr>
      </w:pPr>
      <w:r w:rsidRPr="00100282">
        <w:rPr>
          <w:rFonts w:asciiTheme="majorBidi" w:hAnsiTheme="majorBidi" w:cstheme="majorBidi"/>
          <w:sz w:val="24"/>
          <w:szCs w:val="24"/>
          <w:lang w:val="sv-SE"/>
        </w:rPr>
        <w:t>Ontologis</w:t>
      </w:r>
      <w:r w:rsidRPr="00100282">
        <w:rPr>
          <w:rFonts w:asciiTheme="majorBidi" w:hAnsiTheme="majorBidi" w:cstheme="majorBidi"/>
          <w:sz w:val="24"/>
          <w:szCs w:val="24"/>
          <w:lang w:val="sv-SE"/>
        </w:rPr>
        <w:tab/>
        <w:t>:</w:t>
      </w:r>
    </w:p>
    <w:p w:rsidR="00343B61"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Analisis tentang objek materi dari ilmu pengetahuan, berupa hal-hal atau benda-benda empiris</w:t>
      </w:r>
    </w:p>
    <w:p w:rsidR="00343B61" w:rsidRPr="00100282" w:rsidRDefault="00343B61" w:rsidP="00343B61">
      <w:pPr>
        <w:spacing w:after="0" w:line="240" w:lineRule="auto"/>
        <w:ind w:firstLine="540"/>
        <w:jc w:val="both"/>
        <w:rPr>
          <w:rFonts w:asciiTheme="majorBidi" w:hAnsiTheme="majorBidi" w:cstheme="majorBidi"/>
          <w:sz w:val="24"/>
          <w:szCs w:val="24"/>
          <w:lang w:val="sv-SE"/>
        </w:rPr>
      </w:pP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P</w:t>
      </w:r>
    </w:p>
    <w:p w:rsidR="00343B61" w:rsidRPr="00100282" w:rsidRDefault="00343B61" w:rsidP="00343B61">
      <w:pPr>
        <w:spacing w:after="0" w:line="240" w:lineRule="auto"/>
        <w:jc w:val="both"/>
        <w:rPr>
          <w:rFonts w:asciiTheme="majorBidi" w:hAnsiTheme="majorBidi" w:cstheme="majorBidi"/>
          <w:sz w:val="24"/>
          <w:szCs w:val="24"/>
          <w:lang w:val="sv-SE"/>
        </w:rPr>
      </w:pPr>
      <w:r w:rsidRPr="00100282">
        <w:rPr>
          <w:rFonts w:asciiTheme="majorBidi" w:hAnsiTheme="majorBidi" w:cstheme="majorBidi"/>
          <w:sz w:val="24"/>
          <w:szCs w:val="24"/>
          <w:lang w:val="sv-SE"/>
        </w:rPr>
        <w:t>Pembaruan Hukum</w:t>
      </w:r>
      <w:r w:rsidRPr="00100282">
        <w:rPr>
          <w:rFonts w:asciiTheme="majorBidi" w:hAnsiTheme="majorBidi" w:cstheme="majorBidi"/>
          <w:sz w:val="24"/>
          <w:szCs w:val="24"/>
          <w:lang w:val="sv-SE"/>
        </w:rPr>
        <w:tab/>
        <w:t>:</w:t>
      </w:r>
    </w:p>
    <w:p w:rsidR="00343B61" w:rsidRDefault="00343B61" w:rsidP="00343B61">
      <w:pPr>
        <w:spacing w:after="0" w:line="240" w:lineRule="auto"/>
        <w:ind w:left="540"/>
        <w:jc w:val="both"/>
        <w:rPr>
          <w:rFonts w:asciiTheme="majorBidi" w:hAnsiTheme="majorBidi" w:cstheme="majorBidi"/>
          <w:sz w:val="24"/>
          <w:szCs w:val="24"/>
          <w:lang w:val="sv-SE"/>
        </w:rPr>
      </w:pPr>
      <w:r w:rsidRPr="00100282">
        <w:rPr>
          <w:rFonts w:asciiTheme="majorBidi" w:hAnsiTheme="majorBidi" w:cstheme="majorBidi"/>
          <w:sz w:val="24"/>
          <w:szCs w:val="24"/>
          <w:lang w:val="sv-SE"/>
        </w:rPr>
        <w:t>Adalah upaya untuk melakukan penyesuaian-penyesuaian ajaran Islam di bidang hukum dengan kemajuan modern, sehingga hukum Islam dapat menjawab segala tantangan yang ditimbulkan oleh perubahan-perubahan sosial sebagai akibat perkembangan ilmu pengetahuan dan teknologi modern</w:t>
      </w:r>
      <w:r>
        <w:rPr>
          <w:rFonts w:asciiTheme="majorBidi" w:hAnsiTheme="majorBidi" w:cstheme="majorBidi"/>
          <w:sz w:val="24"/>
          <w:szCs w:val="24"/>
          <w:lang w:val="sv-SE"/>
        </w:rPr>
        <w:t>.</w:t>
      </w:r>
    </w:p>
    <w:p w:rsidR="00343B61" w:rsidRPr="00100282" w:rsidRDefault="00343B61" w:rsidP="00343B61">
      <w:pPr>
        <w:spacing w:after="0" w:line="240" w:lineRule="auto"/>
        <w:ind w:left="540"/>
        <w:jc w:val="both"/>
        <w:rPr>
          <w:rFonts w:asciiTheme="majorBidi" w:hAnsiTheme="majorBidi" w:cstheme="majorBidi"/>
          <w:sz w:val="24"/>
          <w:szCs w:val="24"/>
          <w:lang w:val="sv-SE"/>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Q</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 xml:space="preserve">Qiyās </w:t>
      </w:r>
      <w:r w:rsidRPr="00100282">
        <w:rPr>
          <w:rFonts w:asciiTheme="majorBidi" w:hAnsiTheme="majorBidi" w:cstheme="majorBidi"/>
          <w:sz w:val="24"/>
          <w:szCs w:val="24"/>
        </w:rPr>
        <w:tab/>
        <w:t>:</w:t>
      </w:r>
    </w:p>
    <w:p w:rsidR="00343B61" w:rsidRPr="00100282"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Menerapkan hukum yang terdapat pada ashl( pokok) kepada far‘u ( cabang), karena terdapat kesamaan ‘illat hukum antara keduanya”</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Qawā‘id  fiqhiyyah :</w:t>
      </w:r>
    </w:p>
    <w:p w:rsidR="00343B61" w:rsidRPr="00100282"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Hukum syara‘ tentang peristiwa yang bersifat aġlabiyyah(Kebiasaan), dan daripadanya dapat diidentifikasi hukum berbagai peristiwa yang masuk dalam ruang lingkupnya.</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R</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lastRenderedPageBreak/>
        <w:t>Reintrepretasi</w:t>
      </w:r>
      <w:r w:rsidRPr="00100282">
        <w:rPr>
          <w:rFonts w:asciiTheme="majorBidi" w:hAnsiTheme="majorBidi" w:cstheme="majorBidi"/>
          <w:sz w:val="24"/>
          <w:szCs w:val="24"/>
        </w:rPr>
        <w:tab/>
        <w:t xml:space="preserve">: </w:t>
      </w:r>
    </w:p>
    <w:p w:rsidR="00343B61" w:rsidRDefault="00343B61" w:rsidP="00343B61">
      <w:pPr>
        <w:spacing w:after="0" w:line="240" w:lineRule="auto"/>
        <w:ind w:left="720"/>
        <w:rPr>
          <w:rFonts w:asciiTheme="majorBidi" w:hAnsiTheme="majorBidi" w:cstheme="majorBidi"/>
          <w:sz w:val="24"/>
          <w:szCs w:val="24"/>
        </w:rPr>
      </w:pPr>
      <w:r w:rsidRPr="00100282">
        <w:rPr>
          <w:rFonts w:asciiTheme="majorBidi" w:hAnsiTheme="majorBidi" w:cstheme="majorBidi"/>
          <w:sz w:val="24"/>
          <w:szCs w:val="24"/>
        </w:rPr>
        <w:t>Melakukan penafsiran ulang atas khasanah klasik yang mulai dinggap tidak relevan</w:t>
      </w:r>
      <w:r>
        <w:rPr>
          <w:rFonts w:asciiTheme="majorBidi" w:hAnsiTheme="majorBidi" w:cstheme="majorBidi"/>
          <w:sz w:val="24"/>
          <w:szCs w:val="24"/>
        </w:rPr>
        <w:t>.</w:t>
      </w:r>
    </w:p>
    <w:p w:rsidR="00343B61" w:rsidRPr="00100282" w:rsidRDefault="00343B61" w:rsidP="00343B61">
      <w:pPr>
        <w:spacing w:after="0" w:line="240" w:lineRule="auto"/>
        <w:ind w:firstLine="720"/>
        <w:rPr>
          <w:rFonts w:asciiTheme="majorBidi" w:hAnsiTheme="majorBidi" w:cstheme="majorBidi"/>
          <w:sz w:val="24"/>
          <w:szCs w:val="24"/>
        </w:rPr>
      </w:pP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S</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 xml:space="preserve">Sadd al-Dzari’ah </w:t>
      </w:r>
      <w:r>
        <w:rPr>
          <w:rFonts w:asciiTheme="majorBidi" w:hAnsiTheme="majorBidi" w:cstheme="majorBidi"/>
          <w:sz w:val="24"/>
          <w:szCs w:val="24"/>
        </w:rPr>
        <w:t>:</w:t>
      </w:r>
    </w:p>
    <w:p w:rsidR="00343B61" w:rsidRPr="00100282" w:rsidRDefault="00343B61" w:rsidP="00343B61">
      <w:pPr>
        <w:spacing w:after="0" w:line="240" w:lineRule="auto"/>
        <w:ind w:left="630"/>
        <w:jc w:val="both"/>
        <w:rPr>
          <w:rFonts w:asciiTheme="majorBidi" w:hAnsiTheme="majorBidi" w:cstheme="majorBidi"/>
          <w:sz w:val="24"/>
          <w:szCs w:val="24"/>
        </w:rPr>
      </w:pPr>
      <w:r w:rsidRPr="00100282">
        <w:rPr>
          <w:rFonts w:asciiTheme="majorBidi" w:hAnsiTheme="majorBidi" w:cstheme="majorBidi"/>
          <w:sz w:val="24"/>
          <w:szCs w:val="24"/>
        </w:rPr>
        <w:t>adalah menutup sarana yang membawa kepada kerusakan dan rangka menolak terjadinya kerusakan tersebut</w:t>
      </w:r>
    </w:p>
    <w:p w:rsidR="00343B61" w:rsidRPr="00F93A49" w:rsidRDefault="00343B61" w:rsidP="00343B61">
      <w:pPr>
        <w:spacing w:after="0" w:line="240" w:lineRule="auto"/>
        <w:jc w:val="both"/>
        <w:rPr>
          <w:rFonts w:asciiTheme="majorBidi" w:hAnsiTheme="majorBidi" w:cstheme="majorBidi"/>
          <w:color w:val="000000" w:themeColor="text1"/>
          <w:sz w:val="24"/>
          <w:szCs w:val="24"/>
        </w:rPr>
      </w:pPr>
      <w:r w:rsidRPr="00100282">
        <w:rPr>
          <w:rFonts w:asciiTheme="majorBidi" w:hAnsiTheme="majorBidi" w:cstheme="majorBidi"/>
          <w:color w:val="000000" w:themeColor="text1"/>
          <w:sz w:val="24"/>
          <w:szCs w:val="24"/>
          <w:lang w:val="id-ID"/>
        </w:rPr>
        <w:t>siyāsah</w:t>
      </w:r>
      <w:r w:rsidRPr="00100282">
        <w:rPr>
          <w:rFonts w:asciiTheme="majorBidi" w:hAnsiTheme="majorBidi" w:cstheme="majorBidi"/>
          <w:color w:val="000000" w:themeColor="text1"/>
          <w:sz w:val="24"/>
          <w:szCs w:val="24"/>
        </w:rPr>
        <w:t xml:space="preserve"> </w:t>
      </w:r>
      <w:r w:rsidRPr="00100282">
        <w:rPr>
          <w:rFonts w:asciiTheme="majorBidi" w:hAnsiTheme="majorBidi" w:cstheme="majorBidi"/>
          <w:color w:val="000000" w:themeColor="text1"/>
          <w:sz w:val="24"/>
          <w:szCs w:val="24"/>
          <w:lang w:val="id-ID"/>
        </w:rPr>
        <w:t>syar‘i</w:t>
      </w:r>
      <w:r w:rsidRPr="00100282">
        <w:rPr>
          <w:rFonts w:asciiTheme="majorBidi" w:hAnsiTheme="majorBidi" w:cstheme="majorBidi"/>
          <w:color w:val="000000" w:themeColor="text1"/>
          <w:sz w:val="24"/>
          <w:szCs w:val="24"/>
        </w:rPr>
        <w:t>y</w:t>
      </w:r>
      <w:r w:rsidRPr="00100282">
        <w:rPr>
          <w:rFonts w:asciiTheme="majorBidi" w:hAnsiTheme="majorBidi" w:cstheme="majorBidi"/>
          <w:color w:val="000000" w:themeColor="text1"/>
          <w:sz w:val="24"/>
          <w:szCs w:val="24"/>
          <w:lang w:val="id-ID"/>
        </w:rPr>
        <w:t xml:space="preserve">yah </w:t>
      </w:r>
      <w:r>
        <w:rPr>
          <w:rFonts w:asciiTheme="majorBidi" w:hAnsiTheme="majorBidi" w:cstheme="majorBidi"/>
          <w:color w:val="000000" w:themeColor="text1"/>
          <w:sz w:val="24"/>
          <w:szCs w:val="24"/>
        </w:rPr>
        <w:t>:</w:t>
      </w:r>
    </w:p>
    <w:p w:rsidR="00343B61" w:rsidRPr="00F93A49" w:rsidRDefault="00343B61" w:rsidP="00343B61">
      <w:pPr>
        <w:spacing w:after="0" w:line="240" w:lineRule="auto"/>
        <w:ind w:left="630"/>
        <w:jc w:val="both"/>
        <w:rPr>
          <w:rFonts w:asciiTheme="majorBidi" w:hAnsiTheme="majorBidi" w:cstheme="majorBidi"/>
          <w:color w:val="000000" w:themeColor="text1"/>
          <w:sz w:val="24"/>
          <w:szCs w:val="24"/>
        </w:rPr>
      </w:pPr>
      <w:r w:rsidRPr="00100282">
        <w:rPr>
          <w:rFonts w:asciiTheme="majorBidi" w:hAnsiTheme="majorBidi" w:cstheme="majorBidi"/>
          <w:color w:val="000000" w:themeColor="text1"/>
          <w:sz w:val="24"/>
          <w:szCs w:val="24"/>
          <w:lang w:val="id-ID"/>
        </w:rPr>
        <w:t>Pengelolaan masalah-masalah umum bagi pemerintah Islam yang menjamin terciptanya kemaslahatan dan terhindarnya kemudharatan dari masyarakat Islam,</w:t>
      </w:r>
      <w:r w:rsidRPr="00100282">
        <w:rPr>
          <w:rFonts w:asciiTheme="majorBidi" w:hAnsiTheme="majorBidi" w:cstheme="majorBidi"/>
          <w:color w:val="000000" w:themeColor="text1"/>
          <w:sz w:val="24"/>
          <w:szCs w:val="24"/>
        </w:rPr>
        <w:t xml:space="preserve"> </w:t>
      </w:r>
      <w:r w:rsidRPr="00100282">
        <w:rPr>
          <w:rFonts w:asciiTheme="majorBidi" w:hAnsiTheme="majorBidi" w:cstheme="majorBidi"/>
          <w:color w:val="000000" w:themeColor="text1"/>
          <w:sz w:val="24"/>
          <w:szCs w:val="24"/>
          <w:lang w:val="id-ID"/>
        </w:rPr>
        <w:t>dengan tidak bertentangan dengan ketentuan syariat Islam dan prinsip-prinsip umumnya, meskipun tidak sejalan deng</w:t>
      </w:r>
      <w:r w:rsidRPr="00100282">
        <w:rPr>
          <w:rFonts w:asciiTheme="majorBidi" w:hAnsiTheme="majorBidi" w:cstheme="majorBidi"/>
          <w:color w:val="000000" w:themeColor="text1"/>
          <w:sz w:val="24"/>
          <w:szCs w:val="24"/>
        </w:rPr>
        <w:t>a</w:t>
      </w:r>
      <w:r w:rsidRPr="00100282">
        <w:rPr>
          <w:rFonts w:asciiTheme="majorBidi" w:hAnsiTheme="majorBidi" w:cstheme="majorBidi"/>
          <w:color w:val="000000" w:themeColor="text1"/>
          <w:sz w:val="24"/>
          <w:szCs w:val="24"/>
          <w:lang w:val="id-ID"/>
        </w:rPr>
        <w:t>n pendapat para ulama mujtahid</w:t>
      </w:r>
      <w:r>
        <w:rPr>
          <w:rFonts w:asciiTheme="majorBidi" w:hAnsiTheme="majorBidi" w:cstheme="majorBidi"/>
          <w:color w:val="000000" w:themeColor="text1"/>
          <w:sz w:val="24"/>
          <w:szCs w:val="24"/>
        </w:rPr>
        <w:t>.</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T</w:t>
      </w:r>
    </w:p>
    <w:p w:rsidR="00343B61" w:rsidRPr="00611BE6" w:rsidRDefault="00343B61" w:rsidP="00343B61">
      <w:pPr>
        <w:spacing w:after="0" w:line="240" w:lineRule="auto"/>
        <w:jc w:val="both"/>
        <w:rPr>
          <w:rFonts w:asciiTheme="majorBidi" w:hAnsiTheme="majorBidi" w:cstheme="majorBidi"/>
          <w:spacing w:val="6"/>
          <w:sz w:val="24"/>
          <w:szCs w:val="24"/>
        </w:rPr>
      </w:pPr>
      <w:r w:rsidRPr="00100282">
        <w:rPr>
          <w:rFonts w:asciiTheme="majorBidi" w:hAnsiTheme="majorBidi" w:cstheme="majorBidi"/>
          <w:spacing w:val="6"/>
          <w:sz w:val="24"/>
          <w:szCs w:val="24"/>
          <w:lang w:val="id-ID"/>
        </w:rPr>
        <w:t xml:space="preserve">Ta’līli </w:t>
      </w:r>
      <w:r>
        <w:rPr>
          <w:rFonts w:asciiTheme="majorBidi" w:hAnsiTheme="majorBidi" w:cstheme="majorBidi"/>
          <w:spacing w:val="6"/>
          <w:sz w:val="24"/>
          <w:szCs w:val="24"/>
        </w:rPr>
        <w:t>:</w:t>
      </w:r>
    </w:p>
    <w:p w:rsidR="00343B61" w:rsidRPr="00100282" w:rsidRDefault="00343B61" w:rsidP="00343B61">
      <w:pPr>
        <w:spacing w:after="0" w:line="240" w:lineRule="auto"/>
        <w:ind w:left="540"/>
        <w:jc w:val="both"/>
        <w:rPr>
          <w:rFonts w:asciiTheme="majorBidi" w:hAnsiTheme="majorBidi" w:cstheme="majorBidi"/>
          <w:spacing w:val="6"/>
          <w:sz w:val="24"/>
          <w:szCs w:val="24"/>
        </w:rPr>
      </w:pPr>
      <w:r w:rsidRPr="00100282">
        <w:rPr>
          <w:rFonts w:asciiTheme="majorBidi" w:hAnsiTheme="majorBidi" w:cstheme="majorBidi"/>
          <w:spacing w:val="6"/>
          <w:sz w:val="24"/>
          <w:szCs w:val="24"/>
          <w:lang w:val="id-ID"/>
        </w:rPr>
        <w:t>adalah upaya menemukan hukum melalui penemuan ’illat dan mengaitkannya dengan hukum yang ada dalam teks;</w:t>
      </w:r>
    </w:p>
    <w:p w:rsidR="00343B61" w:rsidRPr="00100282" w:rsidRDefault="00343B61" w:rsidP="00343B61">
      <w:pPr>
        <w:spacing w:after="0" w:line="240" w:lineRule="auto"/>
        <w:jc w:val="both"/>
        <w:rPr>
          <w:rFonts w:asciiTheme="majorBidi" w:hAnsiTheme="majorBidi" w:cstheme="majorBidi"/>
          <w:color w:val="000000"/>
          <w:sz w:val="24"/>
          <w:szCs w:val="24"/>
        </w:rPr>
      </w:pPr>
      <w:r w:rsidRPr="00100282">
        <w:rPr>
          <w:rFonts w:asciiTheme="majorBidi" w:hAnsiTheme="majorBidi" w:cstheme="majorBidi"/>
          <w:color w:val="000000"/>
          <w:sz w:val="24"/>
          <w:szCs w:val="24"/>
        </w:rPr>
        <w:t>Talak</w:t>
      </w:r>
      <w:r>
        <w:rPr>
          <w:rFonts w:asciiTheme="majorBidi" w:hAnsiTheme="majorBidi" w:cstheme="majorBidi"/>
          <w:color w:val="000000"/>
          <w:sz w:val="24"/>
          <w:szCs w:val="24"/>
        </w:rPr>
        <w:t xml:space="preserve"> :</w:t>
      </w:r>
    </w:p>
    <w:p w:rsidR="00343B61" w:rsidRPr="00100282" w:rsidRDefault="00343B61" w:rsidP="00343B61">
      <w:pPr>
        <w:spacing w:after="0" w:line="240" w:lineRule="auto"/>
        <w:ind w:firstLine="540"/>
        <w:jc w:val="both"/>
        <w:rPr>
          <w:rFonts w:asciiTheme="majorBidi" w:hAnsiTheme="majorBidi" w:cstheme="majorBidi"/>
          <w:color w:val="000000"/>
          <w:sz w:val="24"/>
          <w:szCs w:val="24"/>
        </w:rPr>
      </w:pPr>
      <w:r w:rsidRPr="00100282">
        <w:rPr>
          <w:rFonts w:asciiTheme="majorBidi" w:hAnsiTheme="majorBidi" w:cstheme="majorBidi"/>
          <w:color w:val="000000"/>
          <w:sz w:val="24"/>
          <w:szCs w:val="24"/>
        </w:rPr>
        <w:t>melepaskan ikatan pernikahan saat itu atau dimasa akan datang dengan lafaz yang tertentu</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 xml:space="preserve">Takhayyur </w:t>
      </w:r>
      <w:r>
        <w:rPr>
          <w:rFonts w:asciiTheme="majorBidi" w:hAnsiTheme="majorBidi" w:cstheme="majorBidi"/>
          <w:sz w:val="24"/>
          <w:szCs w:val="24"/>
        </w:rPr>
        <w:t>:</w:t>
      </w:r>
    </w:p>
    <w:p w:rsidR="00343B61" w:rsidRPr="00100282" w:rsidRDefault="00343B61" w:rsidP="00343B61">
      <w:pPr>
        <w:spacing w:after="0" w:line="240" w:lineRule="auto"/>
        <w:ind w:firstLine="540"/>
        <w:jc w:val="both"/>
        <w:rPr>
          <w:rFonts w:asciiTheme="majorBidi" w:hAnsiTheme="majorBidi" w:cstheme="majorBidi"/>
          <w:sz w:val="24"/>
          <w:szCs w:val="24"/>
        </w:rPr>
      </w:pPr>
      <w:r w:rsidRPr="00100282">
        <w:rPr>
          <w:rFonts w:asciiTheme="majorBidi" w:hAnsiTheme="majorBidi" w:cstheme="majorBidi"/>
          <w:sz w:val="24"/>
          <w:szCs w:val="24"/>
        </w:rPr>
        <w:t>melakukan seleksi atas beragamnya pendapat ulama dalam mazhab fiqh</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Talfīq.</w:t>
      </w:r>
    </w:p>
    <w:p w:rsidR="00343B61" w:rsidRPr="00100282"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Mencampur antara dua pendapat dalam satu masalah baik sejak awal, pertengahan dan seterusnya, yang nantinya dari dua pendapat itu akan menimbulkan satu amaliyah yang tak pernah dikatakan oleh orang yang berpendapat.</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takhshīsh al-qadlā</w:t>
      </w:r>
      <w:r>
        <w:rPr>
          <w:rFonts w:asciiTheme="majorBidi" w:hAnsiTheme="majorBidi" w:cstheme="majorBidi"/>
          <w:sz w:val="24"/>
          <w:szCs w:val="24"/>
        </w:rPr>
        <w:t>’</w:t>
      </w:r>
      <w:r w:rsidRPr="00100282">
        <w:rPr>
          <w:rFonts w:asciiTheme="majorBidi" w:hAnsiTheme="majorBidi" w:cstheme="majorBidi"/>
          <w:sz w:val="24"/>
          <w:szCs w:val="24"/>
        </w:rPr>
        <w:t xml:space="preserve"> </w:t>
      </w:r>
      <w:r>
        <w:rPr>
          <w:rFonts w:asciiTheme="majorBidi" w:hAnsiTheme="majorBidi" w:cstheme="majorBidi"/>
          <w:sz w:val="24"/>
          <w:szCs w:val="24"/>
        </w:rPr>
        <w:t>:</w:t>
      </w:r>
    </w:p>
    <w:p w:rsidR="00343B61" w:rsidRPr="00100282" w:rsidRDefault="00343B61" w:rsidP="00343B61">
      <w:pPr>
        <w:spacing w:after="0" w:line="240" w:lineRule="auto"/>
        <w:ind w:firstLine="540"/>
        <w:jc w:val="both"/>
        <w:rPr>
          <w:rFonts w:asciiTheme="majorBidi" w:hAnsiTheme="majorBidi" w:cstheme="majorBidi"/>
          <w:sz w:val="24"/>
          <w:szCs w:val="24"/>
        </w:rPr>
      </w:pPr>
      <w:r w:rsidRPr="00100282">
        <w:rPr>
          <w:rFonts w:asciiTheme="majorBidi" w:hAnsiTheme="majorBidi" w:cstheme="majorBidi"/>
          <w:sz w:val="24"/>
          <w:szCs w:val="24"/>
        </w:rPr>
        <w:t xml:space="preserve">Upaya pemerintah untuk menguatkan keputusan pengadilan </w:t>
      </w:r>
    </w:p>
    <w:p w:rsidR="00343B61" w:rsidRPr="00100282" w:rsidRDefault="00343B61" w:rsidP="00343B61">
      <w:pPr>
        <w:spacing w:after="0" w:line="240" w:lineRule="auto"/>
        <w:jc w:val="both"/>
        <w:rPr>
          <w:rFonts w:asciiTheme="majorBidi" w:hAnsiTheme="majorBidi" w:cstheme="majorBidi"/>
          <w:sz w:val="24"/>
          <w:szCs w:val="24"/>
        </w:rPr>
      </w:pPr>
      <w:r w:rsidRPr="00100282">
        <w:rPr>
          <w:rFonts w:asciiTheme="majorBidi" w:hAnsiTheme="majorBidi" w:cstheme="majorBidi"/>
          <w:sz w:val="24"/>
          <w:szCs w:val="24"/>
        </w:rPr>
        <w:t>Taqlīd</w:t>
      </w:r>
      <w:r>
        <w:rPr>
          <w:rFonts w:asciiTheme="majorBidi" w:hAnsiTheme="majorBidi" w:cstheme="majorBidi"/>
          <w:sz w:val="24"/>
          <w:szCs w:val="24"/>
        </w:rPr>
        <w:t xml:space="preserve"> :</w:t>
      </w:r>
    </w:p>
    <w:p w:rsidR="00343B61" w:rsidRDefault="00343B61" w:rsidP="00343B61">
      <w:pPr>
        <w:spacing w:after="0" w:line="240" w:lineRule="auto"/>
        <w:ind w:left="540"/>
        <w:jc w:val="both"/>
        <w:rPr>
          <w:rFonts w:asciiTheme="majorBidi" w:hAnsiTheme="majorBidi" w:cstheme="majorBidi"/>
          <w:sz w:val="24"/>
          <w:szCs w:val="24"/>
        </w:rPr>
      </w:pPr>
      <w:r w:rsidRPr="00100282">
        <w:rPr>
          <w:rFonts w:asciiTheme="majorBidi" w:hAnsiTheme="majorBidi" w:cstheme="majorBidi"/>
          <w:sz w:val="24"/>
          <w:szCs w:val="24"/>
        </w:rPr>
        <w:t>Mengikuiti orang lain tanpa mengetahui dalil yang digunakan atas kesahihan pendapat tersebut, walaupun mengetahui tentang kesahihan hujjah taqlīd itu sendiri.</w:t>
      </w:r>
    </w:p>
    <w:p w:rsidR="00343B61" w:rsidRPr="00100282" w:rsidRDefault="00343B61" w:rsidP="00343B61">
      <w:pPr>
        <w:spacing w:after="0" w:line="240" w:lineRule="auto"/>
        <w:ind w:left="540"/>
        <w:jc w:val="both"/>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U</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Unifikasih (hukum)</w:t>
      </w:r>
      <w:r>
        <w:rPr>
          <w:rFonts w:asciiTheme="majorBidi" w:hAnsiTheme="majorBidi" w:cstheme="majorBidi"/>
          <w:sz w:val="24"/>
          <w:szCs w:val="24"/>
        </w:rPr>
        <w:t xml:space="preserve"> :</w:t>
      </w:r>
    </w:p>
    <w:p w:rsidR="00343B61" w:rsidRDefault="00343B61" w:rsidP="00343B61">
      <w:pPr>
        <w:spacing w:after="0" w:line="240" w:lineRule="auto"/>
        <w:ind w:left="720"/>
        <w:jc w:val="both"/>
        <w:rPr>
          <w:rFonts w:asciiTheme="majorBidi" w:hAnsiTheme="majorBidi" w:cstheme="majorBidi"/>
          <w:sz w:val="24"/>
          <w:szCs w:val="24"/>
        </w:rPr>
      </w:pPr>
      <w:r w:rsidRPr="00100282">
        <w:rPr>
          <w:rFonts w:asciiTheme="majorBidi" w:hAnsiTheme="majorBidi" w:cstheme="majorBidi"/>
          <w:sz w:val="24"/>
          <w:szCs w:val="24"/>
        </w:rPr>
        <w:t>Suatu langkah penyeragaman hukum atau penyatuan suatu hokum untuk diberlakukan bagi seluruh bangsa disuatu wilayah negara tertentu sebagai hukum nasional di Negara tersebut.</w:t>
      </w:r>
    </w:p>
    <w:p w:rsidR="00343B61" w:rsidRPr="00100282" w:rsidRDefault="00343B61" w:rsidP="00343B61">
      <w:pPr>
        <w:spacing w:after="0" w:line="240" w:lineRule="auto"/>
        <w:ind w:left="720"/>
        <w:jc w:val="both"/>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Usul fiqh</w:t>
      </w:r>
      <w:r>
        <w:rPr>
          <w:rFonts w:asciiTheme="majorBidi" w:hAnsiTheme="majorBidi" w:cstheme="majorBidi"/>
          <w:sz w:val="24"/>
          <w:szCs w:val="24"/>
        </w:rPr>
        <w:t xml:space="preserve"> :</w:t>
      </w:r>
    </w:p>
    <w:p w:rsidR="00343B61" w:rsidRPr="00100282" w:rsidRDefault="00343B61" w:rsidP="00343B61">
      <w:pPr>
        <w:spacing w:after="0" w:line="240" w:lineRule="auto"/>
        <w:ind w:left="720"/>
        <w:jc w:val="both"/>
        <w:rPr>
          <w:rFonts w:asciiTheme="majorBidi" w:hAnsiTheme="majorBidi" w:cstheme="majorBidi"/>
          <w:sz w:val="24"/>
          <w:szCs w:val="24"/>
        </w:rPr>
      </w:pPr>
      <w:r w:rsidRPr="00100282">
        <w:rPr>
          <w:rFonts w:asciiTheme="majorBidi" w:hAnsiTheme="majorBidi" w:cstheme="majorBidi"/>
          <w:sz w:val="24"/>
          <w:szCs w:val="24"/>
        </w:rPr>
        <w:t>Dasar yang dipakai oleh pikiran manusia untuk membentuk hukum yang mengatur kehidupan manusia sebagai anggota masyarakat.</w:t>
      </w:r>
    </w:p>
    <w:p w:rsidR="00343B61" w:rsidRPr="00100282" w:rsidRDefault="00343B61" w:rsidP="00343B61">
      <w:pPr>
        <w:spacing w:after="0"/>
        <w:rPr>
          <w:rFonts w:asciiTheme="majorBidi" w:hAnsiTheme="majorBidi" w:cstheme="majorBidi"/>
          <w:sz w:val="24"/>
          <w:szCs w:val="24"/>
        </w:rPr>
      </w:pP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t>W</w:t>
      </w:r>
    </w:p>
    <w:p w:rsidR="00343B61" w:rsidRPr="00100282" w:rsidRDefault="00343B61" w:rsidP="00343B61">
      <w:pPr>
        <w:spacing w:after="0" w:line="240" w:lineRule="auto"/>
        <w:rPr>
          <w:rFonts w:asciiTheme="majorBidi" w:hAnsiTheme="majorBidi" w:cstheme="majorBidi"/>
          <w:sz w:val="24"/>
          <w:szCs w:val="24"/>
        </w:rPr>
      </w:pPr>
      <w:r w:rsidRPr="00100282">
        <w:rPr>
          <w:rFonts w:asciiTheme="majorBidi" w:hAnsiTheme="majorBidi" w:cstheme="majorBidi"/>
          <w:sz w:val="24"/>
          <w:szCs w:val="24"/>
        </w:rPr>
        <w:lastRenderedPageBreak/>
        <w:t>Wahyu</w:t>
      </w:r>
      <w:r>
        <w:rPr>
          <w:rFonts w:asciiTheme="majorBidi" w:hAnsiTheme="majorBidi" w:cstheme="majorBidi"/>
          <w:sz w:val="24"/>
          <w:szCs w:val="24"/>
        </w:rPr>
        <w:t xml:space="preserve"> :</w:t>
      </w:r>
    </w:p>
    <w:p w:rsidR="00343B61" w:rsidRPr="00100282" w:rsidRDefault="00343B61" w:rsidP="00343B61">
      <w:pPr>
        <w:spacing w:after="0" w:line="240" w:lineRule="auto"/>
        <w:ind w:left="720" w:hanging="90"/>
        <w:jc w:val="both"/>
        <w:rPr>
          <w:rFonts w:asciiTheme="majorBidi" w:hAnsiTheme="majorBidi" w:cstheme="majorBidi"/>
          <w:sz w:val="24"/>
          <w:szCs w:val="24"/>
        </w:rPr>
      </w:pPr>
      <w:r w:rsidRPr="00100282">
        <w:rPr>
          <w:rFonts w:asciiTheme="majorBidi" w:hAnsiTheme="majorBidi" w:cstheme="majorBidi"/>
          <w:sz w:val="24"/>
          <w:szCs w:val="24"/>
        </w:rPr>
        <w:t xml:space="preserve"> Firman-fiman Allah swt yang diturunkan kepada nabi-Nya melalui perantara Malaikat Jibril.</w:t>
      </w:r>
    </w:p>
    <w:p w:rsidR="00343B61" w:rsidRPr="00100282" w:rsidRDefault="00343B61" w:rsidP="00343B61">
      <w:pPr>
        <w:spacing w:after="0"/>
        <w:rPr>
          <w:rFonts w:asciiTheme="majorBidi" w:hAnsiTheme="majorBidi" w:cstheme="majorBidi"/>
          <w:color w:val="000000"/>
          <w:sz w:val="24"/>
          <w:szCs w:val="24"/>
        </w:rPr>
      </w:pPr>
      <w:r w:rsidRPr="00100282">
        <w:rPr>
          <w:rFonts w:asciiTheme="majorBidi" w:hAnsiTheme="majorBidi" w:cstheme="majorBidi"/>
          <w:color w:val="000000"/>
          <w:sz w:val="24"/>
          <w:szCs w:val="24"/>
        </w:rPr>
        <w:t xml:space="preserve">Wasiat wajibah </w:t>
      </w:r>
      <w:r>
        <w:rPr>
          <w:rFonts w:asciiTheme="majorBidi" w:hAnsiTheme="majorBidi" w:cstheme="majorBidi"/>
          <w:color w:val="000000"/>
          <w:sz w:val="24"/>
          <w:szCs w:val="24"/>
        </w:rPr>
        <w:t>:</w:t>
      </w:r>
    </w:p>
    <w:p w:rsidR="00343B61" w:rsidRDefault="00343B61" w:rsidP="00343B61">
      <w:pPr>
        <w:spacing w:after="0"/>
        <w:ind w:left="630"/>
        <w:jc w:val="both"/>
        <w:rPr>
          <w:rFonts w:asciiTheme="majorBidi" w:hAnsiTheme="majorBidi" w:cstheme="majorBidi"/>
          <w:color w:val="000000"/>
          <w:sz w:val="24"/>
          <w:szCs w:val="24"/>
        </w:rPr>
      </w:pPr>
      <w:r w:rsidRPr="00100282">
        <w:rPr>
          <w:rFonts w:asciiTheme="majorBidi" w:hAnsiTheme="majorBidi" w:cstheme="majorBidi"/>
          <w:color w:val="000000"/>
          <w:sz w:val="24"/>
          <w:szCs w:val="24"/>
        </w:rPr>
        <w:t>adalah suatu wasiat yang diperuntukan kepada ahli waris atau kerabat yang tidak memperoleh bagian harta warisan dari orang yang wafat, karena adanya suatu halangan syara’. Adapun dalam rumusan KHI, wasiat wajibah berarti wasiat yang ditetapkan oleh perundang-undangan yang diberikan kepada orang tua angkat atau anak angkat yang tidak menerima wasiat dari anak angkat atau orang tua angkat yang telah meninggal dunia ( pewaris)</w:t>
      </w:r>
    </w:p>
    <w:p w:rsidR="00343B61" w:rsidRDefault="00343B61" w:rsidP="00343B61">
      <w:pPr>
        <w:spacing w:after="0"/>
        <w:ind w:left="630"/>
        <w:jc w:val="both"/>
        <w:rPr>
          <w:rFonts w:asciiTheme="majorBidi" w:hAnsiTheme="majorBidi" w:cstheme="majorBidi"/>
          <w:color w:val="000000"/>
          <w:sz w:val="24"/>
          <w:szCs w:val="24"/>
        </w:rPr>
      </w:pPr>
    </w:p>
    <w:p w:rsidR="00343B61" w:rsidRDefault="00343B61" w:rsidP="00343B61">
      <w:pPr>
        <w:jc w:val="center"/>
        <w:rPr>
          <w:b/>
          <w:bCs/>
        </w:rPr>
      </w:pPr>
    </w:p>
    <w:p w:rsidR="00343B61" w:rsidRDefault="00343B61" w:rsidP="00343B61">
      <w:pPr>
        <w:jc w:val="center"/>
        <w:rPr>
          <w:b/>
          <w:bCs/>
        </w:rPr>
      </w:pPr>
    </w:p>
    <w:p w:rsidR="00343B61" w:rsidRDefault="00343B61" w:rsidP="00343B61">
      <w:pPr>
        <w:rPr>
          <w:b/>
          <w:bCs/>
        </w:rPr>
      </w:pPr>
    </w:p>
    <w:p w:rsidR="00343B61" w:rsidRPr="008D02B5" w:rsidRDefault="00343B61" w:rsidP="00343B61">
      <w:pPr>
        <w:jc w:val="center"/>
        <w:rPr>
          <w:rFonts w:asciiTheme="majorBidi" w:hAnsiTheme="majorBidi" w:cstheme="majorBidi"/>
          <w:b/>
          <w:bCs/>
          <w:sz w:val="24"/>
          <w:szCs w:val="24"/>
        </w:rPr>
      </w:pPr>
      <w:r>
        <w:rPr>
          <w:rFonts w:asciiTheme="majorBidi" w:hAnsiTheme="majorBidi" w:cstheme="majorBidi"/>
          <w:b/>
          <w:bCs/>
          <w:noProof/>
          <w:sz w:val="24"/>
          <w:szCs w:val="24"/>
        </w:rPr>
        <w:pict>
          <v:rect id="_x0000_s1030" style="position:absolute;left:0;text-align:left;margin-left:-4.65pt;margin-top:24.1pt;width:82.65pt;height:100pt;z-index:251665408" strokecolor="white [3212]">
            <v:textbox style="mso-next-textbox:#_x0000_s1030">
              <w:txbxContent>
                <w:p w:rsidR="00343B61" w:rsidRDefault="00343B61" w:rsidP="00343B61">
                  <w:r>
                    <w:rPr>
                      <w:noProof/>
                    </w:rPr>
                    <w:drawing>
                      <wp:inline distT="0" distB="0" distL="0" distR="0">
                        <wp:extent cx="790575" cy="1463675"/>
                        <wp:effectExtent l="19050" t="0" r="9525" b="0"/>
                        <wp:docPr id="2" name="Picture 1" descr="E:\My Pictures\Paspoto fuad\SANY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Paspoto fuad\SANY0654.JPG"/>
                                <pic:cNvPicPr>
                                  <a:picLocks noChangeAspect="1" noChangeArrowheads="1"/>
                                </pic:cNvPicPr>
                              </pic:nvPicPr>
                              <pic:blipFill>
                                <a:blip r:embed="rId22"/>
                                <a:srcRect/>
                                <a:stretch>
                                  <a:fillRect/>
                                </a:stretch>
                              </pic:blipFill>
                              <pic:spPr bwMode="auto">
                                <a:xfrm>
                                  <a:off x="0" y="0"/>
                                  <a:ext cx="790575" cy="1463675"/>
                                </a:xfrm>
                                <a:prstGeom prst="rect">
                                  <a:avLst/>
                                </a:prstGeom>
                                <a:noFill/>
                                <a:ln w="9525">
                                  <a:noFill/>
                                  <a:miter lim="800000"/>
                                  <a:headEnd/>
                                  <a:tailEnd/>
                                </a:ln>
                              </pic:spPr>
                            </pic:pic>
                          </a:graphicData>
                        </a:graphic>
                      </wp:inline>
                    </w:drawing>
                  </w:r>
                </w:p>
              </w:txbxContent>
            </v:textbox>
          </v:rect>
        </w:pict>
      </w:r>
      <w:r w:rsidRPr="008D02B5">
        <w:rPr>
          <w:rFonts w:asciiTheme="majorBidi" w:hAnsiTheme="majorBidi" w:cstheme="majorBidi"/>
          <w:b/>
          <w:bCs/>
          <w:sz w:val="24"/>
          <w:szCs w:val="24"/>
        </w:rPr>
        <w:t>BIOGRAFI PENULIS</w:t>
      </w:r>
    </w:p>
    <w:p w:rsidR="00343B61" w:rsidRDefault="00343B61" w:rsidP="00343B61">
      <w:pPr>
        <w:spacing w:line="240" w:lineRule="auto"/>
        <w:ind w:left="1800" w:firstLine="540"/>
        <w:jc w:val="both"/>
        <w:rPr>
          <w:rFonts w:asciiTheme="majorBidi" w:hAnsiTheme="majorBidi" w:cstheme="majorBidi"/>
          <w:sz w:val="24"/>
          <w:szCs w:val="24"/>
        </w:rPr>
      </w:pPr>
      <w:r w:rsidRPr="007D4808">
        <w:rPr>
          <w:rFonts w:asciiTheme="majorBidi" w:hAnsiTheme="majorBidi" w:cstheme="majorBidi"/>
          <w:sz w:val="24"/>
          <w:szCs w:val="24"/>
        </w:rPr>
        <w:t>Fuad Muzakkar Siregar</w:t>
      </w:r>
      <w:r w:rsidRPr="008D02B5">
        <w:rPr>
          <w:rFonts w:asciiTheme="majorBidi" w:hAnsiTheme="majorBidi" w:cstheme="majorBidi"/>
          <w:b/>
          <w:bCs/>
          <w:sz w:val="24"/>
          <w:szCs w:val="24"/>
        </w:rPr>
        <w:t xml:space="preserve">, </w:t>
      </w:r>
      <w:r w:rsidRPr="007D4808">
        <w:rPr>
          <w:rFonts w:asciiTheme="majorBidi" w:hAnsiTheme="majorBidi" w:cstheme="majorBidi"/>
          <w:sz w:val="24"/>
          <w:szCs w:val="24"/>
        </w:rPr>
        <w:t>adalah</w:t>
      </w:r>
      <w:r>
        <w:rPr>
          <w:rFonts w:asciiTheme="majorBidi" w:hAnsiTheme="majorBidi" w:cstheme="majorBidi"/>
          <w:b/>
          <w:bCs/>
          <w:sz w:val="24"/>
          <w:szCs w:val="24"/>
        </w:rPr>
        <w:t xml:space="preserve"> </w:t>
      </w:r>
      <w:r>
        <w:rPr>
          <w:rFonts w:asciiTheme="majorBidi" w:hAnsiTheme="majorBidi" w:cstheme="majorBidi"/>
          <w:sz w:val="24"/>
          <w:szCs w:val="24"/>
        </w:rPr>
        <w:t xml:space="preserve">putra kelahiran </w:t>
      </w:r>
      <w:r w:rsidRPr="008D02B5">
        <w:rPr>
          <w:rFonts w:asciiTheme="majorBidi" w:hAnsiTheme="majorBidi" w:cstheme="majorBidi"/>
          <w:sz w:val="24"/>
          <w:szCs w:val="24"/>
        </w:rPr>
        <w:t xml:space="preserve">Tapanuli Selatan SUMUT pada tanggal 15 Oktober 1979, anak kelima dari tujuh bersaudara dari pasangan Faqih Sulaiman Siregar </w:t>
      </w:r>
      <w:r>
        <w:rPr>
          <w:rFonts w:asciiTheme="majorBidi" w:hAnsiTheme="majorBidi" w:cstheme="majorBidi"/>
          <w:sz w:val="24"/>
          <w:szCs w:val="24"/>
        </w:rPr>
        <w:t xml:space="preserve">     (</w:t>
      </w:r>
      <w:r w:rsidRPr="008D02B5">
        <w:rPr>
          <w:rFonts w:asciiTheme="majorBidi" w:hAnsiTheme="majorBidi" w:cstheme="majorBidi"/>
          <w:sz w:val="24"/>
          <w:szCs w:val="24"/>
        </w:rPr>
        <w:t xml:space="preserve">alm) dan Hj. Nur Habibah Hasibuan. Ia </w:t>
      </w:r>
      <w:r>
        <w:rPr>
          <w:rFonts w:asciiTheme="majorBidi" w:hAnsiTheme="majorBidi" w:cstheme="majorBidi"/>
          <w:sz w:val="24"/>
          <w:szCs w:val="24"/>
        </w:rPr>
        <w:t>menikah dengan drg. Herlina Abidin, SP.pros dan dikarunia empat orang anak, yakni Aisyah Azzahra Siregar, Ahmad Musthofa Akhyar Siregar, Abd Rahman Al-Mahbub Siregar dan Muhammad ‘Abdan Syakura Siregar.</w:t>
      </w:r>
    </w:p>
    <w:p w:rsidR="00343B61" w:rsidRPr="008D02B5" w:rsidRDefault="00343B61" w:rsidP="00343B61">
      <w:pPr>
        <w:spacing w:line="240" w:lineRule="auto"/>
        <w:ind w:left="1800" w:firstLine="540"/>
        <w:jc w:val="both"/>
        <w:rPr>
          <w:rFonts w:asciiTheme="majorBidi" w:hAnsiTheme="majorBidi" w:cstheme="majorBidi"/>
          <w:sz w:val="24"/>
          <w:szCs w:val="24"/>
        </w:rPr>
      </w:pPr>
    </w:p>
    <w:p w:rsidR="00343B61" w:rsidRDefault="00343B61" w:rsidP="00343B61">
      <w:pPr>
        <w:spacing w:line="360" w:lineRule="auto"/>
        <w:jc w:val="center"/>
        <w:rPr>
          <w:rFonts w:asciiTheme="majorBidi" w:hAnsiTheme="majorBidi" w:cstheme="majorBidi"/>
          <w:b/>
          <w:bCs/>
          <w:sz w:val="24"/>
          <w:szCs w:val="24"/>
        </w:rPr>
      </w:pPr>
      <w:r w:rsidRPr="007D4808">
        <w:rPr>
          <w:rFonts w:asciiTheme="majorBidi" w:hAnsiTheme="majorBidi" w:cstheme="majorBidi"/>
          <w:b/>
          <w:bCs/>
          <w:sz w:val="24"/>
          <w:szCs w:val="24"/>
        </w:rPr>
        <w:t>PENDIDIKAN FORMAL :</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sidRPr="0066193A">
        <w:rPr>
          <w:rFonts w:asciiTheme="majorBidi" w:hAnsiTheme="majorBidi" w:cstheme="majorBidi"/>
          <w:sz w:val="24"/>
          <w:szCs w:val="24"/>
        </w:rPr>
        <w:t>SD Negeri</w:t>
      </w:r>
      <w:r>
        <w:rPr>
          <w:rFonts w:asciiTheme="majorBidi" w:hAnsiTheme="majorBidi" w:cstheme="majorBidi"/>
          <w:sz w:val="24"/>
          <w:szCs w:val="24"/>
        </w:rPr>
        <w:t xml:space="preserve"> 142963 Rotan Sogo Tap-Sel, Sumatera Utara, tamat 1990</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MI Nahdlatul Ulama Parmainan, Tap-Sel, Sumatera Utara, tamat 1990</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MTS PP Musthofawiyah, Purba Baru, Tap-Sel, Sumatera Utara, tamat  1994</w:t>
      </w:r>
    </w:p>
    <w:p w:rsidR="00343B61" w:rsidRPr="0073748D"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MA PP Musthofawiyah, Purba Baru, Tap-Sel, Sumatera Utara, tamat  2000</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Strata Satu (S1) Institut Dakwah Islam Libya Cabang Suriah, tamat 2005</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Strata Dua (S2) Sekolah Tinggi Agama Islam Negeri ( STAIN) Bengkulu, tamat 2011</w:t>
      </w:r>
    </w:p>
    <w:p w:rsidR="00343B61" w:rsidRDefault="00343B61" w:rsidP="002C0A33">
      <w:pPr>
        <w:pStyle w:val="ListParagraph"/>
        <w:numPr>
          <w:ilvl w:val="0"/>
          <w:numId w:val="69"/>
        </w:numPr>
        <w:ind w:left="360" w:hanging="270"/>
        <w:jc w:val="both"/>
        <w:rPr>
          <w:rFonts w:asciiTheme="majorBidi" w:hAnsiTheme="majorBidi" w:cstheme="majorBidi"/>
          <w:sz w:val="24"/>
          <w:szCs w:val="24"/>
        </w:rPr>
      </w:pPr>
      <w:r>
        <w:rPr>
          <w:rFonts w:asciiTheme="majorBidi" w:hAnsiTheme="majorBidi" w:cstheme="majorBidi"/>
          <w:sz w:val="24"/>
          <w:szCs w:val="24"/>
        </w:rPr>
        <w:t>Strata Dua (S3) Universitas Islam Negeri (UIN) Raden Intan Lampung, tamat 2018</w:t>
      </w:r>
    </w:p>
    <w:p w:rsidR="00343B61" w:rsidRPr="0073748D" w:rsidRDefault="00343B61" w:rsidP="00343B61">
      <w:pPr>
        <w:pStyle w:val="ListParagraph"/>
        <w:ind w:left="360"/>
        <w:jc w:val="both"/>
        <w:rPr>
          <w:rFonts w:asciiTheme="majorBidi" w:hAnsiTheme="majorBidi" w:cstheme="majorBidi"/>
          <w:sz w:val="24"/>
          <w:szCs w:val="24"/>
        </w:rPr>
      </w:pPr>
    </w:p>
    <w:p w:rsidR="00343B61" w:rsidRDefault="00343B61" w:rsidP="00343B61">
      <w:pPr>
        <w:pStyle w:val="ListParagraph"/>
        <w:spacing w:line="360" w:lineRule="auto"/>
        <w:jc w:val="center"/>
        <w:rPr>
          <w:rFonts w:asciiTheme="majorBidi" w:hAnsiTheme="majorBidi" w:cstheme="majorBidi"/>
          <w:sz w:val="24"/>
          <w:szCs w:val="24"/>
        </w:rPr>
      </w:pPr>
      <w:r w:rsidRPr="0073748D">
        <w:rPr>
          <w:rFonts w:asciiTheme="majorBidi" w:hAnsiTheme="majorBidi" w:cstheme="majorBidi"/>
          <w:sz w:val="24"/>
          <w:szCs w:val="24"/>
        </w:rPr>
        <w:t>PENDIDIKAN NON-FORMAL :</w:t>
      </w:r>
    </w:p>
    <w:p w:rsidR="00343B61" w:rsidRDefault="00343B61" w:rsidP="00343B61">
      <w:pPr>
        <w:pStyle w:val="ListParagraph"/>
        <w:spacing w:line="360" w:lineRule="auto"/>
        <w:jc w:val="center"/>
        <w:rPr>
          <w:rFonts w:asciiTheme="majorBidi" w:hAnsiTheme="majorBidi" w:cstheme="majorBidi"/>
          <w:sz w:val="24"/>
          <w:szCs w:val="24"/>
        </w:rPr>
      </w:pPr>
    </w:p>
    <w:p w:rsidR="00343B61" w:rsidRDefault="00343B61" w:rsidP="002C0A33">
      <w:pPr>
        <w:pStyle w:val="ListParagraph"/>
        <w:numPr>
          <w:ilvl w:val="0"/>
          <w:numId w:val="70"/>
        </w:numPr>
        <w:ind w:left="450" w:hanging="270"/>
        <w:jc w:val="both"/>
        <w:rPr>
          <w:rFonts w:asciiTheme="majorBidi" w:hAnsiTheme="majorBidi" w:cstheme="majorBidi"/>
          <w:sz w:val="24"/>
          <w:szCs w:val="24"/>
        </w:rPr>
      </w:pPr>
      <w:r>
        <w:rPr>
          <w:rFonts w:asciiTheme="majorBidi" w:hAnsiTheme="majorBidi" w:cstheme="majorBidi"/>
          <w:sz w:val="24"/>
          <w:szCs w:val="24"/>
        </w:rPr>
        <w:lastRenderedPageBreak/>
        <w:t>Ma’had Dar al-Arqam bin Arqan litahfizh Al-Quran Al-Karim, Mekkah Al-Mukarromah, 1998</w:t>
      </w:r>
    </w:p>
    <w:p w:rsidR="00343B61" w:rsidRPr="00A619F0" w:rsidRDefault="00343B61" w:rsidP="002C0A33">
      <w:pPr>
        <w:pStyle w:val="ListParagraph"/>
        <w:numPr>
          <w:ilvl w:val="0"/>
          <w:numId w:val="70"/>
        </w:numPr>
        <w:ind w:left="450" w:hanging="270"/>
        <w:jc w:val="both"/>
        <w:rPr>
          <w:rFonts w:asciiTheme="majorBidi" w:hAnsiTheme="majorBidi" w:cstheme="majorBidi"/>
          <w:sz w:val="24"/>
          <w:szCs w:val="24"/>
        </w:rPr>
      </w:pPr>
      <w:r>
        <w:rPr>
          <w:rFonts w:asciiTheme="majorBidi" w:hAnsiTheme="majorBidi" w:cstheme="majorBidi"/>
          <w:sz w:val="24"/>
          <w:szCs w:val="24"/>
        </w:rPr>
        <w:t>Pesantren Tahfizh ‘Abd Rahman bin ‘Auf Medan, SUMUT tamat 2000</w:t>
      </w:r>
    </w:p>
    <w:p w:rsidR="00343B61" w:rsidRPr="00A619F0" w:rsidRDefault="00343B61" w:rsidP="002C0A33">
      <w:pPr>
        <w:pStyle w:val="ListParagraph"/>
        <w:numPr>
          <w:ilvl w:val="0"/>
          <w:numId w:val="70"/>
        </w:numPr>
        <w:ind w:left="450" w:hanging="270"/>
        <w:jc w:val="both"/>
        <w:rPr>
          <w:rFonts w:asciiTheme="majorBidi" w:hAnsiTheme="majorBidi" w:cstheme="majorBidi"/>
          <w:sz w:val="24"/>
          <w:szCs w:val="24"/>
        </w:rPr>
      </w:pPr>
      <w:r>
        <w:rPr>
          <w:rFonts w:ascii="Z@RB1D9.tmp" w:hAnsi="Z@RB1D9.tmp" w:cs="Z@RB1D9.tmp"/>
          <w:sz w:val="23"/>
          <w:szCs w:val="23"/>
        </w:rPr>
        <w:t>Qism al-‘Idad al-Lughowi</w:t>
      </w:r>
      <w:r w:rsidRPr="00A619F0">
        <w:rPr>
          <w:rFonts w:ascii="Z@RB1D9.tmp" w:hAnsi="Z@RB1D9.tmp" w:cs="Z@RB1D9.tmp"/>
          <w:sz w:val="23"/>
          <w:szCs w:val="23"/>
        </w:rPr>
        <w:t xml:space="preserve"> LIPIA Jakarta, </w:t>
      </w:r>
      <w:r>
        <w:rPr>
          <w:rFonts w:ascii="Z@RB1D9.tmp" w:hAnsi="Z@RB1D9.tmp" w:cs="Z@RB1D9.tmp"/>
          <w:sz w:val="23"/>
          <w:szCs w:val="23"/>
        </w:rPr>
        <w:t>2001</w:t>
      </w:r>
    </w:p>
    <w:p w:rsidR="00343B61" w:rsidRDefault="00343B61" w:rsidP="002C0A33">
      <w:pPr>
        <w:pStyle w:val="ListParagraph"/>
        <w:numPr>
          <w:ilvl w:val="0"/>
          <w:numId w:val="70"/>
        </w:numPr>
        <w:ind w:left="450" w:hanging="270"/>
        <w:jc w:val="both"/>
        <w:rPr>
          <w:rFonts w:asciiTheme="majorBidi" w:hAnsiTheme="majorBidi" w:cstheme="majorBidi"/>
          <w:sz w:val="24"/>
          <w:szCs w:val="24"/>
        </w:rPr>
      </w:pPr>
      <w:r>
        <w:rPr>
          <w:rFonts w:ascii="Z@RB1D9.tmp" w:hAnsi="Z@RB1D9.tmp" w:cs="Z@RB1D9.tmp"/>
          <w:sz w:val="23"/>
          <w:szCs w:val="23"/>
        </w:rPr>
        <w:t xml:space="preserve">Ma’had Asad </w:t>
      </w:r>
      <w:r>
        <w:rPr>
          <w:rFonts w:asciiTheme="majorBidi" w:hAnsiTheme="majorBidi" w:cstheme="majorBidi"/>
          <w:sz w:val="24"/>
          <w:szCs w:val="24"/>
        </w:rPr>
        <w:t>litahfizh Al-Quran Al-Karim Damascus, Suriah, 2004</w:t>
      </w:r>
    </w:p>
    <w:p w:rsidR="00343B61" w:rsidRDefault="00343B61" w:rsidP="002C0A33">
      <w:pPr>
        <w:pStyle w:val="ListParagraph"/>
        <w:numPr>
          <w:ilvl w:val="0"/>
          <w:numId w:val="70"/>
        </w:numPr>
        <w:ind w:left="450" w:hanging="270"/>
        <w:jc w:val="both"/>
        <w:rPr>
          <w:rFonts w:asciiTheme="majorBidi" w:hAnsiTheme="majorBidi" w:cstheme="majorBidi"/>
          <w:sz w:val="24"/>
          <w:szCs w:val="24"/>
        </w:rPr>
      </w:pPr>
      <w:r>
        <w:rPr>
          <w:rFonts w:asciiTheme="majorBidi" w:hAnsiTheme="majorBidi" w:cstheme="majorBidi"/>
          <w:sz w:val="24"/>
          <w:szCs w:val="24"/>
        </w:rPr>
        <w:t>Daurah Imam Wal-Khuthaba Damascus Suriah, 2006</w:t>
      </w:r>
    </w:p>
    <w:p w:rsidR="00343B61" w:rsidRDefault="00343B61" w:rsidP="002C0A33">
      <w:pPr>
        <w:pStyle w:val="ListParagraph"/>
        <w:numPr>
          <w:ilvl w:val="0"/>
          <w:numId w:val="70"/>
        </w:numPr>
        <w:ind w:left="450" w:hanging="270"/>
        <w:jc w:val="both"/>
        <w:rPr>
          <w:rFonts w:asciiTheme="majorBidi" w:hAnsiTheme="majorBidi" w:cstheme="majorBidi"/>
          <w:sz w:val="24"/>
          <w:szCs w:val="24"/>
        </w:rPr>
      </w:pPr>
      <w:r>
        <w:rPr>
          <w:rFonts w:asciiTheme="majorBidi" w:hAnsiTheme="majorBidi" w:cstheme="majorBidi"/>
          <w:sz w:val="24"/>
          <w:szCs w:val="24"/>
        </w:rPr>
        <w:t>Mengikuti Halaqah di Masjidil Haram Mekkah Al-Mukarromah 1996-1998</w:t>
      </w:r>
    </w:p>
    <w:p w:rsidR="00343B61" w:rsidRDefault="00343B61" w:rsidP="002C0A33">
      <w:pPr>
        <w:pStyle w:val="ListParagraph"/>
        <w:numPr>
          <w:ilvl w:val="0"/>
          <w:numId w:val="70"/>
        </w:numPr>
        <w:ind w:left="450" w:hanging="270"/>
        <w:jc w:val="both"/>
        <w:rPr>
          <w:rFonts w:asciiTheme="majorBidi" w:hAnsiTheme="majorBidi" w:cstheme="majorBidi"/>
          <w:sz w:val="24"/>
          <w:szCs w:val="24"/>
        </w:rPr>
      </w:pPr>
      <w:r>
        <w:rPr>
          <w:rFonts w:asciiTheme="majorBidi" w:hAnsiTheme="majorBidi" w:cstheme="majorBidi"/>
          <w:sz w:val="24"/>
          <w:szCs w:val="24"/>
        </w:rPr>
        <w:t>Memiliki sejumlah sanad ilmiyah, seperti sanad Al-Qur’an, sanad Mukhtashar Sehih Bukhari / Mukhtashar Abi Jamarah, sanad Matan Arbain Al-Nawawiyah, dan Sanad Thariqah Naqasyabandiyah.</w:t>
      </w:r>
    </w:p>
    <w:p w:rsidR="00343B61" w:rsidRPr="006B7DEF" w:rsidRDefault="00343B61" w:rsidP="00343B61">
      <w:pPr>
        <w:pStyle w:val="ListParagraph"/>
        <w:ind w:left="450"/>
        <w:jc w:val="both"/>
        <w:rPr>
          <w:rFonts w:asciiTheme="majorBidi" w:hAnsiTheme="majorBidi" w:cstheme="majorBidi"/>
          <w:sz w:val="24"/>
          <w:szCs w:val="24"/>
        </w:rPr>
      </w:pPr>
    </w:p>
    <w:p w:rsidR="00343B61" w:rsidRDefault="00343B61" w:rsidP="00343B61">
      <w:pPr>
        <w:spacing w:line="360" w:lineRule="auto"/>
        <w:jc w:val="center"/>
        <w:rPr>
          <w:rFonts w:asciiTheme="majorBidi" w:hAnsiTheme="majorBidi" w:cstheme="majorBidi"/>
          <w:b/>
          <w:bCs/>
          <w:sz w:val="24"/>
          <w:szCs w:val="24"/>
        </w:rPr>
      </w:pPr>
      <w:r w:rsidRPr="008D02B5">
        <w:rPr>
          <w:rFonts w:asciiTheme="majorBidi" w:hAnsiTheme="majorBidi" w:cstheme="majorBidi"/>
          <w:b/>
          <w:bCs/>
          <w:sz w:val="24"/>
          <w:szCs w:val="24"/>
        </w:rPr>
        <w:t>PENGALAMAN ORGANISASI :</w:t>
      </w:r>
    </w:p>
    <w:p w:rsidR="00343B61" w:rsidRPr="006B7DEF" w:rsidRDefault="00343B61" w:rsidP="002C0A33">
      <w:pPr>
        <w:pStyle w:val="ListParagraph"/>
        <w:numPr>
          <w:ilvl w:val="0"/>
          <w:numId w:val="71"/>
        </w:numPr>
        <w:jc w:val="both"/>
        <w:rPr>
          <w:rFonts w:asciiTheme="majorBidi" w:hAnsiTheme="majorBidi" w:cstheme="majorBidi"/>
          <w:b/>
          <w:bCs/>
          <w:sz w:val="24"/>
          <w:szCs w:val="24"/>
        </w:rPr>
      </w:pPr>
      <w:r w:rsidRPr="006B7DEF">
        <w:rPr>
          <w:rFonts w:asciiTheme="majorBidi" w:hAnsiTheme="majorBidi" w:cstheme="majorBidi"/>
          <w:sz w:val="24"/>
          <w:szCs w:val="24"/>
          <w:lang w:val="it-IT"/>
        </w:rPr>
        <w:t xml:space="preserve">PPI (Persatuan Pelajar Indonesia) Damscus Syria. </w:t>
      </w:r>
      <w:r>
        <w:rPr>
          <w:rFonts w:asciiTheme="majorBidi" w:hAnsiTheme="majorBidi" w:cstheme="majorBidi"/>
          <w:sz w:val="24"/>
          <w:szCs w:val="24"/>
          <w:lang w:val="it-IT"/>
        </w:rPr>
        <w:t>2001-2007</w:t>
      </w:r>
    </w:p>
    <w:p w:rsidR="00343B61" w:rsidRPr="006B7DEF" w:rsidRDefault="00343B61" w:rsidP="002C0A33">
      <w:pPr>
        <w:pStyle w:val="ListParagraph"/>
        <w:numPr>
          <w:ilvl w:val="0"/>
          <w:numId w:val="71"/>
        </w:numPr>
        <w:jc w:val="both"/>
        <w:rPr>
          <w:rFonts w:asciiTheme="majorBidi" w:hAnsiTheme="majorBidi" w:cstheme="majorBidi"/>
          <w:b/>
          <w:bCs/>
          <w:sz w:val="24"/>
          <w:szCs w:val="24"/>
        </w:rPr>
      </w:pPr>
      <w:r w:rsidRPr="006B7DEF">
        <w:rPr>
          <w:rFonts w:asciiTheme="majorBidi" w:hAnsiTheme="majorBidi" w:cstheme="majorBidi"/>
          <w:sz w:val="24"/>
          <w:szCs w:val="24"/>
          <w:lang w:val="it-IT"/>
        </w:rPr>
        <w:t xml:space="preserve">Anggota Komisi Fatwa MUI Kota Bengkulu periode 2005-2010. </w:t>
      </w:r>
    </w:p>
    <w:p w:rsidR="00343B61" w:rsidRPr="006B7DEF" w:rsidRDefault="00343B61" w:rsidP="002C0A33">
      <w:pPr>
        <w:pStyle w:val="ListParagraph"/>
        <w:numPr>
          <w:ilvl w:val="0"/>
          <w:numId w:val="71"/>
        </w:numPr>
        <w:jc w:val="both"/>
        <w:rPr>
          <w:rFonts w:asciiTheme="majorBidi" w:hAnsiTheme="majorBidi" w:cstheme="majorBidi"/>
          <w:b/>
          <w:bCs/>
          <w:sz w:val="24"/>
          <w:szCs w:val="24"/>
        </w:rPr>
      </w:pPr>
      <w:r w:rsidRPr="006B7DEF">
        <w:rPr>
          <w:rFonts w:asciiTheme="majorBidi" w:hAnsiTheme="majorBidi" w:cstheme="majorBidi"/>
          <w:sz w:val="24"/>
          <w:szCs w:val="24"/>
          <w:lang w:val="it-IT"/>
        </w:rPr>
        <w:t>Anggota Komisi Fatwa</w:t>
      </w:r>
      <w:r>
        <w:rPr>
          <w:rFonts w:asciiTheme="majorBidi" w:hAnsiTheme="majorBidi" w:cstheme="majorBidi"/>
          <w:sz w:val="24"/>
          <w:szCs w:val="24"/>
          <w:lang w:val="it-IT"/>
        </w:rPr>
        <w:t xml:space="preserve"> MUI Provinsi Bengkulu periode </w:t>
      </w:r>
      <w:r w:rsidRPr="006B7DEF">
        <w:rPr>
          <w:rFonts w:asciiTheme="majorBidi" w:hAnsiTheme="majorBidi" w:cstheme="majorBidi"/>
          <w:sz w:val="24"/>
          <w:szCs w:val="24"/>
          <w:lang w:val="it-IT"/>
        </w:rPr>
        <w:t>2010</w:t>
      </w:r>
      <w:r>
        <w:rPr>
          <w:rFonts w:asciiTheme="majorBidi" w:hAnsiTheme="majorBidi" w:cstheme="majorBidi"/>
          <w:sz w:val="24"/>
          <w:szCs w:val="24"/>
          <w:lang w:val="it-IT"/>
        </w:rPr>
        <w:t>- Sekarang</w:t>
      </w:r>
    </w:p>
    <w:p w:rsidR="00343B61" w:rsidRPr="006B7DEF" w:rsidRDefault="00343B61" w:rsidP="002C0A33">
      <w:pPr>
        <w:pStyle w:val="ListParagraph"/>
        <w:numPr>
          <w:ilvl w:val="0"/>
          <w:numId w:val="71"/>
        </w:numPr>
        <w:jc w:val="both"/>
        <w:rPr>
          <w:rFonts w:asciiTheme="majorBidi" w:hAnsiTheme="majorBidi" w:cstheme="majorBidi"/>
          <w:b/>
          <w:bCs/>
          <w:sz w:val="24"/>
          <w:szCs w:val="24"/>
        </w:rPr>
      </w:pPr>
      <w:r>
        <w:rPr>
          <w:rFonts w:asciiTheme="majorBidi" w:hAnsiTheme="majorBidi" w:cstheme="majorBidi"/>
          <w:sz w:val="24"/>
          <w:szCs w:val="24"/>
          <w:lang w:val="it-IT"/>
        </w:rPr>
        <w:t>IPIM (Ikatan Persatuan Imam Masjid ) Seluruh Indonesia 2011-Sekarang</w:t>
      </w:r>
    </w:p>
    <w:p w:rsidR="00343B61" w:rsidRPr="00F94BE6" w:rsidRDefault="00343B61" w:rsidP="002C0A33">
      <w:pPr>
        <w:pStyle w:val="ListParagraph"/>
        <w:numPr>
          <w:ilvl w:val="0"/>
          <w:numId w:val="71"/>
        </w:numPr>
        <w:jc w:val="both"/>
        <w:rPr>
          <w:rFonts w:asciiTheme="majorBidi" w:hAnsiTheme="majorBidi" w:cstheme="majorBidi"/>
          <w:b/>
          <w:bCs/>
          <w:sz w:val="24"/>
          <w:szCs w:val="24"/>
        </w:rPr>
      </w:pPr>
      <w:r w:rsidRPr="00F94BE6">
        <w:rPr>
          <w:rFonts w:asciiTheme="majorBidi" w:hAnsiTheme="majorBidi" w:cstheme="majorBidi"/>
          <w:sz w:val="24"/>
          <w:szCs w:val="24"/>
          <w:lang w:val="it-IT"/>
        </w:rPr>
        <w:t>Ketua Jam’iyatul Qurra</w:t>
      </w:r>
      <w:r>
        <w:rPr>
          <w:rFonts w:asciiTheme="majorBidi" w:hAnsiTheme="majorBidi" w:cstheme="majorBidi"/>
          <w:sz w:val="24"/>
          <w:szCs w:val="24"/>
          <w:lang w:val="it-IT"/>
        </w:rPr>
        <w:t>’</w:t>
      </w:r>
      <w:r w:rsidRPr="00F94BE6">
        <w:rPr>
          <w:rFonts w:asciiTheme="majorBidi" w:hAnsiTheme="majorBidi" w:cstheme="majorBidi"/>
          <w:sz w:val="24"/>
          <w:szCs w:val="24"/>
          <w:lang w:val="it-IT"/>
        </w:rPr>
        <w:t xml:space="preserve"> Wal huffazh </w:t>
      </w:r>
      <w:r>
        <w:rPr>
          <w:rFonts w:asciiTheme="majorBidi" w:hAnsiTheme="majorBidi" w:cstheme="majorBidi"/>
          <w:sz w:val="24"/>
          <w:szCs w:val="24"/>
          <w:lang w:val="it-IT"/>
        </w:rPr>
        <w:t>Nahdlotul Ulama Wilayah Provinsi Bengkulu, 2012- Sekarang.</w:t>
      </w:r>
    </w:p>
    <w:p w:rsidR="00343B61" w:rsidRPr="00561160" w:rsidRDefault="00343B61" w:rsidP="002C0A33">
      <w:pPr>
        <w:pStyle w:val="ListParagraph"/>
        <w:numPr>
          <w:ilvl w:val="0"/>
          <w:numId w:val="71"/>
        </w:numPr>
        <w:jc w:val="both"/>
        <w:rPr>
          <w:rFonts w:asciiTheme="majorBidi" w:hAnsiTheme="majorBidi" w:cstheme="majorBidi"/>
          <w:b/>
          <w:bCs/>
          <w:sz w:val="24"/>
          <w:szCs w:val="24"/>
        </w:rPr>
      </w:pPr>
      <w:r>
        <w:rPr>
          <w:rFonts w:asciiTheme="majorBidi" w:hAnsiTheme="majorBidi" w:cstheme="majorBidi"/>
          <w:sz w:val="24"/>
          <w:szCs w:val="24"/>
          <w:lang w:val="it-IT"/>
        </w:rPr>
        <w:t>Anggota LPTQ (lembaga Pengembangan Tilawah Al-Quran) Provinsi Bengkulu 2010-Sekarang.</w:t>
      </w:r>
    </w:p>
    <w:p w:rsidR="00343B61" w:rsidRPr="00A77F49" w:rsidRDefault="00343B61" w:rsidP="002C0A33">
      <w:pPr>
        <w:pStyle w:val="ListParagraph"/>
        <w:numPr>
          <w:ilvl w:val="0"/>
          <w:numId w:val="71"/>
        </w:numPr>
        <w:jc w:val="both"/>
        <w:rPr>
          <w:rFonts w:asciiTheme="majorBidi" w:hAnsiTheme="majorBidi" w:cstheme="majorBidi"/>
          <w:b/>
          <w:bCs/>
          <w:sz w:val="24"/>
          <w:szCs w:val="24"/>
        </w:rPr>
      </w:pPr>
      <w:r>
        <w:rPr>
          <w:rFonts w:asciiTheme="majorBidi" w:hAnsiTheme="majorBidi" w:cstheme="majorBidi"/>
          <w:sz w:val="24"/>
          <w:szCs w:val="24"/>
          <w:lang w:val="it-IT"/>
        </w:rPr>
        <w:t>Devisi Pembinaan Unit TKQ/TPQ/TQA pada BKPAKSI ( Badan Koordinasi Pendidikan Al-Qur’an &amp; Keluarga Sakinah Indonesia. 2015-sekarang.</w:t>
      </w:r>
    </w:p>
    <w:p w:rsidR="00343B61" w:rsidRPr="000A1BFE" w:rsidRDefault="00343B61" w:rsidP="002C0A33">
      <w:pPr>
        <w:pStyle w:val="ListParagraph"/>
        <w:numPr>
          <w:ilvl w:val="0"/>
          <w:numId w:val="71"/>
        </w:numPr>
        <w:jc w:val="both"/>
        <w:rPr>
          <w:rFonts w:asciiTheme="majorBidi" w:hAnsiTheme="majorBidi" w:cstheme="majorBidi"/>
          <w:b/>
          <w:bCs/>
          <w:sz w:val="24"/>
          <w:szCs w:val="24"/>
        </w:rPr>
      </w:pPr>
      <w:r>
        <w:rPr>
          <w:rFonts w:asciiTheme="majorBidi" w:hAnsiTheme="majorBidi" w:cstheme="majorBidi"/>
          <w:sz w:val="24"/>
          <w:szCs w:val="24"/>
          <w:lang w:val="it-IT"/>
        </w:rPr>
        <w:t>Aktip di IKBI ( ikatan Keluarga Batak Islam) Provinsi Bengkulu 2010- sekarang.</w:t>
      </w:r>
    </w:p>
    <w:p w:rsidR="00343B61" w:rsidRPr="000A1BFE" w:rsidRDefault="00343B61" w:rsidP="00343B61">
      <w:pPr>
        <w:pStyle w:val="ListParagraph"/>
        <w:jc w:val="both"/>
        <w:rPr>
          <w:rFonts w:asciiTheme="majorBidi" w:hAnsiTheme="majorBidi" w:cstheme="majorBidi"/>
          <w:b/>
          <w:bCs/>
          <w:sz w:val="24"/>
          <w:szCs w:val="24"/>
        </w:rPr>
      </w:pPr>
    </w:p>
    <w:p w:rsidR="00343B61" w:rsidRDefault="00343B61" w:rsidP="00343B61">
      <w:pPr>
        <w:pStyle w:val="ListParagraph"/>
        <w:jc w:val="center"/>
        <w:rPr>
          <w:rFonts w:asciiTheme="majorBidi" w:hAnsiTheme="majorBidi" w:cstheme="majorBidi"/>
          <w:b/>
          <w:bCs/>
          <w:sz w:val="24"/>
          <w:szCs w:val="24"/>
        </w:rPr>
      </w:pPr>
      <w:r w:rsidRPr="008D02B5">
        <w:rPr>
          <w:rFonts w:asciiTheme="majorBidi" w:hAnsiTheme="majorBidi" w:cstheme="majorBidi"/>
          <w:b/>
          <w:bCs/>
          <w:sz w:val="24"/>
          <w:szCs w:val="24"/>
        </w:rPr>
        <w:t>PENGA</w:t>
      </w:r>
      <w:r>
        <w:rPr>
          <w:rFonts w:asciiTheme="majorBidi" w:hAnsiTheme="majorBidi" w:cstheme="majorBidi"/>
          <w:b/>
          <w:bCs/>
          <w:sz w:val="24"/>
          <w:szCs w:val="24"/>
        </w:rPr>
        <w:t>BDIAN</w:t>
      </w:r>
    </w:p>
    <w:p w:rsidR="00343B61" w:rsidRDefault="00343B61" w:rsidP="00343B61">
      <w:pPr>
        <w:pStyle w:val="ListParagraph"/>
        <w:jc w:val="center"/>
        <w:rPr>
          <w:rFonts w:asciiTheme="majorBidi" w:hAnsiTheme="majorBidi" w:cstheme="majorBidi"/>
          <w:b/>
          <w:bCs/>
          <w:sz w:val="24"/>
          <w:szCs w:val="24"/>
        </w:rPr>
      </w:pP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lang w:val="it-IT"/>
        </w:rPr>
        <w:t xml:space="preserve">Guru di </w:t>
      </w:r>
      <w:r>
        <w:rPr>
          <w:rFonts w:asciiTheme="majorBidi" w:hAnsiTheme="majorBidi" w:cstheme="majorBidi"/>
          <w:sz w:val="24"/>
          <w:szCs w:val="24"/>
        </w:rPr>
        <w:t>Madrasah Ibtidaiyah Nahdlatul Ulama Parmainan, Tap-Sel, Sumatera Utara, 2000</w:t>
      </w:r>
    </w:p>
    <w:p w:rsidR="00343B61" w:rsidRPr="00F94BE6"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 xml:space="preserve">Mengajar Tahfizh </w:t>
      </w:r>
      <w:r w:rsidRPr="00F94BE6">
        <w:rPr>
          <w:rFonts w:asciiTheme="majorBidi" w:hAnsiTheme="majorBidi" w:cstheme="majorBidi"/>
          <w:sz w:val="24"/>
          <w:szCs w:val="24"/>
        </w:rPr>
        <w:t xml:space="preserve">di </w:t>
      </w:r>
      <w:r w:rsidRPr="00F94BE6">
        <w:rPr>
          <w:rFonts w:ascii="Z@RB1D9.tmp" w:hAnsi="Z@RB1D9.tmp" w:cs="Z@RB1D9.tmp"/>
          <w:sz w:val="23"/>
          <w:szCs w:val="23"/>
        </w:rPr>
        <w:t xml:space="preserve">Ma’had Asad </w:t>
      </w:r>
      <w:r w:rsidRPr="00F94BE6">
        <w:rPr>
          <w:rFonts w:asciiTheme="majorBidi" w:hAnsiTheme="majorBidi" w:cstheme="majorBidi"/>
          <w:sz w:val="24"/>
          <w:szCs w:val="24"/>
        </w:rPr>
        <w:t xml:space="preserve">litahfizh Al-Quran Al-Karim Damascus, Suriah, </w:t>
      </w:r>
      <w:r>
        <w:rPr>
          <w:rFonts w:asciiTheme="majorBidi" w:hAnsiTheme="majorBidi" w:cstheme="majorBidi"/>
          <w:sz w:val="24"/>
          <w:szCs w:val="24"/>
        </w:rPr>
        <w:t>setiap musim panas 2003-2006</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Pengajar di PP Al-Khair, Menanti, Tap-Sel, Sumatera Utara, 2007</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Pembina Tahfizh al-Quran di LPTQ Provinsi Bengkulu 2010- sekarang</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Guru Bahasa Arab di MAN 1 Model Bengkulu 2009</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Dosan LB di Fakultas Ushuludin IAIN Bengkulu 2009-sekarang</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t>Koordinator Tahfizh Al-Quran di Yayasan Al-Fida’ Bengkulu 2009 –sekarang</w:t>
      </w:r>
    </w:p>
    <w:p w:rsidR="00343B61" w:rsidRDefault="00343B61" w:rsidP="002C0A33">
      <w:pPr>
        <w:pStyle w:val="ListParagraph"/>
        <w:numPr>
          <w:ilvl w:val="0"/>
          <w:numId w:val="72"/>
        </w:numPr>
        <w:jc w:val="both"/>
        <w:rPr>
          <w:rFonts w:asciiTheme="majorBidi" w:hAnsiTheme="majorBidi" w:cstheme="majorBidi"/>
          <w:sz w:val="24"/>
          <w:szCs w:val="24"/>
        </w:rPr>
      </w:pPr>
      <w:r>
        <w:rPr>
          <w:rFonts w:asciiTheme="majorBidi" w:hAnsiTheme="majorBidi" w:cstheme="majorBidi"/>
          <w:sz w:val="24"/>
          <w:szCs w:val="24"/>
        </w:rPr>
        <w:lastRenderedPageBreak/>
        <w:t>Pengurus Yayasan Baitul Izzah yang menaungi Sekolah Islam Terpadu 2010-sekarang</w:t>
      </w:r>
    </w:p>
    <w:p w:rsidR="00343B61" w:rsidRPr="00CA69F8" w:rsidRDefault="00343B61" w:rsidP="002C0A33">
      <w:pPr>
        <w:pStyle w:val="ListParagraph"/>
        <w:numPr>
          <w:ilvl w:val="0"/>
          <w:numId w:val="72"/>
        </w:numPr>
        <w:jc w:val="both"/>
        <w:rPr>
          <w:rFonts w:asciiTheme="majorBidi" w:hAnsiTheme="majorBidi" w:cstheme="majorBidi"/>
          <w:sz w:val="24"/>
          <w:szCs w:val="24"/>
        </w:rPr>
      </w:pPr>
      <w:r w:rsidRPr="00CA69F8">
        <w:rPr>
          <w:rFonts w:asciiTheme="majorBidi" w:hAnsiTheme="majorBidi" w:cstheme="majorBidi"/>
          <w:sz w:val="24"/>
          <w:szCs w:val="24"/>
          <w:lang w:val="it-IT"/>
        </w:rPr>
        <w:t xml:space="preserve"> Kepala Perwakilan Biro Perjalanan Umrah </w:t>
      </w:r>
      <w:r>
        <w:rPr>
          <w:rFonts w:asciiTheme="majorBidi" w:hAnsiTheme="majorBidi" w:cstheme="majorBidi"/>
          <w:sz w:val="24"/>
          <w:szCs w:val="24"/>
          <w:lang w:val="it-IT"/>
        </w:rPr>
        <w:t xml:space="preserve">dan </w:t>
      </w:r>
      <w:r w:rsidRPr="00CA69F8">
        <w:rPr>
          <w:rFonts w:asciiTheme="majorBidi" w:hAnsiTheme="majorBidi" w:cstheme="majorBidi"/>
          <w:sz w:val="24"/>
          <w:szCs w:val="24"/>
          <w:lang w:val="it-IT"/>
        </w:rPr>
        <w:t>Haji</w:t>
      </w:r>
      <w:r>
        <w:rPr>
          <w:rFonts w:asciiTheme="majorBidi" w:hAnsiTheme="majorBidi" w:cstheme="majorBidi"/>
          <w:sz w:val="24"/>
          <w:szCs w:val="24"/>
          <w:lang w:val="it-IT"/>
        </w:rPr>
        <w:t xml:space="preserve"> Plus</w:t>
      </w:r>
      <w:r w:rsidRPr="00CA69F8">
        <w:rPr>
          <w:rFonts w:asciiTheme="majorBidi" w:hAnsiTheme="majorBidi" w:cstheme="majorBidi"/>
          <w:sz w:val="24"/>
          <w:szCs w:val="24"/>
          <w:lang w:val="it-IT"/>
        </w:rPr>
        <w:t xml:space="preserve"> Minarfa Tour dan</w:t>
      </w:r>
      <w:r>
        <w:rPr>
          <w:rFonts w:asciiTheme="majorBidi" w:hAnsiTheme="majorBidi" w:cstheme="majorBidi"/>
          <w:sz w:val="24"/>
          <w:szCs w:val="24"/>
          <w:lang w:val="it-IT"/>
        </w:rPr>
        <w:t xml:space="preserve"> Travel untuk propinsi Bengkulu 2009-sekarang</w:t>
      </w:r>
    </w:p>
    <w:p w:rsidR="00343B61" w:rsidRDefault="00343B61" w:rsidP="002C0A33">
      <w:pPr>
        <w:pStyle w:val="ListParagraph"/>
        <w:numPr>
          <w:ilvl w:val="0"/>
          <w:numId w:val="72"/>
        </w:numPr>
        <w:jc w:val="both"/>
        <w:rPr>
          <w:rFonts w:asciiTheme="majorBidi" w:hAnsiTheme="majorBidi" w:cstheme="majorBidi"/>
          <w:sz w:val="24"/>
          <w:szCs w:val="24"/>
          <w:lang w:val="it-IT"/>
        </w:rPr>
      </w:pPr>
      <w:r>
        <w:rPr>
          <w:rFonts w:asciiTheme="majorBidi" w:hAnsiTheme="majorBidi" w:cstheme="majorBidi"/>
          <w:sz w:val="24"/>
          <w:szCs w:val="24"/>
          <w:lang w:val="it-IT"/>
        </w:rPr>
        <w:t xml:space="preserve"> </w:t>
      </w:r>
      <w:r w:rsidRPr="00CA69F8">
        <w:rPr>
          <w:rFonts w:asciiTheme="majorBidi" w:hAnsiTheme="majorBidi" w:cstheme="majorBidi"/>
          <w:sz w:val="24"/>
          <w:szCs w:val="24"/>
          <w:lang w:val="it-IT"/>
        </w:rPr>
        <w:t xml:space="preserve">Imam Mesjid Raya Baitul Izzah Pripinsi Bengkulu, </w:t>
      </w:r>
      <w:r>
        <w:rPr>
          <w:rFonts w:asciiTheme="majorBidi" w:hAnsiTheme="majorBidi" w:cstheme="majorBidi"/>
          <w:sz w:val="24"/>
          <w:szCs w:val="24"/>
          <w:lang w:val="it-IT"/>
        </w:rPr>
        <w:t>2010-sekarang</w:t>
      </w:r>
    </w:p>
    <w:p w:rsidR="00343B61" w:rsidRDefault="00343B61" w:rsidP="002C0A33">
      <w:pPr>
        <w:pStyle w:val="ListParagraph"/>
        <w:numPr>
          <w:ilvl w:val="0"/>
          <w:numId w:val="72"/>
        </w:numPr>
        <w:jc w:val="both"/>
        <w:rPr>
          <w:rFonts w:asciiTheme="majorBidi" w:hAnsiTheme="majorBidi" w:cstheme="majorBidi"/>
          <w:sz w:val="24"/>
          <w:szCs w:val="24"/>
          <w:lang w:val="it-IT"/>
        </w:rPr>
      </w:pPr>
      <w:r>
        <w:rPr>
          <w:rFonts w:asciiTheme="majorBidi" w:hAnsiTheme="majorBidi" w:cstheme="majorBidi"/>
          <w:sz w:val="24"/>
          <w:szCs w:val="24"/>
          <w:lang w:val="it-IT"/>
        </w:rPr>
        <w:t>Pendiri dan Ketua Yayasan dan Pesantren Tahfizh Ahlul Qur’an Bengkulu, 2011-sekarang</w:t>
      </w:r>
    </w:p>
    <w:p w:rsidR="00343B61" w:rsidRPr="00CA69F8" w:rsidRDefault="00343B61" w:rsidP="002C0A33">
      <w:pPr>
        <w:pStyle w:val="ListParagraph"/>
        <w:numPr>
          <w:ilvl w:val="0"/>
          <w:numId w:val="72"/>
        </w:numPr>
        <w:jc w:val="both"/>
        <w:rPr>
          <w:rFonts w:asciiTheme="majorBidi" w:hAnsiTheme="majorBidi" w:cstheme="majorBidi"/>
          <w:sz w:val="24"/>
          <w:szCs w:val="24"/>
          <w:lang w:val="it-IT"/>
        </w:rPr>
      </w:pPr>
      <w:r>
        <w:rPr>
          <w:rFonts w:asciiTheme="majorBidi" w:hAnsiTheme="majorBidi" w:cstheme="majorBidi"/>
          <w:sz w:val="24"/>
          <w:szCs w:val="24"/>
          <w:lang w:val="sv-SE"/>
        </w:rPr>
        <w:t xml:space="preserve">Sebagai </w:t>
      </w:r>
      <w:r w:rsidRPr="008D02B5">
        <w:rPr>
          <w:rFonts w:asciiTheme="majorBidi" w:hAnsiTheme="majorBidi" w:cstheme="majorBidi"/>
          <w:sz w:val="24"/>
          <w:szCs w:val="24"/>
          <w:lang w:val="sv-SE"/>
        </w:rPr>
        <w:t xml:space="preserve">Dai’ </w:t>
      </w:r>
      <w:r>
        <w:rPr>
          <w:rFonts w:asciiTheme="majorBidi" w:hAnsiTheme="majorBidi" w:cstheme="majorBidi"/>
          <w:sz w:val="24"/>
          <w:szCs w:val="24"/>
          <w:lang w:val="sv-SE"/>
        </w:rPr>
        <w:t xml:space="preserve">dari </w:t>
      </w:r>
      <w:r w:rsidRPr="008D02B5">
        <w:rPr>
          <w:rFonts w:asciiTheme="majorBidi" w:hAnsiTheme="majorBidi" w:cstheme="majorBidi"/>
          <w:sz w:val="24"/>
          <w:szCs w:val="24"/>
          <w:lang w:val="sv-SE"/>
        </w:rPr>
        <w:t xml:space="preserve">Yayasan </w:t>
      </w:r>
      <w:r w:rsidRPr="00CA69F8">
        <w:rPr>
          <w:rFonts w:asciiTheme="majorBidi" w:hAnsiTheme="majorBidi" w:cstheme="majorBidi"/>
          <w:sz w:val="24"/>
          <w:szCs w:val="24"/>
          <w:lang w:val="sv-SE"/>
        </w:rPr>
        <w:t>Al-’Athiyah Al- Qatariyah</w:t>
      </w:r>
      <w:r w:rsidRPr="008D02B5">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yang berpusat di Qatar, </w:t>
      </w:r>
      <w:r w:rsidRPr="008D02B5">
        <w:rPr>
          <w:rFonts w:asciiTheme="majorBidi" w:hAnsiTheme="majorBidi" w:cstheme="majorBidi"/>
          <w:sz w:val="24"/>
          <w:szCs w:val="24"/>
          <w:lang w:val="sv-SE"/>
        </w:rPr>
        <w:t>untuk wilayah Bengkulu</w:t>
      </w:r>
      <w:r>
        <w:rPr>
          <w:rFonts w:asciiTheme="majorBidi" w:hAnsiTheme="majorBidi" w:cstheme="majorBidi"/>
          <w:sz w:val="24"/>
          <w:szCs w:val="24"/>
          <w:lang w:val="sv-SE"/>
        </w:rPr>
        <w:t xml:space="preserve"> 2011-2013</w:t>
      </w:r>
    </w:p>
    <w:p w:rsidR="00343B61" w:rsidRDefault="00343B61" w:rsidP="002C0A33">
      <w:pPr>
        <w:pStyle w:val="ListParagraph"/>
        <w:numPr>
          <w:ilvl w:val="0"/>
          <w:numId w:val="72"/>
        </w:numPr>
        <w:jc w:val="both"/>
        <w:rPr>
          <w:rFonts w:asciiTheme="majorBidi" w:hAnsiTheme="majorBidi" w:cstheme="majorBidi"/>
          <w:sz w:val="24"/>
          <w:szCs w:val="24"/>
          <w:lang w:val="it-IT"/>
        </w:rPr>
      </w:pPr>
      <w:r>
        <w:rPr>
          <w:rFonts w:asciiTheme="majorBidi" w:hAnsiTheme="majorBidi" w:cstheme="majorBidi"/>
          <w:sz w:val="24"/>
          <w:szCs w:val="24"/>
          <w:lang w:val="sv-SE"/>
        </w:rPr>
        <w:t xml:space="preserve">Penghulu di </w:t>
      </w:r>
      <w:r w:rsidRPr="008D02B5">
        <w:rPr>
          <w:rFonts w:asciiTheme="majorBidi" w:hAnsiTheme="majorBidi" w:cstheme="majorBidi"/>
          <w:sz w:val="24"/>
          <w:szCs w:val="24"/>
          <w:lang w:val="sv-SE"/>
        </w:rPr>
        <w:t>Kantor Urusan Agama Kec. Gading Cempaka kota Bengkulu</w:t>
      </w:r>
      <w:r>
        <w:rPr>
          <w:rFonts w:asciiTheme="majorBidi" w:hAnsiTheme="majorBidi" w:cstheme="majorBidi"/>
          <w:sz w:val="24"/>
          <w:szCs w:val="24"/>
          <w:lang w:val="sv-SE"/>
        </w:rPr>
        <w:t xml:space="preserve"> 2009-sekarang</w:t>
      </w:r>
    </w:p>
    <w:p w:rsidR="00343B61" w:rsidRDefault="00343B61" w:rsidP="002C0A33">
      <w:pPr>
        <w:pStyle w:val="ListParagraph"/>
        <w:numPr>
          <w:ilvl w:val="0"/>
          <w:numId w:val="72"/>
        </w:numPr>
        <w:jc w:val="both"/>
        <w:rPr>
          <w:rFonts w:asciiTheme="majorBidi" w:hAnsiTheme="majorBidi" w:cstheme="majorBidi"/>
          <w:sz w:val="24"/>
          <w:szCs w:val="24"/>
          <w:lang w:val="it-IT"/>
        </w:rPr>
      </w:pPr>
      <w:r w:rsidRPr="00CA69F8">
        <w:rPr>
          <w:rFonts w:asciiTheme="majorBidi" w:hAnsiTheme="majorBidi" w:cstheme="majorBidi"/>
          <w:sz w:val="24"/>
          <w:szCs w:val="24"/>
          <w:lang w:val="it-IT"/>
        </w:rPr>
        <w:t>A</w:t>
      </w:r>
      <w:r>
        <w:rPr>
          <w:rFonts w:asciiTheme="majorBidi" w:hAnsiTheme="majorBidi" w:cstheme="majorBidi"/>
          <w:sz w:val="24"/>
          <w:szCs w:val="24"/>
          <w:lang w:val="it-IT"/>
        </w:rPr>
        <w:t>ktif mengi</w:t>
      </w:r>
      <w:r w:rsidRPr="00CA69F8">
        <w:rPr>
          <w:rFonts w:asciiTheme="majorBidi" w:hAnsiTheme="majorBidi" w:cstheme="majorBidi"/>
          <w:sz w:val="24"/>
          <w:szCs w:val="24"/>
          <w:lang w:val="it-IT"/>
        </w:rPr>
        <w:t>si ceramah</w:t>
      </w:r>
      <w:r>
        <w:rPr>
          <w:rFonts w:asciiTheme="majorBidi" w:hAnsiTheme="majorBidi" w:cstheme="majorBidi"/>
          <w:sz w:val="24"/>
          <w:szCs w:val="24"/>
          <w:lang w:val="it-IT"/>
        </w:rPr>
        <w:t>, khutbah</w:t>
      </w:r>
      <w:r w:rsidRPr="00CA69F8">
        <w:rPr>
          <w:rFonts w:asciiTheme="majorBidi" w:hAnsiTheme="majorBidi" w:cstheme="majorBidi"/>
          <w:sz w:val="24"/>
          <w:szCs w:val="24"/>
          <w:lang w:val="it-IT"/>
        </w:rPr>
        <w:t xml:space="preserve"> dan kajian Islam</w:t>
      </w:r>
      <w:r>
        <w:rPr>
          <w:rFonts w:asciiTheme="majorBidi" w:hAnsiTheme="majorBidi" w:cstheme="majorBidi"/>
          <w:sz w:val="24"/>
          <w:szCs w:val="24"/>
          <w:lang w:val="it-IT"/>
        </w:rPr>
        <w:t xml:space="preserve"> </w:t>
      </w:r>
      <w:r w:rsidRPr="00CA69F8">
        <w:rPr>
          <w:rFonts w:asciiTheme="majorBidi" w:hAnsiTheme="majorBidi" w:cstheme="majorBidi"/>
          <w:sz w:val="24"/>
          <w:szCs w:val="24"/>
          <w:lang w:val="it-IT"/>
        </w:rPr>
        <w:t>di mesjid-mesjid sekitar kot</w:t>
      </w:r>
      <w:r>
        <w:rPr>
          <w:rFonts w:asciiTheme="majorBidi" w:hAnsiTheme="majorBidi" w:cstheme="majorBidi"/>
          <w:sz w:val="24"/>
          <w:szCs w:val="24"/>
          <w:lang w:val="it-IT"/>
        </w:rPr>
        <w:t>a Bengkulu, Provinsi Bengkulu.</w:t>
      </w:r>
    </w:p>
    <w:p w:rsidR="00343B61" w:rsidRDefault="00343B61" w:rsidP="00343B61">
      <w:pPr>
        <w:pStyle w:val="ListParagraph"/>
        <w:jc w:val="both"/>
        <w:rPr>
          <w:rFonts w:asciiTheme="majorBidi" w:hAnsiTheme="majorBidi" w:cstheme="majorBidi"/>
          <w:sz w:val="24"/>
          <w:szCs w:val="24"/>
          <w:lang w:val="it-IT"/>
        </w:rPr>
      </w:pPr>
    </w:p>
    <w:p w:rsidR="00343B61" w:rsidRDefault="00343B61" w:rsidP="00343B61">
      <w:pPr>
        <w:pStyle w:val="ListParagraph"/>
        <w:jc w:val="both"/>
        <w:rPr>
          <w:rFonts w:asciiTheme="majorBidi" w:hAnsiTheme="majorBidi" w:cstheme="majorBidi"/>
          <w:sz w:val="24"/>
          <w:szCs w:val="24"/>
          <w:lang w:val="it-IT"/>
        </w:rPr>
      </w:pPr>
    </w:p>
    <w:p w:rsidR="00343B61" w:rsidRPr="00CA69F8" w:rsidRDefault="00343B61" w:rsidP="00343B61">
      <w:pPr>
        <w:pStyle w:val="ListParagraph"/>
        <w:jc w:val="both"/>
        <w:rPr>
          <w:rFonts w:asciiTheme="majorBidi" w:hAnsiTheme="majorBidi" w:cstheme="majorBidi"/>
          <w:sz w:val="24"/>
          <w:szCs w:val="24"/>
          <w:lang w:val="it-IT"/>
        </w:rPr>
      </w:pPr>
    </w:p>
    <w:p w:rsidR="00343B61" w:rsidRDefault="00343B61" w:rsidP="00343B61">
      <w:pPr>
        <w:spacing w:line="360" w:lineRule="auto"/>
        <w:jc w:val="center"/>
        <w:rPr>
          <w:rFonts w:asciiTheme="majorBidi" w:hAnsiTheme="majorBidi" w:cstheme="majorBidi"/>
          <w:b/>
          <w:bCs/>
          <w:sz w:val="24"/>
          <w:szCs w:val="24"/>
        </w:rPr>
      </w:pPr>
      <w:r w:rsidRPr="008D02B5">
        <w:rPr>
          <w:rFonts w:asciiTheme="majorBidi" w:hAnsiTheme="majorBidi" w:cstheme="majorBidi"/>
          <w:b/>
          <w:bCs/>
          <w:sz w:val="24"/>
          <w:szCs w:val="24"/>
        </w:rPr>
        <w:t>KARYA TULIS :</w:t>
      </w:r>
    </w:p>
    <w:p w:rsidR="00343B61" w:rsidRDefault="00343B61" w:rsidP="002C0A33">
      <w:pPr>
        <w:pStyle w:val="ListParagraph"/>
        <w:numPr>
          <w:ilvl w:val="0"/>
          <w:numId w:val="73"/>
        </w:numPr>
        <w:jc w:val="both"/>
        <w:rPr>
          <w:rFonts w:asciiTheme="majorBidi" w:hAnsiTheme="majorBidi" w:cstheme="majorBidi"/>
          <w:sz w:val="24"/>
          <w:szCs w:val="24"/>
          <w:lang w:val="sv-SE"/>
        </w:rPr>
      </w:pPr>
      <w:r w:rsidRPr="00B0256F">
        <w:rPr>
          <w:rFonts w:asciiTheme="majorBidi" w:hAnsiTheme="majorBidi" w:cstheme="majorBidi"/>
          <w:i/>
          <w:iCs/>
          <w:sz w:val="24"/>
          <w:szCs w:val="24"/>
          <w:lang w:val="sv-SE"/>
        </w:rPr>
        <w:t>Ru’yatullah Bain al-Mani’in wa al-Mujizin</w:t>
      </w:r>
      <w:r>
        <w:rPr>
          <w:rFonts w:asciiTheme="majorBidi" w:hAnsiTheme="majorBidi" w:cstheme="majorBidi"/>
          <w:sz w:val="24"/>
          <w:szCs w:val="24"/>
          <w:lang w:val="sv-SE"/>
        </w:rPr>
        <w:t xml:space="preserve"> ( dirasah Tafsir al-Maudhu’i) tugas akhir </w:t>
      </w:r>
      <w:bookmarkStart w:id="23" w:name="OLE_LINK1"/>
      <w:bookmarkStart w:id="24" w:name="OLE_LINK2"/>
      <w:r>
        <w:rPr>
          <w:rFonts w:asciiTheme="majorBidi" w:hAnsiTheme="majorBidi" w:cstheme="majorBidi"/>
          <w:sz w:val="24"/>
          <w:szCs w:val="24"/>
          <w:lang w:val="sv-SE"/>
        </w:rPr>
        <w:t xml:space="preserve">di </w:t>
      </w:r>
      <w:r>
        <w:rPr>
          <w:rFonts w:asciiTheme="majorBidi" w:hAnsiTheme="majorBidi" w:cstheme="majorBidi"/>
          <w:sz w:val="24"/>
          <w:szCs w:val="24"/>
        </w:rPr>
        <w:t>Institut Dakwah Islam Libya Cabang Suriah, 2005</w:t>
      </w:r>
    </w:p>
    <w:p w:rsidR="00343B61" w:rsidRPr="00A77F49" w:rsidRDefault="00343B61" w:rsidP="002C0A33">
      <w:pPr>
        <w:pStyle w:val="ListParagraph"/>
        <w:numPr>
          <w:ilvl w:val="0"/>
          <w:numId w:val="73"/>
        </w:numPr>
        <w:jc w:val="both"/>
        <w:rPr>
          <w:rFonts w:asciiTheme="majorBidi" w:hAnsiTheme="majorBidi" w:cstheme="majorBidi"/>
          <w:sz w:val="24"/>
          <w:szCs w:val="24"/>
          <w:lang w:val="sv-SE"/>
        </w:rPr>
      </w:pPr>
      <w:r w:rsidRPr="00B0256F">
        <w:rPr>
          <w:rFonts w:ascii="Times New Roman" w:hAnsi="Times New Roman" w:cs="Times New Roman"/>
          <w:i/>
          <w:iCs/>
          <w:sz w:val="24"/>
          <w:szCs w:val="24"/>
          <w:lang w:val="it-IT"/>
        </w:rPr>
        <w:t>Tinjauan Hukum Islam Terhadap Aborsi Akibat Perkosaan</w:t>
      </w:r>
      <w:r>
        <w:rPr>
          <w:rFonts w:ascii="Times New Roman" w:hAnsi="Times New Roman" w:cs="Times New Roman"/>
          <w:sz w:val="24"/>
          <w:szCs w:val="24"/>
          <w:lang w:val="it-IT"/>
        </w:rPr>
        <w:t>, Tesis S2 di</w:t>
      </w:r>
      <w:bookmarkEnd w:id="23"/>
      <w:bookmarkEnd w:id="24"/>
      <w:r>
        <w:rPr>
          <w:rFonts w:ascii="Times New Roman" w:hAnsi="Times New Roman" w:cs="Times New Roman"/>
          <w:sz w:val="24"/>
          <w:szCs w:val="24"/>
          <w:lang w:val="it-IT"/>
        </w:rPr>
        <w:t xml:space="preserve"> </w:t>
      </w:r>
      <w:r w:rsidRPr="00DC663B">
        <w:rPr>
          <w:rFonts w:ascii="Times New Roman" w:hAnsi="Times New Roman" w:cs="Times New Roman"/>
          <w:sz w:val="24"/>
          <w:szCs w:val="24"/>
        </w:rPr>
        <w:t>Program Pascasarjana STAIN Bengkulu</w:t>
      </w:r>
      <w:r>
        <w:rPr>
          <w:rFonts w:ascii="Times New Roman" w:hAnsi="Times New Roman" w:cs="Times New Roman"/>
          <w:sz w:val="24"/>
          <w:szCs w:val="24"/>
        </w:rPr>
        <w:t>, 2011</w:t>
      </w:r>
    </w:p>
    <w:p w:rsidR="00343B61" w:rsidRPr="00DC663B" w:rsidRDefault="00343B61" w:rsidP="002C0A33">
      <w:pPr>
        <w:pStyle w:val="ListParagraph"/>
        <w:numPr>
          <w:ilvl w:val="0"/>
          <w:numId w:val="73"/>
        </w:numPr>
        <w:jc w:val="both"/>
        <w:rPr>
          <w:rFonts w:asciiTheme="majorBidi" w:hAnsiTheme="majorBidi" w:cstheme="majorBidi"/>
          <w:sz w:val="24"/>
          <w:szCs w:val="24"/>
          <w:lang w:val="sv-SE"/>
        </w:rPr>
      </w:pPr>
      <w:r>
        <w:rPr>
          <w:rFonts w:ascii="Times New Roman" w:hAnsi="Times New Roman" w:cs="Times New Roman"/>
          <w:i/>
          <w:iCs/>
          <w:sz w:val="24"/>
          <w:szCs w:val="24"/>
          <w:lang w:val="it-IT"/>
        </w:rPr>
        <w:t xml:space="preserve">Ahli fiqh Kelas Dunia, </w:t>
      </w:r>
      <w:r>
        <w:rPr>
          <w:rFonts w:ascii="Times New Roman" w:hAnsi="Times New Roman" w:cs="Times New Roman"/>
          <w:sz w:val="24"/>
          <w:szCs w:val="24"/>
          <w:lang w:val="it-IT"/>
        </w:rPr>
        <w:t>dalam “ Wahbah Zuhaili, tertimoni murid kepada guru” Jakarta: Al-Mahira, 2017</w:t>
      </w:r>
    </w:p>
    <w:p w:rsidR="00343B61" w:rsidRPr="00B0256F" w:rsidRDefault="00343B61" w:rsidP="002C0A33">
      <w:pPr>
        <w:pStyle w:val="ListParagraph"/>
        <w:numPr>
          <w:ilvl w:val="0"/>
          <w:numId w:val="73"/>
        </w:numPr>
        <w:jc w:val="both"/>
        <w:rPr>
          <w:rFonts w:asciiTheme="majorBidi" w:hAnsiTheme="majorBidi" w:cstheme="majorBidi"/>
          <w:sz w:val="24"/>
          <w:szCs w:val="24"/>
          <w:lang w:val="sv-SE"/>
        </w:rPr>
      </w:pPr>
      <w:r w:rsidRPr="00B0256F">
        <w:rPr>
          <w:rFonts w:ascii="Times New Roman" w:hAnsi="Times New Roman" w:cs="Times New Roman"/>
          <w:i/>
          <w:iCs/>
          <w:sz w:val="24"/>
          <w:szCs w:val="24"/>
        </w:rPr>
        <w:t>Al-Quran dan Ilmu Pengetahuan</w:t>
      </w:r>
      <w:r>
        <w:rPr>
          <w:rFonts w:ascii="Times New Roman" w:hAnsi="Times New Roman" w:cs="Times New Roman"/>
          <w:sz w:val="24"/>
          <w:szCs w:val="24"/>
        </w:rPr>
        <w:t>, majallah fenomena, Perhimpunan Pelajar Indonesia, Damascus, Syria. 2004</w:t>
      </w:r>
    </w:p>
    <w:p w:rsidR="00343B61" w:rsidRDefault="00343B61" w:rsidP="002C0A33">
      <w:pPr>
        <w:pStyle w:val="ListParagraph"/>
        <w:numPr>
          <w:ilvl w:val="0"/>
          <w:numId w:val="73"/>
        </w:numPr>
        <w:jc w:val="both"/>
        <w:rPr>
          <w:rFonts w:asciiTheme="majorBidi" w:hAnsiTheme="majorBidi" w:cstheme="majorBidi"/>
          <w:sz w:val="24"/>
          <w:szCs w:val="24"/>
          <w:lang w:val="sv-SE"/>
        </w:rPr>
      </w:pPr>
      <w:r w:rsidRPr="00BB11A6">
        <w:rPr>
          <w:rFonts w:asciiTheme="majorBidi" w:hAnsiTheme="majorBidi" w:cstheme="majorBidi"/>
          <w:i/>
          <w:iCs/>
          <w:sz w:val="24"/>
          <w:szCs w:val="24"/>
          <w:lang w:val="sv-SE"/>
        </w:rPr>
        <w:t>Melestarikan Amaliyah Ramadhan</w:t>
      </w:r>
      <w:r>
        <w:rPr>
          <w:rFonts w:asciiTheme="majorBidi" w:hAnsiTheme="majorBidi" w:cstheme="majorBidi"/>
          <w:sz w:val="24"/>
          <w:szCs w:val="24"/>
          <w:lang w:val="sv-SE"/>
        </w:rPr>
        <w:t>, Khutbah Idul Fitri, untuk kalangan sendiri 2015.</w:t>
      </w:r>
    </w:p>
    <w:p w:rsidR="00343B61" w:rsidRDefault="00343B61" w:rsidP="002C0A33">
      <w:pPr>
        <w:pStyle w:val="ListParagraph"/>
        <w:numPr>
          <w:ilvl w:val="0"/>
          <w:numId w:val="73"/>
        </w:numPr>
        <w:jc w:val="both"/>
        <w:rPr>
          <w:rFonts w:asciiTheme="majorBidi" w:hAnsiTheme="majorBidi" w:cstheme="majorBidi"/>
          <w:sz w:val="24"/>
          <w:szCs w:val="24"/>
          <w:lang w:val="sv-SE"/>
        </w:rPr>
      </w:pPr>
      <w:r w:rsidRPr="00BB11A6">
        <w:rPr>
          <w:rFonts w:asciiTheme="majorBidi" w:hAnsiTheme="majorBidi" w:cstheme="majorBidi"/>
          <w:i/>
          <w:iCs/>
          <w:sz w:val="24"/>
          <w:szCs w:val="24"/>
          <w:lang w:val="sv-SE"/>
        </w:rPr>
        <w:t>Doa-Doa Saat Membasuh Anggota Wudhuk</w:t>
      </w:r>
      <w:r>
        <w:rPr>
          <w:rFonts w:asciiTheme="majorBidi" w:hAnsiTheme="majorBidi" w:cstheme="majorBidi"/>
          <w:sz w:val="24"/>
          <w:szCs w:val="24"/>
          <w:lang w:val="sv-SE"/>
        </w:rPr>
        <w:t>, modul pembajaran fiqh di Masjid Raya Baitul Izzah, Bengkulu, 2014</w:t>
      </w:r>
    </w:p>
    <w:p w:rsidR="00343B61" w:rsidRDefault="00343B61" w:rsidP="002C0A33">
      <w:pPr>
        <w:pStyle w:val="ListParagraph"/>
        <w:numPr>
          <w:ilvl w:val="0"/>
          <w:numId w:val="73"/>
        </w:numPr>
        <w:jc w:val="both"/>
        <w:rPr>
          <w:rFonts w:asciiTheme="majorBidi" w:hAnsiTheme="majorBidi" w:cstheme="majorBidi"/>
          <w:sz w:val="24"/>
          <w:szCs w:val="24"/>
          <w:lang w:val="sv-SE"/>
        </w:rPr>
      </w:pPr>
      <w:r>
        <w:rPr>
          <w:rFonts w:asciiTheme="majorBidi" w:hAnsiTheme="majorBidi" w:cstheme="majorBidi"/>
          <w:i/>
          <w:iCs/>
          <w:sz w:val="24"/>
          <w:szCs w:val="24"/>
          <w:lang w:val="sv-SE"/>
        </w:rPr>
        <w:t xml:space="preserve">Doa-Doa Setelah Tasyahud, </w:t>
      </w:r>
      <w:r>
        <w:rPr>
          <w:rFonts w:asciiTheme="majorBidi" w:hAnsiTheme="majorBidi" w:cstheme="majorBidi"/>
          <w:sz w:val="24"/>
          <w:szCs w:val="24"/>
          <w:lang w:val="sv-SE"/>
        </w:rPr>
        <w:t>modul pembajaran fiqh di Masjid Al-Makwa, Bengkulu, 2014.</w:t>
      </w:r>
    </w:p>
    <w:p w:rsidR="00343B61" w:rsidRDefault="00343B61" w:rsidP="002C0A33">
      <w:pPr>
        <w:pStyle w:val="ListParagraph"/>
        <w:numPr>
          <w:ilvl w:val="0"/>
          <w:numId w:val="73"/>
        </w:numPr>
        <w:jc w:val="both"/>
        <w:rPr>
          <w:rFonts w:asciiTheme="majorBidi" w:hAnsiTheme="majorBidi" w:cstheme="majorBidi"/>
          <w:sz w:val="24"/>
          <w:szCs w:val="24"/>
          <w:lang w:val="sv-SE"/>
        </w:rPr>
      </w:pPr>
      <w:r w:rsidRPr="00BB11A6">
        <w:rPr>
          <w:rFonts w:asciiTheme="majorBidi" w:hAnsiTheme="majorBidi" w:cstheme="majorBidi"/>
          <w:i/>
          <w:iCs/>
          <w:sz w:val="24"/>
          <w:szCs w:val="24"/>
          <w:lang w:val="sv-SE"/>
        </w:rPr>
        <w:t>Sholat Hajat, tatacara dan Macamannya</w:t>
      </w:r>
      <w:r>
        <w:rPr>
          <w:rFonts w:asciiTheme="majorBidi" w:hAnsiTheme="majorBidi" w:cstheme="majorBidi"/>
          <w:sz w:val="24"/>
          <w:szCs w:val="24"/>
          <w:lang w:val="sv-SE"/>
        </w:rPr>
        <w:t>, modul pembajaran fiqh di Masjid Raya Baitul Izzah, Bengkulu 2015.</w:t>
      </w:r>
    </w:p>
    <w:p w:rsidR="00343B61" w:rsidRDefault="00343B61" w:rsidP="002C0A33">
      <w:pPr>
        <w:pStyle w:val="ListParagraph"/>
        <w:numPr>
          <w:ilvl w:val="0"/>
          <w:numId w:val="73"/>
        </w:numPr>
        <w:jc w:val="both"/>
        <w:rPr>
          <w:rFonts w:asciiTheme="majorBidi" w:hAnsiTheme="majorBidi" w:cstheme="majorBidi"/>
          <w:sz w:val="24"/>
          <w:szCs w:val="24"/>
          <w:lang w:val="sv-SE"/>
        </w:rPr>
      </w:pPr>
      <w:r w:rsidRPr="00BB11A6">
        <w:rPr>
          <w:rFonts w:asciiTheme="majorBidi" w:hAnsiTheme="majorBidi" w:cstheme="majorBidi"/>
          <w:i/>
          <w:iCs/>
          <w:sz w:val="24"/>
          <w:szCs w:val="24"/>
          <w:lang w:val="sv-SE"/>
        </w:rPr>
        <w:t>Panduan Acara Khataman Al-Quran dalam Rangka Perkawinan</w:t>
      </w:r>
      <w:r>
        <w:rPr>
          <w:rFonts w:asciiTheme="majorBidi" w:hAnsiTheme="majorBidi" w:cstheme="majorBidi"/>
          <w:sz w:val="24"/>
          <w:szCs w:val="24"/>
          <w:lang w:val="sv-SE"/>
        </w:rPr>
        <w:t>, buku saku untuk penganten. 2011</w:t>
      </w:r>
    </w:p>
    <w:p w:rsidR="00343B61" w:rsidRDefault="00343B61" w:rsidP="002C0A33">
      <w:pPr>
        <w:pStyle w:val="ListParagraph"/>
        <w:numPr>
          <w:ilvl w:val="0"/>
          <w:numId w:val="73"/>
        </w:numPr>
        <w:jc w:val="both"/>
        <w:rPr>
          <w:rFonts w:asciiTheme="majorBidi" w:hAnsiTheme="majorBidi" w:cstheme="majorBidi"/>
          <w:sz w:val="24"/>
          <w:szCs w:val="24"/>
          <w:lang w:val="sv-SE"/>
        </w:rPr>
      </w:pPr>
      <w:r>
        <w:rPr>
          <w:rFonts w:asciiTheme="majorBidi" w:hAnsiTheme="majorBidi" w:cstheme="majorBidi"/>
          <w:sz w:val="24"/>
          <w:szCs w:val="24"/>
          <w:lang w:val="sv-SE"/>
        </w:rPr>
        <w:t>Khutbah Gerhana Matahari, buku khutabah, 2017</w:t>
      </w:r>
    </w:p>
    <w:p w:rsidR="00343B61" w:rsidRPr="00343B61" w:rsidRDefault="00343B61" w:rsidP="002C0A33">
      <w:pPr>
        <w:pStyle w:val="ListParagraph"/>
        <w:numPr>
          <w:ilvl w:val="0"/>
          <w:numId w:val="73"/>
        </w:numPr>
        <w:jc w:val="both"/>
        <w:rPr>
          <w:rFonts w:asciiTheme="majorBidi" w:hAnsiTheme="majorBidi" w:cstheme="majorBidi"/>
          <w:sz w:val="24"/>
          <w:szCs w:val="24"/>
          <w:lang w:val="sv-SE"/>
        </w:rPr>
      </w:pPr>
      <w:r w:rsidRPr="00A77F49">
        <w:rPr>
          <w:rFonts w:asciiTheme="majorBidi" w:hAnsiTheme="majorBidi" w:cstheme="majorBidi"/>
          <w:i/>
          <w:iCs/>
          <w:sz w:val="24"/>
          <w:szCs w:val="24"/>
          <w:lang w:val="sv-SE"/>
        </w:rPr>
        <w:t>Adab Berjalan Ke Masjid</w:t>
      </w:r>
      <w:r>
        <w:rPr>
          <w:rFonts w:asciiTheme="majorBidi" w:hAnsiTheme="majorBidi" w:cstheme="majorBidi"/>
          <w:sz w:val="24"/>
          <w:szCs w:val="24"/>
          <w:lang w:val="sv-SE"/>
        </w:rPr>
        <w:t>, modul pembajaran fiqh di Masjid Raya Baitul Izzah, Bengkulu 2017.</w:t>
      </w:r>
    </w:p>
    <w:p w:rsidR="00343B61" w:rsidRPr="00A66414" w:rsidRDefault="00343B61" w:rsidP="00343B61">
      <w:pPr>
        <w:spacing w:line="360" w:lineRule="auto"/>
        <w:rPr>
          <w:rFonts w:asciiTheme="majorBidi" w:hAnsiTheme="majorBidi" w:cstheme="majorBidi"/>
          <w:szCs w:val="24"/>
          <w:lang w:val="sv-SE"/>
        </w:rPr>
      </w:pPr>
    </w:p>
    <w:p w:rsidR="00343B61" w:rsidRPr="00A66414"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D509B"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014257" w:rsidRDefault="00343B61" w:rsidP="00343B61">
      <w:pPr>
        <w:pStyle w:val="ListParagraph"/>
        <w:tabs>
          <w:tab w:val="left" w:pos="1800"/>
        </w:tabs>
        <w:spacing w:line="360" w:lineRule="auto"/>
        <w:ind w:left="540"/>
        <w:jc w:val="both"/>
        <w:rPr>
          <w:rFonts w:asciiTheme="majorBidi" w:hAnsiTheme="majorBidi" w:cstheme="majorBidi"/>
          <w:lang w:val="sv-SE"/>
        </w:rPr>
      </w:pPr>
    </w:p>
    <w:p w:rsidR="00343B61" w:rsidRPr="00C259C7" w:rsidRDefault="00343B61" w:rsidP="00343B61">
      <w:pPr>
        <w:spacing w:line="360" w:lineRule="auto"/>
        <w:rPr>
          <w:szCs w:val="24"/>
          <w:lang w:val="sv-SE"/>
        </w:rPr>
      </w:pPr>
    </w:p>
    <w:p w:rsidR="00343B61" w:rsidRPr="00510542" w:rsidRDefault="00343B61" w:rsidP="00343B61">
      <w:pPr>
        <w:autoSpaceDE w:val="0"/>
        <w:autoSpaceDN w:val="0"/>
        <w:adjustRightInd w:val="0"/>
        <w:spacing w:after="0" w:line="360" w:lineRule="auto"/>
        <w:jc w:val="both"/>
        <w:rPr>
          <w:rFonts w:ascii="Z@R72D2.tmp" w:hAnsi="Z@R72D2.tmp" w:cs="Z@R72D2.tmp"/>
          <w:sz w:val="23"/>
          <w:szCs w:val="23"/>
          <w:lang w:val="sv-SE"/>
        </w:rPr>
      </w:pPr>
    </w:p>
    <w:p w:rsidR="00343B61" w:rsidRPr="00E22AB8" w:rsidRDefault="00343B61" w:rsidP="00343B61">
      <w:pPr>
        <w:autoSpaceDE w:val="0"/>
        <w:autoSpaceDN w:val="0"/>
        <w:adjustRightInd w:val="0"/>
        <w:spacing w:after="0" w:line="360" w:lineRule="auto"/>
        <w:ind w:firstLine="720"/>
        <w:jc w:val="both"/>
        <w:rPr>
          <w:rFonts w:ascii="Z@R72D2.tmp" w:hAnsi="Z@R72D2.tmp" w:cs="Z@R72D2.tmp"/>
          <w:sz w:val="23"/>
          <w:szCs w:val="23"/>
        </w:rPr>
      </w:pPr>
    </w:p>
    <w:p w:rsidR="00343B61" w:rsidRPr="000D6FAA" w:rsidRDefault="00343B61" w:rsidP="00343B61">
      <w:pPr>
        <w:spacing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ind w:firstLine="720"/>
        <w:jc w:val="both"/>
        <w:rPr>
          <w:rFonts w:ascii="Times New Roman" w:hAnsi="Times New Roman" w:cs="Times New Roman"/>
          <w:sz w:val="24"/>
          <w:szCs w:val="24"/>
          <w:rtl/>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jc w:val="both"/>
        <w:rPr>
          <w:rFonts w:asciiTheme="majorBidi" w:hAnsiTheme="majorBidi" w:cstheme="majorBidi"/>
          <w:sz w:val="24"/>
          <w:szCs w:val="24"/>
        </w:rPr>
      </w:pPr>
    </w:p>
    <w:p w:rsidR="00343B61" w:rsidRPr="00A51F34" w:rsidRDefault="00343B61" w:rsidP="00343B61">
      <w:pPr>
        <w:autoSpaceDE w:val="0"/>
        <w:autoSpaceDN w:val="0"/>
        <w:adjustRightInd w:val="0"/>
        <w:spacing w:line="360" w:lineRule="auto"/>
        <w:ind w:firstLine="720"/>
        <w:jc w:val="both"/>
        <w:rPr>
          <w:rFonts w:asciiTheme="majorBidi" w:hAnsiTheme="majorBidi" w:cstheme="majorBidi"/>
          <w:sz w:val="24"/>
          <w:szCs w:val="24"/>
        </w:rPr>
      </w:pPr>
    </w:p>
    <w:p w:rsidR="00343B61" w:rsidRPr="00A51F34"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sz w:val="24"/>
          <w:szCs w:val="24"/>
        </w:rPr>
      </w:pPr>
    </w:p>
    <w:p w:rsidR="00343B61" w:rsidRPr="00A51F34" w:rsidRDefault="00343B61" w:rsidP="00343B61">
      <w:pPr>
        <w:spacing w:line="360" w:lineRule="auto"/>
        <w:rPr>
          <w:rFonts w:asciiTheme="majorBidi" w:hAnsiTheme="majorBidi" w:cstheme="majorBidi"/>
          <w:sz w:val="24"/>
          <w:szCs w:val="24"/>
        </w:rPr>
      </w:pPr>
    </w:p>
    <w:p w:rsidR="00343B61" w:rsidRDefault="00343B61" w:rsidP="00343B61"/>
    <w:p w:rsidR="00343B61" w:rsidRPr="00EB5FCD" w:rsidRDefault="00343B61" w:rsidP="00343B61">
      <w:pPr>
        <w:pStyle w:val="Default"/>
        <w:spacing w:line="360" w:lineRule="auto"/>
        <w:ind w:left="900" w:firstLine="630"/>
        <w:jc w:val="both"/>
        <w:rPr>
          <w:rFonts w:asciiTheme="majorBidi" w:hAnsiTheme="majorBidi" w:cstheme="majorBidi"/>
          <w:rtl/>
        </w:rPr>
      </w:pPr>
    </w:p>
    <w:p w:rsidR="00343B61" w:rsidRPr="0075742D" w:rsidRDefault="00343B61" w:rsidP="00343B61">
      <w:pPr>
        <w:pStyle w:val="Bodytext21"/>
        <w:shd w:val="clear" w:color="auto" w:fill="auto"/>
        <w:spacing w:before="0" w:after="362" w:line="360" w:lineRule="auto"/>
        <w:ind w:firstLine="720"/>
        <w:rPr>
          <w:rFonts w:asciiTheme="majorBidi" w:hAnsiTheme="majorBidi" w:cstheme="majorBidi"/>
          <w:sz w:val="24"/>
          <w:szCs w:val="24"/>
          <w:shd w:val="clear" w:color="auto" w:fill="FFFFFF"/>
        </w:rPr>
      </w:pPr>
    </w:p>
    <w:p w:rsidR="00343B61" w:rsidRPr="0075742D" w:rsidRDefault="00343B61" w:rsidP="00343B61">
      <w:pPr>
        <w:rPr>
          <w:rFonts w:asciiTheme="majorBidi" w:hAnsiTheme="majorBidi" w:cstheme="majorBidi"/>
          <w:sz w:val="24"/>
          <w:szCs w:val="24"/>
        </w:rPr>
      </w:pP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Pr="00910CE3" w:rsidRDefault="00343B61" w:rsidP="00343B61">
      <w:pPr>
        <w:autoSpaceDE w:val="0"/>
        <w:autoSpaceDN w:val="0"/>
        <w:adjustRightInd w:val="0"/>
        <w:spacing w:after="0" w:line="360" w:lineRule="auto"/>
        <w:jc w:val="both"/>
        <w:rPr>
          <w:rFonts w:ascii="Times New Roman" w:hAnsi="Times New Roman" w:cs="Times New Roman"/>
          <w:sz w:val="24"/>
          <w:szCs w:val="24"/>
        </w:rPr>
      </w:pPr>
    </w:p>
    <w:p w:rsidR="00343B61" w:rsidRPr="0015352D" w:rsidRDefault="00343B61" w:rsidP="00343B61">
      <w:pPr>
        <w:pStyle w:val="ListParagraph"/>
        <w:spacing w:after="0" w:line="360" w:lineRule="auto"/>
        <w:ind w:left="0" w:firstLine="720"/>
        <w:jc w:val="both"/>
        <w:rPr>
          <w:rFonts w:ascii="Times New Roman" w:hAnsi="Times New Roman" w:cs="Times New Roman"/>
          <w:sz w:val="24"/>
          <w:szCs w:val="24"/>
        </w:rPr>
      </w:pPr>
    </w:p>
    <w:p w:rsidR="00343B61" w:rsidRPr="00FC20CC" w:rsidRDefault="00343B61" w:rsidP="00343B61">
      <w:pPr>
        <w:pStyle w:val="ListParagraph"/>
        <w:spacing w:after="0" w:line="360" w:lineRule="auto"/>
        <w:ind w:left="0" w:hanging="1260"/>
        <w:jc w:val="both"/>
        <w:rPr>
          <w:rFonts w:ascii="Times New Roman" w:hAnsi="Times New Roman" w:cs="Times New Roman"/>
          <w:sz w:val="24"/>
          <w:szCs w:val="24"/>
          <w:lang w:val="sv-SE"/>
        </w:rPr>
      </w:pPr>
    </w:p>
    <w:p w:rsidR="00343B61" w:rsidRPr="00FC20CC" w:rsidRDefault="00343B61" w:rsidP="00343B61">
      <w:pPr>
        <w:spacing w:after="0" w:line="360" w:lineRule="auto"/>
        <w:ind w:left="360"/>
        <w:jc w:val="both"/>
        <w:rPr>
          <w:rFonts w:asciiTheme="majorBidi" w:hAnsiTheme="majorBidi" w:cstheme="majorBidi"/>
          <w:sz w:val="24"/>
          <w:szCs w:val="24"/>
          <w:lang w:val="sv-SE"/>
        </w:rPr>
      </w:pPr>
    </w:p>
    <w:p w:rsidR="00343B61" w:rsidRPr="00FC20CC" w:rsidRDefault="00343B61" w:rsidP="00343B61">
      <w:pPr>
        <w:spacing w:after="0" w:line="360" w:lineRule="auto"/>
        <w:ind w:left="360"/>
        <w:jc w:val="both"/>
        <w:rPr>
          <w:rFonts w:asciiTheme="majorBidi" w:hAnsiTheme="majorBidi" w:cstheme="majorBidi"/>
          <w:sz w:val="24"/>
          <w:szCs w:val="24"/>
          <w:lang w:val="sv-SE"/>
        </w:rPr>
      </w:pPr>
    </w:p>
    <w:p w:rsidR="00343B61" w:rsidRPr="00FC20CC" w:rsidRDefault="00343B61" w:rsidP="00343B61">
      <w:pPr>
        <w:spacing w:after="0" w:line="360" w:lineRule="auto"/>
        <w:ind w:left="360"/>
        <w:jc w:val="both"/>
        <w:rPr>
          <w:rFonts w:asciiTheme="majorBidi" w:hAnsiTheme="majorBidi" w:cstheme="majorBidi"/>
          <w:sz w:val="24"/>
          <w:szCs w:val="24"/>
          <w:lang w:val="sv-SE"/>
        </w:rPr>
      </w:pPr>
    </w:p>
    <w:p w:rsidR="00343B61" w:rsidRPr="00FC20CC" w:rsidRDefault="00343B61" w:rsidP="00343B61">
      <w:pPr>
        <w:spacing w:line="360" w:lineRule="auto"/>
        <w:jc w:val="center"/>
        <w:rPr>
          <w:rFonts w:asciiTheme="majorBidi" w:hAnsiTheme="majorBidi" w:cstheme="majorBidi"/>
          <w:b/>
          <w:bCs/>
          <w:sz w:val="24"/>
          <w:szCs w:val="24"/>
          <w:lang w:val="sv-SE"/>
        </w:rPr>
      </w:pPr>
    </w:p>
    <w:p w:rsidR="00343B61" w:rsidRPr="00FC20CC" w:rsidRDefault="00343B61" w:rsidP="00343B61">
      <w:pPr>
        <w:spacing w:line="360" w:lineRule="auto"/>
        <w:jc w:val="center"/>
        <w:rPr>
          <w:rFonts w:asciiTheme="majorBidi" w:hAnsiTheme="majorBidi" w:cstheme="majorBidi"/>
          <w:b/>
          <w:bCs/>
          <w:sz w:val="24"/>
          <w:szCs w:val="24"/>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Default="00343B61" w:rsidP="00343B61">
      <w:pPr>
        <w:spacing w:line="360" w:lineRule="auto"/>
        <w:jc w:val="center"/>
        <w:rPr>
          <w:rFonts w:asciiTheme="majorBidi" w:hAnsiTheme="majorBidi" w:cstheme="majorBidi"/>
          <w:b/>
          <w:bCs/>
          <w:lang w:val="sv-SE"/>
        </w:rPr>
      </w:pPr>
    </w:p>
    <w:p w:rsidR="00343B61" w:rsidRPr="003126DF" w:rsidRDefault="00343B61" w:rsidP="00343B61">
      <w:pPr>
        <w:spacing w:after="0" w:line="360" w:lineRule="auto"/>
        <w:rPr>
          <w:szCs w:val="24"/>
        </w:rPr>
      </w:pPr>
    </w:p>
    <w:p w:rsidR="00343B61" w:rsidRPr="00343B61" w:rsidRDefault="00343B61" w:rsidP="00343B61">
      <w:pPr>
        <w:spacing w:line="360" w:lineRule="auto"/>
        <w:ind w:firstLine="720"/>
        <w:jc w:val="both"/>
        <w:rPr>
          <w:rFonts w:asciiTheme="majorBidi" w:hAnsiTheme="majorBidi" w:cstheme="majorBidi"/>
        </w:rPr>
      </w:pPr>
    </w:p>
    <w:p w:rsidR="00343B61" w:rsidRDefault="00343B61" w:rsidP="00343B61">
      <w:pPr>
        <w:spacing w:line="240" w:lineRule="auto"/>
      </w:pPr>
    </w:p>
    <w:p w:rsidR="00343B61" w:rsidRPr="00477E07"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rPr>
      </w:pPr>
    </w:p>
    <w:p w:rsidR="00343B61" w:rsidRPr="00AA1F36" w:rsidRDefault="00343B61" w:rsidP="00343B61">
      <w:pPr>
        <w:spacing w:before="100" w:beforeAutospacing="1" w:after="100" w:afterAutospacing="1" w:line="360" w:lineRule="auto"/>
        <w:ind w:left="180" w:firstLine="540"/>
        <w:jc w:val="both"/>
        <w:rPr>
          <w:rFonts w:asciiTheme="majorBidi" w:hAnsiTheme="majorBidi" w:cstheme="majorBidi"/>
          <w:lang w:val="sv-SE"/>
        </w:rPr>
      </w:pPr>
    </w:p>
    <w:p w:rsidR="00343B61" w:rsidRPr="00877EB5"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lang w:val="sv-SE"/>
        </w:rPr>
      </w:pPr>
    </w:p>
    <w:p w:rsidR="00343B61" w:rsidRPr="00877EB5"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lang w:val="sv-SE"/>
        </w:rPr>
      </w:pPr>
    </w:p>
    <w:p w:rsidR="00343B61" w:rsidRPr="00D75FA3" w:rsidRDefault="00343B61" w:rsidP="00343B61">
      <w:pPr>
        <w:autoSpaceDE w:val="0"/>
        <w:autoSpaceDN w:val="0"/>
        <w:adjustRightInd w:val="0"/>
        <w:spacing w:after="0" w:line="360" w:lineRule="auto"/>
        <w:ind w:firstLine="720"/>
        <w:jc w:val="both"/>
        <w:rPr>
          <w:rFonts w:ascii="Times New Roman" w:hAnsi="Times New Roman" w:cs="Times New Roman"/>
          <w:lang w:val="sv-SE"/>
        </w:rPr>
      </w:pPr>
    </w:p>
    <w:p w:rsidR="00343B61" w:rsidRPr="00D75FA3" w:rsidRDefault="00343B61" w:rsidP="00343B61">
      <w:pPr>
        <w:autoSpaceDE w:val="0"/>
        <w:autoSpaceDN w:val="0"/>
        <w:adjustRightInd w:val="0"/>
        <w:spacing w:after="0" w:line="360" w:lineRule="auto"/>
        <w:ind w:firstLine="720"/>
        <w:jc w:val="both"/>
        <w:rPr>
          <w:rFonts w:asciiTheme="majorBidi" w:hAnsiTheme="majorBidi" w:cstheme="majorBidi"/>
          <w:lang w:val="sv-SE"/>
        </w:rPr>
      </w:pPr>
    </w:p>
    <w:p w:rsidR="00343B61" w:rsidRPr="00D75FA3" w:rsidRDefault="00343B61" w:rsidP="00343B61">
      <w:pPr>
        <w:spacing w:line="360" w:lineRule="auto"/>
        <w:ind w:firstLine="720"/>
        <w:rPr>
          <w:lang w:val="sv-SE"/>
        </w:rPr>
      </w:pPr>
    </w:p>
    <w:p w:rsidR="00343B61" w:rsidRPr="00D75FA3" w:rsidRDefault="00343B61" w:rsidP="00343B61">
      <w:pPr>
        <w:spacing w:line="360" w:lineRule="auto"/>
        <w:ind w:firstLine="720"/>
        <w:rPr>
          <w:lang w:val="sv-SE"/>
        </w:rPr>
      </w:pPr>
    </w:p>
    <w:p w:rsidR="00343B61" w:rsidRPr="00D75FA3" w:rsidRDefault="00343B61" w:rsidP="00343B61">
      <w:pPr>
        <w:spacing w:line="360" w:lineRule="auto"/>
        <w:ind w:firstLine="720"/>
        <w:rPr>
          <w:rFonts w:ascii="Times New Roman" w:hAnsi="Times New Roman" w:cs="Times New Roman"/>
          <w:sz w:val="20"/>
          <w:szCs w:val="20"/>
          <w:lang w:val="sv-SE"/>
        </w:rPr>
      </w:pPr>
    </w:p>
    <w:p w:rsidR="00343B61" w:rsidRPr="00D75FA3"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lang w:val="sv-SE"/>
        </w:rPr>
      </w:pPr>
    </w:p>
    <w:p w:rsidR="00343B61" w:rsidRPr="00D75FA3" w:rsidRDefault="00343B61" w:rsidP="00343B61">
      <w:pPr>
        <w:pStyle w:val="ListParagraph"/>
        <w:tabs>
          <w:tab w:val="left" w:pos="1800"/>
        </w:tabs>
        <w:spacing w:line="360" w:lineRule="auto"/>
        <w:ind w:left="0" w:firstLine="720"/>
        <w:jc w:val="both"/>
        <w:rPr>
          <w:rFonts w:ascii="Times New Roman" w:hAnsi="Times New Roman" w:cs="Times New Roman"/>
          <w:lang w:val="sv-SE"/>
        </w:rPr>
      </w:pPr>
    </w:p>
    <w:p w:rsidR="00343B61" w:rsidRPr="00D75FA3"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lang w:val="sv-SE"/>
        </w:rPr>
      </w:pPr>
    </w:p>
    <w:p w:rsidR="00343B61" w:rsidRPr="00D75FA3" w:rsidRDefault="00343B61" w:rsidP="00343B61">
      <w:pPr>
        <w:pStyle w:val="ListParagraph"/>
        <w:autoSpaceDE w:val="0"/>
        <w:autoSpaceDN w:val="0"/>
        <w:adjustRightInd w:val="0"/>
        <w:spacing w:after="0" w:line="360" w:lineRule="auto"/>
        <w:ind w:left="0" w:firstLine="720"/>
        <w:jc w:val="both"/>
        <w:rPr>
          <w:rFonts w:ascii="Times New Roman" w:hAnsi="Times New Roman" w:cs="Times New Roman"/>
          <w:lang w:val="sv-SE"/>
        </w:rPr>
      </w:pPr>
    </w:p>
    <w:p w:rsidR="00343B61" w:rsidRPr="002826DA" w:rsidRDefault="00343B61" w:rsidP="00343B61">
      <w:pPr>
        <w:pStyle w:val="ListParagraph"/>
        <w:spacing w:line="360" w:lineRule="auto"/>
        <w:ind w:left="0" w:firstLine="720"/>
        <w:jc w:val="both"/>
        <w:rPr>
          <w:rFonts w:ascii="Times New Roman" w:hAnsi="Times New Roman" w:cs="Times New Roman"/>
          <w:lang w:val="sv-SE"/>
        </w:rPr>
      </w:pPr>
    </w:p>
    <w:p w:rsidR="00343B61" w:rsidRPr="002826DA" w:rsidRDefault="00343B61" w:rsidP="00343B61">
      <w:pPr>
        <w:pStyle w:val="ListParagraph"/>
        <w:spacing w:line="360" w:lineRule="auto"/>
        <w:ind w:left="450" w:firstLine="630"/>
        <w:jc w:val="both"/>
        <w:rPr>
          <w:rFonts w:ascii="Times New Roman" w:hAnsi="Times New Roman" w:cs="Times New Roman"/>
          <w:lang w:val="sv-SE"/>
        </w:rPr>
      </w:pPr>
    </w:p>
    <w:p w:rsidR="00343B61" w:rsidRPr="002826DA" w:rsidRDefault="00343B61" w:rsidP="00343B61">
      <w:pPr>
        <w:pStyle w:val="ListParagraph"/>
        <w:spacing w:after="120" w:line="360" w:lineRule="auto"/>
        <w:jc w:val="both"/>
        <w:rPr>
          <w:rFonts w:ascii="Times New Roman" w:hAnsi="Times New Roman" w:cs="Times New Roman"/>
          <w:lang w:val="sv-SE"/>
        </w:rPr>
      </w:pPr>
    </w:p>
    <w:p w:rsidR="00343B61" w:rsidRPr="002826DA" w:rsidRDefault="00343B61" w:rsidP="00343B61">
      <w:pPr>
        <w:pStyle w:val="ListParagraph"/>
        <w:autoSpaceDE w:val="0"/>
        <w:autoSpaceDN w:val="0"/>
        <w:adjustRightInd w:val="0"/>
        <w:spacing w:after="0" w:line="360" w:lineRule="auto"/>
        <w:ind w:left="450" w:firstLine="630"/>
        <w:jc w:val="both"/>
        <w:rPr>
          <w:rFonts w:ascii="Times New Roman" w:hAnsi="Times New Roman" w:cs="Times New Roman"/>
          <w:lang w:val="sv-SE"/>
        </w:rPr>
      </w:pPr>
    </w:p>
    <w:p w:rsidR="00343B61" w:rsidRPr="002826DA" w:rsidRDefault="00343B61" w:rsidP="00343B61">
      <w:pPr>
        <w:pStyle w:val="ListParagraph"/>
        <w:tabs>
          <w:tab w:val="left" w:pos="1800"/>
        </w:tabs>
        <w:spacing w:line="360" w:lineRule="auto"/>
        <w:jc w:val="both"/>
        <w:rPr>
          <w:rFonts w:ascii="Times New Roman" w:hAnsi="Times New Roman" w:cs="Times New Roman"/>
          <w:lang w:val="sv-SE"/>
        </w:rPr>
      </w:pPr>
    </w:p>
    <w:p w:rsidR="00343B61" w:rsidRPr="002826DA" w:rsidRDefault="00343B61" w:rsidP="00343B61">
      <w:pPr>
        <w:pStyle w:val="ListParagraph"/>
        <w:tabs>
          <w:tab w:val="left" w:pos="720"/>
          <w:tab w:val="right" w:pos="5687"/>
        </w:tabs>
        <w:spacing w:line="360" w:lineRule="auto"/>
        <w:ind w:left="1440"/>
        <w:jc w:val="both"/>
        <w:rPr>
          <w:rFonts w:ascii="Times New Roman" w:hAnsi="Times New Roman" w:cs="Times New Roman"/>
          <w:lang w:val="sv-SE"/>
        </w:rPr>
      </w:pPr>
    </w:p>
    <w:p w:rsidR="00343B61" w:rsidRPr="002826DA" w:rsidRDefault="00343B61" w:rsidP="00343B61">
      <w:pPr>
        <w:spacing w:line="360" w:lineRule="auto"/>
        <w:jc w:val="both"/>
        <w:rPr>
          <w:rFonts w:ascii="Times New Roman" w:hAnsi="Times New Roman" w:cs="Times New Roman"/>
          <w:i/>
          <w:iCs/>
          <w:lang w:val="sv-SE"/>
        </w:rPr>
      </w:pPr>
    </w:p>
    <w:p w:rsidR="00343B61" w:rsidRPr="002826DA" w:rsidRDefault="00343B61" w:rsidP="00343B61">
      <w:pPr>
        <w:pStyle w:val="ListParagraph"/>
        <w:spacing w:line="360" w:lineRule="auto"/>
        <w:ind w:left="450" w:firstLine="630"/>
        <w:jc w:val="both"/>
        <w:rPr>
          <w:rFonts w:ascii="Times New Roman" w:hAnsi="Times New Roman" w:cs="Times New Roman"/>
          <w:lang w:val="sv-SE"/>
        </w:rPr>
      </w:pPr>
    </w:p>
    <w:p w:rsidR="00343B61" w:rsidRPr="002826DA" w:rsidRDefault="00343B61" w:rsidP="00343B61">
      <w:pPr>
        <w:pStyle w:val="ListParagraph"/>
        <w:spacing w:line="360" w:lineRule="auto"/>
        <w:ind w:left="450" w:firstLine="630"/>
        <w:jc w:val="both"/>
        <w:rPr>
          <w:rFonts w:ascii="Times New Roman" w:hAnsi="Times New Roman" w:cs="Times New Roman"/>
          <w:lang w:val="sv-SE"/>
        </w:rPr>
      </w:pPr>
    </w:p>
    <w:p w:rsidR="00343B61" w:rsidRPr="002826DA" w:rsidRDefault="00343B61" w:rsidP="00343B61">
      <w:pPr>
        <w:pStyle w:val="ListParagraph"/>
        <w:spacing w:line="360" w:lineRule="auto"/>
        <w:ind w:left="450" w:firstLine="630"/>
        <w:jc w:val="both"/>
        <w:rPr>
          <w:rFonts w:ascii="Times New Roman" w:hAnsi="Times New Roman" w:cs="Times New Roman"/>
          <w:lang w:val="sv-SE"/>
        </w:rPr>
      </w:pPr>
    </w:p>
    <w:p w:rsidR="00343B61" w:rsidRPr="002826DA" w:rsidRDefault="00343B61" w:rsidP="00343B61">
      <w:pPr>
        <w:spacing w:after="0" w:line="360" w:lineRule="auto"/>
        <w:ind w:firstLine="720"/>
        <w:jc w:val="both"/>
        <w:rPr>
          <w:rFonts w:ascii="Times New Roman" w:hAnsi="Times New Roman" w:cs="Times New Roman"/>
          <w:color w:val="000000"/>
          <w:lang w:val="sv-SE"/>
        </w:rPr>
      </w:pPr>
    </w:p>
    <w:p w:rsidR="00343B61" w:rsidRPr="002826DA" w:rsidRDefault="00343B61" w:rsidP="00343B61">
      <w:pPr>
        <w:spacing w:after="0" w:line="360" w:lineRule="auto"/>
        <w:ind w:firstLine="720"/>
        <w:jc w:val="both"/>
        <w:rPr>
          <w:rFonts w:ascii="Times New Roman" w:hAnsi="Times New Roman" w:cs="Times New Roman"/>
          <w:color w:val="000000"/>
          <w:lang w:val="sv-SE"/>
        </w:rPr>
      </w:pPr>
    </w:p>
    <w:p w:rsidR="00343B61" w:rsidRPr="002826DA" w:rsidRDefault="00343B61" w:rsidP="00343B61">
      <w:pPr>
        <w:pStyle w:val="ListParagraph"/>
        <w:spacing w:line="360" w:lineRule="auto"/>
        <w:ind w:left="270" w:firstLine="630"/>
        <w:jc w:val="both"/>
        <w:rPr>
          <w:rFonts w:ascii="Times New Roman" w:hAnsi="Times New Roman" w:cs="Times New Roman"/>
          <w:lang w:val="sv-SE"/>
        </w:rPr>
      </w:pPr>
    </w:p>
    <w:p w:rsidR="00343B61" w:rsidRDefault="00343B61" w:rsidP="00343B61">
      <w:pPr>
        <w:pStyle w:val="ListParagraph"/>
        <w:spacing w:line="360" w:lineRule="auto"/>
        <w:rPr>
          <w:lang w:val="sv-SE"/>
        </w:rPr>
      </w:pPr>
    </w:p>
    <w:p w:rsidR="00343B61" w:rsidRDefault="00343B61" w:rsidP="00343B61">
      <w:pPr>
        <w:pStyle w:val="ListParagraph"/>
        <w:spacing w:line="360" w:lineRule="auto"/>
        <w:rPr>
          <w:lang w:val="sv-SE"/>
        </w:rPr>
      </w:pPr>
    </w:p>
    <w:p w:rsidR="00343B61" w:rsidRDefault="00343B61" w:rsidP="00343B61">
      <w:pPr>
        <w:pStyle w:val="ListParagraph"/>
        <w:spacing w:line="360" w:lineRule="auto"/>
        <w:rPr>
          <w:lang w:val="sv-SE"/>
        </w:rPr>
      </w:pPr>
    </w:p>
    <w:p w:rsidR="00343B61" w:rsidRPr="002826DA" w:rsidRDefault="00343B61" w:rsidP="00343B61">
      <w:pPr>
        <w:pStyle w:val="ListParagraph"/>
        <w:spacing w:line="360" w:lineRule="auto"/>
        <w:rPr>
          <w:color w:val="FFFFFF"/>
          <w:lang w:val="sv-SE"/>
        </w:rPr>
      </w:pPr>
    </w:p>
    <w:p w:rsidR="00343B61" w:rsidRPr="002826DA" w:rsidRDefault="00343B61" w:rsidP="00343B61">
      <w:pPr>
        <w:spacing w:line="360" w:lineRule="auto"/>
        <w:rPr>
          <w:color w:val="FFFFFF"/>
          <w:lang w:val="sv-SE"/>
        </w:rPr>
      </w:pPr>
      <w:r w:rsidRPr="002826DA">
        <w:rPr>
          <w:color w:val="FFFFFF"/>
          <w:lang w:val="sv-SE"/>
        </w:rPr>
        <w:t>B.  Relevansi Fatwa Majelis Ulama Indonesia dengan Konteks Indonesia</w:t>
      </w:r>
    </w:p>
    <w:p w:rsidR="00343B61" w:rsidRPr="002826DA" w:rsidRDefault="00343B61" w:rsidP="00343B61">
      <w:pPr>
        <w:spacing w:line="360" w:lineRule="auto"/>
        <w:rPr>
          <w:b/>
          <w:bCs/>
          <w:color w:val="FFFFFF"/>
        </w:rPr>
      </w:pPr>
      <w:r w:rsidRPr="002826DA">
        <w:rPr>
          <w:color w:val="FFFFFF"/>
          <w:lang w:val="sv-SE"/>
        </w:rPr>
        <w:t>C. Relevansi Fatwa Majelis Ulama Indonesia Dalam Upaya Pembaharuan Hukum Kel</w:t>
      </w:r>
      <w:r w:rsidRPr="002826DA">
        <w:rPr>
          <w:color w:val="FFFFFF"/>
        </w:rPr>
        <w:t xml:space="preserve">uarga </w:t>
      </w:r>
      <w:r w:rsidRPr="002826DA">
        <w:rPr>
          <w:color w:val="FFFFFF"/>
          <w:lang w:val="sv-SE"/>
        </w:rPr>
        <w:t>Di Indonesia</w:t>
      </w:r>
    </w:p>
    <w:p w:rsidR="00343B61" w:rsidRPr="00ED7D9E" w:rsidRDefault="00343B61" w:rsidP="00343B61">
      <w:pPr>
        <w:spacing w:line="360" w:lineRule="auto"/>
      </w:pPr>
    </w:p>
    <w:p w:rsidR="00343B61" w:rsidRPr="00CB06E2" w:rsidRDefault="00343B61" w:rsidP="00343B61">
      <w:pPr>
        <w:spacing w:after="100" w:afterAutospacing="1" w:line="360" w:lineRule="auto"/>
        <w:ind w:left="720" w:firstLine="630"/>
        <w:jc w:val="both"/>
        <w:rPr>
          <w:rFonts w:asciiTheme="majorBidi" w:hAnsiTheme="majorBidi" w:cstheme="majorBidi"/>
          <w:sz w:val="24"/>
          <w:szCs w:val="24"/>
        </w:rPr>
      </w:pPr>
    </w:p>
    <w:p w:rsidR="00343B61" w:rsidRDefault="00343B61" w:rsidP="00343B61">
      <w:pPr>
        <w:pStyle w:val="ListParagraph"/>
        <w:autoSpaceDE w:val="0"/>
        <w:autoSpaceDN w:val="0"/>
        <w:adjustRightInd w:val="0"/>
        <w:spacing w:after="0" w:line="360" w:lineRule="auto"/>
        <w:ind w:left="450" w:firstLine="720"/>
        <w:jc w:val="both"/>
        <w:rPr>
          <w:rFonts w:ascii="TTE22F8E60t00" w:eastAsia="TTE22F8E60t00" w:hAnsi="Georgia-Italic" w:cs="TTE22F8E60t00"/>
          <w:sz w:val="26"/>
          <w:szCs w:val="26"/>
        </w:rPr>
      </w:pPr>
    </w:p>
    <w:p w:rsidR="00343B61" w:rsidRDefault="00343B61" w:rsidP="00343B61">
      <w:pPr>
        <w:pStyle w:val="ListParagraph"/>
        <w:autoSpaceDE w:val="0"/>
        <w:autoSpaceDN w:val="0"/>
        <w:adjustRightInd w:val="0"/>
        <w:spacing w:after="0" w:line="360" w:lineRule="auto"/>
        <w:ind w:left="450" w:firstLine="720"/>
        <w:jc w:val="both"/>
        <w:rPr>
          <w:rFonts w:ascii="TTE22F8E60t00" w:eastAsia="TTE22F8E60t00" w:hAnsi="Georgia-Italic" w:cs="TTE22F8E60t00"/>
          <w:sz w:val="26"/>
          <w:szCs w:val="26"/>
        </w:rPr>
      </w:pPr>
    </w:p>
    <w:p w:rsidR="00343B61" w:rsidRDefault="00343B61" w:rsidP="00343B61">
      <w:pPr>
        <w:pStyle w:val="ListParagraph"/>
        <w:autoSpaceDE w:val="0"/>
        <w:autoSpaceDN w:val="0"/>
        <w:adjustRightInd w:val="0"/>
        <w:spacing w:after="0" w:line="360" w:lineRule="auto"/>
        <w:ind w:left="450" w:firstLine="720"/>
        <w:jc w:val="both"/>
        <w:rPr>
          <w:rFonts w:ascii="TTE22F8E60t00" w:eastAsia="TTE22F8E60t00" w:hAnsi="Georgia-Italic" w:cs="TTE22F8E60t00"/>
          <w:sz w:val="26"/>
          <w:szCs w:val="26"/>
        </w:rPr>
      </w:pPr>
    </w:p>
    <w:p w:rsidR="00343B61" w:rsidRDefault="00343B61" w:rsidP="00343B61">
      <w:pPr>
        <w:pStyle w:val="ListParagraph"/>
        <w:autoSpaceDE w:val="0"/>
        <w:autoSpaceDN w:val="0"/>
        <w:adjustRightInd w:val="0"/>
        <w:spacing w:after="0" w:line="360" w:lineRule="auto"/>
        <w:ind w:left="450" w:hanging="360"/>
        <w:jc w:val="both"/>
        <w:rPr>
          <w:rFonts w:ascii="TTE22F8E60t00" w:eastAsia="TTE22F8E60t00" w:hAnsi="Georgia-Italic" w:cs="TTE22F8E60t00"/>
          <w:sz w:val="26"/>
          <w:szCs w:val="26"/>
        </w:rPr>
      </w:pPr>
    </w:p>
    <w:p w:rsidR="00343B61" w:rsidRPr="006D44BE" w:rsidRDefault="00343B61" w:rsidP="00343B61">
      <w:pPr>
        <w:pStyle w:val="ListParagraph"/>
        <w:autoSpaceDE w:val="0"/>
        <w:autoSpaceDN w:val="0"/>
        <w:adjustRightInd w:val="0"/>
        <w:spacing w:after="0" w:line="360" w:lineRule="auto"/>
        <w:ind w:left="450" w:hanging="360"/>
        <w:rPr>
          <w:rFonts w:ascii="Georgia" w:hAnsi="Georgia" w:cs="Georgia"/>
          <w:sz w:val="24"/>
          <w:szCs w:val="24"/>
        </w:rPr>
      </w:pPr>
    </w:p>
    <w:p w:rsidR="00343B61" w:rsidRPr="009D3E67" w:rsidRDefault="00343B61" w:rsidP="00343B61">
      <w:pPr>
        <w:autoSpaceDE w:val="0"/>
        <w:autoSpaceDN w:val="0"/>
        <w:adjustRightInd w:val="0"/>
        <w:spacing w:after="0" w:line="360" w:lineRule="auto"/>
        <w:jc w:val="both"/>
        <w:rPr>
          <w:rFonts w:ascii="Times New Roman" w:hAnsi="Times New Roman" w:cs="Times New Roman"/>
          <w:sz w:val="24"/>
          <w:szCs w:val="24"/>
          <w:lang w:val="sv-SE"/>
        </w:rPr>
      </w:pPr>
    </w:p>
    <w:p w:rsidR="00343B61" w:rsidRPr="009D3E67" w:rsidRDefault="00343B61" w:rsidP="00343B61">
      <w:pPr>
        <w:autoSpaceDE w:val="0"/>
        <w:autoSpaceDN w:val="0"/>
        <w:adjustRightInd w:val="0"/>
        <w:spacing w:after="0" w:line="360" w:lineRule="auto"/>
        <w:rPr>
          <w:rFonts w:ascii="Times New Roman" w:hAnsi="Times New Roman" w:cs="Times New Roman"/>
          <w:i/>
          <w:iCs/>
          <w:sz w:val="24"/>
          <w:szCs w:val="24"/>
          <w:lang w:val="sv-SE"/>
        </w:rPr>
      </w:pPr>
    </w:p>
    <w:p w:rsidR="00343B61" w:rsidRPr="00A66414" w:rsidRDefault="00343B61" w:rsidP="00343B61">
      <w:pPr>
        <w:spacing w:before="100" w:beforeAutospacing="1" w:after="100" w:afterAutospacing="1" w:line="360" w:lineRule="auto"/>
        <w:ind w:firstLine="720"/>
        <w:jc w:val="both"/>
        <w:rPr>
          <w:rFonts w:asciiTheme="majorBidi" w:hAnsiTheme="majorBidi" w:cstheme="majorBidi"/>
          <w:sz w:val="24"/>
          <w:szCs w:val="24"/>
          <w:lang w:val="sv-SE"/>
        </w:rPr>
      </w:pPr>
    </w:p>
    <w:p w:rsidR="00343B61" w:rsidRPr="00A66414" w:rsidRDefault="00343B61" w:rsidP="00343B61">
      <w:pPr>
        <w:spacing w:before="100" w:beforeAutospacing="1" w:after="100" w:afterAutospacing="1" w:line="360" w:lineRule="auto"/>
        <w:ind w:firstLine="720"/>
        <w:jc w:val="both"/>
        <w:rPr>
          <w:rFonts w:asciiTheme="majorBidi" w:hAnsiTheme="majorBidi" w:cstheme="majorBidi"/>
          <w:sz w:val="24"/>
          <w:szCs w:val="24"/>
          <w:lang w:val="sv-SE"/>
        </w:rPr>
      </w:pPr>
    </w:p>
    <w:p w:rsidR="00343B61" w:rsidRPr="00A66414" w:rsidRDefault="00343B61" w:rsidP="00343B61">
      <w:pPr>
        <w:tabs>
          <w:tab w:val="left" w:pos="1800"/>
        </w:tabs>
        <w:spacing w:line="360" w:lineRule="auto"/>
        <w:ind w:firstLine="720"/>
        <w:jc w:val="both"/>
        <w:rPr>
          <w:rFonts w:asciiTheme="majorBidi" w:hAnsiTheme="majorBidi" w:cstheme="majorBidi"/>
          <w:sz w:val="24"/>
          <w:szCs w:val="24"/>
          <w:lang w:val="sv-SE"/>
        </w:rPr>
      </w:pPr>
    </w:p>
    <w:p w:rsidR="00343B61" w:rsidRPr="0029474D" w:rsidRDefault="00343B61" w:rsidP="00343B61">
      <w:pPr>
        <w:tabs>
          <w:tab w:val="left" w:pos="1800"/>
        </w:tabs>
        <w:spacing w:line="360" w:lineRule="auto"/>
        <w:ind w:firstLine="720"/>
        <w:jc w:val="both"/>
        <w:rPr>
          <w:rFonts w:asciiTheme="majorBidi" w:hAnsiTheme="majorBidi" w:cstheme="majorBidi"/>
          <w:sz w:val="24"/>
          <w:szCs w:val="24"/>
          <w:lang w:val="sv-SE"/>
        </w:rPr>
      </w:pPr>
    </w:p>
    <w:p w:rsidR="00343B61" w:rsidRPr="0029474D" w:rsidRDefault="00343B61" w:rsidP="00343B61">
      <w:pPr>
        <w:tabs>
          <w:tab w:val="left" w:pos="1800"/>
        </w:tabs>
        <w:spacing w:line="360" w:lineRule="auto"/>
        <w:ind w:firstLine="720"/>
        <w:jc w:val="both"/>
        <w:rPr>
          <w:rFonts w:asciiTheme="majorBidi" w:hAnsiTheme="majorBidi" w:cstheme="majorBidi"/>
          <w:sz w:val="24"/>
          <w:szCs w:val="24"/>
          <w:lang w:val="sv-SE"/>
        </w:rPr>
      </w:pPr>
    </w:p>
    <w:p w:rsidR="00343B61" w:rsidRPr="0029474D" w:rsidRDefault="00343B61" w:rsidP="00343B61">
      <w:pPr>
        <w:tabs>
          <w:tab w:val="left" w:pos="1800"/>
        </w:tabs>
        <w:spacing w:line="360" w:lineRule="auto"/>
        <w:ind w:firstLine="720"/>
        <w:jc w:val="both"/>
        <w:rPr>
          <w:rFonts w:asciiTheme="majorBidi" w:hAnsiTheme="majorBidi" w:cstheme="majorBidi"/>
          <w:sz w:val="24"/>
          <w:szCs w:val="24"/>
          <w:lang w:val="sv-SE"/>
        </w:rPr>
      </w:pPr>
    </w:p>
    <w:p w:rsidR="00343B61" w:rsidRPr="0029474D" w:rsidRDefault="00343B61" w:rsidP="00343B61">
      <w:pPr>
        <w:tabs>
          <w:tab w:val="left" w:pos="1800"/>
        </w:tabs>
        <w:spacing w:line="360" w:lineRule="auto"/>
        <w:ind w:firstLine="720"/>
        <w:jc w:val="both"/>
        <w:rPr>
          <w:rFonts w:asciiTheme="majorBidi" w:hAnsiTheme="majorBidi" w:cstheme="majorBidi"/>
          <w:sz w:val="24"/>
          <w:szCs w:val="24"/>
          <w:lang w:val="sv-SE"/>
        </w:rPr>
      </w:pPr>
    </w:p>
    <w:p w:rsidR="00343B61" w:rsidRPr="00A66414" w:rsidRDefault="00343B61" w:rsidP="00343B61">
      <w:pPr>
        <w:tabs>
          <w:tab w:val="left" w:pos="540"/>
        </w:tabs>
        <w:spacing w:line="360" w:lineRule="auto"/>
        <w:jc w:val="both"/>
        <w:rPr>
          <w:rFonts w:asciiTheme="majorBidi" w:hAnsiTheme="majorBidi" w:cstheme="majorBidi"/>
          <w:sz w:val="20"/>
          <w:szCs w:val="20"/>
          <w:lang w:val="sv-SE"/>
        </w:rPr>
      </w:pPr>
    </w:p>
    <w:p w:rsidR="00343B61" w:rsidRPr="0029474D" w:rsidRDefault="00343B61" w:rsidP="00343B61">
      <w:pPr>
        <w:tabs>
          <w:tab w:val="left" w:pos="720"/>
        </w:tabs>
        <w:spacing w:line="360" w:lineRule="auto"/>
        <w:jc w:val="both"/>
        <w:rPr>
          <w:rFonts w:asciiTheme="majorBidi" w:hAnsiTheme="majorBidi" w:cstheme="majorBidi"/>
          <w:lang w:val="sv-SE"/>
        </w:rPr>
      </w:pPr>
    </w:p>
    <w:p w:rsidR="00343B61" w:rsidRPr="00A66414" w:rsidRDefault="00343B61" w:rsidP="00343B61">
      <w:pPr>
        <w:spacing w:line="360" w:lineRule="auto"/>
        <w:rPr>
          <w:rFonts w:asciiTheme="majorBidi" w:hAnsiTheme="majorBidi" w:cstheme="majorBidi"/>
          <w:szCs w:val="24"/>
          <w:lang w:val="sv-SE"/>
        </w:rPr>
      </w:pPr>
    </w:p>
    <w:p w:rsidR="00343B61" w:rsidRPr="00A66414"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Default="00343B61" w:rsidP="00343B61">
      <w:pPr>
        <w:tabs>
          <w:tab w:val="left" w:pos="720"/>
          <w:tab w:val="right" w:pos="5687"/>
        </w:tabs>
        <w:spacing w:line="360" w:lineRule="auto"/>
        <w:jc w:val="both"/>
        <w:rPr>
          <w:rFonts w:asciiTheme="majorBidi" w:hAnsiTheme="majorBidi" w:cstheme="majorBidi"/>
          <w:sz w:val="24"/>
          <w:szCs w:val="24"/>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259C7"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CD509B" w:rsidRDefault="00343B61" w:rsidP="00343B61">
      <w:pPr>
        <w:autoSpaceDE w:val="0"/>
        <w:autoSpaceDN w:val="0"/>
        <w:adjustRightInd w:val="0"/>
        <w:spacing w:after="0" w:line="360" w:lineRule="auto"/>
        <w:jc w:val="both"/>
        <w:rPr>
          <w:rFonts w:ascii="Times New Roman" w:hAnsi="Times New Roman" w:cs="Times New Roman"/>
          <w:sz w:val="23"/>
          <w:szCs w:val="23"/>
          <w:lang w:val="sv-SE"/>
        </w:rPr>
      </w:pPr>
    </w:p>
    <w:p w:rsidR="00343B61" w:rsidRPr="00014257" w:rsidRDefault="00343B61" w:rsidP="00343B61">
      <w:pPr>
        <w:pStyle w:val="ListParagraph"/>
        <w:tabs>
          <w:tab w:val="left" w:pos="1800"/>
        </w:tabs>
        <w:spacing w:line="360" w:lineRule="auto"/>
        <w:ind w:left="540"/>
        <w:jc w:val="both"/>
        <w:rPr>
          <w:rFonts w:asciiTheme="majorBidi" w:hAnsiTheme="majorBidi" w:cstheme="majorBidi"/>
          <w:lang w:val="sv-SE"/>
        </w:rPr>
      </w:pPr>
    </w:p>
    <w:p w:rsidR="00343B61" w:rsidRPr="00C259C7" w:rsidRDefault="00343B61" w:rsidP="00343B61">
      <w:pPr>
        <w:spacing w:line="360" w:lineRule="auto"/>
        <w:rPr>
          <w:szCs w:val="24"/>
          <w:lang w:val="sv-SE"/>
        </w:rPr>
      </w:pPr>
    </w:p>
    <w:p w:rsidR="00343B61" w:rsidRPr="00510542" w:rsidRDefault="00343B61" w:rsidP="00343B61">
      <w:pPr>
        <w:autoSpaceDE w:val="0"/>
        <w:autoSpaceDN w:val="0"/>
        <w:adjustRightInd w:val="0"/>
        <w:spacing w:after="0" w:line="360" w:lineRule="auto"/>
        <w:jc w:val="both"/>
        <w:rPr>
          <w:rFonts w:ascii="Z@R72D2.tmp" w:hAnsi="Z@R72D2.tmp" w:cs="Z@R72D2.tmp"/>
          <w:sz w:val="23"/>
          <w:szCs w:val="23"/>
          <w:lang w:val="sv-SE"/>
        </w:rPr>
      </w:pPr>
    </w:p>
    <w:p w:rsidR="00343B61" w:rsidRPr="00E22AB8" w:rsidRDefault="00343B61" w:rsidP="00343B61">
      <w:pPr>
        <w:autoSpaceDE w:val="0"/>
        <w:autoSpaceDN w:val="0"/>
        <w:adjustRightInd w:val="0"/>
        <w:spacing w:after="0" w:line="360" w:lineRule="auto"/>
        <w:ind w:firstLine="720"/>
        <w:jc w:val="both"/>
        <w:rPr>
          <w:rFonts w:ascii="Z@R72D2.tmp" w:hAnsi="Z@R72D2.tmp" w:cs="Z@R72D2.tmp"/>
          <w:sz w:val="23"/>
          <w:szCs w:val="23"/>
        </w:rPr>
      </w:pPr>
    </w:p>
    <w:p w:rsidR="00343B61" w:rsidRPr="000D6FAA" w:rsidRDefault="00343B61" w:rsidP="00343B61">
      <w:pPr>
        <w:spacing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ind w:firstLine="720"/>
        <w:jc w:val="both"/>
        <w:rPr>
          <w:rFonts w:ascii="Times New Roman" w:hAnsi="Times New Roman" w:cs="Times New Roman"/>
          <w:sz w:val="24"/>
          <w:szCs w:val="24"/>
          <w:rtl/>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Z@RE85.tmp" w:hAnsi="Z@RE85.tmp" w:cs="Z@RE85.tmp"/>
          <w:sz w:val="24"/>
          <w:szCs w:val="24"/>
        </w:rPr>
      </w:pPr>
    </w:p>
    <w:p w:rsidR="00343B61" w:rsidRPr="000D6FAA"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ind w:firstLine="720"/>
        <w:jc w:val="both"/>
        <w:rPr>
          <w:rFonts w:asciiTheme="majorBidi" w:hAnsiTheme="majorBidi" w:cstheme="majorBidi"/>
          <w:sz w:val="24"/>
          <w:szCs w:val="24"/>
        </w:rPr>
      </w:pPr>
    </w:p>
    <w:p w:rsidR="00343B61" w:rsidRPr="000D6FAA" w:rsidRDefault="00343B61" w:rsidP="00343B61">
      <w:pPr>
        <w:autoSpaceDE w:val="0"/>
        <w:autoSpaceDN w:val="0"/>
        <w:adjustRightInd w:val="0"/>
        <w:spacing w:after="0" w:line="360" w:lineRule="auto"/>
        <w:jc w:val="both"/>
        <w:rPr>
          <w:rFonts w:asciiTheme="majorBidi" w:hAnsiTheme="majorBidi" w:cstheme="majorBidi"/>
          <w:sz w:val="24"/>
          <w:szCs w:val="24"/>
        </w:rPr>
      </w:pPr>
    </w:p>
    <w:p w:rsidR="00343B61" w:rsidRPr="00A51F34" w:rsidRDefault="00343B61" w:rsidP="00343B61">
      <w:pPr>
        <w:autoSpaceDE w:val="0"/>
        <w:autoSpaceDN w:val="0"/>
        <w:adjustRightInd w:val="0"/>
        <w:spacing w:line="360" w:lineRule="auto"/>
        <w:ind w:firstLine="720"/>
        <w:jc w:val="both"/>
        <w:rPr>
          <w:rFonts w:asciiTheme="majorBidi" w:hAnsiTheme="majorBidi" w:cstheme="majorBidi"/>
          <w:sz w:val="24"/>
          <w:szCs w:val="24"/>
        </w:rPr>
      </w:pPr>
    </w:p>
    <w:p w:rsidR="00343B61" w:rsidRPr="00A51F34" w:rsidRDefault="00343B61" w:rsidP="00343B61">
      <w:pPr>
        <w:pStyle w:val="ListParagraph"/>
        <w:autoSpaceDE w:val="0"/>
        <w:autoSpaceDN w:val="0"/>
        <w:adjustRightInd w:val="0"/>
        <w:spacing w:after="0" w:line="360" w:lineRule="auto"/>
        <w:ind w:left="0" w:firstLine="720"/>
        <w:jc w:val="both"/>
        <w:rPr>
          <w:rFonts w:asciiTheme="majorBidi" w:hAnsiTheme="majorBidi" w:cstheme="majorBidi"/>
          <w:sz w:val="24"/>
          <w:szCs w:val="24"/>
        </w:rPr>
      </w:pPr>
    </w:p>
    <w:p w:rsidR="00343B61" w:rsidRPr="00A51F34" w:rsidRDefault="00343B61" w:rsidP="00343B61">
      <w:pPr>
        <w:spacing w:line="360" w:lineRule="auto"/>
        <w:rPr>
          <w:rFonts w:asciiTheme="majorBidi" w:hAnsiTheme="majorBidi" w:cstheme="majorBidi"/>
          <w:sz w:val="24"/>
          <w:szCs w:val="24"/>
        </w:rPr>
      </w:pPr>
    </w:p>
    <w:p w:rsidR="00343B61" w:rsidRDefault="00343B61" w:rsidP="00343B61"/>
    <w:p w:rsidR="00343B61" w:rsidRPr="00EB5FCD" w:rsidRDefault="00343B61" w:rsidP="00343B61">
      <w:pPr>
        <w:pStyle w:val="Default"/>
        <w:spacing w:line="360" w:lineRule="auto"/>
        <w:ind w:left="900" w:firstLine="630"/>
        <w:jc w:val="both"/>
        <w:rPr>
          <w:rFonts w:asciiTheme="majorBidi" w:hAnsiTheme="majorBidi" w:cstheme="majorBidi"/>
          <w:rtl/>
        </w:rPr>
      </w:pPr>
    </w:p>
    <w:p w:rsidR="00343B61" w:rsidRPr="00343B61" w:rsidRDefault="00343B61" w:rsidP="00C16A93">
      <w:pPr>
        <w:pStyle w:val="ListParagraph"/>
        <w:spacing w:after="0" w:line="360" w:lineRule="auto"/>
        <w:ind w:left="0" w:firstLine="720"/>
        <w:jc w:val="both"/>
        <w:rPr>
          <w:rFonts w:ascii="Times New Roman" w:hAnsi="Times New Roman" w:cs="Times New Roman"/>
          <w:sz w:val="24"/>
          <w:szCs w:val="24"/>
        </w:rPr>
      </w:pPr>
    </w:p>
    <w:p w:rsidR="00BC41DD" w:rsidRPr="00FC20CC" w:rsidRDefault="00BC41DD" w:rsidP="00C16A93">
      <w:pPr>
        <w:pStyle w:val="ListParagraph"/>
        <w:spacing w:after="0" w:line="360" w:lineRule="auto"/>
        <w:ind w:left="0" w:hanging="1260"/>
        <w:jc w:val="both"/>
        <w:rPr>
          <w:rFonts w:ascii="Times New Roman" w:hAnsi="Times New Roman" w:cs="Times New Roman"/>
          <w:sz w:val="24"/>
          <w:szCs w:val="24"/>
          <w:lang w:val="sv-SE"/>
        </w:rPr>
      </w:pPr>
    </w:p>
    <w:p w:rsidR="00E70F01" w:rsidRPr="00FC20CC" w:rsidRDefault="00E70F01" w:rsidP="00A33E46">
      <w:pPr>
        <w:spacing w:after="0" w:line="360" w:lineRule="auto"/>
        <w:ind w:left="360"/>
        <w:jc w:val="both"/>
        <w:rPr>
          <w:rFonts w:asciiTheme="majorBidi" w:hAnsiTheme="majorBidi" w:cstheme="majorBidi"/>
          <w:sz w:val="24"/>
          <w:szCs w:val="24"/>
          <w:lang w:val="sv-SE"/>
        </w:rPr>
      </w:pPr>
    </w:p>
    <w:p w:rsidR="001835C4" w:rsidRPr="00FC20CC" w:rsidRDefault="001835C4" w:rsidP="00A33E46">
      <w:pPr>
        <w:spacing w:after="0" w:line="360" w:lineRule="auto"/>
        <w:ind w:left="360"/>
        <w:jc w:val="both"/>
        <w:rPr>
          <w:rFonts w:asciiTheme="majorBidi" w:hAnsiTheme="majorBidi" w:cstheme="majorBidi"/>
          <w:sz w:val="24"/>
          <w:szCs w:val="24"/>
          <w:lang w:val="sv-SE"/>
        </w:rPr>
      </w:pPr>
    </w:p>
    <w:p w:rsidR="001835C4" w:rsidRPr="00FC20CC" w:rsidRDefault="001835C4" w:rsidP="00A33E46">
      <w:pPr>
        <w:spacing w:after="0" w:line="360" w:lineRule="auto"/>
        <w:ind w:left="360"/>
        <w:jc w:val="both"/>
        <w:rPr>
          <w:rFonts w:asciiTheme="majorBidi" w:hAnsiTheme="majorBidi" w:cstheme="majorBidi"/>
          <w:sz w:val="24"/>
          <w:szCs w:val="24"/>
          <w:lang w:val="sv-SE"/>
        </w:rPr>
      </w:pPr>
    </w:p>
    <w:p w:rsidR="00E70F01" w:rsidRPr="00FC20CC" w:rsidRDefault="00E70F01" w:rsidP="00A33E46">
      <w:pPr>
        <w:spacing w:line="360" w:lineRule="auto"/>
        <w:jc w:val="center"/>
        <w:rPr>
          <w:rFonts w:asciiTheme="majorBidi" w:hAnsiTheme="majorBidi" w:cstheme="majorBidi"/>
          <w:b/>
          <w:bCs/>
          <w:sz w:val="24"/>
          <w:szCs w:val="24"/>
          <w:lang w:val="sv-SE"/>
        </w:rPr>
      </w:pPr>
    </w:p>
    <w:p w:rsidR="00B30CA2" w:rsidRPr="00FC20CC" w:rsidRDefault="00B30CA2" w:rsidP="00A33E46">
      <w:pPr>
        <w:spacing w:line="360" w:lineRule="auto"/>
        <w:jc w:val="center"/>
        <w:rPr>
          <w:rFonts w:asciiTheme="majorBidi" w:hAnsiTheme="majorBidi" w:cstheme="majorBidi"/>
          <w:b/>
          <w:bCs/>
          <w:sz w:val="24"/>
          <w:szCs w:val="24"/>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B30CA2" w:rsidRDefault="00B30CA2" w:rsidP="00A33E46">
      <w:pPr>
        <w:spacing w:line="360" w:lineRule="auto"/>
        <w:jc w:val="center"/>
        <w:rPr>
          <w:rFonts w:asciiTheme="majorBidi" w:hAnsiTheme="majorBidi" w:cstheme="majorBidi"/>
          <w:b/>
          <w:bCs/>
          <w:lang w:val="sv-SE"/>
        </w:rPr>
      </w:pPr>
    </w:p>
    <w:p w:rsidR="004663A9" w:rsidRPr="003126DF" w:rsidRDefault="004663A9" w:rsidP="00A33E46">
      <w:pPr>
        <w:spacing w:after="0" w:line="360" w:lineRule="auto"/>
        <w:rPr>
          <w:szCs w:val="24"/>
        </w:rPr>
      </w:pPr>
    </w:p>
    <w:sectPr w:rsidR="004663A9" w:rsidRPr="003126DF" w:rsidSect="00123D22">
      <w:headerReference w:type="even" r:id="rId23"/>
      <w:headerReference w:type="default" r:id="rId24"/>
      <w:footerReference w:type="even" r:id="rId25"/>
      <w:pgSz w:w="11906" w:h="16838" w:code="9"/>
      <w:pgMar w:top="2268" w:right="1701" w:bottom="1701" w:left="225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A33" w:rsidRDefault="002C0A33">
      <w:r>
        <w:separator/>
      </w:r>
    </w:p>
  </w:endnote>
  <w:endnote w:type="continuationSeparator" w:id="1">
    <w:p w:rsidR="002C0A33" w:rsidRDefault="002C0A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Z@RB1D9.tmp">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Arabic">
    <w:altName w:val="Times New Roman"/>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ovanni-Book">
    <w:altName w:val="Times New Roman"/>
    <w:panose1 w:val="00000000000000000000"/>
    <w:charset w:val="00"/>
    <w:family w:val="auto"/>
    <w:notTrueType/>
    <w:pitch w:val="default"/>
    <w:sig w:usb0="00000003" w:usb1="00000000" w:usb2="00000000" w:usb3="00000000" w:csb0="00000001" w:csb1="00000000"/>
  </w:font>
  <w:font w:name="Giovanni-BookItalic">
    <w:altName w:val="Times New Roman"/>
    <w:panose1 w:val="00000000000000000000"/>
    <w:charset w:val="00"/>
    <w:family w:val="auto"/>
    <w:notTrueType/>
    <w:pitch w:val="default"/>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Adobe نسخ Medium">
    <w:panose1 w:val="00000000000000000000"/>
    <w:charset w:val="00"/>
    <w:family w:val="modern"/>
    <w:notTrueType/>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font>
  <w:font w:name="Z@R72D2.tmp">
    <w:altName w:val="Times New Roman"/>
    <w:panose1 w:val="00000000000000000000"/>
    <w:charset w:val="00"/>
    <w:family w:val="roman"/>
    <w:notTrueType/>
    <w:pitch w:val="default"/>
    <w:sig w:usb0="00000003" w:usb1="00000000" w:usb2="00000000" w:usb3="00000000" w:csb0="00000001" w:csb1="00000000"/>
  </w:font>
  <w:font w:name="Z@R72D6.tmp,Italic">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rial Rounded MT Bold">
    <w:panose1 w:val="020F0704030504030204"/>
    <w:charset w:val="00"/>
    <w:family w:val="swiss"/>
    <w:pitch w:val="variable"/>
    <w:sig w:usb0="0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 w:name="PMingLiU">
    <w:altName w:val="新細明體"/>
    <w:panose1 w:val="02020500000000000000"/>
    <w:charset w:val="88"/>
    <w:family w:val="roman"/>
    <w:pitch w:val="variable"/>
    <w:sig w:usb0="A00002FF" w:usb1="28CFFCFA" w:usb2="00000016" w:usb3="00000000" w:csb0="00100001" w:csb1="00000000"/>
  </w:font>
  <w:font w:name="TraditionalArabic">
    <w:panose1 w:val="00000000000000000000"/>
    <w:charset w:val="B2"/>
    <w:family w:val="auto"/>
    <w:notTrueType/>
    <w:pitch w:val="default"/>
    <w:sig w:usb0="00002001" w:usb1="00000000" w:usb2="00000000" w:usb3="00000000" w:csb0="00000040" w:csb1="00000000"/>
  </w:font>
  <w:font w:name="TimesNewArab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SimplifiedArabic">
    <w:panose1 w:val="00000000000000000000"/>
    <w:charset w:val="B2"/>
    <w:family w:val="auto"/>
    <w:notTrueType/>
    <w:pitch w:val="default"/>
    <w:sig w:usb0="00002001" w:usb1="00000000" w:usb2="00000000" w:usb3="00000000" w:csb0="00000040" w:csb1="00000000"/>
  </w:font>
  <w:font w:name="Z@R7072.tmp">
    <w:altName w:val="Times New Roman"/>
    <w:panose1 w:val="00000000000000000000"/>
    <w:charset w:val="00"/>
    <w:family w:val="roman"/>
    <w:notTrueType/>
    <w:pitch w:val="default"/>
    <w:sig w:usb0="00000003" w:usb1="00000000" w:usb2="00000000" w:usb3="00000000" w:csb0="00000001" w:csb1="00000000"/>
  </w:font>
  <w:font w:name="Z@R7078.tmp,Italic">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B2"/>
    <w:family w:val="auto"/>
    <w:notTrueType/>
    <w:pitch w:val="default"/>
    <w:sig w:usb0="00002001" w:usb1="00000000" w:usb2="00000000" w:usb3="00000000" w:csb0="00000040" w:csb1="00000000"/>
  </w:font>
  <w:font w:name="Arial,Italic">
    <w:panose1 w:val="00000000000000000000"/>
    <w:charset w:val="B2"/>
    <w:family w:val="auto"/>
    <w:notTrueType/>
    <w:pitch w:val="default"/>
    <w:sig w:usb0="00002001" w:usb1="00000000" w:usb2="00000000" w:usb3="00000000" w:csb0="00000040" w:csb1="00000000"/>
  </w:font>
  <w:font w:name="Transliterasi">
    <w:altName w:val="Times New Roman"/>
    <w:panose1 w:val="00000000000000000000"/>
    <w:charset w:val="B2"/>
    <w:family w:val="auto"/>
    <w:notTrueType/>
    <w:pitch w:val="default"/>
    <w:sig w:usb0="00002000" w:usb1="00000000" w:usb2="00000000" w:usb3="00000000" w:csb0="00000040" w:csb1="00000000"/>
  </w:font>
  <w:font w:name="Transliterasi,Italic">
    <w:altName w:val="Times New Roman"/>
    <w:panose1 w:val="00000000000000000000"/>
    <w:charset w:val="EE"/>
    <w:family w:val="auto"/>
    <w:notTrueType/>
    <w:pitch w:val="default"/>
    <w:sig w:usb0="00000005" w:usb1="00000000" w:usb2="00000000" w:usb3="00000000" w:csb0="00000002" w:csb1="00000000"/>
  </w:font>
  <w:font w:name="Times New Arabic+FPEF">
    <w:panose1 w:val="00000000000000000000"/>
    <w:charset w:val="B2"/>
    <w:family w:val="auto"/>
    <w:notTrueType/>
    <w:pitch w:val="default"/>
    <w:sig w:usb0="00002001" w:usb1="00000000" w:usb2="00000000" w:usb3="00000000" w:csb0="00000040" w:csb1="00000000"/>
  </w:font>
  <w:font w:name="Z@RE85.tmp">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A3"/>
    <w:family w:val="auto"/>
    <w:notTrueType/>
    <w:pitch w:val="default"/>
    <w:sig w:usb0="20000001" w:usb1="00000000" w:usb2="00000000" w:usb3="00000000" w:csb0="00000100" w:csb1="00000000"/>
  </w:font>
  <w:font w:name="Z@RE87.tmp,Italic">
    <w:altName w:val="Times New Roman"/>
    <w:panose1 w:val="00000000000000000000"/>
    <w:charset w:val="00"/>
    <w:family w:val="roman"/>
    <w:notTrueType/>
    <w:pitch w:val="default"/>
    <w:sig w:usb0="00000003" w:usb1="00000000" w:usb2="00000000" w:usb3="00000000" w:csb0="00000001" w:csb1="00000000"/>
  </w:font>
  <w:font w:name="Z@RE7F.tmp">
    <w:altName w:val="Times New Roman"/>
    <w:panose1 w:val="00000000000000000000"/>
    <w:charset w:val="00"/>
    <w:family w:val="roman"/>
    <w:notTrueType/>
    <w:pitch w:val="default"/>
    <w:sig w:usb0="00000003" w:usb1="00000000" w:usb2="00000000" w:usb3="00000000" w:csb0="00000001" w:csb1="00000000"/>
  </w:font>
  <w:font w:name="Z@R72D4.tmp,Bold">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B2"/>
    <w:family w:val="auto"/>
    <w:notTrueType/>
    <w:pitch w:val="default"/>
    <w:sig w:usb0="00002001" w:usb1="00000000" w:usb2="00000000" w:usb3="00000000" w:csb0="00000040" w:csb1="00000000"/>
  </w:font>
  <w:font w:name="TTE22EF0A8t00">
    <w:altName w:val="Arial Unicode MS"/>
    <w:panose1 w:val="00000000000000000000"/>
    <w:charset w:val="88"/>
    <w:family w:val="auto"/>
    <w:notTrueType/>
    <w:pitch w:val="default"/>
    <w:sig w:usb0="00000001" w:usb1="08080000" w:usb2="00000010" w:usb3="00000000" w:csb0="00100000" w:csb1="00000000"/>
  </w:font>
  <w:font w:name="Z@R7589.tmp">
    <w:altName w:val="Times New Roman"/>
    <w:panose1 w:val="00000000000000000000"/>
    <w:charset w:val="00"/>
    <w:family w:val="roman"/>
    <w:notTrueType/>
    <w:pitch w:val="default"/>
    <w:sig w:usb0="00000003" w:usb1="00000000" w:usb2="00000000" w:usb3="00000000" w:csb0="00000001" w:csb1="00000000"/>
  </w:font>
  <w:font w:name="Z@R758F.tmp,Italic">
    <w:altName w:val="Times New Roman"/>
    <w:panose1 w:val="00000000000000000000"/>
    <w:charset w:val="00"/>
    <w:family w:val="roman"/>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Georgia-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E22F8E60t00">
    <w:altName w:val="Arial Unicode MS"/>
    <w:panose1 w:val="00000000000000000000"/>
    <w:charset w:val="88"/>
    <w:family w:val="auto"/>
    <w:notTrueType/>
    <w:pitch w:val="default"/>
    <w:sig w:usb0="00000001" w:usb1="08080000" w:usb2="00000010" w:usb3="00000000" w:csb0="00100000" w:csb1="00000000"/>
  </w:font>
  <w:font w:name="+mn-ea">
    <w:altName w:val="Times New Roman"/>
    <w:panose1 w:val="00000000000000000000"/>
    <w:charset w:val="00"/>
    <w:family w:val="roman"/>
    <w:notTrueType/>
    <w:pitch w:val="default"/>
    <w:sig w:usb0="00000000" w:usb1="00000000" w:usb2="00000000" w:usb3="00000000" w:csb0="00000000" w:csb1="00000000"/>
  </w:font>
  <w:font w:name="Z@RB1DB.tmp,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61" w:rsidRDefault="00343B61" w:rsidP="002F43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3B61" w:rsidRDefault="00343B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6225"/>
      <w:docPartObj>
        <w:docPartGallery w:val="Page Numbers (Bottom of Page)"/>
        <w:docPartUnique/>
      </w:docPartObj>
    </w:sdtPr>
    <w:sdtContent>
      <w:p w:rsidR="00343B61" w:rsidRDefault="00343B61">
        <w:pPr>
          <w:pStyle w:val="Footer"/>
          <w:jc w:val="center"/>
        </w:pPr>
        <w:r w:rsidRPr="008F7ACF">
          <w:rPr>
            <w:color w:val="FFFFFF" w:themeColor="background1"/>
          </w:rPr>
          <w:fldChar w:fldCharType="begin"/>
        </w:r>
        <w:r w:rsidRPr="008F7ACF">
          <w:rPr>
            <w:color w:val="FFFFFF" w:themeColor="background1"/>
          </w:rPr>
          <w:instrText xml:space="preserve"> PAGE   \* MERGEFORMAT </w:instrText>
        </w:r>
        <w:r w:rsidRPr="008F7ACF">
          <w:rPr>
            <w:color w:val="FFFFFF" w:themeColor="background1"/>
          </w:rPr>
          <w:fldChar w:fldCharType="separate"/>
        </w:r>
        <w:r w:rsidR="004B303F">
          <w:rPr>
            <w:noProof/>
            <w:color w:val="FFFFFF" w:themeColor="background1"/>
          </w:rPr>
          <w:t>1</w:t>
        </w:r>
        <w:r w:rsidRPr="008F7ACF">
          <w:rPr>
            <w:color w:val="FFFFFF" w:themeColor="background1"/>
          </w:rPr>
          <w:fldChar w:fldCharType="end"/>
        </w:r>
      </w:p>
    </w:sdtContent>
  </w:sdt>
  <w:p w:rsidR="00343B61" w:rsidRDefault="00343B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61" w:rsidRDefault="00343B6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7C3" w:rsidRDefault="00144157" w:rsidP="002F43A2">
    <w:pPr>
      <w:pStyle w:val="Footer"/>
      <w:framePr w:wrap="around" w:vAnchor="text" w:hAnchor="margin" w:xAlign="center" w:y="1"/>
      <w:rPr>
        <w:rStyle w:val="PageNumber"/>
      </w:rPr>
    </w:pPr>
    <w:r>
      <w:rPr>
        <w:rStyle w:val="PageNumber"/>
      </w:rPr>
      <w:fldChar w:fldCharType="begin"/>
    </w:r>
    <w:r w:rsidR="009677C3">
      <w:rPr>
        <w:rStyle w:val="PageNumber"/>
      </w:rPr>
      <w:instrText xml:space="preserve">PAGE  </w:instrText>
    </w:r>
    <w:r>
      <w:rPr>
        <w:rStyle w:val="PageNumber"/>
      </w:rPr>
      <w:fldChar w:fldCharType="end"/>
    </w:r>
  </w:p>
  <w:p w:rsidR="009677C3" w:rsidRDefault="009677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A33" w:rsidRDefault="002C0A33">
      <w:r>
        <w:separator/>
      </w:r>
    </w:p>
  </w:footnote>
  <w:footnote w:type="continuationSeparator" w:id="1">
    <w:p w:rsidR="002C0A33" w:rsidRDefault="002C0A33">
      <w:r>
        <w:continuationSeparator/>
      </w:r>
    </w:p>
  </w:footnote>
  <w:footnote w:id="2">
    <w:p w:rsidR="009677C3" w:rsidRPr="00366047" w:rsidRDefault="009677C3" w:rsidP="00366047">
      <w:pPr>
        <w:pStyle w:val="FootnoteText"/>
        <w:ind w:firstLine="720"/>
        <w:jc w:val="both"/>
      </w:pPr>
      <w:r w:rsidRPr="00366047">
        <w:rPr>
          <w:rStyle w:val="FootnoteReference"/>
        </w:rPr>
        <w:footnoteRef/>
      </w:r>
      <w:r w:rsidRPr="00366047">
        <w:t xml:space="preserve"> </w:t>
      </w:r>
      <w:r w:rsidRPr="00366047">
        <w:rPr>
          <w:rFonts w:asciiTheme="majorBidi" w:hAnsiTheme="majorBidi" w:cstheme="majorBidi"/>
        </w:rPr>
        <w:t>Lihat.</w:t>
      </w:r>
      <w:r w:rsidRPr="00366047">
        <w:t xml:space="preserve"> </w:t>
      </w:r>
      <w:r w:rsidRPr="00366047">
        <w:rPr>
          <w:rFonts w:ascii="Times New Roman" w:hAnsi="Times New Roman" w:cs="Times New Roman"/>
        </w:rPr>
        <w:t xml:space="preserve">Ma'ruf Amin, </w:t>
      </w:r>
      <w:r w:rsidRPr="00366047">
        <w:rPr>
          <w:rFonts w:ascii="Times New Roman" w:hAnsi="Times New Roman" w:cs="Times New Roman"/>
          <w:i/>
          <w:iCs/>
        </w:rPr>
        <w:t xml:space="preserve">Fatwa dan Kedudukannya Dalam Islam, </w:t>
      </w:r>
      <w:r w:rsidRPr="00366047">
        <w:rPr>
          <w:rFonts w:ascii="Times New Roman" w:hAnsi="Times New Roman" w:cs="Times New Roman"/>
        </w:rPr>
        <w:t>Makalah, disampaikan pada</w:t>
      </w:r>
      <w:r w:rsidRPr="00366047">
        <w:rPr>
          <w:rFonts w:ascii="Times New Roman" w:hAnsi="Times New Roman" w:cs="Times New Roman"/>
          <w:i/>
          <w:iCs/>
        </w:rPr>
        <w:t xml:space="preserve"> </w:t>
      </w:r>
      <w:r w:rsidRPr="00366047">
        <w:rPr>
          <w:rFonts w:ascii="Times New Roman" w:hAnsi="Times New Roman" w:cs="Times New Roman"/>
        </w:rPr>
        <w:t>Konferensi Internasional tentang Fatwa di Jakarta, Selasa 25 Desember 2012.</w:t>
      </w:r>
    </w:p>
  </w:footnote>
  <w:footnote w:id="3">
    <w:p w:rsidR="009677C3" w:rsidRPr="00366047" w:rsidRDefault="009677C3" w:rsidP="00366047">
      <w:pPr>
        <w:pStyle w:val="ListParagraph"/>
        <w:spacing w:after="0" w:line="240" w:lineRule="auto"/>
        <w:ind w:left="0" w:firstLine="720"/>
        <w:jc w:val="both"/>
        <w:rPr>
          <w:rFonts w:asciiTheme="majorBidi" w:hAnsiTheme="majorBidi" w:cstheme="majorBidi"/>
          <w:sz w:val="20"/>
          <w:szCs w:val="20"/>
        </w:rPr>
      </w:pPr>
      <w:r w:rsidRPr="00366047">
        <w:rPr>
          <w:rStyle w:val="FootnoteReference"/>
          <w:rFonts w:asciiTheme="majorBidi" w:hAnsiTheme="majorBidi" w:cstheme="majorBidi"/>
          <w:sz w:val="20"/>
          <w:szCs w:val="20"/>
        </w:rPr>
        <w:footnoteRef/>
      </w:r>
      <w:r w:rsidRPr="00366047">
        <w:rPr>
          <w:rFonts w:asciiTheme="majorBidi" w:hAnsiTheme="majorBidi" w:cstheme="majorBidi"/>
          <w:sz w:val="20"/>
          <w:szCs w:val="20"/>
        </w:rPr>
        <w:t xml:space="preserve"> Lihat.</w:t>
      </w:r>
      <w:r w:rsidRPr="00366047">
        <w:rPr>
          <w:sz w:val="20"/>
          <w:szCs w:val="20"/>
        </w:rPr>
        <w:t xml:space="preserve"> </w:t>
      </w:r>
      <w:r w:rsidRPr="00366047">
        <w:rPr>
          <w:rFonts w:asciiTheme="majorBidi" w:hAnsiTheme="majorBidi" w:cstheme="majorBidi"/>
          <w:sz w:val="20"/>
          <w:szCs w:val="20"/>
        </w:rPr>
        <w:t xml:space="preserve">Ibrahim Najib Muhammad Iwa, </w:t>
      </w:r>
      <w:r>
        <w:rPr>
          <w:rFonts w:asciiTheme="majorBidi" w:hAnsiTheme="majorBidi" w:cstheme="majorBidi"/>
          <w:i/>
          <w:iCs/>
          <w:sz w:val="20"/>
          <w:szCs w:val="20"/>
        </w:rPr>
        <w:t>Al-Qadā fi Al-Isl</w:t>
      </w:r>
      <w:r w:rsidRPr="00366047">
        <w:rPr>
          <w:rFonts w:asciiTheme="majorBidi" w:hAnsiTheme="majorBidi" w:cstheme="majorBidi"/>
          <w:i/>
          <w:iCs/>
          <w:sz w:val="20"/>
          <w:szCs w:val="20"/>
        </w:rPr>
        <w:t>ām</w:t>
      </w:r>
      <w:r w:rsidRPr="00366047">
        <w:rPr>
          <w:rFonts w:asciiTheme="majorBidi" w:hAnsiTheme="majorBidi" w:cstheme="majorBidi"/>
          <w:sz w:val="20"/>
          <w:szCs w:val="20"/>
        </w:rPr>
        <w:t>,(Kairo: Majma’ Al Buhuts al Islāmi, 1975), h. 10</w:t>
      </w:r>
    </w:p>
  </w:footnote>
  <w:footnote w:id="4">
    <w:p w:rsidR="009677C3" w:rsidRPr="00366047" w:rsidRDefault="009677C3" w:rsidP="00366047">
      <w:pPr>
        <w:pStyle w:val="ListParagraph"/>
        <w:spacing w:after="0" w:line="240" w:lineRule="auto"/>
        <w:ind w:left="0" w:firstLine="720"/>
        <w:jc w:val="both"/>
        <w:rPr>
          <w:rFonts w:asciiTheme="majorBidi" w:hAnsiTheme="majorBidi" w:cstheme="majorBidi"/>
          <w:sz w:val="20"/>
          <w:szCs w:val="20"/>
        </w:rPr>
      </w:pPr>
      <w:r w:rsidRPr="00366047">
        <w:rPr>
          <w:rStyle w:val="FootnoteReference"/>
          <w:rFonts w:asciiTheme="majorBidi" w:hAnsiTheme="majorBidi" w:cstheme="majorBidi"/>
          <w:sz w:val="20"/>
          <w:szCs w:val="20"/>
        </w:rPr>
        <w:footnoteRef/>
      </w:r>
      <w:r w:rsidRPr="00366047">
        <w:rPr>
          <w:rFonts w:asciiTheme="majorBidi" w:hAnsiTheme="majorBidi" w:cstheme="majorBidi"/>
          <w:sz w:val="20"/>
          <w:szCs w:val="20"/>
        </w:rPr>
        <w:t xml:space="preserve"> Lihat.</w:t>
      </w:r>
      <w:r w:rsidRPr="00366047">
        <w:rPr>
          <w:sz w:val="20"/>
          <w:szCs w:val="20"/>
        </w:rPr>
        <w:t xml:space="preserve"> </w:t>
      </w:r>
      <w:r w:rsidRPr="00366047">
        <w:rPr>
          <w:rFonts w:asciiTheme="majorBidi" w:hAnsiTheme="majorBidi" w:cstheme="majorBidi"/>
          <w:sz w:val="20"/>
          <w:szCs w:val="20"/>
        </w:rPr>
        <w:t>Luwis Ma’l</w:t>
      </w:r>
      <w:r w:rsidRPr="00A30000">
        <w:rPr>
          <w:rFonts w:asciiTheme="majorBidi" w:hAnsiTheme="majorBidi" w:cstheme="majorBidi"/>
          <w:sz w:val="20"/>
          <w:szCs w:val="20"/>
        </w:rPr>
        <w:t>ū</w:t>
      </w:r>
      <w:r w:rsidRPr="00366047">
        <w:rPr>
          <w:rFonts w:asciiTheme="majorBidi" w:hAnsiTheme="majorBidi" w:cstheme="majorBidi"/>
          <w:sz w:val="20"/>
          <w:szCs w:val="20"/>
        </w:rPr>
        <w:t xml:space="preserve">f, </w:t>
      </w:r>
      <w:r w:rsidRPr="00366047">
        <w:rPr>
          <w:rFonts w:asciiTheme="majorBidi" w:hAnsiTheme="majorBidi" w:cstheme="majorBidi"/>
          <w:i/>
          <w:iCs/>
          <w:sz w:val="20"/>
          <w:szCs w:val="20"/>
        </w:rPr>
        <w:t>al-Munjid</w:t>
      </w:r>
      <w:r w:rsidRPr="00366047">
        <w:rPr>
          <w:rFonts w:asciiTheme="majorBidi" w:hAnsiTheme="majorBidi" w:cstheme="majorBidi"/>
          <w:sz w:val="20"/>
          <w:szCs w:val="20"/>
        </w:rPr>
        <w:t xml:space="preserve">, (Beirut: </w:t>
      </w:r>
      <w:r>
        <w:rPr>
          <w:rFonts w:asciiTheme="majorBidi" w:hAnsiTheme="majorBidi" w:cstheme="majorBidi"/>
          <w:sz w:val="20"/>
          <w:szCs w:val="20"/>
        </w:rPr>
        <w:t>Dār</w:t>
      </w:r>
      <w:r w:rsidRPr="00366047">
        <w:rPr>
          <w:rFonts w:asciiTheme="majorBidi" w:hAnsiTheme="majorBidi" w:cstheme="majorBidi"/>
          <w:sz w:val="20"/>
          <w:szCs w:val="20"/>
        </w:rPr>
        <w:t>al-Masyriq, 1976), Jilid</w:t>
      </w:r>
      <w:r>
        <w:rPr>
          <w:rFonts w:asciiTheme="majorBidi" w:hAnsiTheme="majorBidi" w:cstheme="majorBidi"/>
          <w:sz w:val="20"/>
          <w:szCs w:val="20"/>
        </w:rPr>
        <w:t>. I</w:t>
      </w:r>
      <w:r w:rsidRPr="00366047">
        <w:rPr>
          <w:rFonts w:asciiTheme="majorBidi" w:hAnsiTheme="majorBidi" w:cstheme="majorBidi"/>
          <w:sz w:val="20"/>
          <w:szCs w:val="20"/>
        </w:rPr>
        <w:t>, h. 12</w:t>
      </w:r>
    </w:p>
  </w:footnote>
  <w:footnote w:id="5">
    <w:p w:rsidR="009677C3" w:rsidRPr="00366047" w:rsidRDefault="009677C3" w:rsidP="002B4C98">
      <w:pPr>
        <w:pStyle w:val="ListParagraph"/>
        <w:spacing w:line="240" w:lineRule="auto"/>
        <w:ind w:left="0" w:firstLine="720"/>
        <w:jc w:val="both"/>
        <w:rPr>
          <w:rFonts w:asciiTheme="majorBidi" w:hAnsiTheme="majorBidi" w:cstheme="majorBidi"/>
          <w:sz w:val="20"/>
          <w:szCs w:val="20"/>
        </w:rPr>
      </w:pPr>
      <w:r w:rsidRPr="00366047">
        <w:rPr>
          <w:rStyle w:val="FootnoteReference"/>
          <w:rFonts w:asciiTheme="majorBidi" w:hAnsiTheme="majorBidi" w:cstheme="majorBidi"/>
          <w:sz w:val="20"/>
          <w:szCs w:val="20"/>
        </w:rPr>
        <w:footnoteRef/>
      </w:r>
      <w:r w:rsidRPr="00366047">
        <w:rPr>
          <w:rFonts w:asciiTheme="majorBidi" w:hAnsiTheme="majorBidi" w:cstheme="majorBidi"/>
          <w:sz w:val="20"/>
          <w:szCs w:val="20"/>
        </w:rPr>
        <w:t>Lihat.Yusuf al-Qaradh</w:t>
      </w:r>
      <w:r w:rsidRPr="002B4C98">
        <w:rPr>
          <w:rFonts w:asciiTheme="majorBidi" w:hAnsiTheme="majorBidi" w:cstheme="majorBidi"/>
          <w:sz w:val="20"/>
          <w:szCs w:val="20"/>
        </w:rPr>
        <w:t>ā</w:t>
      </w:r>
      <w:r w:rsidRPr="00366047">
        <w:rPr>
          <w:rFonts w:asciiTheme="majorBidi" w:hAnsiTheme="majorBidi" w:cstheme="majorBidi"/>
          <w:sz w:val="20"/>
          <w:szCs w:val="20"/>
        </w:rPr>
        <w:t>w</w:t>
      </w:r>
      <w:r w:rsidRPr="002B4C98">
        <w:rPr>
          <w:rFonts w:asciiTheme="majorBidi" w:hAnsiTheme="majorBidi" w:cstheme="majorBidi"/>
        </w:rPr>
        <w:t>ī</w:t>
      </w:r>
      <w:r w:rsidRPr="00366047">
        <w:rPr>
          <w:rFonts w:asciiTheme="majorBidi" w:hAnsiTheme="majorBidi" w:cstheme="majorBidi"/>
          <w:sz w:val="20"/>
          <w:szCs w:val="20"/>
        </w:rPr>
        <w:t xml:space="preserve">, </w:t>
      </w:r>
      <w:r w:rsidRPr="00366047">
        <w:rPr>
          <w:rFonts w:asciiTheme="majorBidi" w:hAnsiTheme="majorBidi" w:cstheme="majorBidi"/>
          <w:i/>
          <w:iCs/>
          <w:sz w:val="20"/>
          <w:szCs w:val="20"/>
        </w:rPr>
        <w:t>al-Fatwā Bayn al-Indiba</w:t>
      </w:r>
      <w:r w:rsidRPr="0050625C">
        <w:rPr>
          <w:rFonts w:asciiTheme="majorBidi" w:hAnsiTheme="majorBidi" w:cstheme="majorBidi"/>
          <w:i/>
          <w:iCs/>
          <w:sz w:val="20"/>
          <w:szCs w:val="20"/>
        </w:rPr>
        <w:t>ṭ</w:t>
      </w:r>
      <w:r>
        <w:rPr>
          <w:rFonts w:asciiTheme="majorBidi" w:hAnsiTheme="majorBidi" w:cstheme="majorBidi"/>
          <w:i/>
          <w:iCs/>
          <w:sz w:val="20"/>
          <w:szCs w:val="20"/>
        </w:rPr>
        <w:t xml:space="preserve"> wa </w:t>
      </w:r>
      <w:r w:rsidRPr="00366047">
        <w:rPr>
          <w:rFonts w:asciiTheme="majorBidi" w:hAnsiTheme="majorBidi" w:cstheme="majorBidi"/>
          <w:i/>
          <w:iCs/>
          <w:sz w:val="20"/>
          <w:szCs w:val="20"/>
        </w:rPr>
        <w:t>al-Tasayyub</w:t>
      </w:r>
      <w:r w:rsidRPr="00366047">
        <w:rPr>
          <w:rFonts w:asciiTheme="majorBidi" w:hAnsiTheme="majorBidi" w:cstheme="majorBidi"/>
          <w:sz w:val="20"/>
          <w:szCs w:val="20"/>
        </w:rPr>
        <w:t xml:space="preserve">, </w:t>
      </w:r>
      <w:r>
        <w:rPr>
          <w:rFonts w:asciiTheme="majorBidi" w:hAnsiTheme="majorBidi" w:cstheme="majorBidi"/>
          <w:sz w:val="20"/>
          <w:szCs w:val="20"/>
        </w:rPr>
        <w:t xml:space="preserve">(Kairo: Dār </w:t>
      </w:r>
      <w:r w:rsidRPr="00366047">
        <w:rPr>
          <w:rFonts w:asciiTheme="majorBidi" w:hAnsiTheme="majorBidi" w:cstheme="majorBidi"/>
          <w:sz w:val="20"/>
          <w:szCs w:val="20"/>
        </w:rPr>
        <w:t>Shahwah li al-Nashr wa al-Tawzi</w:t>
      </w:r>
      <w:r>
        <w:t>‘</w:t>
      </w:r>
      <w:r w:rsidRPr="00366047">
        <w:rPr>
          <w:rFonts w:asciiTheme="majorBidi" w:hAnsiTheme="majorBidi" w:cstheme="majorBidi"/>
          <w:sz w:val="20"/>
          <w:szCs w:val="20"/>
        </w:rPr>
        <w:t>, 1988), h. 11.</w:t>
      </w:r>
    </w:p>
  </w:footnote>
  <w:footnote w:id="6">
    <w:p w:rsidR="009677C3" w:rsidRDefault="009677C3" w:rsidP="002B4C98">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w:t>
      </w:r>
      <w:r>
        <w:rPr>
          <w:rFonts w:asciiTheme="majorBidi" w:hAnsiTheme="majorBidi" w:cstheme="majorBidi"/>
        </w:rPr>
        <w:t xml:space="preserve">Mujamma‘ </w:t>
      </w:r>
      <w:r>
        <w:t xml:space="preserve"> </w:t>
      </w:r>
      <w:r w:rsidRPr="0000215D">
        <w:rPr>
          <w:rFonts w:asciiTheme="majorBidi" w:hAnsiTheme="majorBidi" w:cstheme="majorBidi"/>
        </w:rPr>
        <w:t xml:space="preserve">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408</w:t>
      </w:r>
    </w:p>
  </w:footnote>
  <w:footnote w:id="7">
    <w:p w:rsidR="009677C3" w:rsidRPr="00342235" w:rsidRDefault="009677C3" w:rsidP="002B4C98">
      <w:pPr>
        <w:pStyle w:val="ListParagraph"/>
        <w:spacing w:after="0" w:line="240" w:lineRule="auto"/>
        <w:ind w:left="0" w:firstLine="720"/>
        <w:jc w:val="both"/>
        <w:rPr>
          <w:rFonts w:asciiTheme="majorBidi" w:hAnsiTheme="majorBidi" w:cstheme="majorBidi"/>
          <w:sz w:val="20"/>
          <w:szCs w:val="20"/>
        </w:rPr>
      </w:pPr>
      <w:r w:rsidRPr="00342235">
        <w:rPr>
          <w:rStyle w:val="FootnoteReference"/>
          <w:rFonts w:asciiTheme="majorBidi" w:hAnsiTheme="majorBidi" w:cstheme="majorBidi"/>
          <w:sz w:val="20"/>
          <w:szCs w:val="20"/>
        </w:rPr>
        <w:footnoteRef/>
      </w:r>
      <w:r w:rsidRPr="00342235">
        <w:rPr>
          <w:rFonts w:asciiTheme="majorBidi" w:hAnsiTheme="majorBidi" w:cstheme="majorBidi"/>
          <w:sz w:val="20"/>
          <w:szCs w:val="20"/>
        </w:rPr>
        <w:t xml:space="preserve"> Lihat.</w:t>
      </w:r>
      <w:r w:rsidRPr="00342235">
        <w:rPr>
          <w:sz w:val="20"/>
          <w:szCs w:val="20"/>
        </w:rPr>
        <w:t xml:space="preserve"> </w:t>
      </w:r>
      <w:r w:rsidRPr="00342235">
        <w:rPr>
          <w:rFonts w:asciiTheme="majorBidi" w:hAnsiTheme="majorBidi" w:cstheme="majorBidi"/>
          <w:sz w:val="20"/>
          <w:szCs w:val="20"/>
        </w:rPr>
        <w:t>Ahmad Mushthof</w:t>
      </w:r>
      <w:r w:rsidRPr="00A30000">
        <w:rPr>
          <w:rFonts w:asciiTheme="majorBidi" w:hAnsiTheme="majorBidi" w:cstheme="majorBidi"/>
          <w:sz w:val="20"/>
          <w:szCs w:val="20"/>
        </w:rPr>
        <w:t>ā</w:t>
      </w:r>
      <w:r w:rsidRPr="00342235">
        <w:rPr>
          <w:rFonts w:asciiTheme="majorBidi" w:hAnsiTheme="majorBidi" w:cstheme="majorBidi"/>
          <w:sz w:val="20"/>
          <w:szCs w:val="20"/>
        </w:rPr>
        <w:t xml:space="preserve"> Al-Mar</w:t>
      </w:r>
      <w:r w:rsidRPr="00A30000">
        <w:rPr>
          <w:rFonts w:asciiTheme="majorBidi" w:hAnsiTheme="majorBidi" w:cstheme="majorBidi"/>
          <w:sz w:val="20"/>
          <w:szCs w:val="20"/>
        </w:rPr>
        <w:t>ā</w:t>
      </w:r>
      <w:r w:rsidRPr="00342235">
        <w:rPr>
          <w:rFonts w:asciiTheme="majorBidi" w:hAnsiTheme="majorBidi" w:cstheme="majorBidi"/>
          <w:sz w:val="20"/>
          <w:szCs w:val="20"/>
        </w:rPr>
        <w:t xml:space="preserve">ghi, </w:t>
      </w:r>
      <w:r w:rsidRPr="00342235">
        <w:rPr>
          <w:rFonts w:asciiTheme="majorBidi" w:hAnsiTheme="majorBidi" w:cstheme="majorBidi"/>
          <w:i/>
          <w:iCs/>
          <w:sz w:val="20"/>
          <w:szCs w:val="20"/>
        </w:rPr>
        <w:t>Tafsir Al-Maraghi,</w:t>
      </w:r>
      <w:r w:rsidRPr="00342235">
        <w:rPr>
          <w:rFonts w:asciiTheme="majorBidi" w:hAnsiTheme="majorBidi" w:cstheme="majorBidi"/>
          <w:sz w:val="20"/>
          <w:szCs w:val="20"/>
        </w:rPr>
        <w:t xml:space="preserve"> (Mesir: Maktabah Mushtafa Al-Bābi Al-Halaby, t.th), Jilid II, h.45</w:t>
      </w:r>
    </w:p>
  </w:footnote>
  <w:footnote w:id="8">
    <w:p w:rsidR="009677C3" w:rsidRDefault="009677C3" w:rsidP="002B4C98">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w:t>
      </w:r>
      <w:r>
        <w:rPr>
          <w:rFonts w:asciiTheme="majorBidi" w:hAnsiTheme="majorBidi" w:cstheme="majorBidi"/>
        </w:rPr>
        <w:t xml:space="preserve">Mujamma‘ </w:t>
      </w:r>
      <w:r w:rsidRPr="0000215D">
        <w:rPr>
          <w:rFonts w:asciiTheme="majorBidi" w:hAnsiTheme="majorBidi" w:cstheme="majorBidi"/>
        </w:rPr>
        <w:t xml:space="preserve"> 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46</w:t>
      </w:r>
    </w:p>
  </w:footnote>
  <w:footnote w:id="9">
    <w:p w:rsidR="009677C3" w:rsidRDefault="009677C3" w:rsidP="009F67A2">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w:t>
      </w:r>
      <w:r>
        <w:rPr>
          <w:rFonts w:asciiTheme="majorBidi" w:hAnsiTheme="majorBidi" w:cstheme="majorBidi"/>
        </w:rPr>
        <w:t xml:space="preserve">Mujamma‘ </w:t>
      </w:r>
      <w:r w:rsidRPr="0000215D">
        <w:rPr>
          <w:rFonts w:asciiTheme="majorBidi" w:hAnsiTheme="majorBidi" w:cstheme="majorBidi"/>
        </w:rPr>
        <w:t xml:space="preserve"> 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53</w:t>
      </w:r>
    </w:p>
  </w:footnote>
  <w:footnote w:id="10">
    <w:p w:rsidR="009677C3" w:rsidRDefault="009677C3" w:rsidP="009F67A2">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w:t>
      </w:r>
      <w:r>
        <w:rPr>
          <w:rFonts w:asciiTheme="majorBidi" w:hAnsiTheme="majorBidi" w:cstheme="majorBidi"/>
        </w:rPr>
        <w:t xml:space="preserve">Mujamma‘ </w:t>
      </w:r>
      <w:r w:rsidRPr="0000215D">
        <w:rPr>
          <w:rFonts w:asciiTheme="majorBidi" w:hAnsiTheme="majorBidi" w:cstheme="majorBidi"/>
        </w:rPr>
        <w:t xml:space="preserve"> 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153</w:t>
      </w:r>
    </w:p>
  </w:footnote>
  <w:footnote w:id="11">
    <w:p w:rsidR="009677C3" w:rsidRDefault="009677C3" w:rsidP="00F853DA">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CC4A42">
        <w:rPr>
          <w:rFonts w:asciiTheme="majorBidi" w:hAnsiTheme="majorBidi" w:cstheme="majorBidi"/>
        </w:rPr>
        <w:t xml:space="preserve">Muhammad Yasir Yusuf, </w:t>
      </w:r>
      <w:r w:rsidRPr="00CC4A42">
        <w:rPr>
          <w:rFonts w:asciiTheme="majorBidi" w:hAnsiTheme="majorBidi" w:cstheme="majorBidi"/>
          <w:i/>
          <w:iCs/>
        </w:rPr>
        <w:t>Dinamika Fatwa Bunga Bank di Indonesia: Kajian Terhadap Fatwa MUI, Muhammaddiyah dan Nahdhatul Ulama</w:t>
      </w:r>
      <w:r w:rsidRPr="00CC4A42">
        <w:rPr>
          <w:rFonts w:asciiTheme="majorBidi" w:hAnsiTheme="majorBidi" w:cstheme="majorBidi"/>
        </w:rPr>
        <w:t xml:space="preserve">, Media Syariah, Vol. </w:t>
      </w:r>
      <w:r>
        <w:rPr>
          <w:rFonts w:asciiTheme="majorBidi" w:hAnsiTheme="majorBidi" w:cstheme="majorBidi"/>
        </w:rPr>
        <w:t>XIV No 2 Juli-Desember 2012, h</w:t>
      </w:r>
      <w:r w:rsidRPr="00CC4A42">
        <w:rPr>
          <w:rFonts w:asciiTheme="majorBidi" w:hAnsiTheme="majorBidi" w:cstheme="majorBidi"/>
        </w:rPr>
        <w:t>. 155</w:t>
      </w:r>
    </w:p>
  </w:footnote>
  <w:footnote w:id="12">
    <w:p w:rsidR="009677C3" w:rsidRPr="00C043F9" w:rsidRDefault="009677C3" w:rsidP="00C043F9">
      <w:pPr>
        <w:pStyle w:val="ListParagraph"/>
        <w:spacing w:line="240" w:lineRule="auto"/>
        <w:ind w:left="0" w:firstLine="720"/>
        <w:jc w:val="both"/>
        <w:rPr>
          <w:rFonts w:asciiTheme="majorBidi" w:hAnsiTheme="majorBidi" w:cstheme="majorBidi"/>
          <w:sz w:val="20"/>
          <w:szCs w:val="20"/>
        </w:rPr>
      </w:pPr>
      <w:r w:rsidRPr="00C043F9">
        <w:rPr>
          <w:rStyle w:val="FootnoteReference"/>
          <w:sz w:val="20"/>
          <w:szCs w:val="20"/>
        </w:rPr>
        <w:footnoteRef/>
      </w:r>
      <w:r w:rsidRPr="00C043F9">
        <w:rPr>
          <w:sz w:val="20"/>
          <w:szCs w:val="20"/>
        </w:rPr>
        <w:t xml:space="preserve"> </w:t>
      </w:r>
      <w:r w:rsidRPr="00C043F9">
        <w:rPr>
          <w:rFonts w:asciiTheme="majorBidi" w:hAnsiTheme="majorBidi" w:cstheme="majorBidi"/>
          <w:sz w:val="20"/>
          <w:szCs w:val="20"/>
        </w:rPr>
        <w:t>Lihat.</w:t>
      </w:r>
      <w:r w:rsidRPr="00C043F9">
        <w:rPr>
          <w:sz w:val="20"/>
          <w:szCs w:val="20"/>
        </w:rPr>
        <w:t xml:space="preserve"> </w:t>
      </w:r>
      <w:r w:rsidRPr="00C043F9">
        <w:rPr>
          <w:rFonts w:asciiTheme="majorBidi" w:hAnsiTheme="majorBidi" w:cstheme="majorBidi"/>
          <w:sz w:val="20"/>
          <w:szCs w:val="20"/>
        </w:rPr>
        <w:t xml:space="preserve">Sulaiman Ibn Atsats Al-Sijistani, </w:t>
      </w:r>
      <w:r w:rsidRPr="00C043F9">
        <w:rPr>
          <w:rFonts w:asciiTheme="majorBidi" w:hAnsiTheme="majorBidi" w:cstheme="majorBidi"/>
          <w:i/>
          <w:iCs/>
          <w:sz w:val="20"/>
          <w:szCs w:val="20"/>
        </w:rPr>
        <w:t>Sunan Abū  Daud</w:t>
      </w:r>
      <w:r w:rsidRPr="00C043F9">
        <w:rPr>
          <w:rFonts w:asciiTheme="majorBidi" w:hAnsiTheme="majorBidi" w:cstheme="majorBidi"/>
          <w:sz w:val="20"/>
          <w:szCs w:val="20"/>
        </w:rPr>
        <w:t xml:space="preserve">, ( Bairut: </w:t>
      </w:r>
      <w:r>
        <w:rPr>
          <w:rFonts w:asciiTheme="majorBidi" w:hAnsiTheme="majorBidi" w:cstheme="majorBidi"/>
          <w:sz w:val="20"/>
          <w:szCs w:val="20"/>
        </w:rPr>
        <w:t xml:space="preserve">Dār </w:t>
      </w:r>
      <w:r w:rsidRPr="00C043F9">
        <w:rPr>
          <w:rFonts w:asciiTheme="majorBidi" w:hAnsiTheme="majorBidi" w:cstheme="majorBidi"/>
          <w:sz w:val="20"/>
          <w:szCs w:val="20"/>
        </w:rPr>
        <w:t>Al</w:t>
      </w:r>
      <w:r>
        <w:rPr>
          <w:rFonts w:asciiTheme="majorBidi" w:hAnsiTheme="majorBidi" w:cstheme="majorBidi"/>
          <w:sz w:val="20"/>
          <w:szCs w:val="20"/>
        </w:rPr>
        <w:t>-Kutub Al-‘Arabi), t.th. Jilid III</w:t>
      </w:r>
      <w:r w:rsidRPr="00C043F9">
        <w:rPr>
          <w:rFonts w:asciiTheme="majorBidi" w:hAnsiTheme="majorBidi" w:cstheme="majorBidi"/>
          <w:sz w:val="20"/>
          <w:szCs w:val="20"/>
        </w:rPr>
        <w:t>, h.330</w:t>
      </w:r>
    </w:p>
  </w:footnote>
  <w:footnote w:id="13">
    <w:p w:rsidR="009677C3" w:rsidRDefault="009677C3" w:rsidP="00BC0DF5">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C359B4">
        <w:rPr>
          <w:rFonts w:asciiTheme="majorBidi" w:hAnsiTheme="majorBidi" w:cstheme="majorBidi"/>
        </w:rPr>
        <w:t xml:space="preserve">Muhammab Ibn ‘Isa Al-Turmudzi, </w:t>
      </w:r>
      <w:r w:rsidRPr="00C359B4">
        <w:rPr>
          <w:rFonts w:asciiTheme="majorBidi" w:hAnsiTheme="majorBidi" w:cstheme="majorBidi"/>
          <w:i/>
          <w:iCs/>
        </w:rPr>
        <w:t>Al-Jami’Al-Shoheh Sunan Turmudzi</w:t>
      </w:r>
      <w:r w:rsidRPr="00C359B4">
        <w:rPr>
          <w:rFonts w:asciiTheme="majorBidi" w:hAnsiTheme="majorBidi" w:cstheme="majorBidi"/>
        </w:rPr>
        <w:t xml:space="preserve">, ( Bairut: </w:t>
      </w:r>
      <w:r>
        <w:rPr>
          <w:rFonts w:asciiTheme="majorBidi" w:hAnsiTheme="majorBidi" w:cstheme="majorBidi"/>
        </w:rPr>
        <w:t>Dār</w:t>
      </w:r>
      <w:r w:rsidRPr="00C359B4">
        <w:rPr>
          <w:rFonts w:asciiTheme="majorBidi" w:hAnsiTheme="majorBidi" w:cstheme="majorBidi"/>
        </w:rPr>
        <w:t>Al-Ihya Al</w:t>
      </w:r>
      <w:r>
        <w:rPr>
          <w:rFonts w:asciiTheme="majorBidi" w:hAnsiTheme="majorBidi" w:cstheme="majorBidi"/>
        </w:rPr>
        <w:t xml:space="preserve">-Turats Al-Arabi, t.th), Jilid 1, hal  81. Lihat Juga, Sulaiman Ibn Atsats Al-Sijistani, </w:t>
      </w:r>
      <w:r w:rsidRPr="00171996">
        <w:rPr>
          <w:rFonts w:asciiTheme="majorBidi" w:hAnsiTheme="majorBidi" w:cstheme="majorBidi"/>
          <w:i/>
          <w:iCs/>
        </w:rPr>
        <w:t>Sunan Abi Daud</w:t>
      </w:r>
      <w:r>
        <w:rPr>
          <w:rFonts w:asciiTheme="majorBidi" w:hAnsiTheme="majorBidi" w:cstheme="majorBidi"/>
        </w:rPr>
        <w:t>, ( Bairut: DārAl-Kutub Al-‘Arabi), t.th. Jilid 3, h. 354</w:t>
      </w:r>
    </w:p>
  </w:footnote>
  <w:footnote w:id="14">
    <w:p w:rsidR="009677C3" w:rsidRPr="007C3E19" w:rsidRDefault="009677C3" w:rsidP="00B606BF">
      <w:pPr>
        <w:autoSpaceDE w:val="0"/>
        <w:autoSpaceDN w:val="0"/>
        <w:adjustRightInd w:val="0"/>
        <w:spacing w:after="0" w:line="240" w:lineRule="auto"/>
        <w:ind w:firstLine="720"/>
        <w:jc w:val="both"/>
        <w:rPr>
          <w:rFonts w:asciiTheme="majorBidi" w:hAnsiTheme="majorBidi" w:cstheme="majorBidi"/>
          <w:sz w:val="20"/>
          <w:szCs w:val="20"/>
        </w:rPr>
      </w:pPr>
      <w:r w:rsidRPr="007C3E19">
        <w:rPr>
          <w:rStyle w:val="FootnoteReference"/>
          <w:rFonts w:asciiTheme="majorBidi" w:hAnsiTheme="majorBidi" w:cstheme="majorBidi"/>
        </w:rPr>
        <w:footnoteRef/>
      </w:r>
      <w:r w:rsidRPr="00BC12A7">
        <w:rPr>
          <w:rFonts w:asciiTheme="majorBidi" w:hAnsiTheme="majorBidi" w:cstheme="majorBidi"/>
        </w:rPr>
        <w:t>Lihat.</w:t>
      </w:r>
      <w:r>
        <w:t xml:space="preserve"> </w:t>
      </w:r>
      <w:r w:rsidRPr="007C3E19">
        <w:rPr>
          <w:rFonts w:asciiTheme="majorBidi" w:hAnsiTheme="majorBidi" w:cstheme="majorBidi"/>
          <w:sz w:val="20"/>
          <w:szCs w:val="20"/>
        </w:rPr>
        <w:t>Yusuf Qardh</w:t>
      </w:r>
      <w:r w:rsidRPr="00A30000">
        <w:rPr>
          <w:rFonts w:asciiTheme="majorBidi" w:hAnsiTheme="majorBidi" w:cstheme="majorBidi"/>
          <w:sz w:val="20"/>
          <w:szCs w:val="20"/>
        </w:rPr>
        <w:t>ā</w:t>
      </w:r>
      <w:r w:rsidRPr="007C3E19">
        <w:rPr>
          <w:rFonts w:asciiTheme="majorBidi" w:hAnsiTheme="majorBidi" w:cstheme="majorBidi"/>
          <w:sz w:val="20"/>
          <w:szCs w:val="20"/>
        </w:rPr>
        <w:t>w</w:t>
      </w:r>
      <w:r w:rsidRPr="00767B77">
        <w:rPr>
          <w:rFonts w:asciiTheme="majorBidi" w:hAnsiTheme="majorBidi" w:cstheme="majorBidi"/>
          <w:i/>
          <w:iCs/>
          <w:sz w:val="20"/>
          <w:szCs w:val="20"/>
        </w:rPr>
        <w:t>ī</w:t>
      </w:r>
      <w:r w:rsidRPr="007C3E19">
        <w:rPr>
          <w:rFonts w:asciiTheme="majorBidi" w:hAnsiTheme="majorBidi" w:cstheme="majorBidi"/>
          <w:sz w:val="20"/>
          <w:szCs w:val="20"/>
        </w:rPr>
        <w:t xml:space="preserve">, </w:t>
      </w:r>
      <w:r w:rsidRPr="007C3E19">
        <w:rPr>
          <w:rFonts w:asciiTheme="majorBidi" w:hAnsiTheme="majorBidi" w:cstheme="majorBidi"/>
          <w:i/>
          <w:iCs/>
          <w:sz w:val="20"/>
          <w:szCs w:val="20"/>
        </w:rPr>
        <w:t>Fatwa Antara Ketelitian &amp; Kecerobohan</w:t>
      </w:r>
      <w:r w:rsidRPr="007C3E19">
        <w:rPr>
          <w:rFonts w:asciiTheme="majorBidi" w:hAnsiTheme="majorBidi" w:cstheme="majorBidi"/>
          <w:sz w:val="20"/>
          <w:szCs w:val="20"/>
        </w:rPr>
        <w:t xml:space="preserve">, </w:t>
      </w:r>
      <w:r>
        <w:rPr>
          <w:rFonts w:asciiTheme="majorBidi" w:hAnsiTheme="majorBidi" w:cstheme="majorBidi"/>
          <w:sz w:val="20"/>
          <w:szCs w:val="20"/>
        </w:rPr>
        <w:t>(</w:t>
      </w:r>
      <w:r w:rsidRPr="007C3E19">
        <w:rPr>
          <w:rFonts w:asciiTheme="majorBidi" w:hAnsiTheme="majorBidi" w:cstheme="majorBidi"/>
          <w:sz w:val="20"/>
          <w:szCs w:val="20"/>
        </w:rPr>
        <w:t>Jakar</w:t>
      </w:r>
      <w:r>
        <w:rPr>
          <w:rFonts w:asciiTheme="majorBidi" w:hAnsiTheme="majorBidi" w:cstheme="majorBidi"/>
          <w:sz w:val="20"/>
          <w:szCs w:val="20"/>
        </w:rPr>
        <w:t>ta: Gema Insani Press, 1997), h</w:t>
      </w:r>
      <w:r w:rsidRPr="007C3E19">
        <w:rPr>
          <w:rFonts w:asciiTheme="majorBidi" w:hAnsiTheme="majorBidi" w:cstheme="majorBidi"/>
          <w:sz w:val="20"/>
          <w:szCs w:val="20"/>
        </w:rPr>
        <w:t>. 13.</w:t>
      </w:r>
    </w:p>
  </w:footnote>
  <w:footnote w:id="15">
    <w:p w:rsidR="009677C3" w:rsidRPr="00767B77" w:rsidRDefault="009677C3" w:rsidP="00E9703A">
      <w:pPr>
        <w:pStyle w:val="ListParagraph"/>
        <w:spacing w:after="0" w:line="240" w:lineRule="auto"/>
        <w:ind w:left="0" w:firstLine="720"/>
        <w:jc w:val="both"/>
        <w:rPr>
          <w:rFonts w:asciiTheme="majorBidi" w:hAnsiTheme="majorBidi" w:cstheme="majorBidi"/>
          <w:sz w:val="20"/>
          <w:szCs w:val="20"/>
        </w:rPr>
      </w:pPr>
      <w:r w:rsidRPr="00767B77">
        <w:rPr>
          <w:rStyle w:val="FootnoteReference"/>
          <w:sz w:val="20"/>
          <w:szCs w:val="20"/>
        </w:rPr>
        <w:footnoteRef/>
      </w:r>
      <w:r w:rsidRPr="00767B77">
        <w:rPr>
          <w:sz w:val="20"/>
          <w:szCs w:val="20"/>
        </w:rPr>
        <w:t xml:space="preserve"> </w:t>
      </w:r>
      <w:r w:rsidRPr="00767B77">
        <w:rPr>
          <w:rFonts w:asciiTheme="majorBidi" w:hAnsiTheme="majorBidi" w:cstheme="majorBidi"/>
          <w:sz w:val="20"/>
          <w:szCs w:val="20"/>
        </w:rPr>
        <w:t>Lihat.</w:t>
      </w:r>
      <w:r w:rsidRPr="00767B77">
        <w:rPr>
          <w:sz w:val="20"/>
          <w:szCs w:val="20"/>
        </w:rPr>
        <w:t xml:space="preserve"> </w:t>
      </w:r>
      <w:r>
        <w:rPr>
          <w:rFonts w:asciiTheme="majorBidi" w:hAnsiTheme="majorBidi" w:cstheme="majorBidi"/>
          <w:sz w:val="20"/>
          <w:szCs w:val="20"/>
        </w:rPr>
        <w:t>Abū</w:t>
      </w:r>
      <w:r w:rsidRPr="00767B77">
        <w:rPr>
          <w:rFonts w:asciiTheme="majorBidi" w:hAnsiTheme="majorBidi" w:cstheme="majorBidi"/>
          <w:sz w:val="20"/>
          <w:szCs w:val="20"/>
        </w:rPr>
        <w:t>Ish</w:t>
      </w:r>
      <w:r w:rsidRPr="00A30000">
        <w:rPr>
          <w:rFonts w:asciiTheme="majorBidi" w:hAnsiTheme="majorBidi" w:cstheme="majorBidi"/>
          <w:sz w:val="20"/>
          <w:szCs w:val="20"/>
        </w:rPr>
        <w:t>ā</w:t>
      </w:r>
      <w:r w:rsidRPr="00767B77">
        <w:rPr>
          <w:rFonts w:asciiTheme="majorBidi" w:hAnsiTheme="majorBidi" w:cstheme="majorBidi"/>
          <w:sz w:val="20"/>
          <w:szCs w:val="20"/>
        </w:rPr>
        <w:t>q al-Sy</w:t>
      </w:r>
      <w:r w:rsidRPr="00A30000">
        <w:rPr>
          <w:rFonts w:asciiTheme="majorBidi" w:hAnsiTheme="majorBidi" w:cstheme="majorBidi"/>
          <w:sz w:val="20"/>
          <w:szCs w:val="20"/>
        </w:rPr>
        <w:t>ā</w:t>
      </w:r>
      <w:r w:rsidRPr="00767B77">
        <w:rPr>
          <w:rFonts w:asciiTheme="majorBidi" w:hAnsiTheme="majorBidi" w:cstheme="majorBidi"/>
          <w:sz w:val="20"/>
          <w:szCs w:val="20"/>
        </w:rPr>
        <w:t xml:space="preserve">thibi, </w:t>
      </w:r>
      <w:r w:rsidRPr="00767B77">
        <w:rPr>
          <w:rFonts w:asciiTheme="majorBidi" w:hAnsiTheme="majorBidi" w:cstheme="majorBidi"/>
          <w:i/>
          <w:iCs/>
          <w:sz w:val="20"/>
          <w:szCs w:val="20"/>
        </w:rPr>
        <w:t>al-Muwafaqāt fi ushūl al-Syarī’ah</w:t>
      </w:r>
      <w:r w:rsidRPr="00767B77">
        <w:rPr>
          <w:rFonts w:asciiTheme="majorBidi" w:hAnsiTheme="majorBidi" w:cstheme="majorBidi"/>
          <w:sz w:val="20"/>
          <w:szCs w:val="20"/>
        </w:rPr>
        <w:t xml:space="preserve">, (Bairut: </w:t>
      </w:r>
      <w:r>
        <w:rPr>
          <w:rFonts w:asciiTheme="majorBidi" w:hAnsiTheme="majorBidi" w:cstheme="majorBidi"/>
          <w:sz w:val="20"/>
          <w:szCs w:val="20"/>
        </w:rPr>
        <w:t>Dār</w:t>
      </w:r>
      <w:r w:rsidRPr="00767B77">
        <w:rPr>
          <w:rFonts w:asciiTheme="majorBidi" w:hAnsiTheme="majorBidi" w:cstheme="majorBidi"/>
          <w:sz w:val="20"/>
          <w:szCs w:val="20"/>
        </w:rPr>
        <w:t>al-Kutub al-‘Ilmiyah, tth.), Jilid IV, h. 178</w:t>
      </w:r>
    </w:p>
  </w:footnote>
  <w:footnote w:id="16">
    <w:p w:rsidR="009677C3" w:rsidRDefault="009677C3" w:rsidP="00BC0DF5">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Pr>
          <w:rFonts w:asciiTheme="majorBidi" w:hAnsiTheme="majorBidi" w:cstheme="majorBidi"/>
        </w:rPr>
        <w:t>AbūIshaq Al- Syāthibī</w:t>
      </w:r>
      <w:r w:rsidRPr="008632AF">
        <w:rPr>
          <w:rFonts w:asciiTheme="majorBidi" w:hAnsiTheme="majorBidi" w:cstheme="majorBidi"/>
        </w:rPr>
        <w:t xml:space="preserve">, </w:t>
      </w:r>
      <w:r>
        <w:rPr>
          <w:rFonts w:asciiTheme="majorBidi" w:hAnsiTheme="majorBidi" w:cstheme="majorBidi"/>
          <w:i/>
          <w:iCs/>
        </w:rPr>
        <w:t>al</w:t>
      </w:r>
      <w:r w:rsidRPr="006E328D">
        <w:rPr>
          <w:rFonts w:asciiTheme="majorBidi" w:hAnsiTheme="majorBidi" w:cstheme="majorBidi"/>
          <w:i/>
          <w:iCs/>
        </w:rPr>
        <w:t>-Muwafaqat fi ushul al-Syari’ah</w:t>
      </w:r>
      <w:r>
        <w:rPr>
          <w:rFonts w:asciiTheme="majorBidi" w:hAnsiTheme="majorBidi" w:cstheme="majorBidi"/>
        </w:rPr>
        <w:t>, (</w:t>
      </w:r>
      <w:r w:rsidRPr="008632AF">
        <w:rPr>
          <w:rFonts w:asciiTheme="majorBidi" w:hAnsiTheme="majorBidi" w:cstheme="majorBidi"/>
        </w:rPr>
        <w:t xml:space="preserve">Bairut: </w:t>
      </w:r>
      <w:r>
        <w:rPr>
          <w:rFonts w:asciiTheme="majorBidi" w:hAnsiTheme="majorBidi" w:cstheme="majorBidi"/>
        </w:rPr>
        <w:t xml:space="preserve">Dār </w:t>
      </w:r>
      <w:r w:rsidRPr="008632AF">
        <w:rPr>
          <w:rFonts w:asciiTheme="majorBidi" w:hAnsiTheme="majorBidi" w:cstheme="majorBidi"/>
        </w:rPr>
        <w:t>al-Kutub al-‘I</w:t>
      </w:r>
      <w:r>
        <w:rPr>
          <w:rFonts w:asciiTheme="majorBidi" w:hAnsiTheme="majorBidi" w:cstheme="majorBidi"/>
        </w:rPr>
        <w:t xml:space="preserve">lmiyah, tth.), Jilid IV, h. </w:t>
      </w:r>
      <w:r w:rsidRPr="008632AF">
        <w:rPr>
          <w:rFonts w:asciiTheme="majorBidi" w:hAnsiTheme="majorBidi" w:cstheme="majorBidi"/>
        </w:rPr>
        <w:t>179</w:t>
      </w:r>
    </w:p>
  </w:footnote>
  <w:footnote w:id="17">
    <w:p w:rsidR="009677C3" w:rsidRDefault="009677C3" w:rsidP="009F67A2">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Pr>
          <w:rFonts w:asciiTheme="majorBidi" w:hAnsiTheme="majorBidi" w:cstheme="majorBidi"/>
        </w:rPr>
        <w:t>Depag RI,</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,(Medinah </w:t>
      </w:r>
      <w:r w:rsidRPr="0000215D">
        <w:rPr>
          <w:rFonts w:asciiTheme="majorBidi" w:hAnsiTheme="majorBidi" w:cstheme="majorBidi"/>
        </w:rPr>
        <w:t xml:space="preserve">al-Munawwarah: </w:t>
      </w:r>
      <w:r>
        <w:rPr>
          <w:rFonts w:asciiTheme="majorBidi" w:hAnsiTheme="majorBidi" w:cstheme="majorBidi"/>
        </w:rPr>
        <w:t xml:space="preserve">Mujamma‘ </w:t>
      </w:r>
      <w:r w:rsidRPr="0000215D">
        <w:rPr>
          <w:rFonts w:asciiTheme="majorBidi" w:hAnsiTheme="majorBidi" w:cstheme="majorBidi"/>
        </w:rPr>
        <w:t xml:space="preserve"> 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128</w:t>
      </w:r>
    </w:p>
  </w:footnote>
  <w:footnote w:id="18">
    <w:p w:rsidR="009677C3" w:rsidRPr="00112E1E" w:rsidRDefault="009677C3" w:rsidP="005B5E88">
      <w:pPr>
        <w:autoSpaceDE w:val="0"/>
        <w:autoSpaceDN w:val="0"/>
        <w:adjustRightInd w:val="0"/>
        <w:spacing w:after="0" w:line="240" w:lineRule="auto"/>
        <w:ind w:firstLine="720"/>
        <w:jc w:val="both"/>
        <w:rPr>
          <w:rFonts w:ascii="Giovanni-Book" w:hAnsi="Giovanni-Book" w:cs="Giovanni-Book"/>
          <w:sz w:val="20"/>
          <w:szCs w:val="20"/>
        </w:rPr>
      </w:pPr>
      <w:r w:rsidRPr="00112E1E">
        <w:rPr>
          <w:rStyle w:val="FootnoteReference"/>
          <w:sz w:val="20"/>
          <w:szCs w:val="20"/>
        </w:rPr>
        <w:footnoteRef/>
      </w:r>
      <w:r w:rsidRPr="00112E1E">
        <w:rPr>
          <w:sz w:val="20"/>
          <w:szCs w:val="20"/>
        </w:rPr>
        <w:t xml:space="preserve"> </w:t>
      </w:r>
      <w:r w:rsidRPr="00112E1E">
        <w:rPr>
          <w:rFonts w:ascii="Giovanni-Book" w:hAnsi="Giovanni-Book" w:cs="Giovanni-Book"/>
          <w:sz w:val="20"/>
          <w:szCs w:val="20"/>
        </w:rPr>
        <w:t xml:space="preserve"> </w:t>
      </w:r>
      <w:r w:rsidRPr="00BC12A7">
        <w:rPr>
          <w:rFonts w:asciiTheme="majorBidi" w:hAnsiTheme="majorBidi" w:cstheme="majorBidi"/>
        </w:rPr>
        <w:t>Lihat.</w:t>
      </w:r>
      <w:r>
        <w:t xml:space="preserve"> </w:t>
      </w:r>
      <w:r w:rsidRPr="00112E1E">
        <w:rPr>
          <w:rFonts w:ascii="Giovanni-Book" w:hAnsi="Giovanni-Book" w:cs="Giovanni-Book"/>
          <w:sz w:val="20"/>
          <w:szCs w:val="20"/>
        </w:rPr>
        <w:t xml:space="preserve">Rifyal Ka’bah, </w:t>
      </w:r>
      <w:r w:rsidRPr="00112E1E">
        <w:rPr>
          <w:rFonts w:ascii="Giovanni-BookItalic" w:hAnsi="Giovanni-BookItalic" w:cs="Giovanni-BookItalic"/>
          <w:i/>
          <w:iCs/>
          <w:sz w:val="20"/>
          <w:szCs w:val="20"/>
        </w:rPr>
        <w:t>Hukum Islam di Indonesia</w:t>
      </w:r>
      <w:r w:rsidRPr="00112E1E">
        <w:rPr>
          <w:rFonts w:ascii="Giovanni-Book" w:hAnsi="Giovanni-Book" w:cs="Giovanni-Book"/>
          <w:sz w:val="20"/>
          <w:szCs w:val="20"/>
        </w:rPr>
        <w:t>, ( Jakarta: Universitas Yarsi, 1998), h. 214</w:t>
      </w:r>
    </w:p>
  </w:footnote>
  <w:footnote w:id="19">
    <w:p w:rsidR="009677C3" w:rsidRPr="00FE0E83" w:rsidRDefault="009677C3" w:rsidP="005B5E88">
      <w:pPr>
        <w:pStyle w:val="FootnoteText"/>
        <w:ind w:firstLine="720"/>
        <w:jc w:val="both"/>
        <w:rPr>
          <w:rFonts w:asciiTheme="majorBidi" w:hAnsiTheme="majorBidi" w:cstheme="majorBidi"/>
        </w:rPr>
      </w:pPr>
      <w:r w:rsidRPr="00FE0E83">
        <w:rPr>
          <w:rStyle w:val="FootnoteReference"/>
          <w:rFonts w:asciiTheme="majorBidi" w:hAnsiTheme="majorBidi" w:cstheme="majorBidi"/>
        </w:rPr>
        <w:footnoteRef/>
      </w:r>
      <w:r w:rsidRPr="00FE0E83">
        <w:rPr>
          <w:rFonts w:asciiTheme="majorBidi" w:hAnsiTheme="majorBidi" w:cstheme="majorBidi"/>
        </w:rPr>
        <w:t xml:space="preserve"> </w:t>
      </w:r>
      <w:r w:rsidRPr="00BC12A7">
        <w:rPr>
          <w:rFonts w:asciiTheme="majorBidi" w:hAnsiTheme="majorBidi" w:cstheme="majorBidi"/>
        </w:rPr>
        <w:t>Lihat.</w:t>
      </w:r>
      <w:r>
        <w:t xml:space="preserve"> </w:t>
      </w:r>
      <w:r w:rsidRPr="00FE0E83">
        <w:rPr>
          <w:rFonts w:asciiTheme="majorBidi" w:hAnsiTheme="majorBidi" w:cstheme="majorBidi"/>
        </w:rPr>
        <w:t xml:space="preserve">Sesuai dengan rumusan </w:t>
      </w:r>
      <w:r w:rsidRPr="00FE0E83">
        <w:rPr>
          <w:rFonts w:asciiTheme="majorBidi" w:hAnsiTheme="majorBidi" w:cstheme="majorBidi"/>
          <w:i/>
          <w:iCs/>
        </w:rPr>
        <w:t>Khittah</w:t>
      </w:r>
      <w:r w:rsidRPr="00FE0E83">
        <w:rPr>
          <w:rFonts w:asciiTheme="majorBidi" w:hAnsiTheme="majorBidi" w:cstheme="majorBidi"/>
        </w:rPr>
        <w:t xml:space="preserve"> pengabdian Majelis Ulama Indonesia</w:t>
      </w:r>
      <w:r>
        <w:rPr>
          <w:rFonts w:asciiTheme="majorBidi" w:hAnsiTheme="majorBidi" w:cstheme="majorBidi"/>
        </w:rPr>
        <w:t xml:space="preserve"> (</w:t>
      </w:r>
      <w:r w:rsidRPr="00FE0E83">
        <w:rPr>
          <w:rFonts w:asciiTheme="majorBidi" w:hAnsiTheme="majorBidi" w:cstheme="majorBidi"/>
        </w:rPr>
        <w:t xml:space="preserve">MUI), Maka MUI mempunyai lima fungsi dan peran utama yaitu: </w:t>
      </w:r>
      <w:r w:rsidRPr="00FE0E83">
        <w:rPr>
          <w:rFonts w:asciiTheme="majorBidi" w:hAnsiTheme="majorBidi" w:cstheme="majorBidi"/>
          <w:i/>
          <w:iCs/>
        </w:rPr>
        <w:t>pertama</w:t>
      </w:r>
      <w:r w:rsidRPr="00FE0E83">
        <w:rPr>
          <w:rFonts w:asciiTheme="majorBidi" w:hAnsiTheme="majorBidi" w:cstheme="majorBidi"/>
        </w:rPr>
        <w:t>, sebagai pewaris tugas-tugas para Nabi</w:t>
      </w:r>
      <w:r>
        <w:rPr>
          <w:rFonts w:asciiTheme="majorBidi" w:hAnsiTheme="majorBidi" w:cstheme="majorBidi"/>
        </w:rPr>
        <w:t xml:space="preserve"> </w:t>
      </w:r>
      <w:r w:rsidRPr="00FE0E83">
        <w:rPr>
          <w:rFonts w:asciiTheme="majorBidi" w:hAnsiTheme="majorBidi" w:cstheme="majorBidi"/>
        </w:rPr>
        <w:t xml:space="preserve">( </w:t>
      </w:r>
      <w:r w:rsidRPr="00AB564B">
        <w:rPr>
          <w:rFonts w:asciiTheme="majorBidi" w:hAnsiTheme="majorBidi" w:cstheme="majorBidi"/>
          <w:i/>
          <w:iCs/>
        </w:rPr>
        <w:t>Waratsatul al-Anbiya</w:t>
      </w:r>
      <w:r w:rsidRPr="00FE0E83">
        <w:rPr>
          <w:rFonts w:asciiTheme="majorBidi" w:hAnsiTheme="majorBidi" w:cstheme="majorBidi"/>
        </w:rPr>
        <w:t xml:space="preserve">); </w:t>
      </w:r>
      <w:r w:rsidRPr="00FE0E83">
        <w:rPr>
          <w:rFonts w:asciiTheme="majorBidi" w:hAnsiTheme="majorBidi" w:cstheme="majorBidi"/>
          <w:i/>
          <w:iCs/>
        </w:rPr>
        <w:t>kedua</w:t>
      </w:r>
      <w:r w:rsidRPr="00FE0E83">
        <w:rPr>
          <w:rFonts w:asciiTheme="majorBidi" w:hAnsiTheme="majorBidi" w:cstheme="majorBidi"/>
        </w:rPr>
        <w:t>, sebagai pemberi fatwa</w:t>
      </w:r>
      <w:r>
        <w:rPr>
          <w:rFonts w:asciiTheme="majorBidi" w:hAnsiTheme="majorBidi" w:cstheme="majorBidi"/>
        </w:rPr>
        <w:t xml:space="preserve"> (</w:t>
      </w:r>
      <w:r w:rsidRPr="00FE0E83">
        <w:rPr>
          <w:rFonts w:asciiTheme="majorBidi" w:hAnsiTheme="majorBidi" w:cstheme="majorBidi"/>
          <w:i/>
          <w:iCs/>
        </w:rPr>
        <w:t>Mufti)</w:t>
      </w:r>
      <w:r w:rsidRPr="00FE0E83">
        <w:rPr>
          <w:rFonts w:asciiTheme="majorBidi" w:hAnsiTheme="majorBidi" w:cstheme="majorBidi"/>
        </w:rPr>
        <w:t xml:space="preserve">; </w:t>
      </w:r>
      <w:r w:rsidRPr="00FE0E83">
        <w:rPr>
          <w:rFonts w:asciiTheme="majorBidi" w:hAnsiTheme="majorBidi" w:cstheme="majorBidi"/>
          <w:i/>
          <w:iCs/>
        </w:rPr>
        <w:t>ketiga</w:t>
      </w:r>
      <w:r w:rsidRPr="00FE0E83">
        <w:rPr>
          <w:rFonts w:asciiTheme="majorBidi" w:hAnsiTheme="majorBidi" w:cstheme="majorBidi"/>
        </w:rPr>
        <w:t>,</w:t>
      </w:r>
      <w:r>
        <w:rPr>
          <w:rFonts w:asciiTheme="majorBidi" w:hAnsiTheme="majorBidi" w:cstheme="majorBidi"/>
        </w:rPr>
        <w:t xml:space="preserve"> </w:t>
      </w:r>
      <w:r w:rsidRPr="00FE0E83">
        <w:rPr>
          <w:rFonts w:asciiTheme="majorBidi" w:hAnsiTheme="majorBidi" w:cstheme="majorBidi"/>
        </w:rPr>
        <w:t>sebagai pembimbing dan pelayan umat</w:t>
      </w:r>
      <w:r>
        <w:rPr>
          <w:rFonts w:asciiTheme="majorBidi" w:hAnsiTheme="majorBidi" w:cstheme="majorBidi"/>
        </w:rPr>
        <w:t xml:space="preserve"> (</w:t>
      </w:r>
      <w:r w:rsidRPr="00FE0E83">
        <w:rPr>
          <w:rFonts w:asciiTheme="majorBidi" w:hAnsiTheme="majorBidi" w:cstheme="majorBidi"/>
          <w:i/>
          <w:iCs/>
        </w:rPr>
        <w:t>Ra’i  wa Khadim al-Ummah</w:t>
      </w:r>
      <w:r w:rsidRPr="00FE0E83">
        <w:rPr>
          <w:rFonts w:asciiTheme="majorBidi" w:hAnsiTheme="majorBidi" w:cstheme="majorBidi"/>
        </w:rPr>
        <w:t xml:space="preserve">); </w:t>
      </w:r>
      <w:r w:rsidRPr="00FE0E83">
        <w:rPr>
          <w:rFonts w:asciiTheme="majorBidi" w:hAnsiTheme="majorBidi" w:cstheme="majorBidi"/>
          <w:i/>
          <w:iCs/>
        </w:rPr>
        <w:t>keempat</w:t>
      </w:r>
      <w:r w:rsidRPr="00FE0E83">
        <w:rPr>
          <w:rFonts w:asciiTheme="majorBidi" w:hAnsiTheme="majorBidi" w:cstheme="majorBidi"/>
        </w:rPr>
        <w:t xml:space="preserve">, sebagai gerakan </w:t>
      </w:r>
      <w:r w:rsidRPr="00FE0E83">
        <w:rPr>
          <w:rFonts w:asciiTheme="majorBidi" w:hAnsiTheme="majorBidi" w:cstheme="majorBidi"/>
          <w:i/>
          <w:iCs/>
        </w:rPr>
        <w:t>ishlah wa al-tajdid</w:t>
      </w:r>
      <w:r w:rsidRPr="00FE0E83">
        <w:rPr>
          <w:rFonts w:asciiTheme="majorBidi" w:hAnsiTheme="majorBidi" w:cstheme="majorBidi"/>
        </w:rPr>
        <w:t>; dan kelima, seb</w:t>
      </w:r>
      <w:r>
        <w:rPr>
          <w:rFonts w:asciiTheme="majorBidi" w:hAnsiTheme="majorBidi" w:cstheme="majorBidi"/>
        </w:rPr>
        <w:t>agai penegak Amar Ma’ruf dan Nah</w:t>
      </w:r>
      <w:r w:rsidRPr="00FE0E83">
        <w:rPr>
          <w:rFonts w:asciiTheme="majorBidi" w:hAnsiTheme="majorBidi" w:cstheme="majorBidi"/>
        </w:rPr>
        <w:t>i Mungkar.</w:t>
      </w:r>
      <w:r>
        <w:rPr>
          <w:rFonts w:asciiTheme="majorBidi" w:hAnsiTheme="majorBidi" w:cstheme="majorBidi"/>
        </w:rPr>
        <w:t xml:space="preserve"> Lihat. Abadul Djamil, dalam: </w:t>
      </w:r>
      <w:r w:rsidRPr="00FE0E83">
        <w:rPr>
          <w:rFonts w:asciiTheme="majorBidi" w:hAnsiTheme="majorBidi" w:cstheme="majorBidi"/>
          <w:i/>
          <w:iCs/>
        </w:rPr>
        <w:t>Fatwa-Fatwa Majelis Ulama Indonesia (MUI) dalam Perspektif Hukum dan Perundang-Undangan</w:t>
      </w:r>
      <w:r>
        <w:rPr>
          <w:rFonts w:asciiTheme="majorBidi" w:hAnsiTheme="majorBidi" w:cstheme="majorBidi"/>
        </w:rPr>
        <w:t>. ( Jakarta: Puslitbang Lektur dan Khazanah Keagamaan Kementerian Agama, 2012) cet II, h. ix.</w:t>
      </w:r>
    </w:p>
  </w:footnote>
  <w:footnote w:id="20">
    <w:p w:rsidR="009677C3" w:rsidRPr="001E7EAC" w:rsidRDefault="009677C3" w:rsidP="002F3682">
      <w:pPr>
        <w:pStyle w:val="FootnoteText"/>
        <w:ind w:firstLine="720"/>
        <w:jc w:val="both"/>
        <w:rPr>
          <w:rFonts w:asciiTheme="majorBidi" w:hAnsiTheme="majorBidi" w:cstheme="majorBidi"/>
        </w:rPr>
      </w:pPr>
      <w:r w:rsidRPr="001E7EAC">
        <w:rPr>
          <w:rStyle w:val="FootnoteReference"/>
          <w:rFonts w:asciiTheme="majorBidi" w:hAnsiTheme="majorBidi" w:cstheme="majorBidi"/>
        </w:rPr>
        <w:footnoteRef/>
      </w:r>
      <w:r w:rsidRPr="001E7EAC">
        <w:rPr>
          <w:rFonts w:asciiTheme="majorBidi" w:hAnsiTheme="majorBidi" w:cstheme="majorBidi"/>
        </w:rPr>
        <w:t xml:space="preserve"> </w:t>
      </w:r>
      <w:r w:rsidRPr="00BC12A7">
        <w:rPr>
          <w:rFonts w:asciiTheme="majorBidi" w:hAnsiTheme="majorBidi" w:cstheme="majorBidi"/>
        </w:rPr>
        <w:t>Lihat.</w:t>
      </w:r>
      <w:r>
        <w:t xml:space="preserve"> </w:t>
      </w:r>
      <w:r w:rsidRPr="001E7EAC">
        <w:rPr>
          <w:rFonts w:asciiTheme="majorBidi" w:hAnsiTheme="majorBidi" w:cstheme="majorBidi"/>
        </w:rPr>
        <w:t xml:space="preserve">Yusuf </w:t>
      </w:r>
      <w:r w:rsidRPr="009B7C4B">
        <w:rPr>
          <w:rFonts w:asciiTheme="majorBidi" w:hAnsiTheme="majorBidi" w:cstheme="majorBidi"/>
        </w:rPr>
        <w:t>al-Qardhāwī</w:t>
      </w:r>
      <w:r w:rsidRPr="001E7EAC">
        <w:rPr>
          <w:rFonts w:asciiTheme="majorBidi" w:hAnsiTheme="majorBidi" w:cstheme="majorBidi"/>
        </w:rPr>
        <w:t xml:space="preserve">, </w:t>
      </w:r>
      <w:r w:rsidRPr="00DC2591">
        <w:rPr>
          <w:rFonts w:asciiTheme="majorBidi" w:hAnsiTheme="majorBidi" w:cstheme="majorBidi"/>
          <w:i/>
          <w:iCs/>
        </w:rPr>
        <w:t>Ushūl al-Fiqh al-Islāmi</w:t>
      </w:r>
      <w:r w:rsidRPr="001E7EAC">
        <w:rPr>
          <w:rFonts w:asciiTheme="majorBidi" w:hAnsiTheme="majorBidi" w:cstheme="majorBidi"/>
        </w:rPr>
        <w:t xml:space="preserve">, ( Bairut: </w:t>
      </w:r>
      <w:r>
        <w:rPr>
          <w:rFonts w:asciiTheme="majorBidi" w:hAnsiTheme="majorBidi" w:cstheme="majorBidi"/>
        </w:rPr>
        <w:t xml:space="preserve">Dār </w:t>
      </w:r>
      <w:r w:rsidRPr="001E7EAC">
        <w:rPr>
          <w:rFonts w:asciiTheme="majorBidi" w:hAnsiTheme="majorBidi" w:cstheme="majorBidi"/>
        </w:rPr>
        <w:t>al-Fikr, 1998), cet ke 2, h. 906</w:t>
      </w:r>
    </w:p>
  </w:footnote>
  <w:footnote w:id="21">
    <w:p w:rsidR="009677C3" w:rsidRPr="0028798D" w:rsidRDefault="009677C3" w:rsidP="002F3682">
      <w:pPr>
        <w:spacing w:after="0" w:line="240" w:lineRule="auto"/>
        <w:ind w:firstLine="720"/>
        <w:jc w:val="both"/>
        <w:rPr>
          <w:rFonts w:asciiTheme="majorBidi" w:hAnsiTheme="majorBidi" w:cstheme="majorBidi"/>
          <w:i/>
          <w:iCs/>
          <w:sz w:val="24"/>
          <w:szCs w:val="24"/>
          <w:lang w:val="sv-SE"/>
        </w:rPr>
      </w:pPr>
      <w:r w:rsidRPr="001E7EAC">
        <w:rPr>
          <w:rStyle w:val="FootnoteReference"/>
        </w:rPr>
        <w:footnoteRef/>
      </w:r>
      <w:r w:rsidRPr="001E7EAC">
        <w:t xml:space="preserve"> </w:t>
      </w:r>
      <w:r w:rsidRPr="0028798D">
        <w:rPr>
          <w:rFonts w:asciiTheme="majorBidi" w:hAnsiTheme="majorBidi" w:cstheme="majorBidi"/>
          <w:sz w:val="20"/>
          <w:szCs w:val="20"/>
        </w:rPr>
        <w:t>Lihat.</w:t>
      </w:r>
      <w:r w:rsidRPr="0028798D">
        <w:rPr>
          <w:rFonts w:ascii="Times New Roman" w:hAnsi="Times New Roman" w:cs="Times New Roman"/>
          <w:sz w:val="20"/>
          <w:szCs w:val="20"/>
          <w:lang w:val="id-ID"/>
        </w:rPr>
        <w:t>Abdul Wah</w:t>
      </w:r>
      <w:r w:rsidRPr="0028798D">
        <w:rPr>
          <w:rFonts w:ascii="Times New Roman" w:hAnsi="Times New Roman" w:cs="Times New Roman"/>
          <w:sz w:val="20"/>
          <w:szCs w:val="20"/>
        </w:rPr>
        <w:t>h</w:t>
      </w:r>
      <w:r w:rsidRPr="0028798D">
        <w:rPr>
          <w:rFonts w:ascii="Times New Roman" w:hAnsi="Times New Roman" w:cs="Times New Roman"/>
          <w:sz w:val="20"/>
          <w:szCs w:val="20"/>
          <w:lang w:val="id-ID"/>
        </w:rPr>
        <w:t>ab Kha</w:t>
      </w:r>
      <w:r w:rsidRPr="0028798D">
        <w:rPr>
          <w:rFonts w:ascii="Times New Roman" w:hAnsi="Times New Roman" w:cs="Times New Roman"/>
          <w:sz w:val="20"/>
          <w:szCs w:val="20"/>
        </w:rPr>
        <w:t>l</w:t>
      </w:r>
      <w:r w:rsidRPr="0028798D">
        <w:rPr>
          <w:rFonts w:ascii="Times New Roman" w:hAnsi="Times New Roman" w:cs="Times New Roman"/>
          <w:sz w:val="20"/>
          <w:szCs w:val="20"/>
          <w:lang w:val="id-ID"/>
        </w:rPr>
        <w:t>l</w:t>
      </w:r>
      <w:r w:rsidRPr="0028798D">
        <w:rPr>
          <w:rFonts w:asciiTheme="majorBidi" w:hAnsiTheme="majorBidi" w:cstheme="majorBidi"/>
          <w:sz w:val="20"/>
          <w:szCs w:val="20"/>
          <w:lang w:val="sv-SE"/>
        </w:rPr>
        <w:t>ā</w:t>
      </w:r>
      <w:r w:rsidRPr="0028798D">
        <w:rPr>
          <w:rFonts w:ascii="Times New Roman" w:hAnsi="Times New Roman" w:cs="Times New Roman"/>
          <w:sz w:val="20"/>
          <w:szCs w:val="20"/>
          <w:lang w:val="id-ID"/>
        </w:rPr>
        <w:t xml:space="preserve">f, </w:t>
      </w:r>
      <w:r w:rsidRPr="0028798D">
        <w:rPr>
          <w:rFonts w:ascii="Times New Roman" w:hAnsi="Times New Roman" w:cs="Times New Roman"/>
          <w:i/>
          <w:iCs/>
          <w:sz w:val="20"/>
          <w:szCs w:val="20"/>
        </w:rPr>
        <w:t>Al-</w:t>
      </w:r>
      <w:r w:rsidRPr="0028798D">
        <w:rPr>
          <w:rFonts w:asciiTheme="majorBidi" w:hAnsiTheme="majorBidi" w:cstheme="majorBidi"/>
          <w:i/>
          <w:iCs/>
          <w:sz w:val="20"/>
          <w:szCs w:val="20"/>
          <w:lang w:val="sv-SE"/>
        </w:rPr>
        <w:t xml:space="preserve"> siyāsah syar</w:t>
      </w:r>
      <w:r w:rsidRPr="0028798D">
        <w:rPr>
          <w:sz w:val="20"/>
          <w:szCs w:val="20"/>
          <w:lang w:val="sv-SE"/>
        </w:rPr>
        <w:t>‘</w:t>
      </w:r>
      <w:r w:rsidRPr="0028798D">
        <w:rPr>
          <w:rFonts w:asciiTheme="majorBidi" w:hAnsiTheme="majorBidi" w:cstheme="majorBidi"/>
          <w:i/>
          <w:iCs/>
          <w:sz w:val="20"/>
          <w:szCs w:val="20"/>
          <w:lang w:val="sv-SE"/>
        </w:rPr>
        <w:t>iyyah</w:t>
      </w:r>
      <w:r w:rsidRPr="0028798D">
        <w:rPr>
          <w:rFonts w:ascii="Times New Roman" w:hAnsi="Times New Roman" w:cs="Times New Roman"/>
          <w:i/>
          <w:iCs/>
          <w:sz w:val="20"/>
          <w:szCs w:val="20"/>
        </w:rPr>
        <w:t>aw Nidham Al-Dawlat Al-Islamiyah</w:t>
      </w:r>
      <w:r w:rsidRPr="0028798D">
        <w:rPr>
          <w:rFonts w:ascii="Times New Roman" w:hAnsi="Times New Roman" w:cs="Times New Roman"/>
          <w:i/>
          <w:sz w:val="20"/>
          <w:szCs w:val="20"/>
          <w:lang w:val="id-ID"/>
        </w:rPr>
        <w:t>,</w:t>
      </w:r>
      <w:r w:rsidRPr="0028798D">
        <w:rPr>
          <w:rFonts w:ascii="Times New Roman" w:hAnsi="Times New Roman" w:cs="Times New Roman"/>
          <w:i/>
          <w:sz w:val="20"/>
          <w:szCs w:val="20"/>
        </w:rPr>
        <w:t xml:space="preserve">    </w:t>
      </w:r>
      <w:r w:rsidRPr="0028798D">
        <w:rPr>
          <w:rFonts w:ascii="Times New Roman" w:hAnsi="Times New Roman" w:cs="Times New Roman"/>
          <w:iCs/>
          <w:sz w:val="20"/>
          <w:szCs w:val="20"/>
        </w:rPr>
        <w:t>( Mesir: Dār Al-Anshar, 1977),</w:t>
      </w:r>
      <w:r w:rsidRPr="0028798D">
        <w:rPr>
          <w:rFonts w:ascii="Times New Roman" w:hAnsi="Times New Roman" w:cs="Times New Roman"/>
          <w:sz w:val="20"/>
          <w:szCs w:val="20"/>
          <w:lang w:val="id-ID"/>
        </w:rPr>
        <w:t xml:space="preserve"> h. 15.</w:t>
      </w:r>
    </w:p>
  </w:footnote>
  <w:footnote w:id="22">
    <w:p w:rsidR="009677C3" w:rsidRPr="005C28ED" w:rsidRDefault="009677C3" w:rsidP="002F3682">
      <w:pPr>
        <w:pStyle w:val="FootnoteText"/>
        <w:ind w:firstLine="720"/>
        <w:jc w:val="both"/>
        <w:rPr>
          <w:lang w:val="sv-SE"/>
        </w:rPr>
      </w:pPr>
      <w:r w:rsidRPr="001E7EAC">
        <w:rPr>
          <w:rStyle w:val="FootnoteReference"/>
        </w:rPr>
        <w:footnoteRef/>
      </w:r>
      <w:r w:rsidRPr="005C28ED">
        <w:rPr>
          <w:lang w:val="sv-SE"/>
        </w:rPr>
        <w:t xml:space="preserve"> </w:t>
      </w:r>
      <w:r w:rsidRPr="005C28ED">
        <w:rPr>
          <w:rFonts w:asciiTheme="majorBidi" w:hAnsiTheme="majorBidi" w:cstheme="majorBidi"/>
          <w:lang w:val="sv-SE"/>
        </w:rPr>
        <w:t>Lihat.</w:t>
      </w:r>
      <w:r w:rsidRPr="001E7EAC">
        <w:rPr>
          <w:rFonts w:ascii="Times New Roman" w:hAnsi="Times New Roman" w:cs="Times New Roman"/>
          <w:lang w:val="id-ID"/>
        </w:rPr>
        <w:t xml:space="preserve">Abdurrahman taj, </w:t>
      </w:r>
      <w:r w:rsidRPr="001E7EAC">
        <w:rPr>
          <w:rFonts w:ascii="Times New Roman" w:hAnsi="Times New Roman" w:cs="Times New Roman"/>
          <w:i/>
          <w:lang w:val="id-ID"/>
        </w:rPr>
        <w:t xml:space="preserve">Al-siyasah al-Syar’iyah wa al-Fiqh al-Islami, </w:t>
      </w:r>
      <w:r w:rsidRPr="001E7EAC">
        <w:rPr>
          <w:rFonts w:ascii="Times New Roman" w:hAnsi="Times New Roman" w:cs="Times New Roman"/>
          <w:lang w:val="id-ID"/>
        </w:rPr>
        <w:t>(Mesir:</w:t>
      </w:r>
      <w:r w:rsidRPr="005C28ED">
        <w:rPr>
          <w:rFonts w:ascii="Times New Roman" w:hAnsi="Times New Roman" w:cs="Times New Roman"/>
          <w:lang w:val="sv-SE"/>
        </w:rPr>
        <w:t xml:space="preserve"> </w:t>
      </w:r>
      <w:r w:rsidRPr="001E7EAC">
        <w:rPr>
          <w:rFonts w:ascii="Times New Roman" w:hAnsi="Times New Roman" w:cs="Times New Roman"/>
          <w:lang w:val="id-ID"/>
        </w:rPr>
        <w:t xml:space="preserve">Mathba’ah </w:t>
      </w:r>
      <w:r>
        <w:rPr>
          <w:rFonts w:ascii="Times New Roman" w:hAnsi="Times New Roman" w:cs="Times New Roman"/>
          <w:lang w:val="id-ID"/>
        </w:rPr>
        <w:t>Dār</w:t>
      </w:r>
      <w:r w:rsidRPr="001E7EAC">
        <w:rPr>
          <w:rFonts w:ascii="Times New Roman" w:hAnsi="Times New Roman" w:cs="Times New Roman"/>
          <w:lang w:val="id-ID"/>
        </w:rPr>
        <w:t>al-Ta’lif,1993</w:t>
      </w:r>
      <w:r w:rsidRPr="005C28ED">
        <w:rPr>
          <w:rFonts w:ascii="Times New Roman" w:hAnsi="Times New Roman" w:cs="Times New Roman"/>
          <w:lang w:val="sv-SE"/>
        </w:rPr>
        <w:t>)</w:t>
      </w:r>
      <w:r w:rsidRPr="001E7EAC">
        <w:rPr>
          <w:rFonts w:ascii="Times New Roman" w:hAnsi="Times New Roman" w:cs="Times New Roman"/>
          <w:lang w:val="id-ID"/>
        </w:rPr>
        <w:t>, h. 10.</w:t>
      </w:r>
    </w:p>
  </w:footnote>
  <w:footnote w:id="23">
    <w:p w:rsidR="009677C3" w:rsidRPr="005C28ED" w:rsidRDefault="009677C3" w:rsidP="002F3682">
      <w:pPr>
        <w:spacing w:after="0" w:line="240" w:lineRule="auto"/>
        <w:ind w:firstLine="720"/>
        <w:jc w:val="both"/>
        <w:outlineLvl w:val="0"/>
        <w:rPr>
          <w:rFonts w:asciiTheme="majorBidi" w:hAnsiTheme="majorBidi" w:cstheme="majorBidi"/>
          <w:b/>
          <w:bCs/>
          <w:kern w:val="36"/>
          <w:sz w:val="20"/>
          <w:szCs w:val="20"/>
          <w:lang w:val="sv-SE"/>
        </w:rPr>
      </w:pPr>
      <w:r w:rsidRPr="00582D39">
        <w:rPr>
          <w:rStyle w:val="FootnoteReference"/>
          <w:rFonts w:asciiTheme="majorBidi" w:hAnsiTheme="majorBidi" w:cstheme="majorBidi"/>
          <w:sz w:val="20"/>
          <w:szCs w:val="20"/>
        </w:rPr>
        <w:footnoteRef/>
      </w:r>
      <w:r w:rsidRPr="005C28ED">
        <w:rPr>
          <w:rFonts w:asciiTheme="majorBidi" w:hAnsiTheme="majorBidi" w:cstheme="majorBidi"/>
          <w:lang w:val="sv-SE"/>
        </w:rPr>
        <w:t>Lihat.</w:t>
      </w:r>
      <w:r w:rsidRPr="005C28ED">
        <w:rPr>
          <w:lang w:val="sv-SE"/>
        </w:rPr>
        <w:t xml:space="preserve"> </w:t>
      </w:r>
      <w:r w:rsidRPr="005C28ED">
        <w:rPr>
          <w:rFonts w:asciiTheme="majorBidi" w:hAnsiTheme="majorBidi" w:cstheme="majorBidi"/>
          <w:sz w:val="20"/>
          <w:szCs w:val="20"/>
          <w:lang w:val="sv-SE"/>
        </w:rPr>
        <w:t xml:space="preserve">Al-Yasa’AbūBakar, </w:t>
      </w:r>
      <w:r w:rsidRPr="005C28ED">
        <w:rPr>
          <w:rFonts w:asciiTheme="majorBidi" w:hAnsiTheme="majorBidi" w:cstheme="majorBidi"/>
          <w:i/>
          <w:iCs/>
          <w:kern w:val="36"/>
          <w:sz w:val="20"/>
          <w:szCs w:val="20"/>
          <w:lang w:val="sv-SE"/>
        </w:rPr>
        <w:t xml:space="preserve">Al-Siyasah Al-Syar`iyyah Dan Uli Al-Amr: Pengertian Dan Cakupan Isinya, </w:t>
      </w:r>
      <w:r w:rsidRPr="005C28ED">
        <w:rPr>
          <w:rFonts w:asciiTheme="majorBidi" w:hAnsiTheme="majorBidi" w:cstheme="majorBidi"/>
          <w:sz w:val="20"/>
          <w:szCs w:val="20"/>
          <w:lang w:val="sv-SE"/>
        </w:rPr>
        <w:t>Makalah ditulis atas permintaan editor untuk Jurnal Tarjih PP Muhammadiyah, Januari 2014, h. 1-2</w:t>
      </w:r>
    </w:p>
  </w:footnote>
  <w:footnote w:id="24">
    <w:p w:rsidR="009677C3" w:rsidRPr="005C28ED" w:rsidRDefault="009677C3" w:rsidP="009C7A9E">
      <w:pPr>
        <w:spacing w:after="0"/>
        <w:ind w:firstLine="720"/>
        <w:rPr>
          <w:rFonts w:asciiTheme="majorBidi" w:hAnsiTheme="majorBidi" w:cstheme="majorBidi"/>
          <w:i/>
          <w:iCs/>
          <w:sz w:val="20"/>
          <w:szCs w:val="20"/>
          <w:lang w:val="sv-SE"/>
        </w:rPr>
      </w:pPr>
      <w:r w:rsidRPr="00181D48">
        <w:rPr>
          <w:rStyle w:val="FootnoteReference"/>
          <w:rFonts w:asciiTheme="majorBidi" w:hAnsiTheme="majorBidi" w:cstheme="majorBidi"/>
          <w:sz w:val="20"/>
          <w:szCs w:val="20"/>
        </w:rPr>
        <w:footnoteRef/>
      </w:r>
      <w:r w:rsidRPr="005C28ED">
        <w:rPr>
          <w:rFonts w:asciiTheme="majorBidi" w:hAnsiTheme="majorBidi" w:cstheme="majorBidi"/>
          <w:sz w:val="20"/>
          <w:szCs w:val="20"/>
          <w:lang w:val="sv-SE"/>
        </w:rPr>
        <w:t>Lihat.</w:t>
      </w:r>
      <w:r w:rsidRPr="005C28ED">
        <w:rPr>
          <w:lang w:val="sv-SE"/>
        </w:rPr>
        <w:t xml:space="preserve"> </w:t>
      </w:r>
      <w:r w:rsidRPr="005C28ED">
        <w:rPr>
          <w:rFonts w:asciiTheme="majorBidi" w:hAnsiTheme="majorBidi" w:cstheme="majorBidi"/>
          <w:sz w:val="20"/>
          <w:szCs w:val="20"/>
          <w:lang w:val="sv-SE"/>
        </w:rPr>
        <w:t xml:space="preserve"> </w:t>
      </w:r>
      <w:r w:rsidRPr="00181D48">
        <w:rPr>
          <w:rFonts w:ascii="Times New Roman" w:hAnsi="Times New Roman" w:cs="Times New Roman"/>
          <w:sz w:val="20"/>
          <w:szCs w:val="20"/>
          <w:lang w:val="sv-SE"/>
        </w:rPr>
        <w:t xml:space="preserve">Ibnu Qayyim al-Jauzi, </w:t>
      </w:r>
      <w:r w:rsidRPr="00181D48">
        <w:rPr>
          <w:rFonts w:ascii="Times New Roman" w:hAnsi="Times New Roman" w:cs="Times New Roman"/>
          <w:i/>
          <w:iCs/>
          <w:sz w:val="20"/>
          <w:szCs w:val="20"/>
          <w:lang w:val="sv-SE"/>
        </w:rPr>
        <w:t>Al-Thuruq al-</w:t>
      </w:r>
      <w:bookmarkStart w:id="0" w:name="OLE_LINK28"/>
      <w:r w:rsidRPr="005C28ED">
        <w:rPr>
          <w:u w:val="single"/>
          <w:lang w:val="sv-SE"/>
        </w:rPr>
        <w:t xml:space="preserve"> </w:t>
      </w:r>
      <w:r w:rsidRPr="005C28ED">
        <w:rPr>
          <w:rFonts w:asciiTheme="majorBidi" w:hAnsiTheme="majorBidi" w:cstheme="majorBidi"/>
          <w:i/>
          <w:iCs/>
          <w:sz w:val="20"/>
          <w:szCs w:val="20"/>
          <w:u w:val="single"/>
          <w:lang w:val="sv-SE"/>
        </w:rPr>
        <w:t>H</w:t>
      </w:r>
      <w:bookmarkEnd w:id="0"/>
      <w:r w:rsidRPr="00181D48">
        <w:rPr>
          <w:rFonts w:ascii="Times New Roman" w:hAnsi="Times New Roman" w:cs="Times New Roman"/>
          <w:i/>
          <w:iCs/>
          <w:sz w:val="20"/>
          <w:szCs w:val="20"/>
          <w:lang w:val="sv-SE"/>
        </w:rPr>
        <w:t xml:space="preserve">ukmiyyah </w:t>
      </w:r>
      <w:r w:rsidRPr="005C28ED">
        <w:rPr>
          <w:rFonts w:asciiTheme="majorBidi" w:hAnsiTheme="majorBidi" w:cstheme="majorBidi"/>
          <w:bCs/>
          <w:i/>
          <w:iCs/>
          <w:sz w:val="24"/>
          <w:szCs w:val="24"/>
          <w:lang w:val="sv-SE"/>
        </w:rPr>
        <w:t>al</w:t>
      </w:r>
      <w:r w:rsidRPr="005C28ED">
        <w:rPr>
          <w:rFonts w:asciiTheme="majorBidi" w:hAnsiTheme="majorBidi" w:cstheme="majorBidi"/>
          <w:bCs/>
          <w:sz w:val="24"/>
          <w:szCs w:val="24"/>
          <w:lang w:val="sv-SE"/>
        </w:rPr>
        <w:t>-</w:t>
      </w:r>
      <w:r>
        <w:rPr>
          <w:rFonts w:asciiTheme="majorBidi" w:hAnsiTheme="majorBidi" w:cstheme="majorBidi"/>
          <w:i/>
          <w:iCs/>
          <w:sz w:val="24"/>
          <w:szCs w:val="24"/>
          <w:lang w:val="id-ID"/>
        </w:rPr>
        <w:t xml:space="preserve"> </w:t>
      </w:r>
      <w:r w:rsidRPr="009C7A9E">
        <w:rPr>
          <w:rFonts w:asciiTheme="majorBidi" w:hAnsiTheme="majorBidi" w:cstheme="majorBidi"/>
          <w:i/>
          <w:iCs/>
          <w:sz w:val="20"/>
          <w:szCs w:val="20"/>
          <w:lang w:val="id-ID"/>
        </w:rPr>
        <w:t>siyāsah</w:t>
      </w:r>
      <w:r w:rsidRPr="005C28ED">
        <w:rPr>
          <w:rFonts w:asciiTheme="majorBidi" w:hAnsiTheme="majorBidi" w:cstheme="majorBidi"/>
          <w:i/>
          <w:iCs/>
          <w:sz w:val="20"/>
          <w:szCs w:val="20"/>
          <w:lang w:val="sv-SE"/>
        </w:rPr>
        <w:t xml:space="preserve"> al-</w:t>
      </w:r>
      <w:r w:rsidRPr="009C7A9E">
        <w:rPr>
          <w:rFonts w:asciiTheme="majorBidi" w:hAnsiTheme="majorBidi" w:cstheme="majorBidi"/>
          <w:i/>
          <w:iCs/>
          <w:sz w:val="20"/>
          <w:szCs w:val="20"/>
          <w:lang w:val="id-ID"/>
        </w:rPr>
        <w:t>syar‘iyyah</w:t>
      </w:r>
      <w:r w:rsidRPr="00181D48">
        <w:rPr>
          <w:rFonts w:ascii="Times New Roman" w:hAnsi="Times New Roman" w:cs="Times New Roman"/>
          <w:sz w:val="20"/>
          <w:szCs w:val="20"/>
          <w:lang w:val="sv-SE"/>
        </w:rPr>
        <w:t xml:space="preserve">, ( Mekkah Al-Mukarromah: </w:t>
      </w:r>
      <w:r>
        <w:rPr>
          <w:rFonts w:ascii="Times New Roman" w:hAnsi="Times New Roman" w:cs="Times New Roman"/>
          <w:sz w:val="20"/>
          <w:szCs w:val="20"/>
          <w:lang w:val="sv-SE"/>
        </w:rPr>
        <w:t>Dār</w:t>
      </w:r>
      <w:r w:rsidRPr="00181D48">
        <w:rPr>
          <w:rFonts w:ascii="Times New Roman" w:hAnsi="Times New Roman" w:cs="Times New Roman"/>
          <w:sz w:val="20"/>
          <w:szCs w:val="20"/>
          <w:lang w:val="sv-SE"/>
        </w:rPr>
        <w:t>’</w:t>
      </w:r>
      <w:r>
        <w:rPr>
          <w:rFonts w:ascii="Times New Roman" w:hAnsi="Times New Roman" w:cs="Times New Roman"/>
          <w:sz w:val="20"/>
          <w:szCs w:val="20"/>
          <w:lang w:val="sv-SE"/>
        </w:rPr>
        <w:t>Alam al-Fawaid: 1428), h. 23</w:t>
      </w:r>
    </w:p>
  </w:footnote>
  <w:footnote w:id="25">
    <w:p w:rsidR="009677C3" w:rsidRPr="004E10CF" w:rsidRDefault="009677C3" w:rsidP="00651E73">
      <w:pPr>
        <w:pStyle w:val="FootnoteText"/>
        <w:ind w:firstLine="720"/>
        <w:jc w:val="both"/>
        <w:rPr>
          <w:rFonts w:asciiTheme="majorBidi" w:hAnsiTheme="majorBidi" w:cstheme="majorBidi"/>
          <w:lang w:val="sv-SE"/>
        </w:rPr>
      </w:pPr>
      <w:r w:rsidRPr="00B44FD9">
        <w:rPr>
          <w:rStyle w:val="FootnoteReference"/>
          <w:rFonts w:asciiTheme="majorBidi" w:hAnsiTheme="majorBidi" w:cstheme="majorBidi"/>
        </w:rPr>
        <w:footnoteRef/>
      </w:r>
      <w:r w:rsidRPr="004E10CF">
        <w:rPr>
          <w:rFonts w:asciiTheme="majorBidi" w:hAnsiTheme="majorBidi" w:cstheme="majorBidi"/>
          <w:lang w:val="sv-SE"/>
        </w:rPr>
        <w:t xml:space="preserve"> </w:t>
      </w:r>
      <w:r w:rsidRPr="00BC12A7">
        <w:rPr>
          <w:rFonts w:asciiTheme="majorBidi" w:hAnsiTheme="majorBidi" w:cstheme="majorBidi"/>
          <w:lang w:val="sv-SE"/>
        </w:rPr>
        <w:t>Lihat.</w:t>
      </w:r>
      <w:r w:rsidRPr="00BC12A7">
        <w:rPr>
          <w:lang w:val="sv-SE"/>
        </w:rPr>
        <w:t xml:space="preserve"> </w:t>
      </w:r>
      <w:r w:rsidRPr="004E10CF">
        <w:rPr>
          <w:rFonts w:asciiTheme="majorBidi" w:hAnsiTheme="majorBidi" w:cstheme="majorBidi"/>
          <w:lang w:val="sv-SE"/>
        </w:rPr>
        <w:t xml:space="preserve">Ibn Qayyim Al-Jawziyyah, </w:t>
      </w:r>
      <w:r w:rsidRPr="004E10CF">
        <w:rPr>
          <w:rFonts w:asciiTheme="majorBidi" w:hAnsiTheme="majorBidi" w:cstheme="majorBidi"/>
          <w:i/>
          <w:iCs/>
          <w:lang w:val="sv-SE"/>
        </w:rPr>
        <w:t>Al-Thuruq Al-Hukmiyah fi Siayasah Al-Syar’iyyah</w:t>
      </w:r>
      <w:r w:rsidRPr="004E10CF">
        <w:rPr>
          <w:rFonts w:asciiTheme="majorBidi" w:hAnsiTheme="majorBidi" w:cstheme="majorBidi"/>
          <w:lang w:val="sv-SE"/>
        </w:rPr>
        <w:t>,( Kairo: Muassah Al-Rabiyah, 1961), h. 3</w:t>
      </w:r>
    </w:p>
  </w:footnote>
  <w:footnote w:id="26">
    <w:p w:rsidR="009677C3" w:rsidRPr="00DD6D2D" w:rsidRDefault="009677C3" w:rsidP="00651E73">
      <w:pPr>
        <w:pStyle w:val="FootnoteText"/>
        <w:ind w:firstLine="720"/>
        <w:jc w:val="both"/>
        <w:rPr>
          <w:rFonts w:asciiTheme="majorBidi" w:hAnsiTheme="majorBidi" w:cstheme="majorBidi"/>
        </w:rPr>
      </w:pPr>
      <w:r w:rsidRPr="00DD6D2D">
        <w:rPr>
          <w:rStyle w:val="FootnoteReference"/>
          <w:rFonts w:asciiTheme="majorBidi" w:hAnsiTheme="majorBidi" w:cstheme="majorBidi"/>
        </w:rPr>
        <w:footnoteRef/>
      </w:r>
      <w:r>
        <w:rPr>
          <w:rFonts w:asciiTheme="majorBidi" w:hAnsiTheme="majorBidi" w:cstheme="majorBidi"/>
        </w:rPr>
        <w:t xml:space="preserve"> </w:t>
      </w:r>
      <w:r w:rsidRPr="00BC12A7">
        <w:rPr>
          <w:rFonts w:asciiTheme="majorBidi" w:hAnsiTheme="majorBidi" w:cstheme="majorBidi"/>
        </w:rPr>
        <w:t>Lihat.</w:t>
      </w:r>
      <w:r>
        <w:t xml:space="preserve"> </w:t>
      </w:r>
      <w:r>
        <w:rPr>
          <w:rFonts w:asciiTheme="majorBidi" w:hAnsiTheme="majorBidi" w:cstheme="majorBidi"/>
        </w:rPr>
        <w:t>A.</w:t>
      </w:r>
      <w:r w:rsidRPr="00DD6D2D">
        <w:rPr>
          <w:rFonts w:asciiTheme="majorBidi" w:hAnsiTheme="majorBidi" w:cstheme="majorBidi"/>
        </w:rPr>
        <w:t>Djazuli</w:t>
      </w:r>
      <w:r w:rsidRPr="00DD6D2D">
        <w:rPr>
          <w:rFonts w:asciiTheme="majorBidi" w:hAnsiTheme="majorBidi" w:cstheme="majorBidi"/>
          <w:i/>
          <w:iCs/>
        </w:rPr>
        <w:t>, Fiqh Siyasah, Impleme</w:t>
      </w:r>
      <w:r>
        <w:rPr>
          <w:rFonts w:asciiTheme="majorBidi" w:hAnsiTheme="majorBidi" w:cstheme="majorBidi"/>
          <w:i/>
          <w:iCs/>
        </w:rPr>
        <w:t>ntasi Kemaslatan Umat dalam Ramb</w:t>
      </w:r>
      <w:r w:rsidRPr="00DD6D2D">
        <w:rPr>
          <w:rFonts w:asciiTheme="majorBidi" w:hAnsiTheme="majorBidi" w:cstheme="majorBidi"/>
          <w:i/>
          <w:iCs/>
        </w:rPr>
        <w:t>u-Rambu Syari’ah</w:t>
      </w:r>
      <w:r w:rsidRPr="00DD6D2D">
        <w:rPr>
          <w:rFonts w:asciiTheme="majorBidi" w:hAnsiTheme="majorBidi" w:cstheme="majorBidi"/>
        </w:rPr>
        <w:t>, ( Jakarta: Prenada Media Group, 2013), h. 29</w:t>
      </w:r>
    </w:p>
  </w:footnote>
  <w:footnote w:id="27">
    <w:p w:rsidR="009677C3" w:rsidRPr="00181D48" w:rsidRDefault="009677C3" w:rsidP="0028798D">
      <w:pPr>
        <w:pStyle w:val="FootnoteText"/>
        <w:ind w:firstLine="720"/>
        <w:jc w:val="both"/>
        <w:rPr>
          <w:lang w:val="sv-SE"/>
        </w:rPr>
      </w:pPr>
      <w:r w:rsidRPr="00ED41E3">
        <w:rPr>
          <w:rStyle w:val="FootnoteReference"/>
        </w:rPr>
        <w:footnoteRef/>
      </w:r>
      <w:r w:rsidRPr="00181D48">
        <w:rPr>
          <w:lang w:val="sv-SE"/>
        </w:rPr>
        <w:t xml:space="preserve"> </w:t>
      </w:r>
      <w:r w:rsidRPr="00BC12A7">
        <w:rPr>
          <w:rFonts w:asciiTheme="majorBidi" w:hAnsiTheme="majorBidi" w:cstheme="majorBidi"/>
        </w:rPr>
        <w:t>Lihat.</w:t>
      </w:r>
      <w:r>
        <w:t xml:space="preserve"> </w:t>
      </w:r>
      <w:r w:rsidRPr="00181D48">
        <w:rPr>
          <w:rFonts w:ascii="Times New Roman" w:hAnsi="Times New Roman" w:cs="Times New Roman"/>
          <w:lang w:val="sv-SE"/>
        </w:rPr>
        <w:t xml:space="preserve">Muhammad bin Shalih al-`Utsaymin, </w:t>
      </w:r>
      <w:r w:rsidRPr="00181D48">
        <w:rPr>
          <w:rFonts w:ascii="Times New Roman" w:hAnsi="Times New Roman" w:cs="Times New Roman"/>
          <w:i/>
          <w:iCs/>
          <w:lang w:val="sv-SE"/>
        </w:rPr>
        <w:t>Al-Ta`l</w:t>
      </w:r>
      <w:r w:rsidRPr="00DC2591">
        <w:rPr>
          <w:rFonts w:asciiTheme="majorBidi" w:hAnsiTheme="majorBidi" w:cstheme="majorBidi"/>
          <w:i/>
          <w:iCs/>
          <w:sz w:val="24"/>
          <w:szCs w:val="24"/>
        </w:rPr>
        <w:t>ī</w:t>
      </w:r>
      <w:r w:rsidRPr="00181D48">
        <w:rPr>
          <w:rFonts w:ascii="Times New Roman" w:hAnsi="Times New Roman" w:cs="Times New Roman"/>
          <w:i/>
          <w:iCs/>
          <w:lang w:val="sv-SE"/>
        </w:rPr>
        <w:t>q `ala Al-Siyasah al-Syar`iyyah f</w:t>
      </w:r>
      <w:r w:rsidRPr="00DC2591">
        <w:rPr>
          <w:rFonts w:asciiTheme="majorBidi" w:hAnsiTheme="majorBidi" w:cstheme="majorBidi"/>
          <w:i/>
          <w:iCs/>
          <w:sz w:val="24"/>
          <w:szCs w:val="24"/>
        </w:rPr>
        <w:t>ī</w:t>
      </w:r>
      <w:r w:rsidRPr="00DC2591">
        <w:rPr>
          <w:rFonts w:ascii="Times New Roman" w:hAnsi="Times New Roman" w:cs="Times New Roman"/>
          <w:i/>
          <w:iCs/>
          <w:lang w:val="sv-SE"/>
        </w:rPr>
        <w:t xml:space="preserve"> </w:t>
      </w:r>
      <w:r w:rsidRPr="00181D48">
        <w:rPr>
          <w:rFonts w:ascii="Times New Roman" w:hAnsi="Times New Roman" w:cs="Times New Roman"/>
          <w:i/>
          <w:iCs/>
          <w:lang w:val="sv-SE"/>
        </w:rPr>
        <w:t>Ishlah al-R</w:t>
      </w:r>
      <w:r w:rsidRPr="009C7A9E">
        <w:rPr>
          <w:rFonts w:asciiTheme="majorBidi" w:hAnsiTheme="majorBidi" w:cstheme="majorBidi"/>
          <w:i/>
          <w:iCs/>
        </w:rPr>
        <w:t>ā</w:t>
      </w:r>
      <w:r w:rsidRPr="00181D48">
        <w:rPr>
          <w:rFonts w:ascii="Times New Roman" w:hAnsi="Times New Roman" w:cs="Times New Roman"/>
          <w:i/>
          <w:iCs/>
          <w:lang w:val="sv-SE"/>
        </w:rPr>
        <w:t>`i wa al-Ra`iyyah li Syaikh al-Islam Ibn Taymiyyah</w:t>
      </w:r>
      <w:r>
        <w:rPr>
          <w:rFonts w:ascii="Times New Roman" w:hAnsi="Times New Roman" w:cs="Times New Roman"/>
          <w:lang w:val="sv-SE"/>
        </w:rPr>
        <w:t xml:space="preserve">, (Riyadh: Dār </w:t>
      </w:r>
      <w:r w:rsidRPr="00181D48">
        <w:rPr>
          <w:rFonts w:ascii="Times New Roman" w:hAnsi="Times New Roman" w:cs="Times New Roman"/>
          <w:lang w:val="sv-SE"/>
        </w:rPr>
        <w:t xml:space="preserve">al-Wathan li al-Nasyr, cet. 1, 1427 H), h. 5 </w:t>
      </w:r>
    </w:p>
  </w:footnote>
  <w:footnote w:id="28">
    <w:p w:rsidR="009677C3" w:rsidRPr="00B731F0" w:rsidRDefault="009677C3" w:rsidP="009C7A9E">
      <w:pPr>
        <w:pStyle w:val="FootnoteText"/>
        <w:ind w:firstLine="720"/>
        <w:jc w:val="both"/>
        <w:rPr>
          <w:rFonts w:asciiTheme="majorBidi" w:hAnsiTheme="majorBidi" w:cstheme="majorBidi"/>
          <w:lang w:val="sv-SE"/>
        </w:rPr>
      </w:pPr>
      <w:r w:rsidRPr="007D3C4A">
        <w:rPr>
          <w:rStyle w:val="FootnoteReference"/>
          <w:rFonts w:asciiTheme="majorBidi" w:hAnsiTheme="majorBidi" w:cstheme="majorBidi"/>
        </w:rPr>
        <w:footnoteRef/>
      </w:r>
      <w:r w:rsidRPr="00B731F0">
        <w:rPr>
          <w:rFonts w:asciiTheme="majorBidi" w:hAnsiTheme="majorBidi" w:cstheme="majorBidi"/>
          <w:lang w:val="sv-SE"/>
        </w:rPr>
        <w:t xml:space="preserve"> </w:t>
      </w:r>
      <w:r w:rsidRPr="00BC12A7">
        <w:rPr>
          <w:rFonts w:asciiTheme="majorBidi" w:hAnsiTheme="majorBidi" w:cstheme="majorBidi"/>
          <w:lang w:val="sv-SE"/>
        </w:rPr>
        <w:t>Lihat.</w:t>
      </w:r>
      <w:r w:rsidRPr="00BC12A7">
        <w:rPr>
          <w:lang w:val="sv-SE"/>
        </w:rPr>
        <w:t xml:space="preserve"> </w:t>
      </w:r>
      <w:r w:rsidRPr="00B731F0">
        <w:rPr>
          <w:rFonts w:asciiTheme="majorBidi" w:hAnsiTheme="majorBidi" w:cstheme="majorBidi"/>
          <w:lang w:val="sv-SE"/>
        </w:rPr>
        <w:t xml:space="preserve">Zainuddin Ibn Najim Al-Hanafi, </w:t>
      </w:r>
      <w:r w:rsidRPr="0038607A">
        <w:rPr>
          <w:rFonts w:asciiTheme="majorBidi" w:hAnsiTheme="majorBidi" w:cstheme="majorBidi"/>
          <w:i/>
          <w:iCs/>
          <w:lang w:val="sv-SE"/>
        </w:rPr>
        <w:t>Al-Bahr Al-R</w:t>
      </w:r>
      <w:r w:rsidRPr="009C7A9E">
        <w:rPr>
          <w:rFonts w:asciiTheme="majorBidi" w:hAnsiTheme="majorBidi" w:cstheme="majorBidi"/>
          <w:i/>
          <w:iCs/>
          <w:lang w:val="sv-SE"/>
        </w:rPr>
        <w:t>ā</w:t>
      </w:r>
      <w:r w:rsidRPr="0038607A">
        <w:rPr>
          <w:rFonts w:asciiTheme="majorBidi" w:hAnsiTheme="majorBidi" w:cstheme="majorBidi"/>
          <w:i/>
          <w:iCs/>
          <w:lang w:val="sv-SE"/>
        </w:rPr>
        <w:t>iq Syarh Kanz Al-Daq</w:t>
      </w:r>
      <w:r w:rsidRPr="009C7A9E">
        <w:rPr>
          <w:rFonts w:asciiTheme="majorBidi" w:hAnsiTheme="majorBidi" w:cstheme="majorBidi"/>
          <w:i/>
          <w:iCs/>
          <w:lang w:val="sv-SE"/>
        </w:rPr>
        <w:t>ā</w:t>
      </w:r>
      <w:r>
        <w:rPr>
          <w:rFonts w:asciiTheme="majorBidi" w:hAnsiTheme="majorBidi" w:cstheme="majorBidi"/>
          <w:i/>
          <w:iCs/>
          <w:lang w:val="sv-SE"/>
        </w:rPr>
        <w:t>iq</w:t>
      </w:r>
      <w:r w:rsidRPr="00B731F0">
        <w:rPr>
          <w:rFonts w:asciiTheme="majorBidi" w:hAnsiTheme="majorBidi" w:cstheme="majorBidi"/>
          <w:lang w:val="sv-SE"/>
        </w:rPr>
        <w:t>, ( Bairul:</w:t>
      </w:r>
      <w:r>
        <w:rPr>
          <w:rFonts w:asciiTheme="majorBidi" w:hAnsiTheme="majorBidi" w:cstheme="majorBidi"/>
          <w:lang w:val="sv-SE"/>
        </w:rPr>
        <w:t xml:space="preserve"> DārAl-Makrifah, t.th), Jilid 5</w:t>
      </w:r>
      <w:r w:rsidRPr="00B731F0">
        <w:rPr>
          <w:rFonts w:asciiTheme="majorBidi" w:hAnsiTheme="majorBidi" w:cstheme="majorBidi"/>
          <w:lang w:val="sv-SE"/>
        </w:rPr>
        <w:t>, h.76</w:t>
      </w:r>
    </w:p>
  </w:footnote>
  <w:footnote w:id="29">
    <w:p w:rsidR="009677C3" w:rsidRPr="00F40535" w:rsidRDefault="009677C3" w:rsidP="00933512">
      <w:pPr>
        <w:pStyle w:val="FootnoteText"/>
        <w:ind w:firstLine="720"/>
        <w:jc w:val="both"/>
        <w:rPr>
          <w:color w:val="000000" w:themeColor="text1"/>
        </w:rPr>
      </w:pPr>
      <w:r w:rsidRPr="00F40535">
        <w:rPr>
          <w:rStyle w:val="FootnoteReference"/>
          <w:color w:val="000000" w:themeColor="text1"/>
        </w:rPr>
        <w:footnoteRef/>
      </w:r>
      <w:r w:rsidRPr="00F40535">
        <w:rPr>
          <w:color w:val="000000" w:themeColor="text1"/>
        </w:rPr>
        <w:t xml:space="preserve"> </w:t>
      </w:r>
      <w:r w:rsidRPr="00BC12A7">
        <w:rPr>
          <w:rFonts w:asciiTheme="majorBidi" w:hAnsiTheme="majorBidi" w:cstheme="majorBidi"/>
        </w:rPr>
        <w:t>Lihat.</w:t>
      </w:r>
      <w:r>
        <w:t xml:space="preserve"> </w:t>
      </w:r>
      <w:r w:rsidRPr="00F40535">
        <w:rPr>
          <w:rFonts w:asciiTheme="majorBidi" w:hAnsiTheme="majorBidi" w:cstheme="majorBidi"/>
          <w:color w:val="000000" w:themeColor="text1"/>
        </w:rPr>
        <w:t xml:space="preserve">Ibn Abidin, </w:t>
      </w:r>
      <w:r w:rsidRPr="00F40535">
        <w:rPr>
          <w:rFonts w:asciiTheme="majorBidi" w:hAnsiTheme="majorBidi" w:cstheme="majorBidi"/>
          <w:i/>
          <w:iCs/>
          <w:color w:val="000000" w:themeColor="text1"/>
        </w:rPr>
        <w:t xml:space="preserve">Hasyiah </w:t>
      </w:r>
      <w:r w:rsidRPr="00933512">
        <w:rPr>
          <w:rFonts w:ascii="Times New Roman" w:hAnsi="Times New Roman" w:cs="Times New Roman"/>
          <w:i/>
          <w:iCs/>
        </w:rPr>
        <w:t>Radd al-Muht</w:t>
      </w:r>
      <w:r w:rsidRPr="00933512">
        <w:rPr>
          <w:rFonts w:asciiTheme="majorBidi" w:hAnsiTheme="majorBidi" w:cstheme="majorBidi"/>
          <w:i/>
          <w:iCs/>
        </w:rPr>
        <w:t>ā</w:t>
      </w:r>
      <w:r w:rsidRPr="00933512">
        <w:rPr>
          <w:rFonts w:ascii="Times New Roman" w:hAnsi="Times New Roman" w:cs="Times New Roman"/>
          <w:i/>
          <w:iCs/>
        </w:rPr>
        <w:t>r ‘ala al-Durar al-Mukht</w:t>
      </w:r>
      <w:r w:rsidRPr="00933512">
        <w:rPr>
          <w:rFonts w:asciiTheme="majorBidi" w:hAnsiTheme="majorBidi" w:cstheme="majorBidi"/>
          <w:i/>
          <w:iCs/>
        </w:rPr>
        <w:t>ā</w:t>
      </w:r>
      <w:r w:rsidRPr="00933512">
        <w:rPr>
          <w:rFonts w:ascii="Times New Roman" w:hAnsi="Times New Roman" w:cs="Times New Roman"/>
          <w:i/>
          <w:iCs/>
        </w:rPr>
        <w:t>r</w:t>
      </w:r>
      <w:r w:rsidRPr="00F40535">
        <w:rPr>
          <w:rFonts w:asciiTheme="majorBidi" w:hAnsiTheme="majorBidi" w:cstheme="majorBidi"/>
          <w:color w:val="000000" w:themeColor="text1"/>
        </w:rPr>
        <w:t>, (Beirut,</w:t>
      </w:r>
      <w:r>
        <w:rPr>
          <w:rFonts w:asciiTheme="majorBidi" w:hAnsiTheme="majorBidi" w:cstheme="majorBidi"/>
          <w:color w:val="000000" w:themeColor="text1"/>
        </w:rPr>
        <w:t xml:space="preserve"> Dār Al-Fikr,1421 H/ 2000M ),  Juz 4, h. 76</w:t>
      </w:r>
    </w:p>
  </w:footnote>
  <w:footnote w:id="30">
    <w:p w:rsidR="009677C3" w:rsidRPr="00B44FD9" w:rsidRDefault="009677C3" w:rsidP="00790A38">
      <w:pPr>
        <w:pStyle w:val="FootnoteText"/>
        <w:ind w:firstLine="720"/>
        <w:jc w:val="both"/>
      </w:pPr>
      <w:r w:rsidRPr="00B44FD9">
        <w:rPr>
          <w:rStyle w:val="FootnoteReference"/>
        </w:rPr>
        <w:footnoteRef/>
      </w:r>
      <w:r w:rsidRPr="00B44FD9">
        <w:t xml:space="preserve"> </w:t>
      </w:r>
      <w:r w:rsidRPr="00BC12A7">
        <w:rPr>
          <w:rFonts w:asciiTheme="majorBidi" w:hAnsiTheme="majorBidi" w:cstheme="majorBidi"/>
        </w:rPr>
        <w:t>Lihat.</w:t>
      </w:r>
      <w:r>
        <w:t xml:space="preserve"> </w:t>
      </w:r>
      <w:r>
        <w:rPr>
          <w:rFonts w:asciiTheme="majorBidi" w:hAnsiTheme="majorBidi" w:cstheme="majorBidi"/>
        </w:rPr>
        <w:t>Abdul al-</w:t>
      </w:r>
      <w:r w:rsidRPr="00B44FD9">
        <w:rPr>
          <w:rFonts w:asciiTheme="majorBidi" w:hAnsiTheme="majorBidi" w:cstheme="majorBidi"/>
        </w:rPr>
        <w:t xml:space="preserve">Al Atwah, </w:t>
      </w:r>
      <w:r w:rsidRPr="00B44FD9">
        <w:rPr>
          <w:rFonts w:asciiTheme="majorBidi" w:hAnsiTheme="majorBidi" w:cstheme="majorBidi"/>
          <w:i/>
          <w:iCs/>
        </w:rPr>
        <w:t>Al</w:t>
      </w:r>
      <w:r>
        <w:rPr>
          <w:rFonts w:asciiTheme="majorBidi" w:hAnsiTheme="majorBidi" w:cstheme="majorBidi"/>
          <w:i/>
          <w:iCs/>
        </w:rPr>
        <w:t>-</w:t>
      </w:r>
      <w:r w:rsidRPr="00B44FD9">
        <w:rPr>
          <w:rFonts w:asciiTheme="majorBidi" w:hAnsiTheme="majorBidi" w:cstheme="majorBidi"/>
          <w:i/>
          <w:iCs/>
        </w:rPr>
        <w:t>Madkhal ila al-</w:t>
      </w:r>
      <w:r w:rsidRPr="00790A38">
        <w:rPr>
          <w:rFonts w:ascii="Times New Roman" w:hAnsi="Times New Roman" w:cs="Times New Roman"/>
          <w:i/>
          <w:iCs/>
          <w:color w:val="000000"/>
        </w:rPr>
        <w:t xml:space="preserve">siyāsah </w:t>
      </w:r>
      <w:r>
        <w:rPr>
          <w:rFonts w:ascii="Times New Roman" w:hAnsi="Times New Roman" w:cs="Times New Roman"/>
          <w:i/>
          <w:iCs/>
          <w:color w:val="000000"/>
        </w:rPr>
        <w:t>al-</w:t>
      </w:r>
      <w:r w:rsidRPr="00790A38">
        <w:rPr>
          <w:rFonts w:asciiTheme="majorBidi" w:hAnsiTheme="majorBidi" w:cstheme="majorBidi"/>
          <w:i/>
          <w:iCs/>
        </w:rPr>
        <w:t>syar‘iyyah</w:t>
      </w:r>
      <w:r w:rsidRPr="00B44FD9">
        <w:rPr>
          <w:rFonts w:asciiTheme="majorBidi" w:hAnsiTheme="majorBidi" w:cstheme="majorBidi"/>
        </w:rPr>
        <w:t>,</w:t>
      </w:r>
      <w:r>
        <w:rPr>
          <w:rFonts w:asciiTheme="majorBidi" w:hAnsiTheme="majorBidi" w:cstheme="majorBidi"/>
        </w:rPr>
        <w:t xml:space="preserve"> </w:t>
      </w:r>
      <w:r w:rsidRPr="00B44FD9">
        <w:rPr>
          <w:rFonts w:asciiTheme="majorBidi" w:hAnsiTheme="majorBidi" w:cstheme="majorBidi"/>
        </w:rPr>
        <w:t xml:space="preserve">(Riyadh: </w:t>
      </w:r>
      <w:r w:rsidRPr="00B44FD9">
        <w:rPr>
          <w:rFonts w:asciiTheme="majorBidi" w:hAnsiTheme="majorBidi" w:cstheme="majorBidi"/>
          <w:color w:val="FF0000"/>
        </w:rPr>
        <w:t xml:space="preserve"> </w:t>
      </w:r>
      <w:r>
        <w:rPr>
          <w:rFonts w:asciiTheme="majorBidi" w:hAnsiTheme="majorBidi" w:cstheme="majorBidi"/>
          <w:color w:val="000000" w:themeColor="text1"/>
        </w:rPr>
        <w:t xml:space="preserve">Dār Al-Afaq, </w:t>
      </w:r>
      <w:r w:rsidRPr="00B44FD9">
        <w:rPr>
          <w:rFonts w:asciiTheme="majorBidi" w:hAnsiTheme="majorBidi" w:cstheme="majorBidi"/>
        </w:rPr>
        <w:t>1993), h. 44</w:t>
      </w:r>
    </w:p>
  </w:footnote>
  <w:footnote w:id="31">
    <w:p w:rsidR="009677C3" w:rsidRPr="00B44FD9" w:rsidRDefault="009677C3" w:rsidP="007760F3">
      <w:pPr>
        <w:pStyle w:val="Default"/>
        <w:ind w:firstLine="720"/>
        <w:jc w:val="both"/>
        <w:rPr>
          <w:rFonts w:asciiTheme="majorBidi" w:eastAsia="Times New Roman" w:hAnsiTheme="majorBidi" w:cstheme="majorBidi"/>
          <w:sz w:val="20"/>
          <w:szCs w:val="20"/>
        </w:rPr>
      </w:pPr>
      <w:r w:rsidRPr="00B44FD9">
        <w:rPr>
          <w:rStyle w:val="FootnoteReference"/>
          <w:sz w:val="20"/>
          <w:szCs w:val="20"/>
        </w:rPr>
        <w:footnoteRef/>
      </w:r>
      <w:r w:rsidRPr="00BC12A7">
        <w:rPr>
          <w:rFonts w:asciiTheme="majorBidi" w:hAnsiTheme="majorBidi" w:cstheme="majorBidi"/>
          <w:sz w:val="20"/>
          <w:szCs w:val="20"/>
        </w:rPr>
        <w:t>Lihat.</w:t>
      </w:r>
      <w:r>
        <w:rPr>
          <w:rFonts w:asciiTheme="majorBidi" w:hAnsiTheme="majorBidi" w:cstheme="majorBidi"/>
          <w:sz w:val="20"/>
          <w:szCs w:val="20"/>
        </w:rPr>
        <w:t xml:space="preserve">Abd Jalil Borham, </w:t>
      </w:r>
      <w:r w:rsidRPr="00B44FD9">
        <w:rPr>
          <w:rFonts w:asciiTheme="majorBidi" w:hAnsiTheme="majorBidi" w:cstheme="majorBidi"/>
          <w:i/>
          <w:iCs/>
          <w:sz w:val="20"/>
          <w:szCs w:val="20"/>
        </w:rPr>
        <w:t>Konsep siyasah syar`iyyah dan pelaksanaannya Dalam konteks Malaysia</w:t>
      </w:r>
      <w:r w:rsidRPr="00B44FD9">
        <w:rPr>
          <w:rFonts w:asciiTheme="majorBidi" w:hAnsiTheme="majorBidi" w:cstheme="majorBidi"/>
          <w:sz w:val="20"/>
          <w:szCs w:val="20"/>
        </w:rPr>
        <w:t xml:space="preserve">, Makalah, Disampaikan pada Seminar Nasional dengan teman: </w:t>
      </w:r>
      <w:r w:rsidRPr="00B44FD9">
        <w:rPr>
          <w:rFonts w:asciiTheme="majorBidi" w:hAnsiTheme="majorBidi" w:cstheme="majorBidi"/>
          <w:i/>
          <w:iCs/>
          <w:sz w:val="20"/>
          <w:szCs w:val="20"/>
        </w:rPr>
        <w:t>Pelaksanaan Siyasah Syar`iyyah Dalam Konteks Masa Kini: Isu Dan Cabaran</w:t>
      </w:r>
      <w:r w:rsidRPr="00B44FD9">
        <w:rPr>
          <w:rFonts w:asciiTheme="majorBidi" w:hAnsiTheme="majorBidi" w:cstheme="majorBidi"/>
          <w:sz w:val="20"/>
          <w:szCs w:val="20"/>
        </w:rPr>
        <w:t>, anjuran Kolej Universiti Islam Melaka (KUIM) pada 2 Februari, 2013 d</w:t>
      </w:r>
      <w:r>
        <w:rPr>
          <w:rFonts w:asciiTheme="majorBidi" w:hAnsiTheme="majorBidi" w:cstheme="majorBidi"/>
          <w:sz w:val="20"/>
          <w:szCs w:val="20"/>
        </w:rPr>
        <w:t>i Auditorium Pujangga KUIM, Me</w:t>
      </w:r>
      <w:r w:rsidRPr="00B44FD9">
        <w:rPr>
          <w:rFonts w:asciiTheme="majorBidi" w:hAnsiTheme="majorBidi" w:cstheme="majorBidi"/>
          <w:sz w:val="20"/>
          <w:szCs w:val="20"/>
        </w:rPr>
        <w:t>ka</w:t>
      </w:r>
      <w:r>
        <w:rPr>
          <w:rFonts w:asciiTheme="majorBidi" w:hAnsiTheme="majorBidi" w:cstheme="majorBidi"/>
          <w:sz w:val="20"/>
          <w:szCs w:val="20"/>
        </w:rPr>
        <w:t>lah</w:t>
      </w:r>
      <w:r w:rsidRPr="00B44FD9">
        <w:rPr>
          <w:rFonts w:asciiTheme="majorBidi" w:hAnsiTheme="majorBidi" w:cstheme="majorBidi"/>
          <w:sz w:val="20"/>
          <w:szCs w:val="20"/>
        </w:rPr>
        <w:t>, h. 1</w:t>
      </w:r>
    </w:p>
  </w:footnote>
  <w:footnote w:id="32">
    <w:p w:rsidR="009677C3" w:rsidRPr="00715F11" w:rsidRDefault="009677C3" w:rsidP="00790A38">
      <w:pPr>
        <w:pStyle w:val="FootnoteText"/>
        <w:ind w:firstLine="720"/>
        <w:jc w:val="both"/>
        <w:rPr>
          <w:rFonts w:asciiTheme="majorBidi" w:hAnsiTheme="majorBidi" w:cstheme="majorBidi"/>
        </w:rPr>
      </w:pPr>
      <w:r w:rsidRPr="00DD6D2D">
        <w:rPr>
          <w:rStyle w:val="FootnoteReference"/>
          <w:rFonts w:asciiTheme="majorBidi" w:hAnsiTheme="majorBidi" w:cstheme="majorBidi"/>
        </w:rPr>
        <w:footnoteRef/>
      </w:r>
      <w:r w:rsidRPr="00DD6D2D">
        <w:rPr>
          <w:rFonts w:asciiTheme="majorBidi" w:hAnsiTheme="majorBidi" w:cstheme="majorBidi"/>
        </w:rPr>
        <w:t xml:space="preserve"> </w:t>
      </w:r>
      <w:r w:rsidRPr="00BC12A7">
        <w:rPr>
          <w:rFonts w:asciiTheme="majorBidi" w:hAnsiTheme="majorBidi" w:cstheme="majorBidi"/>
        </w:rPr>
        <w:t>Lihat.</w:t>
      </w:r>
      <w:r>
        <w:t xml:space="preserve"> </w:t>
      </w:r>
      <w:r w:rsidRPr="00DD6D2D">
        <w:rPr>
          <w:rFonts w:asciiTheme="majorBidi" w:hAnsiTheme="majorBidi" w:cstheme="majorBidi"/>
        </w:rPr>
        <w:t xml:space="preserve">Muhammad Rasyid Ridha, </w:t>
      </w:r>
      <w:r w:rsidRPr="00DD6D2D">
        <w:rPr>
          <w:rFonts w:asciiTheme="majorBidi" w:hAnsiTheme="majorBidi" w:cstheme="majorBidi"/>
          <w:i/>
          <w:iCs/>
        </w:rPr>
        <w:t>Al-Khil</w:t>
      </w:r>
      <w:r w:rsidRPr="00933512">
        <w:rPr>
          <w:rFonts w:asciiTheme="majorBidi" w:hAnsiTheme="majorBidi" w:cstheme="majorBidi"/>
          <w:i/>
          <w:iCs/>
        </w:rPr>
        <w:t>ā</w:t>
      </w:r>
      <w:r w:rsidRPr="00DD6D2D">
        <w:rPr>
          <w:rFonts w:asciiTheme="majorBidi" w:hAnsiTheme="majorBidi" w:cstheme="majorBidi"/>
          <w:i/>
          <w:iCs/>
        </w:rPr>
        <w:t>fah</w:t>
      </w:r>
      <w:r w:rsidRPr="00DD6D2D">
        <w:rPr>
          <w:rFonts w:asciiTheme="majorBidi" w:hAnsiTheme="majorBidi" w:cstheme="majorBidi"/>
        </w:rPr>
        <w:t>, ( Kairo: Al-Zahra Lil ‘ilam al-Arabi, t.th), h. 22</w:t>
      </w:r>
    </w:p>
  </w:footnote>
  <w:footnote w:id="33">
    <w:p w:rsidR="009677C3" w:rsidRPr="0007311B" w:rsidRDefault="009677C3" w:rsidP="00790A38">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BC12A7">
        <w:rPr>
          <w:rFonts w:asciiTheme="majorBidi" w:hAnsiTheme="majorBidi" w:cstheme="majorBidi"/>
        </w:rPr>
        <w:t>Lihat.</w:t>
      </w:r>
      <w:r>
        <w:t xml:space="preserve"> </w:t>
      </w:r>
      <w:r>
        <w:rPr>
          <w:rFonts w:asciiTheme="majorBidi" w:hAnsiTheme="majorBidi" w:cstheme="majorBidi"/>
        </w:rPr>
        <w:t>Abū</w:t>
      </w:r>
      <w:r w:rsidRPr="0007311B">
        <w:rPr>
          <w:rFonts w:asciiTheme="majorBidi" w:hAnsiTheme="majorBidi" w:cstheme="majorBidi"/>
        </w:rPr>
        <w:t>Zakariya Yahya bi</w:t>
      </w:r>
      <w:r>
        <w:rPr>
          <w:rFonts w:asciiTheme="majorBidi" w:hAnsiTheme="majorBidi" w:cstheme="majorBidi"/>
        </w:rPr>
        <w:t xml:space="preserve">n Syaraf al-Nawawi, </w:t>
      </w:r>
      <w:r w:rsidRPr="0007311B">
        <w:rPr>
          <w:rFonts w:asciiTheme="majorBidi" w:hAnsiTheme="majorBidi" w:cstheme="majorBidi"/>
          <w:i/>
          <w:iCs/>
        </w:rPr>
        <w:t>Al-Minh</w:t>
      </w:r>
      <w:r w:rsidRPr="00933512">
        <w:rPr>
          <w:rFonts w:asciiTheme="majorBidi" w:hAnsiTheme="majorBidi" w:cstheme="majorBidi"/>
          <w:i/>
          <w:iCs/>
        </w:rPr>
        <w:t>ā</w:t>
      </w:r>
      <w:r w:rsidRPr="0007311B">
        <w:rPr>
          <w:rFonts w:asciiTheme="majorBidi" w:hAnsiTheme="majorBidi" w:cstheme="majorBidi"/>
          <w:i/>
          <w:iCs/>
        </w:rPr>
        <w:t>j Syarh Shahih Muslim bin Hajj</w:t>
      </w:r>
      <w:r w:rsidRPr="00933512">
        <w:rPr>
          <w:rFonts w:asciiTheme="majorBidi" w:hAnsiTheme="majorBidi" w:cstheme="majorBidi"/>
          <w:i/>
          <w:iCs/>
        </w:rPr>
        <w:t>ā</w:t>
      </w:r>
      <w:r w:rsidRPr="0007311B">
        <w:rPr>
          <w:rFonts w:asciiTheme="majorBidi" w:hAnsiTheme="majorBidi" w:cstheme="majorBidi"/>
          <w:i/>
          <w:iCs/>
        </w:rPr>
        <w:t>j</w:t>
      </w:r>
      <w:r w:rsidRPr="0007311B">
        <w:rPr>
          <w:rFonts w:asciiTheme="majorBidi" w:hAnsiTheme="majorBidi" w:cstheme="majorBidi"/>
        </w:rPr>
        <w:t xml:space="preserve">, ( Bairut: </w:t>
      </w:r>
      <w:r>
        <w:rPr>
          <w:rFonts w:asciiTheme="majorBidi" w:hAnsiTheme="majorBidi" w:cstheme="majorBidi"/>
        </w:rPr>
        <w:t>Dār</w:t>
      </w:r>
      <w:r w:rsidRPr="0007311B">
        <w:rPr>
          <w:rFonts w:asciiTheme="majorBidi" w:hAnsiTheme="majorBidi" w:cstheme="majorBidi"/>
        </w:rPr>
        <w:t xml:space="preserve">Ihya Turats al-Arabi, 1392 H), cet II, jilid 12, h. 223  </w:t>
      </w:r>
    </w:p>
  </w:footnote>
  <w:footnote w:id="34">
    <w:p w:rsidR="009677C3" w:rsidRPr="0007311B" w:rsidRDefault="009677C3" w:rsidP="00B94744">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07311B">
        <w:rPr>
          <w:rFonts w:asciiTheme="majorBidi" w:hAnsiTheme="majorBidi" w:cstheme="majorBidi"/>
        </w:rPr>
        <w:t xml:space="preserve"> </w:t>
      </w:r>
      <w:r w:rsidRPr="00BC12A7">
        <w:rPr>
          <w:rFonts w:asciiTheme="majorBidi" w:hAnsiTheme="majorBidi" w:cstheme="majorBidi"/>
        </w:rPr>
        <w:t>Lihat.</w:t>
      </w:r>
      <w:r>
        <w:t xml:space="preserve"> </w:t>
      </w:r>
      <w:r w:rsidRPr="0007311B">
        <w:rPr>
          <w:rFonts w:asciiTheme="majorBidi" w:hAnsiTheme="majorBidi" w:cstheme="majorBidi"/>
        </w:rPr>
        <w:t xml:space="preserve">Imam Al-Mawardi, </w:t>
      </w:r>
      <w:r w:rsidRPr="0007311B">
        <w:rPr>
          <w:rFonts w:asciiTheme="majorBidi" w:hAnsiTheme="majorBidi" w:cstheme="majorBidi"/>
          <w:i/>
          <w:iCs/>
        </w:rPr>
        <w:t xml:space="preserve">Al-Ahkam al-Sulthaniyyah, </w:t>
      </w:r>
      <w:r>
        <w:rPr>
          <w:rFonts w:asciiTheme="majorBidi" w:hAnsiTheme="majorBidi" w:cstheme="majorBidi"/>
        </w:rPr>
        <w:t xml:space="preserve">(t.t: </w:t>
      </w:r>
      <w:r w:rsidRPr="0007311B">
        <w:rPr>
          <w:rFonts w:asciiTheme="majorBidi" w:hAnsiTheme="majorBidi" w:cstheme="majorBidi"/>
        </w:rPr>
        <w:t>Maktabah Syamilah</w:t>
      </w:r>
      <w:r>
        <w:rPr>
          <w:rFonts w:asciiTheme="majorBidi" w:hAnsiTheme="majorBidi" w:cstheme="majorBidi"/>
        </w:rPr>
        <w:t>, Versi 3</w:t>
      </w:r>
      <w:r w:rsidRPr="0007311B">
        <w:rPr>
          <w:rFonts w:asciiTheme="majorBidi" w:hAnsiTheme="majorBidi" w:cstheme="majorBidi"/>
        </w:rPr>
        <w:t>), h. 81</w:t>
      </w:r>
    </w:p>
  </w:footnote>
  <w:footnote w:id="35">
    <w:p w:rsidR="009677C3" w:rsidRPr="0007311B" w:rsidRDefault="009677C3" w:rsidP="00B94744">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BC12A7">
        <w:rPr>
          <w:rFonts w:asciiTheme="majorBidi" w:hAnsiTheme="majorBidi" w:cstheme="majorBidi"/>
        </w:rPr>
        <w:t>Lihat.</w:t>
      </w:r>
      <w:r>
        <w:t xml:space="preserve"> </w:t>
      </w:r>
      <w:r w:rsidRPr="0007311B">
        <w:rPr>
          <w:rFonts w:asciiTheme="majorBidi" w:hAnsiTheme="majorBidi" w:cstheme="majorBidi"/>
        </w:rPr>
        <w:t xml:space="preserve">Abd Rahman bin Muhamad bin Khaldun, </w:t>
      </w:r>
      <w:r w:rsidRPr="0007311B">
        <w:rPr>
          <w:rFonts w:asciiTheme="majorBidi" w:hAnsiTheme="majorBidi" w:cstheme="majorBidi"/>
          <w:i/>
          <w:iCs/>
        </w:rPr>
        <w:t>Tarikh Ibnu Khaldun</w:t>
      </w:r>
      <w:r>
        <w:rPr>
          <w:rFonts w:asciiTheme="majorBidi" w:hAnsiTheme="majorBidi" w:cstheme="majorBidi"/>
        </w:rPr>
        <w:t xml:space="preserve">, (t.t: </w:t>
      </w:r>
      <w:r w:rsidRPr="0007311B">
        <w:rPr>
          <w:rFonts w:asciiTheme="majorBidi" w:hAnsiTheme="majorBidi" w:cstheme="majorBidi"/>
        </w:rPr>
        <w:t>Maktabah Syamilah</w:t>
      </w:r>
      <w:r>
        <w:rPr>
          <w:rFonts w:asciiTheme="majorBidi" w:hAnsiTheme="majorBidi" w:cstheme="majorBidi"/>
        </w:rPr>
        <w:t>, versi 3</w:t>
      </w:r>
      <w:r w:rsidRPr="0007311B">
        <w:rPr>
          <w:rFonts w:asciiTheme="majorBidi" w:hAnsiTheme="majorBidi" w:cstheme="majorBidi"/>
        </w:rPr>
        <w:t>), Jilid 1, h. 197</w:t>
      </w:r>
    </w:p>
  </w:footnote>
  <w:footnote w:id="36">
    <w:p w:rsidR="009677C3" w:rsidRPr="00C56140" w:rsidRDefault="009677C3" w:rsidP="00B94744">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07311B">
        <w:rPr>
          <w:rFonts w:asciiTheme="majorBidi" w:hAnsiTheme="majorBidi" w:cstheme="majorBidi"/>
        </w:rPr>
        <w:t xml:space="preserve"> </w:t>
      </w:r>
      <w:r w:rsidRPr="00BC12A7">
        <w:rPr>
          <w:rFonts w:asciiTheme="majorBidi" w:hAnsiTheme="majorBidi" w:cstheme="majorBidi"/>
        </w:rPr>
        <w:t>Lihat.</w:t>
      </w:r>
      <w:r>
        <w:t xml:space="preserve"> </w:t>
      </w:r>
      <w:r>
        <w:rPr>
          <w:rFonts w:asciiTheme="majorBidi" w:hAnsiTheme="majorBidi" w:cstheme="majorBidi"/>
        </w:rPr>
        <w:t>Abū</w:t>
      </w:r>
      <w:r w:rsidRPr="0007311B">
        <w:rPr>
          <w:rFonts w:asciiTheme="majorBidi" w:hAnsiTheme="majorBidi" w:cstheme="majorBidi"/>
        </w:rPr>
        <w:t xml:space="preserve">Abdullah Muhamad ibn Umar Al-Taimi Al-Razi, </w:t>
      </w:r>
      <w:r w:rsidRPr="0007311B">
        <w:rPr>
          <w:rFonts w:asciiTheme="majorBidi" w:hAnsiTheme="majorBidi" w:cstheme="majorBidi"/>
          <w:i/>
          <w:iCs/>
        </w:rPr>
        <w:t>Mafatih Al-Ghaib</w:t>
      </w:r>
      <w:r w:rsidRPr="0007311B">
        <w:rPr>
          <w:rFonts w:asciiTheme="majorBidi" w:hAnsiTheme="majorBidi" w:cstheme="majorBidi"/>
        </w:rPr>
        <w:t xml:space="preserve">, </w:t>
      </w:r>
      <w:r>
        <w:rPr>
          <w:rFonts w:asciiTheme="majorBidi" w:hAnsiTheme="majorBidi" w:cstheme="majorBidi"/>
        </w:rPr>
        <w:t xml:space="preserve">(t.t: </w:t>
      </w:r>
      <w:r w:rsidRPr="0007311B">
        <w:rPr>
          <w:rFonts w:asciiTheme="majorBidi" w:hAnsiTheme="majorBidi" w:cstheme="majorBidi"/>
        </w:rPr>
        <w:t>Maktabah Syamilah</w:t>
      </w:r>
      <w:r>
        <w:rPr>
          <w:rFonts w:asciiTheme="majorBidi" w:hAnsiTheme="majorBidi" w:cstheme="majorBidi"/>
        </w:rPr>
        <w:t>, versi 3)</w:t>
      </w:r>
      <w:r w:rsidRPr="0007311B">
        <w:rPr>
          <w:rFonts w:asciiTheme="majorBidi" w:hAnsiTheme="majorBidi" w:cstheme="majorBidi"/>
        </w:rPr>
        <w:t>, Jilid 5, h. 248</w:t>
      </w:r>
    </w:p>
  </w:footnote>
  <w:footnote w:id="37">
    <w:p w:rsidR="009677C3" w:rsidRDefault="009677C3" w:rsidP="00B94744">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AE0306">
        <w:rPr>
          <w:rFonts w:asciiTheme="majorBidi" w:hAnsiTheme="majorBidi" w:cstheme="majorBidi"/>
        </w:rPr>
        <w:t xml:space="preserve">Al-Yasa’ </w:t>
      </w:r>
      <w:r>
        <w:rPr>
          <w:rFonts w:asciiTheme="majorBidi" w:hAnsiTheme="majorBidi" w:cstheme="majorBidi"/>
        </w:rPr>
        <w:t>Abū</w:t>
      </w:r>
      <w:r w:rsidRPr="00AE0306">
        <w:rPr>
          <w:rFonts w:asciiTheme="majorBidi" w:hAnsiTheme="majorBidi" w:cstheme="majorBidi"/>
        </w:rPr>
        <w:t xml:space="preserve">Bakar, </w:t>
      </w:r>
      <w:r w:rsidRPr="00AE0306">
        <w:rPr>
          <w:rFonts w:asciiTheme="majorBidi" w:hAnsiTheme="majorBidi" w:cstheme="majorBidi"/>
          <w:i/>
          <w:iCs/>
          <w:kern w:val="36"/>
        </w:rPr>
        <w:t xml:space="preserve">Al-Siyasah al-Syar`iyyah Dan Uli Al-Amr: Pengertian Dan Cakupan Isinya, </w:t>
      </w:r>
      <w:r w:rsidRPr="00AE0306">
        <w:rPr>
          <w:rFonts w:asciiTheme="majorBidi" w:hAnsiTheme="majorBidi" w:cstheme="majorBidi"/>
        </w:rPr>
        <w:t>Makalah ditulis atas permintaan editor untuk Jurnal Tarjih PP Muhammadiyah, Januari 2014, h. 8</w:t>
      </w:r>
    </w:p>
  </w:footnote>
  <w:footnote w:id="38">
    <w:p w:rsidR="009677C3" w:rsidRPr="00AE0306" w:rsidRDefault="009677C3" w:rsidP="003E5612">
      <w:pPr>
        <w:pStyle w:val="FootnoteText"/>
        <w:ind w:firstLine="720"/>
        <w:jc w:val="both"/>
        <w:rPr>
          <w:rFonts w:asciiTheme="majorBidi" w:hAnsiTheme="majorBidi" w:cstheme="majorBidi"/>
        </w:rPr>
      </w:pPr>
      <w:r w:rsidRPr="00AE0306">
        <w:rPr>
          <w:rStyle w:val="FootnoteReference"/>
          <w:rFonts w:asciiTheme="majorBidi" w:hAnsiTheme="majorBidi" w:cstheme="majorBidi"/>
        </w:rPr>
        <w:footnoteRef/>
      </w:r>
      <w:r w:rsidRPr="00AE0306">
        <w:rPr>
          <w:rFonts w:asciiTheme="majorBidi" w:hAnsiTheme="majorBidi" w:cstheme="majorBidi"/>
        </w:rPr>
        <w:t xml:space="preserve"> </w:t>
      </w:r>
      <w:r w:rsidRPr="00BC12A7">
        <w:rPr>
          <w:rFonts w:asciiTheme="majorBidi" w:hAnsiTheme="majorBidi" w:cstheme="majorBidi"/>
        </w:rPr>
        <w:t>Lihat.</w:t>
      </w:r>
      <w:r>
        <w:t xml:space="preserve"> </w:t>
      </w:r>
      <w:r w:rsidRPr="00AE0306">
        <w:rPr>
          <w:rFonts w:asciiTheme="majorBidi" w:hAnsiTheme="majorBidi" w:cstheme="majorBidi"/>
        </w:rPr>
        <w:t xml:space="preserve">Al-Yasa’ </w:t>
      </w:r>
      <w:r>
        <w:rPr>
          <w:rFonts w:asciiTheme="majorBidi" w:hAnsiTheme="majorBidi" w:cstheme="majorBidi"/>
        </w:rPr>
        <w:t>Abū</w:t>
      </w:r>
      <w:r w:rsidRPr="00AE0306">
        <w:rPr>
          <w:rFonts w:asciiTheme="majorBidi" w:hAnsiTheme="majorBidi" w:cstheme="majorBidi"/>
        </w:rPr>
        <w:t xml:space="preserve">Bakar, </w:t>
      </w:r>
      <w:r w:rsidRPr="00AE0306">
        <w:rPr>
          <w:rFonts w:asciiTheme="majorBidi" w:hAnsiTheme="majorBidi" w:cstheme="majorBidi"/>
          <w:i/>
          <w:iCs/>
          <w:kern w:val="36"/>
        </w:rPr>
        <w:t>Al-Siyas</w:t>
      </w:r>
      <w:r>
        <w:rPr>
          <w:rFonts w:asciiTheme="majorBidi" w:hAnsiTheme="majorBidi" w:cstheme="majorBidi"/>
          <w:i/>
          <w:iCs/>
          <w:kern w:val="36"/>
        </w:rPr>
        <w:t>ah Al-Syar`iyyah Dan Uli Al-Amr, op.cit.,</w:t>
      </w:r>
      <w:r w:rsidRPr="00AE0306">
        <w:rPr>
          <w:rFonts w:asciiTheme="majorBidi" w:hAnsiTheme="majorBidi" w:cstheme="majorBidi"/>
        </w:rPr>
        <w:t>, h. 8</w:t>
      </w:r>
    </w:p>
  </w:footnote>
  <w:footnote w:id="39">
    <w:p w:rsidR="009677C3" w:rsidRPr="00861563" w:rsidRDefault="009677C3" w:rsidP="003E5612">
      <w:pPr>
        <w:pStyle w:val="FootnoteText"/>
        <w:ind w:firstLine="720"/>
        <w:jc w:val="both"/>
        <w:rPr>
          <w:rFonts w:asciiTheme="majorBidi" w:hAnsiTheme="majorBidi" w:cstheme="majorBidi"/>
        </w:rPr>
      </w:pPr>
      <w:r w:rsidRPr="00AE0306">
        <w:rPr>
          <w:rStyle w:val="FootnoteReference"/>
          <w:rFonts w:asciiTheme="majorBidi" w:hAnsiTheme="majorBidi" w:cstheme="majorBidi"/>
        </w:rPr>
        <w:footnoteRef/>
      </w:r>
      <w:r w:rsidRPr="00AE0306">
        <w:rPr>
          <w:rFonts w:asciiTheme="majorBidi" w:hAnsiTheme="majorBidi" w:cstheme="majorBidi"/>
        </w:rPr>
        <w:t xml:space="preserve"> </w:t>
      </w:r>
      <w:r w:rsidRPr="00BC12A7">
        <w:rPr>
          <w:rFonts w:asciiTheme="majorBidi" w:hAnsiTheme="majorBidi" w:cstheme="majorBidi"/>
        </w:rPr>
        <w:t>Lihat.</w:t>
      </w:r>
      <w:r>
        <w:t xml:space="preserve"> </w:t>
      </w:r>
      <w:r w:rsidRPr="00AE0306">
        <w:rPr>
          <w:rFonts w:asciiTheme="majorBidi" w:hAnsiTheme="majorBidi" w:cstheme="majorBidi"/>
        </w:rPr>
        <w:t xml:space="preserve">Ahmad bin Muhammad Bin Al-Mahdi Al-Hasani Al-Fasi, </w:t>
      </w:r>
      <w:r w:rsidRPr="00AE0306">
        <w:rPr>
          <w:rFonts w:asciiTheme="majorBidi" w:hAnsiTheme="majorBidi" w:cstheme="majorBidi"/>
          <w:i/>
          <w:iCs/>
        </w:rPr>
        <w:t>Al-Bahr Al-Madid</w:t>
      </w:r>
      <w:r w:rsidRPr="00AE0306">
        <w:rPr>
          <w:rFonts w:asciiTheme="majorBidi" w:hAnsiTheme="majorBidi" w:cstheme="majorBidi"/>
        </w:rPr>
        <w:t xml:space="preserve">, ( Bairut: </w:t>
      </w:r>
      <w:r>
        <w:rPr>
          <w:rFonts w:asciiTheme="majorBidi" w:hAnsiTheme="majorBidi" w:cstheme="majorBidi"/>
        </w:rPr>
        <w:t xml:space="preserve">Dār </w:t>
      </w:r>
      <w:r w:rsidRPr="00AE0306">
        <w:rPr>
          <w:rFonts w:asciiTheme="majorBidi" w:hAnsiTheme="majorBidi" w:cstheme="majorBidi"/>
        </w:rPr>
        <w:t>Al-Kutub Al-Ilmiyah, 2002 M/ 1423 H), cet II, Juz  II. h. 85</w:t>
      </w:r>
    </w:p>
  </w:footnote>
  <w:footnote w:id="40">
    <w:p w:rsidR="009677C3" w:rsidRDefault="009677C3" w:rsidP="005412F0">
      <w:pPr>
        <w:pStyle w:val="FootnoteText"/>
        <w:ind w:firstLine="720"/>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Al-Quran dan Terjamahannya</w:t>
      </w:r>
      <w:r w:rsidRPr="0000215D">
        <w:rPr>
          <w:rFonts w:asciiTheme="majorBidi" w:hAnsiTheme="majorBidi" w:cstheme="majorBidi"/>
        </w:rPr>
        <w:t xml:space="preserve">, </w:t>
      </w:r>
      <w:r w:rsidRPr="005D1608">
        <w:rPr>
          <w:rFonts w:asciiTheme="majorBidi" w:hAnsiTheme="majorBidi" w:cstheme="majorBidi"/>
          <w:i/>
          <w:iCs/>
        </w:rPr>
        <w:t>Ibid</w:t>
      </w:r>
      <w:r>
        <w:rPr>
          <w:rFonts w:asciiTheme="majorBidi" w:hAnsiTheme="majorBidi" w:cstheme="majorBidi"/>
        </w:rPr>
        <w:t>,  h. 128</w:t>
      </w:r>
    </w:p>
  </w:footnote>
  <w:footnote w:id="41">
    <w:p w:rsidR="009677C3" w:rsidRDefault="009677C3" w:rsidP="003E5612">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B769DF">
        <w:rPr>
          <w:rFonts w:asciiTheme="majorBidi" w:hAnsiTheme="majorBidi" w:cstheme="majorBidi"/>
        </w:rPr>
        <w:t>Abd Jalil Borha</w:t>
      </w:r>
      <w:r>
        <w:rPr>
          <w:rFonts w:asciiTheme="majorBidi" w:hAnsiTheme="majorBidi" w:cstheme="majorBidi"/>
        </w:rPr>
        <w:t>m</w:t>
      </w:r>
      <w:r w:rsidRPr="00B769DF">
        <w:rPr>
          <w:rFonts w:asciiTheme="majorBidi" w:hAnsiTheme="majorBidi" w:cstheme="majorBidi"/>
        </w:rPr>
        <w:t xml:space="preserve">, </w:t>
      </w:r>
      <w:r w:rsidRPr="0049112A">
        <w:rPr>
          <w:rFonts w:asciiTheme="majorBidi" w:hAnsiTheme="majorBidi" w:cstheme="majorBidi"/>
          <w:color w:val="000000"/>
        </w:rPr>
        <w:t xml:space="preserve"> </w:t>
      </w:r>
      <w:r w:rsidRPr="00B769DF">
        <w:rPr>
          <w:rFonts w:asciiTheme="majorBidi" w:hAnsiTheme="majorBidi" w:cstheme="majorBidi"/>
          <w:i/>
          <w:iCs/>
          <w:color w:val="000000"/>
        </w:rPr>
        <w:t>Konsep siyasah syar`iyyah dan pelaksanaannya Dalam konteks Malaysia</w:t>
      </w:r>
      <w:r w:rsidRPr="00B769DF">
        <w:rPr>
          <w:rFonts w:asciiTheme="majorBidi" w:hAnsiTheme="majorBidi" w:cstheme="majorBidi"/>
          <w:color w:val="000000"/>
        </w:rPr>
        <w:t>, Makalah</w:t>
      </w:r>
      <w:r w:rsidRPr="00B769DF">
        <w:rPr>
          <w:rFonts w:asciiTheme="majorBidi" w:hAnsiTheme="majorBidi" w:cstheme="majorBidi"/>
        </w:rPr>
        <w:t>,</w:t>
      </w:r>
      <w:r w:rsidRPr="00B769DF">
        <w:rPr>
          <w:rFonts w:asciiTheme="majorBidi" w:hAnsiTheme="majorBidi" w:cstheme="majorBidi"/>
          <w:color w:val="000000"/>
        </w:rPr>
        <w:t xml:space="preserve"> Disampaikan pada Seminar Nasional</w:t>
      </w:r>
      <w:r w:rsidRPr="00B769DF">
        <w:rPr>
          <w:rFonts w:asciiTheme="majorBidi" w:hAnsiTheme="majorBidi" w:cstheme="majorBidi"/>
        </w:rPr>
        <w:t xml:space="preserve"> dengan teman:</w:t>
      </w:r>
      <w:r w:rsidRPr="00B769DF">
        <w:rPr>
          <w:rFonts w:asciiTheme="majorBidi" w:hAnsiTheme="majorBidi" w:cstheme="majorBidi"/>
          <w:color w:val="000000"/>
        </w:rPr>
        <w:t xml:space="preserve"> </w:t>
      </w:r>
      <w:r w:rsidRPr="00B769DF">
        <w:rPr>
          <w:rFonts w:asciiTheme="majorBidi" w:hAnsiTheme="majorBidi" w:cstheme="majorBidi"/>
          <w:i/>
          <w:iCs/>
          <w:color w:val="000000"/>
        </w:rPr>
        <w:t>Pelaksanaan Siyasah Syar`iyyah Dalam Konteks Masa Kini: Isu Dan Cabaran</w:t>
      </w:r>
      <w:r w:rsidRPr="00B769DF">
        <w:rPr>
          <w:rFonts w:asciiTheme="majorBidi" w:hAnsiTheme="majorBidi" w:cstheme="majorBidi"/>
          <w:color w:val="000000"/>
        </w:rPr>
        <w:t>, anjuran Kolej Universiti Islam Melaka (</w:t>
      </w:r>
      <w:r w:rsidRPr="00B769DF">
        <w:rPr>
          <w:rFonts w:asciiTheme="majorBidi" w:hAnsiTheme="majorBidi" w:cstheme="majorBidi"/>
        </w:rPr>
        <w:t>KUIM) pada 2</w:t>
      </w:r>
      <w:r w:rsidRPr="00B769DF">
        <w:rPr>
          <w:rFonts w:asciiTheme="majorBidi" w:hAnsiTheme="majorBidi" w:cstheme="majorBidi"/>
          <w:color w:val="000000"/>
        </w:rPr>
        <w:t xml:space="preserve"> Februari, 2013 di A</w:t>
      </w:r>
      <w:r w:rsidRPr="00B769DF">
        <w:rPr>
          <w:rFonts w:asciiTheme="majorBidi" w:hAnsiTheme="majorBidi" w:cstheme="majorBidi"/>
        </w:rPr>
        <w:t xml:space="preserve">uditorium Pujangga KUIM, Melaka, h. </w:t>
      </w:r>
      <w:r>
        <w:rPr>
          <w:rFonts w:asciiTheme="majorBidi" w:hAnsiTheme="majorBidi" w:cstheme="majorBidi"/>
        </w:rPr>
        <w:t>6</w:t>
      </w:r>
    </w:p>
  </w:footnote>
  <w:footnote w:id="42">
    <w:p w:rsidR="009677C3" w:rsidRPr="00607763" w:rsidRDefault="009677C3" w:rsidP="004060E8">
      <w:pPr>
        <w:pStyle w:val="FootnoteText"/>
        <w:ind w:firstLine="720"/>
        <w:jc w:val="both"/>
        <w:rPr>
          <w:rFonts w:asciiTheme="majorBidi" w:hAnsiTheme="majorBidi" w:cstheme="majorBidi"/>
        </w:rPr>
      </w:pPr>
      <w:r w:rsidRPr="00607763">
        <w:rPr>
          <w:rStyle w:val="FootnoteReference"/>
          <w:rFonts w:asciiTheme="majorBidi" w:hAnsiTheme="majorBidi" w:cstheme="majorBidi"/>
        </w:rPr>
        <w:footnoteRef/>
      </w:r>
      <w:r>
        <w:rPr>
          <w:rFonts w:asciiTheme="majorBidi" w:hAnsiTheme="majorBidi" w:cstheme="majorBidi"/>
        </w:rPr>
        <w:t xml:space="preserve"> </w:t>
      </w:r>
      <w:r w:rsidRPr="00BC12A7">
        <w:rPr>
          <w:rFonts w:asciiTheme="majorBidi" w:hAnsiTheme="majorBidi" w:cstheme="majorBidi"/>
        </w:rPr>
        <w:t>Lihat.</w:t>
      </w:r>
      <w:r>
        <w:t xml:space="preserve"> S</w:t>
      </w:r>
      <w:r w:rsidRPr="00607763">
        <w:rPr>
          <w:rFonts w:asciiTheme="majorBidi" w:hAnsiTheme="majorBidi" w:cstheme="majorBidi"/>
        </w:rPr>
        <w:t xml:space="preserve">atria Efendi, “ </w:t>
      </w:r>
      <w:r>
        <w:rPr>
          <w:rFonts w:asciiTheme="majorBidi" w:hAnsiTheme="majorBidi" w:cstheme="majorBidi"/>
          <w:i/>
          <w:iCs/>
        </w:rPr>
        <w:t>Maqâsid</w:t>
      </w:r>
      <w:r w:rsidRPr="002237C4">
        <w:rPr>
          <w:rFonts w:asciiTheme="majorBidi" w:hAnsiTheme="majorBidi" w:cstheme="majorBidi"/>
          <w:i/>
          <w:iCs/>
        </w:rPr>
        <w:t xml:space="preserve"> al-Syari’ah dan Perubahan Sosial</w:t>
      </w:r>
      <w:r w:rsidRPr="00607763">
        <w:rPr>
          <w:rFonts w:asciiTheme="majorBidi" w:hAnsiTheme="majorBidi" w:cstheme="majorBidi"/>
        </w:rPr>
        <w:t>”, dimuat dalam Dialog</w:t>
      </w:r>
      <w:r>
        <w:rPr>
          <w:rFonts w:asciiTheme="majorBidi" w:hAnsiTheme="majorBidi" w:cstheme="majorBidi"/>
        </w:rPr>
        <w:t xml:space="preserve"> </w:t>
      </w:r>
      <w:r w:rsidRPr="00607763">
        <w:rPr>
          <w:rFonts w:asciiTheme="majorBidi" w:hAnsiTheme="majorBidi" w:cstheme="majorBidi"/>
        </w:rPr>
        <w:t xml:space="preserve">( Badan Litbang-Depag, No, 33 tahun XV, Januari, 1991), h. 29 </w:t>
      </w:r>
    </w:p>
  </w:footnote>
  <w:footnote w:id="43">
    <w:p w:rsidR="009677C3" w:rsidRDefault="009677C3" w:rsidP="004060E8">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Pr>
          <w:rFonts w:asciiTheme="majorBidi" w:hAnsiTheme="majorBidi" w:cstheme="majorBidi"/>
        </w:rPr>
        <w:t>Abū</w:t>
      </w:r>
      <w:r w:rsidRPr="008632AF">
        <w:rPr>
          <w:rFonts w:asciiTheme="majorBidi" w:hAnsiTheme="majorBidi" w:cstheme="majorBidi"/>
        </w:rPr>
        <w:t>Ishaq al- Sy</w:t>
      </w:r>
      <w:r>
        <w:rPr>
          <w:rFonts w:asciiTheme="majorBidi" w:hAnsiTheme="majorBidi" w:cstheme="majorBidi"/>
        </w:rPr>
        <w:t>a</w:t>
      </w:r>
      <w:r w:rsidRPr="008632AF">
        <w:rPr>
          <w:rFonts w:asciiTheme="majorBidi" w:hAnsiTheme="majorBidi" w:cstheme="majorBidi"/>
        </w:rPr>
        <w:t xml:space="preserve">thibi, </w:t>
      </w:r>
      <w:r>
        <w:rPr>
          <w:rFonts w:asciiTheme="majorBidi" w:hAnsiTheme="majorBidi" w:cstheme="majorBidi"/>
          <w:i/>
          <w:iCs/>
        </w:rPr>
        <w:t>al</w:t>
      </w:r>
      <w:r w:rsidRPr="006E328D">
        <w:rPr>
          <w:rFonts w:asciiTheme="majorBidi" w:hAnsiTheme="majorBidi" w:cstheme="majorBidi"/>
          <w:i/>
          <w:iCs/>
        </w:rPr>
        <w:t>-Muwafaqat fi Ushul al-Syari’ah</w:t>
      </w:r>
      <w:r>
        <w:rPr>
          <w:rFonts w:asciiTheme="majorBidi" w:hAnsiTheme="majorBidi" w:cstheme="majorBidi"/>
        </w:rPr>
        <w:t>, (</w:t>
      </w:r>
      <w:r w:rsidRPr="008632AF">
        <w:rPr>
          <w:rFonts w:asciiTheme="majorBidi" w:hAnsiTheme="majorBidi" w:cstheme="majorBidi"/>
        </w:rPr>
        <w:t xml:space="preserve">Bairut: </w:t>
      </w:r>
      <w:r>
        <w:rPr>
          <w:rFonts w:asciiTheme="majorBidi" w:hAnsiTheme="majorBidi" w:cstheme="majorBidi"/>
        </w:rPr>
        <w:t xml:space="preserve">Dār </w:t>
      </w:r>
      <w:r w:rsidRPr="008632AF">
        <w:rPr>
          <w:rFonts w:asciiTheme="majorBidi" w:hAnsiTheme="majorBidi" w:cstheme="majorBidi"/>
        </w:rPr>
        <w:t>al-Kutub al-‘Ilmi</w:t>
      </w:r>
      <w:r>
        <w:rPr>
          <w:rFonts w:asciiTheme="majorBidi" w:hAnsiTheme="majorBidi" w:cstheme="majorBidi"/>
        </w:rPr>
        <w:t>yah, tth.), Jilid IV, h. 110</w:t>
      </w:r>
    </w:p>
  </w:footnote>
  <w:footnote w:id="44">
    <w:p w:rsidR="009677C3" w:rsidRPr="009E57AE" w:rsidRDefault="009677C3" w:rsidP="00CD5DDE">
      <w:pPr>
        <w:pStyle w:val="FootnoteText"/>
        <w:ind w:firstLine="720"/>
        <w:jc w:val="both"/>
        <w:rPr>
          <w:rFonts w:asciiTheme="majorBidi" w:hAnsiTheme="majorBidi" w:cstheme="majorBidi"/>
        </w:rPr>
      </w:pPr>
      <w:r w:rsidRPr="009E57AE">
        <w:rPr>
          <w:rStyle w:val="FootnoteReference"/>
          <w:rFonts w:asciiTheme="majorBidi" w:hAnsiTheme="majorBidi" w:cstheme="majorBidi"/>
        </w:rPr>
        <w:footnoteRef/>
      </w:r>
      <w:r w:rsidRPr="009E57AE">
        <w:rPr>
          <w:rFonts w:asciiTheme="majorBidi" w:hAnsiTheme="majorBidi" w:cstheme="majorBidi"/>
        </w:rPr>
        <w:t xml:space="preserve"> Metode </w:t>
      </w:r>
      <w:r w:rsidRPr="009E57AE">
        <w:rPr>
          <w:rFonts w:asciiTheme="majorBidi" w:hAnsiTheme="majorBidi" w:cstheme="majorBidi"/>
          <w:i/>
          <w:iCs/>
        </w:rPr>
        <w:t>al-jam’u wa at-taufiq</w:t>
      </w:r>
      <w:r w:rsidRPr="009E57AE">
        <w:rPr>
          <w:rFonts w:asciiTheme="majorBidi" w:hAnsiTheme="majorBidi" w:cstheme="majorBidi"/>
        </w:rPr>
        <w:t xml:space="preserve"> artinya mengkompromikan diantara dua pendapat yang tampak bertentangan, atau sama diamalkan sesuai konteksnya.Lihat. Aan Supian</w:t>
      </w:r>
      <w:r w:rsidRPr="009E57AE">
        <w:rPr>
          <w:rFonts w:asciiTheme="majorBidi" w:hAnsiTheme="majorBidi" w:cstheme="majorBidi"/>
          <w:i/>
          <w:iCs/>
        </w:rPr>
        <w:t>, Konsep Syadz dan ‘Illat Kriteria Matan Hadis</w:t>
      </w:r>
      <w:r w:rsidRPr="009E57AE">
        <w:rPr>
          <w:rFonts w:asciiTheme="majorBidi" w:hAnsiTheme="majorBidi" w:cstheme="majorBidi"/>
        </w:rPr>
        <w:t xml:space="preserve">, </w:t>
      </w:r>
      <w:r w:rsidRPr="009E57AE">
        <w:rPr>
          <w:rFonts w:asciiTheme="majorBidi" w:hAnsiTheme="majorBidi" w:cstheme="majorBidi"/>
          <w:i/>
          <w:iCs/>
        </w:rPr>
        <w:t>op,cit</w:t>
      </w:r>
      <w:r w:rsidRPr="009E57AE">
        <w:rPr>
          <w:rFonts w:asciiTheme="majorBidi" w:hAnsiTheme="majorBidi" w:cstheme="majorBidi"/>
        </w:rPr>
        <w:t>., ( Studia Press, 2005),h.61</w:t>
      </w:r>
    </w:p>
  </w:footnote>
  <w:footnote w:id="45">
    <w:p w:rsidR="009677C3" w:rsidRPr="009E57AE" w:rsidRDefault="009677C3" w:rsidP="00CD5DDE">
      <w:pPr>
        <w:pStyle w:val="FootnoteText"/>
        <w:ind w:firstLine="720"/>
        <w:jc w:val="both"/>
        <w:rPr>
          <w:rFonts w:asciiTheme="majorBidi" w:hAnsiTheme="majorBidi" w:cstheme="majorBidi"/>
          <w:lang w:val="id-ID"/>
        </w:rPr>
      </w:pPr>
      <w:r w:rsidRPr="009E57AE">
        <w:rPr>
          <w:rStyle w:val="FootnoteReference"/>
          <w:rFonts w:asciiTheme="majorBidi" w:hAnsiTheme="majorBidi" w:cstheme="majorBidi"/>
        </w:rPr>
        <w:footnoteRef/>
      </w:r>
      <w:r w:rsidRPr="009E57AE">
        <w:rPr>
          <w:rFonts w:asciiTheme="majorBidi" w:hAnsiTheme="majorBidi" w:cstheme="majorBidi"/>
          <w:spacing w:val="6"/>
          <w:lang w:val="id-ID"/>
        </w:rPr>
        <w:t xml:space="preserve">Metode </w:t>
      </w:r>
      <w:r w:rsidRPr="009E57AE">
        <w:rPr>
          <w:rFonts w:asciiTheme="majorBidi" w:hAnsiTheme="majorBidi" w:cstheme="majorBidi"/>
          <w:i/>
          <w:iCs/>
          <w:spacing w:val="6"/>
          <w:lang w:val="id-ID"/>
        </w:rPr>
        <w:t>bayāni</w:t>
      </w:r>
      <w:r w:rsidRPr="009E57AE">
        <w:rPr>
          <w:rFonts w:asciiTheme="majorBidi" w:hAnsiTheme="majorBidi" w:cstheme="majorBidi"/>
          <w:spacing w:val="6"/>
          <w:lang w:val="id-ID"/>
        </w:rPr>
        <w:t xml:space="preserve"> adalah upaya menemukan hukum dalam teks dengan kajian kebahasaan; metode</w:t>
      </w:r>
      <w:r w:rsidRPr="009E57AE">
        <w:rPr>
          <w:rFonts w:asciiTheme="majorBidi" w:hAnsiTheme="majorBidi" w:cstheme="majorBidi"/>
          <w:i/>
          <w:iCs/>
          <w:spacing w:val="6"/>
          <w:lang w:val="id-ID"/>
        </w:rPr>
        <w:t xml:space="preserve"> ta’līli</w:t>
      </w:r>
      <w:r w:rsidRPr="009E57AE">
        <w:rPr>
          <w:rFonts w:asciiTheme="majorBidi" w:hAnsiTheme="majorBidi" w:cstheme="majorBidi"/>
          <w:spacing w:val="6"/>
          <w:lang w:val="id-ID"/>
        </w:rPr>
        <w:t xml:space="preserve"> disebut juga </w:t>
      </w:r>
      <w:r w:rsidRPr="009E57AE">
        <w:rPr>
          <w:rFonts w:asciiTheme="majorBidi" w:hAnsiTheme="majorBidi" w:cstheme="majorBidi"/>
          <w:i/>
          <w:iCs/>
          <w:spacing w:val="6"/>
          <w:lang w:val="id-ID"/>
        </w:rPr>
        <w:t>qiyāsi</w:t>
      </w:r>
      <w:r w:rsidRPr="009E57AE">
        <w:rPr>
          <w:rFonts w:asciiTheme="majorBidi" w:hAnsiTheme="majorBidi" w:cstheme="majorBidi"/>
          <w:spacing w:val="6"/>
          <w:lang w:val="id-ID"/>
        </w:rPr>
        <w:t xml:space="preserve"> adalah upaya menemukan hukum melalui penemuan ’illat dan mengaitkannya dengan hukum yang ada dalam teks; dan metode </w:t>
      </w:r>
      <w:r>
        <w:rPr>
          <w:rFonts w:asciiTheme="majorBidi" w:hAnsiTheme="majorBidi" w:cstheme="majorBidi"/>
          <w:i/>
          <w:iCs/>
          <w:spacing w:val="6"/>
          <w:lang w:val="id-ID"/>
        </w:rPr>
        <w:t>isti</w:t>
      </w:r>
      <w:r>
        <w:rPr>
          <w:rFonts w:asciiTheme="majorBidi" w:hAnsiTheme="majorBidi" w:cstheme="majorBidi"/>
          <w:i/>
          <w:iCs/>
          <w:spacing w:val="6"/>
        </w:rPr>
        <w:t>s</w:t>
      </w:r>
      <w:r w:rsidRPr="009E57AE">
        <w:rPr>
          <w:rFonts w:asciiTheme="majorBidi" w:hAnsiTheme="majorBidi" w:cstheme="majorBidi"/>
          <w:i/>
          <w:iCs/>
          <w:spacing w:val="6"/>
          <w:lang w:val="id-ID"/>
        </w:rPr>
        <w:t>lā</w:t>
      </w:r>
      <w:r w:rsidRPr="009E57AE">
        <w:rPr>
          <w:rFonts w:asciiTheme="majorBidi" w:hAnsiTheme="majorBidi" w:cstheme="majorBidi"/>
          <w:i/>
          <w:iCs/>
          <w:spacing w:val="6"/>
          <w:u w:val="single"/>
          <w:lang w:val="id-ID"/>
        </w:rPr>
        <w:t>h</w:t>
      </w:r>
      <w:r w:rsidRPr="009E57AE">
        <w:rPr>
          <w:rFonts w:asciiTheme="majorBidi" w:hAnsiTheme="majorBidi" w:cstheme="majorBidi"/>
          <w:i/>
          <w:iCs/>
          <w:spacing w:val="6"/>
          <w:lang w:val="id-ID"/>
        </w:rPr>
        <w:t>i</w:t>
      </w:r>
      <w:r w:rsidRPr="009E57AE">
        <w:rPr>
          <w:rFonts w:asciiTheme="majorBidi" w:hAnsiTheme="majorBidi" w:cstheme="majorBidi"/>
          <w:spacing w:val="6"/>
          <w:lang w:val="id-ID"/>
        </w:rPr>
        <w:t xml:space="preserve"> adalah upaya menemukan hukum dengan mempertimbangkan unsur kemaslahatan di dalamnya. Lebih lanjut, lihat Wahbah al-Zu</w:t>
      </w:r>
      <w:r w:rsidRPr="009E57AE">
        <w:rPr>
          <w:rFonts w:asciiTheme="majorBidi" w:hAnsiTheme="majorBidi" w:cstheme="majorBidi"/>
          <w:spacing w:val="6"/>
          <w:u w:val="single"/>
          <w:lang w:val="id-ID"/>
        </w:rPr>
        <w:t>h</w:t>
      </w:r>
      <w:r w:rsidRPr="009E57AE">
        <w:rPr>
          <w:rFonts w:asciiTheme="majorBidi" w:hAnsiTheme="majorBidi" w:cstheme="majorBidi"/>
          <w:spacing w:val="6"/>
          <w:lang w:val="id-ID"/>
        </w:rPr>
        <w:t xml:space="preserve">aili, </w:t>
      </w:r>
      <w:r>
        <w:rPr>
          <w:rFonts w:asciiTheme="majorBidi" w:hAnsiTheme="majorBidi" w:cstheme="majorBidi"/>
          <w:i/>
          <w:iCs/>
          <w:spacing w:val="6"/>
          <w:lang w:val="id-ID"/>
        </w:rPr>
        <w:t>U</w:t>
      </w:r>
      <w:r w:rsidRPr="004F038B">
        <w:rPr>
          <w:rFonts w:asciiTheme="majorBidi" w:hAnsiTheme="majorBidi" w:cstheme="majorBidi"/>
          <w:i/>
          <w:iCs/>
          <w:spacing w:val="6"/>
          <w:lang w:val="id-ID"/>
        </w:rPr>
        <w:t>s</w:t>
      </w:r>
      <w:r w:rsidRPr="009E57AE">
        <w:rPr>
          <w:rFonts w:asciiTheme="majorBidi" w:hAnsiTheme="majorBidi" w:cstheme="majorBidi"/>
          <w:i/>
          <w:iCs/>
          <w:spacing w:val="6"/>
          <w:lang w:val="id-ID"/>
        </w:rPr>
        <w:t>ūl al-Fiqh al-Islāmi</w:t>
      </w:r>
      <w:r w:rsidRPr="009E57AE">
        <w:rPr>
          <w:rFonts w:asciiTheme="majorBidi" w:hAnsiTheme="majorBidi" w:cstheme="majorBidi"/>
          <w:spacing w:val="6"/>
          <w:lang w:val="id-ID"/>
        </w:rPr>
        <w:t xml:space="preserve">, (Damaskus: </w:t>
      </w:r>
      <w:r>
        <w:rPr>
          <w:rFonts w:asciiTheme="majorBidi" w:hAnsiTheme="majorBidi" w:cstheme="majorBidi"/>
          <w:spacing w:val="6"/>
          <w:lang w:val="id-ID"/>
        </w:rPr>
        <w:t>Dār</w:t>
      </w:r>
      <w:r w:rsidRPr="009E57AE">
        <w:rPr>
          <w:rFonts w:asciiTheme="majorBidi" w:hAnsiTheme="majorBidi" w:cstheme="majorBidi"/>
          <w:spacing w:val="6"/>
          <w:lang w:val="id-ID"/>
        </w:rPr>
        <w:t>al-Fikr, 1426 H/2005 M), Juz 2, h. 330</w:t>
      </w:r>
    </w:p>
  </w:footnote>
  <w:footnote w:id="46">
    <w:p w:rsidR="009677C3" w:rsidRPr="00872C8A" w:rsidRDefault="009677C3" w:rsidP="00CD5DDE">
      <w:pPr>
        <w:pStyle w:val="FootnoteText"/>
        <w:ind w:firstLine="720"/>
        <w:jc w:val="both"/>
        <w:rPr>
          <w:rFonts w:asciiTheme="majorBidi" w:hAnsiTheme="majorBidi" w:cstheme="majorBidi"/>
        </w:rPr>
      </w:pPr>
      <w:r w:rsidRPr="00872C8A">
        <w:rPr>
          <w:rStyle w:val="FootnoteReference"/>
          <w:rFonts w:asciiTheme="majorBidi" w:hAnsiTheme="majorBidi" w:cstheme="majorBidi"/>
        </w:rPr>
        <w:footnoteRef/>
      </w:r>
      <w:r w:rsidRPr="00872C8A">
        <w:rPr>
          <w:rFonts w:asciiTheme="majorBidi" w:hAnsiTheme="majorBidi" w:cstheme="majorBidi"/>
        </w:rPr>
        <w:t xml:space="preserve"> Yang di Maksud Sadd al-Dzari’ah adalah menutup sarana yang membawa kepada kerusakan dan rangka menolak terjadinya kerusakan tersebut. Lihat .Al-Qarafi</w:t>
      </w:r>
      <w:r>
        <w:rPr>
          <w:rFonts w:asciiTheme="majorBidi" w:hAnsiTheme="majorBidi" w:cstheme="majorBidi"/>
        </w:rPr>
        <w:t xml:space="preserve">, </w:t>
      </w:r>
      <w:r w:rsidRPr="00872C8A">
        <w:rPr>
          <w:rFonts w:asciiTheme="majorBidi" w:hAnsiTheme="majorBidi" w:cstheme="majorBidi"/>
          <w:i/>
          <w:iCs/>
        </w:rPr>
        <w:t>Al-furuq</w:t>
      </w:r>
      <w:r w:rsidRPr="00872C8A">
        <w:rPr>
          <w:rFonts w:asciiTheme="majorBidi" w:hAnsiTheme="majorBidi" w:cstheme="majorBidi"/>
        </w:rPr>
        <w:t xml:space="preserve">, ( Bairut: </w:t>
      </w:r>
      <w:r>
        <w:rPr>
          <w:rFonts w:asciiTheme="majorBidi" w:hAnsiTheme="majorBidi" w:cstheme="majorBidi"/>
        </w:rPr>
        <w:t>Dār Al-Ma’rifah, t.th) Juz II</w:t>
      </w:r>
      <w:r w:rsidRPr="00872C8A">
        <w:rPr>
          <w:rFonts w:asciiTheme="majorBidi" w:hAnsiTheme="majorBidi" w:cstheme="majorBidi"/>
        </w:rPr>
        <w:t>, h. 33</w:t>
      </w:r>
    </w:p>
  </w:footnote>
  <w:footnote w:id="47">
    <w:p w:rsidR="009677C3" w:rsidRPr="00C762A0" w:rsidRDefault="009677C3" w:rsidP="00CD5DDE">
      <w:pPr>
        <w:pStyle w:val="FootnoteText"/>
        <w:ind w:firstLine="720"/>
        <w:jc w:val="both"/>
        <w:rPr>
          <w:rFonts w:asciiTheme="majorBidi" w:hAnsiTheme="majorBidi" w:cstheme="majorBidi"/>
        </w:rPr>
      </w:pPr>
      <w:r w:rsidRPr="009E57AE">
        <w:rPr>
          <w:rStyle w:val="FootnoteReference"/>
          <w:rFonts w:asciiTheme="majorBidi" w:hAnsiTheme="majorBidi" w:cstheme="majorBidi"/>
        </w:rPr>
        <w:footnoteRef/>
      </w:r>
      <w:r w:rsidRPr="00BC12A7">
        <w:rPr>
          <w:rFonts w:asciiTheme="majorBidi" w:hAnsiTheme="majorBidi" w:cstheme="majorBidi"/>
        </w:rPr>
        <w:t>Lihat.</w:t>
      </w:r>
      <w:r w:rsidRPr="009E57AE">
        <w:rPr>
          <w:rFonts w:asciiTheme="majorBidi" w:hAnsiTheme="majorBidi" w:cstheme="majorBidi"/>
        </w:rPr>
        <w:t xml:space="preserve">Sekretarian MUI, </w:t>
      </w:r>
      <w:r w:rsidRPr="009E57AE">
        <w:rPr>
          <w:rFonts w:asciiTheme="majorBidi" w:hAnsiTheme="majorBidi" w:cstheme="majorBidi"/>
          <w:i/>
          <w:iCs/>
        </w:rPr>
        <w:t>Pedoman Prosedur Penetapan Fatwa Majelis Ulama Indonesia</w:t>
      </w:r>
      <w:r w:rsidRPr="009E57AE">
        <w:rPr>
          <w:rFonts w:asciiTheme="majorBidi" w:hAnsiTheme="majorBidi" w:cstheme="majorBidi"/>
        </w:rPr>
        <w:t xml:space="preserve">, </w:t>
      </w:r>
      <w:r>
        <w:rPr>
          <w:rFonts w:asciiTheme="majorBidi" w:hAnsiTheme="majorBidi" w:cstheme="majorBidi"/>
        </w:rPr>
        <w:t xml:space="preserve">        </w:t>
      </w:r>
      <w:r w:rsidRPr="009E57AE">
        <w:rPr>
          <w:rFonts w:asciiTheme="majorBidi" w:hAnsiTheme="majorBidi" w:cstheme="majorBidi"/>
        </w:rPr>
        <w:t>( Jakarta: Sekeretaris MUI, 2001), h. 10</w:t>
      </w:r>
    </w:p>
  </w:footnote>
  <w:footnote w:id="48">
    <w:p w:rsidR="009677C3" w:rsidRPr="00D62E4F" w:rsidRDefault="009677C3" w:rsidP="00CD5DDE">
      <w:pPr>
        <w:autoSpaceDE w:val="0"/>
        <w:autoSpaceDN w:val="0"/>
        <w:adjustRightInd w:val="0"/>
        <w:spacing w:after="0" w:line="240" w:lineRule="auto"/>
        <w:ind w:firstLine="720"/>
        <w:jc w:val="both"/>
        <w:rPr>
          <w:rFonts w:ascii="Z@R72D2.tmp" w:hAnsi="Z@R72D2.tmp" w:cs="Z@R72D2.tmp"/>
          <w:sz w:val="19"/>
          <w:szCs w:val="19"/>
        </w:rPr>
      </w:pPr>
      <w:r>
        <w:rPr>
          <w:rStyle w:val="FootnoteReference"/>
        </w:rPr>
        <w:footnoteRef/>
      </w:r>
      <w:r>
        <w:t xml:space="preserve"> </w:t>
      </w:r>
      <w:r>
        <w:rPr>
          <w:rFonts w:ascii="Z@R72D2.tmp" w:hAnsi="Z@R72D2.tmp" w:cs="Z@R72D2.tmp"/>
          <w:sz w:val="19"/>
          <w:szCs w:val="19"/>
        </w:rPr>
        <w:t xml:space="preserve">lihat. MUI, </w:t>
      </w:r>
      <w:r>
        <w:rPr>
          <w:rFonts w:ascii="Z@R72D6.tmp,Italic" w:hAnsi="Z@R72D6.tmp,Italic" w:cs="Z@R72D6.tmp,Italic"/>
          <w:i/>
          <w:iCs/>
          <w:sz w:val="19"/>
          <w:szCs w:val="19"/>
        </w:rPr>
        <w:t xml:space="preserve">Himpunan Fatwa Majelis Ulama Indonesia </w:t>
      </w:r>
      <w:r>
        <w:rPr>
          <w:rFonts w:ascii="Z@R72D2.tmp" w:hAnsi="Z@R72D2.tmp" w:cs="Z@R72D2.tmp"/>
          <w:sz w:val="19"/>
          <w:szCs w:val="19"/>
        </w:rPr>
        <w:t>, (Jakarta: MUI . Depag, 2003).</w:t>
      </w:r>
    </w:p>
  </w:footnote>
  <w:footnote w:id="49">
    <w:p w:rsidR="009677C3" w:rsidRDefault="009677C3" w:rsidP="0049234C">
      <w:pPr>
        <w:pStyle w:val="FootnoteText"/>
        <w:ind w:firstLine="720"/>
      </w:pPr>
      <w:r>
        <w:rPr>
          <w:rStyle w:val="FootnoteReference"/>
        </w:rPr>
        <w:footnoteRef/>
      </w:r>
      <w:r>
        <w:t xml:space="preserve"> </w:t>
      </w:r>
      <w:r w:rsidRPr="00BC12A7">
        <w:rPr>
          <w:rFonts w:asciiTheme="majorBidi" w:hAnsiTheme="majorBidi" w:cstheme="majorBidi"/>
        </w:rPr>
        <w:t>Lihat.</w:t>
      </w:r>
      <w:r>
        <w:t xml:space="preserve"> </w:t>
      </w:r>
      <w:r>
        <w:rPr>
          <w:rFonts w:asciiTheme="majorBidi" w:hAnsiTheme="majorBidi" w:cstheme="majorBidi"/>
        </w:rPr>
        <w:t>Ma’ruf Amin, dkk</w:t>
      </w:r>
      <w:r w:rsidRPr="007400DF">
        <w:rPr>
          <w:rFonts w:asciiTheme="majorBidi" w:hAnsiTheme="majorBidi" w:cstheme="majorBidi"/>
          <w:i/>
          <w:iCs/>
        </w:rPr>
        <w:t>, Himpunan Fatwa Majelis Ulama Indonesia Sejak 1975</w:t>
      </w:r>
      <w:r>
        <w:rPr>
          <w:rFonts w:asciiTheme="majorBidi" w:hAnsiTheme="majorBidi" w:cstheme="majorBidi"/>
        </w:rPr>
        <w:t>, ( Jakarta:</w:t>
      </w:r>
      <w:r w:rsidRPr="007400DF">
        <w:rPr>
          <w:rFonts w:asciiTheme="majorBidi" w:hAnsiTheme="majorBidi" w:cstheme="majorBidi"/>
        </w:rPr>
        <w:t xml:space="preserve"> </w:t>
      </w:r>
      <w:r>
        <w:rPr>
          <w:rFonts w:asciiTheme="majorBidi" w:hAnsiTheme="majorBidi" w:cstheme="majorBidi"/>
        </w:rPr>
        <w:t>Sekretariat  MUI,  2011), h. i-iii</w:t>
      </w:r>
    </w:p>
  </w:footnote>
  <w:footnote w:id="50">
    <w:p w:rsidR="009677C3" w:rsidRPr="00441633" w:rsidRDefault="009677C3" w:rsidP="0049234C">
      <w:pPr>
        <w:pStyle w:val="FootnoteText"/>
        <w:ind w:firstLine="720"/>
        <w:rPr>
          <w:rFonts w:asciiTheme="majorBidi" w:hAnsiTheme="majorBidi" w:cstheme="majorBidi"/>
        </w:rPr>
      </w:pPr>
      <w:r w:rsidRPr="00441633">
        <w:rPr>
          <w:rStyle w:val="FootnoteReference"/>
          <w:rFonts w:asciiTheme="majorBidi" w:hAnsiTheme="majorBidi" w:cstheme="majorBidi"/>
        </w:rPr>
        <w:footnoteRef/>
      </w:r>
      <w:r w:rsidRPr="00441633">
        <w:rPr>
          <w:rFonts w:asciiTheme="majorBidi" w:hAnsiTheme="majorBidi" w:cstheme="majorBidi"/>
        </w:rPr>
        <w:t xml:space="preserve"> Lihat. Ichwan Syam, dkk, </w:t>
      </w:r>
      <w:r w:rsidRPr="00441633">
        <w:rPr>
          <w:rFonts w:asciiTheme="majorBidi" w:hAnsiTheme="majorBidi" w:cstheme="majorBidi"/>
          <w:i/>
          <w:iCs/>
        </w:rPr>
        <w:t>Himpunan Fatwa Keuangan Syari DSN MUI</w:t>
      </w:r>
      <w:r w:rsidRPr="00441633">
        <w:rPr>
          <w:rFonts w:asciiTheme="majorBidi" w:hAnsiTheme="majorBidi" w:cstheme="majorBidi"/>
        </w:rPr>
        <w:t>, ( Jakarta: Erlangga, 2017, h.i-iv)</w:t>
      </w:r>
    </w:p>
  </w:footnote>
  <w:footnote w:id="51">
    <w:p w:rsidR="009677C3" w:rsidRDefault="009677C3" w:rsidP="0049234C">
      <w:pPr>
        <w:pStyle w:val="FootnoteText"/>
        <w:ind w:firstLine="720"/>
        <w:jc w:val="both"/>
      </w:pPr>
      <w:r>
        <w:rPr>
          <w:rStyle w:val="FootnoteReference"/>
        </w:rPr>
        <w:footnoteRef/>
      </w:r>
      <w:r>
        <w:t xml:space="preserve"> </w:t>
      </w:r>
      <w:r>
        <w:rPr>
          <w:rFonts w:asciiTheme="majorBidi" w:hAnsiTheme="majorBidi" w:cstheme="majorBidi"/>
        </w:rPr>
        <w:t>Da</w:t>
      </w:r>
      <w:r w:rsidRPr="003A659F">
        <w:rPr>
          <w:rFonts w:asciiTheme="majorBidi" w:hAnsiTheme="majorBidi" w:cstheme="majorBidi"/>
        </w:rPr>
        <w:t xml:space="preserve">lam </w:t>
      </w:r>
      <w:r>
        <w:rPr>
          <w:rFonts w:asciiTheme="majorBidi" w:hAnsiTheme="majorBidi" w:cstheme="majorBidi"/>
        </w:rPr>
        <w:t xml:space="preserve">buku </w:t>
      </w:r>
      <w:r w:rsidRPr="003A659F">
        <w:rPr>
          <w:rFonts w:asciiTheme="majorBidi" w:hAnsiTheme="majorBidi" w:cstheme="majorBidi"/>
        </w:rPr>
        <w:t xml:space="preserve">Himpunan Fatwa MUI </w:t>
      </w:r>
      <w:r>
        <w:rPr>
          <w:rFonts w:asciiTheme="majorBidi" w:hAnsiTheme="majorBidi" w:cstheme="majorBidi"/>
        </w:rPr>
        <w:t>Sejak 1975 ditemukan setidaknya 21</w:t>
      </w:r>
      <w:r w:rsidRPr="003A659F">
        <w:rPr>
          <w:rFonts w:asciiTheme="majorBidi" w:hAnsiTheme="majorBidi" w:cstheme="majorBidi"/>
        </w:rPr>
        <w:t xml:space="preserve"> buah fatwa yang masuk dalam kategori Hukum Keluarga, yaitu; 1) Fatwa Perkawinan Campuran,2) Fatwa Talak Tiga Sekaligus, 3) Fatwa Iddah Wafat, 4) Fatwa Adopsi( Pengangkatan anak), 5) Fatwa Pendayagunaan Tanah Warisan, 6) Fatwa Prosedur Pernikahan, 7. Fatwa Pengucapan Shighat Taklik Talak Pada Waktu Upacara Pernikahan, 8) Fatwa Nikah Mut’ah, 9) Fatwa Aborsi, 10) Fatwa Wakaf Uang, 11) Fatwa Kewarisan Saudara Kandung Laki-laki/ Saudara Sebapak, 12) Fatwa Perkawinan Beda Agama, 13) Fatwa Kewarisan Beda Agama, 14) Fatwa Nikah dibawah Tangan, 15) Fatwa Nikah Wisata, 16) Fatwa Wasiat Menghebahkan Kornea Mata, 17) Fatwa Bayi Tabung / Inseminasi Buatan, 18) Fatwa Kloning, 19) Fatwa Transfer Emberio Ke Rahim Titipan, 19) Fatwa Vasektomi dan 20) Fatwa Nikah Usia Dini.</w:t>
      </w:r>
      <w:r>
        <w:rPr>
          <w:rFonts w:asciiTheme="majorBidi" w:hAnsiTheme="majorBidi" w:cstheme="majorBidi"/>
        </w:rPr>
        <w:t xml:space="preserve"> 21) fatwa Talak diluar Pengadilan, </w:t>
      </w:r>
      <w:r w:rsidRPr="003A659F">
        <w:rPr>
          <w:rFonts w:asciiTheme="majorBidi" w:hAnsiTheme="majorBidi" w:cstheme="majorBidi"/>
        </w:rPr>
        <w:t xml:space="preserve"> ( Lihat. Ma’ruf Amin, dkk</w:t>
      </w:r>
      <w:r>
        <w:rPr>
          <w:rFonts w:asciiTheme="majorBidi" w:hAnsiTheme="majorBidi" w:cstheme="majorBidi"/>
        </w:rPr>
        <w:t>,</w:t>
      </w:r>
      <w:r w:rsidRPr="003A659F">
        <w:rPr>
          <w:rFonts w:asciiTheme="majorBidi" w:hAnsiTheme="majorBidi" w:cstheme="majorBidi"/>
        </w:rPr>
        <w:t xml:space="preserve"> </w:t>
      </w:r>
      <w:r w:rsidRPr="00D67616">
        <w:rPr>
          <w:rFonts w:asciiTheme="majorBidi" w:hAnsiTheme="majorBidi" w:cstheme="majorBidi"/>
          <w:i/>
          <w:iCs/>
        </w:rPr>
        <w:t>Himpunan Fatwa MUI Sejak 1975</w:t>
      </w:r>
      <w:r w:rsidRPr="003A659F">
        <w:rPr>
          <w:rFonts w:asciiTheme="majorBidi" w:hAnsiTheme="majorBidi" w:cstheme="majorBidi"/>
        </w:rPr>
        <w:t>, ( Jakarta: Erlangga, 2011), h. xii-xx.</w:t>
      </w:r>
    </w:p>
  </w:footnote>
  <w:footnote w:id="52">
    <w:p w:rsidR="009677C3" w:rsidRPr="0096182E" w:rsidRDefault="009677C3" w:rsidP="006F7F29">
      <w:pPr>
        <w:pStyle w:val="FootnoteText"/>
        <w:ind w:firstLine="720"/>
        <w:jc w:val="both"/>
        <w:rPr>
          <w:rFonts w:asciiTheme="majorBidi" w:hAnsiTheme="majorBidi" w:cstheme="majorBidi"/>
        </w:rPr>
      </w:pPr>
      <w:r w:rsidRPr="0096182E">
        <w:rPr>
          <w:rStyle w:val="FootnoteReference"/>
          <w:rFonts w:asciiTheme="majorBidi" w:hAnsiTheme="majorBidi" w:cstheme="majorBidi"/>
        </w:rPr>
        <w:footnoteRef/>
      </w:r>
      <w:r w:rsidRPr="00BC12A7">
        <w:rPr>
          <w:rFonts w:asciiTheme="majorBidi" w:hAnsiTheme="majorBidi" w:cstheme="majorBidi"/>
        </w:rPr>
        <w:t>Lihat.</w:t>
      </w:r>
      <w:r w:rsidRPr="0096182E">
        <w:rPr>
          <w:rFonts w:asciiTheme="majorBidi" w:hAnsiTheme="majorBidi" w:cstheme="majorBidi"/>
        </w:rPr>
        <w:t xml:space="preserve">Tiem Majelis Ulama Indonesia, </w:t>
      </w:r>
      <w:r w:rsidRPr="0096182E">
        <w:rPr>
          <w:rFonts w:asciiTheme="majorBidi" w:hAnsiTheme="majorBidi" w:cstheme="majorBidi"/>
          <w:i/>
          <w:iCs/>
        </w:rPr>
        <w:t>Fatwa Munas VII Majelis Ulama Indonesia</w:t>
      </w:r>
      <w:r w:rsidRPr="0096182E">
        <w:rPr>
          <w:rFonts w:asciiTheme="majorBidi" w:hAnsiTheme="majorBidi" w:cstheme="majorBidi"/>
        </w:rPr>
        <w:t>, ( Jakarta: Sekeretaris MUI, 2005) h. 43</w:t>
      </w:r>
    </w:p>
  </w:footnote>
  <w:footnote w:id="53">
    <w:p w:rsidR="009677C3" w:rsidRDefault="009677C3" w:rsidP="006F7F29">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w:t>
      </w:r>
      <w:r>
        <w:rPr>
          <w:rFonts w:asciiTheme="majorBidi" w:hAnsiTheme="majorBidi" w:cstheme="majorBidi"/>
        </w:rPr>
        <w:t xml:space="preserve">Mujamma‘ </w:t>
      </w:r>
      <w:r w:rsidRPr="0000215D">
        <w:rPr>
          <w:rFonts w:asciiTheme="majorBidi" w:hAnsiTheme="majorBidi" w:cstheme="majorBidi"/>
        </w:rPr>
        <w:t xml:space="preserve"> al-Malik Fahd Li </w:t>
      </w:r>
      <w:r>
        <w:rPr>
          <w:rFonts w:asciiTheme="majorBidi" w:hAnsiTheme="majorBidi" w:cstheme="majorBidi"/>
        </w:rPr>
        <w:t xml:space="preserve">al-Thiba‘ah </w:t>
      </w:r>
      <w:r w:rsidRPr="0000215D">
        <w:rPr>
          <w:rFonts w:asciiTheme="majorBidi" w:hAnsiTheme="majorBidi" w:cstheme="majorBidi"/>
        </w:rPr>
        <w:t xml:space="preserve"> </w:t>
      </w:r>
      <w:r>
        <w:rPr>
          <w:rFonts w:asciiTheme="majorBidi" w:hAnsiTheme="majorBidi" w:cstheme="majorBidi"/>
        </w:rPr>
        <w:t>Mushhaf al-Syarif, 1418) h. 158</w:t>
      </w:r>
    </w:p>
  </w:footnote>
  <w:footnote w:id="54">
    <w:p w:rsidR="009677C3" w:rsidRDefault="009677C3" w:rsidP="006070F6">
      <w:pPr>
        <w:pStyle w:val="FootnoteText"/>
        <w:ind w:firstLine="720"/>
        <w:jc w:val="both"/>
      </w:pPr>
      <w:r>
        <w:rPr>
          <w:rStyle w:val="FootnoteReference"/>
        </w:rPr>
        <w:footnoteRef/>
      </w:r>
      <w:r>
        <w:t xml:space="preserve"> </w:t>
      </w:r>
      <w:r w:rsidRPr="00FE6295">
        <w:rPr>
          <w:rFonts w:asciiTheme="majorBidi" w:hAnsiTheme="majorBidi" w:cstheme="majorBidi"/>
        </w:rPr>
        <w:t xml:space="preserve">Lihat. M. A. Sahal Mahfudh, </w:t>
      </w:r>
      <w:r w:rsidRPr="00FE6295">
        <w:rPr>
          <w:rFonts w:asciiTheme="majorBidi" w:hAnsiTheme="majorBidi" w:cstheme="majorBidi"/>
          <w:i/>
          <w:iCs/>
        </w:rPr>
        <w:t>Himpunan Keputusan Musyawarah Nasional Majelis Ulama Indonesia Tahun 2005</w:t>
      </w:r>
      <w:r>
        <w:rPr>
          <w:rFonts w:asciiTheme="majorBidi" w:hAnsiTheme="majorBidi" w:cstheme="majorBidi"/>
        </w:rPr>
        <w:t>, ( Jakarta: Sekr</w:t>
      </w:r>
      <w:r w:rsidRPr="00FE6295">
        <w:rPr>
          <w:rFonts w:asciiTheme="majorBidi" w:hAnsiTheme="majorBidi" w:cstheme="majorBidi"/>
        </w:rPr>
        <w:t>e</w:t>
      </w:r>
      <w:r>
        <w:rPr>
          <w:rFonts w:asciiTheme="majorBidi" w:hAnsiTheme="majorBidi" w:cstheme="majorBidi"/>
        </w:rPr>
        <w:t>ta</w:t>
      </w:r>
      <w:r w:rsidRPr="00FE6295">
        <w:rPr>
          <w:rFonts w:asciiTheme="majorBidi" w:hAnsiTheme="majorBidi" w:cstheme="majorBidi"/>
        </w:rPr>
        <w:t>riat Majelis Ulama Indonesia, 2005), h. 148</w:t>
      </w:r>
    </w:p>
  </w:footnote>
  <w:footnote w:id="55">
    <w:p w:rsidR="009677C3" w:rsidRDefault="009677C3" w:rsidP="006F7F29">
      <w:pPr>
        <w:pStyle w:val="FootnoteText"/>
        <w:ind w:firstLine="720"/>
        <w:jc w:val="both"/>
      </w:pPr>
      <w:r>
        <w:rPr>
          <w:rStyle w:val="FootnoteReference"/>
        </w:rPr>
        <w:footnoteRef/>
      </w:r>
      <w:r>
        <w:rPr>
          <w:rFonts w:asciiTheme="majorBidi" w:hAnsiTheme="majorBidi" w:cstheme="majorBidi"/>
        </w:rPr>
        <w:t xml:space="preserve"> </w:t>
      </w:r>
      <w:r w:rsidRPr="00BC12A7">
        <w:rPr>
          <w:rFonts w:asciiTheme="majorBidi" w:hAnsiTheme="majorBidi" w:cstheme="majorBidi"/>
        </w:rPr>
        <w:t>Lihat.</w:t>
      </w:r>
      <w:r>
        <w:t xml:space="preserve"> </w:t>
      </w:r>
      <w:r>
        <w:rPr>
          <w:rFonts w:asciiTheme="majorBidi" w:hAnsiTheme="majorBidi" w:cstheme="majorBidi"/>
        </w:rPr>
        <w:t>Ma’ruf Amin, dkk</w:t>
      </w:r>
      <w:r w:rsidRPr="007400DF">
        <w:rPr>
          <w:rFonts w:asciiTheme="majorBidi" w:hAnsiTheme="majorBidi" w:cstheme="majorBidi"/>
          <w:i/>
          <w:iCs/>
        </w:rPr>
        <w:t>, Himpunan Fatwa Majelis Ulama Indonesia Sejak 1975</w:t>
      </w:r>
      <w:r>
        <w:rPr>
          <w:rFonts w:asciiTheme="majorBidi" w:hAnsiTheme="majorBidi" w:cstheme="majorBidi"/>
        </w:rPr>
        <w:t>, ( Jakarta:</w:t>
      </w:r>
      <w:r w:rsidRPr="007400DF">
        <w:rPr>
          <w:rFonts w:asciiTheme="majorBidi" w:hAnsiTheme="majorBidi" w:cstheme="majorBidi"/>
        </w:rPr>
        <w:t xml:space="preserve"> </w:t>
      </w:r>
      <w:r>
        <w:rPr>
          <w:rFonts w:asciiTheme="majorBidi" w:hAnsiTheme="majorBidi" w:cstheme="majorBidi"/>
        </w:rPr>
        <w:t>Sekretariat  MUI,  2011), h. 534</w:t>
      </w:r>
    </w:p>
  </w:footnote>
  <w:footnote w:id="56">
    <w:p w:rsidR="009677C3" w:rsidRPr="00A176BF" w:rsidRDefault="009677C3" w:rsidP="006F7F29">
      <w:pPr>
        <w:pStyle w:val="FootnoteText"/>
        <w:ind w:firstLine="720"/>
        <w:jc w:val="both"/>
        <w:rPr>
          <w:rFonts w:asciiTheme="majorBidi" w:hAnsiTheme="majorBidi" w:cstheme="majorBidi"/>
        </w:rPr>
      </w:pPr>
      <w:r>
        <w:rPr>
          <w:rStyle w:val="FootnoteReference"/>
        </w:rPr>
        <w:footnoteRef/>
      </w:r>
      <w:r>
        <w:t xml:space="preserve"> </w:t>
      </w:r>
      <w:r w:rsidRPr="00BC12A7">
        <w:rPr>
          <w:rFonts w:asciiTheme="majorBidi" w:hAnsiTheme="majorBidi" w:cstheme="majorBidi"/>
        </w:rPr>
        <w:t>Lihat.</w:t>
      </w:r>
      <w:r>
        <w:t xml:space="preserve"> </w:t>
      </w:r>
      <w:r w:rsidRPr="0096182E">
        <w:rPr>
          <w:rFonts w:asciiTheme="majorBidi" w:hAnsiTheme="majorBidi" w:cstheme="majorBidi"/>
        </w:rPr>
        <w:t xml:space="preserve">Tiem Majelis Ulama Indonesia, </w:t>
      </w:r>
      <w:r>
        <w:rPr>
          <w:rFonts w:asciiTheme="majorBidi" w:hAnsiTheme="majorBidi" w:cstheme="majorBidi"/>
          <w:i/>
          <w:iCs/>
        </w:rPr>
        <w:t>Ijma’ Ulama Indonesia Tahun 2012</w:t>
      </w:r>
      <w:r w:rsidRPr="0096182E">
        <w:rPr>
          <w:rFonts w:asciiTheme="majorBidi" w:hAnsiTheme="majorBidi" w:cstheme="majorBidi"/>
        </w:rPr>
        <w:t>, ( Jakarta: Seke</w:t>
      </w:r>
      <w:r>
        <w:rPr>
          <w:rFonts w:asciiTheme="majorBidi" w:hAnsiTheme="majorBidi" w:cstheme="majorBidi"/>
        </w:rPr>
        <w:t>retaris MUI, 2012</w:t>
      </w:r>
      <w:r w:rsidRPr="0096182E">
        <w:rPr>
          <w:rFonts w:asciiTheme="majorBidi" w:hAnsiTheme="majorBidi" w:cstheme="majorBidi"/>
        </w:rPr>
        <w:t>) h.</w:t>
      </w:r>
      <w:r>
        <w:rPr>
          <w:rFonts w:asciiTheme="majorBidi" w:hAnsiTheme="majorBidi" w:cstheme="majorBidi"/>
        </w:rPr>
        <w:t xml:space="preserve"> </w:t>
      </w:r>
      <w:r>
        <w:t>46</w:t>
      </w:r>
    </w:p>
  </w:footnote>
  <w:footnote w:id="57">
    <w:p w:rsidR="009677C3" w:rsidRPr="0065279A" w:rsidRDefault="009677C3" w:rsidP="006F7F29">
      <w:pPr>
        <w:pStyle w:val="FootnoteText"/>
        <w:ind w:firstLine="720"/>
        <w:jc w:val="both"/>
        <w:rPr>
          <w:rFonts w:asciiTheme="majorBidi" w:hAnsiTheme="majorBidi" w:cstheme="majorBidi"/>
        </w:rPr>
      </w:pPr>
      <w:r w:rsidRPr="0065279A">
        <w:rPr>
          <w:rStyle w:val="FootnoteReference"/>
          <w:rFonts w:asciiTheme="majorBidi" w:hAnsiTheme="majorBidi" w:cstheme="majorBidi"/>
        </w:rPr>
        <w:footnoteRef/>
      </w:r>
      <w:r w:rsidRPr="0065279A">
        <w:rPr>
          <w:rFonts w:asciiTheme="majorBidi" w:hAnsiTheme="majorBidi" w:cstheme="majorBidi"/>
        </w:rPr>
        <w:t xml:space="preserve"> </w:t>
      </w:r>
      <w:r w:rsidRPr="00BC12A7">
        <w:rPr>
          <w:rFonts w:asciiTheme="majorBidi" w:hAnsiTheme="majorBidi" w:cstheme="majorBidi"/>
        </w:rPr>
        <w:t>Lihat.</w:t>
      </w:r>
      <w:r>
        <w:t xml:space="preserve"> </w:t>
      </w:r>
      <w:r w:rsidRPr="00B44FD9">
        <w:rPr>
          <w:rFonts w:asciiTheme="majorBidi" w:hAnsiTheme="majorBidi" w:cstheme="majorBidi"/>
          <w:i/>
          <w:iCs/>
        </w:rPr>
        <w:t>Undang-Undang Republik Indonesia No 1 Tahun 1974 Tentang Perkawinan</w:t>
      </w:r>
      <w:r w:rsidRPr="0065279A">
        <w:rPr>
          <w:rFonts w:asciiTheme="majorBidi" w:hAnsiTheme="majorBidi" w:cstheme="majorBidi"/>
        </w:rPr>
        <w:t>, ( Jakarta, Pustaka Peduli anak Negeri, t.th), h. 9</w:t>
      </w:r>
    </w:p>
  </w:footnote>
  <w:footnote w:id="58">
    <w:p w:rsidR="009677C3" w:rsidRPr="007E6AC9" w:rsidRDefault="009677C3" w:rsidP="007E6AC9">
      <w:pPr>
        <w:pStyle w:val="FootnoteText"/>
        <w:ind w:firstLine="720"/>
        <w:jc w:val="both"/>
        <w:rPr>
          <w:rFonts w:asciiTheme="majorBidi" w:hAnsiTheme="majorBidi" w:cstheme="majorBidi"/>
        </w:rPr>
      </w:pPr>
      <w:r w:rsidRPr="007E6AC9">
        <w:rPr>
          <w:rStyle w:val="FootnoteReference"/>
          <w:rFonts w:asciiTheme="majorBidi" w:hAnsiTheme="majorBidi" w:cstheme="majorBidi"/>
        </w:rPr>
        <w:footnoteRef/>
      </w:r>
      <w:r w:rsidRPr="007E6AC9">
        <w:rPr>
          <w:rFonts w:asciiTheme="majorBidi" w:hAnsiTheme="majorBidi" w:cstheme="majorBidi"/>
        </w:rPr>
        <w:t xml:space="preserve"> </w:t>
      </w:r>
      <w:r w:rsidRPr="00BC12A7">
        <w:rPr>
          <w:rFonts w:asciiTheme="majorBidi" w:hAnsiTheme="majorBidi" w:cstheme="majorBidi"/>
        </w:rPr>
        <w:t>Lihat.</w:t>
      </w:r>
      <w:r>
        <w:t xml:space="preserve"> </w:t>
      </w:r>
      <w:r w:rsidRPr="007E6AC9">
        <w:rPr>
          <w:rFonts w:asciiTheme="majorBidi" w:hAnsiTheme="majorBidi" w:cstheme="majorBidi"/>
        </w:rPr>
        <w:t xml:space="preserve">Departemen Pendidikan Nasional, </w:t>
      </w:r>
      <w:r w:rsidRPr="007E6AC9">
        <w:rPr>
          <w:rFonts w:asciiTheme="majorBidi" w:hAnsiTheme="majorBidi" w:cstheme="majorBidi"/>
          <w:i/>
          <w:iCs/>
        </w:rPr>
        <w:t>Kamus Besar Bahasa Indonesia</w:t>
      </w:r>
      <w:r w:rsidRPr="007E6AC9">
        <w:rPr>
          <w:rFonts w:asciiTheme="majorBidi" w:hAnsiTheme="majorBidi" w:cstheme="majorBidi"/>
        </w:rPr>
        <w:t>, ( Jakarta: Pusat Bahasa Departemen Pendidikan Nasional-Balai Pustaka, 2007), edisi 3, h.314</w:t>
      </w:r>
    </w:p>
  </w:footnote>
  <w:footnote w:id="59">
    <w:p w:rsidR="009677C3" w:rsidRPr="007E6AC9" w:rsidRDefault="009677C3" w:rsidP="007E6AC9">
      <w:pPr>
        <w:pStyle w:val="FootnoteText"/>
        <w:ind w:firstLine="720"/>
        <w:jc w:val="both"/>
        <w:rPr>
          <w:rFonts w:asciiTheme="majorBidi" w:hAnsiTheme="majorBidi" w:cstheme="majorBidi"/>
        </w:rPr>
      </w:pPr>
      <w:r w:rsidRPr="007E6AC9">
        <w:rPr>
          <w:rStyle w:val="FootnoteReference"/>
          <w:rFonts w:asciiTheme="majorBidi" w:hAnsiTheme="majorBidi" w:cstheme="majorBidi"/>
        </w:rPr>
        <w:footnoteRef/>
      </w:r>
      <w:r w:rsidRPr="007E6AC9">
        <w:rPr>
          <w:rFonts w:asciiTheme="majorBidi" w:hAnsiTheme="majorBidi" w:cstheme="majorBidi"/>
        </w:rPr>
        <w:t xml:space="preserve"> </w:t>
      </w:r>
      <w:r w:rsidRPr="00BC12A7">
        <w:rPr>
          <w:rFonts w:asciiTheme="majorBidi" w:hAnsiTheme="majorBidi" w:cstheme="majorBidi"/>
        </w:rPr>
        <w:t>Lihat.</w:t>
      </w:r>
      <w:r>
        <w:t xml:space="preserve"> </w:t>
      </w:r>
      <w:r w:rsidRPr="007E6AC9">
        <w:rPr>
          <w:rFonts w:asciiTheme="majorBidi" w:hAnsiTheme="majorBidi" w:cstheme="majorBidi"/>
        </w:rPr>
        <w:t xml:space="preserve">Majelis Ulama Indonesia, </w:t>
      </w:r>
      <w:r w:rsidRPr="007E6AC9">
        <w:rPr>
          <w:rFonts w:asciiTheme="majorBidi" w:hAnsiTheme="majorBidi" w:cstheme="majorBidi"/>
          <w:i/>
          <w:iCs/>
        </w:rPr>
        <w:t>Wawasan, Pedoman Dasar dan Pedoman Ruman Tangga Majelis Ulama Indonesia 2005-2010</w:t>
      </w:r>
      <w:r w:rsidRPr="007E6AC9">
        <w:rPr>
          <w:rFonts w:asciiTheme="majorBidi" w:hAnsiTheme="majorBidi" w:cstheme="majorBidi"/>
        </w:rPr>
        <w:t>, ( Jakarta: Sekretariat MUI Pusat, 2006)</w:t>
      </w:r>
    </w:p>
  </w:footnote>
  <w:footnote w:id="60">
    <w:p w:rsidR="009677C3" w:rsidRDefault="009677C3" w:rsidP="007E6AC9">
      <w:pPr>
        <w:pStyle w:val="FootnoteText"/>
        <w:ind w:firstLine="720"/>
        <w:jc w:val="both"/>
      </w:pPr>
      <w:r w:rsidRPr="007E6AC9">
        <w:rPr>
          <w:rStyle w:val="FootnoteReference"/>
          <w:rFonts w:asciiTheme="majorBidi" w:hAnsiTheme="majorBidi" w:cstheme="majorBidi"/>
        </w:rPr>
        <w:footnoteRef/>
      </w:r>
      <w:r w:rsidRPr="007E6AC9">
        <w:rPr>
          <w:rFonts w:asciiTheme="majorBidi" w:hAnsiTheme="majorBidi" w:cstheme="majorBidi"/>
        </w:rPr>
        <w:t xml:space="preserve"> </w:t>
      </w:r>
      <w:r w:rsidRPr="00BC12A7">
        <w:rPr>
          <w:rFonts w:asciiTheme="majorBidi" w:hAnsiTheme="majorBidi" w:cstheme="majorBidi"/>
        </w:rPr>
        <w:t>Lihat.</w:t>
      </w:r>
      <w:r>
        <w:t xml:space="preserve"> </w:t>
      </w:r>
      <w:r w:rsidRPr="007E6AC9">
        <w:rPr>
          <w:rFonts w:asciiTheme="majorBidi" w:hAnsiTheme="majorBidi" w:cstheme="majorBidi"/>
        </w:rPr>
        <w:t xml:space="preserve">Beni Ahmad Saebani, </w:t>
      </w:r>
      <w:r w:rsidRPr="007E6AC9">
        <w:rPr>
          <w:rFonts w:asciiTheme="majorBidi" w:hAnsiTheme="majorBidi" w:cstheme="majorBidi"/>
          <w:i/>
          <w:iCs/>
        </w:rPr>
        <w:t>Fiqh Siyasah, Term</w:t>
      </w:r>
      <w:r>
        <w:rPr>
          <w:rFonts w:asciiTheme="majorBidi" w:hAnsiTheme="majorBidi" w:cstheme="majorBidi"/>
          <w:i/>
          <w:iCs/>
        </w:rPr>
        <w:t>onologi dan Lintas sejarah Polit</w:t>
      </w:r>
      <w:r w:rsidRPr="007E6AC9">
        <w:rPr>
          <w:rFonts w:asciiTheme="majorBidi" w:hAnsiTheme="majorBidi" w:cstheme="majorBidi"/>
          <w:i/>
          <w:iCs/>
        </w:rPr>
        <w:t>ik Islam Sejak</w:t>
      </w:r>
      <w:r>
        <w:rPr>
          <w:rFonts w:asciiTheme="majorBidi" w:hAnsiTheme="majorBidi" w:cstheme="majorBidi"/>
          <w:i/>
          <w:iCs/>
        </w:rPr>
        <w:t xml:space="preserve"> Muhammad Saw hingga khulafa Al-</w:t>
      </w:r>
      <w:r w:rsidRPr="007E6AC9">
        <w:rPr>
          <w:rFonts w:asciiTheme="majorBidi" w:hAnsiTheme="majorBidi" w:cstheme="majorBidi"/>
          <w:i/>
          <w:iCs/>
        </w:rPr>
        <w:t>Rasyidun</w:t>
      </w:r>
      <w:r w:rsidRPr="007E6AC9">
        <w:rPr>
          <w:rFonts w:asciiTheme="majorBidi" w:hAnsiTheme="majorBidi" w:cstheme="majorBidi"/>
        </w:rPr>
        <w:t>, ( Bandung: Pustaka Setia,2015), h. 26</w:t>
      </w:r>
    </w:p>
  </w:footnote>
  <w:footnote w:id="61">
    <w:p w:rsidR="009677C3" w:rsidRPr="00DB491B" w:rsidRDefault="009677C3" w:rsidP="00AC43B8">
      <w:pPr>
        <w:pStyle w:val="FootnoteText"/>
        <w:ind w:firstLine="720"/>
        <w:jc w:val="both"/>
        <w:rPr>
          <w:rFonts w:asciiTheme="majorBidi" w:hAnsiTheme="majorBidi" w:cstheme="majorBidi"/>
        </w:rPr>
      </w:pPr>
      <w:r w:rsidRPr="00DB491B">
        <w:rPr>
          <w:rStyle w:val="FootnoteReference"/>
          <w:rFonts w:asciiTheme="majorBidi" w:hAnsiTheme="majorBidi" w:cstheme="majorBidi"/>
        </w:rPr>
        <w:footnoteRef/>
      </w:r>
      <w:r w:rsidRPr="00DB491B">
        <w:rPr>
          <w:rFonts w:asciiTheme="majorBidi" w:hAnsiTheme="majorBidi" w:cstheme="majorBidi"/>
        </w:rPr>
        <w:t xml:space="preserve"> </w:t>
      </w:r>
      <w:r w:rsidRPr="00BC12A7">
        <w:rPr>
          <w:rFonts w:asciiTheme="majorBidi" w:hAnsiTheme="majorBidi" w:cstheme="majorBidi"/>
        </w:rPr>
        <w:t>Lihat.</w:t>
      </w:r>
      <w:r>
        <w:t xml:space="preserve"> </w:t>
      </w:r>
      <w:r w:rsidRPr="00DB491B">
        <w:rPr>
          <w:rFonts w:asciiTheme="majorBidi" w:hAnsiTheme="majorBidi" w:cstheme="majorBidi"/>
        </w:rPr>
        <w:t xml:space="preserve">M. Atho Mudzhar, </w:t>
      </w:r>
      <w:r>
        <w:rPr>
          <w:rFonts w:asciiTheme="majorBidi" w:hAnsiTheme="majorBidi" w:cstheme="majorBidi"/>
          <w:i/>
          <w:iCs/>
          <w:lang w:val="sv-SE"/>
        </w:rPr>
        <w:t>fatwa</w:t>
      </w:r>
      <w:r w:rsidRPr="00DB491B">
        <w:rPr>
          <w:rFonts w:asciiTheme="majorBidi" w:hAnsiTheme="majorBidi" w:cstheme="majorBidi"/>
          <w:i/>
          <w:iCs/>
          <w:lang w:val="sv-SE"/>
        </w:rPr>
        <w:t>s of the In</w:t>
      </w:r>
      <w:r>
        <w:rPr>
          <w:rFonts w:asciiTheme="majorBidi" w:hAnsiTheme="majorBidi" w:cstheme="majorBidi"/>
          <w:i/>
          <w:iCs/>
          <w:lang w:val="sv-SE"/>
        </w:rPr>
        <w:t>donesian Ulama: A Study of Islam</w:t>
      </w:r>
      <w:r w:rsidRPr="00DB491B">
        <w:rPr>
          <w:rFonts w:asciiTheme="majorBidi" w:hAnsiTheme="majorBidi" w:cstheme="majorBidi"/>
          <w:i/>
          <w:iCs/>
          <w:lang w:val="sv-SE"/>
        </w:rPr>
        <w:t>ic Legal Thoug</w:t>
      </w:r>
      <w:r>
        <w:rPr>
          <w:rFonts w:asciiTheme="majorBidi" w:hAnsiTheme="majorBidi" w:cstheme="majorBidi"/>
          <w:i/>
          <w:iCs/>
          <w:lang w:val="sv-SE"/>
        </w:rPr>
        <w:t>h</w:t>
      </w:r>
      <w:r w:rsidRPr="00DB491B">
        <w:rPr>
          <w:rFonts w:asciiTheme="majorBidi" w:hAnsiTheme="majorBidi" w:cstheme="majorBidi"/>
          <w:i/>
          <w:iCs/>
          <w:lang w:val="sv-SE"/>
        </w:rPr>
        <w:t>t in Indonesia 1975-1988,</w:t>
      </w:r>
      <w:r w:rsidRPr="00DB491B">
        <w:rPr>
          <w:rFonts w:asciiTheme="majorBidi" w:hAnsiTheme="majorBidi" w:cstheme="majorBidi"/>
          <w:lang w:val="sv-SE"/>
        </w:rPr>
        <w:t>( Jakarta:INIS, 1993), edisi dwibahasa, h. 7</w:t>
      </w:r>
    </w:p>
  </w:footnote>
  <w:footnote w:id="62">
    <w:p w:rsidR="009677C3" w:rsidRPr="00DB491B" w:rsidRDefault="009677C3" w:rsidP="00AC43B8">
      <w:pPr>
        <w:pStyle w:val="ListParagraph"/>
        <w:spacing w:after="0" w:line="240" w:lineRule="auto"/>
        <w:ind w:left="270" w:firstLine="450"/>
        <w:jc w:val="both"/>
        <w:rPr>
          <w:rFonts w:ascii="Times New Roman" w:hAnsi="Times New Roman" w:cs="Times New Roman"/>
          <w:sz w:val="20"/>
          <w:szCs w:val="20"/>
          <w:lang w:val="sv-SE"/>
        </w:rPr>
      </w:pPr>
      <w:r w:rsidRPr="00DB491B">
        <w:rPr>
          <w:rStyle w:val="FootnoteReference"/>
          <w:sz w:val="20"/>
          <w:szCs w:val="20"/>
        </w:rPr>
        <w:footnoteRef/>
      </w:r>
      <w:r w:rsidRPr="00DB491B">
        <w:rPr>
          <w:sz w:val="20"/>
          <w:szCs w:val="20"/>
        </w:rPr>
        <w:t xml:space="preserve"> </w:t>
      </w:r>
      <w:r w:rsidRPr="00BC12A7">
        <w:rPr>
          <w:rFonts w:asciiTheme="majorBidi" w:hAnsiTheme="majorBidi" w:cstheme="majorBidi"/>
          <w:sz w:val="20"/>
          <w:szCs w:val="20"/>
        </w:rPr>
        <w:t>Lihat</w:t>
      </w:r>
      <w:r w:rsidRPr="00BC12A7">
        <w:rPr>
          <w:rFonts w:asciiTheme="majorBidi" w:hAnsiTheme="majorBidi" w:cstheme="majorBidi"/>
        </w:rPr>
        <w:t>.</w:t>
      </w:r>
      <w:r>
        <w:t xml:space="preserve"> </w:t>
      </w:r>
      <w:r w:rsidRPr="00DB491B">
        <w:rPr>
          <w:rFonts w:ascii="Times New Roman" w:hAnsi="Times New Roman" w:cs="Times New Roman"/>
          <w:sz w:val="20"/>
          <w:szCs w:val="20"/>
          <w:lang w:val="sv-SE"/>
        </w:rPr>
        <w:t xml:space="preserve">Helmi Karim, </w:t>
      </w:r>
      <w:r w:rsidRPr="00DB491B">
        <w:rPr>
          <w:rFonts w:ascii="Times New Roman" w:hAnsi="Times New Roman" w:cs="Times New Roman"/>
          <w:i/>
          <w:iCs/>
          <w:sz w:val="20"/>
          <w:szCs w:val="20"/>
          <w:lang w:val="sv-SE"/>
        </w:rPr>
        <w:t>Konsep Ijtihad Majelis Ulama Indonesia dalam pengembangan hukum Islam,</w:t>
      </w:r>
      <w:r w:rsidRPr="00DB491B">
        <w:rPr>
          <w:rFonts w:ascii="Times New Roman" w:hAnsi="Times New Roman" w:cs="Times New Roman"/>
          <w:sz w:val="20"/>
          <w:szCs w:val="20"/>
          <w:lang w:val="sv-SE"/>
        </w:rPr>
        <w:t xml:space="preserve"> Disertasi doktor Ilmu Agam Islam,( Jakarta: Perpustakaan Pasca sarjana UIN 1993).</w:t>
      </w:r>
    </w:p>
  </w:footnote>
  <w:footnote w:id="63">
    <w:p w:rsidR="009677C3" w:rsidRDefault="009677C3" w:rsidP="00AC43B8">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DB491B">
        <w:rPr>
          <w:rFonts w:ascii="Times New Roman" w:hAnsi="Times New Roman" w:cs="Times New Roman"/>
          <w:lang w:val="sv-SE"/>
        </w:rPr>
        <w:t xml:space="preserve">Helmi Karim, </w:t>
      </w:r>
      <w:r w:rsidRPr="00DB491B">
        <w:rPr>
          <w:rFonts w:ascii="Times New Roman" w:hAnsi="Times New Roman" w:cs="Times New Roman"/>
          <w:i/>
          <w:iCs/>
          <w:lang w:val="sv-SE"/>
        </w:rPr>
        <w:t>Konsep Ijtihad Majelis Ulama Indonesia dalam pengembangan hukum Islam,</w:t>
      </w:r>
      <w:r w:rsidRPr="00DB491B">
        <w:rPr>
          <w:rFonts w:ascii="Times New Roman" w:hAnsi="Times New Roman" w:cs="Times New Roman"/>
          <w:lang w:val="sv-SE"/>
        </w:rPr>
        <w:t xml:space="preserve"> Disertasi doktor Ilmu Agam Islam,( Jakarta: Perpustakaan Pasca sarjana UIN 1993).</w:t>
      </w:r>
    </w:p>
  </w:footnote>
  <w:footnote w:id="64">
    <w:p w:rsidR="009677C3" w:rsidRPr="00574FE8" w:rsidRDefault="009677C3" w:rsidP="00AC43B8">
      <w:pPr>
        <w:pStyle w:val="FootnoteText"/>
        <w:ind w:firstLine="720"/>
        <w:jc w:val="both"/>
      </w:pPr>
      <w:r w:rsidRPr="00DB491B">
        <w:rPr>
          <w:rStyle w:val="FootnoteReference"/>
        </w:rPr>
        <w:footnoteRef/>
      </w:r>
      <w:r w:rsidRPr="00DB491B">
        <w:t xml:space="preserve"> </w:t>
      </w:r>
      <w:r w:rsidRPr="00BC12A7">
        <w:rPr>
          <w:rFonts w:asciiTheme="majorBidi" w:hAnsiTheme="majorBidi" w:cstheme="majorBidi"/>
        </w:rPr>
        <w:t>Lihat.</w:t>
      </w:r>
      <w:r>
        <w:t xml:space="preserve"> </w:t>
      </w:r>
      <w:r w:rsidRPr="00DB491B">
        <w:rPr>
          <w:rFonts w:ascii="Times New Roman" w:hAnsi="Times New Roman" w:cs="Times New Roman"/>
          <w:lang w:val="sv-SE" w:eastAsia="en-GB"/>
        </w:rPr>
        <w:t xml:space="preserve">M.B Hooker, dengan judul” </w:t>
      </w:r>
      <w:r>
        <w:rPr>
          <w:rFonts w:ascii="Times New Roman" w:hAnsi="Times New Roman" w:cs="Times New Roman"/>
          <w:i/>
          <w:iCs/>
          <w:lang w:val="sv-SE" w:eastAsia="en-GB"/>
        </w:rPr>
        <w:t>Islam and Me</w:t>
      </w:r>
      <w:r w:rsidRPr="00DB491B">
        <w:rPr>
          <w:rFonts w:ascii="Times New Roman" w:hAnsi="Times New Roman" w:cs="Times New Roman"/>
          <w:i/>
          <w:iCs/>
          <w:lang w:val="sv-SE" w:eastAsia="en-GB"/>
        </w:rPr>
        <w:t xml:space="preserve">dical Science: Evidence from Malaysian and Indonesia Fatwas 1960-1996, </w:t>
      </w:r>
      <w:r w:rsidRPr="00DB491B">
        <w:rPr>
          <w:rFonts w:ascii="Times New Roman" w:hAnsi="Times New Roman" w:cs="Times New Roman"/>
          <w:lang w:val="sv-SE" w:eastAsia="en-GB"/>
        </w:rPr>
        <w:t>S</w:t>
      </w:r>
      <w:r>
        <w:rPr>
          <w:rFonts w:ascii="Times New Roman" w:hAnsi="Times New Roman" w:cs="Times New Roman"/>
          <w:lang w:val="sv-SE" w:eastAsia="en-GB"/>
        </w:rPr>
        <w:t>t</w:t>
      </w:r>
      <w:r w:rsidRPr="00DB491B">
        <w:rPr>
          <w:rFonts w:ascii="Times New Roman" w:hAnsi="Times New Roman" w:cs="Times New Roman"/>
          <w:lang w:val="sv-SE" w:eastAsia="en-GB"/>
        </w:rPr>
        <w:t>udia Islam</w:t>
      </w:r>
      <w:r>
        <w:rPr>
          <w:rFonts w:ascii="Times New Roman" w:hAnsi="Times New Roman" w:cs="Times New Roman"/>
          <w:lang w:val="sv-SE" w:eastAsia="en-GB"/>
        </w:rPr>
        <w:t>i</w:t>
      </w:r>
      <w:r w:rsidRPr="00DB491B">
        <w:rPr>
          <w:rFonts w:ascii="Times New Roman" w:hAnsi="Times New Roman" w:cs="Times New Roman"/>
          <w:lang w:val="sv-SE" w:eastAsia="en-GB"/>
        </w:rPr>
        <w:t>ca: Ind</w:t>
      </w:r>
      <w:r>
        <w:rPr>
          <w:rFonts w:ascii="Times New Roman" w:hAnsi="Times New Roman" w:cs="Times New Roman"/>
          <w:lang w:val="sv-SE" w:eastAsia="en-GB"/>
        </w:rPr>
        <w:t>onesian Journal of Islamic Stud</w:t>
      </w:r>
      <w:r w:rsidRPr="00DB491B">
        <w:rPr>
          <w:rFonts w:ascii="Times New Roman" w:hAnsi="Times New Roman" w:cs="Times New Roman"/>
          <w:lang w:val="sv-SE" w:eastAsia="en-GB"/>
        </w:rPr>
        <w:t>i</w:t>
      </w:r>
      <w:r>
        <w:rPr>
          <w:rFonts w:ascii="Times New Roman" w:hAnsi="Times New Roman" w:cs="Times New Roman"/>
          <w:lang w:val="sv-SE" w:eastAsia="en-GB"/>
        </w:rPr>
        <w:t>e</w:t>
      </w:r>
      <w:r w:rsidRPr="00DB491B">
        <w:rPr>
          <w:rFonts w:ascii="Times New Roman" w:hAnsi="Times New Roman" w:cs="Times New Roman"/>
          <w:lang w:val="sv-SE" w:eastAsia="en-GB"/>
        </w:rPr>
        <w:t>s, Volume 4, Number 4, 1997.</w:t>
      </w:r>
    </w:p>
  </w:footnote>
  <w:footnote w:id="65">
    <w:p w:rsidR="009677C3" w:rsidRPr="00B52741" w:rsidRDefault="009677C3" w:rsidP="00AC43B8">
      <w:pPr>
        <w:pStyle w:val="FootnoteText"/>
        <w:ind w:firstLine="720"/>
        <w:jc w:val="both"/>
      </w:pPr>
      <w:r w:rsidRPr="00B52741">
        <w:rPr>
          <w:rStyle w:val="FootnoteReference"/>
        </w:rPr>
        <w:footnoteRef/>
      </w:r>
      <w:r w:rsidRPr="00B52741">
        <w:t xml:space="preserve"> </w:t>
      </w:r>
      <w:r w:rsidRPr="00BC12A7">
        <w:rPr>
          <w:rFonts w:asciiTheme="majorBidi" w:hAnsiTheme="majorBidi" w:cstheme="majorBidi"/>
        </w:rPr>
        <w:t>Lihat.</w:t>
      </w:r>
      <w:r>
        <w:t xml:space="preserve"> </w:t>
      </w:r>
      <w:r w:rsidRPr="00B52741">
        <w:rPr>
          <w:rFonts w:ascii="Times New Roman" w:hAnsi="Times New Roman" w:cs="Times New Roman"/>
          <w:lang w:val="sv-SE" w:eastAsia="en-GB"/>
        </w:rPr>
        <w:t xml:space="preserve">Wahiduddin Adams, dengan judul” </w:t>
      </w:r>
      <w:r w:rsidRPr="00B52741">
        <w:rPr>
          <w:rFonts w:ascii="Times New Roman" w:hAnsi="Times New Roman" w:cs="Times New Roman"/>
          <w:i/>
          <w:iCs/>
          <w:lang w:val="sv-SE" w:eastAsia="en-GB"/>
        </w:rPr>
        <w:t>Pola penyerapan Fatwa Majelis Ulama Indonesia dalam Peraturan Undang-Undang 1975 1997</w:t>
      </w:r>
      <w:r w:rsidRPr="00B52741">
        <w:rPr>
          <w:rFonts w:ascii="Times New Roman" w:hAnsi="Times New Roman" w:cs="Times New Roman"/>
          <w:lang w:val="sv-SE" w:eastAsia="en-GB"/>
        </w:rPr>
        <w:t>”, Disertasi Doktor Ilmu Agama Islam, ( Jakarta: Perpustakaan Pascasarjana U</w:t>
      </w:r>
      <w:r>
        <w:rPr>
          <w:rFonts w:ascii="Times New Roman" w:hAnsi="Times New Roman" w:cs="Times New Roman"/>
          <w:lang w:val="sv-SE" w:eastAsia="en-GB"/>
        </w:rPr>
        <w:t>IN Syarif Hidatullah, 2002)</w:t>
      </w:r>
    </w:p>
  </w:footnote>
  <w:footnote w:id="66">
    <w:p w:rsidR="009677C3" w:rsidRDefault="009677C3" w:rsidP="00AC43B8">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B52741">
        <w:rPr>
          <w:rFonts w:ascii="Times New Roman" w:hAnsi="Times New Roman" w:cs="Times New Roman"/>
          <w:lang w:val="sv-SE" w:eastAsia="en-GB"/>
        </w:rPr>
        <w:t xml:space="preserve">Wahiduddin Adams, dengan judul” </w:t>
      </w:r>
      <w:r w:rsidRPr="00B52741">
        <w:rPr>
          <w:rFonts w:ascii="Times New Roman" w:hAnsi="Times New Roman" w:cs="Times New Roman"/>
          <w:i/>
          <w:iCs/>
          <w:lang w:val="sv-SE" w:eastAsia="en-GB"/>
        </w:rPr>
        <w:t>Pola penyerapan Fatwa Majelis Ulama Indonesia dalam Peraturan Undang-Undang 1975 1997</w:t>
      </w:r>
      <w:r w:rsidRPr="00B52741">
        <w:rPr>
          <w:rFonts w:ascii="Times New Roman" w:hAnsi="Times New Roman" w:cs="Times New Roman"/>
          <w:lang w:val="sv-SE" w:eastAsia="en-GB"/>
        </w:rPr>
        <w:t>”, Disertasi Doktor Ilmu Agama Islam, ( Jakarta: Perpustakaan Pascasarjana U</w:t>
      </w:r>
      <w:r>
        <w:rPr>
          <w:rFonts w:ascii="Times New Roman" w:hAnsi="Times New Roman" w:cs="Times New Roman"/>
          <w:lang w:val="sv-SE" w:eastAsia="en-GB"/>
        </w:rPr>
        <w:t>IN Syarif Hidatullah, 2002)</w:t>
      </w:r>
    </w:p>
  </w:footnote>
  <w:footnote w:id="67">
    <w:p w:rsidR="009677C3" w:rsidRPr="00B52741" w:rsidRDefault="009677C3" w:rsidP="00AC43B8">
      <w:pPr>
        <w:pStyle w:val="FootnoteText"/>
        <w:ind w:firstLine="720"/>
        <w:jc w:val="both"/>
      </w:pPr>
      <w:r w:rsidRPr="00B52741">
        <w:rPr>
          <w:rStyle w:val="FootnoteReference"/>
        </w:rPr>
        <w:footnoteRef/>
      </w:r>
      <w:r w:rsidRPr="00B52741">
        <w:t xml:space="preserve"> </w:t>
      </w:r>
      <w:r w:rsidRPr="00BC12A7">
        <w:rPr>
          <w:rFonts w:asciiTheme="majorBidi" w:hAnsiTheme="majorBidi" w:cstheme="majorBidi"/>
        </w:rPr>
        <w:t>Lihat.</w:t>
      </w:r>
      <w:r>
        <w:t xml:space="preserve"> </w:t>
      </w:r>
      <w:r w:rsidRPr="00B52741">
        <w:rPr>
          <w:rFonts w:ascii="Times New Roman" w:hAnsi="Times New Roman" w:cs="Times New Roman"/>
          <w:lang w:val="sv-SE" w:eastAsia="en-GB"/>
        </w:rPr>
        <w:t>Asror</w:t>
      </w:r>
      <w:r>
        <w:rPr>
          <w:rFonts w:ascii="Times New Roman" w:hAnsi="Times New Roman" w:cs="Times New Roman"/>
          <w:lang w:val="sv-SE" w:eastAsia="en-GB"/>
        </w:rPr>
        <w:t>un</w:t>
      </w:r>
      <w:r w:rsidRPr="00B52741">
        <w:rPr>
          <w:rFonts w:ascii="Times New Roman" w:hAnsi="Times New Roman" w:cs="Times New Roman"/>
          <w:lang w:val="sv-SE" w:eastAsia="en-GB"/>
        </w:rPr>
        <w:t xml:space="preserve"> Ni’am Sholeh, </w:t>
      </w:r>
      <w:r>
        <w:rPr>
          <w:rFonts w:ascii="Times New Roman" w:hAnsi="Times New Roman" w:cs="Times New Roman"/>
          <w:i/>
          <w:iCs/>
          <w:lang w:val="sv-SE" w:eastAsia="en-GB"/>
        </w:rPr>
        <w:t>Sadd add</w:t>
      </w:r>
      <w:r w:rsidRPr="00B52741">
        <w:rPr>
          <w:rFonts w:ascii="Times New Roman" w:hAnsi="Times New Roman" w:cs="Times New Roman"/>
          <w:i/>
          <w:iCs/>
          <w:lang w:val="sv-SE" w:eastAsia="en-GB"/>
        </w:rPr>
        <w:t xml:space="preserve">-Dzari’ah dan Aplikasinya dalam Fatwa Majelis Ulama Indonesia, </w:t>
      </w:r>
      <w:r w:rsidRPr="00B52741">
        <w:rPr>
          <w:rFonts w:ascii="Times New Roman" w:hAnsi="Times New Roman" w:cs="Times New Roman"/>
          <w:lang w:val="sv-SE" w:eastAsia="en-GB"/>
        </w:rPr>
        <w:t>Disertasi Doktor Konsentrasi Syari’ah ( Jakarta: Perpustakaan Pascasarjana UIN Syarif Hidatullah, 2008)</w:t>
      </w:r>
    </w:p>
  </w:footnote>
  <w:footnote w:id="68">
    <w:p w:rsidR="009677C3" w:rsidRDefault="009677C3" w:rsidP="0007258C">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B52741">
        <w:rPr>
          <w:rFonts w:ascii="Times New Roman" w:hAnsi="Times New Roman" w:cs="Times New Roman"/>
          <w:lang w:val="sv-SE" w:eastAsia="en-GB"/>
        </w:rPr>
        <w:t>Asror</w:t>
      </w:r>
      <w:r>
        <w:rPr>
          <w:rFonts w:ascii="Times New Roman" w:hAnsi="Times New Roman" w:cs="Times New Roman"/>
          <w:lang w:val="sv-SE" w:eastAsia="en-GB"/>
        </w:rPr>
        <w:t>un</w:t>
      </w:r>
      <w:r w:rsidRPr="00B52741">
        <w:rPr>
          <w:rFonts w:ascii="Times New Roman" w:hAnsi="Times New Roman" w:cs="Times New Roman"/>
          <w:lang w:val="sv-SE" w:eastAsia="en-GB"/>
        </w:rPr>
        <w:t xml:space="preserve"> Ni’am Sholeh, </w:t>
      </w:r>
      <w:r>
        <w:rPr>
          <w:rFonts w:ascii="Times New Roman" w:hAnsi="Times New Roman" w:cs="Times New Roman"/>
          <w:i/>
          <w:iCs/>
          <w:lang w:val="sv-SE" w:eastAsia="en-GB"/>
        </w:rPr>
        <w:t>Sadd add</w:t>
      </w:r>
      <w:r w:rsidRPr="00B52741">
        <w:rPr>
          <w:rFonts w:ascii="Times New Roman" w:hAnsi="Times New Roman" w:cs="Times New Roman"/>
          <w:i/>
          <w:iCs/>
          <w:lang w:val="sv-SE" w:eastAsia="en-GB"/>
        </w:rPr>
        <w:t xml:space="preserve">-Dzari’ah dan Aplikasinya dalam Fatwa Majelis Ulama Indonesia, </w:t>
      </w:r>
      <w:r w:rsidRPr="00B52741">
        <w:rPr>
          <w:rFonts w:ascii="Times New Roman" w:hAnsi="Times New Roman" w:cs="Times New Roman"/>
          <w:lang w:val="sv-SE" w:eastAsia="en-GB"/>
        </w:rPr>
        <w:t>Disertas</w:t>
      </w:r>
      <w:r>
        <w:rPr>
          <w:rFonts w:ascii="Times New Roman" w:hAnsi="Times New Roman" w:cs="Times New Roman"/>
          <w:lang w:val="sv-SE" w:eastAsia="en-GB"/>
        </w:rPr>
        <w:t>i Doktor Konsentrasi Syari’ah (</w:t>
      </w:r>
      <w:r w:rsidRPr="00B52741">
        <w:rPr>
          <w:rFonts w:ascii="Times New Roman" w:hAnsi="Times New Roman" w:cs="Times New Roman"/>
          <w:lang w:val="sv-SE" w:eastAsia="en-GB"/>
        </w:rPr>
        <w:t>Jakarta: Perpustakaan Pascasarjana UIN Syarif Hidatullah, 2008)</w:t>
      </w:r>
      <w:r>
        <w:rPr>
          <w:rFonts w:ascii="Times New Roman" w:hAnsi="Times New Roman" w:cs="Times New Roman"/>
          <w:lang w:val="sv-SE" w:eastAsia="en-GB"/>
        </w:rPr>
        <w:t>, h. 368-369</w:t>
      </w:r>
    </w:p>
  </w:footnote>
  <w:footnote w:id="69">
    <w:p w:rsidR="009677C3" w:rsidRPr="00F76861" w:rsidRDefault="009677C3" w:rsidP="0007258C">
      <w:pPr>
        <w:pStyle w:val="FootnoteText"/>
        <w:ind w:firstLine="720"/>
        <w:jc w:val="both"/>
        <w:rPr>
          <w:rFonts w:asciiTheme="majorBidi" w:hAnsiTheme="majorBidi" w:cstheme="majorBidi"/>
          <w:lang w:val="sv-SE"/>
        </w:rPr>
      </w:pPr>
      <w:r w:rsidRPr="009947D5">
        <w:rPr>
          <w:rStyle w:val="FootnoteReference"/>
          <w:rFonts w:asciiTheme="majorBidi" w:hAnsiTheme="majorBidi" w:cstheme="majorBidi"/>
        </w:rPr>
        <w:footnoteRef/>
      </w:r>
      <w:r w:rsidRPr="009947D5">
        <w:rPr>
          <w:rFonts w:asciiTheme="majorBidi" w:hAnsiTheme="majorBidi" w:cstheme="majorBidi"/>
        </w:rPr>
        <w:t xml:space="preserve"> </w:t>
      </w:r>
      <w:r w:rsidRPr="00BC12A7">
        <w:rPr>
          <w:rFonts w:asciiTheme="majorBidi" w:hAnsiTheme="majorBidi" w:cstheme="majorBidi"/>
        </w:rPr>
        <w:t>Lihat.</w:t>
      </w:r>
      <w:r>
        <w:t xml:space="preserve"> </w:t>
      </w:r>
      <w:r w:rsidRPr="009947D5">
        <w:rPr>
          <w:rFonts w:asciiTheme="majorBidi" w:hAnsiTheme="majorBidi" w:cstheme="majorBidi"/>
          <w:lang w:val="sv-SE" w:eastAsia="en-GB"/>
        </w:rPr>
        <w:t>Muhammad Taufiki,</w:t>
      </w:r>
      <w:r w:rsidRPr="009947D5">
        <w:rPr>
          <w:rFonts w:asciiTheme="majorBidi" w:hAnsiTheme="majorBidi" w:cstheme="majorBidi"/>
          <w:sz w:val="24"/>
          <w:szCs w:val="24"/>
          <w:lang w:val="sv-SE" w:eastAsia="en-GB"/>
        </w:rPr>
        <w:t xml:space="preserve"> </w:t>
      </w:r>
      <w:r w:rsidRPr="009947D5">
        <w:rPr>
          <w:rFonts w:asciiTheme="majorBidi" w:hAnsiTheme="majorBidi" w:cstheme="majorBidi"/>
          <w:i/>
          <w:iCs/>
          <w:lang w:val="sv-SE" w:eastAsia="en-GB"/>
        </w:rPr>
        <w:t xml:space="preserve">Penarapan Konsep Ijtihad Tathbiqi </w:t>
      </w:r>
      <w:r>
        <w:rPr>
          <w:rFonts w:asciiTheme="majorBidi" w:hAnsiTheme="majorBidi" w:cstheme="majorBidi"/>
          <w:i/>
          <w:iCs/>
          <w:lang w:val="sv-SE" w:eastAsia="en-GB"/>
        </w:rPr>
        <w:t>Al- Syāthibī</w:t>
      </w:r>
      <w:r w:rsidRPr="009947D5">
        <w:rPr>
          <w:rFonts w:asciiTheme="majorBidi" w:hAnsiTheme="majorBidi" w:cstheme="majorBidi"/>
          <w:i/>
          <w:iCs/>
          <w:lang w:val="sv-SE" w:eastAsia="en-GB"/>
        </w:rPr>
        <w:t xml:space="preserve"> dalam Fatwa MUI: Ka</w:t>
      </w:r>
      <w:r>
        <w:rPr>
          <w:rFonts w:asciiTheme="majorBidi" w:hAnsiTheme="majorBidi" w:cstheme="majorBidi"/>
          <w:i/>
          <w:iCs/>
          <w:lang w:val="sv-SE" w:eastAsia="en-GB"/>
        </w:rPr>
        <w:t>jian Terhadap fatwa tahun 1997-</w:t>
      </w:r>
      <w:r w:rsidRPr="009947D5">
        <w:rPr>
          <w:rFonts w:asciiTheme="majorBidi" w:hAnsiTheme="majorBidi" w:cstheme="majorBidi"/>
          <w:i/>
          <w:iCs/>
          <w:lang w:val="sv-SE" w:eastAsia="en-GB"/>
        </w:rPr>
        <w:t>2007.</w:t>
      </w:r>
      <w:r w:rsidRPr="009947D5">
        <w:rPr>
          <w:rFonts w:asciiTheme="majorBidi" w:hAnsiTheme="majorBidi" w:cstheme="majorBidi"/>
          <w:lang w:val="sv-SE" w:eastAsia="en-GB"/>
        </w:rPr>
        <w:t>( Jakarta: Disertasi Doktor UIN Jakarta, 2008)</w:t>
      </w:r>
    </w:p>
  </w:footnote>
  <w:footnote w:id="70">
    <w:p w:rsidR="009677C3" w:rsidRPr="00357B28" w:rsidRDefault="009677C3" w:rsidP="00472052">
      <w:pPr>
        <w:spacing w:after="0" w:line="240" w:lineRule="auto"/>
        <w:ind w:firstLine="720"/>
        <w:jc w:val="both"/>
        <w:rPr>
          <w:rFonts w:ascii="Times New Roman" w:hAnsi="Times New Roman" w:cs="Times New Roman"/>
          <w:sz w:val="20"/>
          <w:szCs w:val="20"/>
        </w:rPr>
      </w:pPr>
      <w:r w:rsidRPr="00357B28">
        <w:rPr>
          <w:rStyle w:val="FootnoteReference"/>
          <w:sz w:val="20"/>
          <w:szCs w:val="20"/>
        </w:rPr>
        <w:footnoteRef/>
      </w:r>
      <w:r w:rsidRPr="00BC12A7">
        <w:rPr>
          <w:rFonts w:asciiTheme="majorBidi" w:hAnsiTheme="majorBidi" w:cstheme="majorBidi"/>
        </w:rPr>
        <w:t>Lihat.</w:t>
      </w:r>
      <w:r w:rsidRPr="00357B28">
        <w:rPr>
          <w:rFonts w:ascii="Times New Roman" w:hAnsi="Times New Roman" w:cs="Times New Roman"/>
          <w:sz w:val="20"/>
          <w:szCs w:val="20"/>
        </w:rPr>
        <w:t xml:space="preserve">Al-Mawardi, </w:t>
      </w:r>
      <w:r w:rsidRPr="00357B28">
        <w:rPr>
          <w:rFonts w:ascii="Times New Roman" w:hAnsi="Times New Roman" w:cs="Times New Roman"/>
          <w:i/>
          <w:iCs/>
          <w:sz w:val="20"/>
          <w:szCs w:val="20"/>
        </w:rPr>
        <w:t>Al-Ahkam al-Sulthaniyyah</w:t>
      </w:r>
      <w:r w:rsidRPr="00357B28">
        <w:rPr>
          <w:rFonts w:ascii="Times New Roman" w:hAnsi="Times New Roman" w:cs="Times New Roman"/>
          <w:sz w:val="20"/>
          <w:szCs w:val="20"/>
        </w:rPr>
        <w:t xml:space="preserve"> disunting oleh Ahmad Jad, </w:t>
      </w:r>
      <w:r>
        <w:rPr>
          <w:rFonts w:ascii="Times New Roman" w:hAnsi="Times New Roman" w:cs="Times New Roman"/>
          <w:sz w:val="20"/>
          <w:szCs w:val="20"/>
        </w:rPr>
        <w:t>Dār</w:t>
      </w:r>
      <w:r w:rsidRPr="00357B28">
        <w:rPr>
          <w:rFonts w:ascii="Times New Roman" w:hAnsi="Times New Roman" w:cs="Times New Roman"/>
          <w:sz w:val="20"/>
          <w:szCs w:val="20"/>
        </w:rPr>
        <w:t xml:space="preserve">al-Hadits, Kairo, cet. 1, 2006. Dalam teks, pengarang memberi nama bukunya ini dengan: </w:t>
      </w:r>
      <w:r w:rsidRPr="00357B28">
        <w:rPr>
          <w:rFonts w:ascii="Times New Roman" w:hAnsi="Times New Roman" w:cs="Times New Roman"/>
          <w:i/>
          <w:iCs/>
          <w:sz w:val="20"/>
          <w:szCs w:val="20"/>
        </w:rPr>
        <w:t>Al-Ahkam al-Sulthaniyyah</w:t>
      </w:r>
      <w:r w:rsidRPr="00357B28">
        <w:rPr>
          <w:rFonts w:ascii="Times New Roman" w:hAnsi="Times New Roman" w:cs="Times New Roman"/>
          <w:sz w:val="20"/>
          <w:szCs w:val="20"/>
        </w:rPr>
        <w:t xml:space="preserve"> </w:t>
      </w:r>
      <w:r w:rsidRPr="00357B28">
        <w:rPr>
          <w:rFonts w:ascii="Times New Roman" w:hAnsi="Times New Roman" w:cs="Times New Roman"/>
          <w:i/>
          <w:iCs/>
          <w:sz w:val="20"/>
          <w:szCs w:val="20"/>
        </w:rPr>
        <w:t>wa al-Wilayat al-Diniyyah</w:t>
      </w:r>
      <w:r w:rsidRPr="00357B28">
        <w:rPr>
          <w:rFonts w:ascii="Times New Roman" w:hAnsi="Times New Roman" w:cs="Times New Roman"/>
          <w:sz w:val="20"/>
          <w:szCs w:val="20"/>
        </w:rPr>
        <w:t>. Tetapi dalam naskah yang dicetak, judulnya menjadi lebih ringkas, mungkin karena judul ini sudah cukup populer, sehingga tiak perlu ditulis lengkap seperti yang diberikan oleh pengarangnya.</w:t>
      </w:r>
    </w:p>
  </w:footnote>
  <w:footnote w:id="71">
    <w:p w:rsidR="009677C3" w:rsidRDefault="009677C3" w:rsidP="00FC5282">
      <w:pPr>
        <w:pStyle w:val="FootnoteText"/>
        <w:ind w:firstLine="720"/>
        <w:jc w:val="both"/>
      </w:pPr>
      <w:r>
        <w:rPr>
          <w:rStyle w:val="FootnoteReference"/>
        </w:rPr>
        <w:footnoteRef/>
      </w:r>
      <w:r>
        <w:t xml:space="preserve"> </w:t>
      </w:r>
      <w:r w:rsidRPr="00BC12A7">
        <w:rPr>
          <w:rFonts w:asciiTheme="majorBidi" w:hAnsiTheme="majorBidi" w:cstheme="majorBidi"/>
        </w:rPr>
        <w:t>Lihat.</w:t>
      </w:r>
      <w:r w:rsidRPr="00357B28">
        <w:rPr>
          <w:rFonts w:ascii="Times New Roman" w:hAnsi="Times New Roman" w:cs="Times New Roman"/>
        </w:rPr>
        <w:t xml:space="preserve">Al-Mawardi, </w:t>
      </w:r>
      <w:r w:rsidRPr="00FC5282">
        <w:rPr>
          <w:rFonts w:ascii="Times New Roman" w:hAnsi="Times New Roman" w:cs="Times New Roman"/>
          <w:i/>
          <w:iCs/>
          <w:lang w:val="sv-SE"/>
        </w:rPr>
        <w:t>al-ahk</w:t>
      </w:r>
      <w:r w:rsidRPr="00FC5282">
        <w:rPr>
          <w:rFonts w:asciiTheme="majorBidi" w:hAnsiTheme="majorBidi" w:cstheme="majorBidi"/>
          <w:i/>
          <w:iCs/>
          <w:lang w:val="sv-SE"/>
        </w:rPr>
        <w:t>ā</w:t>
      </w:r>
      <w:r w:rsidRPr="00FC5282">
        <w:rPr>
          <w:rFonts w:ascii="Times New Roman" w:hAnsi="Times New Roman" w:cs="Times New Roman"/>
          <w:i/>
          <w:iCs/>
          <w:lang w:val="sv-SE"/>
        </w:rPr>
        <w:t>m al-sulth</w:t>
      </w:r>
      <w:r w:rsidRPr="00FC5282">
        <w:rPr>
          <w:rFonts w:asciiTheme="majorBidi" w:hAnsiTheme="majorBidi" w:cstheme="majorBidi"/>
          <w:i/>
          <w:iCs/>
          <w:lang w:val="sv-SE"/>
        </w:rPr>
        <w:t>ā</w:t>
      </w:r>
      <w:r w:rsidRPr="00FC5282">
        <w:rPr>
          <w:rFonts w:ascii="Times New Roman" w:hAnsi="Times New Roman" w:cs="Times New Roman"/>
          <w:i/>
          <w:iCs/>
          <w:lang w:val="sv-SE"/>
        </w:rPr>
        <w:t>niyyah</w:t>
      </w:r>
      <w:r>
        <w:rPr>
          <w:rFonts w:ascii="Times New Roman" w:hAnsi="Times New Roman" w:cs="Times New Roman"/>
          <w:sz w:val="24"/>
          <w:szCs w:val="24"/>
          <w:lang w:val="sv-SE"/>
        </w:rPr>
        <w:t xml:space="preserve">. </w:t>
      </w:r>
      <w:r w:rsidRPr="00357B28">
        <w:rPr>
          <w:rFonts w:ascii="Times New Roman" w:hAnsi="Times New Roman" w:cs="Times New Roman"/>
        </w:rPr>
        <w:t xml:space="preserve">disunting oleh Ahmad Jad, </w:t>
      </w:r>
      <w:r>
        <w:rPr>
          <w:rFonts w:ascii="Times New Roman" w:hAnsi="Times New Roman" w:cs="Times New Roman"/>
        </w:rPr>
        <w:t>Dār</w:t>
      </w:r>
      <w:r w:rsidRPr="00357B28">
        <w:rPr>
          <w:rFonts w:ascii="Times New Roman" w:hAnsi="Times New Roman" w:cs="Times New Roman"/>
        </w:rPr>
        <w:t xml:space="preserve">al-Hadits, Kairo, cet. 1, 2006. Dalam teks, pengarang memberi nama bukunya ini dengan: </w:t>
      </w:r>
      <w:r w:rsidRPr="00357B28">
        <w:rPr>
          <w:rFonts w:ascii="Times New Roman" w:hAnsi="Times New Roman" w:cs="Times New Roman"/>
          <w:i/>
          <w:iCs/>
        </w:rPr>
        <w:t>Al-Ahkam al-Sulth</w:t>
      </w:r>
      <w:r w:rsidRPr="00FC5282">
        <w:rPr>
          <w:rFonts w:asciiTheme="majorBidi" w:hAnsiTheme="majorBidi" w:cstheme="majorBidi"/>
          <w:i/>
          <w:iCs/>
          <w:lang w:val="sv-SE"/>
        </w:rPr>
        <w:t>ā</w:t>
      </w:r>
      <w:r w:rsidRPr="00357B28">
        <w:rPr>
          <w:rFonts w:ascii="Times New Roman" w:hAnsi="Times New Roman" w:cs="Times New Roman"/>
          <w:i/>
          <w:iCs/>
        </w:rPr>
        <w:t>niyyah</w:t>
      </w:r>
      <w:r w:rsidRPr="00357B28">
        <w:rPr>
          <w:rFonts w:ascii="Times New Roman" w:hAnsi="Times New Roman" w:cs="Times New Roman"/>
        </w:rPr>
        <w:t xml:space="preserve"> </w:t>
      </w:r>
      <w:r w:rsidRPr="00357B28">
        <w:rPr>
          <w:rFonts w:ascii="Times New Roman" w:hAnsi="Times New Roman" w:cs="Times New Roman"/>
          <w:i/>
          <w:iCs/>
        </w:rPr>
        <w:t>wa al-Wilayat al-Diniyyah</w:t>
      </w:r>
      <w:r w:rsidRPr="00357B28">
        <w:rPr>
          <w:rFonts w:ascii="Times New Roman" w:hAnsi="Times New Roman" w:cs="Times New Roman"/>
        </w:rPr>
        <w:t>. Tetapi dalam naskah yang dicetak, judulnya menjadi lebih ringkas, mungkin karena judul ini sudah cukup populer, sehingga tiak perlu ditulis lengkap seperti yang diberikan oleh pengarangnya.</w:t>
      </w:r>
    </w:p>
  </w:footnote>
  <w:footnote w:id="72">
    <w:p w:rsidR="009677C3" w:rsidRDefault="009677C3" w:rsidP="00FC5282">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Pr>
          <w:rFonts w:ascii="Times New Roman" w:hAnsi="Times New Roman" w:cs="Times New Roman"/>
        </w:rPr>
        <w:t xml:space="preserve">Abū </w:t>
      </w:r>
      <w:r w:rsidRPr="00357B28">
        <w:rPr>
          <w:rFonts w:ascii="Times New Roman" w:hAnsi="Times New Roman" w:cs="Times New Roman"/>
        </w:rPr>
        <w:t xml:space="preserve">Ya`la, </w:t>
      </w:r>
      <w:r w:rsidRPr="00FC5282">
        <w:rPr>
          <w:rFonts w:ascii="Times New Roman" w:hAnsi="Times New Roman" w:cs="Times New Roman"/>
          <w:i/>
          <w:iCs/>
          <w:lang w:val="sv-SE"/>
        </w:rPr>
        <w:t>al-ahk</w:t>
      </w:r>
      <w:r w:rsidRPr="00FC5282">
        <w:rPr>
          <w:rFonts w:asciiTheme="majorBidi" w:hAnsiTheme="majorBidi" w:cstheme="majorBidi"/>
          <w:i/>
          <w:iCs/>
          <w:lang w:val="sv-SE"/>
        </w:rPr>
        <w:t>ā</w:t>
      </w:r>
      <w:r w:rsidRPr="00FC5282">
        <w:rPr>
          <w:rFonts w:ascii="Times New Roman" w:hAnsi="Times New Roman" w:cs="Times New Roman"/>
          <w:i/>
          <w:iCs/>
          <w:lang w:val="sv-SE"/>
        </w:rPr>
        <w:t>m al-sulth</w:t>
      </w:r>
      <w:r w:rsidRPr="00FC5282">
        <w:rPr>
          <w:rFonts w:asciiTheme="majorBidi" w:hAnsiTheme="majorBidi" w:cstheme="majorBidi"/>
          <w:i/>
          <w:iCs/>
          <w:lang w:val="sv-SE"/>
        </w:rPr>
        <w:t>ā</w:t>
      </w:r>
      <w:r w:rsidRPr="00FC5282">
        <w:rPr>
          <w:rFonts w:ascii="Times New Roman" w:hAnsi="Times New Roman" w:cs="Times New Roman"/>
          <w:i/>
          <w:iCs/>
          <w:lang w:val="sv-SE"/>
        </w:rPr>
        <w:t>niyyah</w:t>
      </w:r>
      <w:r w:rsidRPr="00357B28">
        <w:rPr>
          <w:rFonts w:ascii="Times New Roman" w:hAnsi="Times New Roman" w:cs="Times New Roman"/>
        </w:rPr>
        <w:t xml:space="preserve"> disunting oleh Mahmud Hasan, </w:t>
      </w:r>
      <w:r>
        <w:rPr>
          <w:rFonts w:ascii="Times New Roman" w:hAnsi="Times New Roman" w:cs="Times New Roman"/>
        </w:rPr>
        <w:t>( Bairut: Dār al-Fikr,</w:t>
      </w:r>
      <w:r w:rsidRPr="00357B28">
        <w:rPr>
          <w:rFonts w:ascii="Times New Roman" w:hAnsi="Times New Roman" w:cs="Times New Roman"/>
        </w:rPr>
        <w:t xml:space="preserve"> cet. 1, 1994</w:t>
      </w:r>
      <w:r>
        <w:rPr>
          <w:rFonts w:ascii="Times New Roman" w:hAnsi="Times New Roman" w:cs="Times New Roman"/>
        </w:rPr>
        <w:t>)</w:t>
      </w:r>
      <w:r w:rsidRPr="00357B28">
        <w:rPr>
          <w:rFonts w:ascii="Times New Roman" w:hAnsi="Times New Roman" w:cs="Times New Roman"/>
        </w:rPr>
        <w:t>.</w:t>
      </w:r>
    </w:p>
  </w:footnote>
  <w:footnote w:id="73">
    <w:p w:rsidR="009677C3" w:rsidRPr="009B47C0" w:rsidRDefault="009677C3" w:rsidP="001D0A81">
      <w:pPr>
        <w:pStyle w:val="FootnoteText"/>
        <w:ind w:firstLine="720"/>
        <w:jc w:val="both"/>
      </w:pPr>
      <w:r w:rsidRPr="009B47C0">
        <w:rPr>
          <w:rStyle w:val="FootnoteReference"/>
        </w:rPr>
        <w:footnoteRef/>
      </w:r>
      <w:r w:rsidRPr="009B47C0">
        <w:t xml:space="preserve"> </w:t>
      </w:r>
      <w:r w:rsidRPr="009B47C0">
        <w:rPr>
          <w:rFonts w:ascii="Times New Roman" w:hAnsi="Times New Roman" w:cs="Times New Roman"/>
        </w:rPr>
        <w:t xml:space="preserve">Penyunting di dalam kata pengantar penyuntingan, menyatakan banyak kesesuaian antara buku karangan </w:t>
      </w:r>
      <w:r>
        <w:rPr>
          <w:rFonts w:ascii="Times New Roman" w:hAnsi="Times New Roman" w:cs="Times New Roman"/>
        </w:rPr>
        <w:t>Abū</w:t>
      </w:r>
      <w:r w:rsidRPr="009B47C0">
        <w:rPr>
          <w:rFonts w:ascii="Times New Roman" w:hAnsi="Times New Roman" w:cs="Times New Roman"/>
        </w:rPr>
        <w:t xml:space="preserve">Ya`la dengan buku karngan Al-Mawardi, terutama tentang sistematika. Tetapi di dalam isinya ada perbedaan penting. </w:t>
      </w:r>
      <w:r>
        <w:rPr>
          <w:rFonts w:ascii="Times New Roman" w:hAnsi="Times New Roman" w:cs="Times New Roman"/>
        </w:rPr>
        <w:t>Abū</w:t>
      </w:r>
      <w:r w:rsidRPr="009B47C0">
        <w:rPr>
          <w:rFonts w:ascii="Times New Roman" w:hAnsi="Times New Roman" w:cs="Times New Roman"/>
        </w:rPr>
        <w:t xml:space="preserve">Ya`la mendasarkan kitabnya kepad mazhab Hanabilah, sedang Al-Mawardi mendasarkan kitabnya kepad mazhab Syafi`iah. Beliau menambahkan, dalam tradisi ulama masa lalu, kutip mengutip tanpa menyebutkan sumber adalah hal biasa. Mengingat kedua mereka ini relatif sezaman, tidak diketahui siapa yang lebih dahulu (yang dikutip) dan siapa yang belakangan (yang mengutip) dari keduanya. </w:t>
      </w:r>
      <w:r>
        <w:rPr>
          <w:rFonts w:ascii="Times New Roman" w:hAnsi="Times New Roman" w:cs="Times New Roman"/>
        </w:rPr>
        <w:t>Abū</w:t>
      </w:r>
      <w:r w:rsidRPr="009B47C0">
        <w:rPr>
          <w:rFonts w:ascii="Times New Roman" w:hAnsi="Times New Roman" w:cs="Times New Roman"/>
        </w:rPr>
        <w:t xml:space="preserve">Ya`la, </w:t>
      </w:r>
      <w:r w:rsidRPr="009B47C0">
        <w:rPr>
          <w:rFonts w:ascii="Times New Roman" w:hAnsi="Times New Roman" w:cs="Times New Roman"/>
          <w:i/>
          <w:iCs/>
        </w:rPr>
        <w:t>Al-Ahkam al-Sulthaniyyah</w:t>
      </w:r>
      <w:r w:rsidRPr="009B47C0">
        <w:rPr>
          <w:rFonts w:ascii="Times New Roman" w:hAnsi="Times New Roman" w:cs="Times New Roman"/>
        </w:rPr>
        <w:t xml:space="preserve"> disunting oleh Mahmud Hasan, ( Bairut: </w:t>
      </w:r>
      <w:r>
        <w:rPr>
          <w:rFonts w:ascii="Times New Roman" w:hAnsi="Times New Roman" w:cs="Times New Roman"/>
        </w:rPr>
        <w:t>Dār</w:t>
      </w:r>
      <w:r w:rsidRPr="009B47C0">
        <w:rPr>
          <w:rFonts w:ascii="Times New Roman" w:hAnsi="Times New Roman" w:cs="Times New Roman"/>
        </w:rPr>
        <w:t>al-Fikr, cet. 1, 1994), h. 4</w:t>
      </w:r>
    </w:p>
  </w:footnote>
  <w:footnote w:id="74">
    <w:p w:rsidR="009677C3" w:rsidRPr="00555D16" w:rsidRDefault="009677C3" w:rsidP="00FC5282">
      <w:pPr>
        <w:pStyle w:val="FootnoteText"/>
        <w:ind w:firstLine="720"/>
        <w:jc w:val="both"/>
        <w:rPr>
          <w:rFonts w:asciiTheme="majorBidi" w:hAnsiTheme="majorBidi" w:cstheme="majorBidi"/>
        </w:rPr>
      </w:pPr>
      <w:r w:rsidRPr="00555D16">
        <w:rPr>
          <w:rStyle w:val="FootnoteReference"/>
          <w:rFonts w:asciiTheme="majorBidi" w:hAnsiTheme="majorBidi" w:cstheme="majorBidi"/>
        </w:rPr>
        <w:footnoteRef/>
      </w:r>
      <w:r w:rsidRPr="00555D16">
        <w:rPr>
          <w:rFonts w:asciiTheme="majorBidi" w:hAnsiTheme="majorBidi" w:cstheme="majorBidi"/>
        </w:rPr>
        <w:t xml:space="preserve"> Bu</w:t>
      </w:r>
      <w:r>
        <w:rPr>
          <w:rFonts w:asciiTheme="majorBidi" w:hAnsiTheme="majorBidi" w:cstheme="majorBidi"/>
        </w:rPr>
        <w:t>ku ini diterbitkan oleh DārAfaq</w:t>
      </w:r>
      <w:r w:rsidRPr="00555D16">
        <w:rPr>
          <w:rFonts w:asciiTheme="majorBidi" w:hAnsiTheme="majorBidi" w:cstheme="majorBidi"/>
        </w:rPr>
        <w:t xml:space="preserve"> Al-Jadidah, Bairut, 1983 M/ 1403 dikomentari tiem dari Ihya Turats Al-Arabi. Dalam persi lain Buku ini di komentari oleh  Muhammad bin Shalih al-`Utsaymin  dengan judul “</w:t>
      </w:r>
      <w:r w:rsidRPr="00181D48">
        <w:rPr>
          <w:rFonts w:ascii="Times New Roman" w:hAnsi="Times New Roman" w:cs="Times New Roman"/>
          <w:i/>
          <w:iCs/>
          <w:lang w:val="sv-SE"/>
        </w:rPr>
        <w:t>Al-Ta`l</w:t>
      </w:r>
      <w:r w:rsidRPr="00DC2591">
        <w:rPr>
          <w:rFonts w:asciiTheme="majorBidi" w:hAnsiTheme="majorBidi" w:cstheme="majorBidi"/>
          <w:i/>
          <w:iCs/>
          <w:sz w:val="24"/>
          <w:szCs w:val="24"/>
        </w:rPr>
        <w:t>ī</w:t>
      </w:r>
      <w:r w:rsidRPr="00181D48">
        <w:rPr>
          <w:rFonts w:ascii="Times New Roman" w:hAnsi="Times New Roman" w:cs="Times New Roman"/>
          <w:i/>
          <w:iCs/>
          <w:lang w:val="sv-SE"/>
        </w:rPr>
        <w:t xml:space="preserve">q `ala </w:t>
      </w:r>
      <w:r w:rsidRPr="00FC5282">
        <w:rPr>
          <w:rFonts w:ascii="Times New Roman" w:hAnsi="Times New Roman" w:cs="Times New Roman"/>
          <w:i/>
          <w:iCs/>
          <w:lang w:val="sv-SE"/>
        </w:rPr>
        <w:t>Al-Siyasah al-Syar`iyyah f</w:t>
      </w:r>
      <w:r w:rsidRPr="00FC5282">
        <w:rPr>
          <w:rFonts w:asciiTheme="majorBidi" w:hAnsiTheme="majorBidi" w:cstheme="majorBidi"/>
          <w:i/>
          <w:iCs/>
        </w:rPr>
        <w:t>ī</w:t>
      </w:r>
      <w:r w:rsidRPr="00FC5282">
        <w:rPr>
          <w:rFonts w:ascii="Times New Roman" w:hAnsi="Times New Roman" w:cs="Times New Roman"/>
          <w:i/>
          <w:iCs/>
          <w:lang w:val="sv-SE"/>
        </w:rPr>
        <w:t xml:space="preserve"> Ishlah al-R</w:t>
      </w:r>
      <w:r w:rsidRPr="00FC5282">
        <w:rPr>
          <w:rFonts w:asciiTheme="majorBidi" w:hAnsiTheme="majorBidi" w:cstheme="majorBidi"/>
          <w:i/>
          <w:iCs/>
        </w:rPr>
        <w:t>ā</w:t>
      </w:r>
      <w:r w:rsidRPr="00FC5282">
        <w:rPr>
          <w:rFonts w:ascii="Times New Roman" w:hAnsi="Times New Roman" w:cs="Times New Roman"/>
          <w:i/>
          <w:iCs/>
          <w:lang w:val="sv-SE"/>
        </w:rPr>
        <w:t>`i wa al-Ra`iyyah</w:t>
      </w:r>
      <w:r w:rsidRPr="00181D48">
        <w:rPr>
          <w:rFonts w:ascii="Times New Roman" w:hAnsi="Times New Roman" w:cs="Times New Roman"/>
          <w:i/>
          <w:iCs/>
          <w:lang w:val="sv-SE"/>
        </w:rPr>
        <w:t xml:space="preserve"> li Syaikh al-Islam Ibn Taymiyyah</w:t>
      </w:r>
      <w:r w:rsidRPr="00555D16">
        <w:rPr>
          <w:rFonts w:asciiTheme="majorBidi" w:hAnsiTheme="majorBidi" w:cstheme="majorBidi"/>
        </w:rPr>
        <w:t>, cetakan Ma</w:t>
      </w:r>
      <w:r>
        <w:rPr>
          <w:rFonts w:asciiTheme="majorBidi" w:hAnsiTheme="majorBidi" w:cstheme="majorBidi"/>
        </w:rPr>
        <w:t>Dār</w:t>
      </w:r>
      <w:r w:rsidRPr="00555D16">
        <w:rPr>
          <w:rFonts w:asciiTheme="majorBidi" w:hAnsiTheme="majorBidi" w:cstheme="majorBidi"/>
        </w:rPr>
        <w:t>al-Wathan li al-Nasyr, Riyadh, cet. 1, 1427 H.</w:t>
      </w:r>
    </w:p>
  </w:footnote>
  <w:footnote w:id="75">
    <w:p w:rsidR="009677C3" w:rsidRPr="005D167E" w:rsidRDefault="009677C3" w:rsidP="00FC5282">
      <w:pPr>
        <w:pStyle w:val="FootnoteText"/>
        <w:ind w:firstLine="720"/>
        <w:jc w:val="both"/>
        <w:rPr>
          <w:rFonts w:asciiTheme="majorBidi" w:hAnsiTheme="majorBidi" w:cstheme="majorBidi"/>
        </w:rPr>
      </w:pPr>
      <w:r w:rsidRPr="005D167E">
        <w:rPr>
          <w:rStyle w:val="FootnoteReference"/>
          <w:rFonts w:asciiTheme="majorBidi" w:hAnsiTheme="majorBidi" w:cstheme="majorBidi"/>
        </w:rPr>
        <w:footnoteRef/>
      </w:r>
      <w:r w:rsidRPr="005D167E">
        <w:rPr>
          <w:rFonts w:asciiTheme="majorBidi" w:hAnsiTheme="majorBidi" w:cstheme="majorBidi"/>
        </w:rPr>
        <w:t xml:space="preserve"> </w:t>
      </w:r>
      <w:r w:rsidRPr="00BC12A7">
        <w:rPr>
          <w:rFonts w:asciiTheme="majorBidi" w:hAnsiTheme="majorBidi" w:cstheme="majorBidi"/>
        </w:rPr>
        <w:t>Lihat.</w:t>
      </w:r>
      <w:r>
        <w:t xml:space="preserve"> </w:t>
      </w:r>
      <w:r w:rsidRPr="005D167E">
        <w:rPr>
          <w:rFonts w:asciiTheme="majorBidi" w:hAnsiTheme="majorBidi" w:cstheme="majorBidi"/>
        </w:rPr>
        <w:t xml:space="preserve">Taqiyuddin </w:t>
      </w:r>
      <w:r>
        <w:rPr>
          <w:rFonts w:asciiTheme="majorBidi" w:hAnsiTheme="majorBidi" w:cstheme="majorBidi"/>
        </w:rPr>
        <w:t>Abū</w:t>
      </w:r>
      <w:r w:rsidRPr="005D167E">
        <w:rPr>
          <w:rFonts w:asciiTheme="majorBidi" w:hAnsiTheme="majorBidi" w:cstheme="majorBidi"/>
        </w:rPr>
        <w:t xml:space="preserve">Al-Abbas </w:t>
      </w:r>
      <w:r w:rsidRPr="005D167E">
        <w:rPr>
          <w:rFonts w:asciiTheme="majorBidi" w:hAnsiTheme="majorBidi" w:cstheme="majorBidi"/>
          <w:lang w:val="sv-SE"/>
        </w:rPr>
        <w:t xml:space="preserve">Ibnu Taymiyyah , </w:t>
      </w:r>
      <w:r w:rsidRPr="00181D48">
        <w:rPr>
          <w:rFonts w:ascii="Times New Roman" w:hAnsi="Times New Roman" w:cs="Times New Roman"/>
          <w:i/>
          <w:iCs/>
          <w:lang w:val="sv-SE"/>
        </w:rPr>
        <w:t>Al-Siyasah al-Syar`iyyah f</w:t>
      </w:r>
      <w:r w:rsidRPr="00DC2591">
        <w:rPr>
          <w:rFonts w:asciiTheme="majorBidi" w:hAnsiTheme="majorBidi" w:cstheme="majorBidi"/>
          <w:i/>
          <w:iCs/>
          <w:sz w:val="24"/>
          <w:szCs w:val="24"/>
        </w:rPr>
        <w:t>ī</w:t>
      </w:r>
      <w:r w:rsidRPr="00DC2591">
        <w:rPr>
          <w:rFonts w:ascii="Times New Roman" w:hAnsi="Times New Roman" w:cs="Times New Roman"/>
          <w:i/>
          <w:iCs/>
          <w:lang w:val="sv-SE"/>
        </w:rPr>
        <w:t xml:space="preserve"> </w:t>
      </w:r>
      <w:r w:rsidRPr="00181D48">
        <w:rPr>
          <w:rFonts w:ascii="Times New Roman" w:hAnsi="Times New Roman" w:cs="Times New Roman"/>
          <w:i/>
          <w:iCs/>
          <w:lang w:val="sv-SE"/>
        </w:rPr>
        <w:t>Ishlah al-R</w:t>
      </w:r>
      <w:r w:rsidRPr="00526D6C">
        <w:rPr>
          <w:rFonts w:asciiTheme="majorBidi" w:hAnsiTheme="majorBidi" w:cstheme="majorBidi"/>
          <w:i/>
          <w:iCs/>
          <w:sz w:val="24"/>
          <w:szCs w:val="24"/>
        </w:rPr>
        <w:t>ā</w:t>
      </w:r>
      <w:r w:rsidRPr="00181D48">
        <w:rPr>
          <w:rFonts w:ascii="Times New Roman" w:hAnsi="Times New Roman" w:cs="Times New Roman"/>
          <w:i/>
          <w:iCs/>
          <w:lang w:val="sv-SE"/>
        </w:rPr>
        <w:t>`i wa al-Ra`iyyah</w:t>
      </w:r>
      <w:r>
        <w:rPr>
          <w:rFonts w:ascii="Times New Roman" w:hAnsi="Times New Roman" w:cs="Times New Roman"/>
          <w:i/>
          <w:iCs/>
          <w:lang w:val="sv-SE"/>
        </w:rPr>
        <w:t>,</w:t>
      </w:r>
      <w:r w:rsidRPr="005D167E">
        <w:rPr>
          <w:rFonts w:asciiTheme="majorBidi" w:hAnsiTheme="majorBidi" w:cstheme="majorBidi"/>
          <w:i/>
          <w:iCs/>
          <w:lang w:val="sv-SE"/>
        </w:rPr>
        <w:t xml:space="preserve"> </w:t>
      </w:r>
      <w:r w:rsidRPr="005D167E">
        <w:rPr>
          <w:rFonts w:asciiTheme="majorBidi" w:hAnsiTheme="majorBidi" w:cstheme="majorBidi"/>
          <w:lang w:val="sv-SE"/>
        </w:rPr>
        <w:t xml:space="preserve">( Bairut: </w:t>
      </w:r>
      <w:r>
        <w:rPr>
          <w:rFonts w:asciiTheme="majorBidi" w:hAnsiTheme="majorBidi" w:cstheme="majorBidi"/>
          <w:lang w:val="sv-SE"/>
        </w:rPr>
        <w:t xml:space="preserve">Dār </w:t>
      </w:r>
      <w:r w:rsidRPr="005D167E">
        <w:rPr>
          <w:rFonts w:asciiTheme="majorBidi" w:hAnsiTheme="majorBidi" w:cstheme="majorBidi"/>
          <w:lang w:val="sv-SE"/>
        </w:rPr>
        <w:t>al-Afaq al-Jadidah, 1983M/1403 H) cet 1, h. 145-146</w:t>
      </w:r>
    </w:p>
  </w:footnote>
  <w:footnote w:id="76">
    <w:p w:rsidR="009677C3" w:rsidRPr="006676FA" w:rsidRDefault="009677C3" w:rsidP="005D3EDF">
      <w:pPr>
        <w:spacing w:after="0"/>
        <w:ind w:firstLine="720"/>
        <w:jc w:val="both"/>
        <w:rPr>
          <w:rFonts w:asciiTheme="majorBidi" w:hAnsiTheme="majorBidi" w:cstheme="majorBidi"/>
          <w:sz w:val="20"/>
          <w:szCs w:val="20"/>
        </w:rPr>
      </w:pPr>
      <w:r w:rsidRPr="006676FA">
        <w:rPr>
          <w:rStyle w:val="FootnoteReference"/>
          <w:rFonts w:asciiTheme="majorBidi" w:hAnsiTheme="majorBidi" w:cstheme="majorBidi"/>
          <w:sz w:val="20"/>
          <w:szCs w:val="20"/>
        </w:rPr>
        <w:footnoteRef/>
      </w:r>
      <w:r w:rsidRPr="006676FA">
        <w:rPr>
          <w:rFonts w:asciiTheme="majorBidi" w:hAnsiTheme="majorBidi" w:cstheme="majorBidi"/>
          <w:sz w:val="20"/>
          <w:szCs w:val="20"/>
        </w:rPr>
        <w:t xml:space="preserve"> </w:t>
      </w:r>
      <w:r w:rsidRPr="00BC12A7">
        <w:rPr>
          <w:rFonts w:asciiTheme="majorBidi" w:hAnsiTheme="majorBidi" w:cstheme="majorBidi"/>
        </w:rPr>
        <w:t>Lihat.</w:t>
      </w:r>
      <w:r>
        <w:t xml:space="preserve"> </w:t>
      </w:r>
      <w:r w:rsidRPr="006676FA">
        <w:rPr>
          <w:rFonts w:asciiTheme="majorBidi" w:hAnsiTheme="majorBidi" w:cstheme="majorBidi"/>
          <w:sz w:val="20"/>
          <w:szCs w:val="20"/>
          <w:lang w:val="sv-SE"/>
        </w:rPr>
        <w:t>Dalam versi arabnya Buku ini terbit dalam dua jilid,</w:t>
      </w:r>
      <w:r>
        <w:rPr>
          <w:rFonts w:asciiTheme="majorBidi" w:hAnsiTheme="majorBidi" w:cstheme="majorBidi"/>
          <w:sz w:val="20"/>
          <w:szCs w:val="20"/>
          <w:lang w:val="sv-SE"/>
        </w:rPr>
        <w:t xml:space="preserve"> oleh penerbit Dār</w:t>
      </w:r>
      <w:r w:rsidRPr="006676FA">
        <w:rPr>
          <w:rFonts w:asciiTheme="majorBidi" w:hAnsiTheme="majorBidi" w:cstheme="majorBidi"/>
          <w:sz w:val="20"/>
          <w:szCs w:val="20"/>
          <w:lang w:val="sv-SE"/>
        </w:rPr>
        <w:t>’Alam al-Fawaid: 1428</w:t>
      </w:r>
      <w:r>
        <w:rPr>
          <w:rFonts w:asciiTheme="majorBidi" w:hAnsiTheme="majorBidi" w:cstheme="majorBidi"/>
          <w:sz w:val="20"/>
          <w:szCs w:val="20"/>
          <w:lang w:val="sv-SE"/>
        </w:rPr>
        <w:t>, Mekkah Al-Mukarromah,</w:t>
      </w:r>
      <w:r w:rsidRPr="006676FA">
        <w:rPr>
          <w:rFonts w:asciiTheme="majorBidi" w:hAnsiTheme="majorBidi" w:cstheme="majorBidi"/>
          <w:sz w:val="20"/>
          <w:szCs w:val="20"/>
          <w:lang w:val="sv-SE"/>
        </w:rPr>
        <w:t xml:space="preserve"> di ko</w:t>
      </w:r>
      <w:r>
        <w:rPr>
          <w:rFonts w:asciiTheme="majorBidi" w:hAnsiTheme="majorBidi" w:cstheme="majorBidi"/>
          <w:sz w:val="20"/>
          <w:szCs w:val="20"/>
          <w:lang w:val="sv-SE"/>
        </w:rPr>
        <w:t xml:space="preserve">mentari oleh Naif Ahmad Alhamd. </w:t>
      </w:r>
      <w:r>
        <w:rPr>
          <w:rFonts w:asciiTheme="majorBidi" w:hAnsiTheme="majorBidi" w:cstheme="majorBidi"/>
          <w:sz w:val="20"/>
          <w:szCs w:val="20"/>
        </w:rPr>
        <w:t>dan</w:t>
      </w:r>
      <w:r w:rsidRPr="006676FA">
        <w:rPr>
          <w:rFonts w:asciiTheme="majorBidi" w:hAnsiTheme="majorBidi" w:cstheme="majorBidi"/>
          <w:sz w:val="20"/>
          <w:szCs w:val="20"/>
        </w:rPr>
        <w:t xml:space="preserve"> diterjamahkan oleh Adnan Qohar dan Anshoruddin ke dalam Bahasa Indonesia dengan judul: </w:t>
      </w:r>
      <w:r w:rsidRPr="006676FA">
        <w:rPr>
          <w:rFonts w:asciiTheme="majorBidi" w:hAnsiTheme="majorBidi" w:cstheme="majorBidi"/>
          <w:i/>
          <w:iCs/>
          <w:sz w:val="20"/>
          <w:szCs w:val="20"/>
        </w:rPr>
        <w:t>Hukum Acara Peradilan Islam</w:t>
      </w:r>
      <w:r w:rsidRPr="006676FA">
        <w:rPr>
          <w:rFonts w:asciiTheme="majorBidi" w:hAnsiTheme="majorBidi" w:cstheme="majorBidi"/>
          <w:sz w:val="20"/>
          <w:szCs w:val="20"/>
        </w:rPr>
        <w:t>, Pustaka Pelajar, Yogyakarta, cet. 2, 2007.</w:t>
      </w:r>
    </w:p>
  </w:footnote>
  <w:footnote w:id="77">
    <w:p w:rsidR="009677C3" w:rsidRPr="005D167E" w:rsidRDefault="009677C3" w:rsidP="005D3EDF">
      <w:pPr>
        <w:pStyle w:val="FootnoteText"/>
        <w:ind w:firstLine="720"/>
        <w:jc w:val="both"/>
        <w:rPr>
          <w:rFonts w:asciiTheme="majorBidi" w:hAnsiTheme="majorBidi" w:cstheme="majorBidi"/>
        </w:rPr>
      </w:pPr>
      <w:r w:rsidRPr="006676FA">
        <w:rPr>
          <w:rStyle w:val="FootnoteReference"/>
          <w:rFonts w:asciiTheme="majorBidi" w:hAnsiTheme="majorBidi" w:cstheme="majorBidi"/>
        </w:rPr>
        <w:footnoteRef/>
      </w:r>
      <w:r w:rsidRPr="006676FA">
        <w:rPr>
          <w:rFonts w:asciiTheme="majorBidi" w:hAnsiTheme="majorBidi" w:cstheme="majorBidi"/>
        </w:rPr>
        <w:t xml:space="preserve"> </w:t>
      </w:r>
      <w:r w:rsidRPr="00BC12A7">
        <w:rPr>
          <w:rFonts w:asciiTheme="majorBidi" w:hAnsiTheme="majorBidi" w:cstheme="majorBidi"/>
        </w:rPr>
        <w:t>Lihat.</w:t>
      </w:r>
      <w:r>
        <w:t xml:space="preserve"> </w:t>
      </w:r>
      <w:r>
        <w:rPr>
          <w:rFonts w:asciiTheme="majorBidi" w:hAnsiTheme="majorBidi" w:cstheme="majorBidi"/>
        </w:rPr>
        <w:t>A.</w:t>
      </w:r>
      <w:r w:rsidRPr="006676FA">
        <w:rPr>
          <w:rFonts w:asciiTheme="majorBidi" w:hAnsiTheme="majorBidi" w:cstheme="majorBidi"/>
        </w:rPr>
        <w:t xml:space="preserve">Djazuli, </w:t>
      </w:r>
      <w:r w:rsidRPr="006676FA">
        <w:rPr>
          <w:rFonts w:asciiTheme="majorBidi" w:hAnsiTheme="majorBidi" w:cstheme="majorBidi"/>
          <w:i/>
          <w:iCs/>
        </w:rPr>
        <w:t>Fiqh Siyasah: Implementasi Kemaslahatan Umat dalam Rambu-rambu Syariah</w:t>
      </w:r>
      <w:r w:rsidRPr="006676FA">
        <w:rPr>
          <w:rFonts w:asciiTheme="majorBidi" w:hAnsiTheme="majorBidi" w:cstheme="majorBidi"/>
        </w:rPr>
        <w:t>, ( Jakarta: Jakarta, 2007), cet. 3, h. vii-viii.</w:t>
      </w:r>
    </w:p>
  </w:footnote>
  <w:footnote w:id="78">
    <w:p w:rsidR="009677C3" w:rsidRDefault="009677C3" w:rsidP="00622650">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5D167E">
        <w:rPr>
          <w:rFonts w:asciiTheme="majorBidi" w:hAnsiTheme="majorBidi" w:cstheme="majorBidi"/>
        </w:rPr>
        <w:t xml:space="preserve">Muhammad Iqbal, </w:t>
      </w:r>
      <w:r w:rsidRPr="005D167E">
        <w:rPr>
          <w:rFonts w:asciiTheme="majorBidi" w:hAnsiTheme="majorBidi" w:cstheme="majorBidi"/>
          <w:i/>
          <w:iCs/>
        </w:rPr>
        <w:t>Fiqh Siyasah: Kontekstualisasi Doktrin Politik Islam</w:t>
      </w:r>
      <w:r>
        <w:rPr>
          <w:rFonts w:asciiTheme="majorBidi" w:hAnsiTheme="majorBidi" w:cstheme="majorBidi"/>
        </w:rPr>
        <w:t>,</w:t>
      </w:r>
      <w:r w:rsidRPr="005D167E">
        <w:rPr>
          <w:rFonts w:asciiTheme="majorBidi" w:hAnsiTheme="majorBidi" w:cstheme="majorBidi"/>
        </w:rPr>
        <w:t>( Jakarta: Gaya Media Pratama, 2007), cet. 2,  h. 12.</w:t>
      </w:r>
    </w:p>
  </w:footnote>
  <w:footnote w:id="79">
    <w:p w:rsidR="009677C3" w:rsidRPr="00FA2D3E" w:rsidRDefault="009677C3" w:rsidP="00622650">
      <w:pPr>
        <w:pStyle w:val="FootnoteText"/>
        <w:ind w:firstLine="720"/>
        <w:jc w:val="both"/>
        <w:rPr>
          <w:lang w:val="sv-SE"/>
        </w:rPr>
      </w:pPr>
      <w:r w:rsidRPr="00FA2D3E">
        <w:rPr>
          <w:rStyle w:val="FootnoteReference"/>
        </w:rPr>
        <w:footnoteRef/>
      </w:r>
      <w:r w:rsidRPr="00FA2D3E">
        <w:rPr>
          <w:lang w:val="sv-SE"/>
        </w:rPr>
        <w:t xml:space="preserve"> </w:t>
      </w:r>
      <w:r w:rsidRPr="00BC12A7">
        <w:rPr>
          <w:rFonts w:asciiTheme="majorBidi" w:hAnsiTheme="majorBidi" w:cstheme="majorBidi"/>
        </w:rPr>
        <w:t>Lihat.</w:t>
      </w:r>
      <w:r>
        <w:t xml:space="preserve"> </w:t>
      </w:r>
      <w:r w:rsidRPr="00FA2D3E">
        <w:rPr>
          <w:rFonts w:asciiTheme="majorBidi" w:hAnsiTheme="majorBidi" w:cstheme="majorBidi"/>
          <w:lang w:val="sv-SE"/>
        </w:rPr>
        <w:t xml:space="preserve">Beni Ahmad Saebani, </w:t>
      </w:r>
      <w:r w:rsidRPr="00FA2D3E">
        <w:rPr>
          <w:rFonts w:asciiTheme="majorBidi" w:hAnsiTheme="majorBidi" w:cstheme="majorBidi"/>
          <w:i/>
          <w:iCs/>
          <w:lang w:val="sv-SE"/>
        </w:rPr>
        <w:t>Fiqh Siyasah, Termonologi dan Lintas sejarah Poliyik Islam Sejak Muhammad Saw hingga khulafa Ar.Rasyidun</w:t>
      </w:r>
      <w:r w:rsidRPr="00FA2D3E">
        <w:rPr>
          <w:rFonts w:asciiTheme="majorBidi" w:hAnsiTheme="majorBidi" w:cstheme="majorBidi"/>
          <w:lang w:val="sv-SE"/>
        </w:rPr>
        <w:t xml:space="preserve"> (Bandung: Pustaka Setia,2015), h. 11-12</w:t>
      </w:r>
    </w:p>
  </w:footnote>
  <w:footnote w:id="80">
    <w:p w:rsidR="009677C3" w:rsidRPr="00FF6A17" w:rsidRDefault="009677C3" w:rsidP="00CB5DE7">
      <w:pPr>
        <w:pStyle w:val="FootnoteText"/>
        <w:ind w:firstLine="720"/>
        <w:jc w:val="both"/>
        <w:rPr>
          <w:sz w:val="24"/>
          <w:szCs w:val="24"/>
        </w:rPr>
      </w:pPr>
      <w:r w:rsidRPr="00FF6A17">
        <w:rPr>
          <w:rStyle w:val="FootnoteReference"/>
          <w:sz w:val="24"/>
          <w:szCs w:val="24"/>
        </w:rPr>
        <w:footnoteRef/>
      </w:r>
      <w:r w:rsidRPr="00FF6A17">
        <w:rPr>
          <w:sz w:val="24"/>
          <w:szCs w:val="24"/>
        </w:rPr>
        <w:t xml:space="preserve"> </w:t>
      </w:r>
      <w:r w:rsidRPr="00BC12A7">
        <w:rPr>
          <w:rFonts w:asciiTheme="majorBidi" w:hAnsiTheme="majorBidi" w:cstheme="majorBidi"/>
        </w:rPr>
        <w:t>Lihat.</w:t>
      </w:r>
      <w:r>
        <w:t xml:space="preserve"> </w:t>
      </w:r>
      <w:r w:rsidRPr="003B75CC">
        <w:rPr>
          <w:rFonts w:asciiTheme="majorBidi" w:hAnsiTheme="majorBidi" w:cstheme="majorBidi"/>
        </w:rPr>
        <w:t xml:space="preserve">Tim Penyusun Kamus Pusat Pembinaan dan Pengembangan Bahasa, </w:t>
      </w:r>
      <w:r w:rsidRPr="003B75CC">
        <w:rPr>
          <w:rFonts w:asciiTheme="majorBidi" w:hAnsiTheme="majorBidi" w:cstheme="majorBidi"/>
          <w:i/>
          <w:iCs/>
        </w:rPr>
        <w:t>Kamus Besar Bahasa Indonesia</w:t>
      </w:r>
      <w:r w:rsidRPr="003B75CC">
        <w:rPr>
          <w:rFonts w:asciiTheme="majorBidi" w:hAnsiTheme="majorBidi" w:cstheme="majorBidi"/>
        </w:rPr>
        <w:t xml:space="preserve">, </w:t>
      </w:r>
      <w:r w:rsidRPr="003B75CC">
        <w:rPr>
          <w:rFonts w:asciiTheme="majorBidi" w:hAnsiTheme="majorBidi" w:cstheme="majorBidi"/>
          <w:i/>
          <w:iCs/>
        </w:rPr>
        <w:t>Op.cit</w:t>
      </w:r>
      <w:r w:rsidRPr="003B75CC">
        <w:rPr>
          <w:rFonts w:asciiTheme="majorBidi" w:hAnsiTheme="majorBidi" w:cstheme="majorBidi"/>
        </w:rPr>
        <w:t>. hlm. 240.</w:t>
      </w:r>
      <w:r w:rsidRPr="00FF6A17">
        <w:rPr>
          <w:sz w:val="24"/>
          <w:szCs w:val="24"/>
        </w:rPr>
        <w:t xml:space="preserve">  </w:t>
      </w:r>
    </w:p>
  </w:footnote>
  <w:footnote w:id="81">
    <w:p w:rsidR="009677C3" w:rsidRPr="002505AD" w:rsidRDefault="009677C3" w:rsidP="00CB5DE7">
      <w:pPr>
        <w:pStyle w:val="Default"/>
        <w:ind w:firstLine="720"/>
        <w:jc w:val="both"/>
        <w:rPr>
          <w:rFonts w:asciiTheme="majorBidi" w:hAnsiTheme="majorBidi" w:cstheme="majorBidi"/>
          <w:sz w:val="20"/>
          <w:szCs w:val="20"/>
        </w:rPr>
      </w:pPr>
      <w:r w:rsidRPr="002505AD">
        <w:rPr>
          <w:rStyle w:val="FootnoteReference"/>
          <w:rFonts w:asciiTheme="majorBidi" w:hAnsiTheme="majorBidi" w:cstheme="majorBidi"/>
          <w:sz w:val="20"/>
          <w:szCs w:val="20"/>
        </w:rPr>
        <w:footnoteRef/>
      </w:r>
      <w:r w:rsidRPr="002505AD">
        <w:rPr>
          <w:rFonts w:asciiTheme="majorBidi" w:hAnsiTheme="majorBidi" w:cstheme="majorBidi"/>
          <w:sz w:val="20"/>
          <w:szCs w:val="20"/>
        </w:rPr>
        <w:t xml:space="preserve"> </w:t>
      </w:r>
      <w:r w:rsidRPr="00BC12A7">
        <w:rPr>
          <w:rFonts w:asciiTheme="majorBidi" w:hAnsiTheme="majorBidi" w:cstheme="majorBidi"/>
        </w:rPr>
        <w:t>Lihat.</w:t>
      </w:r>
      <w:r>
        <w:t xml:space="preserve"> </w:t>
      </w:r>
      <w:r w:rsidRPr="002505AD">
        <w:rPr>
          <w:rFonts w:asciiTheme="majorBidi" w:hAnsiTheme="majorBidi" w:cstheme="majorBidi"/>
          <w:sz w:val="20"/>
          <w:szCs w:val="20"/>
        </w:rPr>
        <w:t xml:space="preserve">Ahyar a. Gayo, </w:t>
      </w:r>
      <w:r w:rsidRPr="00F76861">
        <w:rPr>
          <w:rFonts w:asciiTheme="majorBidi" w:hAnsiTheme="majorBidi" w:cstheme="majorBidi"/>
          <w:i/>
          <w:iCs/>
          <w:sz w:val="20"/>
          <w:szCs w:val="20"/>
        </w:rPr>
        <w:t>Kedudukan Fatwa MUI Dalam Upaya Mendorong Pelaksanaan Ekonomi Syariah</w:t>
      </w:r>
      <w:r w:rsidRPr="002505AD">
        <w:rPr>
          <w:rFonts w:asciiTheme="majorBidi" w:hAnsiTheme="majorBidi" w:cstheme="majorBidi"/>
          <w:sz w:val="20"/>
          <w:szCs w:val="20"/>
        </w:rPr>
        <w:t xml:space="preserve">,  </w:t>
      </w:r>
      <w:r>
        <w:rPr>
          <w:rFonts w:asciiTheme="majorBidi" w:hAnsiTheme="majorBidi" w:cstheme="majorBidi"/>
          <w:sz w:val="20"/>
          <w:szCs w:val="20"/>
        </w:rPr>
        <w:t>(</w:t>
      </w:r>
      <w:r w:rsidRPr="002505AD">
        <w:rPr>
          <w:rFonts w:asciiTheme="majorBidi" w:hAnsiTheme="majorBidi" w:cstheme="majorBidi"/>
          <w:sz w:val="20"/>
          <w:szCs w:val="20"/>
        </w:rPr>
        <w:t>Laporan Akhir Penelitian Hukum, Badan Pembinaan Hukum Nasional Kementerian Hukum Dan Ham RI, Tahun 2011</w:t>
      </w:r>
      <w:r>
        <w:rPr>
          <w:rFonts w:asciiTheme="majorBidi" w:hAnsiTheme="majorBidi" w:cstheme="majorBidi"/>
          <w:sz w:val="20"/>
          <w:szCs w:val="20"/>
        </w:rPr>
        <w:t>)</w:t>
      </w:r>
      <w:r w:rsidRPr="002505AD">
        <w:rPr>
          <w:rFonts w:asciiTheme="majorBidi" w:hAnsiTheme="majorBidi" w:cstheme="majorBidi"/>
          <w:sz w:val="20"/>
          <w:szCs w:val="20"/>
        </w:rPr>
        <w:t>, h. xiii</w:t>
      </w:r>
    </w:p>
  </w:footnote>
  <w:footnote w:id="82">
    <w:p w:rsidR="009677C3" w:rsidRPr="003A36E1" w:rsidRDefault="009677C3" w:rsidP="00CB5DE7">
      <w:pPr>
        <w:pStyle w:val="FootnoteText"/>
        <w:ind w:firstLine="720"/>
        <w:jc w:val="both"/>
        <w:rPr>
          <w:rFonts w:asciiTheme="majorBidi" w:hAnsiTheme="majorBidi" w:cstheme="majorBidi"/>
        </w:rPr>
      </w:pPr>
      <w:r w:rsidRPr="003A36E1">
        <w:rPr>
          <w:rStyle w:val="FootnoteReference"/>
          <w:rFonts w:asciiTheme="majorBidi" w:hAnsiTheme="majorBidi" w:cstheme="majorBidi"/>
        </w:rPr>
        <w:footnoteRef/>
      </w:r>
      <w:r w:rsidRPr="003A36E1">
        <w:rPr>
          <w:rFonts w:asciiTheme="majorBidi" w:hAnsiTheme="majorBidi" w:cstheme="majorBidi"/>
        </w:rPr>
        <w:t xml:space="preserve"> </w:t>
      </w:r>
      <w:r w:rsidRPr="00BC12A7">
        <w:rPr>
          <w:rFonts w:asciiTheme="majorBidi" w:hAnsiTheme="majorBidi" w:cstheme="majorBidi"/>
        </w:rPr>
        <w:t>Lihat.</w:t>
      </w:r>
      <w:r>
        <w:t xml:space="preserve"> </w:t>
      </w:r>
      <w:r w:rsidRPr="003A36E1">
        <w:rPr>
          <w:rFonts w:asciiTheme="majorBidi" w:hAnsiTheme="majorBidi" w:cstheme="majorBidi"/>
        </w:rPr>
        <w:t xml:space="preserve">Ahyar a. Gayo, </w:t>
      </w:r>
      <w:r w:rsidRPr="003A36E1">
        <w:rPr>
          <w:rFonts w:asciiTheme="majorBidi" w:hAnsiTheme="majorBidi" w:cstheme="majorBidi"/>
          <w:i/>
          <w:iCs/>
        </w:rPr>
        <w:t>Kedudukan Fatwa Mui Dalam Upaya Mendorong Pelaksanaan Ekonomi Syariah</w:t>
      </w:r>
      <w:r w:rsidRPr="003A36E1">
        <w:rPr>
          <w:rFonts w:asciiTheme="majorBidi" w:hAnsiTheme="majorBidi" w:cstheme="majorBidi"/>
        </w:rPr>
        <w:t>,  Laporan Akhir Penelitian Hukum, Badan Pembinaan Hukum Nasional Kementerian Hukum Dan Ham RI, Tahun 2011, h. xiv</w:t>
      </w:r>
    </w:p>
  </w:footnote>
  <w:footnote w:id="83">
    <w:p w:rsidR="009677C3" w:rsidRPr="003A36E1" w:rsidRDefault="009677C3" w:rsidP="00CB5DE7">
      <w:pPr>
        <w:pStyle w:val="FootnoteText"/>
        <w:ind w:firstLine="720"/>
        <w:jc w:val="both"/>
        <w:rPr>
          <w:rFonts w:asciiTheme="majorBidi" w:hAnsiTheme="majorBidi" w:cstheme="majorBidi"/>
        </w:rPr>
      </w:pPr>
      <w:r w:rsidRPr="003A36E1">
        <w:rPr>
          <w:rStyle w:val="FootnoteReference"/>
          <w:rFonts w:asciiTheme="majorBidi" w:hAnsiTheme="majorBidi" w:cstheme="majorBidi"/>
        </w:rPr>
        <w:footnoteRef/>
      </w:r>
      <w:r w:rsidRPr="003A36E1">
        <w:rPr>
          <w:rFonts w:asciiTheme="majorBidi" w:hAnsiTheme="majorBidi" w:cstheme="majorBidi"/>
        </w:rPr>
        <w:t xml:space="preserve"> </w:t>
      </w:r>
      <w:r w:rsidRPr="00BC12A7">
        <w:rPr>
          <w:rFonts w:asciiTheme="majorBidi" w:hAnsiTheme="majorBidi" w:cstheme="majorBidi"/>
        </w:rPr>
        <w:t>Lihat.</w:t>
      </w:r>
      <w:r>
        <w:t xml:space="preserve"> </w:t>
      </w:r>
      <w:r w:rsidRPr="003A36E1">
        <w:rPr>
          <w:rFonts w:asciiTheme="majorBidi" w:hAnsiTheme="majorBidi" w:cstheme="majorBidi"/>
        </w:rPr>
        <w:t xml:space="preserve">Abdul Karim Zaidan, </w:t>
      </w:r>
      <w:r w:rsidRPr="003A36E1">
        <w:rPr>
          <w:rFonts w:asciiTheme="majorBidi" w:hAnsiTheme="majorBidi" w:cstheme="majorBidi"/>
          <w:i/>
          <w:iCs/>
        </w:rPr>
        <w:t>al-Wajiz fi Ushul al-Fiqh</w:t>
      </w:r>
      <w:r w:rsidRPr="003A36E1">
        <w:rPr>
          <w:rFonts w:asciiTheme="majorBidi" w:hAnsiTheme="majorBidi" w:cstheme="majorBidi"/>
        </w:rPr>
        <w:t xml:space="preserve">, ( Cairo: </w:t>
      </w:r>
      <w:r>
        <w:rPr>
          <w:rFonts w:asciiTheme="majorBidi" w:hAnsiTheme="majorBidi" w:cstheme="majorBidi"/>
        </w:rPr>
        <w:t>Dār</w:t>
      </w:r>
      <w:r w:rsidRPr="003A36E1">
        <w:rPr>
          <w:rFonts w:asciiTheme="majorBidi" w:hAnsiTheme="majorBidi" w:cstheme="majorBidi"/>
        </w:rPr>
        <w:t>al-Tauzi’ wa an-Nasyr al-Islamiyyah, 1993), h. 272</w:t>
      </w:r>
    </w:p>
  </w:footnote>
  <w:footnote w:id="84">
    <w:p w:rsidR="009677C3" w:rsidRPr="00B7150C" w:rsidRDefault="009677C3" w:rsidP="00FC5282">
      <w:pPr>
        <w:pStyle w:val="FootnoteText"/>
        <w:ind w:firstLine="720"/>
        <w:jc w:val="both"/>
        <w:rPr>
          <w:rFonts w:asciiTheme="majorBidi" w:hAnsiTheme="majorBidi" w:cstheme="majorBidi"/>
        </w:rPr>
      </w:pPr>
      <w:r w:rsidRPr="00B7150C">
        <w:rPr>
          <w:rStyle w:val="FootnoteReference"/>
          <w:rFonts w:asciiTheme="majorBidi" w:hAnsiTheme="majorBidi" w:cstheme="majorBidi"/>
        </w:rPr>
        <w:footnoteRef/>
      </w:r>
      <w:r w:rsidRPr="00B7150C">
        <w:rPr>
          <w:rFonts w:asciiTheme="majorBidi" w:hAnsiTheme="majorBidi" w:cstheme="majorBidi"/>
        </w:rPr>
        <w:t xml:space="preserve"> </w:t>
      </w:r>
      <w:r w:rsidRPr="00BC12A7">
        <w:rPr>
          <w:rFonts w:asciiTheme="majorBidi" w:hAnsiTheme="majorBidi" w:cstheme="majorBidi"/>
        </w:rPr>
        <w:t>Lihat.</w:t>
      </w:r>
      <w:r>
        <w:t xml:space="preserve"> </w:t>
      </w:r>
      <w:r w:rsidRPr="00FC5282">
        <w:rPr>
          <w:rFonts w:asciiTheme="majorBidi" w:hAnsiTheme="majorBidi" w:cstheme="majorBidi"/>
          <w:i/>
          <w:iCs/>
        </w:rPr>
        <w:t>Al-Fiqh al-Islāmi Wa Adillatuhū</w:t>
      </w:r>
      <w:r w:rsidRPr="00FC5282">
        <w:rPr>
          <w:rFonts w:asciiTheme="majorBidi" w:hAnsiTheme="majorBidi" w:cstheme="majorBidi"/>
        </w:rPr>
        <w:t>,</w:t>
      </w:r>
      <w:r w:rsidRPr="00B7150C">
        <w:rPr>
          <w:rFonts w:asciiTheme="majorBidi" w:hAnsiTheme="majorBidi" w:cstheme="majorBidi"/>
        </w:rPr>
        <w:t xml:space="preserve"> ( Bairut: </w:t>
      </w:r>
      <w:r>
        <w:rPr>
          <w:rFonts w:asciiTheme="majorBidi" w:hAnsiTheme="majorBidi" w:cstheme="majorBidi"/>
        </w:rPr>
        <w:t>Dār</w:t>
      </w:r>
      <w:r w:rsidRPr="00B7150C">
        <w:rPr>
          <w:rFonts w:asciiTheme="majorBidi" w:hAnsiTheme="majorBidi" w:cstheme="majorBidi"/>
        </w:rPr>
        <w:t>Al-Fikr, 1989), Jilid VI. H. 16</w:t>
      </w:r>
    </w:p>
  </w:footnote>
  <w:footnote w:id="85">
    <w:p w:rsidR="009677C3" w:rsidRPr="001B1DFD" w:rsidRDefault="009677C3" w:rsidP="00FC5282">
      <w:pPr>
        <w:pStyle w:val="FootnoteText"/>
        <w:ind w:firstLine="720"/>
        <w:jc w:val="both"/>
        <w:rPr>
          <w:rFonts w:asciiTheme="majorBidi" w:hAnsiTheme="majorBidi" w:cstheme="majorBidi"/>
        </w:rPr>
      </w:pPr>
      <w:r w:rsidRPr="001B1DFD">
        <w:rPr>
          <w:rStyle w:val="FootnoteReference"/>
          <w:rFonts w:asciiTheme="majorBidi" w:hAnsiTheme="majorBidi" w:cstheme="majorBidi"/>
        </w:rPr>
        <w:footnoteRef/>
      </w:r>
      <w:r w:rsidRPr="001B1DFD">
        <w:rPr>
          <w:rFonts w:asciiTheme="majorBidi" w:hAnsiTheme="majorBidi" w:cstheme="majorBidi"/>
        </w:rPr>
        <w:t xml:space="preserve"> </w:t>
      </w:r>
      <w:r w:rsidRPr="00BC12A7">
        <w:rPr>
          <w:rFonts w:asciiTheme="majorBidi" w:hAnsiTheme="majorBidi" w:cstheme="majorBidi"/>
        </w:rPr>
        <w:t>Lihat.</w:t>
      </w:r>
      <w:r>
        <w:t xml:space="preserve"> </w:t>
      </w:r>
      <w:r w:rsidRPr="001B1DFD">
        <w:rPr>
          <w:rFonts w:asciiTheme="majorBidi" w:hAnsiTheme="majorBidi" w:cstheme="majorBidi"/>
        </w:rPr>
        <w:t xml:space="preserve">Khairuddin Nasution, </w:t>
      </w:r>
      <w:r w:rsidRPr="001B1DFD">
        <w:rPr>
          <w:rFonts w:asciiTheme="majorBidi" w:hAnsiTheme="majorBidi" w:cstheme="majorBidi"/>
          <w:i/>
          <w:iCs/>
        </w:rPr>
        <w:t xml:space="preserve">Hukum </w:t>
      </w:r>
      <w:r>
        <w:rPr>
          <w:rFonts w:asciiTheme="majorBidi" w:hAnsiTheme="majorBidi" w:cstheme="majorBidi"/>
          <w:i/>
          <w:iCs/>
        </w:rPr>
        <w:t>Keluarga ( perdata) Islam Indone</w:t>
      </w:r>
      <w:r w:rsidRPr="001B1DFD">
        <w:rPr>
          <w:rFonts w:asciiTheme="majorBidi" w:hAnsiTheme="majorBidi" w:cstheme="majorBidi"/>
          <w:i/>
          <w:iCs/>
        </w:rPr>
        <w:t>s</w:t>
      </w:r>
      <w:r>
        <w:rPr>
          <w:rFonts w:asciiTheme="majorBidi" w:hAnsiTheme="majorBidi" w:cstheme="majorBidi"/>
          <w:i/>
          <w:iCs/>
        </w:rPr>
        <w:t>i</w:t>
      </w:r>
      <w:r w:rsidRPr="001B1DFD">
        <w:rPr>
          <w:rFonts w:asciiTheme="majorBidi" w:hAnsiTheme="majorBidi" w:cstheme="majorBidi"/>
          <w:i/>
          <w:iCs/>
        </w:rPr>
        <w:t>a</w:t>
      </w:r>
      <w:r w:rsidRPr="001B1DFD">
        <w:rPr>
          <w:rFonts w:asciiTheme="majorBidi" w:hAnsiTheme="majorBidi" w:cstheme="majorBidi"/>
        </w:rPr>
        <w:t>, ( Yogyakarta: Academia &amp; Tazzafa, 2010), h. 8</w:t>
      </w:r>
    </w:p>
  </w:footnote>
  <w:footnote w:id="86">
    <w:p w:rsidR="009677C3" w:rsidRDefault="009677C3" w:rsidP="003A36E1">
      <w:pPr>
        <w:pStyle w:val="FootnoteText"/>
        <w:ind w:firstLine="720"/>
        <w:jc w:val="both"/>
      </w:pPr>
      <w:r w:rsidRPr="003A36E1">
        <w:rPr>
          <w:rStyle w:val="FootnoteReference"/>
          <w:rFonts w:asciiTheme="majorBidi" w:hAnsiTheme="majorBidi" w:cstheme="majorBidi"/>
        </w:rPr>
        <w:footnoteRef/>
      </w:r>
      <w:r>
        <w:rPr>
          <w:rFonts w:asciiTheme="majorBidi" w:hAnsiTheme="majorBidi" w:cstheme="majorBidi"/>
        </w:rPr>
        <w:t xml:space="preserve"> </w:t>
      </w:r>
      <w:r w:rsidRPr="00BC12A7">
        <w:rPr>
          <w:rFonts w:asciiTheme="majorBidi" w:hAnsiTheme="majorBidi" w:cstheme="majorBidi"/>
        </w:rPr>
        <w:t>Lihat.</w:t>
      </w:r>
      <w:r>
        <w:t xml:space="preserve"> </w:t>
      </w:r>
      <w:r>
        <w:rPr>
          <w:rFonts w:asciiTheme="majorBidi" w:hAnsiTheme="majorBidi" w:cstheme="majorBidi"/>
        </w:rPr>
        <w:t>A.</w:t>
      </w:r>
      <w:r w:rsidRPr="003A36E1">
        <w:rPr>
          <w:rFonts w:asciiTheme="majorBidi" w:hAnsiTheme="majorBidi" w:cstheme="majorBidi"/>
        </w:rPr>
        <w:t>Djazuli</w:t>
      </w:r>
      <w:r w:rsidRPr="003A36E1">
        <w:rPr>
          <w:rFonts w:asciiTheme="majorBidi" w:hAnsiTheme="majorBidi" w:cstheme="majorBidi"/>
          <w:i/>
          <w:iCs/>
        </w:rPr>
        <w:t>, Fiqh Siyasah, Implementasi Kemaslatan Umat dalam Ramru-Rambu Syari’ah</w:t>
      </w:r>
      <w:r w:rsidRPr="003A36E1">
        <w:rPr>
          <w:rFonts w:asciiTheme="majorBidi" w:hAnsiTheme="majorBidi" w:cstheme="majorBidi"/>
        </w:rPr>
        <w:t>, ( Jakarta: Prenada Media Group, 2013), h. 24</w:t>
      </w:r>
    </w:p>
  </w:footnote>
  <w:footnote w:id="87">
    <w:p w:rsidR="009677C3" w:rsidRDefault="009677C3" w:rsidP="00907A80">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CC4FB5">
        <w:rPr>
          <w:rFonts w:asciiTheme="majorBidi" w:hAnsiTheme="majorBidi" w:cstheme="majorBidi"/>
        </w:rPr>
        <w:t>A</w:t>
      </w:r>
      <w:r>
        <w:rPr>
          <w:rFonts w:asciiTheme="majorBidi" w:hAnsiTheme="majorBidi" w:cstheme="majorBidi"/>
        </w:rPr>
        <w:t xml:space="preserve">bd Wahhab Kholaf, </w:t>
      </w:r>
      <w:r w:rsidRPr="00C62F4F">
        <w:rPr>
          <w:rFonts w:asciiTheme="majorBidi" w:hAnsiTheme="majorBidi" w:cstheme="majorBidi"/>
          <w:i/>
          <w:iCs/>
        </w:rPr>
        <w:t>Al-Siy</w:t>
      </w:r>
      <w:r w:rsidRPr="001164B3">
        <w:rPr>
          <w:rFonts w:asciiTheme="majorBidi" w:hAnsiTheme="majorBidi" w:cstheme="majorBidi"/>
          <w:i/>
          <w:iCs/>
          <w:spacing w:val="6"/>
          <w:lang w:val="id-ID"/>
        </w:rPr>
        <w:t>ā</w:t>
      </w:r>
      <w:r w:rsidRPr="00C62F4F">
        <w:rPr>
          <w:rFonts w:asciiTheme="majorBidi" w:hAnsiTheme="majorBidi" w:cstheme="majorBidi"/>
          <w:i/>
          <w:iCs/>
        </w:rPr>
        <w:t>sah al-</w:t>
      </w:r>
      <w:r w:rsidRPr="00FC5282">
        <w:rPr>
          <w:rFonts w:asciiTheme="majorBidi" w:hAnsiTheme="majorBidi" w:cstheme="majorBidi"/>
          <w:i/>
          <w:iCs/>
          <w:spacing w:val="6"/>
          <w:lang w:val="id-ID"/>
        </w:rPr>
        <w:t xml:space="preserve"> </w:t>
      </w:r>
      <w:r w:rsidRPr="001164B3">
        <w:rPr>
          <w:rFonts w:asciiTheme="majorBidi" w:hAnsiTheme="majorBidi" w:cstheme="majorBidi"/>
          <w:i/>
          <w:iCs/>
          <w:spacing w:val="6"/>
          <w:lang w:val="id-ID"/>
        </w:rPr>
        <w:t>Syarī’</w:t>
      </w:r>
      <w:r>
        <w:rPr>
          <w:rFonts w:asciiTheme="majorBidi" w:hAnsiTheme="majorBidi" w:cstheme="majorBidi"/>
          <w:i/>
          <w:iCs/>
          <w:spacing w:val="6"/>
        </w:rPr>
        <w:t>yy</w:t>
      </w:r>
      <w:r w:rsidRPr="001164B3">
        <w:rPr>
          <w:rFonts w:asciiTheme="majorBidi" w:hAnsiTheme="majorBidi" w:cstheme="majorBidi"/>
          <w:i/>
          <w:iCs/>
          <w:spacing w:val="6"/>
          <w:lang w:val="id-ID"/>
        </w:rPr>
        <w:t>ah</w:t>
      </w:r>
      <w:r w:rsidRPr="00C62F4F">
        <w:rPr>
          <w:rFonts w:asciiTheme="majorBidi" w:hAnsiTheme="majorBidi" w:cstheme="majorBidi"/>
          <w:i/>
          <w:iCs/>
        </w:rPr>
        <w:t xml:space="preserve"> </w:t>
      </w:r>
      <w:r w:rsidRPr="00CC4FB5">
        <w:rPr>
          <w:rFonts w:asciiTheme="majorBidi" w:hAnsiTheme="majorBidi" w:cstheme="majorBidi"/>
        </w:rPr>
        <w:t xml:space="preserve">, ( Kairo: </w:t>
      </w:r>
      <w:r>
        <w:rPr>
          <w:rFonts w:asciiTheme="majorBidi" w:hAnsiTheme="majorBidi" w:cstheme="majorBidi"/>
        </w:rPr>
        <w:t>Dār</w:t>
      </w:r>
      <w:r w:rsidRPr="00CC4FB5">
        <w:rPr>
          <w:rFonts w:asciiTheme="majorBidi" w:hAnsiTheme="majorBidi" w:cstheme="majorBidi"/>
        </w:rPr>
        <w:t>al-Anshar, 1977) h. 15</w:t>
      </w:r>
    </w:p>
  </w:footnote>
  <w:footnote w:id="88">
    <w:p w:rsidR="009677C3" w:rsidRPr="001164B3" w:rsidRDefault="009677C3" w:rsidP="00907A80">
      <w:pPr>
        <w:pStyle w:val="FootnoteText"/>
        <w:ind w:firstLine="720"/>
        <w:jc w:val="both"/>
        <w:rPr>
          <w:rFonts w:asciiTheme="majorBidi" w:hAnsiTheme="majorBidi" w:cstheme="majorBidi"/>
        </w:rPr>
      </w:pPr>
      <w:r w:rsidRPr="001164B3">
        <w:rPr>
          <w:rStyle w:val="FootnoteReference"/>
          <w:rFonts w:asciiTheme="majorBidi" w:hAnsiTheme="majorBidi" w:cstheme="majorBidi"/>
        </w:rPr>
        <w:footnoteRef/>
      </w:r>
      <w:r w:rsidRPr="001164B3">
        <w:rPr>
          <w:rFonts w:asciiTheme="majorBidi" w:hAnsiTheme="majorBidi" w:cstheme="majorBidi"/>
        </w:rPr>
        <w:t xml:space="preserve"> Ahmad Warson Munawwir, </w:t>
      </w:r>
      <w:r w:rsidRPr="001164B3">
        <w:rPr>
          <w:rFonts w:asciiTheme="majorBidi" w:hAnsiTheme="majorBidi" w:cstheme="majorBidi"/>
          <w:i/>
          <w:iCs/>
        </w:rPr>
        <w:t xml:space="preserve">Kamus Al-Munawwir Arab-Indonesia Terlengkap </w:t>
      </w:r>
      <w:r w:rsidRPr="001164B3">
        <w:rPr>
          <w:rFonts w:asciiTheme="majorBidi" w:hAnsiTheme="majorBidi" w:cstheme="majorBidi"/>
        </w:rPr>
        <w:t>(Surabaya: Pustaka Progresif, 1997),h. 788-789.</w:t>
      </w:r>
    </w:p>
  </w:footnote>
  <w:footnote w:id="89">
    <w:p w:rsidR="009677C3" w:rsidRPr="001164B3" w:rsidRDefault="009677C3" w:rsidP="00907A80">
      <w:pPr>
        <w:pStyle w:val="FootnoteText"/>
        <w:ind w:firstLine="720"/>
        <w:jc w:val="both"/>
        <w:rPr>
          <w:rFonts w:asciiTheme="majorBidi" w:hAnsiTheme="majorBidi" w:cstheme="majorBidi"/>
        </w:rPr>
      </w:pPr>
      <w:r w:rsidRPr="001164B3">
        <w:rPr>
          <w:rStyle w:val="FootnoteReference"/>
          <w:rFonts w:asciiTheme="majorBidi" w:hAnsiTheme="majorBidi" w:cstheme="majorBidi"/>
        </w:rPr>
        <w:footnoteRef/>
      </w:r>
      <w:r w:rsidRPr="001164B3">
        <w:rPr>
          <w:rFonts w:asciiTheme="majorBidi" w:hAnsiTheme="majorBidi" w:cstheme="majorBidi"/>
        </w:rPr>
        <w:t xml:space="preserve"> Ḥasan „Atiyyah dan Muḥammad Sharqi Amīn (ed.), </w:t>
      </w:r>
      <w:r w:rsidRPr="001164B3">
        <w:rPr>
          <w:rFonts w:asciiTheme="majorBidi" w:hAnsiTheme="majorBidi" w:cstheme="majorBidi"/>
          <w:i/>
          <w:iCs/>
        </w:rPr>
        <w:t xml:space="preserve">Mu‟jam al-Waṣiṭ </w:t>
      </w:r>
      <w:r w:rsidRPr="001164B3">
        <w:rPr>
          <w:rFonts w:asciiTheme="majorBidi" w:hAnsiTheme="majorBidi" w:cstheme="majorBidi"/>
        </w:rPr>
        <w:t>(Kairo: tp, 1972), h. 517.</w:t>
      </w:r>
    </w:p>
  </w:footnote>
  <w:footnote w:id="90">
    <w:p w:rsidR="009677C3" w:rsidRPr="001164B3" w:rsidRDefault="009677C3" w:rsidP="00907A80">
      <w:pPr>
        <w:pStyle w:val="FootnoteText"/>
        <w:ind w:firstLine="720"/>
        <w:jc w:val="both"/>
        <w:rPr>
          <w:rFonts w:asciiTheme="majorBidi" w:hAnsiTheme="majorBidi" w:cstheme="majorBidi"/>
        </w:rPr>
      </w:pPr>
      <w:r w:rsidRPr="001164B3">
        <w:rPr>
          <w:rStyle w:val="FootnoteReference"/>
          <w:rFonts w:asciiTheme="majorBidi" w:hAnsiTheme="majorBidi" w:cstheme="majorBidi"/>
        </w:rPr>
        <w:footnoteRef/>
      </w:r>
      <w:r w:rsidRPr="001164B3">
        <w:rPr>
          <w:rFonts w:asciiTheme="majorBidi" w:hAnsiTheme="majorBidi" w:cstheme="majorBidi"/>
        </w:rPr>
        <w:t xml:space="preserve"> Lihat. </w:t>
      </w:r>
      <w:r>
        <w:rPr>
          <w:rFonts w:asciiTheme="majorBidi" w:hAnsiTheme="majorBidi" w:cstheme="majorBidi"/>
          <w:spacing w:val="6"/>
          <w:lang w:val="id-ID"/>
        </w:rPr>
        <w:t>Abū</w:t>
      </w:r>
      <w:r>
        <w:rPr>
          <w:rFonts w:asciiTheme="majorBidi" w:hAnsiTheme="majorBidi" w:cstheme="majorBidi"/>
          <w:spacing w:val="6"/>
        </w:rPr>
        <w:t xml:space="preserve"> </w:t>
      </w:r>
      <w:r w:rsidRPr="001164B3">
        <w:rPr>
          <w:rFonts w:asciiTheme="majorBidi" w:hAnsiTheme="majorBidi" w:cstheme="majorBidi"/>
          <w:spacing w:val="6"/>
          <w:lang w:val="id-ID"/>
        </w:rPr>
        <w:t>Is</w:t>
      </w:r>
      <w:r w:rsidRPr="001164B3">
        <w:rPr>
          <w:rFonts w:asciiTheme="majorBidi" w:hAnsiTheme="majorBidi" w:cstheme="majorBidi"/>
          <w:spacing w:val="6"/>
          <w:u w:val="single"/>
          <w:lang w:val="id-ID"/>
        </w:rPr>
        <w:t>h</w:t>
      </w:r>
      <w:r w:rsidRPr="001164B3">
        <w:rPr>
          <w:rFonts w:asciiTheme="majorBidi" w:hAnsiTheme="majorBidi" w:cstheme="majorBidi"/>
          <w:spacing w:val="6"/>
          <w:lang w:val="id-ID"/>
        </w:rPr>
        <w:t xml:space="preserve">āq Al-Syātibi, </w:t>
      </w:r>
      <w:r w:rsidRPr="001164B3">
        <w:rPr>
          <w:rFonts w:asciiTheme="majorBidi" w:hAnsiTheme="majorBidi" w:cstheme="majorBidi"/>
          <w:i/>
          <w:iCs/>
          <w:spacing w:val="6"/>
          <w:lang w:val="id-ID"/>
        </w:rPr>
        <w:t>al-Muwāfaqāt fi Usūl al-Syarī’ah</w:t>
      </w:r>
      <w:r w:rsidRPr="001164B3">
        <w:rPr>
          <w:rFonts w:asciiTheme="majorBidi" w:hAnsiTheme="majorBidi" w:cstheme="majorBidi"/>
          <w:spacing w:val="6"/>
          <w:lang w:val="id-ID"/>
        </w:rPr>
        <w:t>, (Beirut: Dāral-Ma’rifah, 2004), juz II, h. 350 – 351</w:t>
      </w:r>
    </w:p>
  </w:footnote>
  <w:footnote w:id="91">
    <w:p w:rsidR="009677C3" w:rsidRPr="00FC5282" w:rsidRDefault="009677C3" w:rsidP="00907A80">
      <w:pPr>
        <w:pStyle w:val="ListParagraph"/>
        <w:spacing w:after="0" w:line="360" w:lineRule="auto"/>
        <w:ind w:left="0" w:firstLine="720"/>
        <w:rPr>
          <w:rFonts w:asciiTheme="majorBidi" w:hAnsiTheme="majorBidi" w:cstheme="majorBidi"/>
          <w:i/>
          <w:iCs/>
          <w:sz w:val="20"/>
          <w:szCs w:val="20"/>
        </w:rPr>
      </w:pPr>
      <w:r w:rsidRPr="00FC5282">
        <w:rPr>
          <w:rStyle w:val="FootnoteReference"/>
          <w:rFonts w:asciiTheme="majorBidi" w:hAnsiTheme="majorBidi" w:cstheme="majorBidi"/>
          <w:sz w:val="20"/>
          <w:szCs w:val="20"/>
        </w:rPr>
        <w:footnoteRef/>
      </w:r>
      <w:r w:rsidRPr="00FC5282">
        <w:rPr>
          <w:rFonts w:asciiTheme="majorBidi" w:hAnsiTheme="majorBidi" w:cstheme="majorBidi"/>
          <w:sz w:val="20"/>
          <w:szCs w:val="20"/>
        </w:rPr>
        <w:t xml:space="preserve"> Lihat.</w:t>
      </w:r>
      <w:r w:rsidRPr="00FC5282">
        <w:rPr>
          <w:sz w:val="20"/>
          <w:szCs w:val="20"/>
        </w:rPr>
        <w:t xml:space="preserve"> </w:t>
      </w:r>
      <w:r w:rsidRPr="00FC5282">
        <w:rPr>
          <w:rFonts w:asciiTheme="majorBidi" w:hAnsiTheme="majorBidi" w:cstheme="majorBidi"/>
          <w:sz w:val="20"/>
          <w:szCs w:val="20"/>
          <w:lang w:val="id-ID"/>
        </w:rPr>
        <w:t xml:space="preserve">Thahir bin Asyur, </w:t>
      </w:r>
      <w:r w:rsidRPr="00FC5282">
        <w:rPr>
          <w:rFonts w:asciiTheme="majorBidi" w:hAnsiTheme="majorBidi" w:cstheme="majorBidi"/>
          <w:i/>
          <w:iCs/>
          <w:sz w:val="20"/>
          <w:szCs w:val="20"/>
        </w:rPr>
        <w:t>Maqāṣid al-Sharī</w:t>
      </w:r>
      <w:r w:rsidRPr="00FC5282">
        <w:rPr>
          <w:sz w:val="20"/>
          <w:szCs w:val="20"/>
        </w:rPr>
        <w:t>‘</w:t>
      </w:r>
      <w:r w:rsidRPr="00FC5282">
        <w:rPr>
          <w:rFonts w:asciiTheme="majorBidi" w:hAnsiTheme="majorBidi" w:cstheme="majorBidi"/>
          <w:i/>
          <w:iCs/>
          <w:sz w:val="20"/>
          <w:szCs w:val="20"/>
        </w:rPr>
        <w:t>ah</w:t>
      </w:r>
      <w:r w:rsidRPr="00FC5282">
        <w:rPr>
          <w:rFonts w:asciiTheme="majorBidi" w:hAnsiTheme="majorBidi" w:cstheme="majorBidi"/>
          <w:i/>
          <w:iCs/>
          <w:sz w:val="20"/>
          <w:szCs w:val="20"/>
          <w:lang w:val="id-ID"/>
        </w:rPr>
        <w:t>,</w:t>
      </w:r>
      <w:r w:rsidRPr="00FC5282">
        <w:rPr>
          <w:rFonts w:asciiTheme="majorBidi" w:hAnsiTheme="majorBidi" w:cstheme="majorBidi"/>
          <w:sz w:val="20"/>
          <w:szCs w:val="20"/>
          <w:lang w:val="id-ID"/>
        </w:rPr>
        <w:t xml:space="preserve"> </w:t>
      </w:r>
      <w:r w:rsidRPr="00FC5282">
        <w:rPr>
          <w:rFonts w:asciiTheme="majorBidi" w:hAnsiTheme="majorBidi" w:cstheme="majorBidi"/>
          <w:i/>
          <w:iCs/>
          <w:sz w:val="20"/>
          <w:szCs w:val="20"/>
          <w:lang w:val="id-ID"/>
        </w:rPr>
        <w:t>Op.</w:t>
      </w:r>
      <w:r w:rsidRPr="00FC5282">
        <w:rPr>
          <w:rFonts w:asciiTheme="majorBidi" w:hAnsiTheme="majorBidi" w:cstheme="majorBidi"/>
          <w:i/>
          <w:iCs/>
          <w:sz w:val="20"/>
          <w:szCs w:val="20"/>
        </w:rPr>
        <w:t xml:space="preserve"> </w:t>
      </w:r>
      <w:r w:rsidRPr="00FC5282">
        <w:rPr>
          <w:rFonts w:asciiTheme="majorBidi" w:hAnsiTheme="majorBidi" w:cstheme="majorBidi"/>
          <w:i/>
          <w:iCs/>
          <w:sz w:val="20"/>
          <w:szCs w:val="20"/>
          <w:lang w:val="id-ID"/>
        </w:rPr>
        <w:t>Cit</w:t>
      </w:r>
      <w:r w:rsidRPr="00FC5282">
        <w:rPr>
          <w:rFonts w:asciiTheme="majorBidi" w:hAnsiTheme="majorBidi" w:cstheme="majorBidi"/>
          <w:sz w:val="20"/>
          <w:szCs w:val="20"/>
          <w:lang w:val="id-ID"/>
        </w:rPr>
        <w:t xml:space="preserve">., hal. </w:t>
      </w:r>
      <w:r w:rsidRPr="00FC5282">
        <w:rPr>
          <w:rFonts w:asciiTheme="majorBidi" w:hAnsiTheme="majorBidi" w:cstheme="majorBidi"/>
          <w:sz w:val="20"/>
          <w:szCs w:val="20"/>
        </w:rPr>
        <w:t>278</w:t>
      </w:r>
    </w:p>
  </w:footnote>
  <w:footnote w:id="92">
    <w:p w:rsidR="009677C3" w:rsidRPr="009E72E1" w:rsidRDefault="009677C3" w:rsidP="00907A80">
      <w:pPr>
        <w:pStyle w:val="FootnoteText"/>
        <w:ind w:firstLine="720"/>
        <w:jc w:val="both"/>
        <w:rPr>
          <w:rFonts w:asciiTheme="majorBidi" w:hAnsiTheme="majorBidi" w:cstheme="majorBidi"/>
          <w:lang w:val="sv-SE"/>
        </w:rPr>
      </w:pPr>
      <w:r w:rsidRPr="001164B3">
        <w:rPr>
          <w:rStyle w:val="FootnoteReference"/>
          <w:rFonts w:asciiTheme="majorBidi" w:hAnsiTheme="majorBidi" w:cstheme="majorBidi"/>
        </w:rPr>
        <w:footnoteRef/>
      </w:r>
      <w:r w:rsidRPr="001164B3">
        <w:rPr>
          <w:rFonts w:asciiTheme="majorBidi" w:hAnsiTheme="majorBidi" w:cstheme="majorBidi"/>
          <w:lang w:val="sv-SE"/>
        </w:rPr>
        <w:t xml:space="preserve"> </w:t>
      </w:r>
      <w:r w:rsidRPr="001164B3">
        <w:rPr>
          <w:rFonts w:asciiTheme="majorBidi" w:hAnsiTheme="majorBidi" w:cstheme="majorBidi"/>
        </w:rPr>
        <w:t>Lihat.</w:t>
      </w:r>
      <w:r w:rsidRPr="001164B3">
        <w:t xml:space="preserve"> </w:t>
      </w:r>
      <w:r>
        <w:rPr>
          <w:rFonts w:asciiTheme="majorBidi" w:hAnsiTheme="majorBidi" w:cstheme="majorBidi"/>
          <w:spacing w:val="6"/>
          <w:lang w:val="id-ID"/>
        </w:rPr>
        <w:t>Abū</w:t>
      </w:r>
      <w:r w:rsidRPr="001164B3">
        <w:rPr>
          <w:rFonts w:asciiTheme="majorBidi" w:hAnsiTheme="majorBidi" w:cstheme="majorBidi"/>
          <w:spacing w:val="6"/>
          <w:lang w:val="id-ID"/>
        </w:rPr>
        <w:t>Is</w:t>
      </w:r>
      <w:r w:rsidRPr="001164B3">
        <w:rPr>
          <w:rFonts w:asciiTheme="majorBidi" w:hAnsiTheme="majorBidi" w:cstheme="majorBidi"/>
          <w:spacing w:val="6"/>
          <w:u w:val="single"/>
          <w:lang w:val="id-ID"/>
        </w:rPr>
        <w:t>h</w:t>
      </w:r>
      <w:r w:rsidRPr="001164B3">
        <w:rPr>
          <w:rFonts w:asciiTheme="majorBidi" w:hAnsiTheme="majorBidi" w:cstheme="majorBidi"/>
          <w:spacing w:val="6"/>
          <w:lang w:val="id-ID"/>
        </w:rPr>
        <w:t xml:space="preserve">āq Al-Syātibi, </w:t>
      </w:r>
      <w:r w:rsidRPr="001164B3">
        <w:rPr>
          <w:rFonts w:asciiTheme="majorBidi" w:hAnsiTheme="majorBidi" w:cstheme="majorBidi"/>
          <w:i/>
          <w:iCs/>
          <w:spacing w:val="6"/>
          <w:lang w:val="id-ID"/>
        </w:rPr>
        <w:t>al-Muwāfaqāt fi Usūl al-Syarī’ah</w:t>
      </w:r>
      <w:r w:rsidRPr="001164B3">
        <w:rPr>
          <w:rFonts w:asciiTheme="majorBidi" w:hAnsiTheme="majorBidi" w:cstheme="majorBidi"/>
          <w:spacing w:val="6"/>
          <w:lang w:val="id-ID"/>
        </w:rPr>
        <w:t>, (Beirut: Dāral-Ma’rifah, 2004), juz II, h. 350 – 351</w:t>
      </w:r>
    </w:p>
  </w:footnote>
  <w:footnote w:id="93">
    <w:p w:rsidR="009677C3" w:rsidRPr="00C30235" w:rsidRDefault="009677C3" w:rsidP="00907A80">
      <w:pPr>
        <w:pStyle w:val="FootnoteText"/>
        <w:ind w:firstLine="720"/>
        <w:rPr>
          <w:rFonts w:asciiTheme="majorBidi" w:hAnsiTheme="majorBidi" w:cstheme="majorBidi"/>
          <w:rtl/>
        </w:rPr>
      </w:pPr>
      <w:r w:rsidRPr="00C30235">
        <w:rPr>
          <w:rStyle w:val="FootnoteReference"/>
          <w:rFonts w:asciiTheme="majorBidi" w:hAnsiTheme="majorBidi" w:cstheme="majorBidi"/>
        </w:rPr>
        <w:footnoteRef/>
      </w:r>
      <w:r w:rsidRPr="00C30235">
        <w:rPr>
          <w:rFonts w:asciiTheme="majorBidi" w:hAnsiTheme="majorBidi" w:cstheme="majorBidi"/>
        </w:rPr>
        <w:t xml:space="preserve"> Al-T</w:t>
      </w:r>
      <w:r>
        <w:rPr>
          <w:rFonts w:asciiTheme="majorBidi" w:hAnsiTheme="majorBidi" w:cstheme="majorBidi"/>
        </w:rPr>
        <w:t>hufi mendefi</w:t>
      </w:r>
      <w:r w:rsidRPr="00C30235">
        <w:rPr>
          <w:rFonts w:asciiTheme="majorBidi" w:hAnsiTheme="majorBidi" w:cstheme="majorBidi"/>
        </w:rPr>
        <w:t>ni</w:t>
      </w:r>
      <w:r>
        <w:rPr>
          <w:rFonts w:asciiTheme="majorBidi" w:hAnsiTheme="majorBidi" w:cstheme="majorBidi"/>
        </w:rPr>
        <w:t>si</w:t>
      </w:r>
      <w:r w:rsidRPr="00C30235">
        <w:rPr>
          <w:rFonts w:asciiTheme="majorBidi" w:hAnsiTheme="majorBidi" w:cstheme="majorBidi"/>
        </w:rPr>
        <w:t xml:space="preserve">kan Maslahah secara syara’ dengan: </w:t>
      </w:r>
    </w:p>
    <w:p w:rsidR="009677C3" w:rsidRPr="000541F1" w:rsidRDefault="009677C3" w:rsidP="00907A80">
      <w:pPr>
        <w:tabs>
          <w:tab w:val="left" w:pos="3700"/>
        </w:tabs>
        <w:bidi/>
        <w:spacing w:after="0" w:line="240" w:lineRule="auto"/>
        <w:rPr>
          <w:rFonts w:ascii="Simplified Arabic" w:hAnsi="Simplified Arabic" w:cs="Simplified Arabic"/>
          <w:rtl/>
        </w:rPr>
      </w:pPr>
      <w:r w:rsidRPr="000541F1">
        <w:rPr>
          <w:rFonts w:ascii="Simplified Arabic" w:hAnsi="Simplified Arabic" w:cs="Simplified Arabic"/>
          <w:rtl/>
        </w:rPr>
        <w:t>السبب المؤدى الى مقصود الشارع عبادة أو عادة</w:t>
      </w:r>
      <w:r>
        <w:rPr>
          <w:rFonts w:ascii="Simplified Arabic" w:hAnsi="Simplified Arabic" w:cs="Simplified Arabic"/>
          <w:rtl/>
        </w:rPr>
        <w:tab/>
      </w:r>
    </w:p>
    <w:p w:rsidR="009677C3" w:rsidRDefault="009677C3" w:rsidP="00907A80">
      <w:pPr>
        <w:pStyle w:val="FootnoteText"/>
        <w:ind w:firstLine="720"/>
      </w:pPr>
      <w:r>
        <w:rPr>
          <w:rFonts w:asciiTheme="majorBidi" w:hAnsiTheme="majorBidi" w:cstheme="majorBidi"/>
        </w:rPr>
        <w:t xml:space="preserve">Lihat. </w:t>
      </w:r>
      <w:r w:rsidRPr="008E720D">
        <w:rPr>
          <w:rFonts w:asciiTheme="majorBidi" w:hAnsiTheme="majorBidi" w:cstheme="majorBidi"/>
        </w:rPr>
        <w:t xml:space="preserve">Najamuddin </w:t>
      </w:r>
      <w:r>
        <w:rPr>
          <w:rFonts w:asciiTheme="majorBidi" w:hAnsiTheme="majorBidi" w:cstheme="majorBidi"/>
        </w:rPr>
        <w:t>Al-</w:t>
      </w:r>
      <w:r w:rsidRPr="008E720D">
        <w:rPr>
          <w:rFonts w:asciiTheme="majorBidi" w:hAnsiTheme="majorBidi" w:cstheme="majorBidi"/>
        </w:rPr>
        <w:t>T</w:t>
      </w:r>
      <w:r>
        <w:rPr>
          <w:rFonts w:asciiTheme="majorBidi" w:hAnsiTheme="majorBidi" w:cstheme="majorBidi"/>
        </w:rPr>
        <w:t>h</w:t>
      </w:r>
      <w:r w:rsidRPr="00A93035">
        <w:rPr>
          <w:rFonts w:asciiTheme="majorBidi" w:hAnsiTheme="majorBidi" w:cstheme="majorBidi"/>
        </w:rPr>
        <w:t>ū</w:t>
      </w:r>
      <w:r w:rsidRPr="008E720D">
        <w:rPr>
          <w:rFonts w:asciiTheme="majorBidi" w:hAnsiTheme="majorBidi" w:cstheme="majorBidi"/>
        </w:rPr>
        <w:t>f</w:t>
      </w:r>
      <w:r w:rsidRPr="00A0625A">
        <w:rPr>
          <w:rFonts w:asciiTheme="majorBidi" w:hAnsiTheme="majorBidi" w:cstheme="majorBidi"/>
        </w:rPr>
        <w:t>ī</w:t>
      </w:r>
      <w:r w:rsidRPr="008E720D">
        <w:rPr>
          <w:rFonts w:asciiTheme="majorBidi" w:hAnsiTheme="majorBidi" w:cstheme="majorBidi"/>
        </w:rPr>
        <w:t xml:space="preserve">, </w:t>
      </w:r>
      <w:r>
        <w:rPr>
          <w:rFonts w:asciiTheme="majorBidi" w:hAnsiTheme="majorBidi" w:cstheme="majorBidi"/>
          <w:i/>
          <w:iCs/>
        </w:rPr>
        <w:t>Syarh al-Hadis Arba'in al</w:t>
      </w:r>
      <w:r w:rsidRPr="008E720D">
        <w:rPr>
          <w:rFonts w:asciiTheme="majorBidi" w:hAnsiTheme="majorBidi" w:cstheme="majorBidi"/>
          <w:i/>
          <w:iCs/>
        </w:rPr>
        <w:t xml:space="preserve">-Nawaiyah </w:t>
      </w:r>
      <w:r w:rsidRPr="008E720D">
        <w:rPr>
          <w:rFonts w:asciiTheme="majorBidi" w:hAnsiTheme="majorBidi" w:cstheme="majorBidi"/>
        </w:rPr>
        <w:t>dalam Mustafa</w:t>
      </w:r>
      <w:r>
        <w:rPr>
          <w:rFonts w:asciiTheme="majorBidi" w:hAnsiTheme="majorBidi" w:cstheme="majorBidi"/>
        </w:rPr>
        <w:t xml:space="preserve"> Zaid, </w:t>
      </w:r>
      <w:r w:rsidRPr="008E720D">
        <w:rPr>
          <w:rFonts w:asciiTheme="majorBidi" w:hAnsiTheme="majorBidi" w:cstheme="majorBidi"/>
        </w:rPr>
        <w:t xml:space="preserve"> </w:t>
      </w:r>
      <w:r w:rsidRPr="005C28ED">
        <w:rPr>
          <w:rFonts w:asciiTheme="majorBidi" w:hAnsiTheme="majorBidi" w:cstheme="majorBidi"/>
          <w:i/>
          <w:iCs/>
        </w:rPr>
        <w:t>Al-Masla</w:t>
      </w:r>
      <w:r w:rsidRPr="005C28ED">
        <w:rPr>
          <w:rFonts w:asciiTheme="majorBidi" w:hAnsiTheme="majorBidi" w:cstheme="majorBidi"/>
          <w:i/>
          <w:iCs/>
          <w:u w:val="single"/>
        </w:rPr>
        <w:t>h</w:t>
      </w:r>
      <w:r w:rsidRPr="005C28ED">
        <w:rPr>
          <w:rFonts w:asciiTheme="majorBidi" w:hAnsiTheme="majorBidi" w:cstheme="majorBidi"/>
          <w:i/>
          <w:iCs/>
        </w:rPr>
        <w:t>ah fī at-Tasyri' al-Islāmī wa Najmuddin al-Thūfī</w:t>
      </w:r>
      <w:r>
        <w:rPr>
          <w:rFonts w:asciiTheme="majorBidi" w:hAnsiTheme="majorBidi" w:cstheme="majorBidi"/>
        </w:rPr>
        <w:t>.(</w:t>
      </w:r>
      <w:r w:rsidRPr="008E720D">
        <w:rPr>
          <w:rFonts w:asciiTheme="majorBidi" w:hAnsiTheme="majorBidi" w:cstheme="majorBidi"/>
        </w:rPr>
        <w:t xml:space="preserve"> Mesir: Dar al-Fikr al-Arabi</w:t>
      </w:r>
      <w:r>
        <w:rPr>
          <w:rFonts w:asciiTheme="majorBidi" w:hAnsiTheme="majorBidi" w:cstheme="majorBidi"/>
        </w:rPr>
        <w:t xml:space="preserve">, 1954), </w:t>
      </w:r>
      <w:r w:rsidRPr="00BA2D0B">
        <w:rPr>
          <w:rFonts w:ascii="Times New Roman" w:hAnsi="Times New Roman" w:cs="Times New Roman"/>
          <w:lang w:val="sv-SE"/>
        </w:rPr>
        <w:t>h.</w:t>
      </w:r>
      <w:r>
        <w:rPr>
          <w:rFonts w:ascii="Times New Roman" w:hAnsi="Times New Roman" w:cs="Times New Roman"/>
          <w:lang w:val="sv-SE"/>
        </w:rPr>
        <w:t xml:space="preserve"> 126</w:t>
      </w:r>
    </w:p>
  </w:footnote>
  <w:footnote w:id="94">
    <w:p w:rsidR="009677C3" w:rsidRPr="00BA2D0B" w:rsidRDefault="009677C3" w:rsidP="005C28ED">
      <w:pPr>
        <w:autoSpaceDE w:val="0"/>
        <w:autoSpaceDN w:val="0"/>
        <w:adjustRightInd w:val="0"/>
        <w:spacing w:after="0" w:line="240" w:lineRule="auto"/>
        <w:ind w:firstLine="720"/>
        <w:jc w:val="both"/>
        <w:rPr>
          <w:rFonts w:asciiTheme="majorBidi" w:eastAsiaTheme="minorHAnsi" w:hAnsiTheme="majorBidi" w:cstheme="majorBidi"/>
          <w:sz w:val="20"/>
          <w:szCs w:val="20"/>
        </w:rPr>
      </w:pPr>
      <w:r>
        <w:rPr>
          <w:rStyle w:val="FootnoteReference"/>
        </w:rPr>
        <w:footnoteRef/>
      </w:r>
      <w:r>
        <w:t xml:space="preserve"> </w:t>
      </w:r>
      <w:r>
        <w:rPr>
          <w:rFonts w:asciiTheme="majorBidi" w:hAnsiTheme="majorBidi" w:cstheme="majorBidi"/>
          <w:sz w:val="20"/>
          <w:szCs w:val="20"/>
        </w:rPr>
        <w:t xml:space="preserve">Lihat. </w:t>
      </w:r>
      <w:r>
        <w:rPr>
          <w:rFonts w:asciiTheme="majorBidi" w:eastAsiaTheme="minorHAnsi" w:hAnsiTheme="majorBidi" w:cstheme="majorBidi"/>
          <w:sz w:val="20"/>
          <w:szCs w:val="20"/>
        </w:rPr>
        <w:t xml:space="preserve">Najamuddin </w:t>
      </w:r>
      <w:r>
        <w:rPr>
          <w:rFonts w:asciiTheme="majorBidi" w:hAnsiTheme="majorBidi" w:cstheme="majorBidi"/>
          <w:sz w:val="20"/>
          <w:szCs w:val="20"/>
        </w:rPr>
        <w:t>Al-</w:t>
      </w:r>
      <w:r w:rsidRPr="008E720D">
        <w:rPr>
          <w:rFonts w:asciiTheme="majorBidi" w:hAnsiTheme="majorBidi" w:cstheme="majorBidi"/>
          <w:sz w:val="20"/>
          <w:szCs w:val="20"/>
        </w:rPr>
        <w:t>T</w:t>
      </w:r>
      <w:r>
        <w:rPr>
          <w:rFonts w:asciiTheme="majorBidi" w:hAnsiTheme="majorBidi" w:cstheme="majorBidi"/>
          <w:sz w:val="20"/>
          <w:szCs w:val="20"/>
        </w:rPr>
        <w:t>h</w:t>
      </w:r>
      <w:r w:rsidRPr="00A93035">
        <w:rPr>
          <w:rFonts w:asciiTheme="majorBidi" w:hAnsiTheme="majorBidi" w:cstheme="majorBidi"/>
          <w:sz w:val="20"/>
          <w:szCs w:val="20"/>
        </w:rPr>
        <w:t>ū</w:t>
      </w:r>
      <w:r w:rsidRPr="008E720D">
        <w:rPr>
          <w:rFonts w:asciiTheme="majorBidi" w:hAnsiTheme="majorBidi" w:cstheme="majorBidi"/>
          <w:sz w:val="20"/>
          <w:szCs w:val="20"/>
        </w:rPr>
        <w:t>f</w:t>
      </w:r>
      <w:r w:rsidRPr="00A0625A">
        <w:rPr>
          <w:rFonts w:asciiTheme="majorBidi" w:hAnsiTheme="majorBidi" w:cstheme="majorBidi"/>
        </w:rPr>
        <w:t>ī</w:t>
      </w:r>
      <w:r w:rsidRPr="008E720D">
        <w:rPr>
          <w:rFonts w:asciiTheme="majorBidi" w:hAnsiTheme="majorBidi" w:cstheme="majorBidi"/>
          <w:sz w:val="20"/>
          <w:szCs w:val="20"/>
        </w:rPr>
        <w:t xml:space="preserve">, </w:t>
      </w:r>
      <w:r>
        <w:rPr>
          <w:rFonts w:asciiTheme="majorBidi" w:hAnsiTheme="majorBidi" w:cstheme="majorBidi"/>
          <w:i/>
          <w:iCs/>
          <w:sz w:val="20"/>
          <w:szCs w:val="20"/>
        </w:rPr>
        <w:t>Syarh al-Hadis Arba'in al</w:t>
      </w:r>
      <w:r w:rsidRPr="008E720D">
        <w:rPr>
          <w:rFonts w:asciiTheme="majorBidi" w:hAnsiTheme="majorBidi" w:cstheme="majorBidi"/>
          <w:i/>
          <w:iCs/>
          <w:sz w:val="20"/>
          <w:szCs w:val="20"/>
        </w:rPr>
        <w:t xml:space="preserve">-Nawaiyah </w:t>
      </w:r>
      <w:r w:rsidRPr="008E720D">
        <w:rPr>
          <w:rFonts w:asciiTheme="majorBidi" w:hAnsiTheme="majorBidi" w:cstheme="majorBidi"/>
          <w:sz w:val="20"/>
          <w:szCs w:val="20"/>
        </w:rPr>
        <w:t>dalam Mustafa</w:t>
      </w:r>
      <w:r>
        <w:rPr>
          <w:rFonts w:asciiTheme="majorBidi" w:hAnsiTheme="majorBidi" w:cstheme="majorBidi"/>
          <w:sz w:val="20"/>
          <w:szCs w:val="20"/>
        </w:rPr>
        <w:t xml:space="preserve"> Zaid, </w:t>
      </w:r>
      <w:r w:rsidRPr="008E720D">
        <w:rPr>
          <w:rFonts w:asciiTheme="majorBidi" w:hAnsiTheme="majorBidi" w:cstheme="majorBidi"/>
          <w:sz w:val="20"/>
          <w:szCs w:val="20"/>
        </w:rPr>
        <w:t xml:space="preserve"> </w:t>
      </w:r>
      <w:r w:rsidRPr="005C28ED">
        <w:rPr>
          <w:rFonts w:asciiTheme="majorBidi" w:hAnsiTheme="majorBidi" w:cstheme="majorBidi"/>
          <w:i/>
          <w:iCs/>
          <w:sz w:val="20"/>
          <w:szCs w:val="20"/>
        </w:rPr>
        <w:t>Al-Masla</w:t>
      </w:r>
      <w:r w:rsidRPr="005C28ED">
        <w:rPr>
          <w:rFonts w:asciiTheme="majorBidi" w:hAnsiTheme="majorBidi" w:cstheme="majorBidi"/>
          <w:i/>
          <w:iCs/>
          <w:sz w:val="20"/>
          <w:szCs w:val="20"/>
          <w:u w:val="single"/>
        </w:rPr>
        <w:t>h</w:t>
      </w:r>
      <w:r w:rsidRPr="005C28ED">
        <w:rPr>
          <w:rFonts w:asciiTheme="majorBidi" w:hAnsiTheme="majorBidi" w:cstheme="majorBidi"/>
          <w:i/>
          <w:iCs/>
          <w:sz w:val="20"/>
          <w:szCs w:val="20"/>
        </w:rPr>
        <w:t>ah fī at-Tasyri' al-Islāmī wa Najmuddin al-Thūfī</w:t>
      </w:r>
      <w:r w:rsidRPr="008E720D">
        <w:rPr>
          <w:rFonts w:asciiTheme="majorBidi" w:eastAsiaTheme="minorHAnsi" w:hAnsiTheme="majorBidi" w:cstheme="majorBidi"/>
          <w:sz w:val="20"/>
          <w:szCs w:val="20"/>
        </w:rPr>
        <w:t>,</w:t>
      </w:r>
      <w:r>
        <w:rPr>
          <w:rFonts w:asciiTheme="majorBidi" w:eastAsiaTheme="minorHAnsi" w:hAnsiTheme="majorBidi" w:cstheme="majorBidi"/>
          <w:sz w:val="20"/>
          <w:szCs w:val="20"/>
        </w:rPr>
        <w:t>.(</w:t>
      </w:r>
      <w:r w:rsidRPr="008E720D">
        <w:rPr>
          <w:rFonts w:asciiTheme="majorBidi" w:eastAsiaTheme="minorHAnsi" w:hAnsiTheme="majorBidi" w:cstheme="majorBidi"/>
          <w:sz w:val="20"/>
          <w:szCs w:val="20"/>
        </w:rPr>
        <w:t xml:space="preserve"> Mesir: Dar al-Fikr al-Arabi</w:t>
      </w:r>
      <w:r>
        <w:rPr>
          <w:rFonts w:asciiTheme="majorBidi" w:eastAsiaTheme="minorHAnsi" w:hAnsiTheme="majorBidi" w:cstheme="majorBidi"/>
          <w:sz w:val="20"/>
          <w:szCs w:val="20"/>
        </w:rPr>
        <w:t xml:space="preserve">, 1954), </w:t>
      </w:r>
      <w:r w:rsidRPr="00BA2D0B">
        <w:rPr>
          <w:rFonts w:ascii="Times New Roman" w:eastAsiaTheme="minorHAnsi" w:hAnsi="Times New Roman" w:cs="Times New Roman"/>
          <w:sz w:val="20"/>
          <w:szCs w:val="20"/>
          <w:lang w:val="sv-SE"/>
        </w:rPr>
        <w:t>h. 272.</w:t>
      </w:r>
    </w:p>
  </w:footnote>
  <w:footnote w:id="95">
    <w:p w:rsidR="009677C3" w:rsidRPr="00915EBF" w:rsidRDefault="009677C3" w:rsidP="00C012EC">
      <w:pPr>
        <w:pStyle w:val="FootnoteText"/>
        <w:ind w:firstLine="720"/>
        <w:jc w:val="both"/>
        <w:rPr>
          <w:rFonts w:asciiTheme="majorBidi" w:hAnsiTheme="majorBidi" w:cstheme="majorBidi"/>
        </w:rPr>
      </w:pPr>
      <w:r w:rsidRPr="00915EBF">
        <w:rPr>
          <w:rStyle w:val="FootnoteReference"/>
          <w:rFonts w:asciiTheme="majorBidi" w:hAnsiTheme="majorBidi" w:cstheme="majorBidi"/>
        </w:rPr>
        <w:footnoteRef/>
      </w:r>
      <w:r w:rsidRPr="00915EBF">
        <w:rPr>
          <w:rFonts w:asciiTheme="majorBidi" w:hAnsiTheme="majorBidi" w:cstheme="majorBidi"/>
        </w:rPr>
        <w:t xml:space="preserve"> </w:t>
      </w:r>
      <w:r>
        <w:rPr>
          <w:rFonts w:asciiTheme="majorBidi" w:hAnsiTheme="majorBidi" w:cstheme="majorBidi"/>
        </w:rPr>
        <w:t xml:space="preserve">Lihat. </w:t>
      </w:r>
      <w:r w:rsidRPr="00915EBF">
        <w:rPr>
          <w:rFonts w:asciiTheme="majorBidi" w:hAnsiTheme="majorBidi" w:cstheme="majorBidi"/>
        </w:rPr>
        <w:t>Saifudin Zuhri, Dinam</w:t>
      </w:r>
      <w:r>
        <w:rPr>
          <w:rFonts w:asciiTheme="majorBidi" w:hAnsiTheme="majorBidi" w:cstheme="majorBidi"/>
        </w:rPr>
        <w:t>ika Pemikiran Teologi al-Thufi dalam Membangun Teori Maslahat</w:t>
      </w:r>
      <w:r w:rsidRPr="00915EBF">
        <w:rPr>
          <w:rFonts w:asciiTheme="majorBidi" w:hAnsiTheme="majorBidi" w:cstheme="majorBidi"/>
        </w:rPr>
        <w:t>,</w:t>
      </w:r>
      <w:r>
        <w:rPr>
          <w:rFonts w:asciiTheme="majorBidi" w:hAnsiTheme="majorBidi" w:cstheme="majorBidi"/>
        </w:rPr>
        <w:t xml:space="preserve"> dalam : Munir dkk ( ed) </w:t>
      </w:r>
      <w:r w:rsidRPr="001E3542">
        <w:rPr>
          <w:rFonts w:asciiTheme="majorBidi" w:hAnsiTheme="majorBidi" w:cstheme="majorBidi"/>
          <w:i/>
          <w:iCs/>
        </w:rPr>
        <w:t>Teologika Jurnal-Jurnal Ilmu Ushuludin</w:t>
      </w:r>
      <w:r>
        <w:rPr>
          <w:rFonts w:asciiTheme="majorBidi" w:hAnsiTheme="majorBidi" w:cstheme="majorBidi"/>
        </w:rPr>
        <w:t>, ( Semarang: Fakultas Ushuludin IAIN Walisongo, Volume 20, Nomor 2, 2009), h.</w:t>
      </w:r>
      <w:r w:rsidRPr="00915EBF">
        <w:rPr>
          <w:rFonts w:asciiTheme="majorBidi" w:hAnsiTheme="majorBidi" w:cstheme="majorBidi"/>
        </w:rPr>
        <w:t xml:space="preserve"> 12.  </w:t>
      </w:r>
    </w:p>
  </w:footnote>
  <w:footnote w:id="96">
    <w:p w:rsidR="009677C3" w:rsidRPr="004E1101" w:rsidRDefault="009677C3" w:rsidP="00C012EC">
      <w:pPr>
        <w:autoSpaceDE w:val="0"/>
        <w:autoSpaceDN w:val="0"/>
        <w:adjustRightInd w:val="0"/>
        <w:spacing w:after="0" w:line="240" w:lineRule="auto"/>
        <w:ind w:firstLine="720"/>
        <w:jc w:val="both"/>
        <w:rPr>
          <w:rFonts w:asciiTheme="majorBidi" w:hAnsiTheme="majorBidi" w:cstheme="majorBidi"/>
          <w:sz w:val="20"/>
          <w:szCs w:val="20"/>
        </w:rPr>
      </w:pPr>
      <w:r w:rsidRPr="004E1101">
        <w:rPr>
          <w:rStyle w:val="FootnoteReference"/>
          <w:sz w:val="20"/>
          <w:szCs w:val="20"/>
        </w:rPr>
        <w:footnoteRef/>
      </w:r>
      <w:r w:rsidRPr="004E1101">
        <w:rPr>
          <w:sz w:val="20"/>
          <w:szCs w:val="20"/>
        </w:rPr>
        <w:t xml:space="preserve"> </w:t>
      </w:r>
      <w:r>
        <w:rPr>
          <w:sz w:val="20"/>
          <w:szCs w:val="20"/>
        </w:rPr>
        <w:t xml:space="preserve">Lihat. </w:t>
      </w:r>
      <w:r w:rsidRPr="004E1101">
        <w:rPr>
          <w:rFonts w:asciiTheme="majorBidi" w:eastAsiaTheme="minorHAnsi" w:hAnsiTheme="majorBidi" w:cstheme="majorBidi"/>
          <w:sz w:val="20"/>
          <w:szCs w:val="20"/>
        </w:rPr>
        <w:t>Imam Fawaid</w:t>
      </w:r>
      <w:r w:rsidRPr="004E1101">
        <w:rPr>
          <w:rFonts w:asciiTheme="majorBidi" w:hAnsiTheme="majorBidi" w:cstheme="majorBidi"/>
          <w:sz w:val="20"/>
          <w:szCs w:val="20"/>
        </w:rPr>
        <w:t xml:space="preserve">, </w:t>
      </w:r>
      <w:r>
        <w:rPr>
          <w:rFonts w:asciiTheme="majorBidi" w:hAnsiTheme="majorBidi" w:cstheme="majorBidi"/>
          <w:sz w:val="20"/>
          <w:szCs w:val="20"/>
        </w:rPr>
        <w:t xml:space="preserve"> </w:t>
      </w:r>
      <w:r w:rsidRPr="004E1101">
        <w:rPr>
          <w:rFonts w:asciiTheme="majorBidi" w:eastAsiaTheme="minorHAnsi" w:hAnsiTheme="majorBidi" w:cstheme="majorBidi"/>
          <w:i/>
          <w:iCs/>
          <w:sz w:val="20"/>
          <w:szCs w:val="20"/>
        </w:rPr>
        <w:t xml:space="preserve">Konsep Pemikiran al- Thufi Tentang Mashlahah </w:t>
      </w:r>
      <w:r w:rsidRPr="004E1101">
        <w:rPr>
          <w:rFonts w:asciiTheme="majorBidi" w:hAnsiTheme="majorBidi" w:cstheme="majorBidi"/>
          <w:i/>
          <w:iCs/>
          <w:sz w:val="20"/>
          <w:szCs w:val="20"/>
        </w:rPr>
        <w:t>Sebagai Metode Istinbath Hukum Islam</w:t>
      </w:r>
      <w:r w:rsidRPr="004E1101">
        <w:rPr>
          <w:rFonts w:asciiTheme="majorBidi" w:hAnsiTheme="majorBidi" w:cstheme="majorBidi"/>
          <w:sz w:val="20"/>
          <w:szCs w:val="20"/>
        </w:rPr>
        <w:t>, Jurnal Lisan Al-Hal, “Volume 6, No. 2, Desember 2014”, h. 298</w:t>
      </w:r>
    </w:p>
  </w:footnote>
  <w:footnote w:id="97">
    <w:p w:rsidR="009677C3" w:rsidRDefault="009677C3" w:rsidP="00204CDE">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8E720D">
        <w:rPr>
          <w:rFonts w:asciiTheme="majorBidi" w:hAnsiTheme="majorBidi" w:cstheme="majorBidi"/>
        </w:rPr>
        <w:t xml:space="preserve">Najamuddin </w:t>
      </w:r>
      <w:r>
        <w:rPr>
          <w:rFonts w:asciiTheme="majorBidi" w:hAnsiTheme="majorBidi" w:cstheme="majorBidi"/>
        </w:rPr>
        <w:t>Al-</w:t>
      </w:r>
      <w:r w:rsidRPr="008E720D">
        <w:rPr>
          <w:rFonts w:asciiTheme="majorBidi" w:hAnsiTheme="majorBidi" w:cstheme="majorBidi"/>
        </w:rPr>
        <w:t>T</w:t>
      </w:r>
      <w:r>
        <w:rPr>
          <w:rFonts w:asciiTheme="majorBidi" w:hAnsiTheme="majorBidi" w:cstheme="majorBidi"/>
        </w:rPr>
        <w:t>h</w:t>
      </w:r>
      <w:r w:rsidRPr="00A93035">
        <w:rPr>
          <w:rFonts w:asciiTheme="majorBidi" w:hAnsiTheme="majorBidi" w:cstheme="majorBidi"/>
        </w:rPr>
        <w:t>ū</w:t>
      </w:r>
      <w:r w:rsidRPr="008E720D">
        <w:rPr>
          <w:rFonts w:asciiTheme="majorBidi" w:hAnsiTheme="majorBidi" w:cstheme="majorBidi"/>
        </w:rPr>
        <w:t>f</w:t>
      </w:r>
      <w:r w:rsidRPr="00A0625A">
        <w:rPr>
          <w:rFonts w:asciiTheme="majorBidi" w:hAnsiTheme="majorBidi" w:cstheme="majorBidi"/>
        </w:rPr>
        <w:t>ī</w:t>
      </w:r>
      <w:r w:rsidRPr="008E720D">
        <w:rPr>
          <w:rFonts w:asciiTheme="majorBidi" w:hAnsiTheme="majorBidi" w:cstheme="majorBidi"/>
        </w:rPr>
        <w:t xml:space="preserve">, </w:t>
      </w:r>
      <w:r>
        <w:rPr>
          <w:rFonts w:asciiTheme="majorBidi" w:hAnsiTheme="majorBidi" w:cstheme="majorBidi"/>
          <w:i/>
          <w:iCs/>
        </w:rPr>
        <w:t>Syarh al-Hadis Arba'in al</w:t>
      </w:r>
      <w:r w:rsidRPr="008E720D">
        <w:rPr>
          <w:rFonts w:asciiTheme="majorBidi" w:hAnsiTheme="majorBidi" w:cstheme="majorBidi"/>
          <w:i/>
          <w:iCs/>
        </w:rPr>
        <w:t xml:space="preserve">-Nawaiyah </w:t>
      </w:r>
      <w:r w:rsidRPr="008E720D">
        <w:rPr>
          <w:rFonts w:asciiTheme="majorBidi" w:hAnsiTheme="majorBidi" w:cstheme="majorBidi"/>
        </w:rPr>
        <w:t>dalam Mustafa</w:t>
      </w:r>
      <w:r>
        <w:rPr>
          <w:rFonts w:asciiTheme="majorBidi" w:hAnsiTheme="majorBidi" w:cstheme="majorBidi"/>
        </w:rPr>
        <w:t xml:space="preserve"> Zaid, </w:t>
      </w:r>
      <w:r w:rsidRPr="008E720D">
        <w:rPr>
          <w:rFonts w:asciiTheme="majorBidi" w:hAnsiTheme="majorBidi" w:cstheme="majorBidi"/>
        </w:rPr>
        <w:t xml:space="preserve"> </w:t>
      </w:r>
      <w:r w:rsidRPr="005C28ED">
        <w:rPr>
          <w:rFonts w:asciiTheme="majorBidi" w:hAnsiTheme="majorBidi" w:cstheme="majorBidi"/>
          <w:i/>
          <w:iCs/>
        </w:rPr>
        <w:t>Al-Masla</w:t>
      </w:r>
      <w:r w:rsidRPr="005C28ED">
        <w:rPr>
          <w:rFonts w:asciiTheme="majorBidi" w:hAnsiTheme="majorBidi" w:cstheme="majorBidi"/>
          <w:i/>
          <w:iCs/>
          <w:u w:val="single"/>
        </w:rPr>
        <w:t>h</w:t>
      </w:r>
      <w:r w:rsidRPr="005C28ED">
        <w:rPr>
          <w:rFonts w:asciiTheme="majorBidi" w:hAnsiTheme="majorBidi" w:cstheme="majorBidi"/>
          <w:i/>
          <w:iCs/>
        </w:rPr>
        <w:t>ah fī at-Tasyri' al-Islāmī wa Najmuddin al-Thūfī</w:t>
      </w:r>
      <w:r>
        <w:rPr>
          <w:rFonts w:asciiTheme="majorBidi" w:hAnsiTheme="majorBidi" w:cstheme="majorBidi"/>
        </w:rPr>
        <w:t>. (</w:t>
      </w:r>
      <w:r w:rsidRPr="008E720D">
        <w:rPr>
          <w:rFonts w:asciiTheme="majorBidi" w:hAnsiTheme="majorBidi" w:cstheme="majorBidi"/>
        </w:rPr>
        <w:t xml:space="preserve"> Mesir: Dar al-Fikr al-Arabi</w:t>
      </w:r>
      <w:r>
        <w:rPr>
          <w:rFonts w:asciiTheme="majorBidi" w:hAnsiTheme="majorBidi" w:cstheme="majorBidi"/>
        </w:rPr>
        <w:t>, 1954), h. 125-126</w:t>
      </w:r>
    </w:p>
  </w:footnote>
  <w:footnote w:id="98">
    <w:p w:rsidR="009677C3" w:rsidRPr="003F1963" w:rsidRDefault="009677C3" w:rsidP="00204CDE">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8E720D">
        <w:rPr>
          <w:rStyle w:val="FootnoteReference"/>
          <w:rFonts w:asciiTheme="majorBidi" w:hAnsiTheme="majorBidi" w:cstheme="majorBidi"/>
          <w:sz w:val="20"/>
          <w:szCs w:val="20"/>
        </w:rPr>
        <w:footnoteRef/>
      </w:r>
      <w:r w:rsidRPr="008E720D">
        <w:rPr>
          <w:rFonts w:asciiTheme="majorBidi" w:hAnsiTheme="majorBidi" w:cstheme="majorBidi"/>
          <w:sz w:val="20"/>
          <w:szCs w:val="20"/>
        </w:rPr>
        <w:t xml:space="preserve"> </w:t>
      </w:r>
      <w:r>
        <w:rPr>
          <w:rFonts w:asciiTheme="majorBidi" w:hAnsiTheme="majorBidi" w:cstheme="majorBidi"/>
          <w:sz w:val="20"/>
          <w:szCs w:val="20"/>
        </w:rPr>
        <w:t xml:space="preserve">Lihat. </w:t>
      </w:r>
      <w:r w:rsidRPr="008E720D">
        <w:rPr>
          <w:rFonts w:asciiTheme="majorBidi" w:eastAsiaTheme="minorHAnsi" w:hAnsiTheme="majorBidi" w:cstheme="majorBidi"/>
          <w:sz w:val="20"/>
          <w:szCs w:val="20"/>
        </w:rPr>
        <w:t xml:space="preserve">Najamuddin </w:t>
      </w:r>
      <w:r>
        <w:rPr>
          <w:rFonts w:asciiTheme="majorBidi" w:hAnsiTheme="majorBidi" w:cstheme="majorBidi"/>
          <w:sz w:val="20"/>
          <w:szCs w:val="20"/>
        </w:rPr>
        <w:t>Al-</w:t>
      </w:r>
      <w:r w:rsidRPr="008E720D">
        <w:rPr>
          <w:rFonts w:asciiTheme="majorBidi" w:hAnsiTheme="majorBidi" w:cstheme="majorBidi"/>
          <w:sz w:val="20"/>
          <w:szCs w:val="20"/>
        </w:rPr>
        <w:t>T</w:t>
      </w:r>
      <w:r>
        <w:rPr>
          <w:rFonts w:asciiTheme="majorBidi" w:hAnsiTheme="majorBidi" w:cstheme="majorBidi"/>
          <w:sz w:val="20"/>
          <w:szCs w:val="20"/>
        </w:rPr>
        <w:t>h</w:t>
      </w:r>
      <w:r w:rsidRPr="00A93035">
        <w:rPr>
          <w:rFonts w:asciiTheme="majorBidi" w:hAnsiTheme="majorBidi" w:cstheme="majorBidi"/>
          <w:sz w:val="20"/>
          <w:szCs w:val="20"/>
        </w:rPr>
        <w:t>ū</w:t>
      </w:r>
      <w:r w:rsidRPr="008E720D">
        <w:rPr>
          <w:rFonts w:asciiTheme="majorBidi" w:hAnsiTheme="majorBidi" w:cstheme="majorBidi"/>
          <w:sz w:val="20"/>
          <w:szCs w:val="20"/>
        </w:rPr>
        <w:t>f</w:t>
      </w:r>
      <w:r w:rsidRPr="00A0625A">
        <w:rPr>
          <w:rFonts w:asciiTheme="majorBidi" w:hAnsiTheme="majorBidi" w:cstheme="majorBidi"/>
        </w:rPr>
        <w:t>ī</w:t>
      </w:r>
      <w:r w:rsidRPr="008E720D">
        <w:rPr>
          <w:rFonts w:asciiTheme="majorBidi" w:hAnsiTheme="majorBidi" w:cstheme="majorBidi"/>
          <w:sz w:val="20"/>
          <w:szCs w:val="20"/>
        </w:rPr>
        <w:t xml:space="preserve">, </w:t>
      </w:r>
      <w:r>
        <w:rPr>
          <w:rFonts w:asciiTheme="majorBidi" w:hAnsiTheme="majorBidi" w:cstheme="majorBidi"/>
          <w:i/>
          <w:iCs/>
          <w:sz w:val="20"/>
          <w:szCs w:val="20"/>
        </w:rPr>
        <w:t>Syarh al-Hadis Arba'in al</w:t>
      </w:r>
      <w:r w:rsidRPr="008E720D">
        <w:rPr>
          <w:rFonts w:asciiTheme="majorBidi" w:hAnsiTheme="majorBidi" w:cstheme="majorBidi"/>
          <w:i/>
          <w:iCs/>
          <w:sz w:val="20"/>
          <w:szCs w:val="20"/>
        </w:rPr>
        <w:t xml:space="preserve">-Nawaiyah </w:t>
      </w:r>
      <w:r w:rsidRPr="008E720D">
        <w:rPr>
          <w:rFonts w:asciiTheme="majorBidi" w:hAnsiTheme="majorBidi" w:cstheme="majorBidi"/>
          <w:sz w:val="20"/>
          <w:szCs w:val="20"/>
        </w:rPr>
        <w:t>dalam Mustafa</w:t>
      </w:r>
      <w:r>
        <w:rPr>
          <w:rFonts w:asciiTheme="majorBidi" w:hAnsiTheme="majorBidi" w:cstheme="majorBidi"/>
          <w:sz w:val="20"/>
          <w:szCs w:val="20"/>
        </w:rPr>
        <w:t xml:space="preserve"> Zaid, </w:t>
      </w:r>
      <w:r w:rsidRPr="008E720D">
        <w:rPr>
          <w:rFonts w:asciiTheme="majorBidi" w:hAnsiTheme="majorBidi" w:cstheme="majorBidi"/>
          <w:sz w:val="20"/>
          <w:szCs w:val="20"/>
        </w:rPr>
        <w:t xml:space="preserve"> </w:t>
      </w:r>
      <w:r w:rsidRPr="005C28ED">
        <w:rPr>
          <w:rFonts w:asciiTheme="majorBidi" w:hAnsiTheme="majorBidi" w:cstheme="majorBidi"/>
          <w:i/>
          <w:iCs/>
          <w:sz w:val="20"/>
          <w:szCs w:val="20"/>
        </w:rPr>
        <w:t>Al-masla</w:t>
      </w:r>
      <w:r w:rsidRPr="005C28ED">
        <w:rPr>
          <w:rFonts w:asciiTheme="majorBidi" w:hAnsiTheme="majorBidi" w:cstheme="majorBidi"/>
          <w:i/>
          <w:iCs/>
          <w:sz w:val="20"/>
          <w:szCs w:val="20"/>
          <w:u w:val="single"/>
        </w:rPr>
        <w:t>h</w:t>
      </w:r>
      <w:r w:rsidRPr="005C28ED">
        <w:rPr>
          <w:rFonts w:asciiTheme="majorBidi" w:hAnsiTheme="majorBidi" w:cstheme="majorBidi"/>
          <w:i/>
          <w:iCs/>
          <w:sz w:val="20"/>
          <w:szCs w:val="20"/>
        </w:rPr>
        <w:t>ah fī at-Tasyri' al-Islāmī wa Najmuddin al-Thūfī</w:t>
      </w:r>
      <w:r>
        <w:rPr>
          <w:rFonts w:asciiTheme="majorBidi" w:eastAsiaTheme="minorHAnsi" w:hAnsiTheme="majorBidi" w:cstheme="majorBidi"/>
          <w:i/>
          <w:iCs/>
          <w:sz w:val="20"/>
          <w:szCs w:val="20"/>
        </w:rPr>
        <w:t xml:space="preserve"> </w:t>
      </w:r>
      <w:r>
        <w:rPr>
          <w:rFonts w:asciiTheme="majorBidi" w:eastAsiaTheme="minorHAnsi" w:hAnsiTheme="majorBidi" w:cstheme="majorBidi"/>
          <w:sz w:val="20"/>
          <w:szCs w:val="20"/>
        </w:rPr>
        <w:t>.(</w:t>
      </w:r>
      <w:r w:rsidRPr="008E720D">
        <w:rPr>
          <w:rFonts w:asciiTheme="majorBidi" w:eastAsiaTheme="minorHAnsi" w:hAnsiTheme="majorBidi" w:cstheme="majorBidi"/>
          <w:sz w:val="20"/>
          <w:szCs w:val="20"/>
        </w:rPr>
        <w:t xml:space="preserve"> Mesir: Dar al-Fikr al-Arabi</w:t>
      </w:r>
      <w:r>
        <w:rPr>
          <w:rFonts w:asciiTheme="majorBidi" w:eastAsiaTheme="minorHAnsi" w:hAnsiTheme="majorBidi" w:cstheme="majorBidi"/>
          <w:sz w:val="20"/>
          <w:szCs w:val="20"/>
        </w:rPr>
        <w:t>, 1954), h. 40</w:t>
      </w:r>
    </w:p>
  </w:footnote>
  <w:footnote w:id="99">
    <w:p w:rsidR="009677C3" w:rsidRDefault="009677C3" w:rsidP="00204CDE">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8E720D">
        <w:rPr>
          <w:rFonts w:asciiTheme="majorBidi" w:hAnsiTheme="majorBidi" w:cstheme="majorBidi"/>
        </w:rPr>
        <w:t xml:space="preserve">Najamuddin </w:t>
      </w:r>
      <w:r>
        <w:rPr>
          <w:rFonts w:asciiTheme="majorBidi" w:hAnsiTheme="majorBidi" w:cstheme="majorBidi"/>
        </w:rPr>
        <w:t>Al-</w:t>
      </w:r>
      <w:r w:rsidRPr="008E720D">
        <w:rPr>
          <w:rFonts w:asciiTheme="majorBidi" w:hAnsiTheme="majorBidi" w:cstheme="majorBidi"/>
        </w:rPr>
        <w:t>T</w:t>
      </w:r>
      <w:r>
        <w:rPr>
          <w:rFonts w:asciiTheme="majorBidi" w:hAnsiTheme="majorBidi" w:cstheme="majorBidi"/>
        </w:rPr>
        <w:t>h</w:t>
      </w:r>
      <w:r w:rsidRPr="00A93035">
        <w:rPr>
          <w:rFonts w:asciiTheme="majorBidi" w:hAnsiTheme="majorBidi" w:cstheme="majorBidi"/>
        </w:rPr>
        <w:t>ū</w:t>
      </w:r>
      <w:r w:rsidRPr="008E720D">
        <w:rPr>
          <w:rFonts w:asciiTheme="majorBidi" w:hAnsiTheme="majorBidi" w:cstheme="majorBidi"/>
        </w:rPr>
        <w:t>f</w:t>
      </w:r>
      <w:r w:rsidRPr="00A0625A">
        <w:rPr>
          <w:rFonts w:asciiTheme="majorBidi" w:hAnsiTheme="majorBidi" w:cstheme="majorBidi"/>
        </w:rPr>
        <w:t>ī</w:t>
      </w:r>
      <w:r w:rsidRPr="008E720D">
        <w:rPr>
          <w:rFonts w:asciiTheme="majorBidi" w:hAnsiTheme="majorBidi" w:cstheme="majorBidi"/>
        </w:rPr>
        <w:t xml:space="preserve">, </w:t>
      </w:r>
      <w:r>
        <w:rPr>
          <w:rFonts w:asciiTheme="majorBidi" w:hAnsiTheme="majorBidi" w:cstheme="majorBidi"/>
          <w:i/>
          <w:iCs/>
        </w:rPr>
        <w:t>Syarh al-Hadis Arba'in al</w:t>
      </w:r>
      <w:r w:rsidRPr="008E720D">
        <w:rPr>
          <w:rFonts w:asciiTheme="majorBidi" w:hAnsiTheme="majorBidi" w:cstheme="majorBidi"/>
          <w:i/>
          <w:iCs/>
        </w:rPr>
        <w:t xml:space="preserve">-Nawaiyah </w:t>
      </w:r>
      <w:r w:rsidRPr="008E720D">
        <w:rPr>
          <w:rFonts w:asciiTheme="majorBidi" w:hAnsiTheme="majorBidi" w:cstheme="majorBidi"/>
        </w:rPr>
        <w:t>dalam Mustafa</w:t>
      </w:r>
      <w:r>
        <w:rPr>
          <w:rFonts w:asciiTheme="majorBidi" w:hAnsiTheme="majorBidi" w:cstheme="majorBidi"/>
        </w:rPr>
        <w:t xml:space="preserve"> Zaid, </w:t>
      </w:r>
      <w:r w:rsidRPr="008E720D">
        <w:rPr>
          <w:rFonts w:asciiTheme="majorBidi" w:hAnsiTheme="majorBidi" w:cstheme="majorBidi"/>
        </w:rPr>
        <w:t xml:space="preserve"> </w:t>
      </w:r>
      <w:r w:rsidRPr="005C28ED">
        <w:rPr>
          <w:rFonts w:asciiTheme="majorBidi" w:hAnsiTheme="majorBidi" w:cstheme="majorBidi"/>
          <w:i/>
          <w:iCs/>
        </w:rPr>
        <w:t>Al-Masla</w:t>
      </w:r>
      <w:r w:rsidRPr="005C28ED">
        <w:rPr>
          <w:rFonts w:asciiTheme="majorBidi" w:hAnsiTheme="majorBidi" w:cstheme="majorBidi"/>
          <w:i/>
          <w:iCs/>
          <w:u w:val="single"/>
        </w:rPr>
        <w:t>h</w:t>
      </w:r>
      <w:r w:rsidRPr="005C28ED">
        <w:rPr>
          <w:rFonts w:asciiTheme="majorBidi" w:hAnsiTheme="majorBidi" w:cstheme="majorBidi"/>
          <w:i/>
          <w:iCs/>
        </w:rPr>
        <w:t>ah fī at-Tasyri' al-Islāmī wa Najmuddin al-Thūfī</w:t>
      </w:r>
      <w:r>
        <w:rPr>
          <w:rFonts w:asciiTheme="majorBidi" w:hAnsiTheme="majorBidi" w:cstheme="majorBidi"/>
        </w:rPr>
        <w:t>.(</w:t>
      </w:r>
      <w:r w:rsidRPr="008E720D">
        <w:rPr>
          <w:rFonts w:asciiTheme="majorBidi" w:hAnsiTheme="majorBidi" w:cstheme="majorBidi"/>
        </w:rPr>
        <w:t xml:space="preserve"> Mesir: Dar al-Fikr al-Arabi</w:t>
      </w:r>
      <w:r>
        <w:rPr>
          <w:rFonts w:asciiTheme="majorBidi" w:hAnsiTheme="majorBidi" w:cstheme="majorBidi"/>
        </w:rPr>
        <w:t>, 1954), h. 239</w:t>
      </w:r>
    </w:p>
  </w:footnote>
  <w:footnote w:id="100">
    <w:p w:rsidR="009677C3" w:rsidRDefault="009677C3" w:rsidP="005C28ED">
      <w:pPr>
        <w:pStyle w:val="FootnoteText"/>
        <w:jc w:val="both"/>
      </w:pPr>
      <w:r>
        <w:t xml:space="preserve"> </w:t>
      </w:r>
      <w:r>
        <w:tab/>
      </w:r>
      <w:r>
        <w:rPr>
          <w:rStyle w:val="FootnoteReference"/>
        </w:rPr>
        <w:footnoteRef/>
      </w:r>
      <w:r>
        <w:t xml:space="preserve"> </w:t>
      </w:r>
      <w:r>
        <w:rPr>
          <w:rFonts w:asciiTheme="majorBidi" w:hAnsiTheme="majorBidi" w:cstheme="majorBidi"/>
        </w:rPr>
        <w:t xml:space="preserve">Lihat. </w:t>
      </w:r>
      <w:r w:rsidRPr="008E720D">
        <w:rPr>
          <w:rFonts w:asciiTheme="majorBidi" w:hAnsiTheme="majorBidi" w:cstheme="majorBidi"/>
        </w:rPr>
        <w:t xml:space="preserve">Najamuddin </w:t>
      </w:r>
      <w:r>
        <w:rPr>
          <w:rFonts w:asciiTheme="majorBidi" w:hAnsiTheme="majorBidi" w:cstheme="majorBidi"/>
        </w:rPr>
        <w:t>Al-</w:t>
      </w:r>
      <w:r w:rsidRPr="008E720D">
        <w:rPr>
          <w:rFonts w:asciiTheme="majorBidi" w:hAnsiTheme="majorBidi" w:cstheme="majorBidi"/>
        </w:rPr>
        <w:t>T</w:t>
      </w:r>
      <w:r>
        <w:rPr>
          <w:rFonts w:asciiTheme="majorBidi" w:hAnsiTheme="majorBidi" w:cstheme="majorBidi"/>
        </w:rPr>
        <w:t>h</w:t>
      </w:r>
      <w:r w:rsidRPr="00A93035">
        <w:rPr>
          <w:rFonts w:asciiTheme="majorBidi" w:hAnsiTheme="majorBidi" w:cstheme="majorBidi"/>
        </w:rPr>
        <w:t>ū</w:t>
      </w:r>
      <w:r w:rsidRPr="008E720D">
        <w:rPr>
          <w:rFonts w:asciiTheme="majorBidi" w:hAnsiTheme="majorBidi" w:cstheme="majorBidi"/>
        </w:rPr>
        <w:t>f</w:t>
      </w:r>
      <w:r w:rsidRPr="00A0625A">
        <w:rPr>
          <w:rFonts w:asciiTheme="majorBidi" w:hAnsiTheme="majorBidi" w:cstheme="majorBidi"/>
        </w:rPr>
        <w:t>ī</w:t>
      </w:r>
      <w:r w:rsidRPr="008E720D">
        <w:rPr>
          <w:rFonts w:asciiTheme="majorBidi" w:hAnsiTheme="majorBidi" w:cstheme="majorBidi"/>
        </w:rPr>
        <w:t xml:space="preserve">, </w:t>
      </w:r>
      <w:r>
        <w:rPr>
          <w:rFonts w:asciiTheme="majorBidi" w:hAnsiTheme="majorBidi" w:cstheme="majorBidi"/>
          <w:i/>
          <w:iCs/>
        </w:rPr>
        <w:t>Syarh al-Hadis Arba'in al</w:t>
      </w:r>
      <w:r w:rsidRPr="008E720D">
        <w:rPr>
          <w:rFonts w:asciiTheme="majorBidi" w:hAnsiTheme="majorBidi" w:cstheme="majorBidi"/>
          <w:i/>
          <w:iCs/>
        </w:rPr>
        <w:t xml:space="preserve">-Nawaiyah </w:t>
      </w:r>
      <w:r w:rsidRPr="008E720D">
        <w:rPr>
          <w:rFonts w:asciiTheme="majorBidi" w:hAnsiTheme="majorBidi" w:cstheme="majorBidi"/>
        </w:rPr>
        <w:t>dalam Mustafa</w:t>
      </w:r>
      <w:r>
        <w:rPr>
          <w:rFonts w:asciiTheme="majorBidi" w:hAnsiTheme="majorBidi" w:cstheme="majorBidi"/>
        </w:rPr>
        <w:t xml:space="preserve"> Zaid, </w:t>
      </w:r>
      <w:r w:rsidRPr="008E720D">
        <w:rPr>
          <w:rFonts w:asciiTheme="majorBidi" w:hAnsiTheme="majorBidi" w:cstheme="majorBidi"/>
        </w:rPr>
        <w:t xml:space="preserve"> </w:t>
      </w:r>
      <w:r w:rsidRPr="005C28ED">
        <w:rPr>
          <w:rFonts w:asciiTheme="majorBidi" w:hAnsiTheme="majorBidi" w:cstheme="majorBidi"/>
          <w:i/>
          <w:iCs/>
        </w:rPr>
        <w:t>Al-Masla</w:t>
      </w:r>
      <w:r w:rsidRPr="005C28ED">
        <w:rPr>
          <w:rFonts w:asciiTheme="majorBidi" w:hAnsiTheme="majorBidi" w:cstheme="majorBidi"/>
          <w:i/>
          <w:iCs/>
          <w:u w:val="single"/>
        </w:rPr>
        <w:t>h</w:t>
      </w:r>
      <w:r w:rsidRPr="005C28ED">
        <w:rPr>
          <w:rFonts w:asciiTheme="majorBidi" w:hAnsiTheme="majorBidi" w:cstheme="majorBidi"/>
          <w:i/>
          <w:iCs/>
        </w:rPr>
        <w:t>ah fī at-Tasyri' al-Islāmī wa Najmuddin al-Thūfī</w:t>
      </w:r>
      <w:r>
        <w:rPr>
          <w:rFonts w:asciiTheme="majorBidi" w:hAnsiTheme="majorBidi" w:cstheme="majorBidi"/>
        </w:rPr>
        <w:t>. (</w:t>
      </w:r>
      <w:r w:rsidRPr="008E720D">
        <w:rPr>
          <w:rFonts w:asciiTheme="majorBidi" w:hAnsiTheme="majorBidi" w:cstheme="majorBidi"/>
        </w:rPr>
        <w:t xml:space="preserve"> Mesir: Dar al-Fikr al-Arabi</w:t>
      </w:r>
      <w:r>
        <w:rPr>
          <w:rFonts w:asciiTheme="majorBidi" w:hAnsiTheme="majorBidi" w:cstheme="majorBidi"/>
        </w:rPr>
        <w:t>, 1954), h. 125</w:t>
      </w:r>
    </w:p>
  </w:footnote>
  <w:footnote w:id="101">
    <w:p w:rsidR="009677C3" w:rsidRPr="00F13604" w:rsidRDefault="009677C3" w:rsidP="005B0B8B">
      <w:pPr>
        <w:pStyle w:val="FootnoteText"/>
        <w:ind w:firstLine="720"/>
        <w:jc w:val="both"/>
        <w:rPr>
          <w:rFonts w:asciiTheme="majorBidi" w:hAnsiTheme="majorBidi" w:cstheme="majorBidi"/>
        </w:rPr>
      </w:pPr>
      <w:r w:rsidRPr="00F13604">
        <w:rPr>
          <w:rStyle w:val="FootnoteReference"/>
          <w:rFonts w:asciiTheme="majorBidi" w:hAnsiTheme="majorBidi" w:cstheme="majorBidi"/>
        </w:rPr>
        <w:footnoteRef/>
      </w:r>
      <w:r w:rsidRPr="00F13604">
        <w:rPr>
          <w:rFonts w:asciiTheme="majorBidi" w:hAnsiTheme="majorBidi" w:cstheme="majorBidi"/>
        </w:rPr>
        <w:t xml:space="preserve"> </w:t>
      </w:r>
      <w:r w:rsidRPr="00F13604">
        <w:rPr>
          <w:rFonts w:asciiTheme="majorBidi" w:eastAsiaTheme="minorHAnsi" w:hAnsiTheme="majorBidi" w:cstheme="majorBidi"/>
        </w:rPr>
        <w:t xml:space="preserve">Al-Ghazālī, </w:t>
      </w:r>
      <w:r w:rsidRPr="00F13604">
        <w:rPr>
          <w:rFonts w:asciiTheme="majorBidi" w:eastAsiaTheme="minorHAnsi" w:hAnsiTheme="majorBidi" w:cstheme="majorBidi"/>
          <w:i/>
          <w:iCs/>
        </w:rPr>
        <w:t>al-Mustaṣfā,</w:t>
      </w:r>
      <w:r w:rsidRPr="00F13604">
        <w:rPr>
          <w:rFonts w:asciiTheme="majorBidi" w:hAnsiTheme="majorBidi" w:cstheme="majorBidi"/>
          <w:i/>
          <w:iCs/>
        </w:rPr>
        <w:t xml:space="preserve"> Min ‘</w:t>
      </w:r>
      <w:r w:rsidRPr="00F13604">
        <w:rPr>
          <w:rFonts w:asciiTheme="majorBidi" w:eastAsiaTheme="minorHAnsi" w:hAnsiTheme="majorBidi" w:cstheme="majorBidi"/>
          <w:i/>
          <w:iCs/>
        </w:rPr>
        <w:t>Ilm al-Uṣūl</w:t>
      </w:r>
      <w:r>
        <w:rPr>
          <w:rFonts w:asciiTheme="majorBidi" w:hAnsiTheme="majorBidi" w:cstheme="majorBidi"/>
        </w:rPr>
        <w:t xml:space="preserve">, ( </w:t>
      </w:r>
      <w:r w:rsidRPr="00F13604">
        <w:rPr>
          <w:rFonts w:asciiTheme="majorBidi" w:eastAsiaTheme="minorHAnsi" w:hAnsiTheme="majorBidi" w:cstheme="majorBidi"/>
        </w:rPr>
        <w:t xml:space="preserve"> Kairo: Dā</w:t>
      </w:r>
      <w:r>
        <w:rPr>
          <w:rFonts w:asciiTheme="majorBidi" w:hAnsiTheme="majorBidi" w:cstheme="majorBidi"/>
        </w:rPr>
        <w:t>r al-Fikr, 1936), h.</w:t>
      </w:r>
      <w:r w:rsidRPr="00F13604">
        <w:rPr>
          <w:rFonts w:asciiTheme="majorBidi" w:eastAsiaTheme="minorHAnsi" w:hAnsiTheme="majorBidi" w:cstheme="majorBidi"/>
          <w:i/>
          <w:iCs/>
        </w:rPr>
        <w:t xml:space="preserve"> </w:t>
      </w:r>
      <w:r w:rsidRPr="00F13604">
        <w:rPr>
          <w:rFonts w:asciiTheme="majorBidi" w:hAnsiTheme="majorBidi" w:cstheme="majorBidi"/>
        </w:rPr>
        <w:t>287.</w:t>
      </w:r>
    </w:p>
  </w:footnote>
  <w:footnote w:id="102">
    <w:p w:rsidR="009677C3" w:rsidRPr="00856809" w:rsidRDefault="009677C3" w:rsidP="005B0B8B">
      <w:pPr>
        <w:pStyle w:val="FootnoteText"/>
        <w:ind w:firstLine="720"/>
        <w:jc w:val="both"/>
        <w:rPr>
          <w:lang w:val="sv-SE"/>
        </w:rPr>
      </w:pPr>
      <w:r w:rsidRPr="009E72E1">
        <w:rPr>
          <w:rStyle w:val="FootnoteReference"/>
          <w:rFonts w:asciiTheme="majorBidi" w:hAnsiTheme="majorBidi" w:cstheme="majorBidi"/>
        </w:rPr>
        <w:footnoteRef/>
      </w:r>
      <w:r w:rsidRPr="009E72E1">
        <w:rPr>
          <w:rFonts w:asciiTheme="majorBidi" w:hAnsiTheme="majorBidi" w:cstheme="majorBidi"/>
          <w:lang w:val="sv-SE"/>
        </w:rPr>
        <w:t xml:space="preserve"> </w:t>
      </w:r>
      <w:r w:rsidRPr="00BC12A7">
        <w:rPr>
          <w:rFonts w:asciiTheme="majorBidi" w:hAnsiTheme="majorBidi" w:cstheme="majorBidi"/>
          <w:lang w:val="sv-SE"/>
        </w:rPr>
        <w:t>Lihat.</w:t>
      </w:r>
      <w:r w:rsidRPr="00BC12A7">
        <w:rPr>
          <w:lang w:val="sv-SE"/>
        </w:rPr>
        <w:t xml:space="preserve"> </w:t>
      </w:r>
      <w:r w:rsidRPr="009E72E1">
        <w:rPr>
          <w:rFonts w:asciiTheme="majorBidi" w:hAnsiTheme="majorBidi" w:cstheme="majorBidi"/>
          <w:lang w:val="sv-SE" w:eastAsia="en-GB"/>
        </w:rPr>
        <w:t xml:space="preserve">Muhammad Taufiki, </w:t>
      </w:r>
      <w:r w:rsidRPr="009E72E1">
        <w:rPr>
          <w:rFonts w:asciiTheme="majorBidi" w:hAnsiTheme="majorBidi" w:cstheme="majorBidi"/>
          <w:i/>
          <w:iCs/>
          <w:lang w:val="sv-SE" w:eastAsia="en-GB"/>
        </w:rPr>
        <w:t xml:space="preserve">Penarapan Konsep Ijtihad Tathbiqi </w:t>
      </w:r>
      <w:r>
        <w:rPr>
          <w:rFonts w:asciiTheme="majorBidi" w:hAnsiTheme="majorBidi" w:cstheme="majorBidi"/>
          <w:i/>
          <w:iCs/>
          <w:lang w:val="sv-SE" w:eastAsia="en-GB"/>
        </w:rPr>
        <w:t>Al- Syāthibī</w:t>
      </w:r>
      <w:r w:rsidRPr="009E72E1">
        <w:rPr>
          <w:rFonts w:asciiTheme="majorBidi" w:hAnsiTheme="majorBidi" w:cstheme="majorBidi"/>
          <w:i/>
          <w:iCs/>
          <w:lang w:val="sv-SE" w:eastAsia="en-GB"/>
        </w:rPr>
        <w:t xml:space="preserve"> dalam Fatwa MUI: Kajian Terhadap fatwa tahun 1997-2007</w:t>
      </w:r>
      <w:r w:rsidRPr="009E72E1">
        <w:rPr>
          <w:rFonts w:asciiTheme="majorBidi" w:hAnsiTheme="majorBidi" w:cstheme="majorBidi"/>
          <w:lang w:val="sv-SE" w:eastAsia="en-GB"/>
        </w:rPr>
        <w:t>), ibid, h. 4</w:t>
      </w:r>
    </w:p>
  </w:footnote>
  <w:footnote w:id="103">
    <w:p w:rsidR="009677C3" w:rsidRPr="00A467FF" w:rsidRDefault="009677C3" w:rsidP="005B0B8B">
      <w:pPr>
        <w:pStyle w:val="FootnoteText"/>
        <w:ind w:firstLine="720"/>
        <w:jc w:val="both"/>
        <w:rPr>
          <w:lang w:val="sv-SE"/>
        </w:rPr>
      </w:pPr>
      <w:r>
        <w:rPr>
          <w:rStyle w:val="FootnoteReference"/>
        </w:rPr>
        <w:footnoteRef/>
      </w:r>
      <w:r w:rsidRPr="00BC12A7">
        <w:rPr>
          <w:rFonts w:asciiTheme="majorBidi" w:hAnsiTheme="majorBidi" w:cstheme="majorBidi"/>
        </w:rPr>
        <w:t>Lihat.</w:t>
      </w:r>
      <w:r>
        <w:t xml:space="preserve"> </w:t>
      </w:r>
      <w:r w:rsidRPr="00A467FF">
        <w:rPr>
          <w:lang w:val="sv-SE"/>
        </w:rPr>
        <w:t xml:space="preserve"> </w:t>
      </w:r>
      <w:r w:rsidRPr="00A467FF">
        <w:rPr>
          <w:rFonts w:asciiTheme="majorBidi" w:hAnsiTheme="majorBidi" w:cstheme="majorBidi"/>
          <w:lang w:val="sv-SE"/>
        </w:rPr>
        <w:t xml:space="preserve">Ali Ahmad Al-Nadwi, </w:t>
      </w:r>
      <w:r w:rsidRPr="00A467FF">
        <w:rPr>
          <w:rFonts w:asciiTheme="majorBidi" w:hAnsiTheme="majorBidi" w:cstheme="majorBidi"/>
          <w:i/>
          <w:iCs/>
          <w:lang w:val="sv-SE"/>
        </w:rPr>
        <w:t>Al-Qawaid Al-Fiqhiyah</w:t>
      </w:r>
      <w:r w:rsidRPr="00A467FF">
        <w:rPr>
          <w:rFonts w:asciiTheme="majorBidi" w:hAnsiTheme="majorBidi" w:cstheme="majorBidi"/>
          <w:lang w:val="sv-SE"/>
        </w:rPr>
        <w:t xml:space="preserve">, ( Damascus: </w:t>
      </w:r>
      <w:r>
        <w:rPr>
          <w:rFonts w:asciiTheme="majorBidi" w:hAnsiTheme="majorBidi" w:cstheme="majorBidi"/>
          <w:lang w:val="sv-SE"/>
        </w:rPr>
        <w:t>Dār</w:t>
      </w:r>
      <w:r w:rsidRPr="00A467FF">
        <w:rPr>
          <w:rFonts w:asciiTheme="majorBidi" w:hAnsiTheme="majorBidi" w:cstheme="majorBidi"/>
          <w:lang w:val="sv-SE"/>
        </w:rPr>
        <w:t>Al-Qalam, t.th), h. 158</w:t>
      </w:r>
    </w:p>
  </w:footnote>
  <w:footnote w:id="104">
    <w:p w:rsidR="009677C3" w:rsidRPr="00693EB7" w:rsidRDefault="009677C3" w:rsidP="005B0B8B">
      <w:pPr>
        <w:spacing w:after="0"/>
        <w:ind w:firstLine="720"/>
        <w:jc w:val="both"/>
        <w:rPr>
          <w:rFonts w:asciiTheme="majorBidi" w:hAnsiTheme="majorBidi" w:cstheme="majorBidi"/>
          <w:sz w:val="20"/>
          <w:szCs w:val="20"/>
          <w:lang w:val="sv-SE"/>
        </w:rPr>
      </w:pPr>
      <w:r>
        <w:rPr>
          <w:rStyle w:val="FootnoteReference"/>
        </w:rPr>
        <w:footnoteRef/>
      </w:r>
      <w:r w:rsidRPr="00A2319D">
        <w:rPr>
          <w:lang w:val="sv-SE"/>
        </w:rPr>
        <w:t xml:space="preserve"> </w:t>
      </w:r>
      <w:r w:rsidRPr="00693EB7">
        <w:rPr>
          <w:rFonts w:asciiTheme="majorBidi" w:hAnsiTheme="majorBidi" w:cstheme="majorBidi"/>
          <w:lang w:val="sv-SE"/>
        </w:rPr>
        <w:t>Lihat.</w:t>
      </w:r>
      <w:r w:rsidRPr="00693EB7">
        <w:rPr>
          <w:lang w:val="sv-SE"/>
        </w:rPr>
        <w:t xml:space="preserve"> </w:t>
      </w:r>
      <w:r w:rsidRPr="00A467FF">
        <w:rPr>
          <w:rFonts w:asciiTheme="majorBidi" w:hAnsiTheme="majorBidi" w:cstheme="majorBidi"/>
          <w:color w:val="000000"/>
          <w:sz w:val="20"/>
          <w:szCs w:val="20"/>
          <w:lang w:val="sv-SE"/>
        </w:rPr>
        <w:t xml:space="preserve">Muhamad bin Ahmad bin Abi Sahal Al-Sarakhsyi, </w:t>
      </w:r>
      <w:r w:rsidRPr="00A467FF">
        <w:rPr>
          <w:rFonts w:asciiTheme="majorBidi" w:hAnsiTheme="majorBidi" w:cstheme="majorBidi"/>
          <w:i/>
          <w:iCs/>
          <w:color w:val="000000"/>
          <w:sz w:val="20"/>
          <w:szCs w:val="20"/>
          <w:lang w:val="sv-SE"/>
        </w:rPr>
        <w:t>Usul al-Sarakhsi</w:t>
      </w:r>
      <w:r w:rsidRPr="00A467FF">
        <w:rPr>
          <w:rFonts w:asciiTheme="majorBidi" w:hAnsiTheme="majorBidi" w:cstheme="majorBidi"/>
          <w:color w:val="000000"/>
          <w:sz w:val="20"/>
          <w:szCs w:val="20"/>
          <w:lang w:val="sv-SE"/>
        </w:rPr>
        <w:t xml:space="preserve">, ( Bairut : </w:t>
      </w:r>
      <w:r>
        <w:rPr>
          <w:rFonts w:asciiTheme="majorBidi" w:hAnsiTheme="majorBidi" w:cstheme="majorBidi"/>
          <w:color w:val="000000"/>
          <w:sz w:val="20"/>
          <w:szCs w:val="20"/>
          <w:lang w:val="sv-SE"/>
        </w:rPr>
        <w:t>Dār</w:t>
      </w:r>
      <w:r w:rsidRPr="00A467FF">
        <w:rPr>
          <w:rFonts w:asciiTheme="majorBidi" w:hAnsiTheme="majorBidi" w:cstheme="majorBidi"/>
          <w:color w:val="000000"/>
          <w:sz w:val="20"/>
          <w:szCs w:val="20"/>
          <w:lang w:val="sv-SE"/>
        </w:rPr>
        <w:t xml:space="preserve">Al-Kutub Al-‘ilmiyah, 1414 H/ 1993 </w:t>
      </w:r>
      <w:r w:rsidRPr="00693EB7">
        <w:rPr>
          <w:rFonts w:asciiTheme="majorBidi" w:hAnsiTheme="majorBidi" w:cstheme="majorBidi"/>
          <w:color w:val="000000"/>
          <w:sz w:val="20"/>
          <w:szCs w:val="20"/>
          <w:lang w:val="sv-SE"/>
        </w:rPr>
        <w:t>M), Jilid 2, h. 182</w:t>
      </w:r>
    </w:p>
  </w:footnote>
  <w:footnote w:id="105">
    <w:p w:rsidR="009677C3" w:rsidRPr="00856809" w:rsidRDefault="009677C3" w:rsidP="00C012EC">
      <w:pPr>
        <w:pStyle w:val="FootnoteText"/>
        <w:ind w:firstLine="720"/>
        <w:jc w:val="both"/>
        <w:rPr>
          <w:rFonts w:asciiTheme="majorBidi" w:hAnsiTheme="majorBidi" w:cstheme="majorBidi"/>
          <w:lang w:val="sv-SE"/>
        </w:rPr>
      </w:pPr>
      <w:r w:rsidRPr="00511669">
        <w:rPr>
          <w:rStyle w:val="FootnoteReference"/>
        </w:rPr>
        <w:footnoteRef/>
      </w:r>
      <w:r w:rsidRPr="00A2319D">
        <w:rPr>
          <w:lang w:val="sv-SE"/>
        </w:rPr>
        <w:t xml:space="preserve"> </w:t>
      </w:r>
      <w:r w:rsidRPr="00693EB7">
        <w:rPr>
          <w:rFonts w:asciiTheme="majorBidi" w:hAnsiTheme="majorBidi" w:cstheme="majorBidi"/>
          <w:lang w:val="sv-SE"/>
        </w:rPr>
        <w:t>Lihat.</w:t>
      </w:r>
      <w:r w:rsidRPr="00693EB7">
        <w:rPr>
          <w:lang w:val="sv-SE"/>
        </w:rPr>
        <w:t xml:space="preserve"> </w:t>
      </w:r>
      <w:r w:rsidRPr="00511669">
        <w:rPr>
          <w:rFonts w:asciiTheme="majorBidi" w:hAnsiTheme="majorBidi" w:cstheme="majorBidi"/>
          <w:lang w:val="sv-SE" w:eastAsia="en-GB"/>
        </w:rPr>
        <w:t xml:space="preserve">Muhammad Taufiki, </w:t>
      </w:r>
      <w:r w:rsidRPr="00511669">
        <w:rPr>
          <w:rFonts w:asciiTheme="majorBidi" w:hAnsiTheme="majorBidi" w:cstheme="majorBidi"/>
          <w:i/>
          <w:iCs/>
          <w:lang w:val="sv-SE" w:eastAsia="en-GB"/>
        </w:rPr>
        <w:t xml:space="preserve">Penarapan Konsep Ijtihad Tathbiqi </w:t>
      </w:r>
      <w:r>
        <w:rPr>
          <w:rFonts w:asciiTheme="majorBidi" w:hAnsiTheme="majorBidi" w:cstheme="majorBidi"/>
          <w:i/>
          <w:iCs/>
          <w:lang w:val="sv-SE" w:eastAsia="en-GB"/>
        </w:rPr>
        <w:t>Al-Syāthibī</w:t>
      </w:r>
      <w:r w:rsidRPr="00511669">
        <w:rPr>
          <w:rFonts w:asciiTheme="majorBidi" w:hAnsiTheme="majorBidi" w:cstheme="majorBidi"/>
          <w:i/>
          <w:iCs/>
          <w:lang w:val="sv-SE" w:eastAsia="en-GB"/>
        </w:rPr>
        <w:t xml:space="preserve"> dalam Fatwa MUI: Kajian Terhadap fatwa tahun 1997-2007.</w:t>
      </w:r>
      <w:r w:rsidRPr="00511669">
        <w:rPr>
          <w:rFonts w:asciiTheme="majorBidi" w:hAnsiTheme="majorBidi" w:cstheme="majorBidi"/>
          <w:lang w:val="sv-SE" w:eastAsia="en-GB"/>
        </w:rPr>
        <w:t>( Jakarta: Disertas</w:t>
      </w:r>
      <w:r>
        <w:rPr>
          <w:rFonts w:asciiTheme="majorBidi" w:hAnsiTheme="majorBidi" w:cstheme="majorBidi"/>
          <w:lang w:val="sv-SE" w:eastAsia="en-GB"/>
        </w:rPr>
        <w:t>i Doktor UIN Jakarta, 2008), h.</w:t>
      </w:r>
      <w:r w:rsidRPr="00511669">
        <w:rPr>
          <w:rFonts w:asciiTheme="majorBidi" w:hAnsiTheme="majorBidi" w:cstheme="majorBidi"/>
          <w:lang w:val="sv-SE" w:eastAsia="en-GB"/>
        </w:rPr>
        <w:t>3</w:t>
      </w:r>
    </w:p>
  </w:footnote>
  <w:footnote w:id="106">
    <w:p w:rsidR="009677C3" w:rsidRPr="00107B70" w:rsidRDefault="009677C3" w:rsidP="00E8589A">
      <w:pPr>
        <w:pStyle w:val="FootnoteText"/>
        <w:ind w:firstLine="720"/>
        <w:jc w:val="both"/>
        <w:rPr>
          <w:rFonts w:asciiTheme="majorBidi" w:hAnsiTheme="majorBidi" w:cstheme="majorBidi"/>
        </w:rPr>
      </w:pPr>
      <w:r w:rsidRPr="00B06B2C">
        <w:rPr>
          <w:rStyle w:val="FootnoteReference"/>
          <w:rFonts w:asciiTheme="majorBidi" w:hAnsiTheme="majorBidi" w:cstheme="majorBidi"/>
        </w:rPr>
        <w:footnoteRef/>
      </w:r>
      <w:r w:rsidRPr="00B06B2C">
        <w:rPr>
          <w:rFonts w:asciiTheme="majorBidi" w:hAnsiTheme="majorBidi" w:cstheme="majorBidi"/>
          <w:lang w:val="id-ID"/>
        </w:rPr>
        <w:t xml:space="preserve"> </w:t>
      </w:r>
      <w:r w:rsidRPr="00BC12A7">
        <w:rPr>
          <w:rFonts w:asciiTheme="majorBidi" w:hAnsiTheme="majorBidi" w:cstheme="majorBidi"/>
          <w:lang w:val="sv-SE"/>
        </w:rPr>
        <w:t>L</w:t>
      </w:r>
      <w:r w:rsidRPr="00107B70">
        <w:rPr>
          <w:rFonts w:asciiTheme="majorBidi" w:hAnsiTheme="majorBidi" w:cstheme="majorBidi"/>
          <w:lang w:val="sv-SE"/>
        </w:rPr>
        <w:t xml:space="preserve">ihat. </w:t>
      </w:r>
      <w:r w:rsidRPr="00107B70">
        <w:rPr>
          <w:rFonts w:asciiTheme="majorBidi" w:hAnsiTheme="majorBidi" w:cstheme="majorBidi"/>
          <w:lang w:val="id-ID"/>
        </w:rPr>
        <w:t xml:space="preserve">Thahir bin Asyur, </w:t>
      </w:r>
      <w:r w:rsidRPr="00E8589A">
        <w:rPr>
          <w:rFonts w:asciiTheme="majorBidi" w:hAnsiTheme="majorBidi" w:cstheme="majorBidi"/>
          <w:i/>
          <w:iCs/>
          <w:lang w:val="sv-SE"/>
        </w:rPr>
        <w:t>Maqāṣid Al-Sharī</w:t>
      </w:r>
      <w:r w:rsidRPr="00E8589A">
        <w:rPr>
          <w:lang w:val="sv-SE"/>
        </w:rPr>
        <w:t>‘</w:t>
      </w:r>
      <w:r w:rsidRPr="00E8589A">
        <w:rPr>
          <w:rFonts w:asciiTheme="majorBidi" w:hAnsiTheme="majorBidi" w:cstheme="majorBidi"/>
          <w:i/>
          <w:iCs/>
          <w:lang w:val="sv-SE"/>
        </w:rPr>
        <w:t xml:space="preserve">Ah </w:t>
      </w:r>
      <w:r w:rsidRPr="00455983">
        <w:rPr>
          <w:rFonts w:asciiTheme="majorBidi" w:hAnsiTheme="majorBidi" w:cstheme="majorBidi"/>
          <w:i/>
          <w:iCs/>
          <w:lang w:val="id-ID"/>
        </w:rPr>
        <w:t>Al-Isl</w:t>
      </w:r>
      <w:r w:rsidRPr="00E8589A">
        <w:rPr>
          <w:rFonts w:asciiTheme="majorBidi" w:hAnsiTheme="majorBidi" w:cstheme="majorBidi"/>
          <w:i/>
          <w:iCs/>
          <w:lang w:val="sv-SE"/>
        </w:rPr>
        <w:t>ā</w:t>
      </w:r>
      <w:r w:rsidRPr="00455983">
        <w:rPr>
          <w:rFonts w:asciiTheme="majorBidi" w:hAnsiTheme="majorBidi" w:cstheme="majorBidi"/>
          <w:i/>
          <w:iCs/>
          <w:lang w:val="id-ID"/>
        </w:rPr>
        <w:t>mi</w:t>
      </w:r>
      <w:r w:rsidRPr="00E8589A">
        <w:rPr>
          <w:rFonts w:asciiTheme="majorBidi" w:hAnsiTheme="majorBidi" w:cstheme="majorBidi"/>
          <w:i/>
          <w:iCs/>
          <w:lang w:val="sv-SE"/>
        </w:rPr>
        <w:t>y</w:t>
      </w:r>
      <w:r w:rsidRPr="00455983">
        <w:rPr>
          <w:rFonts w:asciiTheme="majorBidi" w:hAnsiTheme="majorBidi" w:cstheme="majorBidi"/>
          <w:i/>
          <w:iCs/>
          <w:lang w:val="id-ID"/>
        </w:rPr>
        <w:t>ah</w:t>
      </w:r>
      <w:r w:rsidRPr="00107B70">
        <w:rPr>
          <w:rFonts w:asciiTheme="majorBidi" w:hAnsiTheme="majorBidi" w:cstheme="majorBidi"/>
          <w:i/>
          <w:iCs/>
          <w:lang w:val="id-ID"/>
        </w:rPr>
        <w:t>,</w:t>
      </w:r>
      <w:r w:rsidRPr="00107B70">
        <w:rPr>
          <w:rFonts w:asciiTheme="majorBidi" w:hAnsiTheme="majorBidi" w:cstheme="majorBidi"/>
          <w:lang w:val="id-ID"/>
        </w:rPr>
        <w:t xml:space="preserve"> ditahkik dan dikomentari oleh Muhammad al-Thahir al-Misawiy, (Kuala Lumpur: Darul Fajr, cet. </w:t>
      </w:r>
      <w:r w:rsidRPr="00107B70">
        <w:rPr>
          <w:rFonts w:asciiTheme="majorBidi" w:hAnsiTheme="majorBidi" w:cstheme="majorBidi"/>
        </w:rPr>
        <w:t>I, 1999)</w:t>
      </w:r>
      <w:r w:rsidRPr="00107B70">
        <w:rPr>
          <w:rFonts w:asciiTheme="majorBidi" w:hAnsiTheme="majorBidi" w:cstheme="majorBidi"/>
          <w:lang w:val="id-ID"/>
        </w:rPr>
        <w:t xml:space="preserve">, hal. </w:t>
      </w:r>
      <w:r w:rsidRPr="00107B70">
        <w:rPr>
          <w:rFonts w:asciiTheme="majorBidi" w:hAnsiTheme="majorBidi" w:cstheme="majorBidi"/>
        </w:rPr>
        <w:t>268</w:t>
      </w:r>
    </w:p>
  </w:footnote>
  <w:footnote w:id="107">
    <w:p w:rsidR="009677C3" w:rsidRPr="00107B70" w:rsidRDefault="009677C3" w:rsidP="00107B70">
      <w:pPr>
        <w:pStyle w:val="FootnoteText"/>
        <w:ind w:firstLine="720"/>
        <w:jc w:val="both"/>
        <w:rPr>
          <w:rFonts w:asciiTheme="majorBidi" w:hAnsiTheme="majorBidi" w:cstheme="majorBidi"/>
        </w:rPr>
      </w:pPr>
      <w:r w:rsidRPr="00107B70">
        <w:rPr>
          <w:rStyle w:val="FootnoteReference"/>
          <w:rFonts w:asciiTheme="majorBidi" w:hAnsiTheme="majorBidi" w:cstheme="majorBidi"/>
        </w:rPr>
        <w:footnoteRef/>
      </w:r>
      <w:r w:rsidRPr="00107B70">
        <w:rPr>
          <w:rFonts w:asciiTheme="majorBidi" w:hAnsiTheme="majorBidi" w:cstheme="majorBidi"/>
        </w:rPr>
        <w:t xml:space="preserve"> Lihat. Moh. </w:t>
      </w:r>
      <w:r w:rsidRPr="00107B70">
        <w:rPr>
          <w:rFonts w:asciiTheme="majorBidi" w:hAnsiTheme="majorBidi" w:cstheme="majorBidi"/>
          <w:lang w:val="id-ID"/>
        </w:rPr>
        <w:t>Mahfud</w:t>
      </w:r>
      <w:r w:rsidRPr="00107B70">
        <w:rPr>
          <w:rFonts w:asciiTheme="majorBidi" w:hAnsiTheme="majorBidi" w:cstheme="majorBidi"/>
        </w:rPr>
        <w:t xml:space="preserve"> MD</w:t>
      </w:r>
      <w:r w:rsidRPr="00107B70">
        <w:rPr>
          <w:rFonts w:asciiTheme="majorBidi" w:hAnsiTheme="majorBidi" w:cstheme="majorBidi"/>
          <w:lang w:val="id-ID"/>
        </w:rPr>
        <w:t xml:space="preserve">, </w:t>
      </w:r>
      <w:r w:rsidRPr="00107B70">
        <w:rPr>
          <w:rFonts w:asciiTheme="majorBidi" w:hAnsiTheme="majorBidi" w:cstheme="majorBidi"/>
          <w:i/>
          <w:iCs/>
          <w:lang w:val="id-ID"/>
        </w:rPr>
        <w:t>Politik H</w:t>
      </w:r>
      <w:r w:rsidRPr="00107B70">
        <w:rPr>
          <w:rFonts w:asciiTheme="majorBidi" w:hAnsiTheme="majorBidi" w:cstheme="majorBidi"/>
          <w:i/>
          <w:iCs/>
          <w:lang w:val="en-ID"/>
        </w:rPr>
        <w:t>u</w:t>
      </w:r>
      <w:r w:rsidRPr="00107B70">
        <w:rPr>
          <w:rFonts w:asciiTheme="majorBidi" w:hAnsiTheme="majorBidi" w:cstheme="majorBidi"/>
          <w:i/>
          <w:iCs/>
          <w:lang w:val="id-ID"/>
        </w:rPr>
        <w:t>k</w:t>
      </w:r>
      <w:r w:rsidRPr="00107B70">
        <w:rPr>
          <w:rFonts w:asciiTheme="majorBidi" w:hAnsiTheme="majorBidi" w:cstheme="majorBidi"/>
          <w:i/>
          <w:iCs/>
          <w:lang w:val="en-ID"/>
        </w:rPr>
        <w:t>um</w:t>
      </w:r>
      <w:r w:rsidRPr="00107B70">
        <w:rPr>
          <w:rFonts w:asciiTheme="majorBidi" w:hAnsiTheme="majorBidi" w:cstheme="majorBidi"/>
          <w:i/>
          <w:iCs/>
          <w:lang w:val="id-ID"/>
        </w:rPr>
        <w:t xml:space="preserve"> di Indonesia</w:t>
      </w:r>
      <w:r w:rsidRPr="00107B70">
        <w:rPr>
          <w:rFonts w:asciiTheme="majorBidi" w:hAnsiTheme="majorBidi" w:cstheme="majorBidi"/>
          <w:lang w:val="id-ID"/>
        </w:rPr>
        <w:t xml:space="preserve">, </w:t>
      </w:r>
      <w:r w:rsidRPr="00107B70">
        <w:rPr>
          <w:rFonts w:asciiTheme="majorBidi" w:hAnsiTheme="majorBidi" w:cstheme="majorBidi"/>
          <w:lang w:val="en-ID"/>
        </w:rPr>
        <w:t xml:space="preserve">(Jakarta: </w:t>
      </w:r>
      <w:r w:rsidRPr="00107B70">
        <w:rPr>
          <w:rFonts w:asciiTheme="majorBidi" w:hAnsiTheme="majorBidi" w:cstheme="majorBidi"/>
        </w:rPr>
        <w:t>Raja Grapindo Persada</w:t>
      </w:r>
      <w:r w:rsidRPr="00107B70">
        <w:rPr>
          <w:rFonts w:asciiTheme="majorBidi" w:hAnsiTheme="majorBidi" w:cstheme="majorBidi"/>
          <w:lang w:val="id-ID"/>
        </w:rPr>
        <w:t>, 20</w:t>
      </w:r>
      <w:r w:rsidRPr="00107B70">
        <w:rPr>
          <w:rFonts w:asciiTheme="majorBidi" w:hAnsiTheme="majorBidi" w:cstheme="majorBidi"/>
        </w:rPr>
        <w:t>14</w:t>
      </w:r>
      <w:r w:rsidRPr="00107B70">
        <w:rPr>
          <w:rFonts w:asciiTheme="majorBidi" w:hAnsiTheme="majorBidi" w:cstheme="majorBidi"/>
          <w:lang w:val="en-ID"/>
        </w:rPr>
        <w:t>), h. 1-2</w:t>
      </w:r>
    </w:p>
  </w:footnote>
  <w:footnote w:id="108">
    <w:p w:rsidR="009677C3" w:rsidRPr="00107B70" w:rsidRDefault="009677C3" w:rsidP="00107B70">
      <w:pPr>
        <w:pStyle w:val="FootnoteText"/>
        <w:ind w:firstLine="720"/>
        <w:jc w:val="both"/>
        <w:rPr>
          <w:rFonts w:asciiTheme="majorBidi" w:hAnsiTheme="majorBidi" w:cstheme="majorBidi"/>
        </w:rPr>
      </w:pPr>
      <w:r w:rsidRPr="00107B70">
        <w:rPr>
          <w:rStyle w:val="FootnoteReference"/>
          <w:rFonts w:asciiTheme="majorBidi" w:hAnsiTheme="majorBidi" w:cstheme="majorBidi"/>
        </w:rPr>
        <w:footnoteRef/>
      </w:r>
      <w:r w:rsidRPr="00107B70">
        <w:rPr>
          <w:rFonts w:asciiTheme="majorBidi" w:hAnsiTheme="majorBidi" w:cstheme="majorBidi"/>
        </w:rPr>
        <w:t xml:space="preserve"> Lihat.</w:t>
      </w:r>
      <w:r w:rsidRPr="00107B70">
        <w:rPr>
          <w:rFonts w:asciiTheme="majorBidi" w:hAnsiTheme="majorBidi" w:cstheme="majorBidi"/>
          <w:lang w:val="id-ID"/>
        </w:rPr>
        <w:t>Teuku M. Radhie, “Pembaruan dan Politk Hukum dalam Rangka Pem</w:t>
      </w:r>
      <w:r w:rsidRPr="00107B70">
        <w:rPr>
          <w:rFonts w:asciiTheme="majorBidi" w:hAnsiTheme="majorBidi" w:cstheme="majorBidi"/>
          <w:lang w:val="en-ID"/>
        </w:rPr>
        <w:t>b</w:t>
      </w:r>
      <w:r w:rsidRPr="00107B70">
        <w:rPr>
          <w:rFonts w:asciiTheme="majorBidi" w:hAnsiTheme="majorBidi" w:cstheme="majorBidi"/>
          <w:lang w:val="id-ID"/>
        </w:rPr>
        <w:t>a</w:t>
      </w:r>
      <w:r w:rsidRPr="00107B70">
        <w:rPr>
          <w:rFonts w:asciiTheme="majorBidi" w:hAnsiTheme="majorBidi" w:cstheme="majorBidi"/>
          <w:lang w:val="en-ID"/>
        </w:rPr>
        <w:t>n</w:t>
      </w:r>
      <w:r w:rsidRPr="00107B70">
        <w:rPr>
          <w:rFonts w:asciiTheme="majorBidi" w:hAnsiTheme="majorBidi" w:cstheme="majorBidi"/>
          <w:lang w:val="id-ID"/>
        </w:rPr>
        <w:t xml:space="preserve">gunan </w:t>
      </w:r>
      <w:r w:rsidRPr="00107B70">
        <w:rPr>
          <w:rFonts w:asciiTheme="majorBidi" w:hAnsiTheme="majorBidi" w:cstheme="majorBidi"/>
          <w:lang w:val="en-ID"/>
        </w:rPr>
        <w:t>N</w:t>
      </w:r>
      <w:r w:rsidRPr="00107B70">
        <w:rPr>
          <w:rFonts w:asciiTheme="majorBidi" w:hAnsiTheme="majorBidi" w:cstheme="majorBidi"/>
          <w:lang w:val="id-ID"/>
        </w:rPr>
        <w:t xml:space="preserve">asional, dalam </w:t>
      </w:r>
      <w:r w:rsidRPr="00107B70">
        <w:rPr>
          <w:rFonts w:asciiTheme="majorBidi" w:hAnsiTheme="majorBidi" w:cstheme="majorBidi"/>
          <w:i/>
          <w:iCs/>
          <w:lang w:val="id-ID"/>
        </w:rPr>
        <w:t>Prisma</w:t>
      </w:r>
      <w:r w:rsidRPr="00107B70">
        <w:rPr>
          <w:rFonts w:asciiTheme="majorBidi" w:hAnsiTheme="majorBidi" w:cstheme="majorBidi"/>
          <w:lang w:val="id-ID"/>
        </w:rPr>
        <w:t xml:space="preserve">, No. 5, Th. II, Desember 1973, h. </w:t>
      </w:r>
      <w:r w:rsidRPr="00107B70">
        <w:rPr>
          <w:rFonts w:asciiTheme="majorBidi" w:hAnsiTheme="majorBidi" w:cstheme="majorBidi"/>
        </w:rPr>
        <w:t>3</w:t>
      </w:r>
      <w:r w:rsidRPr="00107B70">
        <w:rPr>
          <w:rFonts w:asciiTheme="majorBidi" w:hAnsiTheme="majorBidi" w:cstheme="majorBidi"/>
          <w:lang w:val="id-ID"/>
        </w:rPr>
        <w:t>.</w:t>
      </w:r>
    </w:p>
  </w:footnote>
  <w:footnote w:id="109">
    <w:p w:rsidR="009677C3" w:rsidRPr="00107B70" w:rsidRDefault="009677C3" w:rsidP="00107B70">
      <w:pPr>
        <w:pStyle w:val="FootnoteText"/>
        <w:ind w:firstLine="720"/>
        <w:jc w:val="both"/>
        <w:rPr>
          <w:rFonts w:asciiTheme="majorBidi" w:hAnsiTheme="majorBidi" w:cstheme="majorBidi"/>
          <w:lang w:val="en-ID"/>
        </w:rPr>
      </w:pPr>
      <w:r w:rsidRPr="00107B70">
        <w:rPr>
          <w:rStyle w:val="FootnoteReference"/>
          <w:rFonts w:asciiTheme="majorBidi" w:hAnsiTheme="majorBidi" w:cstheme="majorBidi"/>
        </w:rPr>
        <w:footnoteRef/>
      </w:r>
      <w:r w:rsidRPr="00107B70">
        <w:rPr>
          <w:rFonts w:asciiTheme="majorBidi" w:hAnsiTheme="majorBidi" w:cstheme="majorBidi"/>
        </w:rPr>
        <w:t xml:space="preserve"> Lihat. </w:t>
      </w:r>
      <w:r w:rsidRPr="00107B70">
        <w:rPr>
          <w:rFonts w:asciiTheme="majorBidi" w:hAnsiTheme="majorBidi" w:cstheme="majorBidi"/>
          <w:lang w:val="id-ID"/>
        </w:rPr>
        <w:t>Hikmahanto Juwono, “Politik Hukum UU bidang Ekonomi di Indonesia”, Hand out Kuliah Kebijakan Pembangunan Hukum Program Doktro (S3) UII</w:t>
      </w:r>
      <w:r w:rsidRPr="00107B70">
        <w:rPr>
          <w:rFonts w:asciiTheme="majorBidi" w:hAnsiTheme="majorBidi" w:cstheme="majorBidi"/>
          <w:lang w:val="en-ID"/>
        </w:rPr>
        <w:t>.</w:t>
      </w:r>
    </w:p>
  </w:footnote>
  <w:footnote w:id="110">
    <w:p w:rsidR="009677C3" w:rsidRPr="00107B70" w:rsidRDefault="009677C3" w:rsidP="00107B70">
      <w:pPr>
        <w:pStyle w:val="FootnoteText"/>
        <w:ind w:firstLine="720"/>
        <w:jc w:val="both"/>
        <w:rPr>
          <w:rFonts w:asciiTheme="majorBidi" w:hAnsiTheme="majorBidi" w:cstheme="majorBidi"/>
          <w:lang w:val="en-ID"/>
        </w:rPr>
      </w:pPr>
      <w:r w:rsidRPr="00107B70">
        <w:rPr>
          <w:rStyle w:val="FootnoteReference"/>
          <w:rFonts w:asciiTheme="majorBidi" w:hAnsiTheme="majorBidi" w:cstheme="majorBidi"/>
        </w:rPr>
        <w:footnoteRef/>
      </w:r>
      <w:r w:rsidRPr="00107B70">
        <w:rPr>
          <w:rFonts w:asciiTheme="majorBidi" w:hAnsiTheme="majorBidi" w:cstheme="majorBidi"/>
        </w:rPr>
        <w:t xml:space="preserve"> Lihat. </w:t>
      </w:r>
      <w:r w:rsidRPr="00107B70">
        <w:rPr>
          <w:rFonts w:asciiTheme="majorBidi" w:hAnsiTheme="majorBidi" w:cstheme="majorBidi"/>
          <w:lang w:val="id-ID"/>
        </w:rPr>
        <w:t>Baqir Manan, “Mengkaji Ulang Syariah dan Hukum Menuju Pembangunan H</w:t>
      </w:r>
      <w:r w:rsidRPr="00107B70">
        <w:rPr>
          <w:rFonts w:asciiTheme="majorBidi" w:hAnsiTheme="majorBidi" w:cstheme="majorBidi"/>
          <w:lang w:val="en-ID"/>
        </w:rPr>
        <w:t>u</w:t>
      </w:r>
      <w:r w:rsidRPr="00107B70">
        <w:rPr>
          <w:rFonts w:asciiTheme="majorBidi" w:hAnsiTheme="majorBidi" w:cstheme="majorBidi"/>
          <w:lang w:val="id-ID"/>
        </w:rPr>
        <w:t>k</w:t>
      </w:r>
      <w:r w:rsidRPr="00107B70">
        <w:rPr>
          <w:rFonts w:asciiTheme="majorBidi" w:hAnsiTheme="majorBidi" w:cstheme="majorBidi"/>
          <w:lang w:val="en-ID"/>
        </w:rPr>
        <w:t>um</w:t>
      </w:r>
      <w:r w:rsidRPr="00107B70">
        <w:rPr>
          <w:rFonts w:asciiTheme="majorBidi" w:hAnsiTheme="majorBidi" w:cstheme="majorBidi"/>
          <w:lang w:val="id-ID"/>
        </w:rPr>
        <w:t xml:space="preserve"> Nasional”, makalah diskusi panel F</w:t>
      </w:r>
      <w:r w:rsidRPr="00107B70">
        <w:rPr>
          <w:rFonts w:asciiTheme="majorBidi" w:hAnsiTheme="majorBidi" w:cstheme="majorBidi"/>
          <w:lang w:val="en-ID"/>
        </w:rPr>
        <w:t xml:space="preserve">akultas </w:t>
      </w:r>
      <w:r w:rsidRPr="00107B70">
        <w:rPr>
          <w:rFonts w:asciiTheme="majorBidi" w:hAnsiTheme="majorBidi" w:cstheme="majorBidi"/>
          <w:lang w:val="id-ID"/>
        </w:rPr>
        <w:t>H</w:t>
      </w:r>
      <w:r w:rsidRPr="00107B70">
        <w:rPr>
          <w:rFonts w:asciiTheme="majorBidi" w:hAnsiTheme="majorBidi" w:cstheme="majorBidi"/>
          <w:lang w:val="en-ID"/>
        </w:rPr>
        <w:t>ukum</w:t>
      </w:r>
      <w:r w:rsidRPr="00107B70">
        <w:rPr>
          <w:rFonts w:asciiTheme="majorBidi" w:hAnsiTheme="majorBidi" w:cstheme="majorBidi"/>
          <w:lang w:val="id-ID"/>
        </w:rPr>
        <w:t xml:space="preserve"> Uni</w:t>
      </w:r>
      <w:r w:rsidRPr="00107B70">
        <w:rPr>
          <w:rFonts w:asciiTheme="majorBidi" w:hAnsiTheme="majorBidi" w:cstheme="majorBidi"/>
          <w:lang w:val="en-ID"/>
        </w:rPr>
        <w:t>versitas B</w:t>
      </w:r>
      <w:r w:rsidRPr="00107B70">
        <w:rPr>
          <w:rFonts w:asciiTheme="majorBidi" w:hAnsiTheme="majorBidi" w:cstheme="majorBidi"/>
          <w:lang w:val="id-ID"/>
        </w:rPr>
        <w:t>ra</w:t>
      </w:r>
      <w:r w:rsidRPr="00107B70">
        <w:rPr>
          <w:rFonts w:asciiTheme="majorBidi" w:hAnsiTheme="majorBidi" w:cstheme="majorBidi"/>
          <w:lang w:val="en-ID"/>
        </w:rPr>
        <w:t>wijaya</w:t>
      </w:r>
      <w:r w:rsidRPr="00107B70">
        <w:rPr>
          <w:rFonts w:asciiTheme="majorBidi" w:hAnsiTheme="majorBidi" w:cstheme="majorBidi"/>
          <w:lang w:val="id-ID"/>
        </w:rPr>
        <w:t xml:space="preserve"> Malang t</w:t>
      </w:r>
      <w:r w:rsidRPr="00107B70">
        <w:rPr>
          <w:rFonts w:asciiTheme="majorBidi" w:hAnsiTheme="majorBidi" w:cstheme="majorBidi"/>
          <w:lang w:val="en-ID"/>
        </w:rPr>
        <w:t>an</w:t>
      </w:r>
      <w:r w:rsidRPr="00107B70">
        <w:rPr>
          <w:rFonts w:asciiTheme="majorBidi" w:hAnsiTheme="majorBidi" w:cstheme="majorBidi"/>
          <w:lang w:val="id-ID"/>
        </w:rPr>
        <w:t>g</w:t>
      </w:r>
      <w:r w:rsidRPr="00107B70">
        <w:rPr>
          <w:rFonts w:asciiTheme="majorBidi" w:hAnsiTheme="majorBidi" w:cstheme="majorBidi"/>
          <w:lang w:val="en-ID"/>
        </w:rPr>
        <w:t>gal</w:t>
      </w:r>
      <w:r w:rsidRPr="00107B70">
        <w:rPr>
          <w:rFonts w:asciiTheme="majorBidi" w:hAnsiTheme="majorBidi" w:cstheme="majorBidi"/>
          <w:lang w:val="id-ID"/>
        </w:rPr>
        <w:t xml:space="preserve"> 4 Juli 1994, h. 17-18</w:t>
      </w:r>
      <w:r w:rsidRPr="00107B70">
        <w:rPr>
          <w:rFonts w:asciiTheme="majorBidi" w:hAnsiTheme="majorBidi" w:cstheme="majorBidi"/>
          <w:lang w:val="en-ID"/>
        </w:rPr>
        <w:t>.</w:t>
      </w:r>
    </w:p>
  </w:footnote>
  <w:footnote w:id="111">
    <w:p w:rsidR="009677C3" w:rsidRPr="00107B70" w:rsidRDefault="009677C3" w:rsidP="00107B70">
      <w:pPr>
        <w:pStyle w:val="FootnoteText"/>
        <w:ind w:firstLine="720"/>
        <w:jc w:val="both"/>
        <w:rPr>
          <w:rFonts w:asciiTheme="majorBidi" w:hAnsiTheme="majorBidi" w:cstheme="majorBidi"/>
          <w:lang w:val="en-ID"/>
        </w:rPr>
      </w:pPr>
      <w:r w:rsidRPr="00107B70">
        <w:rPr>
          <w:rStyle w:val="FootnoteReference"/>
          <w:rFonts w:asciiTheme="majorBidi" w:hAnsiTheme="majorBidi" w:cstheme="majorBidi"/>
        </w:rPr>
        <w:footnoteRef/>
      </w:r>
      <w:r w:rsidRPr="00107B70">
        <w:rPr>
          <w:rFonts w:asciiTheme="majorBidi" w:hAnsiTheme="majorBidi" w:cstheme="majorBidi"/>
        </w:rPr>
        <w:t xml:space="preserve"> Lihat. </w:t>
      </w:r>
      <w:r w:rsidRPr="00107B70">
        <w:rPr>
          <w:rFonts w:asciiTheme="majorBidi" w:hAnsiTheme="majorBidi" w:cstheme="majorBidi"/>
          <w:lang w:val="id-ID"/>
        </w:rPr>
        <w:t xml:space="preserve">C.F.G. Sunaryati Hartono, </w:t>
      </w:r>
      <w:r w:rsidRPr="00107B70">
        <w:rPr>
          <w:rFonts w:asciiTheme="majorBidi" w:hAnsiTheme="majorBidi" w:cstheme="majorBidi"/>
          <w:i/>
          <w:iCs/>
          <w:lang w:val="id-ID"/>
        </w:rPr>
        <w:t>Politk Hukum menuju Satu Sistem Hukum Nasional</w:t>
      </w:r>
      <w:r w:rsidRPr="00107B70">
        <w:rPr>
          <w:rFonts w:asciiTheme="majorBidi" w:hAnsiTheme="majorBidi" w:cstheme="majorBidi"/>
          <w:lang w:val="id-ID"/>
        </w:rPr>
        <w:t>. Bandung: Alumni, 1999, h. 69</w:t>
      </w:r>
      <w:r w:rsidRPr="00107B70">
        <w:rPr>
          <w:rFonts w:asciiTheme="majorBidi" w:hAnsiTheme="majorBidi" w:cstheme="majorBidi"/>
          <w:lang w:val="en-ID"/>
        </w:rPr>
        <w:t>.</w:t>
      </w:r>
    </w:p>
  </w:footnote>
  <w:footnote w:id="112">
    <w:p w:rsidR="009677C3" w:rsidRPr="00107B70" w:rsidRDefault="009677C3" w:rsidP="00107B70">
      <w:pPr>
        <w:pStyle w:val="FootnoteText"/>
        <w:ind w:firstLine="720"/>
        <w:jc w:val="both"/>
        <w:rPr>
          <w:rFonts w:asciiTheme="majorBidi" w:hAnsiTheme="majorBidi" w:cstheme="majorBidi"/>
        </w:rPr>
      </w:pPr>
      <w:r w:rsidRPr="00107B70">
        <w:rPr>
          <w:rStyle w:val="FootnoteReference"/>
          <w:rFonts w:asciiTheme="majorBidi" w:hAnsiTheme="majorBidi" w:cstheme="majorBidi"/>
        </w:rPr>
        <w:footnoteRef/>
      </w:r>
      <w:r w:rsidRPr="00107B70">
        <w:rPr>
          <w:rFonts w:asciiTheme="majorBidi" w:hAnsiTheme="majorBidi" w:cstheme="majorBidi"/>
        </w:rPr>
        <w:t xml:space="preserve"> Lihat. Moh. </w:t>
      </w:r>
      <w:r w:rsidRPr="00107B70">
        <w:rPr>
          <w:rFonts w:asciiTheme="majorBidi" w:hAnsiTheme="majorBidi" w:cstheme="majorBidi"/>
          <w:lang w:val="id-ID"/>
        </w:rPr>
        <w:t>Mahfud</w:t>
      </w:r>
      <w:r w:rsidRPr="00107B70">
        <w:rPr>
          <w:rFonts w:asciiTheme="majorBidi" w:hAnsiTheme="majorBidi" w:cstheme="majorBidi"/>
        </w:rPr>
        <w:t xml:space="preserve"> MD</w:t>
      </w:r>
      <w:r w:rsidRPr="00107B70">
        <w:rPr>
          <w:rFonts w:asciiTheme="majorBidi" w:hAnsiTheme="majorBidi" w:cstheme="majorBidi"/>
          <w:lang w:val="id-ID"/>
        </w:rPr>
        <w:t xml:space="preserve">, </w:t>
      </w:r>
      <w:r w:rsidRPr="00107B70">
        <w:rPr>
          <w:rFonts w:asciiTheme="majorBidi" w:hAnsiTheme="majorBidi" w:cstheme="majorBidi"/>
          <w:i/>
          <w:iCs/>
          <w:lang w:val="id-ID"/>
        </w:rPr>
        <w:t>Politik H</w:t>
      </w:r>
      <w:r w:rsidRPr="00107B70">
        <w:rPr>
          <w:rFonts w:asciiTheme="majorBidi" w:hAnsiTheme="majorBidi" w:cstheme="majorBidi"/>
          <w:i/>
          <w:iCs/>
          <w:lang w:val="en-ID"/>
        </w:rPr>
        <w:t>u</w:t>
      </w:r>
      <w:r w:rsidRPr="00107B70">
        <w:rPr>
          <w:rFonts w:asciiTheme="majorBidi" w:hAnsiTheme="majorBidi" w:cstheme="majorBidi"/>
          <w:i/>
          <w:iCs/>
          <w:lang w:val="id-ID"/>
        </w:rPr>
        <w:t>k</w:t>
      </w:r>
      <w:r w:rsidRPr="00107B70">
        <w:rPr>
          <w:rFonts w:asciiTheme="majorBidi" w:hAnsiTheme="majorBidi" w:cstheme="majorBidi"/>
          <w:i/>
          <w:iCs/>
          <w:lang w:val="en-ID"/>
        </w:rPr>
        <w:t>um</w:t>
      </w:r>
      <w:r w:rsidRPr="00107B70">
        <w:rPr>
          <w:rFonts w:asciiTheme="majorBidi" w:hAnsiTheme="majorBidi" w:cstheme="majorBidi"/>
          <w:i/>
          <w:iCs/>
          <w:lang w:val="id-ID"/>
        </w:rPr>
        <w:t xml:space="preserve"> di Indonesia</w:t>
      </w:r>
      <w:r w:rsidRPr="00107B70">
        <w:rPr>
          <w:rFonts w:asciiTheme="majorBidi" w:hAnsiTheme="majorBidi" w:cstheme="majorBidi"/>
          <w:lang w:val="id-ID"/>
        </w:rPr>
        <w:t xml:space="preserve">, </w:t>
      </w:r>
      <w:r w:rsidRPr="00107B70">
        <w:rPr>
          <w:rFonts w:asciiTheme="majorBidi" w:hAnsiTheme="majorBidi" w:cstheme="majorBidi"/>
          <w:lang w:val="en-ID"/>
        </w:rPr>
        <w:t xml:space="preserve">(Jakarta: </w:t>
      </w:r>
      <w:r w:rsidRPr="00107B70">
        <w:rPr>
          <w:rFonts w:asciiTheme="majorBidi" w:hAnsiTheme="majorBidi" w:cstheme="majorBidi"/>
        </w:rPr>
        <w:t>Raja Grapindo Persada</w:t>
      </w:r>
      <w:r w:rsidRPr="00107B70">
        <w:rPr>
          <w:rFonts w:asciiTheme="majorBidi" w:hAnsiTheme="majorBidi" w:cstheme="majorBidi"/>
          <w:lang w:val="id-ID"/>
        </w:rPr>
        <w:t>, 20</w:t>
      </w:r>
      <w:r w:rsidRPr="00107B70">
        <w:rPr>
          <w:rFonts w:asciiTheme="majorBidi" w:hAnsiTheme="majorBidi" w:cstheme="majorBidi"/>
        </w:rPr>
        <w:t>14</w:t>
      </w:r>
      <w:r w:rsidRPr="00107B70">
        <w:rPr>
          <w:rFonts w:asciiTheme="majorBidi" w:hAnsiTheme="majorBidi" w:cstheme="majorBidi"/>
          <w:lang w:val="en-ID"/>
        </w:rPr>
        <w:t>), h. 1-2</w:t>
      </w:r>
    </w:p>
  </w:footnote>
  <w:footnote w:id="113">
    <w:p w:rsidR="009677C3" w:rsidRPr="00107B70" w:rsidRDefault="009677C3" w:rsidP="00107B70">
      <w:pPr>
        <w:pStyle w:val="FootnoteText"/>
        <w:ind w:firstLine="720"/>
        <w:jc w:val="both"/>
        <w:rPr>
          <w:rFonts w:asciiTheme="majorBidi" w:hAnsiTheme="majorBidi" w:cstheme="majorBidi"/>
        </w:rPr>
      </w:pPr>
      <w:r w:rsidRPr="00107B70">
        <w:rPr>
          <w:rStyle w:val="FootnoteReference"/>
          <w:rFonts w:asciiTheme="majorBidi" w:hAnsiTheme="majorBidi" w:cstheme="majorBidi"/>
        </w:rPr>
        <w:footnoteRef/>
      </w:r>
      <w:r w:rsidRPr="00107B70">
        <w:rPr>
          <w:rFonts w:asciiTheme="majorBidi" w:hAnsiTheme="majorBidi" w:cstheme="majorBidi"/>
        </w:rPr>
        <w:t xml:space="preserve"> Lihat. Moh. </w:t>
      </w:r>
      <w:r w:rsidRPr="00107B70">
        <w:rPr>
          <w:rFonts w:asciiTheme="majorBidi" w:hAnsiTheme="majorBidi" w:cstheme="majorBidi"/>
          <w:lang w:val="id-ID"/>
        </w:rPr>
        <w:t>Mahfud</w:t>
      </w:r>
      <w:r w:rsidRPr="00107B70">
        <w:rPr>
          <w:rFonts w:asciiTheme="majorBidi" w:hAnsiTheme="majorBidi" w:cstheme="majorBidi"/>
        </w:rPr>
        <w:t xml:space="preserve"> MD</w:t>
      </w:r>
      <w:r w:rsidRPr="00107B70">
        <w:rPr>
          <w:rFonts w:asciiTheme="majorBidi" w:hAnsiTheme="majorBidi" w:cstheme="majorBidi"/>
          <w:lang w:val="id-ID"/>
        </w:rPr>
        <w:t xml:space="preserve">, </w:t>
      </w:r>
      <w:r w:rsidRPr="00107B70">
        <w:rPr>
          <w:rFonts w:asciiTheme="majorBidi" w:hAnsiTheme="majorBidi" w:cstheme="majorBidi"/>
          <w:i/>
          <w:iCs/>
          <w:lang w:val="id-ID"/>
        </w:rPr>
        <w:t>Politik H</w:t>
      </w:r>
      <w:r w:rsidRPr="00107B70">
        <w:rPr>
          <w:rFonts w:asciiTheme="majorBidi" w:hAnsiTheme="majorBidi" w:cstheme="majorBidi"/>
          <w:i/>
          <w:iCs/>
          <w:lang w:val="en-ID"/>
        </w:rPr>
        <w:t>u</w:t>
      </w:r>
      <w:r w:rsidRPr="00107B70">
        <w:rPr>
          <w:rFonts w:asciiTheme="majorBidi" w:hAnsiTheme="majorBidi" w:cstheme="majorBidi"/>
          <w:i/>
          <w:iCs/>
          <w:lang w:val="id-ID"/>
        </w:rPr>
        <w:t>k</w:t>
      </w:r>
      <w:r w:rsidRPr="00107B70">
        <w:rPr>
          <w:rFonts w:asciiTheme="majorBidi" w:hAnsiTheme="majorBidi" w:cstheme="majorBidi"/>
          <w:i/>
          <w:iCs/>
          <w:lang w:val="en-ID"/>
        </w:rPr>
        <w:t>um</w:t>
      </w:r>
      <w:r w:rsidRPr="00107B70">
        <w:rPr>
          <w:rFonts w:asciiTheme="majorBidi" w:hAnsiTheme="majorBidi" w:cstheme="majorBidi"/>
          <w:i/>
          <w:iCs/>
          <w:lang w:val="id-ID"/>
        </w:rPr>
        <w:t xml:space="preserve"> di Indonesia</w:t>
      </w:r>
      <w:r w:rsidRPr="00107B70">
        <w:rPr>
          <w:rFonts w:asciiTheme="majorBidi" w:hAnsiTheme="majorBidi" w:cstheme="majorBidi"/>
          <w:lang w:val="id-ID"/>
        </w:rPr>
        <w:t xml:space="preserve">, </w:t>
      </w:r>
      <w:r w:rsidRPr="00107B70">
        <w:rPr>
          <w:rFonts w:asciiTheme="majorBidi" w:hAnsiTheme="majorBidi" w:cstheme="majorBidi"/>
          <w:lang w:val="en-ID"/>
        </w:rPr>
        <w:t xml:space="preserve">(Jakarta: </w:t>
      </w:r>
      <w:r w:rsidRPr="00107B70">
        <w:rPr>
          <w:rFonts w:asciiTheme="majorBidi" w:hAnsiTheme="majorBidi" w:cstheme="majorBidi"/>
        </w:rPr>
        <w:t>Raja Grapindo Persada</w:t>
      </w:r>
      <w:r w:rsidRPr="00107B70">
        <w:rPr>
          <w:rFonts w:asciiTheme="majorBidi" w:hAnsiTheme="majorBidi" w:cstheme="majorBidi"/>
          <w:lang w:val="id-ID"/>
        </w:rPr>
        <w:t>, 20</w:t>
      </w:r>
      <w:r w:rsidRPr="00107B70">
        <w:rPr>
          <w:rFonts w:asciiTheme="majorBidi" w:hAnsiTheme="majorBidi" w:cstheme="majorBidi"/>
        </w:rPr>
        <w:t>14</w:t>
      </w:r>
      <w:r w:rsidRPr="00107B70">
        <w:rPr>
          <w:rFonts w:asciiTheme="majorBidi" w:hAnsiTheme="majorBidi" w:cstheme="majorBidi"/>
          <w:lang w:val="en-ID"/>
        </w:rPr>
        <w:t>),</w:t>
      </w:r>
      <w:r w:rsidRPr="00107B70">
        <w:rPr>
          <w:rFonts w:asciiTheme="majorBidi" w:hAnsiTheme="majorBidi" w:cstheme="majorBidi"/>
        </w:rPr>
        <w:t xml:space="preserve"> h. 7, 19 dan 20 </w:t>
      </w:r>
    </w:p>
  </w:footnote>
  <w:footnote w:id="114">
    <w:p w:rsidR="009677C3" w:rsidRPr="00107B70" w:rsidRDefault="009677C3" w:rsidP="00107B70">
      <w:pPr>
        <w:pStyle w:val="FootnoteText"/>
        <w:ind w:firstLine="720"/>
        <w:jc w:val="both"/>
        <w:rPr>
          <w:rFonts w:asciiTheme="majorBidi" w:hAnsiTheme="majorBidi" w:cstheme="majorBidi"/>
        </w:rPr>
      </w:pPr>
      <w:r w:rsidRPr="00107B70">
        <w:rPr>
          <w:rStyle w:val="FootnoteReference"/>
          <w:rFonts w:asciiTheme="majorBidi" w:hAnsiTheme="majorBidi" w:cstheme="majorBidi"/>
        </w:rPr>
        <w:footnoteRef/>
      </w:r>
      <w:r w:rsidRPr="00107B70">
        <w:rPr>
          <w:rFonts w:asciiTheme="majorBidi" w:hAnsiTheme="majorBidi" w:cstheme="majorBidi"/>
        </w:rPr>
        <w:t xml:space="preserve"> Lihat. Moh. </w:t>
      </w:r>
      <w:r w:rsidRPr="00107B70">
        <w:rPr>
          <w:rFonts w:asciiTheme="majorBidi" w:hAnsiTheme="majorBidi" w:cstheme="majorBidi"/>
          <w:lang w:val="id-ID"/>
        </w:rPr>
        <w:t>Mahfud</w:t>
      </w:r>
      <w:r w:rsidRPr="00107B70">
        <w:rPr>
          <w:rFonts w:asciiTheme="majorBidi" w:hAnsiTheme="majorBidi" w:cstheme="majorBidi"/>
        </w:rPr>
        <w:t xml:space="preserve"> MD</w:t>
      </w:r>
      <w:r w:rsidRPr="00107B70">
        <w:rPr>
          <w:rFonts w:asciiTheme="majorBidi" w:hAnsiTheme="majorBidi" w:cstheme="majorBidi"/>
          <w:lang w:val="id-ID"/>
        </w:rPr>
        <w:t xml:space="preserve">, </w:t>
      </w:r>
      <w:r w:rsidRPr="00107B70">
        <w:rPr>
          <w:rFonts w:asciiTheme="majorBidi" w:hAnsiTheme="majorBidi" w:cstheme="majorBidi"/>
          <w:i/>
          <w:iCs/>
          <w:lang w:val="id-ID"/>
        </w:rPr>
        <w:t>Politik H</w:t>
      </w:r>
      <w:r w:rsidRPr="00107B70">
        <w:rPr>
          <w:rFonts w:asciiTheme="majorBidi" w:hAnsiTheme="majorBidi" w:cstheme="majorBidi"/>
          <w:i/>
          <w:iCs/>
          <w:lang w:val="en-ID"/>
        </w:rPr>
        <w:t>u</w:t>
      </w:r>
      <w:r w:rsidRPr="00107B70">
        <w:rPr>
          <w:rFonts w:asciiTheme="majorBidi" w:hAnsiTheme="majorBidi" w:cstheme="majorBidi"/>
          <w:i/>
          <w:iCs/>
          <w:lang w:val="id-ID"/>
        </w:rPr>
        <w:t>k</w:t>
      </w:r>
      <w:r w:rsidRPr="00107B70">
        <w:rPr>
          <w:rFonts w:asciiTheme="majorBidi" w:hAnsiTheme="majorBidi" w:cstheme="majorBidi"/>
          <w:i/>
          <w:iCs/>
          <w:lang w:val="en-ID"/>
        </w:rPr>
        <w:t>um</w:t>
      </w:r>
      <w:r w:rsidRPr="00107B70">
        <w:rPr>
          <w:rFonts w:asciiTheme="majorBidi" w:hAnsiTheme="majorBidi" w:cstheme="majorBidi"/>
          <w:i/>
          <w:iCs/>
          <w:lang w:val="id-ID"/>
        </w:rPr>
        <w:t xml:space="preserve"> di Indonesia</w:t>
      </w:r>
      <w:r w:rsidRPr="00107B70">
        <w:rPr>
          <w:rFonts w:asciiTheme="majorBidi" w:hAnsiTheme="majorBidi" w:cstheme="majorBidi"/>
          <w:lang w:val="id-ID"/>
        </w:rPr>
        <w:t xml:space="preserve">, </w:t>
      </w:r>
      <w:r w:rsidRPr="00107B70">
        <w:rPr>
          <w:rFonts w:asciiTheme="majorBidi" w:hAnsiTheme="majorBidi" w:cstheme="majorBidi"/>
          <w:lang w:val="en-ID"/>
        </w:rPr>
        <w:t xml:space="preserve">(Jakarta: </w:t>
      </w:r>
      <w:r w:rsidRPr="00107B70">
        <w:rPr>
          <w:rFonts w:asciiTheme="majorBidi" w:hAnsiTheme="majorBidi" w:cstheme="majorBidi"/>
        </w:rPr>
        <w:t>Raja Grapindo Persada</w:t>
      </w:r>
      <w:r w:rsidRPr="00107B70">
        <w:rPr>
          <w:rFonts w:asciiTheme="majorBidi" w:hAnsiTheme="majorBidi" w:cstheme="majorBidi"/>
          <w:lang w:val="id-ID"/>
        </w:rPr>
        <w:t>, 20</w:t>
      </w:r>
      <w:r w:rsidRPr="00107B70">
        <w:rPr>
          <w:rFonts w:asciiTheme="majorBidi" w:hAnsiTheme="majorBidi" w:cstheme="majorBidi"/>
        </w:rPr>
        <w:t>14</w:t>
      </w:r>
      <w:r w:rsidRPr="00107B70">
        <w:rPr>
          <w:rFonts w:asciiTheme="majorBidi" w:hAnsiTheme="majorBidi" w:cstheme="majorBidi"/>
          <w:lang w:val="en-ID"/>
        </w:rPr>
        <w:t>),</w:t>
      </w:r>
      <w:r w:rsidRPr="00107B70">
        <w:rPr>
          <w:rFonts w:asciiTheme="majorBidi" w:hAnsiTheme="majorBidi" w:cstheme="majorBidi"/>
        </w:rPr>
        <w:t xml:space="preserve"> h. 23</w:t>
      </w:r>
    </w:p>
  </w:footnote>
  <w:footnote w:id="115">
    <w:p w:rsidR="009677C3" w:rsidRPr="00CB26A7" w:rsidRDefault="009677C3" w:rsidP="00226FB5">
      <w:pPr>
        <w:pStyle w:val="FootnoteText"/>
        <w:ind w:firstLine="720"/>
        <w:jc w:val="both"/>
      </w:pPr>
      <w:r w:rsidRPr="00107B70">
        <w:rPr>
          <w:rStyle w:val="FootnoteReference"/>
          <w:rFonts w:asciiTheme="majorBidi" w:hAnsiTheme="majorBidi" w:cstheme="majorBidi"/>
        </w:rPr>
        <w:footnoteRef/>
      </w:r>
      <w:r w:rsidRPr="00107B70">
        <w:rPr>
          <w:rFonts w:asciiTheme="majorBidi" w:hAnsiTheme="majorBidi" w:cstheme="majorBidi"/>
        </w:rPr>
        <w:t xml:space="preserve"> Lihat. Moh. </w:t>
      </w:r>
      <w:r w:rsidRPr="00107B70">
        <w:rPr>
          <w:rFonts w:asciiTheme="majorBidi" w:hAnsiTheme="majorBidi" w:cstheme="majorBidi"/>
          <w:lang w:val="id-ID"/>
        </w:rPr>
        <w:t>Mahfud</w:t>
      </w:r>
      <w:r w:rsidRPr="00107B70">
        <w:rPr>
          <w:rFonts w:asciiTheme="majorBidi" w:hAnsiTheme="majorBidi" w:cstheme="majorBidi"/>
        </w:rPr>
        <w:t xml:space="preserve"> MD</w:t>
      </w:r>
      <w:r w:rsidRPr="00107B70">
        <w:rPr>
          <w:rFonts w:asciiTheme="majorBidi" w:hAnsiTheme="majorBidi" w:cstheme="majorBidi"/>
          <w:lang w:val="id-ID"/>
        </w:rPr>
        <w:t xml:space="preserve">, </w:t>
      </w:r>
      <w:r w:rsidRPr="00107B70">
        <w:rPr>
          <w:rFonts w:asciiTheme="majorBidi" w:hAnsiTheme="majorBidi" w:cstheme="majorBidi"/>
          <w:i/>
          <w:iCs/>
          <w:lang w:val="id-ID"/>
        </w:rPr>
        <w:t>Politik H</w:t>
      </w:r>
      <w:r w:rsidRPr="00107B70">
        <w:rPr>
          <w:rFonts w:asciiTheme="majorBidi" w:hAnsiTheme="majorBidi" w:cstheme="majorBidi"/>
          <w:i/>
          <w:iCs/>
          <w:lang w:val="en-ID"/>
        </w:rPr>
        <w:t>u</w:t>
      </w:r>
      <w:r w:rsidRPr="00107B70">
        <w:rPr>
          <w:rFonts w:asciiTheme="majorBidi" w:hAnsiTheme="majorBidi" w:cstheme="majorBidi"/>
          <w:i/>
          <w:iCs/>
          <w:lang w:val="id-ID"/>
        </w:rPr>
        <w:t>k</w:t>
      </w:r>
      <w:r w:rsidRPr="00107B70">
        <w:rPr>
          <w:rFonts w:asciiTheme="majorBidi" w:hAnsiTheme="majorBidi" w:cstheme="majorBidi"/>
          <w:i/>
          <w:iCs/>
          <w:lang w:val="en-ID"/>
        </w:rPr>
        <w:t>um</w:t>
      </w:r>
      <w:r w:rsidRPr="00107B70">
        <w:rPr>
          <w:rFonts w:asciiTheme="majorBidi" w:hAnsiTheme="majorBidi" w:cstheme="majorBidi"/>
          <w:i/>
          <w:iCs/>
          <w:lang w:val="id-ID"/>
        </w:rPr>
        <w:t xml:space="preserve"> di Indonesia</w:t>
      </w:r>
      <w:r w:rsidRPr="00107B70">
        <w:rPr>
          <w:rFonts w:asciiTheme="majorBidi" w:hAnsiTheme="majorBidi" w:cstheme="majorBidi"/>
          <w:lang w:val="id-ID"/>
        </w:rPr>
        <w:t xml:space="preserve">, </w:t>
      </w:r>
      <w:r w:rsidRPr="00107B70">
        <w:rPr>
          <w:rFonts w:asciiTheme="majorBidi" w:hAnsiTheme="majorBidi" w:cstheme="majorBidi"/>
          <w:lang w:val="en-ID"/>
        </w:rPr>
        <w:t xml:space="preserve">(Jakarta: </w:t>
      </w:r>
      <w:r w:rsidRPr="00107B70">
        <w:rPr>
          <w:rFonts w:asciiTheme="majorBidi" w:hAnsiTheme="majorBidi" w:cstheme="majorBidi"/>
        </w:rPr>
        <w:t>Raja Grapindo Persada</w:t>
      </w:r>
      <w:r w:rsidRPr="00107B70">
        <w:rPr>
          <w:rFonts w:asciiTheme="majorBidi" w:hAnsiTheme="majorBidi" w:cstheme="majorBidi"/>
          <w:lang w:val="id-ID"/>
        </w:rPr>
        <w:t>, 20</w:t>
      </w:r>
      <w:r w:rsidRPr="00107B70">
        <w:rPr>
          <w:rFonts w:asciiTheme="majorBidi" w:hAnsiTheme="majorBidi" w:cstheme="majorBidi"/>
        </w:rPr>
        <w:t>14</w:t>
      </w:r>
      <w:r w:rsidRPr="00107B70">
        <w:rPr>
          <w:rFonts w:asciiTheme="majorBidi" w:hAnsiTheme="majorBidi" w:cstheme="majorBidi"/>
          <w:lang w:val="en-ID"/>
        </w:rPr>
        <w:t>),</w:t>
      </w:r>
      <w:r w:rsidRPr="00107B70">
        <w:rPr>
          <w:rFonts w:asciiTheme="majorBidi" w:hAnsiTheme="majorBidi" w:cstheme="majorBidi"/>
        </w:rPr>
        <w:t xml:space="preserve"> h. 373</w:t>
      </w:r>
    </w:p>
  </w:footnote>
  <w:footnote w:id="116">
    <w:p w:rsidR="009677C3" w:rsidRPr="00C73F6B" w:rsidRDefault="009677C3" w:rsidP="00C008BA">
      <w:pPr>
        <w:spacing w:after="0" w:line="240" w:lineRule="auto"/>
        <w:ind w:firstLine="720"/>
        <w:jc w:val="both"/>
        <w:rPr>
          <w:rFonts w:asciiTheme="majorBidi" w:hAnsiTheme="majorBidi" w:cstheme="majorBidi"/>
          <w:sz w:val="20"/>
          <w:szCs w:val="20"/>
        </w:rPr>
      </w:pPr>
      <w:r w:rsidRPr="00000CF4">
        <w:rPr>
          <w:rStyle w:val="FootnoteReference"/>
          <w:sz w:val="20"/>
          <w:szCs w:val="20"/>
        </w:rPr>
        <w:footnoteRef/>
      </w:r>
      <w:r>
        <w:rPr>
          <w:rFonts w:asciiTheme="majorBidi" w:hAnsiTheme="majorBidi" w:cstheme="majorBidi"/>
          <w:sz w:val="20"/>
          <w:szCs w:val="20"/>
        </w:rPr>
        <w:t xml:space="preserve">. Lihat lebih lanjut: Munawir Sjadzali, </w:t>
      </w:r>
      <w:r w:rsidRPr="000147C1">
        <w:rPr>
          <w:rFonts w:asciiTheme="majorBidi" w:hAnsiTheme="majorBidi" w:cstheme="majorBidi"/>
          <w:i/>
          <w:iCs/>
          <w:sz w:val="20"/>
          <w:szCs w:val="20"/>
        </w:rPr>
        <w:t>Islam dan Tata Negara, Ajaran, Sejarah dan Pemikiran</w:t>
      </w:r>
      <w:r>
        <w:rPr>
          <w:rFonts w:asciiTheme="majorBidi" w:hAnsiTheme="majorBidi" w:cstheme="majorBidi"/>
          <w:sz w:val="20"/>
          <w:szCs w:val="20"/>
        </w:rPr>
        <w:t>,( Jakarta: UI Press, 1990), h. 67-69</w:t>
      </w:r>
    </w:p>
  </w:footnote>
  <w:footnote w:id="117">
    <w:p w:rsidR="009677C3" w:rsidRDefault="009677C3" w:rsidP="005B0B8B">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000CF4">
        <w:rPr>
          <w:rFonts w:asciiTheme="majorBidi" w:hAnsiTheme="majorBidi" w:cstheme="majorBidi"/>
        </w:rPr>
        <w:t xml:space="preserve">Masrizal, </w:t>
      </w:r>
      <w:r w:rsidRPr="00000CF4">
        <w:rPr>
          <w:rFonts w:asciiTheme="majorBidi" w:hAnsiTheme="majorBidi" w:cstheme="majorBidi"/>
          <w:i/>
          <w:iCs/>
        </w:rPr>
        <w:t>Pemikiran Politik Al-Mawardi</w:t>
      </w:r>
      <w:r>
        <w:rPr>
          <w:rFonts w:asciiTheme="majorBidi" w:hAnsiTheme="majorBidi" w:cstheme="majorBidi"/>
          <w:i/>
          <w:iCs/>
        </w:rPr>
        <w:t>,</w:t>
      </w:r>
      <w:r w:rsidRPr="000147C1">
        <w:rPr>
          <w:rFonts w:asciiTheme="majorBidi" w:hAnsiTheme="majorBidi" w:cstheme="majorBidi"/>
        </w:rPr>
        <w:t xml:space="preserve"> </w:t>
      </w:r>
      <w:r>
        <w:rPr>
          <w:rFonts w:asciiTheme="majorBidi" w:hAnsiTheme="majorBidi" w:cstheme="majorBidi"/>
        </w:rPr>
        <w:t xml:space="preserve">Makalah tidak di publikasikan, </w:t>
      </w:r>
      <w:r w:rsidRPr="00C73F6B">
        <w:rPr>
          <w:rFonts w:asciiTheme="majorBidi" w:hAnsiTheme="majorBidi" w:cstheme="majorBidi"/>
        </w:rPr>
        <w:t>h, 12</w:t>
      </w:r>
    </w:p>
  </w:footnote>
  <w:footnote w:id="118">
    <w:p w:rsidR="009677C3" w:rsidRDefault="009677C3" w:rsidP="005B0B8B">
      <w:pPr>
        <w:pStyle w:val="FootnoteText"/>
        <w:ind w:firstLine="720"/>
        <w:jc w:val="both"/>
      </w:pPr>
      <w:r>
        <w:rPr>
          <w:rStyle w:val="FootnoteReference"/>
        </w:rPr>
        <w:footnoteRef/>
      </w:r>
      <w:r>
        <w:t xml:space="preserve"> </w:t>
      </w:r>
      <w:r>
        <w:rPr>
          <w:rFonts w:asciiTheme="majorBidi" w:hAnsiTheme="majorBidi" w:cstheme="majorBidi"/>
        </w:rPr>
        <w:t xml:space="preserve">Di mana Al-Mawardi telah merumuskan teori </w:t>
      </w:r>
      <w:r w:rsidRPr="00000CF4">
        <w:rPr>
          <w:rFonts w:asciiTheme="majorBidi" w:hAnsiTheme="majorBidi" w:cstheme="majorBidi"/>
        </w:rPr>
        <w:t xml:space="preserve"> itu pada abad XI, sedangkan di Eropa teori kontrak sosial baru muncul untuk pertam</w:t>
      </w:r>
      <w:r>
        <w:rPr>
          <w:rFonts w:asciiTheme="majorBidi" w:hAnsiTheme="majorBidi" w:cstheme="majorBidi"/>
        </w:rPr>
        <w:t>a kalinya pada abad XVI.</w:t>
      </w:r>
      <w:r w:rsidRPr="001C53F4">
        <w:rPr>
          <w:rFonts w:asciiTheme="majorBidi" w:hAnsiTheme="majorBidi" w:cstheme="majorBidi"/>
        </w:rPr>
        <w:t xml:space="preserve"> </w:t>
      </w:r>
      <w:r>
        <w:rPr>
          <w:rFonts w:asciiTheme="majorBidi" w:hAnsiTheme="majorBidi" w:cstheme="majorBidi"/>
        </w:rPr>
        <w:t xml:space="preserve">Lihat. </w:t>
      </w:r>
      <w:r w:rsidRPr="00000CF4">
        <w:rPr>
          <w:rFonts w:asciiTheme="majorBidi" w:hAnsiTheme="majorBidi" w:cstheme="majorBidi"/>
        </w:rPr>
        <w:t xml:space="preserve">Masrizal, </w:t>
      </w:r>
      <w:r w:rsidRPr="00000CF4">
        <w:rPr>
          <w:rFonts w:asciiTheme="majorBidi" w:hAnsiTheme="majorBidi" w:cstheme="majorBidi"/>
          <w:i/>
          <w:iCs/>
        </w:rPr>
        <w:t>Pemikiran Politik Al-Mawardi</w:t>
      </w:r>
      <w:r>
        <w:rPr>
          <w:rFonts w:asciiTheme="majorBidi" w:hAnsiTheme="majorBidi" w:cstheme="majorBidi"/>
          <w:i/>
          <w:iCs/>
        </w:rPr>
        <w:t>,</w:t>
      </w:r>
      <w:r w:rsidRPr="000147C1">
        <w:rPr>
          <w:rFonts w:asciiTheme="majorBidi" w:hAnsiTheme="majorBidi" w:cstheme="majorBidi"/>
        </w:rPr>
        <w:t xml:space="preserve"> </w:t>
      </w:r>
      <w:r>
        <w:rPr>
          <w:rFonts w:asciiTheme="majorBidi" w:hAnsiTheme="majorBidi" w:cstheme="majorBidi"/>
        </w:rPr>
        <w:t xml:space="preserve">Makalah tidak di publikasikan, </w:t>
      </w:r>
      <w:r w:rsidRPr="00C73F6B">
        <w:rPr>
          <w:rFonts w:asciiTheme="majorBidi" w:hAnsiTheme="majorBidi" w:cstheme="majorBidi"/>
        </w:rPr>
        <w:t>h, 12</w:t>
      </w:r>
    </w:p>
  </w:footnote>
  <w:footnote w:id="119">
    <w:p w:rsidR="009677C3" w:rsidRPr="001C53F4" w:rsidRDefault="009677C3" w:rsidP="005B0B8B">
      <w:pPr>
        <w:pStyle w:val="FootnoteText"/>
        <w:ind w:firstLine="720"/>
        <w:jc w:val="both"/>
        <w:rPr>
          <w:rFonts w:asciiTheme="majorBidi" w:hAnsiTheme="majorBidi" w:cstheme="majorBidi"/>
        </w:rPr>
      </w:pPr>
      <w:r w:rsidRPr="001C53F4">
        <w:rPr>
          <w:rStyle w:val="FootnoteReference"/>
          <w:rFonts w:asciiTheme="majorBidi" w:hAnsiTheme="majorBidi" w:cstheme="majorBidi"/>
        </w:rPr>
        <w:footnoteRef/>
      </w:r>
      <w:r w:rsidRPr="001C53F4">
        <w:rPr>
          <w:rFonts w:asciiTheme="majorBidi" w:hAnsiTheme="majorBidi" w:cstheme="majorBidi"/>
        </w:rPr>
        <w:t xml:space="preserve"> Lihat. Hasan Ibrahim Hasan, </w:t>
      </w:r>
      <w:r w:rsidRPr="001C53F4">
        <w:rPr>
          <w:rFonts w:asciiTheme="majorBidi" w:hAnsiTheme="majorBidi" w:cstheme="majorBidi"/>
          <w:i/>
          <w:iCs/>
        </w:rPr>
        <w:t>Tarikh al-Islam</w:t>
      </w:r>
      <w:r w:rsidRPr="001C53F4">
        <w:rPr>
          <w:rFonts w:asciiTheme="majorBidi" w:hAnsiTheme="majorBidi" w:cstheme="majorBidi"/>
        </w:rPr>
        <w:t>, ( Mesir: Mathba’ah al-Nahdhah al-Mishriyat, 1979), h. 94</w:t>
      </w:r>
    </w:p>
  </w:footnote>
  <w:footnote w:id="120">
    <w:p w:rsidR="009677C3" w:rsidRPr="00DB027A" w:rsidRDefault="009677C3" w:rsidP="00E8589A">
      <w:pPr>
        <w:pStyle w:val="FootnoteText"/>
        <w:ind w:firstLine="720"/>
        <w:jc w:val="both"/>
        <w:rPr>
          <w:rFonts w:asciiTheme="majorBidi" w:hAnsiTheme="majorBidi" w:cstheme="majorBidi"/>
        </w:rPr>
      </w:pPr>
      <w:r w:rsidRPr="00DB027A">
        <w:rPr>
          <w:rStyle w:val="FootnoteReference"/>
          <w:rFonts w:asciiTheme="majorBidi" w:hAnsiTheme="majorBidi" w:cstheme="majorBidi"/>
        </w:rPr>
        <w:footnoteRef/>
      </w:r>
      <w:r w:rsidRPr="00DB027A">
        <w:rPr>
          <w:rFonts w:asciiTheme="majorBidi" w:hAnsiTheme="majorBidi" w:cstheme="majorBidi"/>
        </w:rPr>
        <w:t xml:space="preserve"> Lihat. </w:t>
      </w:r>
      <w:r>
        <w:rPr>
          <w:rFonts w:asciiTheme="majorBidi" w:hAnsiTheme="majorBidi" w:cstheme="majorBidi"/>
        </w:rPr>
        <w:t>Abū</w:t>
      </w:r>
      <w:r w:rsidRPr="00DB027A">
        <w:rPr>
          <w:rFonts w:asciiTheme="majorBidi" w:hAnsiTheme="majorBidi" w:cstheme="majorBidi"/>
        </w:rPr>
        <w:t xml:space="preserve"> Hasan  Ali  bin Muhammad </w:t>
      </w:r>
      <w:r>
        <w:rPr>
          <w:rFonts w:asciiTheme="majorBidi" w:hAnsiTheme="majorBidi" w:cstheme="majorBidi"/>
        </w:rPr>
        <w:t>bin Habib al-Mawardi al-Bashri,</w:t>
      </w:r>
      <w:r w:rsidRPr="00DB027A">
        <w:rPr>
          <w:rFonts w:asciiTheme="majorBidi" w:hAnsiTheme="majorBidi" w:cstheme="majorBidi"/>
        </w:rPr>
        <w:t xml:space="preserve"> </w:t>
      </w:r>
      <w:r w:rsidRPr="00DB027A">
        <w:rPr>
          <w:rFonts w:asciiTheme="majorBidi" w:hAnsiTheme="majorBidi" w:cstheme="majorBidi"/>
          <w:i/>
          <w:iCs/>
        </w:rPr>
        <w:t>Adab al-Dinya wa al-D</w:t>
      </w:r>
      <w:r w:rsidRPr="0094142F">
        <w:rPr>
          <w:rFonts w:asciiTheme="majorBidi" w:hAnsiTheme="majorBidi" w:cstheme="majorBidi"/>
          <w:i/>
          <w:iCs/>
        </w:rPr>
        <w:t>ī</w:t>
      </w:r>
      <w:r w:rsidRPr="00DB027A">
        <w:rPr>
          <w:rFonts w:asciiTheme="majorBidi" w:hAnsiTheme="majorBidi" w:cstheme="majorBidi"/>
          <w:i/>
          <w:iCs/>
        </w:rPr>
        <w:t>n</w:t>
      </w:r>
      <w:r w:rsidRPr="00DB027A">
        <w:rPr>
          <w:rFonts w:asciiTheme="majorBidi" w:hAnsiTheme="majorBidi" w:cstheme="majorBidi"/>
        </w:rPr>
        <w:t xml:space="preserve">, ( Cairo: t.t: 1950), h. 122 dan seterusnya. </w:t>
      </w:r>
    </w:p>
  </w:footnote>
  <w:footnote w:id="121">
    <w:p w:rsidR="009677C3" w:rsidRPr="004666EA" w:rsidRDefault="009677C3" w:rsidP="004E7256">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Ahmad Sukarja, </w:t>
      </w:r>
      <w:r w:rsidRPr="004666EA">
        <w:rPr>
          <w:rFonts w:asciiTheme="majorBidi" w:hAnsiTheme="majorBidi" w:cstheme="majorBidi"/>
          <w:i/>
          <w:iCs/>
        </w:rPr>
        <w:t>Piagam Madinah dan UUD 1945</w:t>
      </w:r>
      <w:r w:rsidRPr="004666EA">
        <w:rPr>
          <w:rFonts w:asciiTheme="majorBidi" w:hAnsiTheme="majorBidi" w:cstheme="majorBidi"/>
        </w:rPr>
        <w:t xml:space="preserve">, ( Jakarta: Universitas Indonesia Press, 1995) h. 11, </w:t>
      </w:r>
    </w:p>
  </w:footnote>
  <w:footnote w:id="122">
    <w:p w:rsidR="009677C3" w:rsidRPr="006570C6" w:rsidRDefault="009677C3" w:rsidP="005949F4">
      <w:pPr>
        <w:pStyle w:val="FootnoteText"/>
        <w:ind w:firstLine="720"/>
        <w:jc w:val="both"/>
        <w:rPr>
          <w:rFonts w:asciiTheme="majorBidi" w:hAnsiTheme="majorBidi" w:cstheme="majorBidi"/>
        </w:rPr>
      </w:pPr>
      <w:r w:rsidRPr="006570C6">
        <w:rPr>
          <w:rStyle w:val="FootnoteReference"/>
          <w:rFonts w:asciiTheme="majorBidi" w:hAnsiTheme="majorBidi" w:cstheme="majorBidi"/>
        </w:rPr>
        <w:footnoteRef/>
      </w:r>
      <w:r w:rsidRPr="006570C6">
        <w:rPr>
          <w:rFonts w:asciiTheme="majorBidi" w:hAnsiTheme="majorBidi" w:cstheme="majorBidi"/>
        </w:rPr>
        <w:t xml:space="preserve"> Lihat. </w:t>
      </w:r>
      <w:r>
        <w:rPr>
          <w:rFonts w:asciiTheme="majorBidi" w:hAnsiTheme="majorBidi" w:cstheme="majorBidi"/>
        </w:rPr>
        <w:t>Abū</w:t>
      </w:r>
      <w:r w:rsidRPr="006570C6">
        <w:rPr>
          <w:rFonts w:asciiTheme="majorBidi" w:hAnsiTheme="majorBidi" w:cstheme="majorBidi"/>
        </w:rPr>
        <w:t xml:space="preserve"> Hasan  Ali  bin Muhammad bin Habib al-Mawardi al-Bashri,, </w:t>
      </w:r>
      <w:r w:rsidRPr="006570C6">
        <w:rPr>
          <w:rFonts w:asciiTheme="majorBidi" w:hAnsiTheme="majorBidi" w:cstheme="majorBidi"/>
          <w:i/>
          <w:iCs/>
        </w:rPr>
        <w:t>Adab al-Dinya wa al-Din</w:t>
      </w:r>
      <w:r w:rsidRPr="006570C6">
        <w:rPr>
          <w:rFonts w:asciiTheme="majorBidi" w:hAnsiTheme="majorBidi" w:cstheme="majorBidi"/>
        </w:rPr>
        <w:t xml:space="preserve">, ( Cairo: t.t: 1950), h. 116 </w:t>
      </w:r>
    </w:p>
  </w:footnote>
  <w:footnote w:id="123">
    <w:p w:rsidR="009677C3" w:rsidRPr="006570C6" w:rsidRDefault="009677C3" w:rsidP="005949F4">
      <w:pPr>
        <w:pStyle w:val="FootnoteText"/>
        <w:ind w:firstLine="720"/>
        <w:jc w:val="both"/>
        <w:rPr>
          <w:rFonts w:asciiTheme="majorBidi" w:hAnsiTheme="majorBidi" w:cstheme="majorBidi"/>
        </w:rPr>
      </w:pPr>
      <w:r w:rsidRPr="006570C6">
        <w:rPr>
          <w:rStyle w:val="FootnoteReference"/>
          <w:rFonts w:asciiTheme="majorBidi" w:hAnsiTheme="majorBidi" w:cstheme="majorBidi"/>
        </w:rPr>
        <w:footnoteRef/>
      </w:r>
      <w:r w:rsidRPr="006570C6">
        <w:rPr>
          <w:rFonts w:asciiTheme="majorBidi" w:hAnsiTheme="majorBidi" w:cstheme="majorBidi"/>
        </w:rPr>
        <w:t xml:space="preserve"> </w:t>
      </w:r>
      <w:r>
        <w:rPr>
          <w:rFonts w:asciiTheme="majorBidi" w:hAnsiTheme="majorBidi" w:cstheme="majorBidi"/>
        </w:rPr>
        <w:t>Lihat. Abū</w:t>
      </w:r>
      <w:r w:rsidRPr="006570C6">
        <w:rPr>
          <w:rFonts w:asciiTheme="majorBidi" w:hAnsiTheme="majorBidi" w:cstheme="majorBidi"/>
        </w:rPr>
        <w:t xml:space="preserve"> Hasan  Ali  bin Muhammad bin Habib al-Mawardi al-Bashri, </w:t>
      </w:r>
      <w:r w:rsidRPr="006570C6">
        <w:rPr>
          <w:rFonts w:asciiTheme="majorBidi" w:hAnsiTheme="majorBidi" w:cstheme="majorBidi"/>
          <w:i/>
          <w:iCs/>
        </w:rPr>
        <w:t>Al-Ahkam al-Sulthaniyah</w:t>
      </w:r>
      <w:r w:rsidRPr="006570C6">
        <w:rPr>
          <w:rFonts w:asciiTheme="majorBidi" w:hAnsiTheme="majorBidi" w:cstheme="majorBidi"/>
        </w:rPr>
        <w:t xml:space="preserve">, (Bairut: Dar Fikr, t.th), h. </w:t>
      </w:r>
      <w:r>
        <w:rPr>
          <w:rFonts w:asciiTheme="majorBidi" w:hAnsiTheme="majorBidi" w:cstheme="majorBidi"/>
        </w:rPr>
        <w:t xml:space="preserve">3 dan </w:t>
      </w:r>
      <w:r w:rsidRPr="006570C6">
        <w:rPr>
          <w:rFonts w:asciiTheme="majorBidi" w:hAnsiTheme="majorBidi" w:cstheme="majorBidi"/>
        </w:rPr>
        <w:t>5</w:t>
      </w:r>
    </w:p>
  </w:footnote>
  <w:footnote w:id="124">
    <w:p w:rsidR="009677C3" w:rsidRDefault="009677C3" w:rsidP="005949F4">
      <w:pPr>
        <w:pStyle w:val="FootnoteText"/>
        <w:ind w:firstLine="720"/>
        <w:jc w:val="both"/>
      </w:pPr>
      <w:r w:rsidRPr="006570C6">
        <w:rPr>
          <w:rStyle w:val="FootnoteReference"/>
          <w:rFonts w:asciiTheme="majorBidi" w:hAnsiTheme="majorBidi" w:cstheme="majorBidi"/>
        </w:rPr>
        <w:footnoteRef/>
      </w:r>
      <w:r w:rsidRPr="006570C6">
        <w:rPr>
          <w:rFonts w:asciiTheme="majorBidi" w:hAnsiTheme="majorBidi" w:cstheme="majorBidi"/>
        </w:rPr>
        <w:t xml:space="preserve"> </w:t>
      </w:r>
      <w:r>
        <w:rPr>
          <w:rFonts w:asciiTheme="majorBidi" w:hAnsiTheme="majorBidi" w:cstheme="majorBidi"/>
        </w:rPr>
        <w:t xml:space="preserve">Lihat. </w:t>
      </w:r>
      <w:r w:rsidRPr="006570C6">
        <w:rPr>
          <w:rFonts w:asciiTheme="majorBidi" w:hAnsiTheme="majorBidi" w:cstheme="majorBidi"/>
        </w:rPr>
        <w:t xml:space="preserve">J. Suyuthi Pulungan, </w:t>
      </w:r>
      <w:r w:rsidRPr="006570C6">
        <w:rPr>
          <w:rFonts w:asciiTheme="majorBidi" w:hAnsiTheme="majorBidi" w:cstheme="majorBidi"/>
          <w:i/>
          <w:iCs/>
        </w:rPr>
        <w:t>Fiqh Siyasah, Ajaran, Sejarah, dan Pemikiran</w:t>
      </w:r>
      <w:r w:rsidRPr="006570C6">
        <w:rPr>
          <w:rFonts w:asciiTheme="majorBidi" w:hAnsiTheme="majorBidi" w:cstheme="majorBidi"/>
        </w:rPr>
        <w:t>, ( Jakarta: Raja Grafindo Persada, 1994),  h. 231</w:t>
      </w:r>
    </w:p>
  </w:footnote>
  <w:footnote w:id="125">
    <w:p w:rsidR="009677C3" w:rsidRPr="00E8589A" w:rsidRDefault="009677C3" w:rsidP="005949F4">
      <w:pPr>
        <w:ind w:firstLine="720"/>
        <w:jc w:val="both"/>
        <w:rPr>
          <w:rFonts w:asciiTheme="majorBidi" w:hAnsiTheme="majorBidi" w:cstheme="majorBidi"/>
          <w:i/>
          <w:iCs/>
          <w:spacing w:val="-1"/>
          <w:sz w:val="20"/>
          <w:szCs w:val="20"/>
        </w:rPr>
      </w:pPr>
      <w:r w:rsidRPr="00E8589A">
        <w:rPr>
          <w:rStyle w:val="FootnoteReference"/>
          <w:rFonts w:asciiTheme="majorBidi" w:hAnsiTheme="majorBidi" w:cstheme="majorBidi"/>
          <w:sz w:val="20"/>
          <w:szCs w:val="20"/>
        </w:rPr>
        <w:footnoteRef/>
      </w:r>
      <w:r w:rsidRPr="00E8589A">
        <w:rPr>
          <w:rFonts w:asciiTheme="majorBidi" w:hAnsiTheme="majorBidi" w:cstheme="majorBidi"/>
          <w:sz w:val="20"/>
          <w:szCs w:val="20"/>
        </w:rPr>
        <w:t xml:space="preserve"> Lihat. Muhammad Husein Haikal, </w:t>
      </w:r>
      <w:r w:rsidRPr="00E8589A">
        <w:rPr>
          <w:rFonts w:asciiTheme="majorBidi" w:hAnsiTheme="majorBidi" w:cstheme="majorBidi"/>
          <w:i/>
          <w:iCs/>
          <w:spacing w:val="-1"/>
          <w:sz w:val="20"/>
          <w:szCs w:val="20"/>
        </w:rPr>
        <w:t>Al-</w:t>
      </w:r>
      <w:r w:rsidRPr="00E8589A">
        <w:rPr>
          <w:rFonts w:asciiTheme="majorBidi" w:hAnsiTheme="majorBidi" w:cstheme="majorBidi"/>
          <w:bCs/>
          <w:i/>
          <w:iCs/>
          <w:sz w:val="20"/>
          <w:szCs w:val="20"/>
          <w:u w:val="single"/>
        </w:rPr>
        <w:t>H</w:t>
      </w:r>
      <w:r w:rsidRPr="00E8589A">
        <w:rPr>
          <w:rFonts w:asciiTheme="majorBidi" w:hAnsiTheme="majorBidi" w:cstheme="majorBidi"/>
          <w:i/>
          <w:iCs/>
          <w:spacing w:val="-1"/>
          <w:sz w:val="20"/>
          <w:szCs w:val="20"/>
        </w:rPr>
        <w:t>uk</w:t>
      </w:r>
      <w:r w:rsidRPr="00E8589A">
        <w:rPr>
          <w:rFonts w:asciiTheme="majorBidi" w:hAnsiTheme="majorBidi" w:cstheme="majorBidi"/>
          <w:i/>
          <w:iCs/>
          <w:sz w:val="20"/>
          <w:szCs w:val="20"/>
        </w:rPr>
        <w:t>ū</w:t>
      </w:r>
      <w:r w:rsidRPr="00E8589A">
        <w:rPr>
          <w:rFonts w:asciiTheme="majorBidi" w:hAnsiTheme="majorBidi" w:cstheme="majorBidi"/>
          <w:i/>
          <w:iCs/>
          <w:spacing w:val="-1"/>
          <w:sz w:val="20"/>
          <w:szCs w:val="20"/>
        </w:rPr>
        <w:t>m</w:t>
      </w:r>
      <w:r w:rsidRPr="00E8589A">
        <w:rPr>
          <w:rFonts w:asciiTheme="majorBidi" w:hAnsiTheme="majorBidi" w:cstheme="majorBidi"/>
          <w:i/>
          <w:iCs/>
          <w:sz w:val="20"/>
          <w:szCs w:val="20"/>
          <w:lang w:val="id-ID"/>
        </w:rPr>
        <w:t>ā</w:t>
      </w:r>
      <w:r w:rsidRPr="00E8589A">
        <w:rPr>
          <w:rFonts w:asciiTheme="majorBidi" w:hAnsiTheme="majorBidi" w:cstheme="majorBidi"/>
          <w:i/>
          <w:iCs/>
          <w:spacing w:val="-1"/>
          <w:sz w:val="20"/>
          <w:szCs w:val="20"/>
        </w:rPr>
        <w:t>t al-Islamiy</w:t>
      </w:r>
      <w:r w:rsidRPr="00E8589A">
        <w:rPr>
          <w:rFonts w:asciiTheme="majorBidi" w:hAnsiTheme="majorBidi" w:cstheme="majorBidi"/>
          <w:i/>
          <w:iCs/>
          <w:sz w:val="20"/>
          <w:szCs w:val="20"/>
          <w:lang w:val="id-ID"/>
        </w:rPr>
        <w:t>ā</w:t>
      </w:r>
      <w:r w:rsidRPr="00E8589A">
        <w:rPr>
          <w:rFonts w:asciiTheme="majorBidi" w:hAnsiTheme="majorBidi" w:cstheme="majorBidi"/>
          <w:i/>
          <w:iCs/>
          <w:spacing w:val="-1"/>
          <w:sz w:val="20"/>
          <w:szCs w:val="20"/>
        </w:rPr>
        <w:t>t</w:t>
      </w:r>
      <w:r w:rsidRPr="00E8589A">
        <w:rPr>
          <w:rFonts w:asciiTheme="majorBidi" w:hAnsiTheme="majorBidi" w:cstheme="majorBidi"/>
          <w:i/>
          <w:iCs/>
          <w:spacing w:val="-4"/>
          <w:sz w:val="20"/>
          <w:szCs w:val="20"/>
        </w:rPr>
        <w:t>,</w:t>
      </w:r>
      <w:r w:rsidRPr="00E8589A">
        <w:rPr>
          <w:rFonts w:asciiTheme="majorBidi" w:hAnsiTheme="majorBidi" w:cstheme="majorBidi"/>
          <w:spacing w:val="-4"/>
          <w:sz w:val="20"/>
          <w:szCs w:val="20"/>
        </w:rPr>
        <w:t>( Mesir: Dar al-Ma’arif, 1983), h. 43</w:t>
      </w:r>
    </w:p>
  </w:footnote>
  <w:footnote w:id="126">
    <w:p w:rsidR="009677C3" w:rsidRPr="004666EA" w:rsidRDefault="009677C3" w:rsidP="00E8589A">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Pr>
          <w:rFonts w:asciiTheme="majorBidi" w:hAnsiTheme="majorBidi" w:cstheme="majorBidi"/>
        </w:rPr>
        <w:t xml:space="preserve">Lihat. </w:t>
      </w:r>
      <w:r w:rsidRPr="004666EA">
        <w:rPr>
          <w:rFonts w:asciiTheme="majorBidi" w:hAnsiTheme="majorBidi" w:cstheme="majorBidi"/>
        </w:rPr>
        <w:t xml:space="preserve">Muhammad Husein Haikal, </w:t>
      </w:r>
      <w:r w:rsidRPr="00E8589A">
        <w:rPr>
          <w:rFonts w:asciiTheme="majorBidi" w:hAnsiTheme="majorBidi" w:cstheme="majorBidi"/>
          <w:i/>
          <w:iCs/>
          <w:spacing w:val="-1"/>
        </w:rPr>
        <w:t>Al-</w:t>
      </w:r>
      <w:r w:rsidRPr="00E8589A">
        <w:rPr>
          <w:rFonts w:asciiTheme="majorBidi" w:hAnsiTheme="majorBidi" w:cstheme="majorBidi"/>
          <w:bCs/>
          <w:i/>
          <w:iCs/>
          <w:u w:val="single"/>
        </w:rPr>
        <w:t>H</w:t>
      </w:r>
      <w:r w:rsidRPr="00E8589A">
        <w:rPr>
          <w:rFonts w:asciiTheme="majorBidi" w:hAnsiTheme="majorBidi" w:cstheme="majorBidi"/>
          <w:i/>
          <w:iCs/>
          <w:spacing w:val="-1"/>
        </w:rPr>
        <w:t>uk</w:t>
      </w:r>
      <w:r w:rsidRPr="00E8589A">
        <w:rPr>
          <w:rFonts w:asciiTheme="majorBidi" w:hAnsiTheme="majorBidi" w:cstheme="majorBidi"/>
          <w:i/>
          <w:iCs/>
        </w:rPr>
        <w:t>ū</w:t>
      </w:r>
      <w:r w:rsidRPr="00E8589A">
        <w:rPr>
          <w:rFonts w:asciiTheme="majorBidi" w:hAnsiTheme="majorBidi" w:cstheme="majorBidi"/>
          <w:i/>
          <w:iCs/>
          <w:spacing w:val="-1"/>
        </w:rPr>
        <w:t>m</w:t>
      </w:r>
      <w:r w:rsidRPr="00E8589A">
        <w:rPr>
          <w:rFonts w:asciiTheme="majorBidi" w:hAnsiTheme="majorBidi" w:cstheme="majorBidi"/>
          <w:i/>
          <w:iCs/>
          <w:lang w:val="id-ID"/>
        </w:rPr>
        <w:t>ā</w:t>
      </w:r>
      <w:r w:rsidRPr="00E8589A">
        <w:rPr>
          <w:rFonts w:asciiTheme="majorBidi" w:hAnsiTheme="majorBidi" w:cstheme="majorBidi"/>
          <w:i/>
          <w:iCs/>
          <w:spacing w:val="-1"/>
        </w:rPr>
        <w:t>t al-Islamiy</w:t>
      </w:r>
      <w:r w:rsidRPr="00E8589A">
        <w:rPr>
          <w:rFonts w:asciiTheme="majorBidi" w:hAnsiTheme="majorBidi" w:cstheme="majorBidi"/>
          <w:i/>
          <w:iCs/>
          <w:lang w:val="id-ID"/>
        </w:rPr>
        <w:t>ā</w:t>
      </w:r>
      <w:r w:rsidRPr="00E8589A">
        <w:rPr>
          <w:rFonts w:asciiTheme="majorBidi" w:hAnsiTheme="majorBidi" w:cstheme="majorBidi"/>
          <w:i/>
          <w:iCs/>
          <w:spacing w:val="-1"/>
        </w:rPr>
        <w:t>t</w:t>
      </w:r>
      <w:r w:rsidRPr="004666EA">
        <w:rPr>
          <w:rFonts w:asciiTheme="majorBidi" w:hAnsiTheme="majorBidi" w:cstheme="majorBidi"/>
          <w:i/>
          <w:iCs/>
          <w:spacing w:val="-4"/>
        </w:rPr>
        <w:t>,</w:t>
      </w:r>
      <w:r w:rsidRPr="004666EA">
        <w:rPr>
          <w:rFonts w:asciiTheme="majorBidi" w:hAnsiTheme="majorBidi" w:cstheme="majorBidi"/>
          <w:spacing w:val="-4"/>
        </w:rPr>
        <w:t>( Mesir: Dar al-Ma’arif, 1983), h. 44</w:t>
      </w:r>
    </w:p>
  </w:footnote>
  <w:footnote w:id="127">
    <w:p w:rsidR="009677C3" w:rsidRDefault="009677C3" w:rsidP="00E8589A">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Muhammad Husein Haikal, </w:t>
      </w:r>
      <w:r w:rsidRPr="00E8589A">
        <w:rPr>
          <w:rFonts w:asciiTheme="majorBidi" w:hAnsiTheme="majorBidi" w:cstheme="majorBidi"/>
          <w:i/>
          <w:iCs/>
          <w:spacing w:val="-1"/>
        </w:rPr>
        <w:t>Al-</w:t>
      </w:r>
      <w:r w:rsidRPr="00E8589A">
        <w:rPr>
          <w:rFonts w:asciiTheme="majorBidi" w:hAnsiTheme="majorBidi" w:cstheme="majorBidi"/>
          <w:bCs/>
          <w:i/>
          <w:iCs/>
          <w:u w:val="single"/>
        </w:rPr>
        <w:t>H</w:t>
      </w:r>
      <w:r w:rsidRPr="00E8589A">
        <w:rPr>
          <w:rFonts w:asciiTheme="majorBidi" w:hAnsiTheme="majorBidi" w:cstheme="majorBidi"/>
          <w:i/>
          <w:iCs/>
          <w:spacing w:val="-1"/>
        </w:rPr>
        <w:t>uk</w:t>
      </w:r>
      <w:r w:rsidRPr="00E8589A">
        <w:rPr>
          <w:rFonts w:asciiTheme="majorBidi" w:hAnsiTheme="majorBidi" w:cstheme="majorBidi"/>
          <w:i/>
          <w:iCs/>
        </w:rPr>
        <w:t>ū</w:t>
      </w:r>
      <w:r w:rsidRPr="00E8589A">
        <w:rPr>
          <w:rFonts w:asciiTheme="majorBidi" w:hAnsiTheme="majorBidi" w:cstheme="majorBidi"/>
          <w:i/>
          <w:iCs/>
          <w:spacing w:val="-1"/>
        </w:rPr>
        <w:t>m</w:t>
      </w:r>
      <w:r w:rsidRPr="00E8589A">
        <w:rPr>
          <w:rFonts w:asciiTheme="majorBidi" w:hAnsiTheme="majorBidi" w:cstheme="majorBidi"/>
          <w:i/>
          <w:iCs/>
          <w:lang w:val="id-ID"/>
        </w:rPr>
        <w:t>ā</w:t>
      </w:r>
      <w:r w:rsidRPr="00E8589A">
        <w:rPr>
          <w:rFonts w:asciiTheme="majorBidi" w:hAnsiTheme="majorBidi" w:cstheme="majorBidi"/>
          <w:i/>
          <w:iCs/>
          <w:spacing w:val="-1"/>
        </w:rPr>
        <w:t>t al-Islamiy</w:t>
      </w:r>
      <w:r w:rsidRPr="00E8589A">
        <w:rPr>
          <w:rFonts w:asciiTheme="majorBidi" w:hAnsiTheme="majorBidi" w:cstheme="majorBidi"/>
          <w:i/>
          <w:iCs/>
          <w:lang w:val="id-ID"/>
        </w:rPr>
        <w:t>ā</w:t>
      </w:r>
      <w:r w:rsidRPr="00E8589A">
        <w:rPr>
          <w:rFonts w:asciiTheme="majorBidi" w:hAnsiTheme="majorBidi" w:cstheme="majorBidi"/>
          <w:i/>
          <w:iCs/>
          <w:spacing w:val="-1"/>
        </w:rPr>
        <w:t>t</w:t>
      </w:r>
      <w:r w:rsidRPr="004666EA">
        <w:rPr>
          <w:rFonts w:asciiTheme="majorBidi" w:hAnsiTheme="majorBidi" w:cstheme="majorBidi"/>
          <w:i/>
          <w:iCs/>
          <w:spacing w:val="-4"/>
        </w:rPr>
        <w:t>,</w:t>
      </w:r>
      <w:r w:rsidRPr="004666EA">
        <w:rPr>
          <w:rFonts w:asciiTheme="majorBidi" w:hAnsiTheme="majorBidi" w:cstheme="majorBidi"/>
          <w:spacing w:val="-4"/>
        </w:rPr>
        <w:t>( Mes</w:t>
      </w:r>
      <w:r>
        <w:rPr>
          <w:rFonts w:asciiTheme="majorBidi" w:hAnsiTheme="majorBidi" w:cstheme="majorBidi"/>
          <w:spacing w:val="-4"/>
        </w:rPr>
        <w:t>ir: Dar al-Ma’arif, 1983), h. 32-33</w:t>
      </w:r>
    </w:p>
  </w:footnote>
  <w:footnote w:id="128">
    <w:p w:rsidR="009677C3" w:rsidRDefault="009677C3" w:rsidP="00350E54">
      <w:pPr>
        <w:pStyle w:val="FootnoteText"/>
        <w:ind w:firstLine="720"/>
        <w:jc w:val="both"/>
      </w:pPr>
      <w:r>
        <w:rPr>
          <w:rStyle w:val="FootnoteReference"/>
        </w:rPr>
        <w:footnoteRef/>
      </w:r>
      <w:r>
        <w:t xml:space="preserve"> </w:t>
      </w:r>
      <w:r>
        <w:rPr>
          <w:rFonts w:asciiTheme="majorBidi" w:hAnsiTheme="majorBidi" w:cstheme="majorBidi"/>
        </w:rPr>
        <w:t xml:space="preserve">Lihat. J. Suyuthi Pulungan, </w:t>
      </w:r>
      <w:r w:rsidRPr="001C1656">
        <w:rPr>
          <w:rFonts w:asciiTheme="majorBidi" w:hAnsiTheme="majorBidi" w:cstheme="majorBidi"/>
          <w:i/>
          <w:iCs/>
        </w:rPr>
        <w:t>Fiqh Siayasah, Ajaran, Sejarah, dan Pemikiran</w:t>
      </w:r>
      <w:r>
        <w:rPr>
          <w:rFonts w:asciiTheme="majorBidi" w:hAnsiTheme="majorBidi" w:cstheme="majorBidi"/>
        </w:rPr>
        <w:t xml:space="preserve">, ( Jakarta: Raja Grafindo Persada, 1994), h. 299. </w:t>
      </w:r>
    </w:p>
  </w:footnote>
  <w:footnote w:id="129">
    <w:p w:rsidR="009677C3" w:rsidRPr="004666EA" w:rsidRDefault="009677C3" w:rsidP="007F2C1B">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Muhamad Iqbal, </w:t>
      </w:r>
      <w:r w:rsidRPr="004666EA">
        <w:rPr>
          <w:rFonts w:asciiTheme="majorBidi" w:hAnsiTheme="majorBidi" w:cstheme="majorBidi"/>
          <w:i/>
          <w:iCs/>
        </w:rPr>
        <w:t>Fiqh siayasah Kontekstualisasi Doktirin Politik Islam</w:t>
      </w:r>
      <w:r w:rsidRPr="004666EA">
        <w:rPr>
          <w:rFonts w:asciiTheme="majorBidi" w:hAnsiTheme="majorBidi" w:cstheme="majorBidi"/>
        </w:rPr>
        <w:t>, ( Jakarta: Prenadamedia Group, 2014), h. 7</w:t>
      </w:r>
    </w:p>
  </w:footnote>
  <w:footnote w:id="130">
    <w:p w:rsidR="009677C3" w:rsidRPr="004666EA" w:rsidRDefault="009677C3" w:rsidP="004E2748">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Husein Haikal, </w:t>
      </w:r>
      <w:r w:rsidRPr="00E8589A">
        <w:rPr>
          <w:rFonts w:asciiTheme="majorBidi" w:hAnsiTheme="majorBidi" w:cstheme="majorBidi"/>
          <w:i/>
          <w:iCs/>
          <w:spacing w:val="-1"/>
        </w:rPr>
        <w:t>Al-</w:t>
      </w:r>
      <w:r w:rsidRPr="00E8589A">
        <w:rPr>
          <w:rFonts w:asciiTheme="majorBidi" w:hAnsiTheme="majorBidi" w:cstheme="majorBidi"/>
          <w:bCs/>
          <w:i/>
          <w:iCs/>
          <w:u w:val="single"/>
        </w:rPr>
        <w:t>H</w:t>
      </w:r>
      <w:r w:rsidRPr="00E8589A">
        <w:rPr>
          <w:rFonts w:asciiTheme="majorBidi" w:hAnsiTheme="majorBidi" w:cstheme="majorBidi"/>
          <w:i/>
          <w:iCs/>
          <w:spacing w:val="-1"/>
        </w:rPr>
        <w:t>uk</w:t>
      </w:r>
      <w:r w:rsidRPr="00E8589A">
        <w:rPr>
          <w:rFonts w:asciiTheme="majorBidi" w:hAnsiTheme="majorBidi" w:cstheme="majorBidi"/>
          <w:i/>
          <w:iCs/>
        </w:rPr>
        <w:t>ū</w:t>
      </w:r>
      <w:r w:rsidRPr="00E8589A">
        <w:rPr>
          <w:rFonts w:asciiTheme="majorBidi" w:hAnsiTheme="majorBidi" w:cstheme="majorBidi"/>
          <w:i/>
          <w:iCs/>
          <w:spacing w:val="-1"/>
        </w:rPr>
        <w:t>m</w:t>
      </w:r>
      <w:r w:rsidRPr="00E8589A">
        <w:rPr>
          <w:rFonts w:asciiTheme="majorBidi" w:hAnsiTheme="majorBidi" w:cstheme="majorBidi"/>
          <w:i/>
          <w:iCs/>
          <w:lang w:val="id-ID"/>
        </w:rPr>
        <w:t>ā</w:t>
      </w:r>
      <w:r w:rsidRPr="00E8589A">
        <w:rPr>
          <w:rFonts w:asciiTheme="majorBidi" w:hAnsiTheme="majorBidi" w:cstheme="majorBidi"/>
          <w:i/>
          <w:iCs/>
          <w:spacing w:val="-1"/>
        </w:rPr>
        <w:t>t al-Islamiy</w:t>
      </w:r>
      <w:r w:rsidRPr="00E8589A">
        <w:rPr>
          <w:rFonts w:asciiTheme="majorBidi" w:hAnsiTheme="majorBidi" w:cstheme="majorBidi"/>
          <w:i/>
          <w:iCs/>
          <w:lang w:val="id-ID"/>
        </w:rPr>
        <w:t>ā</w:t>
      </w:r>
      <w:r w:rsidRPr="00E8589A">
        <w:rPr>
          <w:rFonts w:asciiTheme="majorBidi" w:hAnsiTheme="majorBidi" w:cstheme="majorBidi"/>
          <w:i/>
          <w:iCs/>
          <w:spacing w:val="-1"/>
        </w:rPr>
        <w:t>t</w:t>
      </w:r>
      <w:r w:rsidRPr="004666EA">
        <w:rPr>
          <w:rFonts w:asciiTheme="majorBidi" w:hAnsiTheme="majorBidi" w:cstheme="majorBidi"/>
          <w:i/>
          <w:iCs/>
          <w:spacing w:val="-4"/>
        </w:rPr>
        <w:t>,</w:t>
      </w:r>
      <w:r w:rsidRPr="004666EA">
        <w:rPr>
          <w:rFonts w:asciiTheme="majorBidi" w:hAnsiTheme="majorBidi" w:cstheme="majorBidi"/>
          <w:spacing w:val="-4"/>
        </w:rPr>
        <w:t>( Mes</w:t>
      </w:r>
      <w:r>
        <w:rPr>
          <w:rFonts w:asciiTheme="majorBidi" w:hAnsiTheme="majorBidi" w:cstheme="majorBidi"/>
          <w:spacing w:val="-4"/>
        </w:rPr>
        <w:t>ir: Dar al-Ma’arif, 1983), h. 45</w:t>
      </w:r>
    </w:p>
  </w:footnote>
  <w:footnote w:id="131">
    <w:p w:rsidR="009677C3" w:rsidRPr="004666EA" w:rsidRDefault="009677C3" w:rsidP="004E2748">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Husein Haikal, </w:t>
      </w:r>
      <w:r w:rsidRPr="00E8589A">
        <w:rPr>
          <w:rFonts w:asciiTheme="majorBidi" w:hAnsiTheme="majorBidi" w:cstheme="majorBidi"/>
          <w:i/>
          <w:iCs/>
          <w:spacing w:val="-1"/>
        </w:rPr>
        <w:t>Al-</w:t>
      </w:r>
      <w:r w:rsidRPr="00E8589A">
        <w:rPr>
          <w:rFonts w:asciiTheme="majorBidi" w:hAnsiTheme="majorBidi" w:cstheme="majorBidi"/>
          <w:bCs/>
          <w:i/>
          <w:iCs/>
          <w:u w:val="single"/>
        </w:rPr>
        <w:t>H</w:t>
      </w:r>
      <w:r w:rsidRPr="00E8589A">
        <w:rPr>
          <w:rFonts w:asciiTheme="majorBidi" w:hAnsiTheme="majorBidi" w:cstheme="majorBidi"/>
          <w:i/>
          <w:iCs/>
          <w:spacing w:val="-1"/>
        </w:rPr>
        <w:t>uk</w:t>
      </w:r>
      <w:r w:rsidRPr="00E8589A">
        <w:rPr>
          <w:rFonts w:asciiTheme="majorBidi" w:hAnsiTheme="majorBidi" w:cstheme="majorBidi"/>
          <w:i/>
          <w:iCs/>
        </w:rPr>
        <w:t>ū</w:t>
      </w:r>
      <w:r w:rsidRPr="00E8589A">
        <w:rPr>
          <w:rFonts w:asciiTheme="majorBidi" w:hAnsiTheme="majorBidi" w:cstheme="majorBidi"/>
          <w:i/>
          <w:iCs/>
          <w:spacing w:val="-1"/>
        </w:rPr>
        <w:t>m</w:t>
      </w:r>
      <w:r w:rsidRPr="00E8589A">
        <w:rPr>
          <w:rFonts w:asciiTheme="majorBidi" w:hAnsiTheme="majorBidi" w:cstheme="majorBidi"/>
          <w:i/>
          <w:iCs/>
          <w:lang w:val="id-ID"/>
        </w:rPr>
        <w:t>ā</w:t>
      </w:r>
      <w:r w:rsidRPr="00E8589A">
        <w:rPr>
          <w:rFonts w:asciiTheme="majorBidi" w:hAnsiTheme="majorBidi" w:cstheme="majorBidi"/>
          <w:i/>
          <w:iCs/>
          <w:spacing w:val="-1"/>
        </w:rPr>
        <w:t>t al-Islamiy</w:t>
      </w:r>
      <w:r w:rsidRPr="00E8589A">
        <w:rPr>
          <w:rFonts w:asciiTheme="majorBidi" w:hAnsiTheme="majorBidi" w:cstheme="majorBidi"/>
          <w:i/>
          <w:iCs/>
          <w:lang w:val="id-ID"/>
        </w:rPr>
        <w:t>ā</w:t>
      </w:r>
      <w:r w:rsidRPr="00E8589A">
        <w:rPr>
          <w:rFonts w:asciiTheme="majorBidi" w:hAnsiTheme="majorBidi" w:cstheme="majorBidi"/>
          <w:i/>
          <w:iCs/>
          <w:spacing w:val="-1"/>
        </w:rPr>
        <w:t>t</w:t>
      </w:r>
      <w:r w:rsidRPr="004666EA">
        <w:rPr>
          <w:rFonts w:asciiTheme="majorBidi" w:hAnsiTheme="majorBidi" w:cstheme="majorBidi"/>
          <w:i/>
          <w:iCs/>
          <w:spacing w:val="-4"/>
        </w:rPr>
        <w:t>,</w:t>
      </w:r>
      <w:r w:rsidRPr="004666EA">
        <w:rPr>
          <w:rFonts w:asciiTheme="majorBidi" w:hAnsiTheme="majorBidi" w:cstheme="majorBidi"/>
          <w:spacing w:val="-4"/>
        </w:rPr>
        <w:t>( Mesir: Dar al-Ma’arif, 1983), h. 33-36</w:t>
      </w:r>
    </w:p>
  </w:footnote>
  <w:footnote w:id="132">
    <w:p w:rsidR="009677C3" w:rsidRPr="001E25F0" w:rsidRDefault="009677C3" w:rsidP="00BC41DD">
      <w:pPr>
        <w:pStyle w:val="FootnoteText"/>
        <w:ind w:firstLine="720"/>
        <w:jc w:val="both"/>
        <w:rPr>
          <w:rFonts w:asciiTheme="majorBidi" w:hAnsiTheme="majorBidi" w:cstheme="majorBidi"/>
        </w:rPr>
      </w:pPr>
      <w:r w:rsidRPr="001E25F0">
        <w:rPr>
          <w:rStyle w:val="FootnoteReference"/>
          <w:rFonts w:asciiTheme="majorBidi" w:hAnsiTheme="majorBidi" w:cstheme="majorBidi"/>
        </w:rPr>
        <w:footnoteRef/>
      </w:r>
      <w:r w:rsidRPr="001E25F0">
        <w:rPr>
          <w:rFonts w:asciiTheme="majorBidi" w:hAnsiTheme="majorBidi" w:cstheme="majorBidi"/>
        </w:rPr>
        <w:t xml:space="preserve"> Menurut M.Atho Mudzhar, Produk pemikiran </w:t>
      </w:r>
      <w:r>
        <w:rPr>
          <w:rFonts w:asciiTheme="majorBidi" w:hAnsiTheme="majorBidi" w:cstheme="majorBidi"/>
        </w:rPr>
        <w:t>hu</w:t>
      </w:r>
      <w:r w:rsidRPr="001E25F0">
        <w:rPr>
          <w:rFonts w:asciiTheme="majorBidi" w:hAnsiTheme="majorBidi" w:cstheme="majorBidi"/>
        </w:rPr>
        <w:t>kum Islam itu ada empat macam, yaitu kitab-kitab fiqih, peraturan perundang-undangan di</w:t>
      </w:r>
      <w:r>
        <w:rPr>
          <w:rFonts w:asciiTheme="majorBidi" w:hAnsiTheme="majorBidi" w:cstheme="majorBidi"/>
        </w:rPr>
        <w:t xml:space="preserve"> </w:t>
      </w:r>
      <w:r w:rsidRPr="001E25F0">
        <w:rPr>
          <w:rFonts w:asciiTheme="majorBidi" w:hAnsiTheme="majorBidi" w:cstheme="majorBidi"/>
        </w:rPr>
        <w:t xml:space="preserve">negara muslim, fatwa ulama dan keputusan pengadilan Agama. Lihat. M. Atho Mudzhar, </w:t>
      </w:r>
      <w:r w:rsidRPr="00D026E3">
        <w:rPr>
          <w:rFonts w:asciiTheme="majorBidi" w:hAnsiTheme="majorBidi" w:cstheme="majorBidi"/>
          <w:i/>
          <w:iCs/>
        </w:rPr>
        <w:t>Pengaruh Faktor Sosial Budaya terhadap Pemikiran Hukum Islam</w:t>
      </w:r>
      <w:r w:rsidRPr="001E25F0">
        <w:rPr>
          <w:rFonts w:asciiTheme="majorBidi" w:hAnsiTheme="majorBidi" w:cstheme="majorBidi"/>
        </w:rPr>
        <w:t>, dalam Mimbar Hukum, No 4 Tahun II, 1991, h.21</w:t>
      </w:r>
    </w:p>
  </w:footnote>
  <w:footnote w:id="133">
    <w:p w:rsidR="009677C3" w:rsidRPr="0084470C" w:rsidRDefault="009677C3" w:rsidP="00BC41DD">
      <w:pPr>
        <w:pStyle w:val="FootnoteText"/>
        <w:ind w:firstLine="720"/>
        <w:jc w:val="both"/>
        <w:rPr>
          <w:rFonts w:asciiTheme="majorBidi" w:hAnsiTheme="majorBidi" w:cstheme="majorBidi"/>
          <w:lang w:val="sv-SE"/>
        </w:rPr>
      </w:pPr>
      <w:r w:rsidRPr="0084470C">
        <w:rPr>
          <w:rStyle w:val="FootnoteReference"/>
          <w:rFonts w:asciiTheme="majorBidi" w:hAnsiTheme="majorBidi" w:cstheme="majorBidi"/>
        </w:rPr>
        <w:footnoteRef/>
      </w:r>
      <w:r w:rsidRPr="0084470C">
        <w:rPr>
          <w:rFonts w:asciiTheme="majorBidi" w:hAnsiTheme="majorBidi" w:cstheme="majorBidi"/>
          <w:lang w:val="sv-SE"/>
        </w:rPr>
        <w:t xml:space="preserve"> </w:t>
      </w:r>
      <w:r w:rsidRPr="00BC12A7">
        <w:rPr>
          <w:rFonts w:asciiTheme="majorBidi" w:hAnsiTheme="majorBidi" w:cstheme="majorBidi"/>
        </w:rPr>
        <w:t>Lihat.</w:t>
      </w:r>
      <w:r>
        <w:t xml:space="preserve"> </w:t>
      </w:r>
      <w:r w:rsidRPr="0084470C">
        <w:rPr>
          <w:rFonts w:asciiTheme="majorBidi" w:hAnsiTheme="majorBidi" w:cstheme="majorBidi"/>
          <w:lang w:val="sv-SE"/>
        </w:rPr>
        <w:t xml:space="preserve">Kartini Kartono, </w:t>
      </w:r>
      <w:r w:rsidRPr="0084470C">
        <w:rPr>
          <w:rFonts w:asciiTheme="majorBidi" w:hAnsiTheme="majorBidi" w:cstheme="majorBidi"/>
          <w:i/>
          <w:iCs/>
          <w:lang w:val="sv-SE"/>
        </w:rPr>
        <w:t>Pengantar Metodologi Riset Sosial</w:t>
      </w:r>
      <w:r w:rsidRPr="0084470C">
        <w:rPr>
          <w:rFonts w:asciiTheme="majorBidi" w:hAnsiTheme="majorBidi" w:cstheme="majorBidi"/>
          <w:lang w:val="sv-SE"/>
        </w:rPr>
        <w:t>, ( Bandung: Man</w:t>
      </w:r>
      <w:r>
        <w:rPr>
          <w:rFonts w:asciiTheme="majorBidi" w:hAnsiTheme="majorBidi" w:cstheme="majorBidi"/>
          <w:lang w:val="sv-SE"/>
        </w:rPr>
        <w:t>Dār</w:t>
      </w:r>
      <w:r w:rsidRPr="0084470C">
        <w:rPr>
          <w:rFonts w:asciiTheme="majorBidi" w:hAnsiTheme="majorBidi" w:cstheme="majorBidi"/>
          <w:lang w:val="sv-SE"/>
        </w:rPr>
        <w:t>Maju, 1996) Cet VII, h. 33</w:t>
      </w:r>
    </w:p>
  </w:footnote>
  <w:footnote w:id="134">
    <w:p w:rsidR="009677C3" w:rsidRPr="0084470C" w:rsidRDefault="009677C3" w:rsidP="00BC41DD">
      <w:pPr>
        <w:pStyle w:val="FootnoteText"/>
        <w:ind w:firstLine="720"/>
        <w:jc w:val="both"/>
        <w:rPr>
          <w:rFonts w:asciiTheme="majorBidi" w:hAnsiTheme="majorBidi" w:cstheme="majorBidi"/>
          <w:lang w:val="sv-SE"/>
        </w:rPr>
      </w:pPr>
      <w:r w:rsidRPr="0084470C">
        <w:rPr>
          <w:rStyle w:val="FootnoteReference"/>
          <w:rFonts w:asciiTheme="majorBidi" w:hAnsiTheme="majorBidi" w:cstheme="majorBidi"/>
        </w:rPr>
        <w:footnoteRef/>
      </w:r>
      <w:r w:rsidRPr="0084470C">
        <w:rPr>
          <w:rFonts w:asciiTheme="majorBidi" w:hAnsiTheme="majorBidi" w:cstheme="majorBidi"/>
          <w:lang w:val="sv-SE"/>
        </w:rPr>
        <w:t xml:space="preserve"> </w:t>
      </w:r>
      <w:r w:rsidRPr="00BC12A7">
        <w:rPr>
          <w:rFonts w:asciiTheme="majorBidi" w:hAnsiTheme="majorBidi" w:cstheme="majorBidi"/>
        </w:rPr>
        <w:t>Lihat.</w:t>
      </w:r>
      <w:r>
        <w:t xml:space="preserve"> </w:t>
      </w:r>
      <w:r w:rsidRPr="0084470C">
        <w:rPr>
          <w:rFonts w:asciiTheme="majorBidi" w:hAnsiTheme="majorBidi" w:cstheme="majorBidi"/>
          <w:lang w:val="sv-SE"/>
        </w:rPr>
        <w:t xml:space="preserve">Mardalis, </w:t>
      </w:r>
      <w:r w:rsidRPr="0084470C">
        <w:rPr>
          <w:rFonts w:asciiTheme="majorBidi" w:hAnsiTheme="majorBidi" w:cstheme="majorBidi"/>
          <w:i/>
          <w:iCs/>
          <w:lang w:val="sv-SE"/>
        </w:rPr>
        <w:t>Metode penelitian: suatu pendekatan Proposal</w:t>
      </w:r>
      <w:r>
        <w:rPr>
          <w:rFonts w:asciiTheme="majorBidi" w:hAnsiTheme="majorBidi" w:cstheme="majorBidi"/>
          <w:i/>
          <w:iCs/>
          <w:lang w:val="sv-SE"/>
        </w:rPr>
        <w:t xml:space="preserve">, </w:t>
      </w:r>
      <w:r>
        <w:rPr>
          <w:rFonts w:asciiTheme="majorBidi" w:hAnsiTheme="majorBidi" w:cstheme="majorBidi"/>
          <w:lang w:val="sv-SE"/>
        </w:rPr>
        <w:t>(</w:t>
      </w:r>
      <w:r w:rsidRPr="0084470C">
        <w:rPr>
          <w:rFonts w:asciiTheme="majorBidi" w:hAnsiTheme="majorBidi" w:cstheme="majorBidi"/>
          <w:lang w:val="sv-SE"/>
        </w:rPr>
        <w:t>Jakarta: Bumi Aksara, 1996) Cet I, h. 26.</w:t>
      </w:r>
    </w:p>
  </w:footnote>
  <w:footnote w:id="135">
    <w:p w:rsidR="009677C3" w:rsidRPr="0084470C" w:rsidRDefault="009677C3" w:rsidP="00BC41DD">
      <w:pPr>
        <w:pStyle w:val="FootnoteText"/>
        <w:rPr>
          <w:rFonts w:asciiTheme="majorBidi" w:hAnsiTheme="majorBidi" w:cstheme="majorBidi"/>
        </w:rPr>
      </w:pPr>
      <w:r w:rsidRPr="0084470C">
        <w:rPr>
          <w:rFonts w:asciiTheme="majorBidi" w:hAnsiTheme="majorBidi" w:cstheme="majorBidi"/>
        </w:rPr>
        <w:t xml:space="preserve">               </w:t>
      </w:r>
      <w:r w:rsidRPr="0084470C">
        <w:rPr>
          <w:rStyle w:val="FootnoteReference"/>
          <w:rFonts w:asciiTheme="majorBidi" w:hAnsiTheme="majorBidi" w:cstheme="majorBidi"/>
        </w:rPr>
        <w:footnoteRef/>
      </w:r>
      <w:r w:rsidRPr="00BC12A7">
        <w:rPr>
          <w:rFonts w:asciiTheme="majorBidi" w:hAnsiTheme="majorBidi" w:cstheme="majorBidi"/>
        </w:rPr>
        <w:t xml:space="preserve"> Lihat.</w:t>
      </w:r>
      <w:r>
        <w:t xml:space="preserve"> </w:t>
      </w:r>
      <w:r w:rsidRPr="008015A8">
        <w:rPr>
          <w:rFonts w:asciiTheme="majorBidi" w:hAnsiTheme="majorBidi" w:cstheme="majorBidi"/>
          <w:lang w:val="sv-SE"/>
        </w:rPr>
        <w:t xml:space="preserve"> </w:t>
      </w:r>
      <w:r w:rsidRPr="0084470C">
        <w:rPr>
          <w:rFonts w:asciiTheme="majorBidi" w:hAnsiTheme="majorBidi" w:cstheme="majorBidi"/>
          <w:lang w:val="sv-SE"/>
        </w:rPr>
        <w:t xml:space="preserve">Mardalis, </w:t>
      </w:r>
      <w:r w:rsidRPr="0084470C">
        <w:rPr>
          <w:rFonts w:asciiTheme="majorBidi" w:hAnsiTheme="majorBidi" w:cstheme="majorBidi"/>
          <w:i/>
          <w:iCs/>
          <w:lang w:val="sv-SE"/>
        </w:rPr>
        <w:t>Metode penelitian: suatu pendekatan Propos</w:t>
      </w:r>
      <w:r>
        <w:rPr>
          <w:rFonts w:asciiTheme="majorBidi" w:hAnsiTheme="majorBidi" w:cstheme="majorBidi"/>
          <w:i/>
          <w:iCs/>
          <w:lang w:val="sv-SE"/>
        </w:rPr>
        <w:t>al,</w:t>
      </w:r>
      <w:r w:rsidRPr="0084470C">
        <w:rPr>
          <w:rFonts w:asciiTheme="majorBidi" w:hAnsiTheme="majorBidi" w:cstheme="majorBidi"/>
        </w:rPr>
        <w:t xml:space="preserve"> </w:t>
      </w:r>
      <w:r w:rsidRPr="0084470C">
        <w:rPr>
          <w:rFonts w:asciiTheme="majorBidi" w:hAnsiTheme="majorBidi" w:cstheme="majorBidi"/>
          <w:i/>
          <w:iCs/>
        </w:rPr>
        <w:t>ibid</w:t>
      </w:r>
      <w:r w:rsidRPr="0084470C">
        <w:rPr>
          <w:rFonts w:asciiTheme="majorBidi" w:hAnsiTheme="majorBidi" w:cstheme="majorBidi"/>
        </w:rPr>
        <w:t xml:space="preserve">., 132 </w:t>
      </w:r>
    </w:p>
  </w:footnote>
  <w:footnote w:id="136">
    <w:p w:rsidR="009677C3" w:rsidRPr="00523EA9" w:rsidRDefault="009677C3" w:rsidP="00C44A94">
      <w:pPr>
        <w:pStyle w:val="FootnoteText"/>
        <w:ind w:firstLine="720"/>
        <w:jc w:val="both"/>
        <w:rPr>
          <w:rFonts w:ascii="Times New Roman" w:hAnsi="Times New Roman" w:cs="Times New Roman"/>
        </w:rPr>
      </w:pPr>
      <w:r w:rsidRPr="0084470C">
        <w:rPr>
          <w:rStyle w:val="FootnoteReference"/>
          <w:rFonts w:asciiTheme="majorBidi" w:hAnsiTheme="majorBidi" w:cstheme="majorBidi"/>
        </w:rPr>
        <w:footnoteRef/>
      </w:r>
      <w:r w:rsidRPr="0084470C">
        <w:rPr>
          <w:rFonts w:asciiTheme="majorBidi" w:hAnsiTheme="majorBidi" w:cstheme="majorBidi"/>
        </w:rPr>
        <w:t xml:space="preserve"> </w:t>
      </w:r>
      <w:r w:rsidRPr="00BC12A7">
        <w:rPr>
          <w:rFonts w:asciiTheme="majorBidi" w:hAnsiTheme="majorBidi" w:cstheme="majorBidi"/>
        </w:rPr>
        <w:t>Lihat.</w:t>
      </w:r>
      <w:r>
        <w:t xml:space="preserve"> </w:t>
      </w:r>
      <w:r w:rsidRPr="0084470C">
        <w:rPr>
          <w:rFonts w:asciiTheme="majorBidi" w:hAnsiTheme="majorBidi" w:cstheme="majorBidi"/>
        </w:rPr>
        <w:t xml:space="preserve">Suharsimi Arikunto, </w:t>
      </w:r>
      <w:r w:rsidRPr="0084470C">
        <w:rPr>
          <w:rFonts w:asciiTheme="majorBidi" w:hAnsiTheme="majorBidi" w:cstheme="majorBidi"/>
          <w:i/>
          <w:iCs/>
        </w:rPr>
        <w:t>Prosedur Penelitian Suatu Pendekatan Praktek</w:t>
      </w:r>
      <w:r w:rsidRPr="0084470C">
        <w:rPr>
          <w:rFonts w:asciiTheme="majorBidi" w:hAnsiTheme="majorBidi" w:cstheme="majorBidi"/>
        </w:rPr>
        <w:t xml:space="preserve"> ( Jakarta: Rineka Cipta, 1993), Cet II, h. 205</w:t>
      </w:r>
    </w:p>
  </w:footnote>
  <w:footnote w:id="13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Pr>
          <w:rFonts w:asciiTheme="majorBidi" w:hAnsiTheme="majorBidi" w:cstheme="majorBidi"/>
        </w:rPr>
        <w:t xml:space="preserve"> </w:t>
      </w:r>
      <w:r w:rsidRPr="004666EA">
        <w:rPr>
          <w:rFonts w:asciiTheme="majorBidi" w:hAnsiTheme="majorBidi" w:cstheme="majorBidi"/>
        </w:rPr>
        <w:t xml:space="preserve">Menurut Quraish Shihab, dalam </w:t>
      </w:r>
      <w:r>
        <w:rPr>
          <w:rFonts w:asciiTheme="majorBidi" w:hAnsiTheme="majorBidi" w:cstheme="majorBidi"/>
        </w:rPr>
        <w:t>Al-Qur’ān</w:t>
      </w:r>
      <w:r w:rsidRPr="004666EA">
        <w:rPr>
          <w:rFonts w:asciiTheme="majorBidi" w:hAnsiTheme="majorBidi" w:cstheme="majorBidi"/>
        </w:rPr>
        <w:t xml:space="preserve"> tidak ditemukan kata yang terbentuk dari akar </w:t>
      </w:r>
      <w:r w:rsidRPr="004666EA">
        <w:rPr>
          <w:rFonts w:asciiTheme="majorBidi" w:hAnsiTheme="majorBidi" w:cstheme="majorBidi"/>
          <w:i/>
          <w:iCs/>
        </w:rPr>
        <w:t xml:space="preserve">kata </w:t>
      </w:r>
      <w:r w:rsidRPr="00E550C3">
        <w:rPr>
          <w:rFonts w:asciiTheme="majorBidi" w:hAnsiTheme="majorBidi" w:cstheme="majorBidi"/>
          <w:i/>
          <w:iCs/>
        </w:rPr>
        <w:t>s</w:t>
      </w:r>
      <w:r w:rsidRPr="00E550C3">
        <w:rPr>
          <w:i/>
          <w:iCs/>
        </w:rPr>
        <w:t>ā</w:t>
      </w:r>
      <w:r w:rsidRPr="00E550C3">
        <w:rPr>
          <w:rFonts w:asciiTheme="majorBidi" w:hAnsiTheme="majorBidi" w:cstheme="majorBidi"/>
          <w:i/>
          <w:iCs/>
        </w:rPr>
        <w:t>sa-yasūsu</w:t>
      </w:r>
      <w:r w:rsidRPr="004666EA">
        <w:rPr>
          <w:rFonts w:asciiTheme="majorBidi" w:hAnsiTheme="majorBidi" w:cstheme="majorBidi"/>
        </w:rPr>
        <w:t xml:space="preserve">, namun ini bukan berarti bahwa </w:t>
      </w:r>
      <w:r>
        <w:rPr>
          <w:rFonts w:asciiTheme="majorBidi" w:hAnsiTheme="majorBidi" w:cstheme="majorBidi"/>
        </w:rPr>
        <w:t>Al-Qur’ān</w:t>
      </w:r>
      <w:r w:rsidRPr="004666EA">
        <w:rPr>
          <w:rFonts w:asciiTheme="majorBidi" w:hAnsiTheme="majorBidi" w:cstheme="majorBidi"/>
        </w:rPr>
        <w:t xml:space="preserve"> tidak menguraikan soal politik. Uraian </w:t>
      </w:r>
      <w:r>
        <w:rPr>
          <w:rFonts w:asciiTheme="majorBidi" w:hAnsiTheme="majorBidi" w:cstheme="majorBidi"/>
        </w:rPr>
        <w:t>Al-Qur’ān</w:t>
      </w:r>
      <w:r w:rsidRPr="004666EA">
        <w:rPr>
          <w:rFonts w:asciiTheme="majorBidi" w:hAnsiTheme="majorBidi" w:cstheme="majorBidi"/>
        </w:rPr>
        <w:t xml:space="preserve"> tentang politik secara sepintas dapat ditemukan pada ayat-ayat yang berakar kata </w:t>
      </w:r>
      <w:r w:rsidRPr="004666EA">
        <w:rPr>
          <w:rFonts w:asciiTheme="majorBidi" w:hAnsiTheme="majorBidi" w:cstheme="majorBidi"/>
          <w:i/>
          <w:iCs/>
        </w:rPr>
        <w:t>hukm</w:t>
      </w:r>
      <w:r w:rsidRPr="004666EA">
        <w:rPr>
          <w:rFonts w:asciiTheme="majorBidi" w:hAnsiTheme="majorBidi" w:cstheme="majorBidi"/>
        </w:rPr>
        <w:t xml:space="preserve">.  Dari akar kata ini terbentuk kata </w:t>
      </w:r>
      <w:r w:rsidRPr="004666EA">
        <w:rPr>
          <w:rFonts w:asciiTheme="majorBidi" w:hAnsiTheme="majorBidi" w:cstheme="majorBidi"/>
          <w:i/>
          <w:iCs/>
        </w:rPr>
        <w:t>hikmah</w:t>
      </w:r>
      <w:r w:rsidRPr="004666EA">
        <w:rPr>
          <w:rFonts w:asciiTheme="majorBidi" w:hAnsiTheme="majorBidi" w:cstheme="majorBidi"/>
        </w:rPr>
        <w:t xml:space="preserve"> yang pada mulanya berarti kendali. Maka ini sejalan dengan asal makna kata </w:t>
      </w:r>
      <w:r w:rsidRPr="00E550C3">
        <w:rPr>
          <w:rFonts w:asciiTheme="majorBidi" w:hAnsiTheme="majorBidi" w:cstheme="majorBidi"/>
          <w:i/>
          <w:iCs/>
        </w:rPr>
        <w:t>s</w:t>
      </w:r>
      <w:r w:rsidRPr="00E550C3">
        <w:rPr>
          <w:i/>
          <w:iCs/>
        </w:rPr>
        <w:t>ā</w:t>
      </w:r>
      <w:r w:rsidRPr="00E550C3">
        <w:rPr>
          <w:rFonts w:asciiTheme="majorBidi" w:hAnsiTheme="majorBidi" w:cstheme="majorBidi"/>
          <w:i/>
          <w:iCs/>
        </w:rPr>
        <w:t>sa-yasūsu-siayāsah</w:t>
      </w:r>
      <w:r w:rsidRPr="004666EA">
        <w:rPr>
          <w:rFonts w:asciiTheme="majorBidi" w:hAnsiTheme="majorBidi" w:cstheme="majorBidi"/>
        </w:rPr>
        <w:t xml:space="preserve">, yang berarti mengemudi, mengendalikan, pengendali dan cara pengendalian. Lihat. M. Quraish Shihab, </w:t>
      </w:r>
      <w:r w:rsidRPr="004666EA">
        <w:rPr>
          <w:rFonts w:asciiTheme="majorBidi" w:hAnsiTheme="majorBidi" w:cstheme="majorBidi"/>
          <w:i/>
          <w:iCs/>
        </w:rPr>
        <w:t xml:space="preserve">Wawasan </w:t>
      </w:r>
      <w:r>
        <w:rPr>
          <w:rFonts w:asciiTheme="majorBidi" w:hAnsiTheme="majorBidi" w:cstheme="majorBidi"/>
          <w:i/>
          <w:iCs/>
        </w:rPr>
        <w:t>Al-Qur’ān</w:t>
      </w:r>
      <w:r w:rsidRPr="004666EA">
        <w:rPr>
          <w:rFonts w:asciiTheme="majorBidi" w:hAnsiTheme="majorBidi" w:cstheme="majorBidi"/>
          <w:i/>
          <w:iCs/>
        </w:rPr>
        <w:t>, Tafsir Tematik Atas Perbagai Persolan Umat</w:t>
      </w:r>
      <w:r w:rsidRPr="004666EA">
        <w:rPr>
          <w:rFonts w:asciiTheme="majorBidi" w:hAnsiTheme="majorBidi" w:cstheme="majorBidi"/>
        </w:rPr>
        <w:t xml:space="preserve">, ( Bandung: Mizan, 2013), h. 548-549. Untuk memperdalam makna </w:t>
      </w:r>
      <w:r w:rsidRPr="004666EA">
        <w:rPr>
          <w:rFonts w:asciiTheme="majorBidi" w:hAnsiTheme="majorBidi" w:cstheme="majorBidi"/>
          <w:i/>
          <w:iCs/>
        </w:rPr>
        <w:t>sasa-yasusu</w:t>
      </w:r>
      <w:r w:rsidRPr="004666EA">
        <w:rPr>
          <w:rFonts w:asciiTheme="majorBidi" w:hAnsiTheme="majorBidi" w:cstheme="majorBidi"/>
        </w:rPr>
        <w:t xml:space="preserve"> lihat.Ahamd Mukhtar Abdul hamid Umar, </w:t>
      </w:r>
      <w:r w:rsidRPr="004666EA">
        <w:rPr>
          <w:rFonts w:asciiTheme="majorBidi" w:hAnsiTheme="majorBidi" w:cstheme="majorBidi"/>
          <w:i/>
          <w:iCs/>
        </w:rPr>
        <w:t>Mu’jam al-Lughah al-‘Arabiyah al-Mu’ashirah</w:t>
      </w:r>
      <w:r w:rsidRPr="004666EA">
        <w:rPr>
          <w:rFonts w:asciiTheme="majorBidi" w:hAnsiTheme="majorBidi" w:cstheme="majorBidi"/>
        </w:rPr>
        <w:t>, ( t.t: ‘Alam al-Kutub, 2008), Jilid III, h. 1153</w:t>
      </w:r>
    </w:p>
  </w:footnote>
  <w:footnote w:id="138">
    <w:p w:rsidR="00343B61" w:rsidRPr="00E550C3" w:rsidRDefault="00343B61" w:rsidP="00343B61">
      <w:pPr>
        <w:pStyle w:val="ListParagraph"/>
        <w:spacing w:after="0" w:line="240" w:lineRule="auto"/>
        <w:ind w:left="0"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w:t>
      </w:r>
      <w:r w:rsidRPr="004666EA">
        <w:rPr>
          <w:rFonts w:asciiTheme="majorBidi" w:eastAsiaTheme="minorHAnsi" w:hAnsiTheme="majorBidi" w:cstheme="majorBidi"/>
          <w:color w:val="000000"/>
          <w:sz w:val="20"/>
          <w:szCs w:val="20"/>
        </w:rPr>
        <w:t xml:space="preserve">Ahmad Ibn Muhammad Ibn ‘Ali Al-Fayumi, </w:t>
      </w:r>
      <w:r w:rsidRPr="004666EA">
        <w:rPr>
          <w:rFonts w:asciiTheme="majorBidi" w:eastAsiaTheme="minorHAnsi" w:hAnsiTheme="majorBidi" w:cstheme="majorBidi"/>
          <w:i/>
          <w:iCs/>
          <w:color w:val="000000"/>
          <w:sz w:val="20"/>
          <w:szCs w:val="20"/>
        </w:rPr>
        <w:t>Mishb</w:t>
      </w:r>
      <w:r w:rsidRPr="00E550C3">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h al-Mun</w:t>
      </w:r>
      <w:r w:rsidRPr="00E550C3">
        <w:rPr>
          <w:rFonts w:asciiTheme="majorBidi" w:hAnsiTheme="majorBidi" w:cstheme="majorBidi"/>
          <w:i/>
          <w:iCs/>
          <w:sz w:val="20"/>
          <w:szCs w:val="20"/>
        </w:rPr>
        <w:t>ī</w:t>
      </w:r>
      <w:r w:rsidRPr="004666EA">
        <w:rPr>
          <w:rFonts w:asciiTheme="majorBidi" w:eastAsiaTheme="minorHAnsi" w:hAnsiTheme="majorBidi" w:cstheme="majorBidi"/>
          <w:i/>
          <w:iCs/>
          <w:color w:val="000000"/>
          <w:sz w:val="20"/>
          <w:szCs w:val="20"/>
        </w:rPr>
        <w:t>r</w:t>
      </w:r>
      <w:r w:rsidRPr="004666EA">
        <w:rPr>
          <w:rFonts w:asciiTheme="majorBidi" w:eastAsiaTheme="minorHAnsi" w:hAnsiTheme="majorBidi" w:cstheme="majorBidi"/>
          <w:color w:val="000000"/>
          <w:sz w:val="20"/>
          <w:szCs w:val="20"/>
        </w:rPr>
        <w:t>, ( t.t: Maktabah al-Syamilah, t.tp), Jilid iv, h. 735</w:t>
      </w:r>
    </w:p>
  </w:footnote>
  <w:footnote w:id="139">
    <w:p w:rsidR="00343B61" w:rsidRPr="004666EA" w:rsidRDefault="00343B61" w:rsidP="00343B61">
      <w:pPr>
        <w:spacing w:after="0" w:line="240" w:lineRule="auto"/>
        <w:ind w:firstLine="720"/>
        <w:jc w:val="both"/>
        <w:rPr>
          <w:rFonts w:asciiTheme="majorBidi" w:eastAsiaTheme="minorHAnsi" w:hAnsiTheme="majorBidi" w:cstheme="majorBidi"/>
          <w:color w:val="000000"/>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w:t>
      </w:r>
      <w:r w:rsidRPr="004666EA">
        <w:rPr>
          <w:rFonts w:asciiTheme="majorBidi" w:eastAsiaTheme="minorHAnsi" w:hAnsiTheme="majorBidi" w:cstheme="majorBidi"/>
          <w:color w:val="000000"/>
          <w:sz w:val="20"/>
          <w:szCs w:val="20"/>
        </w:rPr>
        <w:t xml:space="preserve">Radhi al-Din al-Hasan Ibn Muhammad Ibn al-Hasan al-Qurasyi, </w:t>
      </w:r>
      <w:r w:rsidRPr="004666EA">
        <w:rPr>
          <w:rFonts w:asciiTheme="majorBidi" w:eastAsiaTheme="minorHAnsi" w:hAnsiTheme="majorBidi" w:cstheme="majorBidi"/>
          <w:i/>
          <w:iCs/>
          <w:color w:val="000000"/>
          <w:sz w:val="20"/>
          <w:szCs w:val="20"/>
        </w:rPr>
        <w:t>al-‘Abbad al-Zakh</w:t>
      </w:r>
      <w:r w:rsidRPr="00E550C3">
        <w:rPr>
          <w:rFonts w:asciiTheme="majorBidi" w:hAnsiTheme="majorBidi" w:cstheme="majorBidi"/>
          <w:i/>
          <w:iCs/>
          <w:sz w:val="20"/>
          <w:szCs w:val="20"/>
        </w:rPr>
        <w:t>ī</w:t>
      </w:r>
      <w:r w:rsidRPr="004666EA">
        <w:rPr>
          <w:rFonts w:asciiTheme="majorBidi" w:eastAsiaTheme="minorHAnsi" w:hAnsiTheme="majorBidi" w:cstheme="majorBidi"/>
          <w:i/>
          <w:iCs/>
          <w:color w:val="000000"/>
          <w:sz w:val="20"/>
          <w:szCs w:val="20"/>
        </w:rPr>
        <w:t>r wa al-Lub</w:t>
      </w:r>
      <w:r w:rsidRPr="00E550C3">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b al-Fakh</w:t>
      </w:r>
      <w:r w:rsidRPr="00E550C3">
        <w:rPr>
          <w:rFonts w:asciiTheme="majorBidi" w:hAnsiTheme="majorBidi" w:cstheme="majorBidi"/>
          <w:i/>
          <w:iCs/>
          <w:sz w:val="20"/>
          <w:szCs w:val="20"/>
        </w:rPr>
        <w:t>ī</w:t>
      </w:r>
      <w:r w:rsidRPr="004666EA">
        <w:rPr>
          <w:rFonts w:asciiTheme="majorBidi" w:eastAsiaTheme="minorHAnsi" w:hAnsiTheme="majorBidi" w:cstheme="majorBidi"/>
          <w:i/>
          <w:iCs/>
          <w:color w:val="000000"/>
          <w:sz w:val="20"/>
          <w:szCs w:val="20"/>
        </w:rPr>
        <w:t>r</w:t>
      </w:r>
      <w:r w:rsidRPr="004666EA">
        <w:rPr>
          <w:rFonts w:asciiTheme="majorBidi" w:eastAsiaTheme="minorHAnsi" w:hAnsiTheme="majorBidi" w:cstheme="majorBidi"/>
          <w:color w:val="000000"/>
          <w:sz w:val="20"/>
          <w:szCs w:val="20"/>
        </w:rPr>
        <w:t>, ( t.t: Maktabah al-Syamilah, t.tp), h. 124</w:t>
      </w:r>
    </w:p>
  </w:footnote>
  <w:footnote w:id="14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 Quraish Shihab, </w:t>
      </w:r>
      <w:r w:rsidRPr="004666EA">
        <w:rPr>
          <w:rFonts w:asciiTheme="majorBidi" w:hAnsiTheme="majorBidi" w:cstheme="majorBidi"/>
          <w:i/>
          <w:iCs/>
        </w:rPr>
        <w:t xml:space="preserve">Wawasan </w:t>
      </w:r>
      <w:r>
        <w:rPr>
          <w:rFonts w:asciiTheme="majorBidi" w:hAnsiTheme="majorBidi" w:cstheme="majorBidi"/>
          <w:i/>
          <w:iCs/>
        </w:rPr>
        <w:t>Al-Qur’ān</w:t>
      </w:r>
      <w:r w:rsidRPr="004666EA">
        <w:rPr>
          <w:rFonts w:asciiTheme="majorBidi" w:hAnsiTheme="majorBidi" w:cstheme="majorBidi"/>
          <w:i/>
          <w:iCs/>
        </w:rPr>
        <w:t>, Tafsir Tematik Atas Perbagai Perso</w:t>
      </w:r>
      <w:r>
        <w:rPr>
          <w:rFonts w:asciiTheme="majorBidi" w:hAnsiTheme="majorBidi" w:cstheme="majorBidi"/>
          <w:i/>
          <w:iCs/>
        </w:rPr>
        <w:t>a</w:t>
      </w:r>
      <w:r w:rsidRPr="004666EA">
        <w:rPr>
          <w:rFonts w:asciiTheme="majorBidi" w:hAnsiTheme="majorBidi" w:cstheme="majorBidi"/>
          <w:i/>
          <w:iCs/>
        </w:rPr>
        <w:t>lan Umat</w:t>
      </w:r>
      <w:r w:rsidRPr="004666EA">
        <w:rPr>
          <w:rFonts w:asciiTheme="majorBidi" w:hAnsiTheme="majorBidi" w:cstheme="majorBidi"/>
        </w:rPr>
        <w:t>, ( Bandung: Mizan, 2013), h. 548-549</w:t>
      </w:r>
    </w:p>
  </w:footnote>
  <w:footnote w:id="141">
    <w:p w:rsidR="00343B61" w:rsidRPr="00E550C3" w:rsidRDefault="00343B61" w:rsidP="00343B61">
      <w:pPr>
        <w:pStyle w:val="ListParagraph"/>
        <w:spacing w:after="0" w:line="240" w:lineRule="auto"/>
        <w:ind w:left="0" w:firstLine="720"/>
        <w:jc w:val="both"/>
        <w:rPr>
          <w:rFonts w:asciiTheme="majorBidi" w:hAnsiTheme="majorBidi" w:cstheme="majorBidi"/>
          <w:i/>
          <w:iCs/>
          <w:sz w:val="24"/>
          <w:szCs w:val="24"/>
        </w:rPr>
      </w:pPr>
      <w:r w:rsidRPr="00E550C3">
        <w:rPr>
          <w:rStyle w:val="FootnoteReference"/>
          <w:rFonts w:asciiTheme="majorBidi" w:hAnsiTheme="majorBidi" w:cstheme="majorBidi"/>
          <w:sz w:val="20"/>
          <w:szCs w:val="20"/>
        </w:rPr>
        <w:footnoteRef/>
      </w:r>
      <w:r w:rsidRPr="00E550C3">
        <w:rPr>
          <w:rFonts w:asciiTheme="majorBidi" w:hAnsiTheme="majorBidi" w:cstheme="majorBidi"/>
          <w:sz w:val="20"/>
          <w:szCs w:val="20"/>
        </w:rPr>
        <w:t xml:space="preserve"> Lihat. Haris Sulaiman al-Farūqi, </w:t>
      </w:r>
      <w:r w:rsidRPr="00E550C3">
        <w:rPr>
          <w:rFonts w:asciiTheme="majorBidi" w:hAnsiTheme="majorBidi" w:cstheme="majorBidi"/>
          <w:i/>
          <w:iCs/>
          <w:sz w:val="20"/>
          <w:szCs w:val="20"/>
        </w:rPr>
        <w:t>Al-Mu</w:t>
      </w:r>
      <w:r>
        <w:t>‘</w:t>
      </w:r>
      <w:r>
        <w:rPr>
          <w:rFonts w:asciiTheme="majorBidi" w:hAnsiTheme="majorBidi" w:cstheme="majorBidi"/>
          <w:i/>
          <w:iCs/>
          <w:sz w:val="20"/>
          <w:szCs w:val="20"/>
        </w:rPr>
        <w:t xml:space="preserve">jam </w:t>
      </w:r>
      <w:r w:rsidRPr="00E550C3">
        <w:rPr>
          <w:rFonts w:asciiTheme="majorBidi" w:hAnsiTheme="majorBidi" w:cstheme="majorBidi"/>
          <w:i/>
          <w:iCs/>
          <w:sz w:val="20"/>
          <w:szCs w:val="20"/>
        </w:rPr>
        <w:t>al-Qanūni</w:t>
      </w:r>
      <w:r>
        <w:rPr>
          <w:rFonts w:asciiTheme="majorBidi" w:hAnsiTheme="majorBidi" w:cstheme="majorBidi"/>
          <w:sz w:val="20"/>
          <w:szCs w:val="20"/>
        </w:rPr>
        <w:t>,( Bairut: Maktabah Li</w:t>
      </w:r>
      <w:r w:rsidRPr="00E550C3">
        <w:rPr>
          <w:rFonts w:asciiTheme="majorBidi" w:hAnsiTheme="majorBidi" w:cstheme="majorBidi"/>
          <w:sz w:val="20"/>
          <w:szCs w:val="20"/>
        </w:rPr>
        <w:t>b</w:t>
      </w:r>
      <w:r>
        <w:rPr>
          <w:rFonts w:asciiTheme="majorBidi" w:hAnsiTheme="majorBidi" w:cstheme="majorBidi"/>
          <w:sz w:val="20"/>
          <w:szCs w:val="20"/>
        </w:rPr>
        <w:t>ano</w:t>
      </w:r>
      <w:r w:rsidRPr="00E550C3">
        <w:rPr>
          <w:rFonts w:asciiTheme="majorBidi" w:hAnsiTheme="majorBidi" w:cstheme="majorBidi"/>
          <w:sz w:val="20"/>
          <w:szCs w:val="20"/>
        </w:rPr>
        <w:t>n,1983), h. 185</w:t>
      </w:r>
    </w:p>
  </w:footnote>
  <w:footnote w:id="14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Ahamd Mukhtar Abdul hamid Umar, </w:t>
      </w:r>
      <w:r w:rsidRPr="004666EA">
        <w:rPr>
          <w:rFonts w:asciiTheme="majorBidi" w:hAnsiTheme="majorBidi" w:cstheme="majorBidi"/>
          <w:i/>
          <w:iCs/>
        </w:rPr>
        <w:t>Mu</w:t>
      </w:r>
      <w:r>
        <w:t>‘</w:t>
      </w:r>
      <w:r w:rsidRPr="004666EA">
        <w:rPr>
          <w:rFonts w:asciiTheme="majorBidi" w:hAnsiTheme="majorBidi" w:cstheme="majorBidi"/>
          <w:i/>
          <w:iCs/>
        </w:rPr>
        <w:t>jam al-Lughah al-‘Arabiyah al-Mu</w:t>
      </w:r>
      <w:r>
        <w:t>‘</w:t>
      </w:r>
      <w:r w:rsidRPr="004666EA">
        <w:rPr>
          <w:rFonts w:asciiTheme="majorBidi" w:hAnsiTheme="majorBidi" w:cstheme="majorBidi"/>
          <w:i/>
          <w:iCs/>
        </w:rPr>
        <w:t>ashirah</w:t>
      </w:r>
      <w:r w:rsidRPr="004666EA">
        <w:rPr>
          <w:rFonts w:asciiTheme="majorBidi" w:hAnsiTheme="majorBidi" w:cstheme="majorBidi"/>
        </w:rPr>
        <w:t>, ( t.t: ‘Alam al-Kutub, 2008), Jilid III, h. 1153</w:t>
      </w:r>
    </w:p>
  </w:footnote>
  <w:footnote w:id="14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Abu al-Fadl Jamaluddin Muhammad bin Mukarram, Ibn </w:t>
      </w:r>
      <w:r w:rsidRPr="004E334F">
        <w:rPr>
          <w:rFonts w:asciiTheme="majorBidi" w:hAnsiTheme="majorBidi" w:cstheme="majorBidi"/>
          <w:i/>
          <w:iCs/>
        </w:rPr>
        <w:t>Manzhūr, Lisān al‘Arab,</w:t>
      </w:r>
      <w:r w:rsidRPr="004666EA">
        <w:rPr>
          <w:rFonts w:asciiTheme="majorBidi" w:hAnsiTheme="majorBidi" w:cstheme="majorBidi"/>
        </w:rPr>
        <w:t xml:space="preserve"> (Kairo: Darul Hadits,  2003) Jilid VI, h. 107</w:t>
      </w:r>
    </w:p>
  </w:footnote>
  <w:footnote w:id="14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Luwis Ma’luf, </w:t>
      </w:r>
      <w:r w:rsidRPr="004666EA">
        <w:rPr>
          <w:rFonts w:asciiTheme="majorBidi" w:hAnsiTheme="majorBidi" w:cstheme="majorBidi"/>
          <w:i/>
          <w:iCs/>
        </w:rPr>
        <w:t>al-Munjid</w:t>
      </w:r>
      <w:r w:rsidRPr="004666EA">
        <w:rPr>
          <w:rFonts w:asciiTheme="majorBidi" w:hAnsiTheme="majorBidi" w:cstheme="majorBidi"/>
        </w:rPr>
        <w:t>, (Beirut: Dar al-Masyriq, 1976), Jilid. I, h. 362</w:t>
      </w:r>
    </w:p>
  </w:footnote>
  <w:footnote w:id="14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color w:val="000000"/>
        </w:rPr>
        <w:t xml:space="preserve">Al-Qadhi Abi Al-Abbas Ahmad al-Syamma’ Al-Hantati,  </w:t>
      </w:r>
      <w:r w:rsidRPr="004666EA">
        <w:rPr>
          <w:rFonts w:asciiTheme="majorBidi" w:hAnsiTheme="majorBidi" w:cstheme="majorBidi"/>
          <w:i/>
          <w:iCs/>
          <w:color w:val="000000"/>
        </w:rPr>
        <w:t>Mathali’ al-Tamam Wa Nashaih al-Anam</w:t>
      </w:r>
      <w:r w:rsidRPr="004666EA">
        <w:rPr>
          <w:rFonts w:asciiTheme="majorBidi" w:hAnsiTheme="majorBidi" w:cstheme="majorBidi"/>
          <w:color w:val="000000"/>
        </w:rPr>
        <w:t>,( t</w:t>
      </w:r>
      <w:r w:rsidRPr="004666EA">
        <w:rPr>
          <w:rFonts w:asciiTheme="majorBidi" w:eastAsiaTheme="minorHAnsi" w:hAnsiTheme="majorBidi" w:cstheme="majorBidi"/>
          <w:color w:val="000000"/>
        </w:rPr>
        <w:t>.t: Maktabah al-Syamilah, t.tp),</w:t>
      </w:r>
      <w:r>
        <w:rPr>
          <w:rFonts w:asciiTheme="majorBidi" w:eastAsiaTheme="minorHAnsi" w:hAnsiTheme="majorBidi" w:cstheme="majorBidi"/>
          <w:color w:val="000000"/>
        </w:rPr>
        <w:t xml:space="preserve"> </w:t>
      </w:r>
      <w:r w:rsidRPr="004666EA">
        <w:rPr>
          <w:rFonts w:asciiTheme="majorBidi" w:hAnsiTheme="majorBidi" w:cstheme="majorBidi"/>
          <w:color w:val="000000"/>
        </w:rPr>
        <w:t>h. 7</w:t>
      </w:r>
    </w:p>
  </w:footnote>
  <w:footnote w:id="14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Raja Grafindo Persada, 1994), h. 23</w:t>
      </w:r>
    </w:p>
  </w:footnote>
  <w:footnote w:id="147">
    <w:p w:rsidR="00343B61" w:rsidRPr="004E334F" w:rsidRDefault="00343B61" w:rsidP="00343B61">
      <w:pPr>
        <w:spacing w:after="0"/>
        <w:ind w:firstLine="720"/>
        <w:jc w:val="both"/>
        <w:rPr>
          <w:rFonts w:asciiTheme="majorBidi" w:hAnsiTheme="majorBidi" w:cstheme="majorBidi"/>
          <w:i/>
          <w:iCs/>
          <w:sz w:val="20"/>
          <w:szCs w:val="20"/>
        </w:rPr>
      </w:pPr>
      <w:r w:rsidRPr="004E334F">
        <w:rPr>
          <w:rStyle w:val="FootnoteReference"/>
          <w:rFonts w:asciiTheme="majorBidi" w:hAnsiTheme="majorBidi" w:cstheme="majorBidi"/>
          <w:sz w:val="20"/>
          <w:szCs w:val="20"/>
        </w:rPr>
        <w:footnoteRef/>
      </w:r>
      <w:r w:rsidRPr="004E334F">
        <w:rPr>
          <w:rFonts w:asciiTheme="majorBidi" w:hAnsiTheme="majorBidi" w:cstheme="majorBidi"/>
          <w:sz w:val="20"/>
          <w:szCs w:val="20"/>
        </w:rPr>
        <w:t xml:space="preserve"> Lihat. </w:t>
      </w:r>
      <w:r w:rsidRPr="004E334F">
        <w:rPr>
          <w:rFonts w:asciiTheme="majorBidi" w:hAnsiTheme="majorBidi" w:cstheme="majorBidi"/>
          <w:sz w:val="20"/>
          <w:szCs w:val="20"/>
          <w:lang w:val="id-ID"/>
        </w:rPr>
        <w:t>Abdul Wah</w:t>
      </w:r>
      <w:r w:rsidRPr="004E334F">
        <w:rPr>
          <w:rFonts w:asciiTheme="majorBidi" w:hAnsiTheme="majorBidi" w:cstheme="majorBidi"/>
          <w:sz w:val="20"/>
          <w:szCs w:val="20"/>
        </w:rPr>
        <w:t>h</w:t>
      </w:r>
      <w:r w:rsidRPr="004E334F">
        <w:rPr>
          <w:rFonts w:asciiTheme="majorBidi" w:hAnsiTheme="majorBidi" w:cstheme="majorBidi"/>
          <w:sz w:val="20"/>
          <w:szCs w:val="20"/>
          <w:lang w:val="id-ID"/>
        </w:rPr>
        <w:t>ab Khal</w:t>
      </w:r>
      <w:r w:rsidRPr="004E334F">
        <w:rPr>
          <w:rFonts w:asciiTheme="majorBidi" w:hAnsiTheme="majorBidi" w:cstheme="majorBidi"/>
          <w:sz w:val="20"/>
          <w:szCs w:val="20"/>
        </w:rPr>
        <w:t>l</w:t>
      </w:r>
      <w:r w:rsidRPr="004E334F">
        <w:rPr>
          <w:rFonts w:asciiTheme="majorBidi" w:hAnsiTheme="majorBidi" w:cstheme="majorBidi"/>
          <w:sz w:val="20"/>
          <w:szCs w:val="20"/>
          <w:lang w:val="id-ID"/>
        </w:rPr>
        <w:t xml:space="preserve">āf, </w:t>
      </w:r>
      <w:r w:rsidRPr="004E334F">
        <w:rPr>
          <w:rFonts w:asciiTheme="majorBidi" w:hAnsiTheme="majorBidi" w:cstheme="majorBidi"/>
          <w:i/>
          <w:iCs/>
          <w:sz w:val="20"/>
          <w:szCs w:val="20"/>
        </w:rPr>
        <w:t>Al-</w:t>
      </w:r>
      <w:r w:rsidRPr="004E334F">
        <w:rPr>
          <w:rFonts w:asciiTheme="majorBidi" w:hAnsiTheme="majorBidi" w:cstheme="majorBidi"/>
          <w:i/>
          <w:iCs/>
          <w:sz w:val="20"/>
          <w:szCs w:val="20"/>
          <w:lang w:val="id-ID"/>
        </w:rPr>
        <w:t>Siyāsah</w:t>
      </w:r>
      <w:r w:rsidRPr="004E334F">
        <w:rPr>
          <w:rFonts w:asciiTheme="majorBidi" w:hAnsiTheme="majorBidi" w:cstheme="majorBidi"/>
          <w:i/>
          <w:iCs/>
          <w:sz w:val="20"/>
          <w:szCs w:val="20"/>
        </w:rPr>
        <w:t xml:space="preserve"> al-</w:t>
      </w:r>
      <w:r w:rsidRPr="004E334F">
        <w:rPr>
          <w:rFonts w:asciiTheme="majorBidi" w:hAnsiTheme="majorBidi" w:cstheme="majorBidi"/>
          <w:i/>
          <w:iCs/>
          <w:sz w:val="20"/>
          <w:szCs w:val="20"/>
          <w:lang w:val="id-ID"/>
        </w:rPr>
        <w:t>syar‘iyyah</w:t>
      </w:r>
      <w:r w:rsidRPr="004E334F">
        <w:rPr>
          <w:rFonts w:asciiTheme="majorBidi" w:hAnsiTheme="majorBidi" w:cstheme="majorBidi"/>
          <w:i/>
          <w:iCs/>
          <w:sz w:val="20"/>
          <w:szCs w:val="20"/>
        </w:rPr>
        <w:t xml:space="preserve"> aw Nidhām Al-Dawlah Al-Islāmiyah Fi al-Syu’ūn al-Dustūriyah wa al-Khārijiyah wa al-Māliyah</w:t>
      </w:r>
      <w:r w:rsidRPr="004E334F">
        <w:rPr>
          <w:rFonts w:asciiTheme="majorBidi" w:hAnsiTheme="majorBidi" w:cstheme="majorBidi"/>
          <w:i/>
          <w:sz w:val="20"/>
          <w:szCs w:val="20"/>
          <w:lang w:val="id-ID"/>
        </w:rPr>
        <w:t>,</w:t>
      </w:r>
      <w:r w:rsidRPr="004E334F">
        <w:rPr>
          <w:rFonts w:asciiTheme="majorBidi" w:hAnsiTheme="majorBidi" w:cstheme="majorBidi"/>
          <w:iCs/>
          <w:sz w:val="20"/>
          <w:szCs w:val="20"/>
        </w:rPr>
        <w:t>( Cairo : Mathba’ah al-Slafiyah, 1350 H),</w:t>
      </w:r>
      <w:r w:rsidRPr="004E334F">
        <w:rPr>
          <w:rFonts w:asciiTheme="majorBidi" w:hAnsiTheme="majorBidi" w:cstheme="majorBidi"/>
          <w:sz w:val="20"/>
          <w:szCs w:val="20"/>
          <w:lang w:val="id-ID"/>
        </w:rPr>
        <w:t xml:space="preserve"> h. </w:t>
      </w:r>
      <w:r w:rsidRPr="004E334F">
        <w:rPr>
          <w:rFonts w:asciiTheme="majorBidi" w:hAnsiTheme="majorBidi" w:cstheme="majorBidi"/>
          <w:sz w:val="20"/>
          <w:szCs w:val="20"/>
        </w:rPr>
        <w:t>4</w:t>
      </w:r>
    </w:p>
  </w:footnote>
  <w:footnote w:id="14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Bahansi Ahmad Fathi, </w:t>
      </w:r>
      <w:r w:rsidRPr="004E334F">
        <w:rPr>
          <w:rFonts w:asciiTheme="majorBidi" w:hAnsiTheme="majorBidi" w:cstheme="majorBidi"/>
          <w:i/>
          <w:iCs/>
        </w:rPr>
        <w:t>Al-</w:t>
      </w:r>
      <w:r w:rsidRPr="004E334F">
        <w:rPr>
          <w:rFonts w:asciiTheme="majorBidi" w:hAnsiTheme="majorBidi" w:cstheme="majorBidi"/>
          <w:i/>
          <w:iCs/>
          <w:lang w:val="id-ID"/>
        </w:rPr>
        <w:t>Siyāsah</w:t>
      </w:r>
      <w:r w:rsidRPr="004E334F">
        <w:rPr>
          <w:rFonts w:asciiTheme="majorBidi" w:hAnsiTheme="majorBidi" w:cstheme="majorBidi"/>
          <w:i/>
          <w:iCs/>
        </w:rPr>
        <w:t xml:space="preserve"> </w:t>
      </w:r>
      <w:r w:rsidRPr="004666EA">
        <w:rPr>
          <w:rFonts w:asciiTheme="majorBidi" w:hAnsiTheme="majorBidi" w:cstheme="majorBidi"/>
          <w:i/>
          <w:iCs/>
        </w:rPr>
        <w:t>al-Jin</w:t>
      </w:r>
      <w:r w:rsidRPr="004E334F">
        <w:rPr>
          <w:rFonts w:asciiTheme="majorBidi" w:hAnsiTheme="majorBidi" w:cstheme="majorBidi"/>
          <w:i/>
          <w:iCs/>
          <w:lang w:val="id-ID"/>
        </w:rPr>
        <w:t>ā</w:t>
      </w:r>
      <w:r w:rsidRPr="004666EA">
        <w:rPr>
          <w:rFonts w:asciiTheme="majorBidi" w:hAnsiTheme="majorBidi" w:cstheme="majorBidi"/>
          <w:i/>
          <w:iCs/>
        </w:rPr>
        <w:t>iyah fi al- Syari’at</w:t>
      </w:r>
      <w:r w:rsidRPr="004666EA">
        <w:rPr>
          <w:rFonts w:asciiTheme="majorBidi" w:hAnsiTheme="majorBidi" w:cstheme="majorBidi"/>
        </w:rPr>
        <w:t>, ( Mesir: Maktabah Dar al-‘Urubat, 1965), h. 61</w:t>
      </w:r>
    </w:p>
  </w:footnote>
  <w:footnote w:id="14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Menurut Yusuf </w:t>
      </w:r>
      <w:r>
        <w:rPr>
          <w:rFonts w:asciiTheme="majorBidi" w:hAnsiTheme="majorBidi" w:cstheme="majorBidi"/>
        </w:rPr>
        <w:t>al-Qardhāwī</w:t>
      </w:r>
      <w:r w:rsidRPr="004666EA">
        <w:rPr>
          <w:rFonts w:asciiTheme="majorBidi" w:hAnsiTheme="majorBidi" w:cstheme="majorBidi"/>
        </w:rPr>
        <w:t xml:space="preserve">, Syari’ah adalah hukum yang ditetapkan oleh Allah bagi hamba-Nya tentang urusan agama, atau hukum agama yang ditetapkan dan diperintahkan oleh Allah seperti puasa, sholat, haji, zakat dan seluruh amal kebaikan, dan dari mualamah yang tidak tercapai kehidupan manusia kecuali melakukannya seperti  jual beli, nikah dan lain-lain. lihat. Yusuf </w:t>
      </w:r>
      <w:r>
        <w:rPr>
          <w:rFonts w:asciiTheme="majorBidi" w:hAnsiTheme="majorBidi" w:cstheme="majorBidi"/>
        </w:rPr>
        <w:t>al-Qardhāwī</w:t>
      </w:r>
      <w:r w:rsidRPr="004666EA">
        <w:rPr>
          <w:rFonts w:asciiTheme="majorBidi" w:hAnsiTheme="majorBidi" w:cstheme="majorBidi"/>
        </w:rPr>
        <w:t xml:space="preserve"> </w:t>
      </w:r>
      <w:r w:rsidRPr="004666EA">
        <w:rPr>
          <w:rFonts w:asciiTheme="majorBidi" w:hAnsiTheme="majorBidi" w:cstheme="majorBidi"/>
          <w:i/>
          <w:iCs/>
        </w:rPr>
        <w:t>Dir</w:t>
      </w:r>
      <w:r w:rsidRPr="00455983">
        <w:rPr>
          <w:rFonts w:asciiTheme="majorBidi" w:hAnsiTheme="majorBidi" w:cstheme="majorBidi"/>
          <w:i/>
          <w:iCs/>
        </w:rPr>
        <w:t>ā</w:t>
      </w:r>
      <w:r w:rsidRPr="004666EA">
        <w:rPr>
          <w:rFonts w:asciiTheme="majorBidi" w:hAnsiTheme="majorBidi" w:cstheme="majorBidi"/>
          <w:i/>
          <w:iCs/>
        </w:rPr>
        <w:t xml:space="preserve">sah </w:t>
      </w:r>
      <w:r w:rsidRPr="008E720D">
        <w:rPr>
          <w:rFonts w:asciiTheme="majorBidi" w:hAnsiTheme="majorBidi" w:cstheme="majorBidi"/>
          <w:i/>
          <w:iCs/>
        </w:rPr>
        <w:t>f</w:t>
      </w:r>
      <w:r w:rsidRPr="0094142F">
        <w:rPr>
          <w:rFonts w:asciiTheme="majorBidi" w:hAnsiTheme="majorBidi" w:cstheme="majorBidi"/>
          <w:i/>
          <w:iCs/>
        </w:rPr>
        <w:t>ī</w:t>
      </w:r>
      <w:r w:rsidRPr="004666EA">
        <w:rPr>
          <w:rFonts w:asciiTheme="majorBidi" w:hAnsiTheme="majorBidi" w:cstheme="majorBidi"/>
          <w:i/>
          <w:iCs/>
        </w:rPr>
        <w:t xml:space="preserve"> Fiqh </w:t>
      </w:r>
      <w:r w:rsidRPr="00455983">
        <w:rPr>
          <w:rFonts w:asciiTheme="majorBidi" w:hAnsiTheme="majorBidi" w:cstheme="majorBidi"/>
          <w:i/>
          <w:iCs/>
        </w:rPr>
        <w:t>Maqāṣid Al-Sharī</w:t>
      </w:r>
      <w:r w:rsidRPr="00455983">
        <w:t>‘</w:t>
      </w:r>
      <w:r w:rsidRPr="00455983">
        <w:rPr>
          <w:rFonts w:asciiTheme="majorBidi" w:hAnsiTheme="majorBidi" w:cstheme="majorBidi"/>
          <w:i/>
          <w:iCs/>
        </w:rPr>
        <w:t>ah</w:t>
      </w:r>
      <w:r>
        <w:rPr>
          <w:rFonts w:asciiTheme="majorBidi" w:hAnsiTheme="majorBidi" w:cstheme="majorBidi"/>
          <w:i/>
          <w:iCs/>
        </w:rPr>
        <w:t xml:space="preserve">, </w:t>
      </w:r>
      <w:r w:rsidRPr="004666EA">
        <w:rPr>
          <w:rFonts w:asciiTheme="majorBidi" w:hAnsiTheme="majorBidi" w:cstheme="majorBidi"/>
          <w:i/>
          <w:iCs/>
        </w:rPr>
        <w:t>Bain al-</w:t>
      </w:r>
      <w:r w:rsidRPr="00455983">
        <w:rPr>
          <w:rFonts w:asciiTheme="majorBidi" w:hAnsiTheme="majorBidi" w:cstheme="majorBidi"/>
          <w:i/>
          <w:iCs/>
        </w:rPr>
        <w:t xml:space="preserve"> Maqāṣid</w:t>
      </w:r>
      <w:r w:rsidRPr="004666EA">
        <w:rPr>
          <w:rFonts w:asciiTheme="majorBidi" w:hAnsiTheme="majorBidi" w:cstheme="majorBidi"/>
          <w:i/>
          <w:iCs/>
        </w:rPr>
        <w:t xml:space="preserve"> Kulliah wa an-Nush</w:t>
      </w:r>
      <w:r w:rsidRPr="00A447A5">
        <w:rPr>
          <w:rFonts w:asciiTheme="majorBidi" w:hAnsiTheme="majorBidi" w:cstheme="majorBidi"/>
          <w:i/>
          <w:iCs/>
        </w:rPr>
        <w:t>ū</w:t>
      </w:r>
      <w:r w:rsidRPr="004666EA">
        <w:rPr>
          <w:rFonts w:asciiTheme="majorBidi" w:hAnsiTheme="majorBidi" w:cstheme="majorBidi"/>
          <w:i/>
          <w:iCs/>
        </w:rPr>
        <w:t>s al-Juz’iya</w:t>
      </w:r>
      <w:r>
        <w:rPr>
          <w:rFonts w:asciiTheme="majorBidi" w:hAnsiTheme="majorBidi" w:cstheme="majorBidi"/>
          <w:i/>
          <w:iCs/>
        </w:rPr>
        <w:t>h</w:t>
      </w:r>
      <w:r w:rsidRPr="004666EA">
        <w:rPr>
          <w:rFonts w:asciiTheme="majorBidi" w:hAnsiTheme="majorBidi" w:cstheme="majorBidi"/>
        </w:rPr>
        <w:t xml:space="preserve"> ( Mesir: Dar al-Syuruq, 2008) cet ke-3, h. 16</w:t>
      </w:r>
    </w:p>
  </w:footnote>
  <w:footnote w:id="150">
    <w:p w:rsidR="00343B61" w:rsidRPr="004666EA" w:rsidRDefault="00343B61" w:rsidP="00343B61">
      <w:pPr>
        <w:spacing w:after="0"/>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Ab</w:t>
      </w:r>
      <w:r w:rsidRPr="00A447A5">
        <w:rPr>
          <w:rFonts w:asciiTheme="majorBidi" w:hAnsiTheme="majorBidi" w:cstheme="majorBidi"/>
        </w:rPr>
        <w:t>ī</w:t>
      </w:r>
      <w:r w:rsidRPr="00A447A5">
        <w:rPr>
          <w:rFonts w:asciiTheme="majorBidi" w:hAnsiTheme="majorBidi" w:cstheme="majorBidi"/>
          <w:sz w:val="20"/>
          <w:szCs w:val="20"/>
        </w:rPr>
        <w:t xml:space="preserve"> </w:t>
      </w:r>
      <w:r w:rsidRPr="004666EA">
        <w:rPr>
          <w:rFonts w:asciiTheme="majorBidi" w:hAnsiTheme="majorBidi" w:cstheme="majorBidi"/>
          <w:sz w:val="20"/>
          <w:szCs w:val="20"/>
        </w:rPr>
        <w:t>Hil</w:t>
      </w:r>
      <w:r w:rsidRPr="00A447A5">
        <w:rPr>
          <w:rFonts w:asciiTheme="majorBidi" w:hAnsiTheme="majorBidi" w:cstheme="majorBidi"/>
          <w:sz w:val="20"/>
          <w:szCs w:val="20"/>
        </w:rPr>
        <w:t>ā</w:t>
      </w:r>
      <w:r w:rsidRPr="004666EA">
        <w:rPr>
          <w:rFonts w:asciiTheme="majorBidi" w:hAnsiTheme="majorBidi" w:cstheme="majorBidi"/>
          <w:sz w:val="20"/>
          <w:szCs w:val="20"/>
        </w:rPr>
        <w:t xml:space="preserve">l al-‘Askari, </w:t>
      </w:r>
      <w:r w:rsidRPr="004666EA">
        <w:rPr>
          <w:rFonts w:asciiTheme="majorBidi" w:hAnsiTheme="majorBidi" w:cstheme="majorBidi"/>
          <w:i/>
          <w:iCs/>
          <w:sz w:val="20"/>
          <w:szCs w:val="20"/>
        </w:rPr>
        <w:t>al-Fur</w:t>
      </w:r>
      <w:r w:rsidRPr="00A447A5">
        <w:rPr>
          <w:rFonts w:asciiTheme="majorBidi" w:hAnsiTheme="majorBidi" w:cstheme="majorBidi"/>
          <w:i/>
          <w:iCs/>
          <w:sz w:val="20"/>
          <w:szCs w:val="20"/>
        </w:rPr>
        <w:t>ū</w:t>
      </w:r>
      <w:r w:rsidRPr="004666EA">
        <w:rPr>
          <w:rFonts w:asciiTheme="majorBidi" w:hAnsiTheme="majorBidi" w:cstheme="majorBidi"/>
          <w:i/>
          <w:iCs/>
          <w:sz w:val="20"/>
          <w:szCs w:val="20"/>
        </w:rPr>
        <w:t>q al-Lugh</w:t>
      </w:r>
      <w:r>
        <w:rPr>
          <w:rFonts w:asciiTheme="majorBidi" w:hAnsiTheme="majorBidi" w:cstheme="majorBidi"/>
          <w:i/>
          <w:iCs/>
          <w:sz w:val="20"/>
          <w:szCs w:val="20"/>
        </w:rPr>
        <w:t>wiy</w:t>
      </w:r>
      <w:r w:rsidRPr="004666EA">
        <w:rPr>
          <w:rFonts w:asciiTheme="majorBidi" w:hAnsiTheme="majorBidi" w:cstheme="majorBidi"/>
          <w:i/>
          <w:iCs/>
          <w:sz w:val="20"/>
          <w:szCs w:val="20"/>
        </w:rPr>
        <w:t>ah</w:t>
      </w:r>
      <w:r w:rsidRPr="004666EA">
        <w:rPr>
          <w:rFonts w:asciiTheme="majorBidi" w:hAnsiTheme="majorBidi" w:cstheme="majorBidi"/>
          <w:sz w:val="20"/>
          <w:szCs w:val="20"/>
        </w:rPr>
        <w:t>, ( Bairut: Muassasah al-Nasyar al-Islami, 1412 H), Jilid I, h.299</w:t>
      </w:r>
    </w:p>
  </w:footnote>
  <w:footnote w:id="15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Yusuf </w:t>
      </w:r>
      <w:r>
        <w:rPr>
          <w:rFonts w:asciiTheme="majorBidi" w:hAnsiTheme="majorBidi" w:cstheme="majorBidi"/>
        </w:rPr>
        <w:t>al-Qardhāwī</w:t>
      </w:r>
      <w:r w:rsidRPr="004666EA">
        <w:rPr>
          <w:rFonts w:asciiTheme="majorBidi" w:hAnsiTheme="majorBidi" w:cstheme="majorBidi"/>
        </w:rPr>
        <w:t xml:space="preserve"> </w:t>
      </w:r>
      <w:r w:rsidRPr="004666EA">
        <w:rPr>
          <w:rFonts w:asciiTheme="majorBidi" w:hAnsiTheme="majorBidi" w:cstheme="majorBidi"/>
          <w:i/>
          <w:iCs/>
        </w:rPr>
        <w:t>Dir</w:t>
      </w:r>
      <w:r w:rsidRPr="00455983">
        <w:rPr>
          <w:rFonts w:asciiTheme="majorBidi" w:hAnsiTheme="majorBidi" w:cstheme="majorBidi"/>
          <w:i/>
          <w:iCs/>
        </w:rPr>
        <w:t>ā</w:t>
      </w:r>
      <w:r w:rsidRPr="004666EA">
        <w:rPr>
          <w:rFonts w:asciiTheme="majorBidi" w:hAnsiTheme="majorBidi" w:cstheme="majorBidi"/>
          <w:i/>
          <w:iCs/>
        </w:rPr>
        <w:t xml:space="preserve">sah </w:t>
      </w:r>
      <w:r w:rsidRPr="008E720D">
        <w:rPr>
          <w:rFonts w:asciiTheme="majorBidi" w:hAnsiTheme="majorBidi" w:cstheme="majorBidi"/>
          <w:i/>
          <w:iCs/>
        </w:rPr>
        <w:t>f</w:t>
      </w:r>
      <w:r w:rsidRPr="0094142F">
        <w:rPr>
          <w:rFonts w:asciiTheme="majorBidi" w:hAnsiTheme="majorBidi" w:cstheme="majorBidi"/>
          <w:i/>
          <w:iCs/>
        </w:rPr>
        <w:t>ī</w:t>
      </w:r>
      <w:r w:rsidRPr="004666EA">
        <w:rPr>
          <w:rFonts w:asciiTheme="majorBidi" w:hAnsiTheme="majorBidi" w:cstheme="majorBidi"/>
          <w:i/>
          <w:iCs/>
        </w:rPr>
        <w:t xml:space="preserve"> Fiqh </w:t>
      </w:r>
      <w:r w:rsidRPr="00455983">
        <w:rPr>
          <w:rFonts w:asciiTheme="majorBidi" w:hAnsiTheme="majorBidi" w:cstheme="majorBidi"/>
          <w:i/>
          <w:iCs/>
        </w:rPr>
        <w:t>Maqāṣid Al-Sharī</w:t>
      </w:r>
      <w:r w:rsidRPr="00455983">
        <w:t>‘</w:t>
      </w:r>
      <w:r w:rsidRPr="00455983">
        <w:rPr>
          <w:rFonts w:asciiTheme="majorBidi" w:hAnsiTheme="majorBidi" w:cstheme="majorBidi"/>
          <w:i/>
          <w:iCs/>
        </w:rPr>
        <w:t>ah</w:t>
      </w:r>
      <w:r>
        <w:rPr>
          <w:rFonts w:asciiTheme="majorBidi" w:hAnsiTheme="majorBidi" w:cstheme="majorBidi"/>
          <w:i/>
          <w:iCs/>
        </w:rPr>
        <w:t xml:space="preserve">, </w:t>
      </w:r>
      <w:r w:rsidRPr="004666EA">
        <w:rPr>
          <w:rFonts w:asciiTheme="majorBidi" w:hAnsiTheme="majorBidi" w:cstheme="majorBidi"/>
          <w:i/>
          <w:iCs/>
        </w:rPr>
        <w:t>Bain al-</w:t>
      </w:r>
      <w:r w:rsidRPr="00455983">
        <w:rPr>
          <w:rFonts w:asciiTheme="majorBidi" w:hAnsiTheme="majorBidi" w:cstheme="majorBidi"/>
          <w:i/>
          <w:iCs/>
        </w:rPr>
        <w:t xml:space="preserve"> Maqāṣid</w:t>
      </w:r>
      <w:r w:rsidRPr="004666EA">
        <w:rPr>
          <w:rFonts w:asciiTheme="majorBidi" w:hAnsiTheme="majorBidi" w:cstheme="majorBidi"/>
          <w:i/>
          <w:iCs/>
        </w:rPr>
        <w:t xml:space="preserve"> Kulliah wa an-Nush</w:t>
      </w:r>
      <w:r w:rsidRPr="00A447A5">
        <w:rPr>
          <w:rFonts w:asciiTheme="majorBidi" w:hAnsiTheme="majorBidi" w:cstheme="majorBidi"/>
          <w:i/>
          <w:iCs/>
        </w:rPr>
        <w:t>ū</w:t>
      </w:r>
      <w:r w:rsidRPr="004666EA">
        <w:rPr>
          <w:rFonts w:asciiTheme="majorBidi" w:hAnsiTheme="majorBidi" w:cstheme="majorBidi"/>
          <w:i/>
          <w:iCs/>
        </w:rPr>
        <w:t>s al-Juz’iya</w:t>
      </w:r>
      <w:r>
        <w:rPr>
          <w:rFonts w:asciiTheme="majorBidi" w:hAnsiTheme="majorBidi" w:cstheme="majorBidi"/>
          <w:i/>
          <w:iCs/>
        </w:rPr>
        <w:t>h</w:t>
      </w:r>
      <w:r w:rsidRPr="004666EA">
        <w:rPr>
          <w:rFonts w:asciiTheme="majorBidi" w:hAnsiTheme="majorBidi" w:cstheme="majorBidi"/>
        </w:rPr>
        <w:t xml:space="preserve"> ( Mesir: Dar al-Syuruq, 2008) cet ke-3, h. 19</w:t>
      </w:r>
    </w:p>
  </w:footnote>
  <w:footnote w:id="15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sidRPr="004666EA">
        <w:rPr>
          <w:rFonts w:asciiTheme="majorBidi" w:hAnsiTheme="majorBidi" w:cstheme="majorBidi"/>
          <w:color w:val="000000"/>
        </w:rPr>
        <w:t xml:space="preserve">Lihat. Muhammad Ibn Muhammad Ibn ‘Abd al-Rozzaq al-Husaini, </w:t>
      </w:r>
      <w:r w:rsidRPr="004666EA">
        <w:rPr>
          <w:rFonts w:asciiTheme="majorBidi" w:hAnsiTheme="majorBidi" w:cstheme="majorBidi"/>
          <w:i/>
          <w:iCs/>
          <w:color w:val="000000"/>
        </w:rPr>
        <w:t>T</w:t>
      </w:r>
      <w:r w:rsidRPr="00455983">
        <w:rPr>
          <w:rFonts w:asciiTheme="majorBidi" w:hAnsiTheme="majorBidi" w:cstheme="majorBidi"/>
          <w:i/>
          <w:iCs/>
        </w:rPr>
        <w:t>ā</w:t>
      </w:r>
      <w:r w:rsidRPr="004666EA">
        <w:rPr>
          <w:rFonts w:asciiTheme="majorBidi" w:hAnsiTheme="majorBidi" w:cstheme="majorBidi"/>
          <w:i/>
          <w:iCs/>
          <w:color w:val="000000"/>
        </w:rPr>
        <w:t>j al-‘Ar</w:t>
      </w:r>
      <w:r w:rsidRPr="00A447A5">
        <w:rPr>
          <w:rFonts w:asciiTheme="majorBidi" w:hAnsiTheme="majorBidi" w:cstheme="majorBidi"/>
          <w:i/>
          <w:iCs/>
        </w:rPr>
        <w:t>ū</w:t>
      </w:r>
      <w:r w:rsidRPr="004666EA">
        <w:rPr>
          <w:rFonts w:asciiTheme="majorBidi" w:hAnsiTheme="majorBidi" w:cstheme="majorBidi"/>
          <w:i/>
          <w:iCs/>
          <w:color w:val="000000"/>
        </w:rPr>
        <w:t>sy Min Jawahir al-Q</w:t>
      </w:r>
      <w:r w:rsidRPr="00455983">
        <w:rPr>
          <w:rFonts w:asciiTheme="majorBidi" w:hAnsiTheme="majorBidi" w:cstheme="majorBidi"/>
          <w:i/>
          <w:iCs/>
        </w:rPr>
        <w:t>ā</w:t>
      </w:r>
      <w:r w:rsidRPr="004666EA">
        <w:rPr>
          <w:rFonts w:asciiTheme="majorBidi" w:hAnsiTheme="majorBidi" w:cstheme="majorBidi"/>
          <w:i/>
          <w:iCs/>
          <w:color w:val="000000"/>
        </w:rPr>
        <w:t>m</w:t>
      </w:r>
      <w:r w:rsidRPr="00A447A5">
        <w:rPr>
          <w:rFonts w:asciiTheme="majorBidi" w:hAnsiTheme="majorBidi" w:cstheme="majorBidi"/>
          <w:i/>
          <w:iCs/>
        </w:rPr>
        <w:t>ū</w:t>
      </w:r>
      <w:r w:rsidRPr="004666EA">
        <w:rPr>
          <w:rFonts w:asciiTheme="majorBidi" w:hAnsiTheme="majorBidi" w:cstheme="majorBidi"/>
          <w:i/>
          <w:iCs/>
          <w:color w:val="000000"/>
        </w:rPr>
        <w:t>s</w:t>
      </w:r>
      <w:r w:rsidRPr="004666EA">
        <w:rPr>
          <w:rFonts w:asciiTheme="majorBidi" w:hAnsiTheme="majorBidi" w:cstheme="majorBidi"/>
          <w:color w:val="000000"/>
        </w:rPr>
        <w:t>, ( t.t: Dar al-Hidayah, t.tp), Jilid xxi, h. 258</w:t>
      </w:r>
    </w:p>
  </w:footnote>
  <w:footnote w:id="153">
    <w:p w:rsidR="00343B61" w:rsidRPr="004666EA" w:rsidRDefault="00343B61" w:rsidP="00343B61">
      <w:pPr>
        <w:spacing w:after="0"/>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hAnsiTheme="majorBidi" w:cstheme="majorBidi"/>
          <w:color w:val="000000"/>
          <w:sz w:val="20"/>
          <w:szCs w:val="20"/>
        </w:rPr>
        <w:t>Lihat. Muhammad Ibn Abi Bakar Ibn ‘Abd al-Qadir al-R</w:t>
      </w:r>
      <w:r w:rsidRPr="004E334F">
        <w:rPr>
          <w:rFonts w:asciiTheme="majorBidi" w:hAnsiTheme="majorBidi" w:cstheme="majorBidi"/>
          <w:sz w:val="20"/>
          <w:szCs w:val="20"/>
        </w:rPr>
        <w:t>ā</w:t>
      </w:r>
      <w:r w:rsidRPr="004666EA">
        <w:rPr>
          <w:rFonts w:asciiTheme="majorBidi" w:hAnsiTheme="majorBidi" w:cstheme="majorBidi"/>
          <w:color w:val="000000"/>
          <w:sz w:val="20"/>
          <w:szCs w:val="20"/>
        </w:rPr>
        <w:t>z</w:t>
      </w:r>
      <w:r w:rsidRPr="004E334F">
        <w:rPr>
          <w:rFonts w:asciiTheme="majorBidi" w:hAnsiTheme="majorBidi" w:cstheme="majorBidi"/>
        </w:rPr>
        <w:t>ī</w:t>
      </w:r>
      <w:r w:rsidRPr="004666EA">
        <w:rPr>
          <w:rFonts w:asciiTheme="majorBidi" w:hAnsiTheme="majorBidi" w:cstheme="majorBidi"/>
          <w:color w:val="000000"/>
          <w:sz w:val="20"/>
          <w:szCs w:val="20"/>
        </w:rPr>
        <w:t xml:space="preserve">, </w:t>
      </w:r>
      <w:r w:rsidRPr="004666EA">
        <w:rPr>
          <w:rFonts w:asciiTheme="majorBidi" w:hAnsiTheme="majorBidi" w:cstheme="majorBidi"/>
          <w:i/>
          <w:iCs/>
          <w:color w:val="000000"/>
          <w:sz w:val="20"/>
          <w:szCs w:val="20"/>
        </w:rPr>
        <w:t>Mukht</w:t>
      </w:r>
      <w:r w:rsidRPr="00455983">
        <w:rPr>
          <w:rFonts w:asciiTheme="majorBidi" w:hAnsiTheme="majorBidi" w:cstheme="majorBidi"/>
          <w:i/>
          <w:iCs/>
          <w:sz w:val="20"/>
          <w:szCs w:val="20"/>
        </w:rPr>
        <w:t>ā</w:t>
      </w:r>
      <w:r w:rsidRPr="004666EA">
        <w:rPr>
          <w:rFonts w:asciiTheme="majorBidi" w:hAnsiTheme="majorBidi" w:cstheme="majorBidi"/>
          <w:i/>
          <w:iCs/>
          <w:color w:val="000000"/>
          <w:sz w:val="20"/>
          <w:szCs w:val="20"/>
        </w:rPr>
        <w:t>r al-Shih</w:t>
      </w:r>
      <w:r w:rsidRPr="00455983">
        <w:rPr>
          <w:rFonts w:asciiTheme="majorBidi" w:hAnsiTheme="majorBidi" w:cstheme="majorBidi"/>
          <w:i/>
          <w:iCs/>
          <w:sz w:val="20"/>
          <w:szCs w:val="20"/>
        </w:rPr>
        <w:t>ā</w:t>
      </w:r>
      <w:r w:rsidRPr="004666EA">
        <w:rPr>
          <w:rFonts w:asciiTheme="majorBidi" w:hAnsiTheme="majorBidi" w:cstheme="majorBidi"/>
          <w:i/>
          <w:iCs/>
          <w:color w:val="000000"/>
          <w:sz w:val="20"/>
          <w:szCs w:val="20"/>
        </w:rPr>
        <w:t>h</w:t>
      </w:r>
      <w:r w:rsidRPr="004666EA">
        <w:rPr>
          <w:rFonts w:asciiTheme="majorBidi" w:hAnsiTheme="majorBidi" w:cstheme="majorBidi"/>
          <w:color w:val="000000"/>
          <w:sz w:val="20"/>
          <w:szCs w:val="20"/>
        </w:rPr>
        <w:t>, ( Bairut: Maktabah Lubnan Nasyirun, 1995), Jilid I, h. 354</w:t>
      </w:r>
    </w:p>
  </w:footnote>
  <w:footnote w:id="154">
    <w:p w:rsidR="00343B61" w:rsidRPr="004666EA" w:rsidRDefault="00343B61" w:rsidP="00343B61">
      <w:pPr>
        <w:spacing w:after="0"/>
        <w:ind w:firstLine="720"/>
        <w:jc w:val="both"/>
        <w:rPr>
          <w:rFonts w:asciiTheme="majorBidi" w:hAnsiTheme="majorBidi" w:cstheme="majorBidi"/>
          <w:color w:val="000000"/>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hAnsiTheme="majorBidi" w:cstheme="majorBidi"/>
          <w:color w:val="000000"/>
          <w:sz w:val="20"/>
          <w:szCs w:val="20"/>
        </w:rPr>
        <w:t xml:space="preserve">Lihat. Muhammad Ibn Muhammad Ibn ‘Abd al-Rozzaq al-Husaini, </w:t>
      </w:r>
      <w:r w:rsidRPr="004E334F">
        <w:rPr>
          <w:rFonts w:asciiTheme="majorBidi" w:hAnsiTheme="majorBidi" w:cstheme="majorBidi"/>
          <w:i/>
          <w:iCs/>
          <w:color w:val="000000"/>
          <w:sz w:val="20"/>
          <w:szCs w:val="20"/>
        </w:rPr>
        <w:t>T</w:t>
      </w:r>
      <w:r w:rsidRPr="004E334F">
        <w:rPr>
          <w:rFonts w:asciiTheme="majorBidi" w:hAnsiTheme="majorBidi" w:cstheme="majorBidi"/>
          <w:i/>
          <w:iCs/>
          <w:sz w:val="20"/>
          <w:szCs w:val="20"/>
        </w:rPr>
        <w:t>ā</w:t>
      </w:r>
      <w:r w:rsidRPr="004E334F">
        <w:rPr>
          <w:rFonts w:asciiTheme="majorBidi" w:hAnsiTheme="majorBidi" w:cstheme="majorBidi"/>
          <w:i/>
          <w:iCs/>
          <w:color w:val="000000"/>
          <w:sz w:val="20"/>
          <w:szCs w:val="20"/>
        </w:rPr>
        <w:t>j al-‘Ar</w:t>
      </w:r>
      <w:r w:rsidRPr="004E334F">
        <w:rPr>
          <w:rFonts w:asciiTheme="majorBidi" w:hAnsiTheme="majorBidi" w:cstheme="majorBidi"/>
          <w:i/>
          <w:iCs/>
          <w:sz w:val="20"/>
          <w:szCs w:val="20"/>
        </w:rPr>
        <w:t>ū</w:t>
      </w:r>
      <w:r w:rsidRPr="004E334F">
        <w:rPr>
          <w:rFonts w:asciiTheme="majorBidi" w:hAnsiTheme="majorBidi" w:cstheme="majorBidi"/>
          <w:i/>
          <w:iCs/>
          <w:color w:val="000000"/>
          <w:sz w:val="20"/>
          <w:szCs w:val="20"/>
        </w:rPr>
        <w:t>sy Min Jawahir al-Q</w:t>
      </w:r>
      <w:r w:rsidRPr="004E334F">
        <w:rPr>
          <w:rFonts w:asciiTheme="majorBidi" w:hAnsiTheme="majorBidi" w:cstheme="majorBidi"/>
          <w:i/>
          <w:iCs/>
          <w:sz w:val="20"/>
          <w:szCs w:val="20"/>
        </w:rPr>
        <w:t>ā</w:t>
      </w:r>
      <w:r w:rsidRPr="004E334F">
        <w:rPr>
          <w:rFonts w:asciiTheme="majorBidi" w:hAnsiTheme="majorBidi" w:cstheme="majorBidi"/>
          <w:i/>
          <w:iCs/>
          <w:color w:val="000000"/>
          <w:sz w:val="20"/>
          <w:szCs w:val="20"/>
        </w:rPr>
        <w:t>m</w:t>
      </w:r>
      <w:r w:rsidRPr="004E334F">
        <w:rPr>
          <w:rFonts w:asciiTheme="majorBidi" w:hAnsiTheme="majorBidi" w:cstheme="majorBidi"/>
          <w:i/>
          <w:iCs/>
          <w:sz w:val="20"/>
          <w:szCs w:val="20"/>
        </w:rPr>
        <w:t>ū</w:t>
      </w:r>
      <w:r w:rsidRPr="004E334F">
        <w:rPr>
          <w:rFonts w:asciiTheme="majorBidi" w:hAnsiTheme="majorBidi" w:cstheme="majorBidi"/>
          <w:i/>
          <w:iCs/>
          <w:color w:val="000000"/>
          <w:sz w:val="20"/>
          <w:szCs w:val="20"/>
        </w:rPr>
        <w:t>s</w:t>
      </w:r>
      <w:r w:rsidRPr="004E334F">
        <w:rPr>
          <w:rFonts w:asciiTheme="majorBidi" w:hAnsiTheme="majorBidi" w:cstheme="majorBidi"/>
          <w:color w:val="000000"/>
          <w:sz w:val="20"/>
          <w:szCs w:val="20"/>
        </w:rPr>
        <w:t>,</w:t>
      </w:r>
      <w:r w:rsidRPr="004666EA">
        <w:rPr>
          <w:rFonts w:asciiTheme="majorBidi" w:hAnsiTheme="majorBidi" w:cstheme="majorBidi"/>
          <w:color w:val="000000"/>
          <w:sz w:val="20"/>
          <w:szCs w:val="20"/>
        </w:rPr>
        <w:t xml:space="preserve"> ( t.t: Dar al-Hidayah, t.tp), Jilid xxi, h. 259</w:t>
      </w:r>
    </w:p>
  </w:footnote>
  <w:footnote w:id="15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Pr>
          <w:rFonts w:asciiTheme="majorBidi" w:hAnsiTheme="majorBidi" w:cstheme="majorBidi"/>
        </w:rPr>
        <w:t xml:space="preserve">Lihat. </w:t>
      </w:r>
      <w:r w:rsidRPr="004666EA">
        <w:rPr>
          <w:rFonts w:asciiTheme="majorBidi" w:hAnsiTheme="majorBidi" w:cstheme="majorBidi"/>
        </w:rPr>
        <w:t xml:space="preserve">Depag RI, </w:t>
      </w:r>
      <w:r>
        <w:rPr>
          <w:rFonts w:asciiTheme="majorBidi" w:hAnsiTheme="majorBidi" w:cstheme="majorBidi"/>
          <w:i/>
          <w:iCs/>
        </w:rPr>
        <w:t>Al-Qur’ān</w:t>
      </w:r>
      <w:r w:rsidRPr="004666EA">
        <w:rPr>
          <w:rFonts w:asciiTheme="majorBidi" w:hAnsiTheme="majorBidi" w:cstheme="majorBidi"/>
          <w:i/>
          <w:iCs/>
        </w:rPr>
        <w:t xml:space="preserve"> dan Terjamahannya</w:t>
      </w:r>
      <w:r>
        <w:rPr>
          <w:rFonts w:asciiTheme="majorBidi" w:hAnsiTheme="majorBidi" w:cstheme="majorBidi"/>
        </w:rPr>
        <w:t>, (</w:t>
      </w:r>
      <w:r w:rsidRPr="004666EA">
        <w:rPr>
          <w:rFonts w:asciiTheme="majorBidi" w:hAnsiTheme="majorBidi" w:cstheme="majorBidi"/>
        </w:rPr>
        <w:t>Medinah al-Munawwarah: Mujamma’ al-Malik Fahd Li al-Thiba’ah Mush-haf al-Syarif, 1418), h. 817</w:t>
      </w:r>
    </w:p>
  </w:footnote>
  <w:footnote w:id="156">
    <w:p w:rsidR="00343B61" w:rsidRPr="004666EA" w:rsidRDefault="00343B61" w:rsidP="00343B61">
      <w:pPr>
        <w:spacing w:after="0" w:line="240" w:lineRule="auto"/>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Beni Ahmad Saebani, </w:t>
      </w:r>
      <w:r w:rsidRPr="004666EA">
        <w:rPr>
          <w:rFonts w:asciiTheme="majorBidi" w:hAnsiTheme="majorBidi" w:cstheme="majorBidi"/>
          <w:i/>
          <w:iCs/>
          <w:sz w:val="20"/>
          <w:szCs w:val="20"/>
        </w:rPr>
        <w:t>Fiqh Siyasah, Terminologi dan Lintas Sejarah Politik Islam Sejak Muhammad Saw Hingga Al-Khulafa Ar-Rasyidun</w:t>
      </w:r>
      <w:r w:rsidRPr="004666EA">
        <w:rPr>
          <w:rFonts w:asciiTheme="majorBidi" w:hAnsiTheme="majorBidi" w:cstheme="majorBidi"/>
          <w:sz w:val="20"/>
          <w:szCs w:val="20"/>
        </w:rPr>
        <w:t>, ( Bandung: Pustaka Setia, 2015), h.15</w:t>
      </w:r>
    </w:p>
  </w:footnote>
  <w:footnote w:id="15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Pr>
          <w:rFonts w:asciiTheme="majorBidi" w:hAnsiTheme="majorBidi" w:cstheme="majorBidi"/>
        </w:rPr>
        <w:t xml:space="preserve"> Lihat. Manna'</w:t>
      </w:r>
      <w:r w:rsidRPr="004666EA">
        <w:rPr>
          <w:rFonts w:asciiTheme="majorBidi" w:hAnsiTheme="majorBidi" w:cstheme="majorBidi"/>
          <w:i/>
          <w:iCs/>
        </w:rPr>
        <w:t xml:space="preserve">, </w:t>
      </w:r>
      <w:r w:rsidRPr="004E334F">
        <w:rPr>
          <w:rFonts w:asciiTheme="majorBidi" w:hAnsiTheme="majorBidi" w:cstheme="majorBidi"/>
        </w:rPr>
        <w:t>Al-Qathān</w:t>
      </w:r>
      <w:r>
        <w:rPr>
          <w:rFonts w:asciiTheme="majorBidi" w:hAnsiTheme="majorBidi" w:cstheme="majorBidi"/>
        </w:rPr>
        <w:t>,</w:t>
      </w:r>
      <w:r w:rsidRPr="004E334F">
        <w:rPr>
          <w:rFonts w:asciiTheme="majorBidi" w:hAnsiTheme="majorBidi" w:cstheme="majorBidi"/>
        </w:rPr>
        <w:t xml:space="preserve"> </w:t>
      </w:r>
      <w:r w:rsidRPr="004E334F">
        <w:rPr>
          <w:rFonts w:asciiTheme="majorBidi" w:hAnsiTheme="majorBidi" w:cstheme="majorBidi"/>
          <w:i/>
          <w:iCs/>
        </w:rPr>
        <w:t>Mabāhits fī ‘Ulūm Al-Qur'ān</w:t>
      </w:r>
      <w:r w:rsidRPr="004666EA">
        <w:rPr>
          <w:rFonts w:asciiTheme="majorBidi" w:hAnsiTheme="majorBidi" w:cstheme="majorBidi"/>
        </w:rPr>
        <w:t xml:space="preserve">,( Bairut: </w:t>
      </w:r>
      <w:r>
        <w:rPr>
          <w:rFonts w:asciiTheme="majorBidi" w:hAnsiTheme="majorBidi" w:cstheme="majorBidi"/>
        </w:rPr>
        <w:t>Dār al-Fikr</w:t>
      </w:r>
      <w:r w:rsidRPr="004666EA">
        <w:rPr>
          <w:rFonts w:asciiTheme="majorBidi" w:hAnsiTheme="majorBidi" w:cstheme="majorBidi"/>
        </w:rPr>
        <w:t>, 1981), h. 277</w:t>
      </w:r>
    </w:p>
  </w:footnote>
  <w:footnote w:id="15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Beni Ahmad Saebani, </w:t>
      </w:r>
      <w:r w:rsidRPr="004666EA">
        <w:rPr>
          <w:rFonts w:asciiTheme="majorBidi" w:hAnsiTheme="majorBidi" w:cstheme="majorBidi"/>
          <w:i/>
          <w:iCs/>
        </w:rPr>
        <w:t>Fiqh Siyasah, Terminologi dan Lintas Sejarah Politik Islam Sejak Muhammad Saw Hingga Al-Khulafa Ar-Rasyidun</w:t>
      </w:r>
      <w:r w:rsidRPr="004666EA">
        <w:rPr>
          <w:rFonts w:asciiTheme="majorBidi" w:hAnsiTheme="majorBidi" w:cstheme="majorBidi"/>
        </w:rPr>
        <w:t>, ( Bandung: Pustaka Setia, 2015), h.15</w:t>
      </w:r>
    </w:p>
  </w:footnote>
  <w:footnote w:id="15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 Medinah al-Munawwarah: Mujamma’ al-Malik Fahd Li al-Thiba’ah Mush-haf al-Syarif, 1418), h. 817</w:t>
      </w:r>
    </w:p>
  </w:footnote>
  <w:footnote w:id="16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Abul Ala Al-Maududi, </w:t>
      </w:r>
      <w:r w:rsidRPr="004666EA">
        <w:rPr>
          <w:rFonts w:asciiTheme="majorBidi" w:hAnsiTheme="majorBidi" w:cstheme="majorBidi"/>
          <w:i/>
          <w:iCs/>
        </w:rPr>
        <w:t>Politik Islam, Konsepsi dan Dokumentasi</w:t>
      </w:r>
      <w:r w:rsidRPr="004666EA">
        <w:rPr>
          <w:rFonts w:asciiTheme="majorBidi" w:hAnsiTheme="majorBidi" w:cstheme="majorBidi"/>
        </w:rPr>
        <w:t>, ( Surabaya: Bina Ilmu, 1990) h. 156</w:t>
      </w:r>
    </w:p>
  </w:footnote>
  <w:footnote w:id="161">
    <w:p w:rsidR="00343B61" w:rsidRPr="004666EA" w:rsidRDefault="00343B61" w:rsidP="00343B61">
      <w:pPr>
        <w:pStyle w:val="FootnoteText"/>
        <w:ind w:firstLine="720"/>
        <w:jc w:val="both"/>
        <w:rPr>
          <w:rFonts w:asciiTheme="majorBidi" w:hAnsiTheme="majorBidi" w:cstheme="majorBidi"/>
          <w:rtl/>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E334F">
        <w:rPr>
          <w:rFonts w:asciiTheme="majorBidi" w:hAnsiTheme="majorBidi" w:cstheme="majorBidi"/>
          <w:lang w:val="id-ID"/>
        </w:rPr>
        <w:t>Abdul Wah</w:t>
      </w:r>
      <w:r w:rsidRPr="004E334F">
        <w:rPr>
          <w:rFonts w:asciiTheme="majorBidi" w:hAnsiTheme="majorBidi" w:cstheme="majorBidi"/>
        </w:rPr>
        <w:t>h</w:t>
      </w:r>
      <w:r w:rsidRPr="004E334F">
        <w:rPr>
          <w:rFonts w:asciiTheme="majorBidi" w:hAnsiTheme="majorBidi" w:cstheme="majorBidi"/>
          <w:lang w:val="id-ID"/>
        </w:rPr>
        <w:t>ab Khal</w:t>
      </w:r>
      <w:r w:rsidRPr="004E334F">
        <w:rPr>
          <w:rFonts w:asciiTheme="majorBidi" w:hAnsiTheme="majorBidi" w:cstheme="majorBidi"/>
        </w:rPr>
        <w:t>l</w:t>
      </w:r>
      <w:r w:rsidRPr="004E334F">
        <w:rPr>
          <w:rFonts w:asciiTheme="majorBidi" w:hAnsiTheme="majorBidi" w:cstheme="majorBidi"/>
          <w:lang w:val="id-ID"/>
        </w:rPr>
        <w:t xml:space="preserve">āf, </w:t>
      </w:r>
      <w:r w:rsidRPr="004E334F">
        <w:rPr>
          <w:rFonts w:asciiTheme="majorBidi" w:hAnsiTheme="majorBidi" w:cstheme="majorBidi"/>
          <w:i/>
          <w:iCs/>
        </w:rPr>
        <w:t>Al-</w:t>
      </w:r>
      <w:r w:rsidRPr="004E334F">
        <w:rPr>
          <w:rFonts w:asciiTheme="majorBidi" w:hAnsiTheme="majorBidi" w:cstheme="majorBidi"/>
          <w:i/>
          <w:iCs/>
          <w:lang w:val="id-ID"/>
        </w:rPr>
        <w:t>Siyāsah</w:t>
      </w:r>
      <w:r w:rsidRPr="004E334F">
        <w:rPr>
          <w:rFonts w:asciiTheme="majorBidi" w:hAnsiTheme="majorBidi" w:cstheme="majorBidi"/>
          <w:i/>
          <w:iCs/>
        </w:rPr>
        <w:t xml:space="preserve"> al-</w:t>
      </w:r>
      <w:r w:rsidRPr="004E334F">
        <w:rPr>
          <w:rFonts w:asciiTheme="majorBidi" w:hAnsiTheme="majorBidi" w:cstheme="majorBidi"/>
          <w:i/>
          <w:iCs/>
          <w:lang w:val="id-ID"/>
        </w:rPr>
        <w:t>syar‘iyyah</w:t>
      </w:r>
      <w:r w:rsidRPr="004E334F">
        <w:rPr>
          <w:rFonts w:asciiTheme="majorBidi" w:hAnsiTheme="majorBidi" w:cstheme="majorBidi"/>
          <w:i/>
          <w:iCs/>
        </w:rPr>
        <w:t xml:space="preserve"> aw Nidhām Al-Dawlah Al-Islāmiyah </w:t>
      </w:r>
      <w:r w:rsidRPr="00181D48">
        <w:rPr>
          <w:rFonts w:ascii="Times New Roman" w:hAnsi="Times New Roman" w:cs="Times New Roman"/>
          <w:i/>
          <w:iCs/>
          <w:lang w:val="sv-SE"/>
        </w:rPr>
        <w:t>f</w:t>
      </w:r>
      <w:r w:rsidRPr="00DC2591">
        <w:rPr>
          <w:rFonts w:asciiTheme="majorBidi" w:hAnsiTheme="majorBidi" w:cstheme="majorBidi"/>
          <w:i/>
          <w:iCs/>
          <w:sz w:val="24"/>
          <w:szCs w:val="24"/>
        </w:rPr>
        <w:t>ī</w:t>
      </w:r>
      <w:r w:rsidRPr="004E334F">
        <w:rPr>
          <w:rFonts w:asciiTheme="majorBidi" w:hAnsiTheme="majorBidi" w:cstheme="majorBidi"/>
          <w:i/>
          <w:iCs/>
        </w:rPr>
        <w:t xml:space="preserve"> al-Syu’ūn al-Dustūriyah wa al-Khārijiyah wa al-Māliyah</w:t>
      </w:r>
      <w:r w:rsidRPr="004666EA">
        <w:rPr>
          <w:rFonts w:asciiTheme="majorBidi" w:hAnsiTheme="majorBidi" w:cstheme="majorBidi"/>
          <w:i/>
          <w:lang w:val="id-ID"/>
        </w:rPr>
        <w:t>,</w:t>
      </w:r>
      <w:r w:rsidRPr="004666EA">
        <w:rPr>
          <w:rFonts w:asciiTheme="majorBidi" w:hAnsiTheme="majorBidi" w:cstheme="majorBidi"/>
          <w:iCs/>
        </w:rPr>
        <w:t>( Cairo : Mathba’ah al-Salafiyah, 1350 H),</w:t>
      </w:r>
      <w:r w:rsidRPr="004666EA">
        <w:rPr>
          <w:rFonts w:asciiTheme="majorBidi" w:hAnsiTheme="majorBidi" w:cstheme="majorBidi"/>
          <w:lang w:val="id-ID"/>
        </w:rPr>
        <w:t xml:space="preserve"> h. </w:t>
      </w:r>
      <w:r w:rsidRPr="004666EA">
        <w:rPr>
          <w:rFonts w:asciiTheme="majorBidi" w:hAnsiTheme="majorBidi" w:cstheme="majorBidi"/>
        </w:rPr>
        <w:t>14</w:t>
      </w:r>
    </w:p>
  </w:footnote>
  <w:footnote w:id="16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lang w:val="id-ID"/>
        </w:rPr>
        <w:t>Abdul Wah</w:t>
      </w:r>
      <w:r w:rsidRPr="004666EA">
        <w:rPr>
          <w:rFonts w:asciiTheme="majorBidi" w:hAnsiTheme="majorBidi" w:cstheme="majorBidi"/>
        </w:rPr>
        <w:t>h</w:t>
      </w:r>
      <w:r w:rsidRPr="004666EA">
        <w:rPr>
          <w:rFonts w:asciiTheme="majorBidi" w:hAnsiTheme="majorBidi" w:cstheme="majorBidi"/>
          <w:lang w:val="id-ID"/>
        </w:rPr>
        <w:t xml:space="preserve">ab </w:t>
      </w:r>
      <w:r w:rsidRPr="004E334F">
        <w:rPr>
          <w:rFonts w:asciiTheme="majorBidi" w:hAnsiTheme="majorBidi" w:cstheme="majorBidi"/>
          <w:lang w:val="id-ID"/>
        </w:rPr>
        <w:t>Khal</w:t>
      </w:r>
      <w:r w:rsidRPr="004E334F">
        <w:rPr>
          <w:rFonts w:asciiTheme="majorBidi" w:hAnsiTheme="majorBidi" w:cstheme="majorBidi"/>
        </w:rPr>
        <w:t>l</w:t>
      </w:r>
      <w:r w:rsidRPr="004E334F">
        <w:rPr>
          <w:rFonts w:asciiTheme="majorBidi" w:hAnsiTheme="majorBidi" w:cstheme="majorBidi"/>
          <w:lang w:val="id-ID"/>
        </w:rPr>
        <w:t xml:space="preserve">āf, </w:t>
      </w:r>
      <w:r w:rsidRPr="004E334F">
        <w:rPr>
          <w:rFonts w:asciiTheme="majorBidi" w:hAnsiTheme="majorBidi" w:cstheme="majorBidi"/>
          <w:i/>
          <w:iCs/>
        </w:rPr>
        <w:t>Al-</w:t>
      </w:r>
      <w:r w:rsidRPr="004E334F">
        <w:rPr>
          <w:rFonts w:asciiTheme="majorBidi" w:hAnsiTheme="majorBidi" w:cstheme="majorBidi"/>
          <w:i/>
          <w:iCs/>
          <w:lang w:val="id-ID"/>
        </w:rPr>
        <w:t>Siyāsah</w:t>
      </w:r>
      <w:r w:rsidRPr="004E334F">
        <w:rPr>
          <w:rFonts w:asciiTheme="majorBidi" w:hAnsiTheme="majorBidi" w:cstheme="majorBidi"/>
          <w:i/>
          <w:iCs/>
        </w:rPr>
        <w:t xml:space="preserve"> al-</w:t>
      </w:r>
      <w:r w:rsidRPr="004E334F">
        <w:rPr>
          <w:rFonts w:asciiTheme="majorBidi" w:hAnsiTheme="majorBidi" w:cstheme="majorBidi"/>
          <w:i/>
          <w:iCs/>
          <w:lang w:val="id-ID"/>
        </w:rPr>
        <w:t>syar‘iyyah</w:t>
      </w:r>
      <w:r w:rsidRPr="004E334F">
        <w:rPr>
          <w:rFonts w:asciiTheme="majorBidi" w:hAnsiTheme="majorBidi" w:cstheme="majorBidi"/>
          <w:i/>
          <w:iCs/>
        </w:rPr>
        <w:t xml:space="preserve"> aw Nidhām Al-Dawlah Al-Islāmiyah </w:t>
      </w:r>
      <w:r w:rsidRPr="00181D48">
        <w:rPr>
          <w:rFonts w:ascii="Times New Roman" w:hAnsi="Times New Roman" w:cs="Times New Roman"/>
          <w:i/>
          <w:iCs/>
          <w:lang w:val="sv-SE"/>
        </w:rPr>
        <w:t>f</w:t>
      </w:r>
      <w:r w:rsidRPr="00DC2591">
        <w:rPr>
          <w:rFonts w:asciiTheme="majorBidi" w:hAnsiTheme="majorBidi" w:cstheme="majorBidi"/>
          <w:i/>
          <w:iCs/>
          <w:sz w:val="24"/>
          <w:szCs w:val="24"/>
        </w:rPr>
        <w:t>ī</w:t>
      </w:r>
      <w:r w:rsidRPr="004E334F">
        <w:rPr>
          <w:rFonts w:asciiTheme="majorBidi" w:hAnsiTheme="majorBidi" w:cstheme="majorBidi"/>
          <w:i/>
          <w:iCs/>
        </w:rPr>
        <w:t xml:space="preserve"> al-Syu’ūn al-Dustūriyah wa al-Khārijiyah wa al-Māliyah</w:t>
      </w:r>
      <w:r w:rsidRPr="004666EA">
        <w:rPr>
          <w:rFonts w:asciiTheme="majorBidi" w:hAnsiTheme="majorBidi" w:cstheme="majorBidi"/>
          <w:i/>
          <w:lang w:val="id-ID"/>
        </w:rPr>
        <w:t>,</w:t>
      </w:r>
      <w:r w:rsidRPr="004666EA">
        <w:rPr>
          <w:rFonts w:asciiTheme="majorBidi" w:hAnsiTheme="majorBidi" w:cstheme="majorBidi"/>
          <w:iCs/>
        </w:rPr>
        <w:t>( Cairo : Mathba’ah al-Salafiyah, 1350 H),</w:t>
      </w:r>
      <w:r w:rsidRPr="004666EA">
        <w:rPr>
          <w:rFonts w:asciiTheme="majorBidi" w:hAnsiTheme="majorBidi" w:cstheme="majorBidi"/>
          <w:lang w:val="id-ID"/>
        </w:rPr>
        <w:t xml:space="preserve"> h. </w:t>
      </w:r>
      <w:r w:rsidRPr="004666EA">
        <w:rPr>
          <w:rFonts w:asciiTheme="majorBidi" w:hAnsiTheme="majorBidi" w:cstheme="majorBidi"/>
        </w:rPr>
        <w:t>14-15</w:t>
      </w:r>
    </w:p>
  </w:footnote>
  <w:footnote w:id="16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lang w:val="sv-SE"/>
        </w:rPr>
        <w:t xml:space="preserve">Ibnu Qayyim al-Jauzi, </w:t>
      </w:r>
      <w:r w:rsidRPr="004E334F">
        <w:rPr>
          <w:rFonts w:ascii="Times New Roman" w:hAnsi="Times New Roman" w:cs="Times New Roman"/>
          <w:i/>
          <w:iCs/>
          <w:lang w:val="sv-SE"/>
        </w:rPr>
        <w:t>Al-Thuruq al-</w:t>
      </w:r>
      <w:r w:rsidRPr="004E334F">
        <w:rPr>
          <w:rFonts w:asciiTheme="majorBidi" w:hAnsiTheme="majorBidi" w:cstheme="majorBidi"/>
          <w:i/>
          <w:iCs/>
          <w:u w:val="single"/>
        </w:rPr>
        <w:t>H</w:t>
      </w:r>
      <w:r w:rsidRPr="004E334F">
        <w:rPr>
          <w:rFonts w:ascii="Times New Roman" w:hAnsi="Times New Roman" w:cs="Times New Roman"/>
          <w:i/>
          <w:iCs/>
          <w:lang w:val="sv-SE"/>
        </w:rPr>
        <w:t xml:space="preserve">ukmiyyah </w:t>
      </w:r>
      <w:r w:rsidRPr="00181D48">
        <w:rPr>
          <w:rFonts w:ascii="Times New Roman" w:hAnsi="Times New Roman" w:cs="Times New Roman"/>
          <w:i/>
          <w:iCs/>
          <w:lang w:val="sv-SE"/>
        </w:rPr>
        <w:t>f</w:t>
      </w:r>
      <w:r w:rsidRPr="00DC2591">
        <w:rPr>
          <w:rFonts w:asciiTheme="majorBidi" w:hAnsiTheme="majorBidi" w:cstheme="majorBidi"/>
          <w:i/>
          <w:iCs/>
          <w:sz w:val="24"/>
          <w:szCs w:val="24"/>
        </w:rPr>
        <w:t>ī</w:t>
      </w:r>
      <w:r w:rsidRPr="004E334F">
        <w:rPr>
          <w:rFonts w:asciiTheme="majorBidi" w:hAnsiTheme="majorBidi" w:cstheme="majorBidi"/>
          <w:bCs/>
          <w:i/>
          <w:iCs/>
        </w:rPr>
        <w:t xml:space="preserve"> al</w:t>
      </w:r>
      <w:r w:rsidRPr="004E334F">
        <w:rPr>
          <w:rFonts w:asciiTheme="majorBidi" w:hAnsiTheme="majorBidi" w:cstheme="majorBidi"/>
          <w:bCs/>
        </w:rPr>
        <w:t>-</w:t>
      </w:r>
      <w:r w:rsidRPr="004E334F">
        <w:rPr>
          <w:rFonts w:asciiTheme="majorBidi" w:hAnsiTheme="majorBidi" w:cstheme="majorBidi"/>
          <w:i/>
          <w:iCs/>
          <w:lang w:val="id-ID"/>
        </w:rPr>
        <w:t xml:space="preserve"> siyāsah</w:t>
      </w:r>
      <w:r w:rsidRPr="004E334F">
        <w:rPr>
          <w:rFonts w:asciiTheme="majorBidi" w:hAnsiTheme="majorBidi" w:cstheme="majorBidi"/>
          <w:i/>
          <w:iCs/>
        </w:rPr>
        <w:t xml:space="preserve"> al-</w:t>
      </w:r>
      <w:r w:rsidRPr="004E334F">
        <w:rPr>
          <w:rFonts w:asciiTheme="majorBidi" w:hAnsiTheme="majorBidi" w:cstheme="majorBidi"/>
          <w:i/>
          <w:iCs/>
          <w:lang w:val="id-ID"/>
        </w:rPr>
        <w:t>syar‘iyyah</w:t>
      </w:r>
      <w:r w:rsidRPr="004666EA">
        <w:rPr>
          <w:rFonts w:asciiTheme="majorBidi" w:hAnsiTheme="majorBidi" w:cstheme="majorBidi"/>
          <w:lang w:val="sv-SE"/>
        </w:rPr>
        <w:t>, ( Kairo: Dar Ibn al-Jauzi, 2013), h. 15-16</w:t>
      </w:r>
    </w:p>
  </w:footnote>
  <w:footnote w:id="16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lang w:val="sv-SE"/>
        </w:rPr>
        <w:t xml:space="preserve">Ibnu Qayyim al-Jauzi, </w:t>
      </w:r>
      <w:r w:rsidRPr="004E334F">
        <w:rPr>
          <w:rFonts w:ascii="Times New Roman" w:hAnsi="Times New Roman" w:cs="Times New Roman"/>
          <w:i/>
          <w:iCs/>
          <w:lang w:val="sv-SE"/>
        </w:rPr>
        <w:t>Al-Thuruq al-</w:t>
      </w:r>
      <w:r w:rsidRPr="004E334F">
        <w:rPr>
          <w:rFonts w:asciiTheme="majorBidi" w:hAnsiTheme="majorBidi" w:cstheme="majorBidi"/>
          <w:i/>
          <w:iCs/>
          <w:u w:val="single"/>
        </w:rPr>
        <w:t>H</w:t>
      </w:r>
      <w:r w:rsidRPr="004E334F">
        <w:rPr>
          <w:rFonts w:ascii="Times New Roman" w:hAnsi="Times New Roman" w:cs="Times New Roman"/>
          <w:i/>
          <w:iCs/>
          <w:lang w:val="sv-SE"/>
        </w:rPr>
        <w:t xml:space="preserve">ukmiyyah </w:t>
      </w:r>
      <w:r w:rsidRPr="00181D48">
        <w:rPr>
          <w:rFonts w:ascii="Times New Roman" w:hAnsi="Times New Roman" w:cs="Times New Roman"/>
          <w:i/>
          <w:iCs/>
          <w:lang w:val="sv-SE"/>
        </w:rPr>
        <w:t>f</w:t>
      </w:r>
      <w:r w:rsidRPr="00DC2591">
        <w:rPr>
          <w:rFonts w:asciiTheme="majorBidi" w:hAnsiTheme="majorBidi" w:cstheme="majorBidi"/>
          <w:i/>
          <w:iCs/>
          <w:sz w:val="24"/>
          <w:szCs w:val="24"/>
        </w:rPr>
        <w:t>ī</w:t>
      </w:r>
      <w:r w:rsidRPr="004E334F">
        <w:rPr>
          <w:rFonts w:asciiTheme="majorBidi" w:hAnsiTheme="majorBidi" w:cstheme="majorBidi"/>
          <w:bCs/>
          <w:i/>
          <w:iCs/>
        </w:rPr>
        <w:t xml:space="preserve"> al</w:t>
      </w:r>
      <w:r w:rsidRPr="004E334F">
        <w:rPr>
          <w:rFonts w:asciiTheme="majorBidi" w:hAnsiTheme="majorBidi" w:cstheme="majorBidi"/>
          <w:bCs/>
        </w:rPr>
        <w:t>-</w:t>
      </w:r>
      <w:r w:rsidRPr="004E334F">
        <w:rPr>
          <w:rFonts w:asciiTheme="majorBidi" w:hAnsiTheme="majorBidi" w:cstheme="majorBidi"/>
          <w:i/>
          <w:iCs/>
          <w:lang w:val="id-ID"/>
        </w:rPr>
        <w:t xml:space="preserve"> siyāsah</w:t>
      </w:r>
      <w:r w:rsidRPr="004E334F">
        <w:rPr>
          <w:rFonts w:asciiTheme="majorBidi" w:hAnsiTheme="majorBidi" w:cstheme="majorBidi"/>
          <w:i/>
          <w:iCs/>
        </w:rPr>
        <w:t xml:space="preserve"> al-</w:t>
      </w:r>
      <w:r w:rsidRPr="004E334F">
        <w:rPr>
          <w:rFonts w:asciiTheme="majorBidi" w:hAnsiTheme="majorBidi" w:cstheme="majorBidi"/>
          <w:i/>
          <w:iCs/>
          <w:lang w:val="id-ID"/>
        </w:rPr>
        <w:t>syar‘iyyah</w:t>
      </w:r>
      <w:r w:rsidRPr="004666EA">
        <w:rPr>
          <w:rFonts w:asciiTheme="majorBidi" w:hAnsiTheme="majorBidi" w:cstheme="majorBidi"/>
          <w:lang w:val="sv-SE"/>
        </w:rPr>
        <w:t>, ( Kairo: Dar Ibn al-Jauzi, 2013), h. 15</w:t>
      </w:r>
    </w:p>
  </w:footnote>
  <w:footnote w:id="165">
    <w:p w:rsidR="00343B61" w:rsidRPr="004666EA" w:rsidRDefault="00343B61" w:rsidP="00343B61">
      <w:pPr>
        <w:pStyle w:val="FootnoteText"/>
        <w:ind w:firstLine="720"/>
        <w:jc w:val="both"/>
        <w:rPr>
          <w:rFonts w:asciiTheme="majorBidi" w:hAnsiTheme="majorBidi" w:cstheme="majorBidi"/>
          <w:rtl/>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lang w:val="id-ID"/>
        </w:rPr>
        <w:t>Abdurrahman</w:t>
      </w:r>
      <w:r w:rsidRPr="004666EA">
        <w:rPr>
          <w:rFonts w:asciiTheme="majorBidi" w:hAnsiTheme="majorBidi" w:cstheme="majorBidi"/>
        </w:rPr>
        <w:t xml:space="preserve"> </w:t>
      </w:r>
      <w:r w:rsidRPr="004666EA">
        <w:rPr>
          <w:rFonts w:asciiTheme="majorBidi" w:hAnsiTheme="majorBidi" w:cstheme="majorBidi"/>
          <w:lang w:val="id-ID"/>
        </w:rPr>
        <w:t>Taj,</w:t>
      </w:r>
      <w:r w:rsidRPr="004666EA">
        <w:rPr>
          <w:rFonts w:asciiTheme="majorBidi" w:hAnsiTheme="majorBidi" w:cstheme="majorBidi"/>
        </w:rPr>
        <w:t xml:space="preserve"> </w:t>
      </w:r>
      <w:r w:rsidRPr="004666EA">
        <w:rPr>
          <w:rFonts w:asciiTheme="majorBidi" w:hAnsiTheme="majorBidi" w:cstheme="majorBidi"/>
          <w:i/>
          <w:lang w:val="id-ID"/>
        </w:rPr>
        <w:t>Al-</w:t>
      </w:r>
      <w:r>
        <w:rPr>
          <w:rFonts w:asciiTheme="majorBidi" w:hAnsiTheme="majorBidi" w:cstheme="majorBidi"/>
          <w:i/>
          <w:iCs/>
          <w:lang w:val="sv-SE"/>
        </w:rPr>
        <w:t xml:space="preserve"> siyāsah al-</w:t>
      </w:r>
      <w:r w:rsidRPr="009A4B62">
        <w:rPr>
          <w:rFonts w:asciiTheme="majorBidi" w:hAnsiTheme="majorBidi" w:cstheme="majorBidi"/>
          <w:i/>
          <w:iCs/>
          <w:sz w:val="24"/>
          <w:szCs w:val="24"/>
          <w:lang w:val="sv-SE"/>
        </w:rPr>
        <w:t>syar</w:t>
      </w:r>
      <w:r w:rsidRPr="009A4B62">
        <w:rPr>
          <w:rFonts w:asciiTheme="majorBidi" w:hAnsiTheme="majorBidi" w:cstheme="majorBidi"/>
          <w:sz w:val="24"/>
          <w:szCs w:val="24"/>
          <w:lang w:val="sv-SE"/>
        </w:rPr>
        <w:t>‘</w:t>
      </w:r>
      <w:r w:rsidRPr="009A4B62">
        <w:rPr>
          <w:rFonts w:asciiTheme="majorBidi" w:hAnsiTheme="majorBidi" w:cstheme="majorBidi"/>
          <w:i/>
          <w:iCs/>
          <w:sz w:val="24"/>
          <w:szCs w:val="24"/>
          <w:lang w:val="sv-SE"/>
        </w:rPr>
        <w:t>iyyah</w:t>
      </w:r>
      <w:r w:rsidRPr="004666EA">
        <w:rPr>
          <w:rFonts w:asciiTheme="majorBidi" w:hAnsiTheme="majorBidi" w:cstheme="majorBidi"/>
          <w:i/>
          <w:lang w:val="id-ID"/>
        </w:rPr>
        <w:t xml:space="preserve"> wa al-Fiqh al-Isl</w:t>
      </w:r>
      <w:r>
        <w:rPr>
          <w:rFonts w:asciiTheme="majorBidi" w:hAnsiTheme="majorBidi" w:cstheme="majorBidi"/>
          <w:i/>
          <w:iCs/>
          <w:lang w:val="sv-SE"/>
        </w:rPr>
        <w:t>ā</w:t>
      </w:r>
      <w:r w:rsidRPr="004666EA">
        <w:rPr>
          <w:rFonts w:asciiTheme="majorBidi" w:hAnsiTheme="majorBidi" w:cstheme="majorBidi"/>
          <w:i/>
          <w:lang w:val="id-ID"/>
        </w:rPr>
        <w:t>m</w:t>
      </w:r>
      <w:r w:rsidRPr="00B01D99">
        <w:rPr>
          <w:rFonts w:asciiTheme="majorBidi" w:hAnsiTheme="majorBidi" w:cstheme="majorBidi"/>
          <w:i/>
          <w:iCs/>
        </w:rPr>
        <w:t>ī</w:t>
      </w:r>
      <w:r w:rsidRPr="004666EA">
        <w:rPr>
          <w:rFonts w:asciiTheme="majorBidi" w:hAnsiTheme="majorBidi" w:cstheme="majorBidi"/>
          <w:i/>
          <w:lang w:val="id-ID"/>
        </w:rPr>
        <w:t xml:space="preserve">, </w:t>
      </w:r>
      <w:r w:rsidRPr="004666EA">
        <w:rPr>
          <w:rFonts w:asciiTheme="majorBidi" w:hAnsiTheme="majorBidi" w:cstheme="majorBidi"/>
          <w:lang w:val="id-ID"/>
        </w:rPr>
        <w:t>(Mesir:</w:t>
      </w:r>
      <w:r w:rsidRPr="004666EA">
        <w:rPr>
          <w:rFonts w:asciiTheme="majorBidi" w:hAnsiTheme="majorBidi" w:cstheme="majorBidi"/>
        </w:rPr>
        <w:t xml:space="preserve"> </w:t>
      </w:r>
      <w:r w:rsidRPr="004666EA">
        <w:rPr>
          <w:rFonts w:asciiTheme="majorBidi" w:hAnsiTheme="majorBidi" w:cstheme="majorBidi"/>
          <w:lang w:val="id-ID"/>
        </w:rPr>
        <w:t>Dar al-Ta’lif,1993</w:t>
      </w:r>
      <w:r w:rsidRPr="004666EA">
        <w:rPr>
          <w:rFonts w:asciiTheme="majorBidi" w:hAnsiTheme="majorBidi" w:cstheme="majorBidi"/>
        </w:rPr>
        <w:t>)</w:t>
      </w:r>
      <w:r w:rsidRPr="004666EA">
        <w:rPr>
          <w:rFonts w:asciiTheme="majorBidi" w:hAnsiTheme="majorBidi" w:cstheme="majorBidi"/>
          <w:lang w:val="id-ID"/>
        </w:rPr>
        <w:t>, h. 1</w:t>
      </w:r>
      <w:r w:rsidRPr="004666EA">
        <w:rPr>
          <w:rFonts w:asciiTheme="majorBidi" w:hAnsiTheme="majorBidi" w:cstheme="majorBidi"/>
        </w:rPr>
        <w:t>1</w:t>
      </w:r>
      <w:r w:rsidRPr="004666EA">
        <w:rPr>
          <w:rFonts w:asciiTheme="majorBidi" w:hAnsiTheme="majorBidi" w:cstheme="majorBidi"/>
          <w:lang w:val="id-ID"/>
        </w:rPr>
        <w:t>.</w:t>
      </w:r>
    </w:p>
  </w:footnote>
  <w:footnote w:id="166">
    <w:p w:rsidR="00343B61" w:rsidRPr="00886389" w:rsidRDefault="00343B61" w:rsidP="00343B61">
      <w:pPr>
        <w:spacing w:after="0"/>
        <w:ind w:firstLine="720"/>
        <w:jc w:val="both"/>
        <w:rPr>
          <w:rFonts w:ascii="Times New Roman" w:hAnsi="Times New Roman" w:cs="Times New Roman"/>
          <w:i/>
          <w:iCs/>
          <w:sz w:val="20"/>
          <w:szCs w:val="20"/>
          <w:rtl/>
        </w:rPr>
      </w:pPr>
      <w:r w:rsidRPr="00886389">
        <w:rPr>
          <w:rStyle w:val="FootnoteReference"/>
          <w:rFonts w:asciiTheme="majorBidi" w:hAnsiTheme="majorBidi" w:cstheme="majorBidi"/>
          <w:sz w:val="20"/>
          <w:szCs w:val="20"/>
        </w:rPr>
        <w:footnoteRef/>
      </w:r>
      <w:r w:rsidRPr="00886389">
        <w:rPr>
          <w:rFonts w:asciiTheme="majorBidi" w:hAnsiTheme="majorBidi" w:cstheme="majorBidi"/>
          <w:sz w:val="20"/>
          <w:szCs w:val="20"/>
        </w:rPr>
        <w:t xml:space="preserve"> Lihat. </w:t>
      </w:r>
      <w:r w:rsidRPr="00886389">
        <w:rPr>
          <w:rFonts w:asciiTheme="majorBidi" w:hAnsiTheme="majorBidi" w:cstheme="majorBidi"/>
          <w:sz w:val="20"/>
          <w:szCs w:val="20"/>
          <w:lang w:val="sv-SE"/>
        </w:rPr>
        <w:t xml:space="preserve">Zainuddin Ibn Nujaim Al-Hanafi, </w:t>
      </w:r>
      <w:r w:rsidRPr="00886389">
        <w:rPr>
          <w:rFonts w:ascii="Times New Roman" w:hAnsi="Times New Roman" w:cs="Times New Roman"/>
          <w:i/>
          <w:iCs/>
          <w:sz w:val="20"/>
          <w:szCs w:val="20"/>
        </w:rPr>
        <w:t>al-Bahr al-R</w:t>
      </w:r>
      <w:r w:rsidRPr="00886389">
        <w:rPr>
          <w:rFonts w:asciiTheme="majorBidi" w:hAnsiTheme="majorBidi" w:cstheme="majorBidi"/>
          <w:i/>
          <w:iCs/>
          <w:sz w:val="20"/>
          <w:szCs w:val="20"/>
        </w:rPr>
        <w:t>ā</w:t>
      </w:r>
      <w:r w:rsidRPr="00886389">
        <w:rPr>
          <w:rFonts w:ascii="Times New Roman" w:hAnsi="Times New Roman" w:cs="Times New Roman"/>
          <w:i/>
          <w:iCs/>
          <w:sz w:val="20"/>
          <w:szCs w:val="20"/>
        </w:rPr>
        <w:t>iq Syarh Kanz ad-D</w:t>
      </w:r>
      <w:r w:rsidRPr="00886389">
        <w:rPr>
          <w:rFonts w:asciiTheme="majorBidi" w:hAnsiTheme="majorBidi" w:cstheme="majorBidi"/>
          <w:i/>
          <w:iCs/>
          <w:sz w:val="20"/>
          <w:szCs w:val="20"/>
        </w:rPr>
        <w:t>ā</w:t>
      </w:r>
      <w:r w:rsidRPr="00886389">
        <w:rPr>
          <w:rFonts w:ascii="Times New Roman" w:hAnsi="Times New Roman" w:cs="Times New Roman"/>
          <w:i/>
          <w:iCs/>
          <w:sz w:val="20"/>
          <w:szCs w:val="20"/>
        </w:rPr>
        <w:t>qaiq</w:t>
      </w:r>
      <w:r w:rsidRPr="00886389">
        <w:rPr>
          <w:rFonts w:asciiTheme="majorBidi" w:hAnsiTheme="majorBidi" w:cstheme="majorBidi"/>
          <w:sz w:val="20"/>
          <w:szCs w:val="20"/>
          <w:lang w:val="sv-SE"/>
        </w:rPr>
        <w:t>, ( Bairul: Dar Al-Makrifah, t.th), Jilid 5, h.76</w:t>
      </w:r>
    </w:p>
  </w:footnote>
  <w:footnote w:id="16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Abd al-‘Al Ahmad Athwah, </w:t>
      </w:r>
      <w:r w:rsidRPr="00DC5E7A">
        <w:rPr>
          <w:rFonts w:asciiTheme="majorBidi" w:hAnsiTheme="majorBidi" w:cstheme="majorBidi"/>
          <w:i/>
          <w:iCs/>
        </w:rPr>
        <w:t>Al-Madkhal ilā al-</w:t>
      </w:r>
      <w:r w:rsidRPr="00DC5E7A">
        <w:rPr>
          <w:rFonts w:asciiTheme="majorBidi" w:hAnsiTheme="majorBidi" w:cstheme="majorBidi"/>
          <w:i/>
          <w:iCs/>
          <w:lang w:val="sv-SE"/>
        </w:rPr>
        <w:t>siyāsah al-syar</w:t>
      </w:r>
      <w:r w:rsidRPr="00DC5E7A">
        <w:rPr>
          <w:rFonts w:asciiTheme="majorBidi" w:hAnsiTheme="majorBidi" w:cstheme="majorBidi"/>
          <w:lang w:val="sv-SE"/>
        </w:rPr>
        <w:t>‘</w:t>
      </w:r>
      <w:r w:rsidRPr="00DC5E7A">
        <w:rPr>
          <w:rFonts w:asciiTheme="majorBidi" w:hAnsiTheme="majorBidi" w:cstheme="majorBidi"/>
          <w:i/>
          <w:iCs/>
          <w:lang w:val="sv-SE"/>
        </w:rPr>
        <w:t>iyyah</w:t>
      </w:r>
      <w:r w:rsidRPr="004666EA">
        <w:rPr>
          <w:rFonts w:asciiTheme="majorBidi" w:hAnsiTheme="majorBidi" w:cstheme="majorBidi"/>
        </w:rPr>
        <w:t xml:space="preserve">, (Riyadh: </w:t>
      </w:r>
      <w:r w:rsidRPr="004666EA">
        <w:rPr>
          <w:rFonts w:asciiTheme="majorBidi" w:hAnsiTheme="majorBidi" w:cstheme="majorBidi"/>
          <w:color w:val="FF0000"/>
        </w:rPr>
        <w:t xml:space="preserve"> </w:t>
      </w:r>
      <w:r w:rsidRPr="004666EA">
        <w:rPr>
          <w:rFonts w:asciiTheme="majorBidi" w:hAnsiTheme="majorBidi" w:cstheme="majorBidi"/>
          <w:color w:val="000000" w:themeColor="text1"/>
        </w:rPr>
        <w:t xml:space="preserve">Jam’iah al-Imam Muhammad Ibn Su’ud al-Islamiyah, </w:t>
      </w:r>
      <w:r w:rsidRPr="004666EA">
        <w:rPr>
          <w:rFonts w:asciiTheme="majorBidi" w:hAnsiTheme="majorBidi" w:cstheme="majorBidi"/>
        </w:rPr>
        <w:t>1993), h. 44</w:t>
      </w:r>
    </w:p>
  </w:footnote>
  <w:footnote w:id="168">
    <w:p w:rsidR="00343B61" w:rsidRPr="004666EA" w:rsidRDefault="00343B61" w:rsidP="00343B61">
      <w:pPr>
        <w:pStyle w:val="FootnoteText"/>
        <w:ind w:firstLine="720"/>
        <w:jc w:val="both"/>
        <w:rPr>
          <w:rFonts w:asciiTheme="majorBidi" w:hAnsiTheme="majorBidi" w:cstheme="majorBidi"/>
          <w:color w:val="000000" w:themeColor="text1"/>
        </w:rPr>
      </w:pPr>
      <w:r w:rsidRPr="004666EA">
        <w:rPr>
          <w:rStyle w:val="FootnoteReference"/>
          <w:rFonts w:asciiTheme="majorBidi" w:hAnsiTheme="majorBidi" w:cstheme="majorBidi"/>
          <w:color w:val="000000" w:themeColor="text1"/>
        </w:rPr>
        <w:footnoteRef/>
      </w:r>
      <w:r w:rsidRPr="004666EA">
        <w:rPr>
          <w:rFonts w:asciiTheme="majorBidi" w:hAnsiTheme="majorBidi" w:cstheme="majorBidi"/>
          <w:color w:val="000000" w:themeColor="text1"/>
        </w:rPr>
        <w:t xml:space="preserve"> </w:t>
      </w:r>
      <w:r w:rsidRPr="004666EA">
        <w:rPr>
          <w:rFonts w:asciiTheme="majorBidi" w:hAnsiTheme="majorBidi" w:cstheme="majorBidi"/>
        </w:rPr>
        <w:t xml:space="preserve">Lihat. </w:t>
      </w:r>
      <w:r w:rsidRPr="004666EA">
        <w:rPr>
          <w:rFonts w:asciiTheme="majorBidi" w:hAnsiTheme="majorBidi" w:cstheme="majorBidi"/>
          <w:color w:val="000000" w:themeColor="text1"/>
        </w:rPr>
        <w:t xml:space="preserve">Ibn Abidin, </w:t>
      </w:r>
      <w:r w:rsidRPr="004666EA">
        <w:rPr>
          <w:rFonts w:asciiTheme="majorBidi" w:hAnsiTheme="majorBidi" w:cstheme="majorBidi"/>
          <w:i/>
          <w:iCs/>
          <w:color w:val="000000" w:themeColor="text1"/>
        </w:rPr>
        <w:t>H</w:t>
      </w:r>
      <w:r w:rsidRPr="00DC5E7A">
        <w:rPr>
          <w:rFonts w:asciiTheme="majorBidi" w:hAnsiTheme="majorBidi" w:cstheme="majorBidi"/>
          <w:i/>
          <w:iCs/>
        </w:rPr>
        <w:t>ā</w:t>
      </w:r>
      <w:r w:rsidRPr="004666EA">
        <w:rPr>
          <w:rFonts w:asciiTheme="majorBidi" w:hAnsiTheme="majorBidi" w:cstheme="majorBidi"/>
          <w:i/>
          <w:iCs/>
          <w:color w:val="000000" w:themeColor="text1"/>
        </w:rPr>
        <w:t>syiah Radd al-Mukht</w:t>
      </w:r>
      <w:r w:rsidRPr="00DC5E7A">
        <w:rPr>
          <w:rFonts w:asciiTheme="majorBidi" w:hAnsiTheme="majorBidi" w:cstheme="majorBidi"/>
          <w:i/>
          <w:iCs/>
        </w:rPr>
        <w:t>ā</w:t>
      </w:r>
      <w:r w:rsidRPr="004666EA">
        <w:rPr>
          <w:rFonts w:asciiTheme="majorBidi" w:hAnsiTheme="majorBidi" w:cstheme="majorBidi"/>
          <w:i/>
          <w:iCs/>
          <w:color w:val="000000" w:themeColor="text1"/>
        </w:rPr>
        <w:t>r ‘al</w:t>
      </w:r>
      <w:r w:rsidRPr="00DC5E7A">
        <w:rPr>
          <w:rFonts w:asciiTheme="majorBidi" w:hAnsiTheme="majorBidi" w:cstheme="majorBidi"/>
          <w:i/>
          <w:iCs/>
        </w:rPr>
        <w:t>ā</w:t>
      </w:r>
      <w:r w:rsidRPr="004666EA">
        <w:rPr>
          <w:rFonts w:asciiTheme="majorBidi" w:hAnsiTheme="majorBidi" w:cstheme="majorBidi"/>
          <w:i/>
          <w:iCs/>
          <w:color w:val="000000" w:themeColor="text1"/>
        </w:rPr>
        <w:t xml:space="preserve"> al-Dur</w:t>
      </w:r>
      <w:r>
        <w:rPr>
          <w:rFonts w:asciiTheme="majorBidi" w:hAnsiTheme="majorBidi" w:cstheme="majorBidi"/>
          <w:i/>
          <w:iCs/>
          <w:color w:val="000000" w:themeColor="text1"/>
        </w:rPr>
        <w:t>ar</w:t>
      </w:r>
      <w:r w:rsidRPr="004666EA">
        <w:rPr>
          <w:rFonts w:asciiTheme="majorBidi" w:hAnsiTheme="majorBidi" w:cstheme="majorBidi"/>
          <w:i/>
          <w:iCs/>
          <w:color w:val="000000" w:themeColor="text1"/>
        </w:rPr>
        <w:t xml:space="preserve"> al-Mukht</w:t>
      </w:r>
      <w:r w:rsidRPr="00DC5E7A">
        <w:rPr>
          <w:rFonts w:asciiTheme="majorBidi" w:hAnsiTheme="majorBidi" w:cstheme="majorBidi"/>
          <w:i/>
          <w:iCs/>
        </w:rPr>
        <w:t>ā</w:t>
      </w:r>
      <w:r w:rsidRPr="004666EA">
        <w:rPr>
          <w:rFonts w:asciiTheme="majorBidi" w:hAnsiTheme="majorBidi" w:cstheme="majorBidi"/>
          <w:i/>
          <w:iCs/>
          <w:color w:val="000000" w:themeColor="text1"/>
        </w:rPr>
        <w:t>r</w:t>
      </w:r>
      <w:r w:rsidRPr="004666EA">
        <w:rPr>
          <w:rFonts w:asciiTheme="majorBidi" w:hAnsiTheme="majorBidi" w:cstheme="majorBidi"/>
          <w:color w:val="000000" w:themeColor="text1"/>
        </w:rPr>
        <w:t xml:space="preserve">, (Beirut, </w:t>
      </w:r>
      <w:r>
        <w:rPr>
          <w:rFonts w:asciiTheme="majorBidi" w:hAnsiTheme="majorBidi" w:cstheme="majorBidi"/>
          <w:color w:val="000000" w:themeColor="text1"/>
        </w:rPr>
        <w:t>Dār al-Fikr</w:t>
      </w:r>
      <w:r w:rsidRPr="004666EA">
        <w:rPr>
          <w:rFonts w:asciiTheme="majorBidi" w:hAnsiTheme="majorBidi" w:cstheme="majorBidi"/>
          <w:color w:val="000000" w:themeColor="text1"/>
        </w:rPr>
        <w:t xml:space="preserve">,     1421 H/ 2000M ),  Juz 4, h. 76, lihat juga. </w:t>
      </w:r>
      <w:r w:rsidRPr="004666EA">
        <w:rPr>
          <w:rFonts w:asciiTheme="majorBidi" w:hAnsiTheme="majorBidi" w:cstheme="majorBidi"/>
        </w:rPr>
        <w:t xml:space="preserve">Bahansi Ahmad Fathi, </w:t>
      </w:r>
      <w:r w:rsidRPr="004666EA">
        <w:rPr>
          <w:rFonts w:asciiTheme="majorBidi" w:hAnsiTheme="majorBidi" w:cstheme="majorBidi"/>
          <w:i/>
          <w:iCs/>
        </w:rPr>
        <w:t>Al-Siyasah al-Jinaiyah fi al- Syari’at</w:t>
      </w:r>
      <w:r w:rsidRPr="004666EA">
        <w:rPr>
          <w:rFonts w:asciiTheme="majorBidi" w:hAnsiTheme="majorBidi" w:cstheme="majorBidi"/>
        </w:rPr>
        <w:t>, ( Mesir: Maktabah Dar al-‘Urubat, 1965), h. 61</w:t>
      </w:r>
    </w:p>
  </w:footnote>
  <w:footnote w:id="16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Raja Grafindo Persada, 1994), h. 26</w:t>
      </w:r>
    </w:p>
  </w:footnote>
  <w:footnote w:id="170">
    <w:p w:rsidR="00343B61" w:rsidRPr="004666EA" w:rsidRDefault="00343B61" w:rsidP="00343B61">
      <w:pPr>
        <w:pStyle w:val="Default"/>
        <w:ind w:firstLine="720"/>
        <w:jc w:val="both"/>
        <w:rPr>
          <w:rFonts w:asciiTheme="majorBidi" w:eastAsia="Times New Roman"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Lihat. Abd Jalil Borham, </w:t>
      </w:r>
      <w:r w:rsidRPr="004666EA">
        <w:rPr>
          <w:rFonts w:asciiTheme="majorBidi" w:hAnsiTheme="majorBidi" w:cstheme="majorBidi"/>
          <w:i/>
          <w:iCs/>
          <w:sz w:val="20"/>
          <w:szCs w:val="20"/>
        </w:rPr>
        <w:t>Konsep siyasah syar`iyyah dan pelaksanaannya Dalam konteks Malaysia</w:t>
      </w:r>
      <w:r w:rsidRPr="004666EA">
        <w:rPr>
          <w:rFonts w:asciiTheme="majorBidi" w:hAnsiTheme="majorBidi" w:cstheme="majorBidi"/>
          <w:sz w:val="20"/>
          <w:szCs w:val="20"/>
        </w:rPr>
        <w:t xml:space="preserve">, Makalah, Disampaikan pada Seminar Nasional dengan teman: </w:t>
      </w:r>
      <w:r w:rsidRPr="004666EA">
        <w:rPr>
          <w:rFonts w:asciiTheme="majorBidi" w:hAnsiTheme="majorBidi" w:cstheme="majorBidi"/>
          <w:i/>
          <w:iCs/>
          <w:sz w:val="20"/>
          <w:szCs w:val="20"/>
        </w:rPr>
        <w:t>Pelaksanaan Siyasah Syar`iyyah Dalam Konteks Masa Kini: Isu Dan Cabaran</w:t>
      </w:r>
      <w:r w:rsidRPr="004666EA">
        <w:rPr>
          <w:rFonts w:asciiTheme="majorBidi" w:hAnsiTheme="majorBidi" w:cstheme="majorBidi"/>
          <w:sz w:val="20"/>
          <w:szCs w:val="20"/>
        </w:rPr>
        <w:t>, anjuran Kolej Universiti Islam Melaka (KUIM) pada 2 Februari, 2013 di Auditorium Pujangga KUIM, Melaka, h. 1</w:t>
      </w:r>
    </w:p>
  </w:footnote>
  <w:footnote w:id="17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Raja Grafindo Persada, 1994), h. 26</w:t>
      </w:r>
    </w:p>
  </w:footnote>
  <w:footnote w:id="17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Firmannya: 59. Hai orang-orang yang beriman, taatilah Allah dan taatilah Rasul (Nya), dan ulil amri di antara kamu. </w:t>
      </w:r>
    </w:p>
  </w:footnote>
  <w:footnote w:id="17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lang w:val="id-ID"/>
        </w:rPr>
        <w:t>Abdurrahman T</w:t>
      </w:r>
      <w:r w:rsidRPr="00E40316">
        <w:rPr>
          <w:rFonts w:asciiTheme="majorBidi" w:hAnsiTheme="majorBidi" w:cstheme="majorBidi"/>
          <w:lang w:val="sv-SE"/>
        </w:rPr>
        <w:t>ā</w:t>
      </w:r>
      <w:r w:rsidRPr="00E40316">
        <w:rPr>
          <w:rFonts w:asciiTheme="majorBidi" w:hAnsiTheme="majorBidi" w:cstheme="majorBidi"/>
          <w:lang w:val="id-ID"/>
        </w:rPr>
        <w:t>j</w:t>
      </w:r>
      <w:r w:rsidRPr="004666EA">
        <w:rPr>
          <w:rFonts w:asciiTheme="majorBidi" w:hAnsiTheme="majorBidi" w:cstheme="majorBidi"/>
          <w:lang w:val="id-ID"/>
        </w:rPr>
        <w:t xml:space="preserve">, </w:t>
      </w:r>
      <w:r w:rsidRPr="00BF490F">
        <w:rPr>
          <w:rFonts w:asciiTheme="majorBidi" w:hAnsiTheme="majorBidi" w:cstheme="majorBidi"/>
          <w:i/>
          <w:lang w:val="id-ID"/>
        </w:rPr>
        <w:t>Al-</w:t>
      </w:r>
      <w:r w:rsidRPr="00BF490F">
        <w:rPr>
          <w:rFonts w:asciiTheme="majorBidi" w:hAnsiTheme="majorBidi" w:cstheme="majorBidi"/>
          <w:i/>
          <w:iCs/>
          <w:lang w:val="sv-SE"/>
        </w:rPr>
        <w:t xml:space="preserve"> siyāsah al-syar</w:t>
      </w:r>
      <w:r w:rsidRPr="00BF490F">
        <w:rPr>
          <w:rFonts w:asciiTheme="majorBidi" w:hAnsiTheme="majorBidi" w:cstheme="majorBidi"/>
          <w:lang w:val="sv-SE"/>
        </w:rPr>
        <w:t>‘</w:t>
      </w:r>
      <w:r w:rsidRPr="00BF490F">
        <w:rPr>
          <w:rFonts w:asciiTheme="majorBidi" w:hAnsiTheme="majorBidi" w:cstheme="majorBidi"/>
          <w:i/>
          <w:iCs/>
          <w:lang w:val="sv-SE"/>
        </w:rPr>
        <w:t>iyyah</w:t>
      </w:r>
      <w:r w:rsidRPr="00BF490F">
        <w:rPr>
          <w:rFonts w:asciiTheme="majorBidi" w:hAnsiTheme="majorBidi" w:cstheme="majorBidi"/>
          <w:i/>
          <w:lang w:val="id-ID"/>
        </w:rPr>
        <w:t xml:space="preserve"> wa al-Fiqh al-Isl</w:t>
      </w:r>
      <w:r w:rsidRPr="00BF490F">
        <w:rPr>
          <w:rFonts w:asciiTheme="majorBidi" w:hAnsiTheme="majorBidi" w:cstheme="majorBidi"/>
          <w:i/>
          <w:iCs/>
          <w:lang w:val="sv-SE"/>
        </w:rPr>
        <w:t>ā</w:t>
      </w:r>
      <w:r w:rsidRPr="00BF490F">
        <w:rPr>
          <w:rFonts w:asciiTheme="majorBidi" w:hAnsiTheme="majorBidi" w:cstheme="majorBidi"/>
          <w:i/>
          <w:lang w:val="id-ID"/>
        </w:rPr>
        <w:t>m</w:t>
      </w:r>
      <w:r w:rsidRPr="00BF490F">
        <w:rPr>
          <w:rFonts w:asciiTheme="majorBidi" w:hAnsiTheme="majorBidi" w:cstheme="majorBidi"/>
          <w:i/>
          <w:iCs/>
        </w:rPr>
        <w:t>ī</w:t>
      </w:r>
      <w:r w:rsidRPr="004666EA">
        <w:rPr>
          <w:rFonts w:asciiTheme="majorBidi" w:hAnsiTheme="majorBidi" w:cstheme="majorBidi"/>
          <w:i/>
          <w:lang w:val="id-ID"/>
        </w:rPr>
        <w:t xml:space="preserve">, </w:t>
      </w:r>
      <w:r w:rsidRPr="004666EA">
        <w:rPr>
          <w:rFonts w:asciiTheme="majorBidi" w:hAnsiTheme="majorBidi" w:cstheme="majorBidi"/>
          <w:lang w:val="id-ID"/>
        </w:rPr>
        <w:t>(Mesir:</w:t>
      </w:r>
      <w:r w:rsidRPr="004666EA">
        <w:rPr>
          <w:rFonts w:asciiTheme="majorBidi" w:hAnsiTheme="majorBidi" w:cstheme="majorBidi"/>
        </w:rPr>
        <w:t xml:space="preserve"> </w:t>
      </w:r>
      <w:r w:rsidRPr="004666EA">
        <w:rPr>
          <w:rFonts w:asciiTheme="majorBidi" w:hAnsiTheme="majorBidi" w:cstheme="majorBidi"/>
          <w:lang w:val="id-ID"/>
        </w:rPr>
        <w:t>Mathba’ah Dar al-Ta’lif,1993</w:t>
      </w:r>
      <w:r w:rsidRPr="004666EA">
        <w:rPr>
          <w:rFonts w:asciiTheme="majorBidi" w:hAnsiTheme="majorBidi" w:cstheme="majorBidi"/>
        </w:rPr>
        <w:t>)</w:t>
      </w:r>
      <w:r w:rsidRPr="004666EA">
        <w:rPr>
          <w:rFonts w:asciiTheme="majorBidi" w:hAnsiTheme="majorBidi" w:cstheme="majorBidi"/>
          <w:lang w:val="id-ID"/>
        </w:rPr>
        <w:t>, h. 10</w:t>
      </w:r>
      <w:r w:rsidRPr="004666EA">
        <w:rPr>
          <w:rFonts w:asciiTheme="majorBidi" w:hAnsiTheme="majorBidi" w:cstheme="majorBidi"/>
        </w:rPr>
        <w:t>-11</w:t>
      </w:r>
    </w:p>
  </w:footnote>
  <w:footnote w:id="17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Raja Grafindo Persada, 1994), h. 25</w:t>
      </w:r>
    </w:p>
  </w:footnote>
  <w:footnote w:id="17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Muhamad Iqbal, </w:t>
      </w:r>
      <w:r w:rsidRPr="004666EA">
        <w:rPr>
          <w:rFonts w:asciiTheme="majorBidi" w:hAnsiTheme="majorBidi" w:cstheme="majorBidi"/>
          <w:i/>
          <w:iCs/>
        </w:rPr>
        <w:t>Fiqh siayasah Kontekstualisasi Doktirin Politik Islam</w:t>
      </w:r>
      <w:r w:rsidRPr="004666EA">
        <w:rPr>
          <w:rFonts w:asciiTheme="majorBidi" w:hAnsiTheme="majorBidi" w:cstheme="majorBidi"/>
        </w:rPr>
        <w:t>,( Jakarta: Prenadamedia Group, 2014), h. 8-9</w:t>
      </w:r>
    </w:p>
  </w:footnote>
  <w:footnote w:id="17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Ahmad Sukarja, </w:t>
      </w:r>
      <w:r w:rsidRPr="004666EA">
        <w:rPr>
          <w:rFonts w:asciiTheme="majorBidi" w:hAnsiTheme="majorBidi" w:cstheme="majorBidi"/>
          <w:i/>
          <w:iCs/>
        </w:rPr>
        <w:t>Piagam Madinah dan UUD 1945</w:t>
      </w:r>
      <w:r w:rsidRPr="004666EA">
        <w:rPr>
          <w:rFonts w:asciiTheme="majorBidi" w:hAnsiTheme="majorBidi" w:cstheme="majorBidi"/>
        </w:rPr>
        <w:t>, ( Jakarta: Universitas Indonesia Press, 1995) h. 11</w:t>
      </w:r>
    </w:p>
  </w:footnote>
  <w:footnote w:id="177">
    <w:p w:rsidR="00343B61" w:rsidRPr="004666EA" w:rsidRDefault="00343B61" w:rsidP="00343B61">
      <w:pPr>
        <w:spacing w:after="0" w:line="240" w:lineRule="auto"/>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hAnsiTheme="majorBidi" w:cstheme="majorBidi"/>
          <w:color w:val="000000"/>
          <w:sz w:val="20"/>
          <w:szCs w:val="20"/>
        </w:rPr>
        <w:t xml:space="preserve">Lihat. </w:t>
      </w:r>
      <w:r w:rsidRPr="004666EA">
        <w:rPr>
          <w:rFonts w:asciiTheme="majorBidi" w:hAnsiTheme="majorBidi" w:cstheme="majorBidi"/>
          <w:i/>
          <w:iCs/>
          <w:color w:val="000000"/>
          <w:sz w:val="20"/>
          <w:szCs w:val="20"/>
        </w:rPr>
        <w:t>Musnad al-Im</w:t>
      </w:r>
      <w:r w:rsidRPr="00BF490F">
        <w:rPr>
          <w:rFonts w:asciiTheme="majorBidi" w:hAnsiTheme="majorBidi" w:cstheme="majorBidi"/>
          <w:i/>
          <w:iCs/>
          <w:sz w:val="20"/>
          <w:szCs w:val="20"/>
          <w:lang w:val="sv-SE"/>
        </w:rPr>
        <w:t>ā</w:t>
      </w:r>
      <w:r>
        <w:rPr>
          <w:rFonts w:asciiTheme="majorBidi" w:hAnsiTheme="majorBidi" w:cstheme="majorBidi"/>
          <w:i/>
          <w:iCs/>
          <w:color w:val="000000"/>
          <w:sz w:val="20"/>
          <w:szCs w:val="20"/>
        </w:rPr>
        <w:t>m Ahmad</w:t>
      </w:r>
      <w:r w:rsidRPr="004666EA">
        <w:rPr>
          <w:rFonts w:asciiTheme="majorBidi" w:hAnsiTheme="majorBidi" w:cstheme="majorBidi"/>
          <w:i/>
          <w:iCs/>
          <w:color w:val="000000"/>
          <w:sz w:val="20"/>
          <w:szCs w:val="20"/>
        </w:rPr>
        <w:t xml:space="preserve"> bin Hambal</w:t>
      </w:r>
      <w:r w:rsidRPr="004666EA">
        <w:rPr>
          <w:rFonts w:asciiTheme="majorBidi" w:hAnsiTheme="majorBidi" w:cstheme="majorBidi"/>
          <w:color w:val="000000"/>
          <w:sz w:val="20"/>
          <w:szCs w:val="20"/>
        </w:rPr>
        <w:t>, ( Bairut: Mussasah al-Risalah: 1420 H/ 1999 M), cet II, Jilid 2, h. 333</w:t>
      </w:r>
    </w:p>
  </w:footnote>
  <w:footnote w:id="17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128</w:t>
      </w:r>
    </w:p>
  </w:footnote>
  <w:footnote w:id="17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Ahmad Sukarja, </w:t>
      </w:r>
      <w:r w:rsidRPr="004666EA">
        <w:rPr>
          <w:rFonts w:asciiTheme="majorBidi" w:hAnsiTheme="majorBidi" w:cstheme="majorBidi"/>
          <w:i/>
          <w:iCs/>
        </w:rPr>
        <w:t>Piagam Madinah dan UUD 1945</w:t>
      </w:r>
      <w:r w:rsidRPr="004666EA">
        <w:rPr>
          <w:rFonts w:asciiTheme="majorBidi" w:hAnsiTheme="majorBidi" w:cstheme="majorBidi"/>
        </w:rPr>
        <w:t xml:space="preserve">, ( Jakarta: Universitas Indonesia Press, 1995) h. 11, </w:t>
      </w:r>
    </w:p>
  </w:footnote>
  <w:footnote w:id="180">
    <w:p w:rsidR="00343B61" w:rsidRPr="006E3DF1" w:rsidRDefault="00343B61" w:rsidP="00343B61">
      <w:pPr>
        <w:pStyle w:val="FootnoteText"/>
        <w:ind w:firstLine="720"/>
        <w:rPr>
          <w:rFonts w:asciiTheme="majorBidi" w:hAnsiTheme="majorBidi" w:cstheme="majorBidi"/>
        </w:rPr>
      </w:pPr>
      <w:r w:rsidRPr="006E3DF1">
        <w:rPr>
          <w:rStyle w:val="FootnoteReference"/>
          <w:rFonts w:asciiTheme="majorBidi" w:hAnsiTheme="majorBidi" w:cstheme="majorBidi"/>
        </w:rPr>
        <w:footnoteRef/>
      </w:r>
      <w:r w:rsidRPr="006E3DF1">
        <w:rPr>
          <w:rFonts w:asciiTheme="majorBidi" w:hAnsiTheme="majorBidi" w:cstheme="majorBidi"/>
        </w:rPr>
        <w:t xml:space="preserve"> Bunyana Sholihin, </w:t>
      </w:r>
      <w:r w:rsidRPr="006E3DF1">
        <w:rPr>
          <w:rFonts w:asciiTheme="majorBidi" w:hAnsiTheme="majorBidi" w:cstheme="majorBidi"/>
          <w:i/>
          <w:iCs/>
        </w:rPr>
        <w:t>Kaidah Hukum Islam</w:t>
      </w:r>
      <w:r w:rsidRPr="006E3DF1">
        <w:rPr>
          <w:rFonts w:asciiTheme="majorBidi" w:hAnsiTheme="majorBidi" w:cstheme="majorBidi"/>
        </w:rPr>
        <w:t>,( Yogyakarta:  Total Media, 2016) h. 96</w:t>
      </w:r>
    </w:p>
  </w:footnote>
  <w:footnote w:id="18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Muhamad Iqbal, </w:t>
      </w:r>
      <w:r w:rsidRPr="004666EA">
        <w:rPr>
          <w:rFonts w:asciiTheme="majorBidi" w:hAnsiTheme="majorBidi" w:cstheme="majorBidi"/>
          <w:i/>
          <w:iCs/>
        </w:rPr>
        <w:t>Fiqh siayasah Kontekstualisasi Doktirin Politik Islam</w:t>
      </w:r>
      <w:r w:rsidRPr="004666EA">
        <w:rPr>
          <w:rFonts w:asciiTheme="majorBidi" w:hAnsiTheme="majorBidi" w:cstheme="majorBidi"/>
        </w:rPr>
        <w:t>, ( Jakarta: Prenadamedia Group, 2014), h. 7</w:t>
      </w:r>
    </w:p>
  </w:footnote>
  <w:footnote w:id="18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532</w:t>
      </w:r>
    </w:p>
  </w:footnote>
  <w:footnote w:id="183">
    <w:p w:rsidR="00343B61" w:rsidRPr="004666EA" w:rsidRDefault="00343B61" w:rsidP="00343B61">
      <w:pPr>
        <w:pStyle w:val="FootnoteText"/>
        <w:ind w:firstLine="720"/>
        <w:jc w:val="lowKashida"/>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268</w:t>
      </w:r>
    </w:p>
  </w:footnote>
  <w:footnote w:id="18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h.103</w:t>
      </w:r>
    </w:p>
  </w:footnote>
  <w:footnote w:id="18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h.789</w:t>
      </w:r>
    </w:p>
  </w:footnote>
  <w:footnote w:id="18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h.128</w:t>
      </w:r>
    </w:p>
  </w:footnote>
  <w:footnote w:id="18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128</w:t>
      </w:r>
    </w:p>
  </w:footnote>
  <w:footnote w:id="188">
    <w:p w:rsidR="00343B61" w:rsidRPr="004666EA" w:rsidRDefault="00343B61" w:rsidP="00343B61">
      <w:pPr>
        <w:pStyle w:val="FootnoteText"/>
        <w:ind w:firstLine="720"/>
        <w:jc w:val="both"/>
        <w:rPr>
          <w:rFonts w:asciiTheme="majorBidi" w:hAnsiTheme="majorBidi" w:cstheme="majorBidi"/>
          <w:rtl/>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846</w:t>
      </w:r>
    </w:p>
  </w:footnote>
  <w:footnote w:id="18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46</w:t>
      </w:r>
    </w:p>
  </w:footnote>
  <w:footnote w:id="19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Depag RI, </w:t>
      </w:r>
      <w:r>
        <w:rPr>
          <w:rFonts w:asciiTheme="majorBidi" w:hAnsiTheme="majorBidi" w:cstheme="majorBidi"/>
          <w:i/>
          <w:iCs/>
        </w:rPr>
        <w:t>Al-Qur’ān</w:t>
      </w:r>
      <w:r w:rsidRPr="004666EA">
        <w:rPr>
          <w:rFonts w:asciiTheme="majorBidi" w:hAnsiTheme="majorBidi" w:cstheme="majorBidi"/>
          <w:i/>
          <w:iCs/>
        </w:rPr>
        <w:t xml:space="preserve"> dan Terjamahannya</w:t>
      </w:r>
      <w:r w:rsidRPr="004666EA">
        <w:rPr>
          <w:rFonts w:asciiTheme="majorBidi" w:hAnsiTheme="majorBidi" w:cstheme="majorBidi"/>
        </w:rPr>
        <w:t>, (Medinah al-Munawwarah: Mujamma’ al-Malik Fahd Li al-Thiba’ah Mush-haf al-Syarif, 1418) h. 271</w:t>
      </w:r>
    </w:p>
  </w:footnote>
  <w:footnote w:id="191">
    <w:p w:rsidR="00343B61" w:rsidRPr="004666EA" w:rsidRDefault="00343B61" w:rsidP="00343B61">
      <w:pPr>
        <w:spacing w:after="0" w:line="240" w:lineRule="auto"/>
        <w:ind w:firstLine="720"/>
        <w:jc w:val="both"/>
        <w:rPr>
          <w:rFonts w:asciiTheme="majorBidi" w:hAnsiTheme="majorBidi" w:cstheme="majorBidi"/>
          <w:sz w:val="20"/>
          <w:szCs w:val="20"/>
          <w:rtl/>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Abu Daud Sulaiman bin al-Asy’ats al-Sijistani, </w:t>
      </w:r>
      <w:r w:rsidRPr="004666EA">
        <w:rPr>
          <w:rFonts w:asciiTheme="majorBidi" w:hAnsiTheme="majorBidi" w:cstheme="majorBidi"/>
          <w:i/>
          <w:iCs/>
          <w:sz w:val="20"/>
          <w:szCs w:val="20"/>
        </w:rPr>
        <w:t>Sunan Ab</w:t>
      </w:r>
      <w:r w:rsidRPr="0056354E">
        <w:rPr>
          <w:rFonts w:asciiTheme="majorBidi" w:hAnsiTheme="majorBidi" w:cstheme="majorBidi"/>
          <w:i/>
          <w:iCs/>
          <w:sz w:val="20"/>
          <w:szCs w:val="20"/>
        </w:rPr>
        <w:t>ū</w:t>
      </w:r>
      <w:r w:rsidRPr="004666EA">
        <w:rPr>
          <w:rFonts w:asciiTheme="majorBidi" w:hAnsiTheme="majorBidi" w:cstheme="majorBidi"/>
          <w:i/>
          <w:iCs/>
          <w:sz w:val="20"/>
          <w:szCs w:val="20"/>
        </w:rPr>
        <w:t xml:space="preserve"> Daud</w:t>
      </w:r>
      <w:r w:rsidRPr="004666EA">
        <w:rPr>
          <w:rFonts w:asciiTheme="majorBidi" w:hAnsiTheme="majorBidi" w:cstheme="majorBidi"/>
          <w:sz w:val="20"/>
          <w:szCs w:val="20"/>
        </w:rPr>
        <w:t>, ( Bairut: Dar al-Kitab al-‘Arabi, t.th), Jilid 2, h, 340</w:t>
      </w:r>
    </w:p>
  </w:footnote>
  <w:footnote w:id="192">
    <w:p w:rsidR="00343B61" w:rsidRPr="000A7A86" w:rsidRDefault="00343B61" w:rsidP="00343B61">
      <w:pPr>
        <w:spacing w:after="0" w:line="240" w:lineRule="auto"/>
        <w:ind w:firstLine="720"/>
        <w:jc w:val="both"/>
        <w:rPr>
          <w:rFonts w:asciiTheme="majorBidi" w:hAnsiTheme="majorBidi" w:cstheme="majorBidi"/>
          <w:sz w:val="20"/>
          <w:szCs w:val="20"/>
          <w:rtl/>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hAnsiTheme="majorBidi" w:cstheme="majorBidi"/>
          <w:color w:val="000000"/>
          <w:sz w:val="20"/>
          <w:szCs w:val="20"/>
        </w:rPr>
        <w:t xml:space="preserve">Lihat. Muhammad ibn Fatuh al-Humaidi, </w:t>
      </w:r>
      <w:r w:rsidRPr="004666EA">
        <w:rPr>
          <w:rFonts w:asciiTheme="majorBidi" w:hAnsiTheme="majorBidi" w:cstheme="majorBidi"/>
          <w:i/>
          <w:iCs/>
          <w:color w:val="000000"/>
          <w:sz w:val="20"/>
          <w:szCs w:val="20"/>
        </w:rPr>
        <w:t>Al-Jam</w:t>
      </w:r>
      <w:r>
        <w:t>‘</w:t>
      </w:r>
      <w:r w:rsidRPr="004666EA">
        <w:rPr>
          <w:rFonts w:asciiTheme="majorBidi" w:hAnsiTheme="majorBidi" w:cstheme="majorBidi"/>
          <w:i/>
          <w:iCs/>
          <w:color w:val="000000"/>
          <w:sz w:val="20"/>
          <w:szCs w:val="20"/>
        </w:rPr>
        <w:t>u Bain al-Shohihain al-Bukh</w:t>
      </w:r>
      <w:r w:rsidRPr="00DC5E7A">
        <w:rPr>
          <w:rFonts w:asciiTheme="majorBidi" w:hAnsiTheme="majorBidi" w:cstheme="majorBidi"/>
          <w:i/>
          <w:iCs/>
          <w:sz w:val="20"/>
          <w:szCs w:val="20"/>
        </w:rPr>
        <w:t>ā</w:t>
      </w:r>
      <w:r w:rsidRPr="004666EA">
        <w:rPr>
          <w:rFonts w:asciiTheme="majorBidi" w:hAnsiTheme="majorBidi" w:cstheme="majorBidi"/>
          <w:i/>
          <w:iCs/>
          <w:color w:val="000000"/>
          <w:sz w:val="20"/>
          <w:szCs w:val="20"/>
        </w:rPr>
        <w:t>ri wa Muslim</w:t>
      </w:r>
      <w:r w:rsidRPr="004666EA">
        <w:rPr>
          <w:rFonts w:asciiTheme="majorBidi" w:hAnsiTheme="majorBidi" w:cstheme="majorBidi"/>
          <w:color w:val="000000"/>
          <w:sz w:val="20"/>
          <w:szCs w:val="20"/>
        </w:rPr>
        <w:t>, ( Bairut: Dar Ibn Hazm, 2002), Cet ke- 2, Jilid II, h. 110</w:t>
      </w:r>
    </w:p>
  </w:footnote>
  <w:footnote w:id="193">
    <w:p w:rsidR="00343B61" w:rsidRPr="00561957" w:rsidRDefault="00343B61" w:rsidP="00343B61">
      <w:pPr>
        <w:pStyle w:val="ListParagraph"/>
        <w:spacing w:after="0" w:line="240" w:lineRule="auto"/>
        <w:ind w:left="0" w:firstLine="720"/>
        <w:jc w:val="both"/>
        <w:rPr>
          <w:rFonts w:asciiTheme="majorBidi" w:hAnsiTheme="majorBidi" w:cstheme="majorBidi"/>
          <w:i/>
          <w:iCs/>
          <w:sz w:val="20"/>
          <w:szCs w:val="20"/>
        </w:rPr>
      </w:pPr>
      <w:r w:rsidRPr="00561957">
        <w:rPr>
          <w:rStyle w:val="FootnoteReference"/>
          <w:rFonts w:asciiTheme="majorBidi" w:hAnsiTheme="majorBidi" w:cstheme="majorBidi"/>
          <w:sz w:val="20"/>
          <w:szCs w:val="20"/>
        </w:rPr>
        <w:footnoteRef/>
      </w:r>
      <w:r w:rsidRPr="00561957">
        <w:rPr>
          <w:rFonts w:asciiTheme="majorBidi" w:hAnsiTheme="majorBidi" w:cstheme="majorBidi"/>
          <w:sz w:val="20"/>
          <w:szCs w:val="20"/>
        </w:rPr>
        <w:t xml:space="preserve"> Lihat. Taqiu al-Din Abu al-‘Abbas Ahamd Ibn Taimiyah</w:t>
      </w:r>
      <w:r w:rsidRPr="00561957">
        <w:rPr>
          <w:rFonts w:asciiTheme="majorBidi" w:hAnsiTheme="majorBidi" w:cstheme="majorBidi"/>
          <w:i/>
          <w:iCs/>
          <w:sz w:val="20"/>
          <w:szCs w:val="20"/>
        </w:rPr>
        <w:t xml:space="preserve">, </w:t>
      </w:r>
      <w:r w:rsidRPr="00972F6C">
        <w:rPr>
          <w:rFonts w:ascii="Times New Roman" w:hAnsi="Times New Roman" w:cs="Times New Roman"/>
          <w:i/>
          <w:iCs/>
          <w:sz w:val="20"/>
          <w:szCs w:val="20"/>
          <w:lang w:val="sv-SE"/>
        </w:rPr>
        <w:t>al-Syar`iyyah f</w:t>
      </w:r>
      <w:r w:rsidRPr="00972F6C">
        <w:rPr>
          <w:rFonts w:asciiTheme="majorBidi" w:hAnsiTheme="majorBidi" w:cstheme="majorBidi"/>
          <w:i/>
          <w:iCs/>
          <w:sz w:val="20"/>
          <w:szCs w:val="20"/>
        </w:rPr>
        <w:t>ī</w:t>
      </w:r>
      <w:r w:rsidRPr="00972F6C">
        <w:rPr>
          <w:rFonts w:ascii="Times New Roman" w:hAnsi="Times New Roman" w:cs="Times New Roman"/>
          <w:i/>
          <w:iCs/>
          <w:sz w:val="20"/>
          <w:szCs w:val="20"/>
          <w:lang w:val="sv-SE"/>
        </w:rPr>
        <w:t xml:space="preserve"> Ishlah al-R</w:t>
      </w:r>
      <w:r w:rsidRPr="00972F6C">
        <w:rPr>
          <w:rFonts w:asciiTheme="majorBidi" w:hAnsiTheme="majorBidi" w:cstheme="majorBidi"/>
          <w:i/>
          <w:iCs/>
          <w:sz w:val="20"/>
          <w:szCs w:val="20"/>
        </w:rPr>
        <w:t>ā</w:t>
      </w:r>
      <w:r w:rsidRPr="00972F6C">
        <w:rPr>
          <w:rFonts w:ascii="Times New Roman" w:hAnsi="Times New Roman" w:cs="Times New Roman"/>
          <w:i/>
          <w:iCs/>
          <w:sz w:val="20"/>
          <w:szCs w:val="20"/>
          <w:lang w:val="sv-SE"/>
        </w:rPr>
        <w:t>`i wa al-Ra`iyyah</w:t>
      </w:r>
      <w:r w:rsidRPr="00561957">
        <w:rPr>
          <w:rFonts w:asciiTheme="majorBidi" w:hAnsiTheme="majorBidi" w:cstheme="majorBidi"/>
          <w:sz w:val="20"/>
          <w:szCs w:val="20"/>
        </w:rPr>
        <w:t>, ( Bairut: Dar al-Afaq al-Jadidah, t.th), h. 9</w:t>
      </w:r>
    </w:p>
  </w:footnote>
  <w:footnote w:id="194">
    <w:p w:rsidR="00343B61" w:rsidRPr="004666EA" w:rsidRDefault="00343B61" w:rsidP="00343B61">
      <w:pPr>
        <w:pStyle w:val="FootnoteText"/>
        <w:ind w:firstLine="720"/>
        <w:jc w:val="both"/>
        <w:rPr>
          <w:rFonts w:asciiTheme="majorBidi" w:hAnsiTheme="majorBidi" w:cstheme="majorBidi"/>
          <w:rtl/>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ibn Ismail Al-Bukh</w:t>
      </w:r>
      <w:r w:rsidRPr="00972F6C">
        <w:rPr>
          <w:rFonts w:asciiTheme="majorBidi" w:hAnsiTheme="majorBidi" w:cstheme="majorBidi"/>
        </w:rPr>
        <w:t>ā</w:t>
      </w:r>
      <w:r w:rsidRPr="004666EA">
        <w:rPr>
          <w:rFonts w:asciiTheme="majorBidi" w:hAnsiTheme="majorBidi" w:cstheme="majorBidi"/>
        </w:rPr>
        <w:t xml:space="preserve">ri, </w:t>
      </w:r>
      <w:r w:rsidRPr="004666EA">
        <w:rPr>
          <w:rFonts w:asciiTheme="majorBidi" w:hAnsiTheme="majorBidi" w:cstheme="majorBidi"/>
          <w:i/>
          <w:iCs/>
        </w:rPr>
        <w:t>Al-J</w:t>
      </w:r>
      <w:r w:rsidRPr="00972F6C">
        <w:rPr>
          <w:rFonts w:asciiTheme="majorBidi" w:hAnsiTheme="majorBidi" w:cstheme="majorBidi"/>
          <w:i/>
          <w:iCs/>
        </w:rPr>
        <w:t>ā</w:t>
      </w:r>
      <w:r w:rsidRPr="004666EA">
        <w:rPr>
          <w:rFonts w:asciiTheme="majorBidi" w:hAnsiTheme="majorBidi" w:cstheme="majorBidi"/>
          <w:i/>
          <w:iCs/>
        </w:rPr>
        <w:t>mi’ Al-Musnad Al-Shoh</w:t>
      </w:r>
      <w:r w:rsidRPr="00B01D99">
        <w:rPr>
          <w:rFonts w:asciiTheme="majorBidi" w:hAnsiTheme="majorBidi" w:cstheme="majorBidi"/>
          <w:i/>
          <w:iCs/>
        </w:rPr>
        <w:t>ī</w:t>
      </w:r>
      <w:r w:rsidRPr="004666EA">
        <w:rPr>
          <w:rFonts w:asciiTheme="majorBidi" w:hAnsiTheme="majorBidi" w:cstheme="majorBidi"/>
          <w:i/>
          <w:iCs/>
        </w:rPr>
        <w:t>h</w:t>
      </w:r>
      <w:r w:rsidRPr="004666EA">
        <w:rPr>
          <w:rFonts w:asciiTheme="majorBidi" w:hAnsiTheme="majorBidi" w:cstheme="majorBidi"/>
        </w:rPr>
        <w:t xml:space="preserve">, ( Bairut: Dar Al-Thuq Al-Najah, cet, I, 1422 ), Jilid I, h. 133. Lihat juga. Muslim Ibn Hajjaj Al-Qusyairi, </w:t>
      </w:r>
      <w:r w:rsidRPr="00972F6C">
        <w:rPr>
          <w:rFonts w:asciiTheme="majorBidi" w:hAnsiTheme="majorBidi" w:cstheme="majorBidi"/>
          <w:i/>
          <w:iCs/>
        </w:rPr>
        <w:t>Al-Jami’ Al- Shohīh Al-Musammā Bi Shohīh Muslim</w:t>
      </w:r>
      <w:r w:rsidRPr="004666EA">
        <w:rPr>
          <w:rFonts w:asciiTheme="majorBidi" w:hAnsiTheme="majorBidi" w:cstheme="majorBidi"/>
          <w:i/>
          <w:iCs/>
        </w:rPr>
        <w:t>,</w:t>
      </w:r>
      <w:r w:rsidRPr="004666EA">
        <w:rPr>
          <w:rFonts w:asciiTheme="majorBidi" w:hAnsiTheme="majorBidi" w:cstheme="majorBidi"/>
        </w:rPr>
        <w:t>( Bairut: Dar al-Jail, t.th), Jilid III, h. 93</w:t>
      </w:r>
    </w:p>
  </w:footnote>
  <w:footnote w:id="195">
    <w:p w:rsidR="00343B61" w:rsidRPr="00972F6C" w:rsidRDefault="00343B61" w:rsidP="00343B61">
      <w:pPr>
        <w:pStyle w:val="FootnoteText"/>
        <w:ind w:firstLine="720"/>
        <w:jc w:val="both"/>
        <w:rPr>
          <w:rFonts w:asciiTheme="majorBidi" w:hAnsiTheme="majorBidi" w:cstheme="majorBidi"/>
          <w:rtl/>
        </w:rPr>
      </w:pPr>
      <w:r w:rsidRPr="00972F6C">
        <w:rPr>
          <w:rStyle w:val="FootnoteReference"/>
          <w:rFonts w:asciiTheme="majorBidi" w:hAnsiTheme="majorBidi" w:cstheme="majorBidi"/>
        </w:rPr>
        <w:footnoteRef/>
      </w:r>
      <w:r w:rsidRPr="00972F6C">
        <w:rPr>
          <w:rFonts w:asciiTheme="majorBidi" w:hAnsiTheme="majorBidi" w:cstheme="majorBidi"/>
        </w:rPr>
        <w:t xml:space="preserve"> Lihat. Muhammad ibn Ismail Al-Bukhāri</w:t>
      </w:r>
      <w:r w:rsidRPr="00972F6C">
        <w:rPr>
          <w:rFonts w:asciiTheme="majorBidi" w:hAnsiTheme="majorBidi" w:cstheme="majorBidi"/>
          <w:i/>
          <w:iCs/>
        </w:rPr>
        <w:t>, Al-Jāmi</w:t>
      </w:r>
      <w:r w:rsidRPr="00972F6C">
        <w:t>‘</w:t>
      </w:r>
      <w:r w:rsidRPr="00972F6C">
        <w:rPr>
          <w:rFonts w:asciiTheme="majorBidi" w:hAnsiTheme="majorBidi" w:cstheme="majorBidi"/>
          <w:i/>
          <w:iCs/>
        </w:rPr>
        <w:t>Al-Musnad Al-Shohīh</w:t>
      </w:r>
      <w:r w:rsidRPr="00972F6C">
        <w:rPr>
          <w:rFonts w:asciiTheme="majorBidi" w:hAnsiTheme="majorBidi" w:cstheme="majorBidi"/>
        </w:rPr>
        <w:t xml:space="preserve">, ( Bairut: Dar Al-Thuq Al-Najah, cet, I, 1422 ), Jilid VIII, h. 127. Lihat juga. Muslim Ibn Hajjaj Al-Qusyairi, </w:t>
      </w:r>
      <w:r w:rsidRPr="00972F6C">
        <w:rPr>
          <w:rFonts w:asciiTheme="majorBidi" w:hAnsiTheme="majorBidi" w:cstheme="majorBidi"/>
          <w:i/>
          <w:iCs/>
        </w:rPr>
        <w:t>Al-Jami’ Al- Shohīh Al-Musammā Bi Shohīh Muslim,</w:t>
      </w:r>
      <w:r w:rsidRPr="00972F6C">
        <w:rPr>
          <w:rFonts w:asciiTheme="majorBidi" w:hAnsiTheme="majorBidi" w:cstheme="majorBidi"/>
        </w:rPr>
        <w:t>( Bairut: Dar al-Jail, t.th), Jilid V, h. 86</w:t>
      </w:r>
    </w:p>
  </w:footnote>
  <w:footnote w:id="196">
    <w:p w:rsidR="00343B61" w:rsidRPr="004666EA" w:rsidRDefault="00343B61" w:rsidP="00343B61">
      <w:pPr>
        <w:pStyle w:val="FootnoteText"/>
        <w:ind w:firstLine="720"/>
        <w:jc w:val="both"/>
        <w:rPr>
          <w:rFonts w:asciiTheme="majorBidi" w:hAnsiTheme="majorBidi" w:cstheme="majorBidi"/>
          <w:rtl/>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juga. Muslim Ibn Hajjaj Al-Qusyairi, </w:t>
      </w:r>
      <w:r w:rsidRPr="00972F6C">
        <w:rPr>
          <w:rFonts w:asciiTheme="majorBidi" w:hAnsiTheme="majorBidi" w:cstheme="majorBidi"/>
          <w:i/>
          <w:iCs/>
        </w:rPr>
        <w:t>Al-Jami’ Al- Shohīh Al-Musammā Bi Shohīh Muslim</w:t>
      </w:r>
      <w:r w:rsidRPr="004666EA">
        <w:rPr>
          <w:rFonts w:asciiTheme="majorBidi" w:hAnsiTheme="majorBidi" w:cstheme="majorBidi"/>
          <w:i/>
          <w:iCs/>
        </w:rPr>
        <w:t>,</w:t>
      </w:r>
      <w:r w:rsidRPr="004666EA">
        <w:rPr>
          <w:rFonts w:asciiTheme="majorBidi" w:hAnsiTheme="majorBidi" w:cstheme="majorBidi"/>
        </w:rPr>
        <w:t>( Bairut: Dar al-Jail, t.th), Jilid VI, h. 6</w:t>
      </w:r>
    </w:p>
  </w:footnote>
  <w:footnote w:id="197">
    <w:p w:rsidR="00343B61" w:rsidRPr="004666EA" w:rsidRDefault="00343B61" w:rsidP="00343B61">
      <w:pPr>
        <w:spacing w:after="0" w:line="240" w:lineRule="auto"/>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eastAsiaTheme="minorHAnsi" w:hAnsiTheme="majorBidi" w:cstheme="majorBidi"/>
          <w:color w:val="000000"/>
          <w:sz w:val="20"/>
          <w:szCs w:val="20"/>
        </w:rPr>
        <w:t xml:space="preserve">Lihat. Zakariya Ibn Ghulam Qadir al-Bakistani, </w:t>
      </w:r>
      <w:r w:rsidRPr="004666EA">
        <w:rPr>
          <w:rFonts w:asciiTheme="majorBidi" w:eastAsiaTheme="minorHAnsi" w:hAnsiTheme="majorBidi" w:cstheme="majorBidi"/>
          <w:i/>
          <w:iCs/>
          <w:color w:val="000000"/>
          <w:sz w:val="20"/>
          <w:szCs w:val="20"/>
        </w:rPr>
        <w:t>Ush</w:t>
      </w:r>
      <w:r w:rsidRPr="00A447A5">
        <w:rPr>
          <w:rFonts w:asciiTheme="majorBidi" w:hAnsiTheme="majorBidi" w:cstheme="majorBidi"/>
          <w:i/>
          <w:iCs/>
          <w:sz w:val="20"/>
          <w:szCs w:val="20"/>
        </w:rPr>
        <w:t>ū</w:t>
      </w:r>
      <w:r w:rsidRPr="004666EA">
        <w:rPr>
          <w:rFonts w:asciiTheme="majorBidi" w:eastAsiaTheme="minorHAnsi" w:hAnsiTheme="majorBidi" w:cstheme="majorBidi"/>
          <w:i/>
          <w:iCs/>
          <w:color w:val="000000"/>
          <w:sz w:val="20"/>
          <w:szCs w:val="20"/>
        </w:rPr>
        <w:t>l al-Fiqh ‘Ala Manhaj Ahl al-Had</w:t>
      </w:r>
      <w:r w:rsidRPr="00D12D05">
        <w:rPr>
          <w:rFonts w:asciiTheme="majorBidi" w:hAnsiTheme="majorBidi" w:cstheme="majorBidi"/>
          <w:i/>
          <w:iCs/>
          <w:sz w:val="20"/>
          <w:szCs w:val="20"/>
        </w:rPr>
        <w:t>ī</w:t>
      </w:r>
      <w:r w:rsidRPr="004666EA">
        <w:rPr>
          <w:rFonts w:asciiTheme="majorBidi" w:eastAsiaTheme="minorHAnsi" w:hAnsiTheme="majorBidi" w:cstheme="majorBidi"/>
          <w:i/>
          <w:iCs/>
          <w:color w:val="000000"/>
          <w:sz w:val="20"/>
          <w:szCs w:val="20"/>
        </w:rPr>
        <w:t>s</w:t>
      </w:r>
      <w:r w:rsidRPr="004666EA">
        <w:rPr>
          <w:rFonts w:asciiTheme="majorBidi" w:eastAsiaTheme="minorHAnsi" w:hAnsiTheme="majorBidi" w:cstheme="majorBidi"/>
          <w:color w:val="000000"/>
          <w:sz w:val="20"/>
          <w:szCs w:val="20"/>
        </w:rPr>
        <w:t xml:space="preserve">, ( Jeddah: Dar al-Kharraz,2002), h. 48. Lihat Juga. Shalih Ibn Muhammad Ibn Hasan al-Asmary, </w:t>
      </w:r>
      <w:r w:rsidRPr="004666EA">
        <w:rPr>
          <w:rFonts w:asciiTheme="majorBidi" w:eastAsiaTheme="minorHAnsi" w:hAnsiTheme="majorBidi" w:cstheme="majorBidi"/>
          <w:i/>
          <w:iCs/>
          <w:color w:val="000000"/>
          <w:sz w:val="20"/>
          <w:szCs w:val="20"/>
        </w:rPr>
        <w:t xml:space="preserve">Majmu’ah al-Fawaid al-Bahiyah ‘ala Manzhumah </w:t>
      </w:r>
      <w:r>
        <w:rPr>
          <w:rFonts w:asciiTheme="majorBidi" w:eastAsiaTheme="minorHAnsi" w:hAnsiTheme="majorBidi" w:cstheme="majorBidi"/>
          <w:i/>
          <w:iCs/>
          <w:color w:val="000000"/>
          <w:sz w:val="20"/>
          <w:szCs w:val="20"/>
        </w:rPr>
        <w:t xml:space="preserve">Al-Qawā‘id </w:t>
      </w:r>
      <w:r w:rsidRPr="004666EA">
        <w:rPr>
          <w:rFonts w:asciiTheme="majorBidi" w:eastAsiaTheme="minorHAnsi" w:hAnsiTheme="majorBidi" w:cstheme="majorBidi"/>
          <w:i/>
          <w:iCs/>
          <w:color w:val="000000"/>
          <w:sz w:val="20"/>
          <w:szCs w:val="20"/>
        </w:rPr>
        <w:t xml:space="preserve"> al-Bahiyah</w:t>
      </w:r>
      <w:r w:rsidRPr="004666EA">
        <w:rPr>
          <w:rFonts w:asciiTheme="majorBidi" w:eastAsiaTheme="minorHAnsi" w:hAnsiTheme="majorBidi" w:cstheme="majorBidi"/>
          <w:color w:val="000000"/>
          <w:sz w:val="20"/>
          <w:szCs w:val="20"/>
        </w:rPr>
        <w:t>, ( t.t: Dar al-Shumai’I, 2000), 112</w:t>
      </w:r>
    </w:p>
  </w:footnote>
  <w:footnote w:id="198">
    <w:p w:rsidR="00343B61" w:rsidRPr="004666EA" w:rsidRDefault="00343B61" w:rsidP="00343B61">
      <w:pPr>
        <w:spacing w:after="0" w:line="240" w:lineRule="auto"/>
        <w:ind w:firstLine="720"/>
        <w:jc w:val="both"/>
        <w:rPr>
          <w:rFonts w:asciiTheme="majorBidi" w:eastAsiaTheme="minorHAnsi" w:hAnsiTheme="majorBidi" w:cstheme="majorBidi"/>
          <w:color w:val="000000"/>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eastAsiaTheme="minorHAnsi" w:hAnsiTheme="majorBidi" w:cstheme="majorBidi"/>
          <w:color w:val="000000"/>
          <w:sz w:val="20"/>
          <w:szCs w:val="20"/>
        </w:rPr>
        <w:t xml:space="preserve">Lihat. Zain al-‘Abidin Ibn Ibrahim Ibn Nujaim, </w:t>
      </w:r>
      <w:r w:rsidRPr="004666EA">
        <w:rPr>
          <w:rFonts w:asciiTheme="majorBidi" w:eastAsiaTheme="minorHAnsi" w:hAnsiTheme="majorBidi" w:cstheme="majorBidi"/>
          <w:i/>
          <w:iCs/>
          <w:color w:val="000000"/>
          <w:sz w:val="20"/>
          <w:szCs w:val="20"/>
        </w:rPr>
        <w:t>al-Asyab</w:t>
      </w:r>
      <w:r w:rsidRPr="00D54068">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h wa al-Nazh</w:t>
      </w:r>
      <w:r w:rsidRPr="00D54068">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’ir</w:t>
      </w:r>
      <w:r w:rsidRPr="004666EA">
        <w:rPr>
          <w:rFonts w:asciiTheme="majorBidi" w:eastAsiaTheme="minorHAnsi" w:hAnsiTheme="majorBidi" w:cstheme="majorBidi"/>
          <w:color w:val="000000"/>
          <w:sz w:val="20"/>
          <w:szCs w:val="20"/>
        </w:rPr>
        <w:t xml:space="preserve">, ( Bairut: Dar al-Kutub al-‘Ilmiyah, 1980 ), h. 123. Lihat juga. Abd al-Rahman Bin Abi Bakar al-Suyuthi, </w:t>
      </w:r>
      <w:r w:rsidRPr="004666EA">
        <w:rPr>
          <w:rFonts w:asciiTheme="majorBidi" w:eastAsiaTheme="minorHAnsi" w:hAnsiTheme="majorBidi" w:cstheme="majorBidi"/>
          <w:i/>
          <w:iCs/>
          <w:color w:val="000000"/>
          <w:sz w:val="20"/>
          <w:szCs w:val="20"/>
        </w:rPr>
        <w:t>al-Asyab</w:t>
      </w:r>
      <w:r w:rsidRPr="00D54068">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h wa al-Nazh</w:t>
      </w:r>
      <w:r w:rsidRPr="00D54068">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 xml:space="preserve">’ir, </w:t>
      </w:r>
      <w:r w:rsidRPr="004666EA">
        <w:rPr>
          <w:rFonts w:asciiTheme="majorBidi" w:eastAsiaTheme="minorHAnsi" w:hAnsiTheme="majorBidi" w:cstheme="majorBidi"/>
          <w:color w:val="000000"/>
          <w:sz w:val="20"/>
          <w:szCs w:val="20"/>
        </w:rPr>
        <w:t>( Bairut: Dar al-Kutub al-‘Ilmiyah, 1403 ), h. 121</w:t>
      </w:r>
    </w:p>
  </w:footnote>
  <w:footnote w:id="199">
    <w:p w:rsidR="00343B61" w:rsidRPr="004666EA"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eastAsiaTheme="minorHAnsi" w:hAnsiTheme="majorBidi" w:cstheme="majorBidi"/>
          <w:color w:val="000000"/>
          <w:sz w:val="20"/>
          <w:szCs w:val="20"/>
        </w:rPr>
        <w:t xml:space="preserve">Lihat. Lihat. Mahmud Abd al-Hadi Fa’ur, </w:t>
      </w:r>
      <w:r w:rsidRPr="004666EA">
        <w:rPr>
          <w:rFonts w:asciiTheme="majorBidi" w:eastAsiaTheme="minorHAnsi" w:hAnsiTheme="majorBidi" w:cstheme="majorBidi"/>
          <w:i/>
          <w:iCs/>
          <w:color w:val="000000"/>
          <w:sz w:val="20"/>
          <w:szCs w:val="20"/>
        </w:rPr>
        <w:t>al-</w:t>
      </w:r>
      <w:r w:rsidRPr="00455983">
        <w:rPr>
          <w:rFonts w:asciiTheme="majorBidi" w:hAnsiTheme="majorBidi" w:cstheme="majorBidi"/>
          <w:i/>
          <w:iCs/>
          <w:sz w:val="20"/>
          <w:szCs w:val="20"/>
        </w:rPr>
        <w:t>Maqāṣid</w:t>
      </w:r>
      <w:r w:rsidRPr="004666EA">
        <w:rPr>
          <w:rFonts w:asciiTheme="majorBidi" w:eastAsiaTheme="minorHAnsi" w:hAnsiTheme="majorBidi" w:cstheme="majorBidi"/>
          <w:i/>
          <w:iCs/>
          <w:color w:val="000000"/>
          <w:sz w:val="20"/>
          <w:szCs w:val="20"/>
        </w:rPr>
        <w:t xml:space="preserve"> ‘Ind al-Im</w:t>
      </w:r>
      <w:r w:rsidRPr="00455983">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m al-Sy</w:t>
      </w:r>
      <w:r w:rsidRPr="00455983">
        <w:rPr>
          <w:rFonts w:asciiTheme="majorBidi" w:hAnsiTheme="majorBidi" w:cstheme="majorBidi"/>
          <w:i/>
          <w:iCs/>
          <w:sz w:val="20"/>
          <w:szCs w:val="20"/>
        </w:rPr>
        <w:t>ā</w:t>
      </w:r>
      <w:r w:rsidRPr="004666EA">
        <w:rPr>
          <w:rFonts w:asciiTheme="majorBidi" w:eastAsiaTheme="minorHAnsi" w:hAnsiTheme="majorBidi" w:cstheme="majorBidi"/>
          <w:i/>
          <w:iCs/>
          <w:color w:val="000000"/>
          <w:sz w:val="20"/>
          <w:szCs w:val="20"/>
        </w:rPr>
        <w:t>thib</w:t>
      </w:r>
      <w:r w:rsidRPr="00D12D05">
        <w:rPr>
          <w:rFonts w:asciiTheme="majorBidi" w:hAnsiTheme="majorBidi" w:cstheme="majorBidi"/>
          <w:i/>
          <w:iCs/>
          <w:sz w:val="20"/>
          <w:szCs w:val="20"/>
        </w:rPr>
        <w:t>ī</w:t>
      </w:r>
      <w:r w:rsidRPr="004666EA">
        <w:rPr>
          <w:rFonts w:asciiTheme="majorBidi" w:eastAsiaTheme="minorHAnsi" w:hAnsiTheme="majorBidi" w:cstheme="majorBidi"/>
          <w:i/>
          <w:iCs/>
          <w:color w:val="000000"/>
          <w:sz w:val="20"/>
          <w:szCs w:val="20"/>
        </w:rPr>
        <w:t>, Dir</w:t>
      </w:r>
      <w:r w:rsidRPr="00455983">
        <w:rPr>
          <w:rFonts w:asciiTheme="majorBidi" w:hAnsiTheme="majorBidi" w:cstheme="majorBidi"/>
          <w:i/>
          <w:iCs/>
          <w:sz w:val="20"/>
          <w:szCs w:val="20"/>
        </w:rPr>
        <w:t>ā</w:t>
      </w:r>
      <w:r>
        <w:rPr>
          <w:rFonts w:asciiTheme="majorBidi" w:hAnsiTheme="majorBidi" w:cstheme="majorBidi"/>
          <w:i/>
          <w:iCs/>
          <w:color w:val="000000"/>
          <w:sz w:val="20"/>
          <w:szCs w:val="20"/>
        </w:rPr>
        <w:t>sah Ushulyah F</w:t>
      </w:r>
      <w:r w:rsidRPr="004666EA">
        <w:rPr>
          <w:rFonts w:asciiTheme="majorBidi" w:eastAsiaTheme="minorHAnsi" w:hAnsiTheme="majorBidi" w:cstheme="majorBidi"/>
          <w:i/>
          <w:iCs/>
          <w:color w:val="000000"/>
          <w:sz w:val="20"/>
          <w:szCs w:val="20"/>
        </w:rPr>
        <w:t>iqhiyah</w:t>
      </w:r>
      <w:r w:rsidRPr="004666EA">
        <w:rPr>
          <w:rFonts w:asciiTheme="majorBidi" w:eastAsiaTheme="minorHAnsi" w:hAnsiTheme="majorBidi" w:cstheme="majorBidi"/>
          <w:color w:val="000000"/>
          <w:sz w:val="20"/>
          <w:szCs w:val="20"/>
        </w:rPr>
        <w:t>, ( Libanon: Tho’ba’ah  shaida, 2006), h. 340</w:t>
      </w:r>
    </w:p>
  </w:footnote>
  <w:footnote w:id="200">
    <w:p w:rsidR="00343B61" w:rsidRPr="004666EA" w:rsidRDefault="00343B61" w:rsidP="00343B61">
      <w:pPr>
        <w:spacing w:after="0"/>
        <w:ind w:firstLine="720"/>
        <w:jc w:val="both"/>
        <w:rPr>
          <w:rFonts w:asciiTheme="majorBidi" w:eastAsia="Adobe Song Std L"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Untuk mengetahui lebih luas p</w:t>
      </w:r>
      <w:r>
        <w:rPr>
          <w:rFonts w:asciiTheme="majorBidi" w:hAnsiTheme="majorBidi" w:cstheme="majorBidi"/>
          <w:sz w:val="20"/>
          <w:szCs w:val="20"/>
        </w:rPr>
        <w:t>e</w:t>
      </w:r>
      <w:r w:rsidRPr="004666EA">
        <w:rPr>
          <w:rFonts w:asciiTheme="majorBidi" w:hAnsiTheme="majorBidi" w:cstheme="majorBidi"/>
          <w:sz w:val="20"/>
          <w:szCs w:val="20"/>
        </w:rPr>
        <w:t xml:space="preserve">ristiwa Tsaqifah bani Sa’idah lihat. </w:t>
      </w:r>
      <w:r w:rsidRPr="004666EA">
        <w:rPr>
          <w:rFonts w:asciiTheme="majorBidi" w:eastAsia="Adobe Song Std L" w:hAnsiTheme="majorBidi" w:cstheme="majorBidi"/>
          <w:color w:val="000000"/>
          <w:sz w:val="20"/>
          <w:szCs w:val="20"/>
        </w:rPr>
        <w:t xml:space="preserve">Abd al-Malik bin Hisyam bin Ayyub al-Himyari, </w:t>
      </w:r>
      <w:r w:rsidRPr="004666EA">
        <w:rPr>
          <w:rFonts w:asciiTheme="majorBidi" w:eastAsia="Adobe Song Std L" w:hAnsiTheme="majorBidi" w:cstheme="majorBidi"/>
          <w:i/>
          <w:iCs/>
          <w:color w:val="000000"/>
          <w:sz w:val="20"/>
          <w:szCs w:val="20"/>
        </w:rPr>
        <w:t>al-Sirah al-Nabwiyah</w:t>
      </w:r>
      <w:r w:rsidRPr="004666EA">
        <w:rPr>
          <w:rFonts w:asciiTheme="majorBidi" w:eastAsia="Adobe Song Std L" w:hAnsiTheme="majorBidi" w:cstheme="majorBidi"/>
          <w:color w:val="000000"/>
          <w:sz w:val="20"/>
          <w:szCs w:val="20"/>
        </w:rPr>
        <w:t>, ( Bairut: Dar al-Jail, 1411 H), Juz vi, h. 77</w:t>
      </w:r>
    </w:p>
  </w:footnote>
  <w:footnote w:id="20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Philip K. hitti, </w:t>
      </w:r>
      <w:r w:rsidRPr="004666EA">
        <w:rPr>
          <w:rFonts w:asciiTheme="majorBidi" w:hAnsiTheme="majorBidi" w:cstheme="majorBidi"/>
          <w:i/>
          <w:iCs/>
        </w:rPr>
        <w:t>History Of The Arabs</w:t>
      </w:r>
      <w:r>
        <w:rPr>
          <w:rFonts w:asciiTheme="majorBidi" w:hAnsiTheme="majorBidi" w:cstheme="majorBidi"/>
        </w:rPr>
        <w:t>, terj R. Cecep Lukman Yasin dan Dedi Slamat Riyadi,( Jakarta: Serambi</w:t>
      </w:r>
      <w:r w:rsidRPr="004666EA">
        <w:rPr>
          <w:rFonts w:asciiTheme="majorBidi" w:hAnsiTheme="majorBidi" w:cstheme="majorBidi"/>
        </w:rPr>
        <w:t xml:space="preserve"> Ilmu Semesta, 2002), h. 222-223</w:t>
      </w:r>
    </w:p>
  </w:footnote>
  <w:footnote w:id="20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21</w:t>
      </w:r>
    </w:p>
  </w:footnote>
  <w:footnote w:id="20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H.A.R Gibb dan J. H. Krames, membagi fase pemerintahan Ustman Ibn Affan menjadi dua periode: enam tahun pertama merupakan pemerintahan yang bersih dari pengangkatan kerabat sebagai pejabat Negara ( bebas KKN); sedang enam tahun terakhir yang merupakan periode pemerintahan yang tidak bersih dari pengangkatan kerabat sebagai pejabat Negara. ( lihat. H.A.R Gibb dan J. H. Krames, </w:t>
      </w:r>
      <w:r w:rsidRPr="004666EA">
        <w:rPr>
          <w:rFonts w:asciiTheme="majorBidi" w:hAnsiTheme="majorBidi" w:cstheme="majorBidi"/>
          <w:i/>
          <w:iCs/>
        </w:rPr>
        <w:t>Shorter Encyclopedia of Islam</w:t>
      </w:r>
      <w:r w:rsidRPr="004666EA">
        <w:rPr>
          <w:rFonts w:asciiTheme="majorBidi" w:hAnsiTheme="majorBidi" w:cstheme="majorBidi"/>
        </w:rPr>
        <w:t>, ( Leiden: E.J.Brill, 1961), h. 616</w:t>
      </w:r>
    </w:p>
  </w:footnote>
  <w:footnote w:id="20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Jaih Mubarok, </w:t>
      </w:r>
      <w:r w:rsidRPr="004666EA">
        <w:rPr>
          <w:rFonts w:asciiTheme="majorBidi" w:hAnsiTheme="majorBidi" w:cstheme="majorBidi"/>
          <w:i/>
          <w:iCs/>
        </w:rPr>
        <w:t>Sejarah Peradaban Islam</w:t>
      </w:r>
      <w:r w:rsidRPr="004666EA">
        <w:rPr>
          <w:rFonts w:asciiTheme="majorBidi" w:hAnsiTheme="majorBidi" w:cstheme="majorBidi"/>
        </w:rPr>
        <w:t>, ( Bandung: Pustaka Islamika, 2008), h. 107</w:t>
      </w:r>
    </w:p>
  </w:footnote>
  <w:footnote w:id="20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Abu al- ‘Ala al-Maududi, </w:t>
      </w:r>
      <w:r w:rsidRPr="004666EA">
        <w:rPr>
          <w:rFonts w:asciiTheme="majorBidi" w:hAnsiTheme="majorBidi" w:cstheme="majorBidi"/>
          <w:i/>
          <w:iCs/>
        </w:rPr>
        <w:t>Khilafah dan Kejaraan</w:t>
      </w:r>
      <w:r w:rsidRPr="004666EA">
        <w:rPr>
          <w:rFonts w:asciiTheme="majorBidi" w:hAnsiTheme="majorBidi" w:cstheme="majorBidi"/>
        </w:rPr>
        <w:t>, ( Bandung: Mizan, 1990), h. 138</w:t>
      </w:r>
    </w:p>
  </w:footnote>
  <w:footnote w:id="20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Jalal al-Din al-Suyuthi, </w:t>
      </w:r>
      <w:r w:rsidRPr="004666EA">
        <w:rPr>
          <w:rFonts w:asciiTheme="majorBidi" w:hAnsiTheme="majorBidi" w:cstheme="majorBidi"/>
          <w:i/>
          <w:iCs/>
        </w:rPr>
        <w:t>Tar</w:t>
      </w:r>
      <w:r w:rsidRPr="00D12D05">
        <w:rPr>
          <w:rFonts w:asciiTheme="majorBidi" w:hAnsiTheme="majorBidi" w:cstheme="majorBidi"/>
          <w:i/>
          <w:iCs/>
        </w:rPr>
        <w:t>ī</w:t>
      </w:r>
      <w:r w:rsidRPr="004666EA">
        <w:rPr>
          <w:rFonts w:asciiTheme="majorBidi" w:hAnsiTheme="majorBidi" w:cstheme="majorBidi"/>
          <w:i/>
          <w:iCs/>
        </w:rPr>
        <w:t>kh al-Khulaf</w:t>
      </w:r>
      <w:r w:rsidRPr="00D54068">
        <w:rPr>
          <w:rFonts w:asciiTheme="majorBidi" w:hAnsiTheme="majorBidi" w:cstheme="majorBidi"/>
          <w:i/>
          <w:iCs/>
        </w:rPr>
        <w:t>ā</w:t>
      </w:r>
      <w:r w:rsidRPr="004666EA">
        <w:rPr>
          <w:rFonts w:asciiTheme="majorBidi" w:hAnsiTheme="majorBidi" w:cstheme="majorBidi"/>
        </w:rPr>
        <w:t xml:space="preserve">, ( Bairut: </w:t>
      </w:r>
      <w:r>
        <w:rPr>
          <w:rFonts w:asciiTheme="majorBidi" w:hAnsiTheme="majorBidi" w:cstheme="majorBidi"/>
        </w:rPr>
        <w:t>Dār al-Fikr</w:t>
      </w:r>
      <w:r w:rsidRPr="004666EA">
        <w:rPr>
          <w:rFonts w:asciiTheme="majorBidi" w:hAnsiTheme="majorBidi" w:cstheme="majorBidi"/>
        </w:rPr>
        <w:t>, t.th), h. 144</w:t>
      </w:r>
    </w:p>
  </w:footnote>
  <w:footnote w:id="20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Abu al- ‘Ala al-Maududi, </w:t>
      </w:r>
      <w:r w:rsidRPr="004666EA">
        <w:rPr>
          <w:rFonts w:asciiTheme="majorBidi" w:hAnsiTheme="majorBidi" w:cstheme="majorBidi"/>
          <w:i/>
          <w:iCs/>
        </w:rPr>
        <w:t>Khilafah dan Kejaraan</w:t>
      </w:r>
      <w:r w:rsidRPr="004666EA">
        <w:rPr>
          <w:rFonts w:asciiTheme="majorBidi" w:hAnsiTheme="majorBidi" w:cstheme="majorBidi"/>
        </w:rPr>
        <w:t>, ( Bandung: Mizan, 1990), h. 206</w:t>
      </w:r>
    </w:p>
  </w:footnote>
  <w:footnote w:id="20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Jalal al-Din al-Suyuthi, </w:t>
      </w:r>
      <w:r w:rsidRPr="004666EA">
        <w:rPr>
          <w:rFonts w:asciiTheme="majorBidi" w:hAnsiTheme="majorBidi" w:cstheme="majorBidi"/>
          <w:i/>
          <w:iCs/>
        </w:rPr>
        <w:t>Tar</w:t>
      </w:r>
      <w:r w:rsidRPr="00D12D05">
        <w:rPr>
          <w:rFonts w:asciiTheme="majorBidi" w:hAnsiTheme="majorBidi" w:cstheme="majorBidi"/>
          <w:i/>
          <w:iCs/>
        </w:rPr>
        <w:t>ī</w:t>
      </w:r>
      <w:r w:rsidRPr="004666EA">
        <w:rPr>
          <w:rFonts w:asciiTheme="majorBidi" w:hAnsiTheme="majorBidi" w:cstheme="majorBidi"/>
          <w:i/>
          <w:iCs/>
        </w:rPr>
        <w:t>kh al-Khulaf</w:t>
      </w:r>
      <w:r w:rsidRPr="00D54068">
        <w:rPr>
          <w:rFonts w:asciiTheme="majorBidi" w:hAnsiTheme="majorBidi" w:cstheme="majorBidi"/>
          <w:i/>
          <w:iCs/>
        </w:rPr>
        <w:t>ā</w:t>
      </w:r>
      <w:r w:rsidRPr="004666EA">
        <w:rPr>
          <w:rFonts w:asciiTheme="majorBidi" w:hAnsiTheme="majorBidi" w:cstheme="majorBidi"/>
        </w:rPr>
        <w:t xml:space="preserve">, ( Bairut: </w:t>
      </w:r>
      <w:r>
        <w:rPr>
          <w:rFonts w:asciiTheme="majorBidi" w:hAnsiTheme="majorBidi" w:cstheme="majorBidi"/>
        </w:rPr>
        <w:t>Dār al-Fikr</w:t>
      </w:r>
      <w:r w:rsidRPr="004666EA">
        <w:rPr>
          <w:rFonts w:asciiTheme="majorBidi" w:hAnsiTheme="majorBidi" w:cstheme="majorBidi"/>
        </w:rPr>
        <w:t>, t.th), h. 163</w:t>
      </w:r>
    </w:p>
  </w:footnote>
  <w:footnote w:id="20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Jaih Mubarok, </w:t>
      </w:r>
      <w:r w:rsidRPr="004666EA">
        <w:rPr>
          <w:rFonts w:asciiTheme="majorBidi" w:hAnsiTheme="majorBidi" w:cstheme="majorBidi"/>
          <w:i/>
          <w:iCs/>
        </w:rPr>
        <w:t>Sejarah Peradaban Islam</w:t>
      </w:r>
      <w:r w:rsidRPr="004666EA">
        <w:rPr>
          <w:rFonts w:asciiTheme="majorBidi" w:hAnsiTheme="majorBidi" w:cstheme="majorBidi"/>
        </w:rPr>
        <w:t>, ( Bandung: Pustaka Islamika, 2008), h. 112</w:t>
      </w:r>
    </w:p>
  </w:footnote>
  <w:footnote w:id="21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Hasan Ibrahim Hasan, </w:t>
      </w:r>
      <w:r w:rsidRPr="00EC086C">
        <w:rPr>
          <w:rFonts w:asciiTheme="majorBidi" w:hAnsiTheme="majorBidi" w:cstheme="majorBidi"/>
          <w:i/>
          <w:iCs/>
        </w:rPr>
        <w:t>Sejarah dan Kebudayaan Islam</w:t>
      </w:r>
      <w:r w:rsidRPr="004666EA">
        <w:rPr>
          <w:rFonts w:asciiTheme="majorBidi" w:hAnsiTheme="majorBidi" w:cstheme="majorBidi"/>
        </w:rPr>
        <w:t>, ( Yogyakarta: Kota Kembang, 1989), h. 63</w:t>
      </w:r>
    </w:p>
  </w:footnote>
  <w:footnote w:id="21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Syarfif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28</w:t>
      </w:r>
    </w:p>
  </w:footnote>
  <w:footnote w:id="21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Harun Nasution, </w:t>
      </w:r>
      <w:r w:rsidRPr="004666EA">
        <w:rPr>
          <w:rFonts w:asciiTheme="majorBidi" w:hAnsiTheme="majorBidi" w:cstheme="majorBidi"/>
          <w:i/>
          <w:iCs/>
        </w:rPr>
        <w:t>Islam Ditinjau dari Berbagai Aspeknya</w:t>
      </w:r>
      <w:r w:rsidRPr="004666EA">
        <w:rPr>
          <w:rFonts w:asciiTheme="majorBidi" w:hAnsiTheme="majorBidi" w:cstheme="majorBidi"/>
        </w:rPr>
        <w:t xml:space="preserve"> ( Jakarta: UI Pres, 2005) h. 50-51</w:t>
      </w:r>
    </w:p>
  </w:footnote>
  <w:footnote w:id="21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Syarfif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29</w:t>
      </w:r>
    </w:p>
  </w:footnote>
  <w:footnote w:id="21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23.</w:t>
      </w:r>
    </w:p>
  </w:footnote>
  <w:footnote w:id="215">
    <w:p w:rsidR="00343B61" w:rsidRPr="004666EA" w:rsidRDefault="00343B61" w:rsidP="00343B61">
      <w:pPr>
        <w:pStyle w:val="FootnoteText"/>
        <w:ind w:firstLine="720"/>
        <w:jc w:val="both"/>
        <w:rPr>
          <w:rFonts w:asciiTheme="majorBidi" w:hAnsiTheme="majorBidi" w:cstheme="majorBidi"/>
          <w: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Munawir  Sjadzali, </w:t>
      </w:r>
      <w:r w:rsidRPr="004666EA">
        <w:rPr>
          <w:rFonts w:asciiTheme="majorBidi" w:hAnsiTheme="majorBidi" w:cstheme="majorBidi"/>
          <w:i/>
        </w:rPr>
        <w:t xml:space="preserve">Islam dan Tata Negara, Ajaran, Sejarah dan pemikiran, </w:t>
      </w:r>
      <w:r w:rsidRPr="004666EA">
        <w:rPr>
          <w:rFonts w:asciiTheme="majorBidi" w:hAnsiTheme="majorBidi" w:cstheme="majorBidi"/>
        </w:rPr>
        <w:t>(Jakarta : UI Press, 1991), h.43</w:t>
      </w:r>
    </w:p>
  </w:footnote>
  <w:footnote w:id="21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Munawir  Sjadzali, </w:t>
      </w:r>
      <w:r w:rsidRPr="004666EA">
        <w:rPr>
          <w:rFonts w:asciiTheme="majorBidi" w:hAnsiTheme="majorBidi" w:cstheme="majorBidi"/>
          <w:i/>
        </w:rPr>
        <w:t xml:space="preserve">Islam dan Tata Negara, Ajaran, Sejarah dan pemikiran, </w:t>
      </w:r>
      <w:r w:rsidRPr="004666EA">
        <w:rPr>
          <w:rFonts w:asciiTheme="majorBidi" w:hAnsiTheme="majorBidi" w:cstheme="majorBidi"/>
        </w:rPr>
        <w:t>(Jakarta : UI Press, 1991), h.43</w:t>
      </w:r>
    </w:p>
  </w:footnote>
  <w:footnote w:id="21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Syarfif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xml:space="preserve">, ( Jakarta: Erlangga, 2008), h. 32. </w:t>
      </w:r>
    </w:p>
  </w:footnote>
  <w:footnote w:id="21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25</w:t>
      </w:r>
    </w:p>
  </w:footnote>
  <w:footnote w:id="21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34-35</w:t>
      </w:r>
    </w:p>
  </w:footnote>
  <w:footnote w:id="220">
    <w:p w:rsidR="00343B61" w:rsidRPr="004666EA" w:rsidRDefault="00343B61" w:rsidP="00343B61">
      <w:pPr>
        <w:spacing w:after="0"/>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w:t>
      </w:r>
      <w:r w:rsidRPr="004666EA">
        <w:rPr>
          <w:rFonts w:asciiTheme="majorBidi" w:hAnsiTheme="majorBidi" w:cstheme="majorBidi"/>
          <w:color w:val="000000"/>
          <w:sz w:val="20"/>
          <w:szCs w:val="20"/>
        </w:rPr>
        <w:t xml:space="preserve">Umar bin ‘Ali bin Musa al-Bazzar Abu Hafsh, </w:t>
      </w:r>
      <w:r w:rsidRPr="004666EA">
        <w:rPr>
          <w:rFonts w:asciiTheme="majorBidi" w:hAnsiTheme="majorBidi" w:cstheme="majorBidi"/>
          <w:i/>
          <w:iCs/>
          <w:color w:val="000000"/>
          <w:sz w:val="20"/>
          <w:szCs w:val="20"/>
        </w:rPr>
        <w:t>al-‘Alam al-Aliyah fi Manaqib Ibn Taimiyah</w:t>
      </w:r>
      <w:r w:rsidRPr="004666EA">
        <w:rPr>
          <w:rFonts w:asciiTheme="majorBidi" w:hAnsiTheme="majorBidi" w:cstheme="majorBidi"/>
          <w:color w:val="000000"/>
          <w:sz w:val="20"/>
          <w:szCs w:val="20"/>
        </w:rPr>
        <w:t>, ( Bairut: al-Maktab al-Islami, 1400 H), h. 16</w:t>
      </w:r>
    </w:p>
  </w:footnote>
  <w:footnote w:id="22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Kitab ini Persi Arabnya di cetak di Bairut: Dar al-Afaq al-Jadidah, berjumlah 159 halaman. Dalam persi Indonesianya berjudul Etika Politik Islam, diterjemahkan oleh Rafi’ Munawwar,dicetak oleh Risalah Gusti, Surabaya.  </w:t>
      </w:r>
    </w:p>
  </w:footnote>
  <w:footnote w:id="22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Pr>
          <w:rFonts w:asciiTheme="majorBidi" w:hAnsiTheme="majorBidi" w:cstheme="majorBidi"/>
        </w:rPr>
        <w:t xml:space="preserve">Ibn Taimiyah, </w:t>
      </w:r>
      <w:r w:rsidRPr="00D54068">
        <w:rPr>
          <w:rFonts w:asciiTheme="majorBidi" w:hAnsiTheme="majorBidi" w:cstheme="majorBidi"/>
          <w:bCs/>
          <w:i/>
          <w:iCs/>
        </w:rPr>
        <w:t>Majm</w:t>
      </w:r>
      <w:r w:rsidRPr="00D54068">
        <w:rPr>
          <w:rFonts w:asciiTheme="majorBidi" w:hAnsiTheme="majorBidi" w:cstheme="majorBidi"/>
          <w:i/>
          <w:iCs/>
        </w:rPr>
        <w:t>ū</w:t>
      </w:r>
      <w:r w:rsidRPr="00D54068">
        <w:rPr>
          <w:rFonts w:asciiTheme="majorBidi" w:hAnsiTheme="majorBidi" w:cstheme="majorBidi"/>
          <w:bCs/>
          <w:i/>
          <w:iCs/>
        </w:rPr>
        <w:t xml:space="preserve">’ </w:t>
      </w:r>
      <w:r w:rsidRPr="00D54068">
        <w:rPr>
          <w:rFonts w:ascii="Times New Roman" w:hAnsi="Times New Roman" w:cs="Times New Roman"/>
          <w:i/>
          <w:iCs/>
        </w:rPr>
        <w:t>al-Fat</w:t>
      </w:r>
      <w:r w:rsidRPr="00D54068">
        <w:rPr>
          <w:rFonts w:asciiTheme="majorBidi" w:hAnsiTheme="majorBidi" w:cstheme="majorBidi"/>
          <w:i/>
          <w:iCs/>
        </w:rPr>
        <w:t>ā</w:t>
      </w:r>
      <w:r w:rsidRPr="00D54068">
        <w:rPr>
          <w:rFonts w:ascii="Times New Roman" w:hAnsi="Times New Roman" w:cs="Times New Roman"/>
          <w:i/>
          <w:iCs/>
        </w:rPr>
        <w:t>wa</w:t>
      </w:r>
      <w:r w:rsidRPr="004666EA">
        <w:rPr>
          <w:rFonts w:asciiTheme="majorBidi" w:hAnsiTheme="majorBidi" w:cstheme="majorBidi"/>
        </w:rPr>
        <w:t xml:space="preserve"> Dicetak oleh Dar al-Wafa Riyadh, di Takqiq oleh Anwar Al-Baz. 2005.</w:t>
      </w:r>
    </w:p>
  </w:footnote>
  <w:footnote w:id="22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sidRPr="004666EA">
        <w:rPr>
          <w:rFonts w:asciiTheme="majorBidi" w:hAnsiTheme="majorBidi" w:cstheme="majorBidi"/>
          <w:bCs/>
          <w:i/>
          <w:iCs/>
        </w:rPr>
        <w:t xml:space="preserve">Minhaj al-Sunnah al-Nabawiyah fi Naqd al-Syi’ah wa al-Qadariyah </w:t>
      </w:r>
      <w:r w:rsidRPr="004666EA">
        <w:rPr>
          <w:rFonts w:asciiTheme="majorBidi" w:hAnsiTheme="majorBidi" w:cstheme="majorBidi"/>
          <w:bCs/>
        </w:rPr>
        <w:t>diterbitkan oleh Muassasah Qurthubah, di Tahqiq oleh Muhammad Rasyad Salim terdiri dari tujuh jilid.</w:t>
      </w:r>
    </w:p>
  </w:footnote>
  <w:footnote w:id="22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Taqi al Din Abu al-Abbas Ibn Taimiyah, </w:t>
      </w:r>
      <w:r w:rsidRPr="004666EA">
        <w:rPr>
          <w:rFonts w:asciiTheme="majorBidi" w:hAnsiTheme="majorBidi" w:cstheme="majorBidi"/>
          <w:bCs/>
          <w:i/>
          <w:iCs/>
        </w:rPr>
        <w:t xml:space="preserve">Minhaj al-Sunnah al-Nabawiyah fi Naqd al-Syi’ah wa al-Qadariyah, </w:t>
      </w:r>
      <w:r w:rsidRPr="004666EA">
        <w:rPr>
          <w:rFonts w:asciiTheme="majorBidi" w:hAnsiTheme="majorBidi" w:cstheme="majorBidi"/>
          <w:bCs/>
        </w:rPr>
        <w:t>( Riyadh: Maktabah Riyadh al-Haditsh, t.tp),  Juz II. h. 197-198</w:t>
      </w:r>
    </w:p>
  </w:footnote>
  <w:footnote w:id="22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Taqi al Din Abu al-Abbas Ibn Taimiyah, </w:t>
      </w:r>
      <w:r w:rsidRPr="0051521E">
        <w:rPr>
          <w:rFonts w:ascii="Times New Roman" w:hAnsi="Times New Roman" w:cs="Times New Roman"/>
          <w:i/>
          <w:iCs/>
          <w:lang w:val="sv-SE"/>
        </w:rPr>
        <w:t>Al-Siyasah al-Syar`iyyah f</w:t>
      </w:r>
      <w:r w:rsidRPr="0051521E">
        <w:rPr>
          <w:rFonts w:asciiTheme="majorBidi" w:hAnsiTheme="majorBidi" w:cstheme="majorBidi"/>
          <w:i/>
          <w:iCs/>
        </w:rPr>
        <w:t>ī</w:t>
      </w:r>
      <w:r w:rsidRPr="0051521E">
        <w:rPr>
          <w:rFonts w:ascii="Times New Roman" w:hAnsi="Times New Roman" w:cs="Times New Roman"/>
          <w:i/>
          <w:iCs/>
          <w:lang w:val="sv-SE"/>
        </w:rPr>
        <w:t xml:space="preserve"> Ishlah al-R</w:t>
      </w:r>
      <w:r w:rsidRPr="0051521E">
        <w:rPr>
          <w:rFonts w:asciiTheme="majorBidi" w:hAnsiTheme="majorBidi" w:cstheme="majorBidi"/>
          <w:i/>
          <w:iCs/>
        </w:rPr>
        <w:t>ā</w:t>
      </w:r>
      <w:r w:rsidRPr="0051521E">
        <w:rPr>
          <w:rFonts w:ascii="Times New Roman" w:hAnsi="Times New Roman" w:cs="Times New Roman"/>
          <w:i/>
          <w:iCs/>
          <w:lang w:val="sv-SE"/>
        </w:rPr>
        <w:t>`i wa al-Ra`iyyah</w:t>
      </w:r>
      <w:r>
        <w:rPr>
          <w:rFonts w:ascii="Times New Roman" w:hAnsi="Times New Roman" w:cs="Times New Roman"/>
          <w:i/>
          <w:iCs/>
          <w:lang w:val="sv-SE"/>
        </w:rPr>
        <w:t>,</w:t>
      </w:r>
      <w:r w:rsidRPr="004666EA">
        <w:rPr>
          <w:rFonts w:asciiTheme="majorBidi" w:hAnsiTheme="majorBidi" w:cstheme="majorBidi"/>
        </w:rPr>
        <w:t xml:space="preserve"> (Bairut: Dar al-Afaq al-Jadidah, t.tp), h. 14</w:t>
      </w:r>
    </w:p>
  </w:footnote>
  <w:footnote w:id="22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Taqi al Din Abu al-Abbas Ibn Taimiyah, </w:t>
      </w:r>
      <w:r w:rsidRPr="00D54068">
        <w:rPr>
          <w:rFonts w:asciiTheme="majorBidi" w:hAnsiTheme="majorBidi" w:cstheme="majorBidi"/>
          <w:bCs/>
          <w:i/>
          <w:iCs/>
        </w:rPr>
        <w:t>Majm</w:t>
      </w:r>
      <w:r w:rsidRPr="00D54068">
        <w:rPr>
          <w:rFonts w:asciiTheme="majorBidi" w:hAnsiTheme="majorBidi" w:cstheme="majorBidi"/>
          <w:i/>
          <w:iCs/>
        </w:rPr>
        <w:t>ū</w:t>
      </w:r>
      <w:r w:rsidRPr="00D54068">
        <w:rPr>
          <w:rFonts w:asciiTheme="majorBidi" w:hAnsiTheme="majorBidi" w:cstheme="majorBidi"/>
          <w:bCs/>
          <w:i/>
          <w:iCs/>
        </w:rPr>
        <w:t xml:space="preserve">’ </w:t>
      </w:r>
      <w:r w:rsidRPr="00D54068">
        <w:rPr>
          <w:rFonts w:ascii="Times New Roman" w:hAnsi="Times New Roman" w:cs="Times New Roman"/>
          <w:i/>
          <w:iCs/>
        </w:rPr>
        <w:t>al-Fat</w:t>
      </w:r>
      <w:r w:rsidRPr="00D54068">
        <w:rPr>
          <w:rFonts w:asciiTheme="majorBidi" w:hAnsiTheme="majorBidi" w:cstheme="majorBidi"/>
          <w:i/>
          <w:iCs/>
        </w:rPr>
        <w:t>ā</w:t>
      </w:r>
      <w:r w:rsidRPr="00D54068">
        <w:rPr>
          <w:rFonts w:ascii="Times New Roman" w:hAnsi="Times New Roman" w:cs="Times New Roman"/>
          <w:i/>
          <w:iCs/>
        </w:rPr>
        <w:t>wa</w:t>
      </w:r>
      <w:r w:rsidRPr="004666EA">
        <w:rPr>
          <w:rFonts w:asciiTheme="majorBidi" w:hAnsiTheme="majorBidi" w:cstheme="majorBidi"/>
        </w:rPr>
        <w:t>, ( Bairut: Dar al-‘Arabiyah, t.tp ),   Juz, xxviii, h. 255</w:t>
      </w:r>
    </w:p>
  </w:footnote>
  <w:footnote w:id="22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Ibn Khaldun, </w:t>
      </w:r>
      <w:r w:rsidRPr="004666EA">
        <w:rPr>
          <w:rFonts w:asciiTheme="majorBidi" w:hAnsiTheme="majorBidi" w:cstheme="majorBidi"/>
          <w:i/>
          <w:iCs/>
        </w:rPr>
        <w:t>Muqaddimah</w:t>
      </w:r>
      <w:r w:rsidRPr="004666EA">
        <w:rPr>
          <w:rFonts w:asciiTheme="majorBidi" w:hAnsiTheme="majorBidi" w:cstheme="majorBidi"/>
        </w:rPr>
        <w:t>, ( Bairut: Dal al-Fikr, t.tp), h. 41</w:t>
      </w:r>
    </w:p>
  </w:footnote>
  <w:footnote w:id="22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Syarfif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37</w:t>
      </w:r>
    </w:p>
  </w:footnote>
  <w:footnote w:id="22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Ahmad Syafi’i Ma’arif, </w:t>
      </w:r>
      <w:r w:rsidRPr="004666EA">
        <w:rPr>
          <w:rFonts w:asciiTheme="majorBidi" w:hAnsiTheme="majorBidi" w:cstheme="majorBidi"/>
          <w:i/>
          <w:iCs/>
        </w:rPr>
        <w:t>Islam dan Masalah Kenegaraan</w:t>
      </w:r>
      <w:r w:rsidRPr="004666EA">
        <w:rPr>
          <w:rFonts w:asciiTheme="majorBidi" w:hAnsiTheme="majorBidi" w:cstheme="majorBidi"/>
        </w:rPr>
        <w:t xml:space="preserve"> ( Jakarta: LP3s, 1985), h. 38</w:t>
      </w:r>
    </w:p>
  </w:footnote>
  <w:footnote w:id="23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Munawir  Sjadzali, </w:t>
      </w:r>
      <w:r w:rsidRPr="004666EA">
        <w:rPr>
          <w:rFonts w:asciiTheme="majorBidi" w:hAnsiTheme="majorBidi" w:cstheme="majorBidi"/>
          <w:i/>
        </w:rPr>
        <w:t xml:space="preserve">Islam dan Tata Negara, Ajaran, Sejarah dan pemikiran, </w:t>
      </w:r>
      <w:r w:rsidRPr="004666EA">
        <w:rPr>
          <w:rFonts w:asciiTheme="majorBidi" w:hAnsiTheme="majorBidi" w:cstheme="majorBidi"/>
        </w:rPr>
        <w:t>(Jakarta : UI Press, 1991), h.115</w:t>
      </w:r>
    </w:p>
  </w:footnote>
  <w:footnote w:id="23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29</w:t>
      </w:r>
    </w:p>
  </w:footnote>
  <w:footnote w:id="23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30</w:t>
      </w:r>
    </w:p>
  </w:footnote>
  <w:footnote w:id="23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Harun Nasution, </w:t>
      </w:r>
      <w:r w:rsidRPr="004666EA">
        <w:rPr>
          <w:rFonts w:asciiTheme="majorBidi" w:hAnsiTheme="majorBidi" w:cstheme="majorBidi"/>
          <w:i/>
          <w:iCs/>
        </w:rPr>
        <w:t>Pembaharuan Dalam Islam, Sejarah Pemikiran dan Gerakan</w:t>
      </w:r>
      <w:r w:rsidRPr="004666EA">
        <w:rPr>
          <w:rFonts w:asciiTheme="majorBidi" w:hAnsiTheme="majorBidi" w:cstheme="majorBidi"/>
        </w:rPr>
        <w:t>, ( Jakarta: Bulan Bintang, 1986), h. 69</w:t>
      </w:r>
    </w:p>
  </w:footnote>
  <w:footnote w:id="23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Rasyid Ridha, </w:t>
      </w:r>
      <w:r w:rsidRPr="0051521E">
        <w:rPr>
          <w:rFonts w:asciiTheme="majorBidi" w:hAnsiTheme="majorBidi" w:cstheme="majorBidi"/>
          <w:i/>
          <w:iCs/>
          <w:spacing w:val="1"/>
        </w:rPr>
        <w:t>khilāfāt</w:t>
      </w:r>
      <w:r w:rsidRPr="0051521E">
        <w:rPr>
          <w:rFonts w:asciiTheme="majorBidi" w:hAnsiTheme="majorBidi" w:cstheme="majorBidi"/>
          <w:i/>
          <w:iCs/>
        </w:rPr>
        <w:t xml:space="preserve"> aw al-Imamat al-‘Uzhm</w:t>
      </w:r>
      <w:r w:rsidRPr="0051521E">
        <w:rPr>
          <w:rFonts w:asciiTheme="majorBidi" w:hAnsiTheme="majorBidi" w:cstheme="majorBidi"/>
          <w:i/>
          <w:iCs/>
          <w:spacing w:val="1"/>
        </w:rPr>
        <w:t>ā</w:t>
      </w:r>
      <w:r w:rsidRPr="0051521E">
        <w:rPr>
          <w:rFonts w:asciiTheme="majorBidi" w:hAnsiTheme="majorBidi" w:cstheme="majorBidi"/>
          <w:i/>
          <w:iCs/>
        </w:rPr>
        <w:t>t</w:t>
      </w:r>
      <w:r w:rsidRPr="004666EA">
        <w:rPr>
          <w:rFonts w:asciiTheme="majorBidi" w:hAnsiTheme="majorBidi" w:cstheme="majorBidi"/>
        </w:rPr>
        <w:t>, ( Cairo: Al-Manar, t.th), h. 56</w:t>
      </w:r>
    </w:p>
  </w:footnote>
  <w:footnote w:id="23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Rasyid Ridha, </w:t>
      </w:r>
      <w:r w:rsidRPr="0051521E">
        <w:rPr>
          <w:rFonts w:asciiTheme="majorBidi" w:hAnsiTheme="majorBidi" w:cstheme="majorBidi"/>
          <w:i/>
          <w:iCs/>
          <w:spacing w:val="1"/>
        </w:rPr>
        <w:t>khilāfāt</w:t>
      </w:r>
      <w:r w:rsidRPr="0051521E">
        <w:rPr>
          <w:rFonts w:asciiTheme="majorBidi" w:hAnsiTheme="majorBidi" w:cstheme="majorBidi"/>
          <w:i/>
          <w:iCs/>
        </w:rPr>
        <w:t xml:space="preserve"> aw al-Imamat al-‘Uzhm</w:t>
      </w:r>
      <w:r w:rsidRPr="0051521E">
        <w:rPr>
          <w:rFonts w:asciiTheme="majorBidi" w:hAnsiTheme="majorBidi" w:cstheme="majorBidi"/>
          <w:i/>
          <w:iCs/>
          <w:spacing w:val="1"/>
        </w:rPr>
        <w:t>ā</w:t>
      </w:r>
      <w:r w:rsidRPr="0051521E">
        <w:rPr>
          <w:rFonts w:asciiTheme="majorBidi" w:hAnsiTheme="majorBidi" w:cstheme="majorBidi"/>
          <w:i/>
          <w:iCs/>
        </w:rPr>
        <w:t>t</w:t>
      </w:r>
      <w:r w:rsidRPr="004666EA">
        <w:rPr>
          <w:rFonts w:asciiTheme="majorBidi" w:hAnsiTheme="majorBidi" w:cstheme="majorBidi"/>
        </w:rPr>
        <w:t>, ( Cairo: Al-Manar, t.th), h. 10</w:t>
      </w:r>
    </w:p>
  </w:footnote>
  <w:footnote w:id="23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40</w:t>
      </w:r>
    </w:p>
  </w:footnote>
  <w:footnote w:id="23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Sayyid Quthub, </w:t>
      </w:r>
      <w:r w:rsidRPr="004666EA">
        <w:rPr>
          <w:rFonts w:asciiTheme="majorBidi" w:hAnsiTheme="majorBidi" w:cstheme="majorBidi"/>
          <w:i/>
          <w:iCs/>
        </w:rPr>
        <w:t>Ma’alim Fi al-Thariq</w:t>
      </w:r>
      <w:r w:rsidRPr="004666EA">
        <w:rPr>
          <w:rFonts w:asciiTheme="majorBidi" w:hAnsiTheme="majorBidi" w:cstheme="majorBidi"/>
        </w:rPr>
        <w:t xml:space="preserve">, terj. </w:t>
      </w:r>
      <w:r w:rsidRPr="004666EA">
        <w:rPr>
          <w:rFonts w:asciiTheme="majorBidi" w:hAnsiTheme="majorBidi" w:cstheme="majorBidi"/>
          <w:i/>
          <w:iCs/>
        </w:rPr>
        <w:t>Petunjuk Jalan</w:t>
      </w:r>
      <w:r w:rsidRPr="004666EA">
        <w:rPr>
          <w:rFonts w:asciiTheme="majorBidi" w:hAnsiTheme="majorBidi" w:cstheme="majorBidi"/>
        </w:rPr>
        <w:t>, ( Bandung: Al-Ma’arif,t.tp), h. 55</w:t>
      </w:r>
    </w:p>
  </w:footnote>
  <w:footnote w:id="23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Abu al-‘Ala al-Maududi, </w:t>
      </w:r>
      <w:r w:rsidRPr="004666EA">
        <w:rPr>
          <w:rFonts w:asciiTheme="majorBidi" w:hAnsiTheme="majorBidi" w:cstheme="majorBidi"/>
          <w:i/>
          <w:iCs/>
        </w:rPr>
        <w:t>Islamic Law and Constitution</w:t>
      </w:r>
      <w:r w:rsidRPr="004666EA">
        <w:rPr>
          <w:rFonts w:asciiTheme="majorBidi" w:hAnsiTheme="majorBidi" w:cstheme="majorBidi"/>
        </w:rPr>
        <w:t>, ( Lahore: Islamic Publications Ltd, 1975</w:t>
      </w:r>
    </w:p>
  </w:footnote>
  <w:footnote w:id="239">
    <w:p w:rsidR="00343B61" w:rsidRPr="0047106C" w:rsidRDefault="00343B61" w:rsidP="00343B61">
      <w:pPr>
        <w:pStyle w:val="FootnoteText"/>
        <w:ind w:firstLine="720"/>
        <w:jc w:val="both"/>
        <w:rPr>
          <w:rFonts w:asciiTheme="majorBidi" w:hAnsiTheme="majorBidi" w:cstheme="majorBidi"/>
        </w:rPr>
      </w:pPr>
      <w:r w:rsidRPr="0047106C">
        <w:rPr>
          <w:rStyle w:val="FootnoteReference"/>
          <w:rFonts w:asciiTheme="majorBidi" w:hAnsiTheme="majorBidi" w:cstheme="majorBidi"/>
        </w:rPr>
        <w:footnoteRef/>
      </w:r>
      <w:r w:rsidRPr="0047106C">
        <w:rPr>
          <w:rFonts w:asciiTheme="majorBidi" w:hAnsiTheme="majorBidi" w:cstheme="majorBidi"/>
        </w:rPr>
        <w:t xml:space="preserve"> Pandangan Politik Khomaini dan sikap anti Baratnya dapat di lihat dalam karyanya </w:t>
      </w:r>
      <w:r w:rsidRPr="0047106C">
        <w:rPr>
          <w:rFonts w:asciiTheme="majorBidi" w:hAnsiTheme="majorBidi" w:cstheme="majorBidi"/>
          <w:i/>
          <w:iCs/>
        </w:rPr>
        <w:t>Hukumat Islam</w:t>
      </w:r>
      <w:r w:rsidRPr="0047106C">
        <w:rPr>
          <w:rFonts w:asciiTheme="majorBidi" w:hAnsiTheme="majorBidi" w:cstheme="majorBidi"/>
        </w:rPr>
        <w:t xml:space="preserve">.  Lihat. Muhammad Iqbal, </w:t>
      </w:r>
      <w:r w:rsidRPr="0047106C">
        <w:rPr>
          <w:rFonts w:asciiTheme="majorBidi" w:hAnsiTheme="majorBidi" w:cstheme="majorBidi"/>
          <w:i/>
          <w:iCs/>
        </w:rPr>
        <w:t>Fiqh siyasah, Kontekstualisasi Doktrin Politik Islam</w:t>
      </w:r>
      <w:r w:rsidRPr="0047106C">
        <w:rPr>
          <w:rFonts w:asciiTheme="majorBidi" w:hAnsiTheme="majorBidi" w:cstheme="majorBidi"/>
        </w:rPr>
        <w:t>, ( Jakarta:Prenada Media Group, 2015), h. 31</w:t>
      </w:r>
    </w:p>
  </w:footnote>
  <w:footnote w:id="240">
    <w:p w:rsidR="00343B61" w:rsidRPr="0047106C" w:rsidRDefault="00343B61" w:rsidP="00343B61">
      <w:pPr>
        <w:pStyle w:val="FootnoteText"/>
        <w:ind w:firstLine="720"/>
        <w:jc w:val="both"/>
        <w:rPr>
          <w:rFonts w:asciiTheme="majorBidi" w:hAnsiTheme="majorBidi" w:cstheme="majorBidi"/>
        </w:rPr>
      </w:pPr>
      <w:r w:rsidRPr="0047106C">
        <w:rPr>
          <w:rStyle w:val="FootnoteReference"/>
          <w:rFonts w:asciiTheme="majorBidi" w:hAnsiTheme="majorBidi" w:cstheme="majorBidi"/>
        </w:rPr>
        <w:footnoteRef/>
      </w:r>
      <w:r w:rsidRPr="0047106C">
        <w:rPr>
          <w:rFonts w:asciiTheme="majorBidi" w:hAnsiTheme="majorBidi" w:cstheme="majorBidi"/>
        </w:rPr>
        <w:t xml:space="preserve"> Lihat. Mujar Ibnu Syarif dan Khamami Zada, </w:t>
      </w:r>
      <w:r w:rsidRPr="0047106C">
        <w:rPr>
          <w:rFonts w:asciiTheme="majorBidi" w:hAnsiTheme="majorBidi" w:cstheme="majorBidi"/>
          <w:i/>
          <w:iCs/>
        </w:rPr>
        <w:t>Fiqh Siyasah, Doktrin dan Pemikiran Politik Islam</w:t>
      </w:r>
      <w:r w:rsidRPr="0047106C">
        <w:rPr>
          <w:rFonts w:asciiTheme="majorBidi" w:hAnsiTheme="majorBidi" w:cstheme="majorBidi"/>
        </w:rPr>
        <w:t>, ( Jakarta: Erlangga, 2008), h. 92</w:t>
      </w:r>
      <w:r>
        <w:rPr>
          <w:rFonts w:asciiTheme="majorBidi" w:hAnsiTheme="majorBidi" w:cstheme="majorBidi"/>
        </w:rPr>
        <w:t xml:space="preserve"> </w:t>
      </w:r>
    </w:p>
  </w:footnote>
  <w:footnote w:id="241">
    <w:p w:rsidR="00343B61" w:rsidRPr="00365E7D" w:rsidRDefault="00343B61" w:rsidP="00343B61">
      <w:pPr>
        <w:pStyle w:val="FootnoteText"/>
        <w:ind w:firstLine="720"/>
        <w:rPr>
          <w:rFonts w:asciiTheme="majorBidi" w:hAnsiTheme="majorBidi" w:cstheme="majorBidi"/>
        </w:rPr>
      </w:pPr>
      <w:r w:rsidRPr="00365E7D">
        <w:rPr>
          <w:rStyle w:val="FootnoteReference"/>
          <w:rFonts w:asciiTheme="majorBidi" w:hAnsiTheme="majorBidi" w:cstheme="majorBidi"/>
        </w:rPr>
        <w:footnoteRef/>
      </w:r>
      <w:r w:rsidRPr="00365E7D">
        <w:rPr>
          <w:rFonts w:asciiTheme="majorBidi" w:hAnsiTheme="majorBidi" w:cstheme="majorBidi"/>
        </w:rPr>
        <w:t xml:space="preserve"> Buku ini diterbitkan pertama sekali tahun 192</w:t>
      </w:r>
      <w:r>
        <w:rPr>
          <w:rFonts w:asciiTheme="majorBidi" w:hAnsiTheme="majorBidi" w:cstheme="majorBidi"/>
        </w:rPr>
        <w:t>5</w:t>
      </w:r>
    </w:p>
  </w:footnote>
  <w:footnote w:id="24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aja Grafindo Persada, 1994), h. 304</w:t>
      </w:r>
    </w:p>
  </w:footnote>
  <w:footnote w:id="243">
    <w:p w:rsidR="00343B61" w:rsidRPr="00E103BE" w:rsidRDefault="00343B61" w:rsidP="00343B61">
      <w:pPr>
        <w:pStyle w:val="FootnoteText"/>
        <w:ind w:firstLine="720"/>
        <w:jc w:val="both"/>
        <w:rPr>
          <w:rFonts w:asciiTheme="majorBidi" w:hAnsiTheme="majorBidi" w:cstheme="majorBidi"/>
          <w:iCs/>
        </w:rPr>
      </w:pPr>
      <w:r w:rsidRPr="00E103BE">
        <w:rPr>
          <w:rStyle w:val="FootnoteReference"/>
          <w:rFonts w:asciiTheme="majorBidi" w:hAnsiTheme="majorBidi" w:cstheme="majorBidi"/>
        </w:rPr>
        <w:footnoteRef/>
      </w:r>
      <w:r w:rsidRPr="00E103BE">
        <w:rPr>
          <w:rFonts w:asciiTheme="majorBidi" w:hAnsiTheme="majorBidi" w:cstheme="majorBidi"/>
        </w:rPr>
        <w:t xml:space="preserve"> Lihat. Ali Abd Raziq, </w:t>
      </w:r>
      <w:r w:rsidRPr="00D54068">
        <w:rPr>
          <w:rFonts w:asciiTheme="majorBidi" w:hAnsiTheme="majorBidi" w:cstheme="majorBidi"/>
          <w:bCs/>
          <w:i/>
          <w:iCs/>
          <w:spacing w:val="11"/>
        </w:rPr>
        <w:t>Al-Isl</w:t>
      </w:r>
      <w:r w:rsidRPr="00D54068">
        <w:rPr>
          <w:rFonts w:asciiTheme="majorBidi" w:hAnsiTheme="majorBidi" w:cstheme="majorBidi"/>
          <w:i/>
          <w:iCs/>
          <w:lang w:val="id-ID"/>
        </w:rPr>
        <w:t>ā</w:t>
      </w:r>
      <w:r w:rsidRPr="00D54068">
        <w:rPr>
          <w:rFonts w:asciiTheme="majorBidi" w:hAnsiTheme="majorBidi" w:cstheme="majorBidi"/>
          <w:bCs/>
          <w:i/>
          <w:iCs/>
          <w:spacing w:val="11"/>
        </w:rPr>
        <w:t>m wa U</w:t>
      </w:r>
      <w:r w:rsidRPr="00D54068">
        <w:rPr>
          <w:rFonts w:asciiTheme="majorBidi" w:hAnsiTheme="majorBidi" w:cstheme="majorBidi"/>
          <w:i/>
          <w:iCs/>
          <w:color w:val="222222"/>
        </w:rPr>
        <w:t>ṣ</w:t>
      </w:r>
      <w:r w:rsidRPr="00D54068">
        <w:rPr>
          <w:rFonts w:asciiTheme="majorBidi" w:hAnsiTheme="majorBidi" w:cstheme="majorBidi"/>
          <w:i/>
          <w:iCs/>
        </w:rPr>
        <w:t>ū</w:t>
      </w:r>
      <w:r w:rsidRPr="00D54068">
        <w:rPr>
          <w:rFonts w:asciiTheme="majorBidi" w:hAnsiTheme="majorBidi" w:cstheme="majorBidi"/>
          <w:bCs/>
          <w:i/>
          <w:iCs/>
          <w:spacing w:val="11"/>
        </w:rPr>
        <w:t>l al-</w:t>
      </w:r>
      <w:r w:rsidRPr="00D54068">
        <w:rPr>
          <w:rFonts w:asciiTheme="majorBidi" w:hAnsiTheme="majorBidi" w:cstheme="majorBidi"/>
          <w:bCs/>
          <w:i/>
          <w:iCs/>
          <w:u w:val="single"/>
        </w:rPr>
        <w:t>H</w:t>
      </w:r>
      <w:r w:rsidRPr="00D54068">
        <w:rPr>
          <w:rFonts w:asciiTheme="majorBidi" w:hAnsiTheme="majorBidi" w:cstheme="majorBidi"/>
          <w:bCs/>
          <w:i/>
          <w:iCs/>
          <w:spacing w:val="11"/>
        </w:rPr>
        <w:t>ukm</w:t>
      </w:r>
      <w:r>
        <w:rPr>
          <w:rFonts w:asciiTheme="majorBidi" w:hAnsiTheme="majorBidi" w:cstheme="majorBidi"/>
          <w:i/>
          <w:spacing w:val="11"/>
        </w:rPr>
        <w:t>,</w:t>
      </w:r>
      <w:r>
        <w:rPr>
          <w:rFonts w:asciiTheme="majorBidi" w:hAnsiTheme="majorBidi" w:cstheme="majorBidi"/>
          <w:iCs/>
          <w:spacing w:val="11"/>
        </w:rPr>
        <w:t>(</w:t>
      </w:r>
      <w:r w:rsidRPr="00E103BE">
        <w:rPr>
          <w:rFonts w:asciiTheme="majorBidi" w:hAnsiTheme="majorBidi" w:cstheme="majorBidi"/>
          <w:iCs/>
          <w:spacing w:val="11"/>
        </w:rPr>
        <w:t>Cairo: Syirkah Musahamah Mishriyah, 1925) Cet III, h. 64-65</w:t>
      </w:r>
    </w:p>
  </w:footnote>
  <w:footnote w:id="244">
    <w:p w:rsidR="00343B61" w:rsidRPr="004666EA" w:rsidRDefault="00343B61" w:rsidP="00343B61">
      <w:pPr>
        <w:pStyle w:val="FootnoteText"/>
        <w:ind w:firstLine="720"/>
        <w:jc w:val="both"/>
        <w:rPr>
          <w:rFonts w:asciiTheme="majorBidi" w:hAnsiTheme="majorBidi" w:cstheme="majorBidi"/>
        </w:rPr>
      </w:pPr>
      <w:r w:rsidRPr="00E103BE">
        <w:rPr>
          <w:rStyle w:val="FootnoteReference"/>
          <w:rFonts w:asciiTheme="majorBidi" w:hAnsiTheme="majorBidi" w:cstheme="majorBidi"/>
        </w:rPr>
        <w:footnoteRef/>
      </w:r>
      <w:r w:rsidRPr="00E103BE">
        <w:rPr>
          <w:rFonts w:asciiTheme="majorBidi" w:hAnsiTheme="majorBidi" w:cstheme="majorBidi"/>
        </w:rPr>
        <w:t xml:space="preserve"> Lihat. Ali Abd Raziq, </w:t>
      </w:r>
      <w:r w:rsidRPr="00D54068">
        <w:rPr>
          <w:rFonts w:asciiTheme="majorBidi" w:hAnsiTheme="majorBidi" w:cstheme="majorBidi"/>
          <w:bCs/>
          <w:i/>
          <w:iCs/>
          <w:spacing w:val="11"/>
        </w:rPr>
        <w:t>Al-Isl</w:t>
      </w:r>
      <w:r w:rsidRPr="00D54068">
        <w:rPr>
          <w:rFonts w:asciiTheme="majorBidi" w:hAnsiTheme="majorBidi" w:cstheme="majorBidi"/>
          <w:i/>
          <w:iCs/>
          <w:lang w:val="id-ID"/>
        </w:rPr>
        <w:t>ā</w:t>
      </w:r>
      <w:r w:rsidRPr="00D54068">
        <w:rPr>
          <w:rFonts w:asciiTheme="majorBidi" w:hAnsiTheme="majorBidi" w:cstheme="majorBidi"/>
          <w:bCs/>
          <w:i/>
          <w:iCs/>
          <w:spacing w:val="11"/>
        </w:rPr>
        <w:t>m wa U</w:t>
      </w:r>
      <w:r w:rsidRPr="00D54068">
        <w:rPr>
          <w:rFonts w:asciiTheme="majorBidi" w:hAnsiTheme="majorBidi" w:cstheme="majorBidi"/>
          <w:i/>
          <w:iCs/>
          <w:color w:val="222222"/>
        </w:rPr>
        <w:t>ṣ</w:t>
      </w:r>
      <w:r w:rsidRPr="00D54068">
        <w:rPr>
          <w:rFonts w:asciiTheme="majorBidi" w:hAnsiTheme="majorBidi" w:cstheme="majorBidi"/>
          <w:i/>
          <w:iCs/>
        </w:rPr>
        <w:t>ū</w:t>
      </w:r>
      <w:r w:rsidRPr="00D54068">
        <w:rPr>
          <w:rFonts w:asciiTheme="majorBidi" w:hAnsiTheme="majorBidi" w:cstheme="majorBidi"/>
          <w:bCs/>
          <w:i/>
          <w:iCs/>
          <w:spacing w:val="11"/>
        </w:rPr>
        <w:t>l al-</w:t>
      </w:r>
      <w:r w:rsidRPr="00D54068">
        <w:rPr>
          <w:rFonts w:asciiTheme="majorBidi" w:hAnsiTheme="majorBidi" w:cstheme="majorBidi"/>
          <w:bCs/>
          <w:i/>
          <w:iCs/>
          <w:u w:val="single"/>
        </w:rPr>
        <w:t>H</w:t>
      </w:r>
      <w:r w:rsidRPr="00D54068">
        <w:rPr>
          <w:rFonts w:asciiTheme="majorBidi" w:hAnsiTheme="majorBidi" w:cstheme="majorBidi"/>
          <w:bCs/>
          <w:i/>
          <w:iCs/>
          <w:spacing w:val="11"/>
        </w:rPr>
        <w:t>ukm</w:t>
      </w:r>
      <w:r>
        <w:rPr>
          <w:rFonts w:asciiTheme="majorBidi" w:hAnsiTheme="majorBidi" w:cstheme="majorBidi"/>
          <w:i/>
          <w:spacing w:val="11"/>
        </w:rPr>
        <w:t>,</w:t>
      </w:r>
      <w:r>
        <w:rPr>
          <w:rFonts w:asciiTheme="majorBidi" w:hAnsiTheme="majorBidi" w:cstheme="majorBidi"/>
          <w:iCs/>
          <w:spacing w:val="11"/>
        </w:rPr>
        <w:t>(</w:t>
      </w:r>
      <w:r w:rsidRPr="00E103BE">
        <w:rPr>
          <w:rFonts w:asciiTheme="majorBidi" w:hAnsiTheme="majorBidi" w:cstheme="majorBidi"/>
          <w:iCs/>
          <w:spacing w:val="11"/>
        </w:rPr>
        <w:t>Cairo: Syirkah Musahamah Mishriyah, 1925) Cet III, h. 55</w:t>
      </w:r>
    </w:p>
  </w:footnote>
  <w:footnote w:id="24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Ali Abd Raziq, </w:t>
      </w:r>
      <w:r w:rsidRPr="00D54068">
        <w:rPr>
          <w:rFonts w:asciiTheme="majorBidi" w:hAnsiTheme="majorBidi" w:cstheme="majorBidi"/>
          <w:bCs/>
          <w:i/>
          <w:iCs/>
          <w:spacing w:val="11"/>
        </w:rPr>
        <w:t>Al-Isl</w:t>
      </w:r>
      <w:r w:rsidRPr="00D54068">
        <w:rPr>
          <w:rFonts w:asciiTheme="majorBidi" w:hAnsiTheme="majorBidi" w:cstheme="majorBidi"/>
          <w:i/>
          <w:iCs/>
          <w:lang w:val="id-ID"/>
        </w:rPr>
        <w:t>ā</w:t>
      </w:r>
      <w:r w:rsidRPr="00D54068">
        <w:rPr>
          <w:rFonts w:asciiTheme="majorBidi" w:hAnsiTheme="majorBidi" w:cstheme="majorBidi"/>
          <w:bCs/>
          <w:i/>
          <w:iCs/>
          <w:spacing w:val="11"/>
        </w:rPr>
        <w:t>m wa U</w:t>
      </w:r>
      <w:r w:rsidRPr="00D54068">
        <w:rPr>
          <w:rFonts w:asciiTheme="majorBidi" w:hAnsiTheme="majorBidi" w:cstheme="majorBidi"/>
          <w:i/>
          <w:iCs/>
          <w:color w:val="222222"/>
        </w:rPr>
        <w:t>ṣ</w:t>
      </w:r>
      <w:r w:rsidRPr="00D54068">
        <w:rPr>
          <w:rFonts w:asciiTheme="majorBidi" w:hAnsiTheme="majorBidi" w:cstheme="majorBidi"/>
          <w:i/>
          <w:iCs/>
        </w:rPr>
        <w:t>ū</w:t>
      </w:r>
      <w:r w:rsidRPr="00D54068">
        <w:rPr>
          <w:rFonts w:asciiTheme="majorBidi" w:hAnsiTheme="majorBidi" w:cstheme="majorBidi"/>
          <w:bCs/>
          <w:i/>
          <w:iCs/>
          <w:spacing w:val="11"/>
        </w:rPr>
        <w:t>l al-</w:t>
      </w:r>
      <w:r w:rsidRPr="00D54068">
        <w:rPr>
          <w:rFonts w:asciiTheme="majorBidi" w:hAnsiTheme="majorBidi" w:cstheme="majorBidi"/>
          <w:bCs/>
          <w:i/>
          <w:iCs/>
          <w:u w:val="single"/>
        </w:rPr>
        <w:t>H</w:t>
      </w:r>
      <w:r w:rsidRPr="00D54068">
        <w:rPr>
          <w:rFonts w:asciiTheme="majorBidi" w:hAnsiTheme="majorBidi" w:cstheme="majorBidi"/>
          <w:bCs/>
          <w:i/>
          <w:iCs/>
          <w:spacing w:val="11"/>
        </w:rPr>
        <w:t>ukm</w:t>
      </w:r>
      <w:r w:rsidRPr="004666EA">
        <w:rPr>
          <w:rFonts w:asciiTheme="majorBidi" w:hAnsiTheme="majorBidi" w:cstheme="majorBidi"/>
          <w:i/>
          <w:spacing w:val="11"/>
        </w:rPr>
        <w:t xml:space="preserve">, </w:t>
      </w:r>
      <w:r w:rsidRPr="004666EA">
        <w:rPr>
          <w:rFonts w:asciiTheme="majorBidi" w:hAnsiTheme="majorBidi" w:cstheme="majorBidi"/>
          <w:iCs/>
          <w:spacing w:val="11"/>
        </w:rPr>
        <w:t>( Cairo: Syirkah Musahamah Mishriyah, 1925) Cet III, h. 103</w:t>
      </w:r>
    </w:p>
  </w:footnote>
  <w:footnote w:id="24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31</w:t>
      </w:r>
    </w:p>
  </w:footnote>
  <w:footnote w:id="24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31</w:t>
      </w:r>
    </w:p>
  </w:footnote>
  <w:footnote w:id="248">
    <w:p w:rsidR="00343B61" w:rsidRPr="004666EA" w:rsidRDefault="00343B61" w:rsidP="00343B61">
      <w:pPr>
        <w:widowControl w:val="0"/>
        <w:kinsoku w:val="0"/>
        <w:overflowPunct w:val="0"/>
        <w:spacing w:after="0" w:line="240" w:lineRule="auto"/>
        <w:ind w:firstLine="720"/>
        <w:jc w:val="both"/>
        <w:textAlignment w:val="baseline"/>
        <w:rPr>
          <w:rFonts w:asciiTheme="majorBidi" w:hAnsiTheme="majorBidi" w:cstheme="majorBidi"/>
          <w:bCs/>
          <w:spacing w:val="-13"/>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Lihat. </w:t>
      </w:r>
      <w:r w:rsidRPr="004666EA">
        <w:rPr>
          <w:rFonts w:asciiTheme="majorBidi" w:hAnsiTheme="majorBidi" w:cstheme="majorBidi"/>
          <w:bCs/>
          <w:spacing w:val="-11"/>
          <w:sz w:val="20"/>
          <w:szCs w:val="20"/>
        </w:rPr>
        <w:t xml:space="preserve">Abd al-Athi Muhammad Ahmad,  </w:t>
      </w:r>
      <w:r w:rsidRPr="004666EA">
        <w:rPr>
          <w:rFonts w:asciiTheme="majorBidi" w:hAnsiTheme="majorBidi" w:cstheme="majorBidi"/>
          <w:bCs/>
          <w:i/>
          <w:iCs/>
          <w:spacing w:val="-11"/>
          <w:sz w:val="20"/>
          <w:szCs w:val="20"/>
        </w:rPr>
        <w:t>A1-Fikr</w:t>
      </w:r>
      <w:r w:rsidRPr="004666EA">
        <w:rPr>
          <w:rFonts w:asciiTheme="majorBidi" w:hAnsiTheme="majorBidi" w:cstheme="majorBidi"/>
          <w:bCs/>
          <w:spacing w:val="-11"/>
          <w:sz w:val="20"/>
          <w:szCs w:val="20"/>
        </w:rPr>
        <w:t xml:space="preserve"> </w:t>
      </w:r>
      <w:r w:rsidRPr="004666EA">
        <w:rPr>
          <w:rFonts w:asciiTheme="majorBidi" w:hAnsiTheme="majorBidi" w:cstheme="majorBidi"/>
          <w:bCs/>
          <w:i/>
          <w:iCs/>
          <w:spacing w:val="-11"/>
          <w:sz w:val="20"/>
          <w:szCs w:val="20"/>
        </w:rPr>
        <w:t>al-Siyasi li al-Imam Muham</w:t>
      </w:r>
      <w:r w:rsidRPr="004666EA">
        <w:rPr>
          <w:rFonts w:asciiTheme="majorBidi" w:hAnsiTheme="majorBidi" w:cstheme="majorBidi"/>
          <w:bCs/>
          <w:i/>
          <w:iCs/>
          <w:spacing w:val="-13"/>
          <w:sz w:val="20"/>
          <w:szCs w:val="20"/>
        </w:rPr>
        <w:t>mad Abduh,</w:t>
      </w:r>
      <w:r w:rsidRPr="004666EA">
        <w:rPr>
          <w:rFonts w:asciiTheme="majorBidi" w:hAnsiTheme="majorBidi" w:cstheme="majorBidi"/>
          <w:bCs/>
          <w:spacing w:val="-13"/>
          <w:sz w:val="20"/>
          <w:szCs w:val="20"/>
        </w:rPr>
        <w:t xml:space="preserve"> ( Mesir: al-hai’at al-Mishriyat  al-Ammat li al-Kitab, 1978), h. 69.</w:t>
      </w:r>
    </w:p>
  </w:footnote>
  <w:footnote w:id="24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Munawir Sadzali, </w:t>
      </w:r>
      <w:r w:rsidRPr="004666EA">
        <w:rPr>
          <w:rFonts w:asciiTheme="majorBidi" w:hAnsiTheme="majorBidi" w:cstheme="majorBidi"/>
          <w:i/>
          <w:iCs/>
        </w:rPr>
        <w:t>Islam dan Tata Negara, Sejarah dan Pemikiran</w:t>
      </w:r>
      <w:r w:rsidRPr="004666EA">
        <w:rPr>
          <w:rFonts w:asciiTheme="majorBidi" w:hAnsiTheme="majorBidi" w:cstheme="majorBidi"/>
        </w:rPr>
        <w:t>, ( Jakarta: Universitas Indonesia Press, 1991), h. 132</w:t>
      </w:r>
    </w:p>
  </w:footnote>
  <w:footnote w:id="25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w:t>
      </w:r>
      <w:r w:rsidRPr="004666EA">
        <w:rPr>
          <w:rFonts w:asciiTheme="majorBidi" w:hAnsiTheme="majorBidi" w:cstheme="majorBidi"/>
          <w:bCs/>
          <w:spacing w:val="-11"/>
        </w:rPr>
        <w:t xml:space="preserve">Abd al-Athi Muhammad Ahmad, </w:t>
      </w:r>
      <w:r w:rsidRPr="004666EA">
        <w:rPr>
          <w:rFonts w:asciiTheme="majorBidi" w:hAnsiTheme="majorBidi" w:cstheme="majorBidi"/>
          <w:bCs/>
          <w:i/>
          <w:iCs/>
          <w:spacing w:val="-11"/>
        </w:rPr>
        <w:t>A1-Fikr</w:t>
      </w:r>
      <w:r w:rsidRPr="004666EA">
        <w:rPr>
          <w:rFonts w:asciiTheme="majorBidi" w:hAnsiTheme="majorBidi" w:cstheme="majorBidi"/>
          <w:bCs/>
          <w:spacing w:val="-11"/>
        </w:rPr>
        <w:t xml:space="preserve"> </w:t>
      </w:r>
      <w:r w:rsidRPr="004666EA">
        <w:rPr>
          <w:rFonts w:asciiTheme="majorBidi" w:hAnsiTheme="majorBidi" w:cstheme="majorBidi"/>
          <w:bCs/>
          <w:i/>
          <w:iCs/>
          <w:spacing w:val="-11"/>
        </w:rPr>
        <w:t>al-Siyasi li al-Imam Muham</w:t>
      </w:r>
      <w:r w:rsidRPr="004666EA">
        <w:rPr>
          <w:rFonts w:asciiTheme="majorBidi" w:hAnsiTheme="majorBidi" w:cstheme="majorBidi"/>
          <w:bCs/>
          <w:i/>
          <w:iCs/>
          <w:spacing w:val="-13"/>
        </w:rPr>
        <w:t>mad Abduh,</w:t>
      </w:r>
      <w:r w:rsidRPr="004666EA">
        <w:rPr>
          <w:rFonts w:asciiTheme="majorBidi" w:hAnsiTheme="majorBidi" w:cstheme="majorBidi"/>
          <w:bCs/>
          <w:spacing w:val="-13"/>
        </w:rPr>
        <w:t xml:space="preserve"> ( Mesir: al-hai’at al-Mishriyat  al-Ammat li al-Kitab, 1978), h. 149</w:t>
      </w:r>
    </w:p>
  </w:footnote>
  <w:footnote w:id="251">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aja Grafindo Persada, 1994), h. 282</w:t>
      </w:r>
    </w:p>
  </w:footnote>
  <w:footnote w:id="252">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Iqbal, </w:t>
      </w:r>
      <w:r w:rsidRPr="004666EA">
        <w:rPr>
          <w:rFonts w:asciiTheme="majorBidi" w:hAnsiTheme="majorBidi" w:cstheme="majorBidi"/>
          <w:i/>
          <w:iCs/>
        </w:rPr>
        <w:t>Fiqh siyasah, Kontekstualisasi Doktrin Politik Islam</w:t>
      </w:r>
      <w:r w:rsidRPr="004666EA">
        <w:rPr>
          <w:rFonts w:asciiTheme="majorBidi" w:hAnsiTheme="majorBidi" w:cstheme="majorBidi"/>
        </w:rPr>
        <w:t>, ( Jakarta:Prenada Media Group, 2015), h. 32</w:t>
      </w:r>
    </w:p>
  </w:footnote>
  <w:footnote w:id="25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40</w:t>
      </w:r>
    </w:p>
  </w:footnote>
  <w:footnote w:id="25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J. Suyuthi Pulungan, </w:t>
      </w:r>
      <w:r w:rsidRPr="004666EA">
        <w:rPr>
          <w:rFonts w:asciiTheme="majorBidi" w:hAnsiTheme="majorBidi" w:cstheme="majorBidi"/>
          <w:i/>
          <w:iCs/>
        </w:rPr>
        <w:t>Fiqh Siyasah, Ajaran, Sejarah dan Pemikiran</w:t>
      </w:r>
      <w:r w:rsidRPr="004666EA">
        <w:rPr>
          <w:rFonts w:asciiTheme="majorBidi" w:hAnsiTheme="majorBidi" w:cstheme="majorBidi"/>
        </w:rPr>
        <w:t>, ( Jakarta: aja Grafindo Persada, 1994), h. 285</w:t>
      </w:r>
    </w:p>
  </w:footnote>
  <w:footnote w:id="25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Pr>
          <w:rFonts w:asciiTheme="majorBidi" w:hAnsiTheme="majorBidi" w:cstheme="majorBidi"/>
        </w:rPr>
        <w:t xml:space="preserve">Lihat. </w:t>
      </w:r>
      <w:r w:rsidRPr="004666EA">
        <w:rPr>
          <w:rFonts w:asciiTheme="majorBidi" w:hAnsiTheme="majorBidi" w:cstheme="majorBidi"/>
        </w:rPr>
        <w:t xml:space="preserve">Muhammad Husein Haikal, </w:t>
      </w:r>
      <w:r w:rsidRPr="004666EA">
        <w:rPr>
          <w:rFonts w:asciiTheme="majorBidi" w:hAnsiTheme="majorBidi" w:cstheme="majorBidi"/>
          <w:i/>
          <w:iCs/>
          <w:spacing w:val="-4"/>
        </w:rPr>
        <w:t>Al</w:t>
      </w:r>
      <w:r w:rsidRPr="004666EA">
        <w:rPr>
          <w:rFonts w:asciiTheme="majorBidi" w:hAnsiTheme="majorBidi" w:cstheme="majorBidi"/>
          <w:i/>
          <w:iCs/>
          <w:spacing w:val="-4"/>
        </w:rPr>
        <w:softHyphen/>
        <w:t>-</w:t>
      </w:r>
      <w:r w:rsidRPr="00A9608D">
        <w:rPr>
          <w:rFonts w:asciiTheme="majorBidi" w:hAnsiTheme="majorBidi" w:cstheme="majorBidi"/>
          <w:bCs/>
          <w:i/>
          <w:iCs/>
          <w:u w:val="single"/>
        </w:rPr>
        <w:t>H</w:t>
      </w:r>
      <w:r w:rsidRPr="004666EA">
        <w:rPr>
          <w:rFonts w:asciiTheme="majorBidi" w:hAnsiTheme="majorBidi" w:cstheme="majorBidi"/>
          <w:i/>
          <w:iCs/>
          <w:spacing w:val="-4"/>
        </w:rPr>
        <w:t>ukum</w:t>
      </w:r>
      <w:r w:rsidRPr="0051521E">
        <w:rPr>
          <w:rFonts w:asciiTheme="majorBidi" w:hAnsiTheme="majorBidi" w:cstheme="majorBidi"/>
          <w:i/>
          <w:iCs/>
          <w:spacing w:val="1"/>
        </w:rPr>
        <w:t>ā</w:t>
      </w:r>
      <w:r w:rsidRPr="004666EA">
        <w:rPr>
          <w:rFonts w:asciiTheme="majorBidi" w:hAnsiTheme="majorBidi" w:cstheme="majorBidi"/>
          <w:i/>
          <w:iCs/>
          <w:spacing w:val="-4"/>
        </w:rPr>
        <w:t>t al-lslamiy</w:t>
      </w:r>
      <w:r w:rsidRPr="0051521E">
        <w:rPr>
          <w:rFonts w:asciiTheme="majorBidi" w:hAnsiTheme="majorBidi" w:cstheme="majorBidi"/>
          <w:i/>
          <w:iCs/>
          <w:spacing w:val="1"/>
        </w:rPr>
        <w:t>ā</w:t>
      </w:r>
      <w:r w:rsidRPr="004666EA">
        <w:rPr>
          <w:rFonts w:asciiTheme="majorBidi" w:hAnsiTheme="majorBidi" w:cstheme="majorBidi"/>
          <w:i/>
          <w:iCs/>
          <w:spacing w:val="-4"/>
        </w:rPr>
        <w:t>t,</w:t>
      </w:r>
      <w:r w:rsidRPr="004666EA">
        <w:rPr>
          <w:rFonts w:asciiTheme="majorBidi" w:hAnsiTheme="majorBidi" w:cstheme="majorBidi"/>
          <w:spacing w:val="-4"/>
        </w:rPr>
        <w:t>( Mes</w:t>
      </w:r>
      <w:r>
        <w:rPr>
          <w:rFonts w:asciiTheme="majorBidi" w:hAnsiTheme="majorBidi" w:cstheme="majorBidi"/>
          <w:spacing w:val="-4"/>
        </w:rPr>
        <w:t>ir: Dar al-Ma’arif, 1983), h. 43</w:t>
      </w:r>
    </w:p>
  </w:footnote>
  <w:footnote w:id="25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w:t>
      </w:r>
      <w:r>
        <w:rPr>
          <w:rFonts w:asciiTheme="majorBidi" w:hAnsiTheme="majorBidi" w:cstheme="majorBidi"/>
        </w:rPr>
        <w:t xml:space="preserve">Lihat. </w:t>
      </w:r>
      <w:r w:rsidRPr="004666EA">
        <w:rPr>
          <w:rFonts w:asciiTheme="majorBidi" w:hAnsiTheme="majorBidi" w:cstheme="majorBidi"/>
        </w:rPr>
        <w:t xml:space="preserve">Muhammad Husein Haikal, </w:t>
      </w:r>
      <w:r w:rsidRPr="004666EA">
        <w:rPr>
          <w:rFonts w:asciiTheme="majorBidi" w:hAnsiTheme="majorBidi" w:cstheme="majorBidi"/>
          <w:i/>
          <w:iCs/>
          <w:spacing w:val="-4"/>
        </w:rPr>
        <w:t>Al</w:t>
      </w:r>
      <w:r w:rsidRPr="004666EA">
        <w:rPr>
          <w:rFonts w:asciiTheme="majorBidi" w:hAnsiTheme="majorBidi" w:cstheme="majorBidi"/>
          <w:i/>
          <w:iCs/>
          <w:spacing w:val="-4"/>
        </w:rPr>
        <w:softHyphen/>
        <w:t>-</w:t>
      </w:r>
      <w:r w:rsidRPr="00A9608D">
        <w:rPr>
          <w:rFonts w:asciiTheme="majorBidi" w:hAnsiTheme="majorBidi" w:cstheme="majorBidi"/>
          <w:bCs/>
          <w:i/>
          <w:iCs/>
          <w:u w:val="single"/>
        </w:rPr>
        <w:t>H</w:t>
      </w:r>
      <w:r w:rsidRPr="004666EA">
        <w:rPr>
          <w:rFonts w:asciiTheme="majorBidi" w:hAnsiTheme="majorBidi" w:cstheme="majorBidi"/>
          <w:i/>
          <w:iCs/>
          <w:spacing w:val="-4"/>
        </w:rPr>
        <w:t>ukum</w:t>
      </w:r>
      <w:r w:rsidRPr="0051521E">
        <w:rPr>
          <w:rFonts w:asciiTheme="majorBidi" w:hAnsiTheme="majorBidi" w:cstheme="majorBidi"/>
          <w:i/>
          <w:iCs/>
          <w:spacing w:val="1"/>
        </w:rPr>
        <w:t>ā</w:t>
      </w:r>
      <w:r w:rsidRPr="004666EA">
        <w:rPr>
          <w:rFonts w:asciiTheme="majorBidi" w:hAnsiTheme="majorBidi" w:cstheme="majorBidi"/>
          <w:i/>
          <w:iCs/>
          <w:spacing w:val="-4"/>
        </w:rPr>
        <w:t>t al-lslamiy</w:t>
      </w:r>
      <w:r w:rsidRPr="0051521E">
        <w:rPr>
          <w:rFonts w:asciiTheme="majorBidi" w:hAnsiTheme="majorBidi" w:cstheme="majorBidi"/>
          <w:i/>
          <w:iCs/>
          <w:spacing w:val="1"/>
        </w:rPr>
        <w:t>ā</w:t>
      </w:r>
      <w:r w:rsidRPr="004666EA">
        <w:rPr>
          <w:rFonts w:asciiTheme="majorBidi" w:hAnsiTheme="majorBidi" w:cstheme="majorBidi"/>
          <w:i/>
          <w:iCs/>
          <w:spacing w:val="-4"/>
        </w:rPr>
        <w:t>t,</w:t>
      </w:r>
      <w:r w:rsidRPr="004666EA">
        <w:rPr>
          <w:rFonts w:asciiTheme="majorBidi" w:hAnsiTheme="majorBidi" w:cstheme="majorBidi"/>
          <w:spacing w:val="-4"/>
        </w:rPr>
        <w:t>( Mesir: Dar al-Ma’arif, 1983), h. 44</w:t>
      </w:r>
    </w:p>
  </w:footnote>
  <w:footnote w:id="25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Husein Haikal, </w:t>
      </w:r>
      <w:r w:rsidRPr="004666EA">
        <w:rPr>
          <w:rFonts w:asciiTheme="majorBidi" w:hAnsiTheme="majorBidi" w:cstheme="majorBidi"/>
          <w:i/>
          <w:iCs/>
          <w:spacing w:val="-4"/>
        </w:rPr>
        <w:t>Al</w:t>
      </w:r>
      <w:r w:rsidRPr="004666EA">
        <w:rPr>
          <w:rFonts w:asciiTheme="majorBidi" w:hAnsiTheme="majorBidi" w:cstheme="majorBidi"/>
          <w:i/>
          <w:iCs/>
          <w:spacing w:val="-4"/>
        </w:rPr>
        <w:softHyphen/>
        <w:t>-</w:t>
      </w:r>
      <w:r w:rsidRPr="00A9608D">
        <w:rPr>
          <w:rFonts w:asciiTheme="majorBidi" w:hAnsiTheme="majorBidi" w:cstheme="majorBidi"/>
          <w:bCs/>
          <w:i/>
          <w:iCs/>
          <w:u w:val="single"/>
        </w:rPr>
        <w:t>H</w:t>
      </w:r>
      <w:r w:rsidRPr="004666EA">
        <w:rPr>
          <w:rFonts w:asciiTheme="majorBidi" w:hAnsiTheme="majorBidi" w:cstheme="majorBidi"/>
          <w:i/>
          <w:iCs/>
          <w:spacing w:val="-4"/>
        </w:rPr>
        <w:t>ukum</w:t>
      </w:r>
      <w:r w:rsidRPr="0051521E">
        <w:rPr>
          <w:rFonts w:asciiTheme="majorBidi" w:hAnsiTheme="majorBidi" w:cstheme="majorBidi"/>
          <w:i/>
          <w:iCs/>
          <w:spacing w:val="1"/>
        </w:rPr>
        <w:t>ā</w:t>
      </w:r>
      <w:r w:rsidRPr="004666EA">
        <w:rPr>
          <w:rFonts w:asciiTheme="majorBidi" w:hAnsiTheme="majorBidi" w:cstheme="majorBidi"/>
          <w:i/>
          <w:iCs/>
          <w:spacing w:val="-4"/>
        </w:rPr>
        <w:t>t al-lslamiy</w:t>
      </w:r>
      <w:r w:rsidRPr="0051521E">
        <w:rPr>
          <w:rFonts w:asciiTheme="majorBidi" w:hAnsiTheme="majorBidi" w:cstheme="majorBidi"/>
          <w:i/>
          <w:iCs/>
          <w:spacing w:val="1"/>
        </w:rPr>
        <w:t>ā</w:t>
      </w:r>
      <w:r w:rsidRPr="004666EA">
        <w:rPr>
          <w:rFonts w:asciiTheme="majorBidi" w:hAnsiTheme="majorBidi" w:cstheme="majorBidi"/>
          <w:i/>
          <w:iCs/>
          <w:spacing w:val="-4"/>
        </w:rPr>
        <w:t>t,</w:t>
      </w:r>
      <w:r w:rsidRPr="004666EA">
        <w:rPr>
          <w:rFonts w:asciiTheme="majorBidi" w:hAnsiTheme="majorBidi" w:cstheme="majorBidi"/>
          <w:spacing w:val="-4"/>
        </w:rPr>
        <w:t>( Mes</w:t>
      </w:r>
      <w:r>
        <w:rPr>
          <w:rFonts w:asciiTheme="majorBidi" w:hAnsiTheme="majorBidi" w:cstheme="majorBidi"/>
          <w:spacing w:val="-4"/>
        </w:rPr>
        <w:t>ir: Dar al-Ma’arif, 1983), h. 45</w:t>
      </w:r>
    </w:p>
  </w:footnote>
  <w:footnote w:id="25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Husein Haikal, </w:t>
      </w:r>
      <w:r w:rsidRPr="004666EA">
        <w:rPr>
          <w:rFonts w:asciiTheme="majorBidi" w:hAnsiTheme="majorBidi" w:cstheme="majorBidi"/>
          <w:i/>
          <w:iCs/>
          <w:spacing w:val="-4"/>
        </w:rPr>
        <w:t>Al</w:t>
      </w:r>
      <w:r w:rsidRPr="004666EA">
        <w:rPr>
          <w:rFonts w:asciiTheme="majorBidi" w:hAnsiTheme="majorBidi" w:cstheme="majorBidi"/>
          <w:i/>
          <w:iCs/>
          <w:spacing w:val="-4"/>
        </w:rPr>
        <w:softHyphen/>
        <w:t>-</w:t>
      </w:r>
      <w:r w:rsidRPr="00A9608D">
        <w:rPr>
          <w:rFonts w:asciiTheme="majorBidi" w:hAnsiTheme="majorBidi" w:cstheme="majorBidi"/>
          <w:bCs/>
          <w:i/>
          <w:iCs/>
          <w:u w:val="single"/>
        </w:rPr>
        <w:t>H</w:t>
      </w:r>
      <w:r w:rsidRPr="004666EA">
        <w:rPr>
          <w:rFonts w:asciiTheme="majorBidi" w:hAnsiTheme="majorBidi" w:cstheme="majorBidi"/>
          <w:i/>
          <w:iCs/>
          <w:spacing w:val="-4"/>
        </w:rPr>
        <w:t>ukum</w:t>
      </w:r>
      <w:r w:rsidRPr="0051521E">
        <w:rPr>
          <w:rFonts w:asciiTheme="majorBidi" w:hAnsiTheme="majorBidi" w:cstheme="majorBidi"/>
          <w:i/>
          <w:iCs/>
          <w:spacing w:val="1"/>
        </w:rPr>
        <w:t>ā</w:t>
      </w:r>
      <w:r w:rsidRPr="004666EA">
        <w:rPr>
          <w:rFonts w:asciiTheme="majorBidi" w:hAnsiTheme="majorBidi" w:cstheme="majorBidi"/>
          <w:i/>
          <w:iCs/>
          <w:spacing w:val="-4"/>
        </w:rPr>
        <w:t>t al-lslamiy</w:t>
      </w:r>
      <w:r w:rsidRPr="0051521E">
        <w:rPr>
          <w:rFonts w:asciiTheme="majorBidi" w:hAnsiTheme="majorBidi" w:cstheme="majorBidi"/>
          <w:i/>
          <w:iCs/>
          <w:spacing w:val="1"/>
        </w:rPr>
        <w:t>ā</w:t>
      </w:r>
      <w:r w:rsidRPr="004666EA">
        <w:rPr>
          <w:rFonts w:asciiTheme="majorBidi" w:hAnsiTheme="majorBidi" w:cstheme="majorBidi"/>
          <w:i/>
          <w:iCs/>
          <w:spacing w:val="-4"/>
        </w:rPr>
        <w:t>t,</w:t>
      </w:r>
      <w:r w:rsidRPr="004666EA">
        <w:rPr>
          <w:rFonts w:asciiTheme="majorBidi" w:hAnsiTheme="majorBidi" w:cstheme="majorBidi"/>
          <w:spacing w:val="-4"/>
        </w:rPr>
        <w:t>( Mesir: Dar al-Ma’arif, 1983), h. 33-36</w:t>
      </w:r>
    </w:p>
  </w:footnote>
  <w:footnote w:id="259">
    <w:p w:rsidR="00343B61" w:rsidRPr="007F2FC0"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Mujar Ibnu Syarif dan Khamami Zada, </w:t>
      </w:r>
      <w:r w:rsidRPr="004666EA">
        <w:rPr>
          <w:rFonts w:asciiTheme="majorBidi" w:hAnsiTheme="majorBidi" w:cstheme="majorBidi"/>
          <w:i/>
          <w:iCs/>
        </w:rPr>
        <w:t>Fiqh Siyasah, Doktrin dan Pemikiran Politik Islam</w:t>
      </w:r>
      <w:r w:rsidRPr="004666EA">
        <w:rPr>
          <w:rFonts w:asciiTheme="majorBidi" w:hAnsiTheme="majorBidi" w:cstheme="majorBidi"/>
        </w:rPr>
        <w:t>, ( Jakarta: Erlangga, 2008), h. 40</w:t>
      </w:r>
    </w:p>
  </w:footnote>
  <w:footnote w:id="260">
    <w:p w:rsidR="00343B61" w:rsidRDefault="00343B61" w:rsidP="00343B61">
      <w:pPr>
        <w:pStyle w:val="FootnoteText"/>
        <w:ind w:firstLine="720"/>
        <w:jc w:val="both"/>
      </w:pPr>
      <w:r w:rsidRPr="007F2FC0">
        <w:rPr>
          <w:rStyle w:val="FootnoteReference"/>
          <w:rFonts w:asciiTheme="majorBidi" w:hAnsiTheme="majorBidi" w:cstheme="majorBidi"/>
        </w:rPr>
        <w:footnoteRef/>
      </w:r>
      <w:r w:rsidRPr="007F2FC0">
        <w:rPr>
          <w:rFonts w:asciiTheme="majorBidi" w:hAnsiTheme="majorBidi" w:cstheme="majorBidi"/>
        </w:rPr>
        <w:t xml:space="preserve"> Lihat. Muhammad Iqbal, </w:t>
      </w:r>
      <w:r>
        <w:rPr>
          <w:rFonts w:asciiTheme="majorBidi" w:hAnsiTheme="majorBidi" w:cstheme="majorBidi"/>
          <w:i/>
          <w:iCs/>
        </w:rPr>
        <w:t xml:space="preserve">Fiqh siyasah,Kontekstualisasi </w:t>
      </w:r>
      <w:r w:rsidRPr="007F2FC0">
        <w:rPr>
          <w:rFonts w:asciiTheme="majorBidi" w:hAnsiTheme="majorBidi" w:cstheme="majorBidi"/>
          <w:i/>
          <w:iCs/>
        </w:rPr>
        <w:t>Doktrin Politik Islam</w:t>
      </w:r>
      <w:r w:rsidRPr="007F2FC0">
        <w:rPr>
          <w:rFonts w:asciiTheme="majorBidi" w:hAnsiTheme="majorBidi" w:cstheme="majorBidi"/>
        </w:rPr>
        <w:t>, ( Jakarta:</w:t>
      </w:r>
      <w:r>
        <w:rPr>
          <w:rFonts w:asciiTheme="majorBidi" w:hAnsiTheme="majorBidi" w:cstheme="majorBidi"/>
        </w:rPr>
        <w:t xml:space="preserve"> </w:t>
      </w:r>
      <w:r w:rsidRPr="007F2FC0">
        <w:rPr>
          <w:rFonts w:asciiTheme="majorBidi" w:hAnsiTheme="majorBidi" w:cstheme="majorBidi"/>
        </w:rPr>
        <w:t>Prenada Media Group, 2015), h. 32-33</w:t>
      </w:r>
    </w:p>
  </w:footnote>
  <w:footnote w:id="261">
    <w:p w:rsidR="00343B61" w:rsidRPr="00CB59BE" w:rsidRDefault="00343B61" w:rsidP="00343B61">
      <w:pPr>
        <w:pStyle w:val="ListParagraph"/>
        <w:spacing w:after="0" w:line="240" w:lineRule="auto"/>
        <w:ind w:left="0" w:firstLine="720"/>
        <w:jc w:val="both"/>
        <w:rPr>
          <w:rFonts w:asciiTheme="majorBidi" w:hAnsiTheme="majorBidi" w:cstheme="majorBidi"/>
          <w:i/>
          <w:iCs/>
          <w:sz w:val="20"/>
          <w:szCs w:val="20"/>
        </w:rPr>
      </w:pPr>
      <w:r w:rsidRPr="00CB59BE">
        <w:rPr>
          <w:rStyle w:val="FootnoteReference"/>
          <w:sz w:val="20"/>
          <w:szCs w:val="20"/>
        </w:rPr>
        <w:footnoteRef/>
      </w:r>
      <w:r w:rsidRPr="00CB59BE">
        <w:rPr>
          <w:sz w:val="20"/>
          <w:szCs w:val="20"/>
        </w:rPr>
        <w:t xml:space="preserve"> </w:t>
      </w:r>
      <w:r w:rsidRPr="00CB59BE">
        <w:rPr>
          <w:rFonts w:asciiTheme="majorBidi" w:hAnsiTheme="majorBidi" w:cstheme="majorBidi"/>
          <w:sz w:val="20"/>
          <w:szCs w:val="20"/>
        </w:rPr>
        <w:t>Lihat. Al-Syauk</w:t>
      </w:r>
      <w:r w:rsidRPr="003A2EE2">
        <w:rPr>
          <w:rFonts w:asciiTheme="majorBidi" w:hAnsiTheme="majorBidi" w:cstheme="majorBidi"/>
          <w:sz w:val="20"/>
          <w:szCs w:val="20"/>
        </w:rPr>
        <w:t>ā</w:t>
      </w:r>
      <w:r w:rsidRPr="00CB59BE">
        <w:rPr>
          <w:rFonts w:asciiTheme="majorBidi" w:hAnsiTheme="majorBidi" w:cstheme="majorBidi"/>
          <w:sz w:val="20"/>
          <w:szCs w:val="20"/>
        </w:rPr>
        <w:t xml:space="preserve">ni, </w:t>
      </w:r>
      <w:r w:rsidRPr="00CB59BE">
        <w:rPr>
          <w:rFonts w:asciiTheme="majorBidi" w:hAnsiTheme="majorBidi" w:cstheme="majorBidi"/>
          <w:i/>
          <w:iCs/>
          <w:sz w:val="20"/>
          <w:szCs w:val="20"/>
        </w:rPr>
        <w:t>Irsyād al-fuhūl ila Tahqiq min ‘Ilm al-Ushūl</w:t>
      </w:r>
      <w:r w:rsidRPr="00CB59BE">
        <w:rPr>
          <w:rFonts w:asciiTheme="majorBidi" w:hAnsiTheme="majorBidi" w:cstheme="majorBidi"/>
          <w:sz w:val="20"/>
          <w:szCs w:val="20"/>
        </w:rPr>
        <w:t xml:space="preserve">, ( Bairut: </w:t>
      </w:r>
      <w:r>
        <w:rPr>
          <w:rFonts w:asciiTheme="majorBidi" w:hAnsiTheme="majorBidi" w:cstheme="majorBidi"/>
          <w:sz w:val="20"/>
          <w:szCs w:val="20"/>
        </w:rPr>
        <w:t>Dār al-Fikr</w:t>
      </w:r>
      <w:r w:rsidRPr="00CB59BE">
        <w:rPr>
          <w:rFonts w:asciiTheme="majorBidi" w:hAnsiTheme="majorBidi" w:cstheme="majorBidi"/>
          <w:sz w:val="20"/>
          <w:szCs w:val="20"/>
        </w:rPr>
        <w:t>, t.th), h. 198</w:t>
      </w:r>
    </w:p>
  </w:footnote>
  <w:footnote w:id="262">
    <w:p w:rsidR="00343B61" w:rsidRPr="00624292"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tl/>
        </w:rPr>
      </w:pPr>
      <w:r w:rsidRPr="00624292">
        <w:rPr>
          <w:rStyle w:val="FootnoteReference"/>
          <w:rFonts w:asciiTheme="majorBidi" w:hAnsiTheme="majorBidi" w:cstheme="majorBidi"/>
          <w:sz w:val="20"/>
          <w:szCs w:val="20"/>
        </w:rPr>
        <w:footnoteRef/>
      </w:r>
      <w:r w:rsidRPr="00624292">
        <w:rPr>
          <w:rFonts w:asciiTheme="majorBidi" w:hAnsiTheme="majorBidi" w:cstheme="majorBidi"/>
          <w:sz w:val="20"/>
          <w:szCs w:val="20"/>
        </w:rPr>
        <w:t xml:space="preserve"> Lihat. Abd al-Hak</w:t>
      </w:r>
      <w:r w:rsidRPr="003A2EE2">
        <w:rPr>
          <w:rFonts w:asciiTheme="majorBidi" w:hAnsiTheme="majorBidi" w:cstheme="majorBidi"/>
          <w:sz w:val="20"/>
          <w:szCs w:val="20"/>
        </w:rPr>
        <w:t>ī</w:t>
      </w:r>
      <w:r>
        <w:rPr>
          <w:rFonts w:asciiTheme="majorBidi" w:hAnsiTheme="majorBidi" w:cstheme="majorBidi"/>
          <w:sz w:val="20"/>
          <w:szCs w:val="20"/>
        </w:rPr>
        <w:t>m ‘Abd al-Rahma</w:t>
      </w:r>
      <w:r w:rsidRPr="00624292">
        <w:rPr>
          <w:rFonts w:asciiTheme="majorBidi" w:hAnsiTheme="majorBidi" w:cstheme="majorBidi"/>
          <w:sz w:val="20"/>
          <w:szCs w:val="20"/>
        </w:rPr>
        <w:t xml:space="preserve">n As‘ad al-Sa‘di, </w:t>
      </w:r>
      <w:r w:rsidRPr="00624292">
        <w:rPr>
          <w:rFonts w:asciiTheme="majorBidi" w:hAnsiTheme="majorBidi" w:cstheme="majorBidi"/>
          <w:i/>
          <w:iCs/>
          <w:sz w:val="20"/>
          <w:szCs w:val="20"/>
        </w:rPr>
        <w:t>Mab</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hits al-‘Illah f</w:t>
      </w:r>
      <w:r w:rsidRPr="00D12D05">
        <w:rPr>
          <w:rFonts w:asciiTheme="majorBidi" w:hAnsiTheme="majorBidi" w:cstheme="majorBidi"/>
          <w:i/>
          <w:iCs/>
          <w:sz w:val="20"/>
          <w:szCs w:val="20"/>
        </w:rPr>
        <w:t>ī</w:t>
      </w:r>
      <w:r>
        <w:rPr>
          <w:rFonts w:asciiTheme="majorBidi" w:hAnsiTheme="majorBidi" w:cstheme="majorBidi"/>
          <w:i/>
          <w:iCs/>
          <w:sz w:val="20"/>
          <w:szCs w:val="20"/>
        </w:rPr>
        <w:t xml:space="preserve"> </w:t>
      </w:r>
      <w:r w:rsidRPr="00624292">
        <w:rPr>
          <w:rFonts w:asciiTheme="majorBidi" w:hAnsiTheme="majorBidi" w:cstheme="majorBidi"/>
          <w:i/>
          <w:iCs/>
          <w:sz w:val="20"/>
          <w:szCs w:val="20"/>
        </w:rPr>
        <w:t>al-Qiy</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s ‘ind al- Us</w:t>
      </w:r>
      <w:r w:rsidRPr="0056354E">
        <w:rPr>
          <w:rFonts w:asciiTheme="majorBidi" w:hAnsiTheme="majorBidi" w:cstheme="majorBidi"/>
          <w:i/>
          <w:iCs/>
          <w:sz w:val="20"/>
          <w:szCs w:val="20"/>
        </w:rPr>
        <w:t>ū</w:t>
      </w:r>
      <w:r w:rsidRPr="00624292">
        <w:rPr>
          <w:rFonts w:asciiTheme="majorBidi" w:hAnsiTheme="majorBidi" w:cstheme="majorBidi"/>
          <w:i/>
          <w:iCs/>
          <w:sz w:val="20"/>
          <w:szCs w:val="20"/>
        </w:rPr>
        <w:t>liyyîn</w:t>
      </w:r>
      <w:r w:rsidRPr="00624292">
        <w:rPr>
          <w:rFonts w:asciiTheme="majorBidi" w:hAnsiTheme="majorBidi" w:cstheme="majorBidi"/>
          <w:sz w:val="20"/>
          <w:szCs w:val="20"/>
        </w:rPr>
        <w:t>, (Beirut: Dâr al-Basyâ’ir al-Islâmiyyah, 1406 H/1986 M), h. 28</w:t>
      </w:r>
    </w:p>
  </w:footnote>
  <w:footnote w:id="263">
    <w:p w:rsidR="00343B61" w:rsidRPr="00DC7A5C" w:rsidRDefault="00343B61" w:rsidP="00343B61">
      <w:pPr>
        <w:pStyle w:val="FootnoteText"/>
        <w:ind w:firstLine="720"/>
        <w:jc w:val="both"/>
        <w:rPr>
          <w:rFonts w:asciiTheme="majorBidi" w:hAnsiTheme="majorBidi" w:cstheme="majorBidi"/>
        </w:rPr>
      </w:pPr>
      <w:r w:rsidRPr="00624292">
        <w:rPr>
          <w:rStyle w:val="FootnoteReference"/>
          <w:rFonts w:asciiTheme="majorBidi" w:hAnsiTheme="majorBidi" w:cstheme="majorBidi"/>
        </w:rPr>
        <w:footnoteRef/>
      </w:r>
      <w:r w:rsidRPr="00624292">
        <w:rPr>
          <w:rFonts w:asciiTheme="majorBidi" w:hAnsiTheme="majorBidi" w:cstheme="majorBidi"/>
        </w:rPr>
        <w:t xml:space="preserve"> Lihat. Nasrun Harun, </w:t>
      </w:r>
      <w:r w:rsidRPr="00624292">
        <w:rPr>
          <w:rFonts w:asciiTheme="majorBidi" w:hAnsiTheme="majorBidi" w:cstheme="majorBidi"/>
          <w:i/>
          <w:iCs/>
        </w:rPr>
        <w:t>Konsep Ijtihad Al-Syaukani, Relevansinya Bagi Pembaruan Hukum Islam di Indonesia</w:t>
      </w:r>
      <w:r w:rsidRPr="00624292">
        <w:rPr>
          <w:rFonts w:asciiTheme="majorBidi" w:hAnsiTheme="majorBidi" w:cstheme="majorBidi"/>
        </w:rPr>
        <w:t>, ( Jakarta Logos Waca Ilmu, 1999), h. 10</w:t>
      </w:r>
    </w:p>
  </w:footnote>
  <w:footnote w:id="264">
    <w:p w:rsidR="00343B61" w:rsidRPr="00C50B62" w:rsidRDefault="00343B61" w:rsidP="00343B61">
      <w:pPr>
        <w:pStyle w:val="FootnoteText"/>
        <w:ind w:firstLine="720"/>
        <w:jc w:val="both"/>
        <w:rPr>
          <w:rFonts w:asciiTheme="majorBidi" w:hAnsiTheme="majorBidi" w:cstheme="majorBidi"/>
        </w:rPr>
      </w:pPr>
      <w:r w:rsidRPr="00C50B62">
        <w:rPr>
          <w:rStyle w:val="FootnoteReference"/>
          <w:rFonts w:asciiTheme="majorBidi" w:hAnsiTheme="majorBidi" w:cstheme="majorBidi"/>
        </w:rPr>
        <w:footnoteRef/>
      </w:r>
      <w:r w:rsidRPr="00C50B62">
        <w:rPr>
          <w:rFonts w:asciiTheme="majorBidi" w:hAnsiTheme="majorBidi" w:cstheme="majorBidi"/>
        </w:rPr>
        <w:t xml:space="preserve"> Lihat. Muhammad al-Khudari Bik,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sidRPr="00C50B62">
        <w:rPr>
          <w:rFonts w:asciiTheme="majorBidi" w:hAnsiTheme="majorBidi" w:cstheme="majorBidi"/>
        </w:rPr>
        <w:t>, (Beirut: Dâr al-Fikr, 1409 H/1988 M), h. 293.</w:t>
      </w:r>
    </w:p>
  </w:footnote>
  <w:footnote w:id="265">
    <w:p w:rsidR="00343B61" w:rsidRPr="00C50B62"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C50B62">
        <w:rPr>
          <w:rStyle w:val="FootnoteReference"/>
          <w:rFonts w:asciiTheme="majorBidi" w:hAnsiTheme="majorBidi" w:cstheme="majorBidi"/>
          <w:sz w:val="20"/>
          <w:szCs w:val="20"/>
        </w:rPr>
        <w:footnoteRef/>
      </w:r>
      <w:r w:rsidRPr="00C50B62">
        <w:rPr>
          <w:rFonts w:asciiTheme="majorBidi" w:hAnsiTheme="majorBidi" w:cstheme="majorBidi"/>
          <w:sz w:val="20"/>
          <w:szCs w:val="20"/>
        </w:rPr>
        <w:t xml:space="preserve"> Lihat. Wahbah al-Zuhaili, </w:t>
      </w:r>
      <w:r w:rsidRPr="00D546A2">
        <w:rPr>
          <w:rFonts w:asciiTheme="majorBidi" w:hAnsiTheme="majorBidi" w:cstheme="majorBidi"/>
          <w:i/>
          <w:iCs/>
        </w:rPr>
        <w:t>Us</w:t>
      </w:r>
      <w:r w:rsidRPr="0056354E">
        <w:rPr>
          <w:rFonts w:asciiTheme="majorBidi" w:hAnsiTheme="majorBidi" w:cstheme="majorBidi"/>
          <w:i/>
          <w:iCs/>
          <w:sz w:val="20"/>
          <w:szCs w:val="20"/>
        </w:rPr>
        <w:t>ū</w:t>
      </w:r>
      <w:r w:rsidRPr="00D546A2">
        <w:rPr>
          <w:rFonts w:asciiTheme="majorBidi" w:hAnsiTheme="majorBidi" w:cstheme="majorBidi"/>
          <w:i/>
          <w:iCs/>
        </w:rPr>
        <w:t>l al-Fiqh</w:t>
      </w:r>
      <w:r w:rsidRPr="00C50B62">
        <w:rPr>
          <w:rFonts w:asciiTheme="majorBidi" w:hAnsiTheme="majorBidi" w:cstheme="majorBidi"/>
          <w:i/>
          <w:iCs/>
          <w:sz w:val="20"/>
          <w:szCs w:val="20"/>
        </w:rPr>
        <w:t xml:space="preserve"> al-Isl</w:t>
      </w:r>
      <w:r w:rsidRPr="0051521E">
        <w:rPr>
          <w:rFonts w:asciiTheme="majorBidi" w:hAnsiTheme="majorBidi" w:cstheme="majorBidi"/>
          <w:i/>
          <w:iCs/>
          <w:spacing w:val="1"/>
          <w:sz w:val="20"/>
          <w:szCs w:val="20"/>
        </w:rPr>
        <w:t>ā</w:t>
      </w:r>
      <w:r w:rsidRPr="00C50B62">
        <w:rPr>
          <w:rFonts w:asciiTheme="majorBidi" w:hAnsiTheme="majorBidi" w:cstheme="majorBidi"/>
          <w:i/>
          <w:iCs/>
          <w:sz w:val="20"/>
          <w:szCs w:val="20"/>
        </w:rPr>
        <w:t>miy</w:t>
      </w:r>
      <w:r w:rsidRPr="00C50B62">
        <w:rPr>
          <w:rFonts w:asciiTheme="majorBidi" w:hAnsiTheme="majorBidi" w:cstheme="majorBidi"/>
          <w:sz w:val="20"/>
          <w:szCs w:val="20"/>
        </w:rPr>
        <w:t>, (Beirut: Dâr al-Fikr, 1406 H /1986 M), Juz ke-1, h. 633.</w:t>
      </w:r>
    </w:p>
  </w:footnote>
  <w:footnote w:id="266">
    <w:p w:rsidR="00343B61" w:rsidRPr="006A4C9C"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C50B62">
        <w:rPr>
          <w:rStyle w:val="FootnoteReference"/>
          <w:rFonts w:asciiTheme="majorBidi" w:hAnsiTheme="majorBidi" w:cstheme="majorBidi"/>
          <w:sz w:val="20"/>
          <w:szCs w:val="20"/>
        </w:rPr>
        <w:footnoteRef/>
      </w:r>
      <w:r w:rsidRPr="00C50B62">
        <w:rPr>
          <w:rFonts w:asciiTheme="majorBidi" w:hAnsiTheme="majorBidi" w:cstheme="majorBidi"/>
          <w:sz w:val="20"/>
          <w:szCs w:val="20"/>
        </w:rPr>
        <w:t xml:space="preserve"> Lihat. ‘</w:t>
      </w:r>
      <w:r w:rsidRPr="00C50B62">
        <w:rPr>
          <w:rFonts w:asciiTheme="majorBidi" w:hAnsiTheme="majorBidi" w:cstheme="majorBidi"/>
          <w:i/>
          <w:iCs/>
          <w:sz w:val="20"/>
          <w:szCs w:val="20"/>
        </w:rPr>
        <w:t>Mas</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dir al-Tasyr</w:t>
      </w:r>
      <w:r w:rsidRPr="00D12D05">
        <w:rPr>
          <w:rFonts w:asciiTheme="majorBidi" w:hAnsiTheme="majorBidi" w:cstheme="majorBidi"/>
          <w:i/>
          <w:iCs/>
          <w:sz w:val="20"/>
          <w:szCs w:val="20"/>
        </w:rPr>
        <w:t>ī</w:t>
      </w:r>
      <w:r w:rsidRPr="00C50B62">
        <w:rPr>
          <w:rFonts w:asciiTheme="majorBidi" w:hAnsiTheme="majorBidi" w:cstheme="majorBidi"/>
          <w:i/>
          <w:iCs/>
          <w:sz w:val="20"/>
          <w:szCs w:val="20"/>
        </w:rPr>
        <w:t>‘ f</w:t>
      </w:r>
      <w:r w:rsidRPr="00D12D05">
        <w:rPr>
          <w:rFonts w:asciiTheme="majorBidi" w:hAnsiTheme="majorBidi" w:cstheme="majorBidi"/>
          <w:i/>
          <w:iCs/>
          <w:sz w:val="20"/>
          <w:szCs w:val="20"/>
        </w:rPr>
        <w:t>ī</w:t>
      </w:r>
      <w:r>
        <w:rPr>
          <w:rFonts w:asciiTheme="majorBidi" w:hAnsiTheme="majorBidi" w:cstheme="majorBidi"/>
          <w:i/>
          <w:iCs/>
          <w:sz w:val="20"/>
          <w:szCs w:val="20"/>
        </w:rPr>
        <w:t xml:space="preserve"> </w:t>
      </w:r>
      <w:r w:rsidRPr="00C50B62">
        <w:rPr>
          <w:rFonts w:asciiTheme="majorBidi" w:hAnsiTheme="majorBidi" w:cstheme="majorBidi"/>
          <w:i/>
          <w:iCs/>
          <w:sz w:val="20"/>
          <w:szCs w:val="20"/>
        </w:rPr>
        <w:t>M</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 xml:space="preserve"> l</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 xml:space="preserve"> Nassa f</w:t>
      </w:r>
      <w:r w:rsidRPr="00D12D05">
        <w:rPr>
          <w:rFonts w:asciiTheme="majorBidi" w:hAnsiTheme="majorBidi" w:cstheme="majorBidi"/>
          <w:i/>
          <w:iCs/>
          <w:sz w:val="20"/>
          <w:szCs w:val="20"/>
        </w:rPr>
        <w:t>ī</w:t>
      </w:r>
      <w:r w:rsidRPr="00C50B62">
        <w:rPr>
          <w:rFonts w:asciiTheme="majorBidi" w:hAnsiTheme="majorBidi" w:cstheme="majorBidi"/>
          <w:i/>
          <w:iCs/>
          <w:sz w:val="20"/>
          <w:szCs w:val="20"/>
        </w:rPr>
        <w:t>h</w:t>
      </w:r>
      <w:r w:rsidRPr="00C50B62">
        <w:rPr>
          <w:rFonts w:asciiTheme="majorBidi" w:hAnsiTheme="majorBidi" w:cstheme="majorBidi"/>
          <w:sz w:val="20"/>
          <w:szCs w:val="20"/>
        </w:rPr>
        <w:t>, (Kuwait: Dâr al-Qalam, 1392 H/1972 M), h. 47.</w:t>
      </w:r>
    </w:p>
  </w:footnote>
  <w:footnote w:id="267">
    <w:p w:rsidR="00343B61" w:rsidRPr="00C50B62" w:rsidRDefault="00343B61" w:rsidP="00343B61">
      <w:pPr>
        <w:autoSpaceDE w:val="0"/>
        <w:autoSpaceDN w:val="0"/>
        <w:adjustRightInd w:val="0"/>
        <w:spacing w:after="0" w:line="240" w:lineRule="auto"/>
        <w:ind w:firstLine="720"/>
        <w:rPr>
          <w:rFonts w:asciiTheme="majorBidi" w:hAnsiTheme="majorBidi" w:cstheme="majorBidi"/>
          <w:i/>
          <w:iCs/>
          <w:sz w:val="20"/>
          <w:szCs w:val="20"/>
        </w:rPr>
      </w:pPr>
      <w:r w:rsidRPr="00C50B62">
        <w:rPr>
          <w:rStyle w:val="FootnoteReference"/>
          <w:rFonts w:asciiTheme="majorBidi" w:hAnsiTheme="majorBidi" w:cstheme="majorBidi"/>
          <w:sz w:val="20"/>
          <w:szCs w:val="20"/>
        </w:rPr>
        <w:footnoteRef/>
      </w:r>
      <w:r w:rsidRPr="00C50B62">
        <w:rPr>
          <w:rFonts w:asciiTheme="majorBidi" w:hAnsiTheme="majorBidi" w:cstheme="majorBidi"/>
          <w:sz w:val="20"/>
          <w:szCs w:val="20"/>
        </w:rPr>
        <w:t xml:space="preserve"> ‘Abd al-Hakîm ‘Abd al-Rahmân As‘ad al-Sa‘di, </w:t>
      </w:r>
      <w:r w:rsidRPr="00624292">
        <w:rPr>
          <w:rFonts w:asciiTheme="majorBidi" w:hAnsiTheme="majorBidi" w:cstheme="majorBidi"/>
          <w:i/>
          <w:iCs/>
          <w:sz w:val="20"/>
          <w:szCs w:val="20"/>
        </w:rPr>
        <w:t>Mab</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hits al-‘Illah f</w:t>
      </w:r>
      <w:r w:rsidRPr="00D12D05">
        <w:rPr>
          <w:rFonts w:asciiTheme="majorBidi" w:hAnsiTheme="majorBidi" w:cstheme="majorBidi"/>
          <w:i/>
          <w:iCs/>
          <w:sz w:val="20"/>
          <w:szCs w:val="20"/>
        </w:rPr>
        <w:t>ī</w:t>
      </w:r>
      <w:r>
        <w:rPr>
          <w:rFonts w:asciiTheme="majorBidi" w:hAnsiTheme="majorBidi" w:cstheme="majorBidi"/>
          <w:i/>
          <w:iCs/>
          <w:sz w:val="20"/>
          <w:szCs w:val="20"/>
        </w:rPr>
        <w:t xml:space="preserve"> </w:t>
      </w:r>
      <w:r w:rsidRPr="00624292">
        <w:rPr>
          <w:rFonts w:asciiTheme="majorBidi" w:hAnsiTheme="majorBidi" w:cstheme="majorBidi"/>
          <w:i/>
          <w:iCs/>
          <w:sz w:val="20"/>
          <w:szCs w:val="20"/>
        </w:rPr>
        <w:t>al-Qiy</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s ‘ind al- Us</w:t>
      </w:r>
      <w:r w:rsidRPr="0056354E">
        <w:rPr>
          <w:rFonts w:asciiTheme="majorBidi" w:hAnsiTheme="majorBidi" w:cstheme="majorBidi"/>
          <w:i/>
          <w:iCs/>
          <w:sz w:val="20"/>
          <w:szCs w:val="20"/>
        </w:rPr>
        <w:t>ū</w:t>
      </w:r>
      <w:r w:rsidRPr="00624292">
        <w:rPr>
          <w:rFonts w:asciiTheme="majorBidi" w:hAnsiTheme="majorBidi" w:cstheme="majorBidi"/>
          <w:i/>
          <w:iCs/>
          <w:sz w:val="20"/>
          <w:szCs w:val="20"/>
        </w:rPr>
        <w:t>liyy</w:t>
      </w:r>
      <w:r w:rsidRPr="00D12D05">
        <w:rPr>
          <w:rFonts w:asciiTheme="majorBidi" w:hAnsiTheme="majorBidi" w:cstheme="majorBidi"/>
          <w:i/>
          <w:iCs/>
          <w:sz w:val="20"/>
          <w:szCs w:val="20"/>
        </w:rPr>
        <w:t>ī</w:t>
      </w:r>
      <w:r w:rsidRPr="00624292">
        <w:rPr>
          <w:rFonts w:asciiTheme="majorBidi" w:hAnsiTheme="majorBidi" w:cstheme="majorBidi"/>
          <w:i/>
          <w:iCs/>
          <w:sz w:val="20"/>
          <w:szCs w:val="20"/>
        </w:rPr>
        <w:t>n</w:t>
      </w:r>
      <w:r w:rsidRPr="00C50B62">
        <w:rPr>
          <w:rFonts w:asciiTheme="majorBidi" w:hAnsiTheme="majorBidi" w:cstheme="majorBidi"/>
          <w:sz w:val="20"/>
          <w:szCs w:val="20"/>
        </w:rPr>
        <w:t>, h. 94.</w:t>
      </w:r>
    </w:p>
  </w:footnote>
  <w:footnote w:id="268">
    <w:p w:rsidR="00343B61" w:rsidRPr="00C50B62" w:rsidRDefault="00343B61" w:rsidP="00343B61">
      <w:pPr>
        <w:pStyle w:val="FootnoteText"/>
        <w:ind w:firstLine="720"/>
        <w:rPr>
          <w:rFonts w:asciiTheme="majorBidi" w:hAnsiTheme="majorBidi" w:cstheme="majorBidi"/>
        </w:rPr>
      </w:pPr>
      <w:r w:rsidRPr="00C50B62">
        <w:rPr>
          <w:rStyle w:val="FootnoteReference"/>
          <w:rFonts w:asciiTheme="majorBidi" w:hAnsiTheme="majorBidi" w:cstheme="majorBidi"/>
        </w:rPr>
        <w:footnoteRef/>
      </w:r>
      <w:r w:rsidRPr="00C50B62">
        <w:rPr>
          <w:rFonts w:asciiTheme="majorBidi" w:hAnsiTheme="majorBidi" w:cstheme="majorBidi"/>
        </w:rPr>
        <w:t xml:space="preserve"> Muhammad al-Khudari Bik, </w:t>
      </w:r>
      <w:r w:rsidRPr="00C50B62">
        <w:rPr>
          <w:rFonts w:asciiTheme="majorBidi" w:hAnsiTheme="majorBidi" w:cstheme="majorBidi"/>
          <w:i/>
          <w:iCs/>
        </w:rPr>
        <w:t>Usûl al-Fiqh</w:t>
      </w:r>
      <w:r w:rsidRPr="00C50B62">
        <w:rPr>
          <w:rFonts w:asciiTheme="majorBidi" w:hAnsiTheme="majorBidi" w:cstheme="majorBidi"/>
        </w:rPr>
        <w:t xml:space="preserve">, </w:t>
      </w:r>
      <w:r w:rsidRPr="005006BE">
        <w:rPr>
          <w:rFonts w:asciiTheme="majorBidi" w:hAnsiTheme="majorBidi" w:cstheme="majorBidi"/>
          <w:i/>
          <w:iCs/>
        </w:rPr>
        <w:t>ibid</w:t>
      </w:r>
      <w:r>
        <w:rPr>
          <w:rFonts w:asciiTheme="majorBidi" w:hAnsiTheme="majorBidi" w:cstheme="majorBidi"/>
        </w:rPr>
        <w:t xml:space="preserve">, </w:t>
      </w:r>
      <w:r w:rsidRPr="00C50B62">
        <w:rPr>
          <w:rFonts w:asciiTheme="majorBidi" w:hAnsiTheme="majorBidi" w:cstheme="majorBidi"/>
        </w:rPr>
        <w:t>h. 299.</w:t>
      </w:r>
    </w:p>
  </w:footnote>
  <w:footnote w:id="269">
    <w:p w:rsidR="00343B61" w:rsidRDefault="00343B61" w:rsidP="00343B61">
      <w:pPr>
        <w:pStyle w:val="FootnoteText"/>
        <w:ind w:firstLine="720"/>
        <w:jc w:val="both"/>
      </w:pPr>
      <w:r w:rsidRPr="00C50B62">
        <w:rPr>
          <w:rStyle w:val="FootnoteReference"/>
          <w:rFonts w:asciiTheme="majorBidi" w:hAnsiTheme="majorBidi" w:cstheme="majorBidi"/>
        </w:rPr>
        <w:footnoteRef/>
      </w:r>
      <w:r w:rsidRPr="00C50B62">
        <w:rPr>
          <w:rFonts w:asciiTheme="majorBidi" w:hAnsiTheme="majorBidi" w:cstheme="majorBidi"/>
        </w:rPr>
        <w:t xml:space="preserve"> Abd al-Hakîm ‘Abd al-Rahmân As‘ad al-Sa‘di, </w:t>
      </w:r>
      <w:r w:rsidRPr="00624292">
        <w:rPr>
          <w:rFonts w:asciiTheme="majorBidi" w:hAnsiTheme="majorBidi" w:cstheme="majorBidi"/>
          <w:i/>
          <w:iCs/>
        </w:rPr>
        <w:t>Mab</w:t>
      </w:r>
      <w:r w:rsidRPr="00D54068">
        <w:rPr>
          <w:rFonts w:asciiTheme="majorBidi" w:hAnsiTheme="majorBidi" w:cstheme="majorBidi"/>
          <w:i/>
          <w:iCs/>
          <w:lang w:val="id-ID"/>
        </w:rPr>
        <w:t>ā</w:t>
      </w:r>
      <w:r w:rsidRPr="00624292">
        <w:rPr>
          <w:rFonts w:asciiTheme="majorBidi" w:hAnsiTheme="majorBidi" w:cstheme="majorBidi"/>
          <w:i/>
          <w:iCs/>
        </w:rPr>
        <w:t>hits al-‘Illah f</w:t>
      </w:r>
      <w:r w:rsidRPr="00D12D05">
        <w:rPr>
          <w:rFonts w:asciiTheme="majorBidi" w:hAnsiTheme="majorBidi" w:cstheme="majorBidi"/>
          <w:i/>
          <w:iCs/>
        </w:rPr>
        <w:t>ī</w:t>
      </w:r>
      <w:r>
        <w:rPr>
          <w:rFonts w:asciiTheme="majorBidi" w:hAnsiTheme="majorBidi" w:cstheme="majorBidi"/>
          <w:i/>
          <w:iCs/>
        </w:rPr>
        <w:t xml:space="preserve"> </w:t>
      </w:r>
      <w:r w:rsidRPr="00624292">
        <w:rPr>
          <w:rFonts w:asciiTheme="majorBidi" w:hAnsiTheme="majorBidi" w:cstheme="majorBidi"/>
          <w:i/>
          <w:iCs/>
        </w:rPr>
        <w:t>al-Qiy</w:t>
      </w:r>
      <w:r w:rsidRPr="00D54068">
        <w:rPr>
          <w:rFonts w:asciiTheme="majorBidi" w:hAnsiTheme="majorBidi" w:cstheme="majorBidi"/>
          <w:i/>
          <w:iCs/>
          <w:lang w:val="id-ID"/>
        </w:rPr>
        <w:t>ā</w:t>
      </w:r>
      <w:r w:rsidRPr="00624292">
        <w:rPr>
          <w:rFonts w:asciiTheme="majorBidi" w:hAnsiTheme="majorBidi" w:cstheme="majorBidi"/>
          <w:i/>
          <w:iCs/>
        </w:rPr>
        <w:t>s ‘ind al- Us</w:t>
      </w:r>
      <w:r w:rsidRPr="0056354E">
        <w:rPr>
          <w:rFonts w:asciiTheme="majorBidi" w:hAnsiTheme="majorBidi" w:cstheme="majorBidi"/>
          <w:i/>
          <w:iCs/>
        </w:rPr>
        <w:t>ū</w:t>
      </w:r>
      <w:r w:rsidRPr="00624292">
        <w:rPr>
          <w:rFonts w:asciiTheme="majorBidi" w:hAnsiTheme="majorBidi" w:cstheme="majorBidi"/>
          <w:i/>
          <w:iCs/>
        </w:rPr>
        <w:t>liyy</w:t>
      </w:r>
      <w:r w:rsidRPr="00D12D05">
        <w:rPr>
          <w:rFonts w:asciiTheme="majorBidi" w:hAnsiTheme="majorBidi" w:cstheme="majorBidi"/>
          <w:i/>
          <w:iCs/>
        </w:rPr>
        <w:t>ī</w:t>
      </w:r>
      <w:r w:rsidRPr="00624292">
        <w:rPr>
          <w:rFonts w:asciiTheme="majorBidi" w:hAnsiTheme="majorBidi" w:cstheme="majorBidi"/>
          <w:i/>
          <w:iCs/>
        </w:rPr>
        <w:t>n</w:t>
      </w:r>
      <w:r w:rsidRPr="00624292">
        <w:rPr>
          <w:rFonts w:asciiTheme="majorBidi" w:hAnsiTheme="majorBidi" w:cstheme="majorBidi"/>
        </w:rPr>
        <w:t>,</w:t>
      </w:r>
      <w:r>
        <w:rPr>
          <w:rFonts w:asciiTheme="majorBidi" w:hAnsiTheme="majorBidi" w:cstheme="majorBidi"/>
        </w:rPr>
        <w:t>, h</w:t>
      </w:r>
      <w:r w:rsidRPr="00C50B62">
        <w:rPr>
          <w:rFonts w:asciiTheme="majorBidi" w:hAnsiTheme="majorBidi" w:cstheme="majorBidi"/>
        </w:rPr>
        <w:t>. 399.</w:t>
      </w:r>
    </w:p>
  </w:footnote>
  <w:footnote w:id="270">
    <w:p w:rsidR="00343B61" w:rsidRPr="00C50B62"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C50B62">
        <w:rPr>
          <w:rStyle w:val="FootnoteReference"/>
          <w:rFonts w:asciiTheme="majorBidi" w:hAnsiTheme="majorBidi" w:cstheme="majorBidi"/>
          <w:sz w:val="20"/>
          <w:szCs w:val="20"/>
        </w:rPr>
        <w:footnoteRef/>
      </w:r>
      <w:r w:rsidRPr="00C50B62">
        <w:rPr>
          <w:rFonts w:asciiTheme="majorBidi" w:hAnsiTheme="majorBidi" w:cstheme="majorBidi"/>
          <w:sz w:val="20"/>
          <w:szCs w:val="20"/>
        </w:rPr>
        <w:t xml:space="preserve"> Lihat. Abd al-Hakîm ‘Abd al-Rahmân As‘ad al-Sa‘di, </w:t>
      </w:r>
      <w:r w:rsidRPr="00624292">
        <w:rPr>
          <w:rFonts w:asciiTheme="majorBidi" w:hAnsiTheme="majorBidi" w:cstheme="majorBidi"/>
          <w:i/>
          <w:iCs/>
          <w:sz w:val="20"/>
          <w:szCs w:val="20"/>
        </w:rPr>
        <w:t>Mab</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hits al-‘Illah f</w:t>
      </w:r>
      <w:r w:rsidRPr="00D12D05">
        <w:rPr>
          <w:rFonts w:asciiTheme="majorBidi" w:hAnsiTheme="majorBidi" w:cstheme="majorBidi"/>
          <w:i/>
          <w:iCs/>
          <w:sz w:val="20"/>
          <w:szCs w:val="20"/>
        </w:rPr>
        <w:t>ī</w:t>
      </w:r>
      <w:r>
        <w:rPr>
          <w:rFonts w:asciiTheme="majorBidi" w:hAnsiTheme="majorBidi" w:cstheme="majorBidi"/>
          <w:i/>
          <w:iCs/>
          <w:sz w:val="20"/>
          <w:szCs w:val="20"/>
        </w:rPr>
        <w:t xml:space="preserve"> </w:t>
      </w:r>
      <w:r w:rsidRPr="00624292">
        <w:rPr>
          <w:rFonts w:asciiTheme="majorBidi" w:hAnsiTheme="majorBidi" w:cstheme="majorBidi"/>
          <w:i/>
          <w:iCs/>
          <w:sz w:val="20"/>
          <w:szCs w:val="20"/>
        </w:rPr>
        <w:t>al-Qiy</w:t>
      </w:r>
      <w:r w:rsidRPr="00D54068">
        <w:rPr>
          <w:rFonts w:asciiTheme="majorBidi" w:hAnsiTheme="majorBidi" w:cstheme="majorBidi"/>
          <w:i/>
          <w:iCs/>
          <w:sz w:val="20"/>
          <w:szCs w:val="20"/>
          <w:lang w:val="id-ID"/>
        </w:rPr>
        <w:t>ā</w:t>
      </w:r>
      <w:r w:rsidRPr="00624292">
        <w:rPr>
          <w:rFonts w:asciiTheme="majorBidi" w:hAnsiTheme="majorBidi" w:cstheme="majorBidi"/>
          <w:i/>
          <w:iCs/>
          <w:sz w:val="20"/>
          <w:szCs w:val="20"/>
        </w:rPr>
        <w:t>s ‘ind al- Us</w:t>
      </w:r>
      <w:r w:rsidRPr="0056354E">
        <w:rPr>
          <w:rFonts w:asciiTheme="majorBidi" w:hAnsiTheme="majorBidi" w:cstheme="majorBidi"/>
          <w:i/>
          <w:iCs/>
          <w:sz w:val="20"/>
          <w:szCs w:val="20"/>
        </w:rPr>
        <w:t>ū</w:t>
      </w:r>
      <w:r w:rsidRPr="00624292">
        <w:rPr>
          <w:rFonts w:asciiTheme="majorBidi" w:hAnsiTheme="majorBidi" w:cstheme="majorBidi"/>
          <w:i/>
          <w:iCs/>
          <w:sz w:val="20"/>
          <w:szCs w:val="20"/>
        </w:rPr>
        <w:t>liyy</w:t>
      </w:r>
      <w:r w:rsidRPr="00D12D05">
        <w:rPr>
          <w:rFonts w:asciiTheme="majorBidi" w:hAnsiTheme="majorBidi" w:cstheme="majorBidi"/>
          <w:i/>
          <w:iCs/>
          <w:sz w:val="20"/>
          <w:szCs w:val="20"/>
        </w:rPr>
        <w:t>ī</w:t>
      </w:r>
      <w:r w:rsidRPr="00624292">
        <w:rPr>
          <w:rFonts w:asciiTheme="majorBidi" w:hAnsiTheme="majorBidi" w:cstheme="majorBidi"/>
          <w:i/>
          <w:iCs/>
          <w:sz w:val="20"/>
          <w:szCs w:val="20"/>
        </w:rPr>
        <w:t>n</w:t>
      </w:r>
      <w:r w:rsidRPr="00624292">
        <w:rPr>
          <w:rFonts w:asciiTheme="majorBidi" w:hAnsiTheme="majorBidi" w:cstheme="majorBidi"/>
          <w:sz w:val="20"/>
          <w:szCs w:val="20"/>
        </w:rPr>
        <w:t>,</w:t>
      </w:r>
      <w:r w:rsidRPr="00C50B62">
        <w:rPr>
          <w:rFonts w:asciiTheme="majorBidi" w:hAnsiTheme="majorBidi" w:cstheme="majorBidi"/>
          <w:sz w:val="20"/>
          <w:szCs w:val="20"/>
        </w:rPr>
        <w:t>, h. 399.</w:t>
      </w:r>
    </w:p>
  </w:footnote>
  <w:footnote w:id="271">
    <w:p w:rsidR="00343B61" w:rsidRPr="00C50B62" w:rsidRDefault="00343B61" w:rsidP="00343B61">
      <w:pPr>
        <w:pStyle w:val="FootnoteText"/>
        <w:ind w:firstLine="720"/>
        <w:jc w:val="both"/>
        <w:rPr>
          <w:rFonts w:asciiTheme="majorBidi" w:hAnsiTheme="majorBidi" w:cstheme="majorBidi"/>
        </w:rPr>
      </w:pPr>
      <w:r w:rsidRPr="00C50B62">
        <w:rPr>
          <w:rStyle w:val="FootnoteReference"/>
          <w:rFonts w:asciiTheme="majorBidi" w:hAnsiTheme="majorBidi" w:cstheme="majorBidi"/>
        </w:rPr>
        <w:footnoteRef/>
      </w:r>
      <w:r w:rsidRPr="00C50B62">
        <w:rPr>
          <w:rFonts w:asciiTheme="majorBidi" w:hAnsiTheme="majorBidi" w:cstheme="majorBidi"/>
        </w:rPr>
        <w:t xml:space="preserve"> Muhammad Abû Zahrah,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sidRPr="00C50B62">
        <w:rPr>
          <w:rFonts w:asciiTheme="majorBidi" w:hAnsiTheme="majorBidi" w:cstheme="majorBidi"/>
        </w:rPr>
        <w:t>, (Beirut.: Dâr</w:t>
      </w:r>
      <w:r>
        <w:rPr>
          <w:rFonts w:asciiTheme="majorBidi" w:hAnsiTheme="majorBidi" w:cstheme="majorBidi"/>
        </w:rPr>
        <w:t xml:space="preserve"> al-Fikr al-‘Arabiy, t.th.), h</w:t>
      </w:r>
      <w:r w:rsidRPr="00C50B62">
        <w:rPr>
          <w:rFonts w:asciiTheme="majorBidi" w:hAnsiTheme="majorBidi" w:cstheme="majorBidi"/>
        </w:rPr>
        <w:t>. 241.</w:t>
      </w:r>
    </w:p>
  </w:footnote>
  <w:footnote w:id="272">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C50B62">
        <w:rPr>
          <w:rStyle w:val="FootnoteReference"/>
          <w:rFonts w:asciiTheme="majorBidi" w:hAnsiTheme="majorBidi" w:cstheme="majorBidi"/>
          <w:sz w:val="20"/>
          <w:szCs w:val="20"/>
        </w:rPr>
        <w:footnoteRef/>
      </w:r>
      <w:r w:rsidRPr="00C50B62">
        <w:rPr>
          <w:rFonts w:asciiTheme="majorBidi" w:hAnsiTheme="majorBidi" w:cstheme="majorBidi"/>
          <w:sz w:val="20"/>
          <w:szCs w:val="20"/>
        </w:rPr>
        <w:t xml:space="preserve"> Lihat. Abd al-Wahhab Khall</w:t>
      </w:r>
      <w:r w:rsidRPr="0085781B">
        <w:rPr>
          <w:rFonts w:asciiTheme="majorBidi" w:hAnsiTheme="majorBidi" w:cstheme="majorBidi"/>
          <w:sz w:val="20"/>
          <w:szCs w:val="20"/>
          <w:lang w:val="id-ID"/>
        </w:rPr>
        <w:t>ā</w:t>
      </w:r>
      <w:r w:rsidRPr="00C50B62">
        <w:rPr>
          <w:rFonts w:asciiTheme="majorBidi" w:hAnsiTheme="majorBidi" w:cstheme="majorBidi"/>
          <w:sz w:val="20"/>
          <w:szCs w:val="20"/>
        </w:rPr>
        <w:t xml:space="preserve">f, </w:t>
      </w:r>
      <w:r w:rsidRPr="00C50B62">
        <w:rPr>
          <w:rFonts w:asciiTheme="majorBidi" w:hAnsiTheme="majorBidi" w:cstheme="majorBidi"/>
          <w:i/>
          <w:iCs/>
          <w:sz w:val="20"/>
          <w:szCs w:val="20"/>
        </w:rPr>
        <w:t>Mas</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dir al-Tasyr</w:t>
      </w:r>
      <w:r w:rsidRPr="00D12D05">
        <w:rPr>
          <w:rFonts w:asciiTheme="majorBidi" w:hAnsiTheme="majorBidi" w:cstheme="majorBidi"/>
          <w:i/>
          <w:iCs/>
          <w:sz w:val="20"/>
          <w:szCs w:val="20"/>
        </w:rPr>
        <w:t>ī</w:t>
      </w:r>
      <w:r w:rsidRPr="00C50B62">
        <w:rPr>
          <w:rFonts w:asciiTheme="majorBidi" w:hAnsiTheme="majorBidi" w:cstheme="majorBidi"/>
          <w:i/>
          <w:iCs/>
          <w:sz w:val="20"/>
          <w:szCs w:val="20"/>
        </w:rPr>
        <w:t xml:space="preserve"> ‘ f</w:t>
      </w:r>
      <w:r w:rsidRPr="00D12D05">
        <w:rPr>
          <w:rFonts w:asciiTheme="majorBidi" w:hAnsiTheme="majorBidi" w:cstheme="majorBidi"/>
          <w:i/>
          <w:iCs/>
          <w:sz w:val="20"/>
          <w:szCs w:val="20"/>
        </w:rPr>
        <w:t>ī</w:t>
      </w:r>
      <w:r>
        <w:rPr>
          <w:rFonts w:asciiTheme="majorBidi" w:hAnsiTheme="majorBidi" w:cstheme="majorBidi"/>
          <w:i/>
          <w:iCs/>
          <w:sz w:val="20"/>
          <w:szCs w:val="20"/>
        </w:rPr>
        <w:t xml:space="preserve"> </w:t>
      </w:r>
      <w:r w:rsidRPr="00C50B62">
        <w:rPr>
          <w:rFonts w:asciiTheme="majorBidi" w:hAnsiTheme="majorBidi" w:cstheme="majorBidi"/>
          <w:i/>
          <w:iCs/>
          <w:sz w:val="20"/>
          <w:szCs w:val="20"/>
        </w:rPr>
        <w:t>m</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 xml:space="preserve"> l</w:t>
      </w:r>
      <w:r w:rsidRPr="00D54068">
        <w:rPr>
          <w:rFonts w:asciiTheme="majorBidi" w:hAnsiTheme="majorBidi" w:cstheme="majorBidi"/>
          <w:i/>
          <w:iCs/>
          <w:sz w:val="20"/>
          <w:szCs w:val="20"/>
          <w:lang w:val="id-ID"/>
        </w:rPr>
        <w:t>ā</w:t>
      </w:r>
      <w:r w:rsidRPr="00C50B62">
        <w:rPr>
          <w:rFonts w:asciiTheme="majorBidi" w:hAnsiTheme="majorBidi" w:cstheme="majorBidi"/>
          <w:i/>
          <w:iCs/>
          <w:sz w:val="20"/>
          <w:szCs w:val="20"/>
        </w:rPr>
        <w:t xml:space="preserve"> Nassa f</w:t>
      </w:r>
      <w:r w:rsidRPr="00D12D05">
        <w:rPr>
          <w:rFonts w:asciiTheme="majorBidi" w:hAnsiTheme="majorBidi" w:cstheme="majorBidi"/>
          <w:i/>
          <w:iCs/>
          <w:sz w:val="20"/>
          <w:szCs w:val="20"/>
        </w:rPr>
        <w:t>ī</w:t>
      </w:r>
      <w:r w:rsidRPr="00C50B62">
        <w:rPr>
          <w:rFonts w:asciiTheme="majorBidi" w:hAnsiTheme="majorBidi" w:cstheme="majorBidi"/>
          <w:i/>
          <w:iCs/>
          <w:sz w:val="20"/>
          <w:szCs w:val="20"/>
        </w:rPr>
        <w:t>h</w:t>
      </w:r>
      <w:r w:rsidRPr="00C50B62">
        <w:rPr>
          <w:rFonts w:asciiTheme="majorBidi" w:hAnsiTheme="majorBidi" w:cstheme="majorBidi"/>
          <w:sz w:val="20"/>
          <w:szCs w:val="20"/>
        </w:rPr>
        <w:t>, ( Kuwait: Dar al-Qalam, 1982)  h. 71.</w:t>
      </w:r>
      <w:r w:rsidRPr="00DC7A5C">
        <w:rPr>
          <w:rFonts w:asciiTheme="majorBidi" w:hAnsiTheme="majorBidi" w:cstheme="majorBidi"/>
          <w:sz w:val="20"/>
          <w:szCs w:val="20"/>
        </w:rPr>
        <w:t xml:space="preserve"> </w:t>
      </w:r>
    </w:p>
  </w:footnote>
  <w:footnote w:id="273">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Pr>
          <w:rFonts w:asciiTheme="majorBidi" w:hAnsiTheme="majorBidi" w:cstheme="majorBidi"/>
        </w:rPr>
        <w:t xml:space="preserve"> Lihat. Abd al-Wahha</w:t>
      </w:r>
      <w:r w:rsidRPr="00DC7A5C">
        <w:rPr>
          <w:rFonts w:asciiTheme="majorBidi" w:hAnsiTheme="majorBidi" w:cstheme="majorBidi"/>
        </w:rPr>
        <w:t xml:space="preserve">b </w:t>
      </w:r>
      <w:r w:rsidRPr="00C50B62">
        <w:rPr>
          <w:rFonts w:asciiTheme="majorBidi" w:hAnsiTheme="majorBidi" w:cstheme="majorBidi"/>
        </w:rPr>
        <w:t>Khall</w:t>
      </w:r>
      <w:r w:rsidRPr="0085781B">
        <w:rPr>
          <w:rFonts w:asciiTheme="majorBidi" w:hAnsiTheme="majorBidi" w:cstheme="majorBidi"/>
          <w:lang w:val="id-ID"/>
        </w:rPr>
        <w:t>ā</w:t>
      </w:r>
      <w:r w:rsidRPr="00C50B62">
        <w:rPr>
          <w:rFonts w:asciiTheme="majorBidi" w:hAnsiTheme="majorBidi" w:cstheme="majorBidi"/>
        </w:rPr>
        <w:t>f</w:t>
      </w:r>
      <w:r w:rsidRPr="00DC7A5C">
        <w:rPr>
          <w:rFonts w:asciiTheme="majorBidi" w:hAnsiTheme="majorBidi" w:cstheme="majorBidi"/>
        </w:rPr>
        <w:t>,</w:t>
      </w:r>
      <w:r w:rsidRPr="00DC7A5C">
        <w:rPr>
          <w:rFonts w:asciiTheme="majorBidi" w:hAnsiTheme="majorBidi" w:cstheme="majorBidi"/>
          <w:i/>
          <w:iCs/>
        </w:rPr>
        <w:t xml:space="preserve">‘Ilm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sidRPr="00DC7A5C">
        <w:rPr>
          <w:rFonts w:asciiTheme="majorBidi" w:hAnsiTheme="majorBidi" w:cstheme="majorBidi"/>
        </w:rPr>
        <w:t>, ( Kuwait: Darul Qalam, 1983) h. 80.</w:t>
      </w:r>
    </w:p>
  </w:footnote>
  <w:footnote w:id="274">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J. Suyuthi Pulungan, </w:t>
      </w:r>
      <w:r w:rsidRPr="00DC7A5C">
        <w:rPr>
          <w:rFonts w:asciiTheme="majorBidi" w:hAnsiTheme="majorBidi" w:cstheme="majorBidi"/>
          <w:i/>
          <w:iCs/>
        </w:rPr>
        <w:t>Fiqh Siyasah, Ajaran, Sejarah Dan Pemikiran</w:t>
      </w:r>
      <w:r w:rsidRPr="00DC7A5C">
        <w:rPr>
          <w:rFonts w:asciiTheme="majorBidi" w:hAnsiTheme="majorBidi" w:cstheme="majorBidi"/>
        </w:rPr>
        <w:t>, ( Jakarta: Raja Grafindo Persada, 1994), h. 32</w:t>
      </w:r>
    </w:p>
  </w:footnote>
  <w:footnote w:id="275">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W.J.S. Poerwadarminta, </w:t>
      </w:r>
      <w:r w:rsidRPr="00DC7A5C">
        <w:rPr>
          <w:rFonts w:asciiTheme="majorBidi" w:hAnsiTheme="majorBidi" w:cstheme="majorBidi"/>
          <w:i/>
          <w:iCs/>
        </w:rPr>
        <w:t xml:space="preserve">Kamus Umum Bahasa Indonesia, </w:t>
      </w:r>
      <w:r w:rsidRPr="00DC7A5C">
        <w:rPr>
          <w:rFonts w:asciiTheme="majorBidi" w:hAnsiTheme="majorBidi" w:cstheme="majorBidi"/>
        </w:rPr>
        <w:t>(Jakarta, 1976), huruf M, h. 635</w:t>
      </w:r>
    </w:p>
  </w:footnote>
  <w:footnote w:id="276">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Isma‘i</w:t>
      </w:r>
      <w:r w:rsidRPr="00DC7A5C">
        <w:rPr>
          <w:rFonts w:asciiTheme="majorBidi" w:hAnsiTheme="majorBidi" w:cstheme="majorBidi"/>
          <w:sz w:val="20"/>
          <w:szCs w:val="20"/>
        </w:rPr>
        <w:t xml:space="preserve">l ibn Hammâd </w:t>
      </w:r>
      <w:r w:rsidRPr="00DC7A5C">
        <w:rPr>
          <w:rFonts w:asciiTheme="majorBidi" w:hAnsiTheme="majorBidi" w:cstheme="majorBidi"/>
          <w:i/>
          <w:iCs/>
          <w:sz w:val="20"/>
          <w:szCs w:val="20"/>
        </w:rPr>
        <w:t>al-Sih</w:t>
      </w:r>
      <w:r w:rsidRPr="00D54068">
        <w:rPr>
          <w:rFonts w:asciiTheme="majorBidi" w:hAnsiTheme="majorBidi" w:cstheme="majorBidi"/>
          <w:i/>
          <w:iCs/>
          <w:sz w:val="20"/>
          <w:szCs w:val="20"/>
          <w:lang w:val="id-ID"/>
        </w:rPr>
        <w:t>ā</w:t>
      </w:r>
      <w:r w:rsidRPr="00DC7A5C">
        <w:rPr>
          <w:rFonts w:asciiTheme="majorBidi" w:hAnsiTheme="majorBidi" w:cstheme="majorBidi"/>
          <w:i/>
          <w:iCs/>
          <w:sz w:val="20"/>
          <w:szCs w:val="20"/>
        </w:rPr>
        <w:t>h Tâj al-Lugah wa Sih</w:t>
      </w:r>
      <w:r w:rsidRPr="00D54068">
        <w:rPr>
          <w:rFonts w:asciiTheme="majorBidi" w:hAnsiTheme="majorBidi" w:cstheme="majorBidi"/>
          <w:i/>
          <w:iCs/>
          <w:sz w:val="20"/>
          <w:szCs w:val="20"/>
          <w:lang w:val="id-ID"/>
        </w:rPr>
        <w:t>ā</w:t>
      </w:r>
      <w:r w:rsidRPr="00DC7A5C">
        <w:rPr>
          <w:rFonts w:asciiTheme="majorBidi" w:hAnsiTheme="majorBidi" w:cstheme="majorBidi"/>
          <w:i/>
          <w:iCs/>
          <w:sz w:val="20"/>
          <w:szCs w:val="20"/>
        </w:rPr>
        <w:t>h al-‘Arabiyyah</w:t>
      </w:r>
      <w:r w:rsidRPr="00DC7A5C">
        <w:rPr>
          <w:rFonts w:asciiTheme="majorBidi" w:hAnsiTheme="majorBidi" w:cstheme="majorBidi"/>
          <w:sz w:val="20"/>
          <w:szCs w:val="20"/>
        </w:rPr>
        <w:t xml:space="preserve"> </w:t>
      </w:r>
      <w:r>
        <w:rPr>
          <w:rFonts w:asciiTheme="majorBidi" w:hAnsiTheme="majorBidi" w:cstheme="majorBidi"/>
          <w:sz w:val="20"/>
          <w:szCs w:val="20"/>
        </w:rPr>
        <w:t>(Beirut: Dâr al-‘Ilm li al-Malayi</w:t>
      </w:r>
      <w:r w:rsidRPr="00DC7A5C">
        <w:rPr>
          <w:rFonts w:asciiTheme="majorBidi" w:hAnsiTheme="majorBidi" w:cstheme="majorBidi"/>
          <w:sz w:val="20"/>
          <w:szCs w:val="20"/>
        </w:rPr>
        <w:t xml:space="preserve">n, 1376 H/1956 M), Juz ke-1, h. 383-384; dan Abû al-Husain Ahmad ibn Fâris ibn Zakariyyâ, </w:t>
      </w:r>
      <w:r w:rsidRPr="00DC7A5C">
        <w:rPr>
          <w:rFonts w:asciiTheme="majorBidi" w:hAnsiTheme="majorBidi" w:cstheme="majorBidi"/>
          <w:i/>
          <w:iCs/>
          <w:sz w:val="20"/>
          <w:szCs w:val="20"/>
        </w:rPr>
        <w:t>Mu‘jam Maqâyîs al-Lugah</w:t>
      </w:r>
      <w:r w:rsidRPr="00DC7A5C">
        <w:rPr>
          <w:rFonts w:asciiTheme="majorBidi" w:hAnsiTheme="majorBidi" w:cstheme="majorBidi"/>
          <w:sz w:val="20"/>
          <w:szCs w:val="20"/>
        </w:rPr>
        <w:t xml:space="preserve">, (Kairo: Maktabah al-Khânjî, 1403 H/1981 M), Juz ke- 3, h. 303; dan Muhammad ibn Abi Bakr ibn ‘Abd al- Qâdir al-Râzi, </w:t>
      </w:r>
      <w:r w:rsidRPr="00DC7A5C">
        <w:rPr>
          <w:rFonts w:asciiTheme="majorBidi" w:hAnsiTheme="majorBidi" w:cstheme="majorBidi"/>
          <w:i/>
          <w:iCs/>
          <w:sz w:val="20"/>
          <w:szCs w:val="20"/>
        </w:rPr>
        <w:t>Mukhtâr al-Sihâh</w:t>
      </w:r>
      <w:r w:rsidRPr="00DC7A5C">
        <w:rPr>
          <w:rFonts w:asciiTheme="majorBidi" w:hAnsiTheme="majorBidi" w:cstheme="majorBidi"/>
          <w:sz w:val="20"/>
          <w:szCs w:val="20"/>
        </w:rPr>
        <w:t>, (Beirut: Dâr al-Kitâb al-‘Arabi, 1979), h. 376</w:t>
      </w:r>
    </w:p>
  </w:footnote>
  <w:footnote w:id="277">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Muhammad Sai’d Ramdhan al-Buthi, </w:t>
      </w:r>
      <w:r>
        <w:rPr>
          <w:rFonts w:asciiTheme="majorBidi" w:hAnsiTheme="majorBidi" w:cstheme="majorBidi"/>
          <w:i/>
          <w:iCs/>
          <w:sz w:val="20"/>
          <w:szCs w:val="20"/>
        </w:rPr>
        <w:t>Dhawābit al-</w:t>
      </w:r>
      <w:r w:rsidRPr="00A016AA">
        <w:rPr>
          <w:rFonts w:asciiTheme="majorBidi" w:hAnsiTheme="majorBidi" w:cstheme="majorBidi"/>
          <w:i/>
          <w:iCs/>
        </w:rPr>
        <w:t>Masla</w:t>
      </w:r>
      <w:r w:rsidRPr="00D44F72">
        <w:rPr>
          <w:i/>
          <w:iCs/>
          <w:u w:val="single"/>
        </w:rPr>
        <w:t>h</w:t>
      </w:r>
      <w:r w:rsidRPr="00A016AA">
        <w:rPr>
          <w:rFonts w:asciiTheme="majorBidi" w:hAnsiTheme="majorBidi" w:cstheme="majorBidi"/>
          <w:i/>
          <w:iCs/>
        </w:rPr>
        <w:t>ah</w:t>
      </w:r>
      <w:r w:rsidRPr="00DC7A5C">
        <w:rPr>
          <w:rFonts w:asciiTheme="majorBidi" w:hAnsiTheme="majorBidi" w:cstheme="majorBidi"/>
          <w:i/>
          <w:iCs/>
          <w:sz w:val="20"/>
          <w:szCs w:val="20"/>
        </w:rPr>
        <w:t xml:space="preserve"> Fĭ al-Syarĭ’ah al-Islāmiyah</w:t>
      </w:r>
      <w:r w:rsidRPr="00DC7A5C">
        <w:rPr>
          <w:rFonts w:asciiTheme="majorBidi" w:hAnsiTheme="majorBidi" w:cstheme="majorBidi"/>
          <w:sz w:val="20"/>
          <w:szCs w:val="20"/>
        </w:rPr>
        <w:t>, (Damaskus: Maktabah al-Amawiyah, 1985), cet I, h. 27</w:t>
      </w:r>
    </w:p>
  </w:footnote>
  <w:footnote w:id="278">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Abu Hâmid Muhammad al-Gaza</w:t>
      </w:r>
      <w:r w:rsidRPr="00DC7A5C">
        <w:rPr>
          <w:rFonts w:asciiTheme="majorBidi" w:hAnsiTheme="majorBidi" w:cstheme="majorBidi"/>
          <w:sz w:val="20"/>
          <w:szCs w:val="20"/>
        </w:rPr>
        <w:t xml:space="preserve">li, </w:t>
      </w:r>
      <w:r w:rsidRPr="00DC7A5C">
        <w:rPr>
          <w:rFonts w:asciiTheme="majorBidi" w:hAnsiTheme="majorBidi" w:cstheme="majorBidi"/>
          <w:i/>
          <w:iCs/>
          <w:sz w:val="20"/>
          <w:szCs w:val="20"/>
        </w:rPr>
        <w:t>al-Mustasfa min ‘Ilm al-</w:t>
      </w:r>
      <w:r w:rsidRPr="008D3087">
        <w:rPr>
          <w:rFonts w:asciiTheme="majorBidi" w:hAnsiTheme="majorBidi" w:cstheme="majorBidi"/>
          <w:i/>
          <w:iCs/>
        </w:rPr>
        <w:t xml:space="preserve"> </w:t>
      </w:r>
      <w:r w:rsidRPr="00D546A2">
        <w:rPr>
          <w:rFonts w:asciiTheme="majorBidi" w:hAnsiTheme="majorBidi" w:cstheme="majorBidi"/>
          <w:i/>
          <w:iCs/>
        </w:rPr>
        <w:t>Us</w:t>
      </w:r>
      <w:r w:rsidRPr="0056354E">
        <w:rPr>
          <w:rFonts w:asciiTheme="majorBidi" w:hAnsiTheme="majorBidi" w:cstheme="majorBidi"/>
          <w:i/>
          <w:iCs/>
          <w:sz w:val="20"/>
          <w:szCs w:val="20"/>
        </w:rPr>
        <w:t>ū</w:t>
      </w:r>
      <w:r w:rsidRPr="00D546A2">
        <w:rPr>
          <w:rFonts w:asciiTheme="majorBidi" w:hAnsiTheme="majorBidi" w:cstheme="majorBidi"/>
          <w:i/>
          <w:iCs/>
        </w:rPr>
        <w:t>l</w:t>
      </w:r>
      <w:r>
        <w:rPr>
          <w:rFonts w:asciiTheme="majorBidi" w:hAnsiTheme="majorBidi" w:cstheme="majorBidi"/>
          <w:sz w:val="20"/>
          <w:szCs w:val="20"/>
        </w:rPr>
        <w:t>, tahqiq wa ta‘lîq Muhammad Sulaima</w:t>
      </w:r>
      <w:r w:rsidRPr="00DC7A5C">
        <w:rPr>
          <w:rFonts w:asciiTheme="majorBidi" w:hAnsiTheme="majorBidi" w:cstheme="majorBidi"/>
          <w:sz w:val="20"/>
          <w:szCs w:val="20"/>
        </w:rPr>
        <w:t>n al-Asyqar, (Beirut: Mu’assasat al-Risâlah, 1417 H/1997 M), Juz ke-1, h. 416 - 417.</w:t>
      </w:r>
    </w:p>
  </w:footnote>
  <w:footnote w:id="279">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‘Izz a</w:t>
      </w:r>
      <w:r>
        <w:rPr>
          <w:rFonts w:asciiTheme="majorBidi" w:hAnsiTheme="majorBidi" w:cstheme="majorBidi"/>
          <w:sz w:val="20"/>
          <w:szCs w:val="20"/>
        </w:rPr>
        <w:t>l-Di</w:t>
      </w:r>
      <w:r w:rsidRPr="00DC7A5C">
        <w:rPr>
          <w:rFonts w:asciiTheme="majorBidi" w:hAnsiTheme="majorBidi" w:cstheme="majorBidi"/>
          <w:sz w:val="20"/>
          <w:szCs w:val="20"/>
        </w:rPr>
        <w:t>n ibn ‘Abd al-Sal</w:t>
      </w:r>
      <w:r w:rsidRPr="0085781B">
        <w:rPr>
          <w:rFonts w:asciiTheme="majorBidi" w:hAnsiTheme="majorBidi" w:cstheme="majorBidi"/>
          <w:sz w:val="20"/>
          <w:szCs w:val="20"/>
          <w:lang w:val="id-ID"/>
        </w:rPr>
        <w:t>ā</w:t>
      </w:r>
      <w:r w:rsidRPr="00DC7A5C">
        <w:rPr>
          <w:rFonts w:asciiTheme="majorBidi" w:hAnsiTheme="majorBidi" w:cstheme="majorBidi"/>
          <w:sz w:val="20"/>
          <w:szCs w:val="20"/>
        </w:rPr>
        <w:t xml:space="preserve">m, </w:t>
      </w:r>
      <w:r w:rsidRPr="00DC7A5C">
        <w:rPr>
          <w:rFonts w:asciiTheme="majorBidi" w:hAnsiTheme="majorBidi" w:cstheme="majorBidi"/>
          <w:i/>
          <w:iCs/>
          <w:sz w:val="20"/>
          <w:szCs w:val="20"/>
        </w:rPr>
        <w:t>Qaw</w:t>
      </w:r>
      <w:r w:rsidRPr="004D1554">
        <w:rPr>
          <w:rFonts w:asciiTheme="majorBidi" w:hAnsiTheme="majorBidi" w:cstheme="majorBidi"/>
          <w:i/>
          <w:iCs/>
          <w:sz w:val="20"/>
          <w:szCs w:val="20"/>
          <w:lang w:val="id-ID"/>
        </w:rPr>
        <w:t>ā</w:t>
      </w:r>
      <w:r w:rsidRPr="004D1554">
        <w:rPr>
          <w:rFonts w:asciiTheme="majorBidi" w:hAnsiTheme="majorBidi" w:cstheme="majorBidi"/>
          <w:i/>
          <w:iCs/>
          <w:sz w:val="20"/>
          <w:szCs w:val="20"/>
        </w:rPr>
        <w:t xml:space="preserve"> </w:t>
      </w:r>
      <w:r w:rsidRPr="00DC7A5C">
        <w:rPr>
          <w:rFonts w:asciiTheme="majorBidi" w:hAnsiTheme="majorBidi" w:cstheme="majorBidi"/>
          <w:i/>
          <w:iCs/>
          <w:sz w:val="20"/>
          <w:szCs w:val="20"/>
        </w:rPr>
        <w:t>‘id al-Ahk</w:t>
      </w:r>
      <w:r w:rsidRPr="004D1554">
        <w:rPr>
          <w:rFonts w:asciiTheme="majorBidi" w:hAnsiTheme="majorBidi" w:cstheme="majorBidi"/>
          <w:i/>
          <w:iCs/>
          <w:sz w:val="20"/>
          <w:szCs w:val="20"/>
          <w:lang w:val="id-ID"/>
        </w:rPr>
        <w:t>ā</w:t>
      </w:r>
      <w:r w:rsidRPr="00DC7A5C">
        <w:rPr>
          <w:rFonts w:asciiTheme="majorBidi" w:hAnsiTheme="majorBidi" w:cstheme="majorBidi"/>
          <w:i/>
          <w:iCs/>
          <w:sz w:val="20"/>
          <w:szCs w:val="20"/>
        </w:rPr>
        <w:t xml:space="preserve">m </w:t>
      </w:r>
      <w:r w:rsidRPr="00C50B62">
        <w:rPr>
          <w:rFonts w:asciiTheme="majorBidi" w:hAnsiTheme="majorBidi" w:cstheme="majorBidi"/>
          <w:i/>
          <w:iCs/>
          <w:sz w:val="20"/>
          <w:szCs w:val="20"/>
        </w:rPr>
        <w:t>f</w:t>
      </w:r>
      <w:r w:rsidRPr="00D12D05">
        <w:rPr>
          <w:rFonts w:asciiTheme="majorBidi" w:hAnsiTheme="majorBidi" w:cstheme="majorBidi"/>
          <w:i/>
          <w:iCs/>
          <w:sz w:val="20"/>
          <w:szCs w:val="20"/>
        </w:rPr>
        <w:t>ī</w:t>
      </w:r>
      <w:r w:rsidRPr="00DC7A5C">
        <w:rPr>
          <w:rFonts w:asciiTheme="majorBidi" w:hAnsiTheme="majorBidi" w:cstheme="majorBidi"/>
          <w:i/>
          <w:iCs/>
          <w:sz w:val="20"/>
          <w:szCs w:val="20"/>
        </w:rPr>
        <w:t xml:space="preserve"> Mas</w:t>
      </w:r>
      <w:r w:rsidRPr="004D1554">
        <w:rPr>
          <w:rFonts w:asciiTheme="majorBidi" w:hAnsiTheme="majorBidi" w:cstheme="majorBidi"/>
          <w:i/>
          <w:iCs/>
          <w:sz w:val="20"/>
          <w:szCs w:val="20"/>
          <w:lang w:val="id-ID"/>
        </w:rPr>
        <w:t>ā</w:t>
      </w:r>
      <w:r w:rsidRPr="00DC7A5C">
        <w:rPr>
          <w:rFonts w:asciiTheme="majorBidi" w:hAnsiTheme="majorBidi" w:cstheme="majorBidi"/>
          <w:i/>
          <w:iCs/>
          <w:sz w:val="20"/>
          <w:szCs w:val="20"/>
        </w:rPr>
        <w:t>lih al-An</w:t>
      </w:r>
      <w:r w:rsidRPr="004D1554">
        <w:rPr>
          <w:rFonts w:asciiTheme="majorBidi" w:hAnsiTheme="majorBidi" w:cstheme="majorBidi"/>
          <w:i/>
          <w:iCs/>
          <w:sz w:val="20"/>
          <w:szCs w:val="20"/>
          <w:lang w:val="id-ID"/>
        </w:rPr>
        <w:t>ā</w:t>
      </w:r>
      <w:r w:rsidRPr="00DC7A5C">
        <w:rPr>
          <w:rFonts w:asciiTheme="majorBidi" w:hAnsiTheme="majorBidi" w:cstheme="majorBidi"/>
          <w:i/>
          <w:iCs/>
          <w:sz w:val="20"/>
          <w:szCs w:val="20"/>
        </w:rPr>
        <w:t>m</w:t>
      </w:r>
      <w:r w:rsidRPr="00DC7A5C">
        <w:rPr>
          <w:rFonts w:asciiTheme="majorBidi" w:hAnsiTheme="majorBidi" w:cstheme="majorBidi"/>
          <w:sz w:val="20"/>
          <w:szCs w:val="20"/>
        </w:rPr>
        <w:t>, (Kairo: Maktabat al- Kulliyyât al-Azhariyyah, 1994), Juz ke-1, h. 5.</w:t>
      </w:r>
    </w:p>
  </w:footnote>
  <w:footnote w:id="280">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Najm al-Di</w:t>
      </w:r>
      <w:r w:rsidRPr="00DC7A5C">
        <w:rPr>
          <w:rFonts w:asciiTheme="majorBidi" w:hAnsiTheme="majorBidi" w:cstheme="majorBidi"/>
          <w:sz w:val="20"/>
          <w:szCs w:val="20"/>
        </w:rPr>
        <w:t>n al-T</w:t>
      </w:r>
      <w:r w:rsidRPr="00083125">
        <w:rPr>
          <w:rFonts w:asciiTheme="majorBidi" w:hAnsiTheme="majorBidi" w:cstheme="majorBidi"/>
          <w:sz w:val="20"/>
          <w:szCs w:val="20"/>
        </w:rPr>
        <w:t>ū</w:t>
      </w:r>
      <w:r w:rsidRPr="00DC7A5C">
        <w:rPr>
          <w:rFonts w:asciiTheme="majorBidi" w:hAnsiTheme="majorBidi" w:cstheme="majorBidi"/>
          <w:sz w:val="20"/>
          <w:szCs w:val="20"/>
        </w:rPr>
        <w:t xml:space="preserve">fi, </w:t>
      </w:r>
      <w:r w:rsidRPr="00DC7A5C">
        <w:rPr>
          <w:rFonts w:asciiTheme="majorBidi" w:hAnsiTheme="majorBidi" w:cstheme="majorBidi"/>
          <w:i/>
          <w:iCs/>
          <w:sz w:val="20"/>
          <w:szCs w:val="20"/>
        </w:rPr>
        <w:t>Syarh al-Arba‘în al-Nawawiyyah</w:t>
      </w:r>
      <w:r w:rsidRPr="00DC7A5C">
        <w:rPr>
          <w:rFonts w:asciiTheme="majorBidi" w:hAnsiTheme="majorBidi" w:cstheme="majorBidi"/>
          <w:sz w:val="20"/>
          <w:szCs w:val="20"/>
        </w:rPr>
        <w:t xml:space="preserve">, hlm. 19, lampiran dalam Mustafa Zaid, </w:t>
      </w:r>
      <w:r w:rsidRPr="004D1554">
        <w:rPr>
          <w:rFonts w:asciiTheme="majorBidi" w:hAnsiTheme="majorBidi" w:cstheme="majorBidi"/>
          <w:i/>
          <w:iCs/>
          <w:sz w:val="20"/>
          <w:szCs w:val="20"/>
        </w:rPr>
        <w:t>Al-masla</w:t>
      </w:r>
      <w:r w:rsidRPr="004D1554">
        <w:rPr>
          <w:i/>
          <w:iCs/>
          <w:sz w:val="20"/>
          <w:szCs w:val="20"/>
          <w:u w:val="single"/>
        </w:rPr>
        <w:t>h</w:t>
      </w:r>
      <w:r w:rsidRPr="004D1554">
        <w:rPr>
          <w:rFonts w:asciiTheme="majorBidi" w:hAnsiTheme="majorBidi" w:cstheme="majorBidi"/>
          <w:i/>
          <w:iCs/>
          <w:sz w:val="20"/>
          <w:szCs w:val="20"/>
        </w:rPr>
        <w:t>ah fī at-Tasyri'i al-Islāmī wa Najmuddin al-Thūf</w:t>
      </w:r>
      <w:r w:rsidRPr="004D1554">
        <w:rPr>
          <w:rFonts w:asciiTheme="majorBidi" w:hAnsiTheme="majorBidi" w:cstheme="majorBidi"/>
          <w:i/>
          <w:iCs/>
        </w:rPr>
        <w:t>ī</w:t>
      </w:r>
      <w:r w:rsidRPr="004D1554">
        <w:rPr>
          <w:rFonts w:asciiTheme="majorBidi" w:hAnsiTheme="majorBidi" w:cstheme="majorBidi"/>
          <w:i/>
          <w:iCs/>
          <w:sz w:val="20"/>
          <w:szCs w:val="20"/>
        </w:rPr>
        <w:t>,.(</w:t>
      </w:r>
      <w:r w:rsidRPr="00DC7A5C">
        <w:rPr>
          <w:rFonts w:asciiTheme="majorBidi" w:hAnsiTheme="majorBidi" w:cstheme="majorBidi"/>
          <w:sz w:val="20"/>
          <w:szCs w:val="20"/>
        </w:rPr>
        <w:t>, t.tp.: Dâr al-Fikr al-‘Arabiy, 1384 H/1964 M), h. 211.</w:t>
      </w:r>
    </w:p>
  </w:footnote>
  <w:footnote w:id="281">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Hama</w:t>
      </w:r>
      <w:r w:rsidRPr="00DC7A5C">
        <w:rPr>
          <w:rFonts w:asciiTheme="majorBidi" w:hAnsiTheme="majorBidi" w:cstheme="majorBidi"/>
          <w:sz w:val="20"/>
          <w:szCs w:val="20"/>
        </w:rPr>
        <w:t xml:space="preserve">di al-‘Ubaidi, </w:t>
      </w:r>
      <w:r w:rsidRPr="00DC7A5C">
        <w:rPr>
          <w:rFonts w:asciiTheme="majorBidi" w:hAnsiTheme="majorBidi" w:cstheme="majorBidi"/>
          <w:i/>
          <w:iCs/>
          <w:sz w:val="20"/>
          <w:szCs w:val="20"/>
        </w:rPr>
        <w:t>Ibn Rusyd wa ‘Ul</w:t>
      </w:r>
      <w:r w:rsidRPr="004D1554">
        <w:rPr>
          <w:rFonts w:asciiTheme="majorBidi" w:hAnsiTheme="majorBidi" w:cstheme="majorBidi"/>
          <w:i/>
          <w:iCs/>
          <w:sz w:val="20"/>
          <w:szCs w:val="20"/>
        </w:rPr>
        <w:t>ū</w:t>
      </w:r>
      <w:r w:rsidRPr="00DC7A5C">
        <w:rPr>
          <w:rFonts w:asciiTheme="majorBidi" w:hAnsiTheme="majorBidi" w:cstheme="majorBidi"/>
          <w:i/>
          <w:iCs/>
          <w:sz w:val="20"/>
          <w:szCs w:val="20"/>
        </w:rPr>
        <w:t>m al-Syar</w:t>
      </w:r>
      <w:r w:rsidRPr="00972F6C">
        <w:rPr>
          <w:rFonts w:asciiTheme="majorBidi" w:hAnsiTheme="majorBidi" w:cstheme="majorBidi"/>
          <w:i/>
          <w:iCs/>
          <w:sz w:val="20"/>
          <w:szCs w:val="20"/>
        </w:rPr>
        <w:t>ī</w:t>
      </w:r>
      <w:r w:rsidRPr="00DC7A5C">
        <w:rPr>
          <w:rFonts w:asciiTheme="majorBidi" w:hAnsiTheme="majorBidi" w:cstheme="majorBidi"/>
          <w:i/>
          <w:iCs/>
          <w:sz w:val="20"/>
          <w:szCs w:val="20"/>
        </w:rPr>
        <w:t xml:space="preserve"> ‘ah al-Isl</w:t>
      </w:r>
      <w:r w:rsidRPr="00D54068">
        <w:rPr>
          <w:rFonts w:asciiTheme="majorBidi" w:hAnsiTheme="majorBidi" w:cstheme="majorBidi"/>
          <w:i/>
          <w:iCs/>
          <w:sz w:val="20"/>
          <w:szCs w:val="20"/>
          <w:lang w:val="id-ID"/>
        </w:rPr>
        <w:t>ā</w:t>
      </w:r>
      <w:r w:rsidRPr="00DC7A5C">
        <w:rPr>
          <w:rFonts w:asciiTheme="majorBidi" w:hAnsiTheme="majorBidi" w:cstheme="majorBidi"/>
          <w:i/>
          <w:iCs/>
          <w:sz w:val="20"/>
          <w:szCs w:val="20"/>
        </w:rPr>
        <w:t>miyyah</w:t>
      </w:r>
      <w:r w:rsidRPr="00DC7A5C">
        <w:rPr>
          <w:rFonts w:asciiTheme="majorBidi" w:hAnsiTheme="majorBidi" w:cstheme="majorBidi"/>
          <w:sz w:val="20"/>
          <w:szCs w:val="20"/>
        </w:rPr>
        <w:t>, (Beirut: Dâr al-Fikr al- ‘Arabiy, 1991), h. 97.</w:t>
      </w:r>
    </w:p>
  </w:footnote>
  <w:footnote w:id="282">
    <w:p w:rsidR="00343B61" w:rsidRPr="00EA4B76"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EA4B76">
        <w:rPr>
          <w:rStyle w:val="FootnoteReference"/>
          <w:rFonts w:asciiTheme="majorBidi" w:hAnsiTheme="majorBidi" w:cstheme="majorBidi"/>
          <w:sz w:val="20"/>
          <w:szCs w:val="20"/>
        </w:rPr>
        <w:footnoteRef/>
      </w:r>
      <w:r w:rsidRPr="00EA4B76">
        <w:rPr>
          <w:rFonts w:asciiTheme="majorBidi" w:hAnsiTheme="majorBidi" w:cstheme="majorBidi"/>
          <w:sz w:val="20"/>
          <w:szCs w:val="20"/>
        </w:rPr>
        <w:t xml:space="preserve"> Lihat antara lain, Ab Husain Ahmad ibn Faris ibn Zakariyyah, </w:t>
      </w:r>
      <w:r w:rsidRPr="00EA4B76">
        <w:rPr>
          <w:rFonts w:asciiTheme="majorBidi" w:hAnsiTheme="majorBidi" w:cstheme="majorBidi"/>
          <w:i/>
          <w:iCs/>
          <w:sz w:val="20"/>
          <w:szCs w:val="20"/>
        </w:rPr>
        <w:t xml:space="preserve">Mu'jam Maq yis al-Lughah, </w:t>
      </w:r>
      <w:r w:rsidRPr="00EA4B76">
        <w:rPr>
          <w:rFonts w:asciiTheme="majorBidi" w:hAnsiTheme="majorBidi" w:cstheme="majorBidi"/>
          <w:sz w:val="20"/>
          <w:szCs w:val="20"/>
        </w:rPr>
        <w:t xml:space="preserve">(Beirut: D r al-Fikr, tt.)juz 3, hal. 66; al-Bustani, </w:t>
      </w:r>
      <w:r>
        <w:rPr>
          <w:rFonts w:asciiTheme="majorBidi" w:hAnsiTheme="majorBidi" w:cstheme="majorBidi"/>
          <w:i/>
          <w:iCs/>
          <w:sz w:val="20"/>
          <w:szCs w:val="20"/>
        </w:rPr>
        <w:t>Munjid al-Thull</w:t>
      </w:r>
      <w:r w:rsidRPr="00D54068">
        <w:rPr>
          <w:rFonts w:asciiTheme="majorBidi" w:hAnsiTheme="majorBidi" w:cstheme="majorBidi"/>
          <w:i/>
          <w:iCs/>
          <w:sz w:val="20"/>
          <w:szCs w:val="20"/>
          <w:lang w:val="id-ID"/>
        </w:rPr>
        <w:t>ā</w:t>
      </w:r>
      <w:r w:rsidRPr="00EA4B76">
        <w:rPr>
          <w:rFonts w:asciiTheme="majorBidi" w:hAnsiTheme="majorBidi" w:cstheme="majorBidi"/>
          <w:i/>
          <w:iCs/>
          <w:sz w:val="20"/>
          <w:szCs w:val="20"/>
        </w:rPr>
        <w:t xml:space="preserve">b, </w:t>
      </w:r>
      <w:r w:rsidRPr="00EA4B76">
        <w:rPr>
          <w:rFonts w:asciiTheme="majorBidi" w:hAnsiTheme="majorBidi" w:cstheme="majorBidi"/>
          <w:sz w:val="20"/>
          <w:szCs w:val="20"/>
        </w:rPr>
        <w:t>(Beirut: D r al-Fikr, tt.), cetakan ke-15, h. 310.</w:t>
      </w:r>
    </w:p>
  </w:footnote>
  <w:footnote w:id="283">
    <w:p w:rsidR="00343B61" w:rsidRPr="00EA4B76"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EA4B76">
        <w:rPr>
          <w:rStyle w:val="FootnoteReference"/>
          <w:rFonts w:asciiTheme="majorBidi" w:hAnsiTheme="majorBidi" w:cstheme="majorBidi"/>
          <w:sz w:val="20"/>
          <w:szCs w:val="20"/>
        </w:rPr>
        <w:footnoteRef/>
      </w:r>
      <w:r w:rsidRPr="00EA4B76">
        <w:rPr>
          <w:rFonts w:asciiTheme="majorBidi" w:hAnsiTheme="majorBidi" w:cstheme="majorBidi"/>
          <w:sz w:val="20"/>
          <w:szCs w:val="20"/>
        </w:rPr>
        <w:t xml:space="preserve">Lihat. Abu Husain Ahmad ibn Faris ibn Zakariyyah, </w:t>
      </w:r>
      <w:r w:rsidRPr="00EA4B76">
        <w:rPr>
          <w:rFonts w:asciiTheme="majorBidi" w:hAnsiTheme="majorBidi" w:cstheme="majorBidi"/>
          <w:i/>
          <w:iCs/>
          <w:sz w:val="20"/>
          <w:szCs w:val="20"/>
        </w:rPr>
        <w:t>Mu'jam Maq</w:t>
      </w:r>
      <w:r>
        <w:rPr>
          <w:rFonts w:asciiTheme="majorBidi" w:hAnsiTheme="majorBidi" w:cstheme="majorBidi"/>
          <w:i/>
          <w:iCs/>
          <w:sz w:val="20"/>
          <w:szCs w:val="20"/>
        </w:rPr>
        <w:t>a</w:t>
      </w:r>
      <w:r w:rsidRPr="00EA4B76">
        <w:rPr>
          <w:rFonts w:asciiTheme="majorBidi" w:hAnsiTheme="majorBidi" w:cstheme="majorBidi"/>
          <w:i/>
          <w:iCs/>
          <w:sz w:val="20"/>
          <w:szCs w:val="20"/>
        </w:rPr>
        <w:t xml:space="preserve">yis al-Lughah, </w:t>
      </w:r>
      <w:r w:rsidRPr="00EA4B76">
        <w:rPr>
          <w:rFonts w:asciiTheme="majorBidi" w:hAnsiTheme="majorBidi" w:cstheme="majorBidi"/>
          <w:sz w:val="20"/>
          <w:szCs w:val="20"/>
        </w:rPr>
        <w:t>(Beirut: D r al- Fikr, tt.), juz 3, h. 66</w:t>
      </w:r>
    </w:p>
  </w:footnote>
  <w:footnote w:id="284">
    <w:p w:rsidR="00343B61" w:rsidRPr="00EA4B76" w:rsidRDefault="00343B61" w:rsidP="00343B61">
      <w:pPr>
        <w:pStyle w:val="FootnoteText"/>
        <w:ind w:firstLine="720"/>
        <w:jc w:val="both"/>
        <w:rPr>
          <w:rFonts w:asciiTheme="majorBidi" w:hAnsiTheme="majorBidi" w:cstheme="majorBidi"/>
        </w:rPr>
      </w:pPr>
      <w:r w:rsidRPr="00EA4B76">
        <w:rPr>
          <w:rStyle w:val="FootnoteReference"/>
          <w:rFonts w:asciiTheme="majorBidi" w:hAnsiTheme="majorBidi" w:cstheme="majorBidi"/>
        </w:rPr>
        <w:footnoteRef/>
      </w:r>
      <w:r w:rsidRPr="00EA4B76">
        <w:rPr>
          <w:rFonts w:asciiTheme="majorBidi" w:hAnsiTheme="majorBidi" w:cstheme="majorBidi"/>
        </w:rPr>
        <w:t xml:space="preserve"> Lihat Depag RI, </w:t>
      </w:r>
      <w:r>
        <w:rPr>
          <w:rFonts w:asciiTheme="majorBidi" w:hAnsiTheme="majorBidi" w:cstheme="majorBidi"/>
          <w:i/>
          <w:iCs/>
        </w:rPr>
        <w:t>Al-Qur’ān</w:t>
      </w:r>
      <w:r w:rsidRPr="00EA4B76">
        <w:rPr>
          <w:rFonts w:asciiTheme="majorBidi" w:hAnsiTheme="majorBidi" w:cstheme="majorBidi"/>
          <w:i/>
          <w:iCs/>
        </w:rPr>
        <w:t xml:space="preserve"> dan Terjamahannya</w:t>
      </w:r>
      <w:r w:rsidRPr="00EA4B76">
        <w:rPr>
          <w:rFonts w:asciiTheme="majorBidi" w:hAnsiTheme="majorBidi" w:cstheme="majorBidi"/>
        </w:rPr>
        <w:t>, ( Medinah al-Munawwarah: Mujamma’ al-Malik Fahd Li al-Thiba’ah Mush-haf al-Syarif, 1418), h. 077</w:t>
      </w:r>
    </w:p>
  </w:footnote>
  <w:footnote w:id="285">
    <w:p w:rsidR="00343B61" w:rsidRPr="00DC7A5C" w:rsidRDefault="00343B61" w:rsidP="00343B61">
      <w:pPr>
        <w:pStyle w:val="FootnoteText"/>
        <w:ind w:firstLine="720"/>
        <w:jc w:val="both"/>
        <w:rPr>
          <w:rFonts w:asciiTheme="majorBidi" w:hAnsiTheme="majorBidi" w:cstheme="majorBidi"/>
        </w:rPr>
      </w:pPr>
      <w:r w:rsidRPr="00EA4B76">
        <w:rPr>
          <w:rStyle w:val="FootnoteReference"/>
          <w:rFonts w:asciiTheme="majorBidi" w:hAnsiTheme="majorBidi" w:cstheme="majorBidi"/>
        </w:rPr>
        <w:footnoteRef/>
      </w:r>
      <w:r w:rsidRPr="00EA4B76">
        <w:rPr>
          <w:rFonts w:asciiTheme="majorBidi" w:hAnsiTheme="majorBidi" w:cstheme="majorBidi"/>
        </w:rPr>
        <w:t xml:space="preserve"> Lihat. Ibnu Manzhur, </w:t>
      </w:r>
      <w:r w:rsidRPr="00EA4B76">
        <w:rPr>
          <w:rFonts w:asciiTheme="majorBidi" w:hAnsiTheme="majorBidi" w:cstheme="majorBidi"/>
          <w:i/>
          <w:iCs/>
        </w:rPr>
        <w:t>Lisan al-‘Arab</w:t>
      </w:r>
      <w:r w:rsidRPr="00EA4B76">
        <w:rPr>
          <w:rFonts w:asciiTheme="majorBidi" w:hAnsiTheme="majorBidi" w:cstheme="majorBidi"/>
        </w:rPr>
        <w:t>, (Beirut: Darul al-Shadir t.t.h), h. 1698.</w:t>
      </w:r>
    </w:p>
  </w:footnote>
  <w:footnote w:id="286">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w:t>
      </w:r>
      <w:r>
        <w:rPr>
          <w:rFonts w:asciiTheme="majorBidi" w:hAnsiTheme="majorBidi" w:cstheme="majorBidi"/>
          <w:sz w:val="20"/>
          <w:szCs w:val="20"/>
          <w:lang w:val="sv-SE"/>
        </w:rPr>
        <w:t>Al-</w:t>
      </w:r>
      <w:r w:rsidRPr="00AC6C5F">
        <w:rPr>
          <w:rFonts w:asciiTheme="majorBidi" w:hAnsiTheme="majorBidi" w:cstheme="majorBidi"/>
          <w:sz w:val="20"/>
          <w:szCs w:val="20"/>
          <w:lang w:val="sv-SE"/>
        </w:rPr>
        <w:t>Sy</w:t>
      </w:r>
      <w:r w:rsidRPr="00AC6C5F">
        <w:rPr>
          <w:rFonts w:asciiTheme="majorBidi" w:hAnsiTheme="majorBidi" w:cstheme="majorBidi"/>
          <w:sz w:val="20"/>
          <w:szCs w:val="20"/>
        </w:rPr>
        <w:t>ā</w:t>
      </w:r>
      <w:r w:rsidRPr="00AC6C5F">
        <w:rPr>
          <w:rFonts w:asciiTheme="majorBidi" w:hAnsiTheme="majorBidi" w:cstheme="majorBidi"/>
          <w:sz w:val="20"/>
          <w:szCs w:val="20"/>
          <w:lang w:val="sv-SE"/>
        </w:rPr>
        <w:t>thib</w:t>
      </w:r>
      <w:r w:rsidRPr="00AC6C5F">
        <w:rPr>
          <w:rFonts w:asciiTheme="majorBidi" w:hAnsiTheme="majorBidi" w:cstheme="majorBidi"/>
          <w:sz w:val="20"/>
          <w:szCs w:val="20"/>
        </w:rPr>
        <w:t>ī</w:t>
      </w:r>
      <w:r>
        <w:rPr>
          <w:rFonts w:asciiTheme="majorBidi" w:hAnsiTheme="majorBidi" w:cstheme="majorBidi"/>
          <w:sz w:val="24"/>
          <w:szCs w:val="24"/>
        </w:rPr>
        <w:t xml:space="preserve"> </w:t>
      </w:r>
      <w:r w:rsidRPr="00AC6C5F">
        <w:rPr>
          <w:rFonts w:asciiTheme="majorBidi" w:hAnsiTheme="majorBidi" w:cstheme="majorBidi"/>
          <w:i/>
          <w:iCs/>
          <w:sz w:val="20"/>
          <w:szCs w:val="20"/>
        </w:rPr>
        <w:t>al-Muwafaqāt fi ushūl al-Syarī’ah</w:t>
      </w:r>
      <w:r w:rsidRPr="00DC7A5C">
        <w:rPr>
          <w:rFonts w:asciiTheme="majorBidi" w:hAnsiTheme="majorBidi" w:cstheme="majorBidi"/>
          <w:sz w:val="20"/>
          <w:szCs w:val="20"/>
        </w:rPr>
        <w:t>, (Beirut: Dar al-R</w:t>
      </w:r>
      <w:r>
        <w:rPr>
          <w:rFonts w:asciiTheme="majorBidi" w:hAnsiTheme="majorBidi" w:cstheme="majorBidi"/>
          <w:sz w:val="20"/>
          <w:szCs w:val="20"/>
        </w:rPr>
        <w:t>asyid al-Haditsah, t.t.h), juz IV</w:t>
      </w:r>
      <w:r w:rsidRPr="00DC7A5C">
        <w:rPr>
          <w:rFonts w:asciiTheme="majorBidi" w:hAnsiTheme="majorBidi" w:cstheme="majorBidi"/>
          <w:sz w:val="20"/>
          <w:szCs w:val="20"/>
        </w:rPr>
        <w:t>, h. 80.</w:t>
      </w:r>
    </w:p>
  </w:footnote>
  <w:footnote w:id="287">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Pr>
          <w:rFonts w:asciiTheme="majorBidi" w:hAnsiTheme="majorBidi" w:cstheme="majorBidi"/>
        </w:rPr>
        <w:t xml:space="preserve"> Lihat. </w:t>
      </w:r>
      <w:r w:rsidRPr="005F73F5">
        <w:rPr>
          <w:rFonts w:ascii="Z@R7072.tmp" w:hAnsi="Z@R7072.tmp" w:cs="Z@R7072.tmp"/>
        </w:rPr>
        <w:t>Al-Qar</w:t>
      </w:r>
      <w:r w:rsidRPr="005F73F5">
        <w:rPr>
          <w:rFonts w:asciiTheme="majorBidi" w:hAnsiTheme="majorBidi" w:cstheme="majorBidi"/>
        </w:rPr>
        <w:t>ā</w:t>
      </w:r>
      <w:r w:rsidRPr="005F73F5">
        <w:rPr>
          <w:rFonts w:ascii="Z@R7072.tmp" w:hAnsi="Z@R7072.tmp" w:cs="Z@R7072.tmp"/>
        </w:rPr>
        <w:t>f</w:t>
      </w:r>
      <w:r w:rsidRPr="005F73F5">
        <w:rPr>
          <w:rFonts w:asciiTheme="majorBidi" w:hAnsiTheme="majorBidi" w:cstheme="majorBidi"/>
        </w:rPr>
        <w:t>ī</w:t>
      </w:r>
      <w:r w:rsidRPr="00AC6C5F">
        <w:rPr>
          <w:rFonts w:asciiTheme="majorBidi" w:hAnsiTheme="majorBidi" w:cstheme="majorBidi"/>
          <w:i/>
          <w:iCs/>
        </w:rPr>
        <w:t>, Tanqīh al-Fushūl</w:t>
      </w:r>
      <w:r w:rsidRPr="00DC7A5C">
        <w:rPr>
          <w:rFonts w:asciiTheme="majorBidi" w:hAnsiTheme="majorBidi" w:cstheme="majorBidi"/>
          <w:i/>
          <w:iCs/>
        </w:rPr>
        <w:t xml:space="preserve">, </w:t>
      </w:r>
      <w:r w:rsidRPr="00DC7A5C">
        <w:rPr>
          <w:rFonts w:asciiTheme="majorBidi" w:hAnsiTheme="majorBidi" w:cstheme="majorBidi"/>
        </w:rPr>
        <w:t xml:space="preserve">(Beirut : </w:t>
      </w:r>
      <w:r>
        <w:rPr>
          <w:rFonts w:asciiTheme="majorBidi" w:hAnsiTheme="majorBidi" w:cstheme="majorBidi"/>
        </w:rPr>
        <w:t>Dār al-Fikr</w:t>
      </w:r>
      <w:r w:rsidRPr="00DC7A5C">
        <w:rPr>
          <w:rFonts w:asciiTheme="majorBidi" w:hAnsiTheme="majorBidi" w:cstheme="majorBidi"/>
        </w:rPr>
        <w:t>, tt.h), h. 448.</w:t>
      </w:r>
    </w:p>
  </w:footnote>
  <w:footnote w:id="288">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w:t>
      </w:r>
      <w:r w:rsidRPr="005F73F5">
        <w:rPr>
          <w:rFonts w:ascii="Z@R7072.tmp" w:hAnsi="Z@R7072.tmp" w:cs="Z@R7072.tmp"/>
        </w:rPr>
        <w:t>Al-Qar</w:t>
      </w:r>
      <w:r w:rsidRPr="005F73F5">
        <w:rPr>
          <w:rFonts w:asciiTheme="majorBidi" w:hAnsiTheme="majorBidi" w:cstheme="majorBidi"/>
        </w:rPr>
        <w:t>ā</w:t>
      </w:r>
      <w:r w:rsidRPr="005F73F5">
        <w:rPr>
          <w:rFonts w:ascii="Z@R7072.tmp" w:hAnsi="Z@R7072.tmp" w:cs="Z@R7072.tmp"/>
        </w:rPr>
        <w:t>f</w:t>
      </w:r>
      <w:r w:rsidRPr="005F73F5">
        <w:rPr>
          <w:rFonts w:asciiTheme="majorBidi" w:hAnsiTheme="majorBidi" w:cstheme="majorBidi"/>
        </w:rPr>
        <w:t>ī</w:t>
      </w:r>
      <w:r w:rsidRPr="00DC7A5C">
        <w:rPr>
          <w:rFonts w:asciiTheme="majorBidi" w:hAnsiTheme="majorBidi" w:cstheme="majorBidi"/>
        </w:rPr>
        <w:t xml:space="preserve">, </w:t>
      </w:r>
      <w:r w:rsidRPr="0004593C">
        <w:rPr>
          <w:rFonts w:asciiTheme="majorBidi" w:hAnsiTheme="majorBidi" w:cstheme="majorBidi"/>
          <w:i/>
          <w:iCs/>
        </w:rPr>
        <w:t>Al-Fur</w:t>
      </w:r>
      <w:r w:rsidRPr="00AC6C5F">
        <w:rPr>
          <w:rFonts w:asciiTheme="majorBidi" w:hAnsiTheme="majorBidi" w:cstheme="majorBidi"/>
          <w:i/>
          <w:iCs/>
        </w:rPr>
        <w:t>ū</w:t>
      </w:r>
      <w:r w:rsidRPr="0004593C">
        <w:rPr>
          <w:rFonts w:asciiTheme="majorBidi" w:hAnsiTheme="majorBidi" w:cstheme="majorBidi"/>
          <w:i/>
          <w:iCs/>
        </w:rPr>
        <w:t>q</w:t>
      </w:r>
      <w:r w:rsidRPr="00DC7A5C">
        <w:rPr>
          <w:rFonts w:asciiTheme="majorBidi" w:hAnsiTheme="majorBidi" w:cstheme="majorBidi"/>
        </w:rPr>
        <w:t>, (Bei</w:t>
      </w:r>
      <w:r>
        <w:rPr>
          <w:rFonts w:asciiTheme="majorBidi" w:hAnsiTheme="majorBidi" w:cstheme="majorBidi"/>
        </w:rPr>
        <w:t>rut: Alam al-Kutub, tt.h), Juz II</w:t>
      </w:r>
      <w:r w:rsidRPr="00DC7A5C">
        <w:rPr>
          <w:rFonts w:asciiTheme="majorBidi" w:hAnsiTheme="majorBidi" w:cstheme="majorBidi"/>
        </w:rPr>
        <w:t>, h. 33.</w:t>
      </w:r>
    </w:p>
  </w:footnote>
  <w:footnote w:id="289">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Ibnu Rusyd, </w:t>
      </w:r>
      <w:r w:rsidRPr="00DC7A5C">
        <w:rPr>
          <w:rFonts w:asciiTheme="majorBidi" w:hAnsiTheme="majorBidi" w:cstheme="majorBidi"/>
          <w:i/>
          <w:iCs/>
        </w:rPr>
        <w:t xml:space="preserve">Al-Muqaddimah, </w:t>
      </w:r>
      <w:r w:rsidRPr="00DC7A5C">
        <w:rPr>
          <w:rFonts w:asciiTheme="majorBidi" w:hAnsiTheme="majorBidi" w:cstheme="majorBidi"/>
        </w:rPr>
        <w:t xml:space="preserve">(Beirut : </w:t>
      </w:r>
      <w:r>
        <w:rPr>
          <w:rFonts w:asciiTheme="majorBidi" w:hAnsiTheme="majorBidi" w:cstheme="majorBidi"/>
        </w:rPr>
        <w:t>Dār al-Fikr</w:t>
      </w:r>
      <w:r w:rsidRPr="00DC7A5C">
        <w:rPr>
          <w:rFonts w:asciiTheme="majorBidi" w:hAnsiTheme="majorBidi" w:cstheme="majorBidi"/>
        </w:rPr>
        <w:t xml:space="preserve">, t.t.h), </w:t>
      </w:r>
      <w:r w:rsidRPr="00DC7A5C">
        <w:rPr>
          <w:rFonts w:asciiTheme="majorBidi" w:hAnsiTheme="majorBidi" w:cstheme="majorBidi"/>
          <w:i/>
          <w:iCs/>
        </w:rPr>
        <w:t>Kitab al Bay’</w:t>
      </w:r>
      <w:r w:rsidRPr="00DC7A5C">
        <w:rPr>
          <w:rFonts w:asciiTheme="majorBidi" w:hAnsiTheme="majorBidi" w:cstheme="majorBidi"/>
        </w:rPr>
        <w:t>, Juz II, h. 524.</w:t>
      </w:r>
    </w:p>
  </w:footnote>
  <w:footnote w:id="290">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Al-Qurthub</w:t>
      </w:r>
      <w:r w:rsidRPr="00AC6C5F">
        <w:rPr>
          <w:rFonts w:asciiTheme="majorBidi" w:hAnsiTheme="majorBidi" w:cstheme="majorBidi"/>
        </w:rPr>
        <w:t xml:space="preserve">ī </w:t>
      </w:r>
      <w:r w:rsidRPr="00DC7A5C">
        <w:rPr>
          <w:rFonts w:asciiTheme="majorBidi" w:hAnsiTheme="majorBidi" w:cstheme="majorBidi"/>
        </w:rPr>
        <w:t xml:space="preserve">, </w:t>
      </w:r>
      <w:r w:rsidRPr="00DC7A5C">
        <w:rPr>
          <w:rFonts w:asciiTheme="majorBidi" w:hAnsiTheme="majorBidi" w:cstheme="majorBidi"/>
          <w:i/>
          <w:iCs/>
        </w:rPr>
        <w:t>Al-Jami’ Li Ahk</w:t>
      </w:r>
      <w:r w:rsidRPr="00AC6C5F">
        <w:rPr>
          <w:rFonts w:asciiTheme="majorBidi" w:hAnsiTheme="majorBidi" w:cstheme="majorBidi"/>
          <w:i/>
          <w:iCs/>
        </w:rPr>
        <w:t>ā</w:t>
      </w:r>
      <w:r w:rsidRPr="00DC7A5C">
        <w:rPr>
          <w:rFonts w:asciiTheme="majorBidi" w:hAnsiTheme="majorBidi" w:cstheme="majorBidi"/>
          <w:i/>
          <w:iCs/>
        </w:rPr>
        <w:t xml:space="preserve">m </w:t>
      </w:r>
      <w:r>
        <w:rPr>
          <w:rFonts w:asciiTheme="majorBidi" w:hAnsiTheme="majorBidi" w:cstheme="majorBidi"/>
          <w:i/>
          <w:iCs/>
        </w:rPr>
        <w:t>Al-Qur’ān</w:t>
      </w:r>
      <w:r w:rsidRPr="00DC7A5C">
        <w:rPr>
          <w:rFonts w:asciiTheme="majorBidi" w:hAnsiTheme="majorBidi" w:cstheme="majorBidi"/>
        </w:rPr>
        <w:t>, (Kairo: Dar al-Hadits, 1994), Juz II, h. 58.</w:t>
      </w:r>
    </w:p>
  </w:footnote>
  <w:footnote w:id="291">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w:t>
      </w:r>
      <w:r w:rsidRPr="00CB59BE">
        <w:rPr>
          <w:rFonts w:asciiTheme="majorBidi" w:hAnsiTheme="majorBidi" w:cstheme="majorBidi"/>
        </w:rPr>
        <w:t>Al-Syauk</w:t>
      </w:r>
      <w:r w:rsidRPr="003A2EE2">
        <w:rPr>
          <w:rFonts w:asciiTheme="majorBidi" w:hAnsiTheme="majorBidi" w:cstheme="majorBidi"/>
        </w:rPr>
        <w:t>ā</w:t>
      </w:r>
      <w:r w:rsidRPr="00CB59BE">
        <w:rPr>
          <w:rFonts w:asciiTheme="majorBidi" w:hAnsiTheme="majorBidi" w:cstheme="majorBidi"/>
        </w:rPr>
        <w:t xml:space="preserve">ni, </w:t>
      </w:r>
      <w:r w:rsidRPr="00CB59BE">
        <w:rPr>
          <w:rFonts w:asciiTheme="majorBidi" w:hAnsiTheme="majorBidi" w:cstheme="majorBidi"/>
          <w:i/>
          <w:iCs/>
        </w:rPr>
        <w:t>Irsyād al-fuhūl ila Tahqiq min ‘Ilm al-Ushūl</w:t>
      </w:r>
      <w:r w:rsidRPr="00DC7A5C">
        <w:rPr>
          <w:rFonts w:asciiTheme="majorBidi" w:hAnsiTheme="majorBidi" w:cstheme="majorBidi"/>
        </w:rPr>
        <w:t>, (Beirut: D r al-Fikr, t.t.h), h. 80.</w:t>
      </w:r>
    </w:p>
  </w:footnote>
  <w:footnote w:id="292">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w:t>
      </w:r>
      <w:r>
        <w:rPr>
          <w:rFonts w:asciiTheme="majorBidi" w:hAnsiTheme="majorBidi" w:cstheme="majorBidi"/>
          <w:sz w:val="20"/>
          <w:szCs w:val="20"/>
          <w:lang w:val="sv-SE"/>
        </w:rPr>
        <w:t>Al-</w:t>
      </w:r>
      <w:r w:rsidRPr="00AC6C5F">
        <w:rPr>
          <w:rFonts w:asciiTheme="majorBidi" w:hAnsiTheme="majorBidi" w:cstheme="majorBidi"/>
          <w:sz w:val="20"/>
          <w:szCs w:val="20"/>
          <w:lang w:val="sv-SE"/>
        </w:rPr>
        <w:t>Sy</w:t>
      </w:r>
      <w:r w:rsidRPr="00AC6C5F">
        <w:rPr>
          <w:rFonts w:asciiTheme="majorBidi" w:hAnsiTheme="majorBidi" w:cstheme="majorBidi"/>
          <w:sz w:val="20"/>
          <w:szCs w:val="20"/>
        </w:rPr>
        <w:t>ā</w:t>
      </w:r>
      <w:r w:rsidRPr="00AC6C5F">
        <w:rPr>
          <w:rFonts w:asciiTheme="majorBidi" w:hAnsiTheme="majorBidi" w:cstheme="majorBidi"/>
          <w:sz w:val="20"/>
          <w:szCs w:val="20"/>
          <w:lang w:val="sv-SE"/>
        </w:rPr>
        <w:t>thib</w:t>
      </w:r>
      <w:r w:rsidRPr="00AC6C5F">
        <w:rPr>
          <w:rFonts w:asciiTheme="majorBidi" w:hAnsiTheme="majorBidi" w:cstheme="majorBidi"/>
          <w:sz w:val="20"/>
          <w:szCs w:val="20"/>
        </w:rPr>
        <w:t>ī</w:t>
      </w:r>
      <w:r>
        <w:rPr>
          <w:rFonts w:asciiTheme="majorBidi" w:hAnsiTheme="majorBidi" w:cstheme="majorBidi"/>
          <w:sz w:val="24"/>
          <w:szCs w:val="24"/>
        </w:rPr>
        <w:t xml:space="preserve"> </w:t>
      </w:r>
      <w:r w:rsidRPr="00AC6C5F">
        <w:rPr>
          <w:rFonts w:asciiTheme="majorBidi" w:hAnsiTheme="majorBidi" w:cstheme="majorBidi"/>
          <w:i/>
          <w:iCs/>
          <w:sz w:val="20"/>
          <w:szCs w:val="20"/>
        </w:rPr>
        <w:t>al-Muwafaqāt fi ushūl al-Syarī’ah</w:t>
      </w:r>
      <w:r w:rsidRPr="00DC7A5C">
        <w:rPr>
          <w:rFonts w:asciiTheme="majorBidi" w:hAnsiTheme="majorBidi" w:cstheme="majorBidi"/>
          <w:sz w:val="20"/>
          <w:szCs w:val="20"/>
        </w:rPr>
        <w:t>, (Beirut: Dar al-Rasyid al-Haditsah, t.t.), juz 3, h. 257 . 258.</w:t>
      </w:r>
    </w:p>
  </w:footnote>
  <w:footnote w:id="293">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Qatab Mushthafa</w:t>
      </w:r>
      <w:r w:rsidRPr="00DC7A5C">
        <w:rPr>
          <w:rFonts w:asciiTheme="majorBidi" w:hAnsiTheme="majorBidi" w:cstheme="majorBidi"/>
          <w:sz w:val="20"/>
          <w:szCs w:val="20"/>
        </w:rPr>
        <w:t xml:space="preserve"> Sanu, </w:t>
      </w:r>
      <w:r w:rsidRPr="00DC7A5C">
        <w:rPr>
          <w:rFonts w:asciiTheme="majorBidi" w:hAnsiTheme="majorBidi" w:cstheme="majorBidi"/>
          <w:i/>
          <w:iCs/>
          <w:sz w:val="20"/>
          <w:szCs w:val="20"/>
        </w:rPr>
        <w:t xml:space="preserve">Mu’jam Musthalat </w:t>
      </w:r>
      <w:r w:rsidRPr="00D546A2">
        <w:rPr>
          <w:rFonts w:asciiTheme="majorBidi" w:hAnsiTheme="majorBidi" w:cstheme="majorBidi"/>
          <w:i/>
          <w:iCs/>
        </w:rPr>
        <w:t>Us</w:t>
      </w:r>
      <w:r w:rsidRPr="0056354E">
        <w:rPr>
          <w:rFonts w:asciiTheme="majorBidi" w:hAnsiTheme="majorBidi" w:cstheme="majorBidi"/>
          <w:i/>
          <w:iCs/>
          <w:sz w:val="20"/>
          <w:szCs w:val="20"/>
        </w:rPr>
        <w:t>ū</w:t>
      </w:r>
      <w:r w:rsidRPr="00D546A2">
        <w:rPr>
          <w:rFonts w:asciiTheme="majorBidi" w:hAnsiTheme="majorBidi" w:cstheme="majorBidi"/>
          <w:i/>
          <w:iCs/>
        </w:rPr>
        <w:t>l</w:t>
      </w:r>
      <w:r w:rsidRPr="00DC7A5C">
        <w:rPr>
          <w:rFonts w:asciiTheme="majorBidi" w:hAnsiTheme="majorBidi" w:cstheme="majorBidi"/>
          <w:i/>
          <w:iCs/>
          <w:sz w:val="20"/>
          <w:szCs w:val="20"/>
        </w:rPr>
        <w:t xml:space="preserve"> al-Fiqh Arabi-Injilizi</w:t>
      </w:r>
      <w:r w:rsidRPr="00DC7A5C">
        <w:rPr>
          <w:rFonts w:asciiTheme="majorBidi" w:hAnsiTheme="majorBidi" w:cstheme="majorBidi"/>
          <w:sz w:val="20"/>
          <w:szCs w:val="20"/>
        </w:rPr>
        <w:t>, (Damaskus: Dâr al-Fikr, 2000), h. 284</w:t>
      </w:r>
    </w:p>
  </w:footnote>
  <w:footnote w:id="294">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Abû al-Fadl Jamil al-Di</w:t>
      </w:r>
      <w:r w:rsidRPr="00DC7A5C">
        <w:rPr>
          <w:rFonts w:asciiTheme="majorBidi" w:hAnsiTheme="majorBidi" w:cstheme="majorBidi"/>
          <w:sz w:val="20"/>
          <w:szCs w:val="20"/>
        </w:rPr>
        <w:t xml:space="preserve">n </w:t>
      </w:r>
      <w:r>
        <w:rPr>
          <w:rFonts w:asciiTheme="majorBidi" w:hAnsiTheme="majorBidi" w:cstheme="majorBidi"/>
          <w:sz w:val="20"/>
          <w:szCs w:val="20"/>
        </w:rPr>
        <w:t>Muhammad bin Mukarram ibn Manzhur al-Afriqi al-Misri, ibn Manzh</w:t>
      </w:r>
      <w:r w:rsidRPr="00AC6C5F">
        <w:rPr>
          <w:rFonts w:asciiTheme="majorBidi" w:hAnsiTheme="majorBidi" w:cstheme="majorBidi"/>
          <w:sz w:val="20"/>
          <w:szCs w:val="20"/>
        </w:rPr>
        <w:t>ū</w:t>
      </w:r>
      <w:r w:rsidRPr="00DC7A5C">
        <w:rPr>
          <w:rFonts w:asciiTheme="majorBidi" w:hAnsiTheme="majorBidi" w:cstheme="majorBidi"/>
          <w:sz w:val="20"/>
          <w:szCs w:val="20"/>
        </w:rPr>
        <w:t xml:space="preserve">r, </w:t>
      </w:r>
      <w:r w:rsidRPr="00DC7A5C">
        <w:rPr>
          <w:rFonts w:asciiTheme="majorBidi" w:hAnsiTheme="majorBidi" w:cstheme="majorBidi"/>
          <w:i/>
          <w:iCs/>
          <w:sz w:val="20"/>
          <w:szCs w:val="20"/>
        </w:rPr>
        <w:t>Lis</w:t>
      </w:r>
      <w:r w:rsidRPr="00AC6C5F">
        <w:rPr>
          <w:rFonts w:asciiTheme="majorBidi" w:hAnsiTheme="majorBidi" w:cstheme="majorBidi"/>
          <w:i/>
          <w:iCs/>
          <w:sz w:val="20"/>
          <w:szCs w:val="20"/>
        </w:rPr>
        <w:t>ā</w:t>
      </w:r>
      <w:r w:rsidRPr="00DC7A5C">
        <w:rPr>
          <w:rFonts w:asciiTheme="majorBidi" w:hAnsiTheme="majorBidi" w:cstheme="majorBidi"/>
          <w:i/>
          <w:iCs/>
          <w:sz w:val="20"/>
          <w:szCs w:val="20"/>
        </w:rPr>
        <w:t>n al-Arab</w:t>
      </w:r>
      <w:r>
        <w:rPr>
          <w:rFonts w:asciiTheme="majorBidi" w:hAnsiTheme="majorBidi" w:cstheme="majorBidi"/>
          <w:sz w:val="20"/>
          <w:szCs w:val="20"/>
        </w:rPr>
        <w:t>, (Beirut: Da</w:t>
      </w:r>
      <w:r w:rsidRPr="00DC7A5C">
        <w:rPr>
          <w:rFonts w:asciiTheme="majorBidi" w:hAnsiTheme="majorBidi" w:cstheme="majorBidi"/>
          <w:sz w:val="20"/>
          <w:szCs w:val="20"/>
        </w:rPr>
        <w:t>r Shadir, 1990), Cet. ke-1, Jilid 9, huruf fâ, h. 239</w:t>
      </w:r>
    </w:p>
  </w:footnote>
  <w:footnote w:id="295">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Abû al-Fadl Jamâl al-Dîn Muhammad bin Mukarram ibn Manzhûr al-Afriqî al-Misrî, ibn Manzhûr, </w:t>
      </w:r>
      <w:r w:rsidRPr="00DC7A5C">
        <w:rPr>
          <w:rFonts w:asciiTheme="majorBidi" w:hAnsiTheme="majorBidi" w:cstheme="majorBidi"/>
          <w:i/>
          <w:iCs/>
        </w:rPr>
        <w:t>Lisân al-Arab</w:t>
      </w:r>
      <w:r>
        <w:rPr>
          <w:rFonts w:asciiTheme="majorBidi" w:hAnsiTheme="majorBidi" w:cstheme="majorBidi"/>
        </w:rPr>
        <w:t>, (Beirût: Da</w:t>
      </w:r>
      <w:r w:rsidRPr="00DC7A5C">
        <w:rPr>
          <w:rFonts w:asciiTheme="majorBidi" w:hAnsiTheme="majorBidi" w:cstheme="majorBidi"/>
        </w:rPr>
        <w:t>r Shadir, 1990), Cet. ke-1, Jilid 9, huruf fâ, h. 239</w:t>
      </w:r>
    </w:p>
  </w:footnote>
  <w:footnote w:id="296">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Abû al-Qa</w:t>
      </w:r>
      <w:r w:rsidRPr="00DC7A5C">
        <w:rPr>
          <w:rFonts w:asciiTheme="majorBidi" w:hAnsiTheme="majorBidi" w:cstheme="majorBidi"/>
          <w:sz w:val="20"/>
          <w:szCs w:val="20"/>
        </w:rPr>
        <w:t>sim al-Husain ibn Muhammad ibn al-Mufadda</w:t>
      </w:r>
      <w:r>
        <w:rPr>
          <w:rFonts w:asciiTheme="majorBidi" w:hAnsiTheme="majorBidi" w:cstheme="majorBidi"/>
          <w:sz w:val="20"/>
          <w:szCs w:val="20"/>
        </w:rPr>
        <w:t>l yang dikenal dengan nama al-Ra</w:t>
      </w:r>
      <w:r w:rsidRPr="00DC7A5C">
        <w:rPr>
          <w:rFonts w:asciiTheme="majorBidi" w:hAnsiTheme="majorBidi" w:cstheme="majorBidi"/>
          <w:sz w:val="20"/>
          <w:szCs w:val="20"/>
        </w:rPr>
        <w:t>ghib al-A</w:t>
      </w:r>
      <w:r>
        <w:rPr>
          <w:rFonts w:asciiTheme="majorBidi" w:hAnsiTheme="majorBidi" w:cstheme="majorBidi"/>
          <w:sz w:val="20"/>
          <w:szCs w:val="20"/>
        </w:rPr>
        <w:t>shfah</w:t>
      </w:r>
      <w:r w:rsidRPr="00AC6C5F">
        <w:rPr>
          <w:rFonts w:asciiTheme="majorBidi" w:hAnsiTheme="majorBidi" w:cstheme="majorBidi"/>
          <w:sz w:val="20"/>
          <w:szCs w:val="20"/>
        </w:rPr>
        <w:t>ā</w:t>
      </w:r>
      <w:r>
        <w:rPr>
          <w:rFonts w:asciiTheme="majorBidi" w:hAnsiTheme="majorBidi" w:cstheme="majorBidi"/>
          <w:sz w:val="20"/>
          <w:szCs w:val="20"/>
        </w:rPr>
        <w:t>n</w:t>
      </w:r>
      <w:r w:rsidRPr="00AC6C5F">
        <w:rPr>
          <w:rFonts w:asciiTheme="majorBidi" w:hAnsiTheme="majorBidi" w:cstheme="majorBidi"/>
          <w:sz w:val="20"/>
          <w:szCs w:val="20"/>
        </w:rPr>
        <w:t>ī</w:t>
      </w:r>
      <w:r>
        <w:rPr>
          <w:rFonts w:asciiTheme="majorBidi" w:hAnsiTheme="majorBidi" w:cstheme="majorBidi"/>
          <w:sz w:val="20"/>
          <w:szCs w:val="20"/>
        </w:rPr>
        <w:t xml:space="preserve">, </w:t>
      </w:r>
      <w:r w:rsidRPr="00DC7A5C">
        <w:rPr>
          <w:rFonts w:asciiTheme="majorBidi" w:hAnsiTheme="majorBidi" w:cstheme="majorBidi"/>
          <w:i/>
          <w:iCs/>
          <w:sz w:val="20"/>
          <w:szCs w:val="20"/>
        </w:rPr>
        <w:t>Mu’jamMufrad</w:t>
      </w:r>
      <w:r w:rsidRPr="00AC6C5F">
        <w:rPr>
          <w:rFonts w:asciiTheme="majorBidi" w:hAnsiTheme="majorBidi" w:cstheme="majorBidi"/>
          <w:i/>
          <w:iCs/>
          <w:sz w:val="20"/>
          <w:szCs w:val="20"/>
        </w:rPr>
        <w:t>ā</w:t>
      </w:r>
      <w:r w:rsidRPr="00DC7A5C">
        <w:rPr>
          <w:rFonts w:asciiTheme="majorBidi" w:hAnsiTheme="majorBidi" w:cstheme="majorBidi"/>
          <w:i/>
          <w:iCs/>
          <w:sz w:val="20"/>
          <w:szCs w:val="20"/>
        </w:rPr>
        <w:t>t Alf</w:t>
      </w:r>
      <w:r w:rsidRPr="00AC6C5F">
        <w:rPr>
          <w:rFonts w:asciiTheme="majorBidi" w:hAnsiTheme="majorBidi" w:cstheme="majorBidi"/>
          <w:i/>
          <w:iCs/>
          <w:sz w:val="20"/>
          <w:szCs w:val="20"/>
        </w:rPr>
        <w:t>ā</w:t>
      </w:r>
      <w:r w:rsidRPr="00DC7A5C">
        <w:rPr>
          <w:rFonts w:asciiTheme="majorBidi" w:hAnsiTheme="majorBidi" w:cstheme="majorBidi"/>
          <w:i/>
          <w:iCs/>
          <w:sz w:val="20"/>
          <w:szCs w:val="20"/>
        </w:rPr>
        <w:t>z al-Qur’</w:t>
      </w:r>
      <w:r w:rsidRPr="00AC6C5F">
        <w:rPr>
          <w:rFonts w:asciiTheme="majorBidi" w:hAnsiTheme="majorBidi" w:cstheme="majorBidi"/>
          <w:i/>
          <w:iCs/>
          <w:sz w:val="20"/>
          <w:szCs w:val="20"/>
        </w:rPr>
        <w:t>ā</w:t>
      </w:r>
      <w:r w:rsidRPr="00DC7A5C">
        <w:rPr>
          <w:rFonts w:asciiTheme="majorBidi" w:hAnsiTheme="majorBidi" w:cstheme="majorBidi"/>
          <w:i/>
          <w:iCs/>
          <w:sz w:val="20"/>
          <w:szCs w:val="20"/>
        </w:rPr>
        <w:t>n</w:t>
      </w:r>
      <w:r w:rsidRPr="00DC7A5C">
        <w:rPr>
          <w:rFonts w:asciiTheme="majorBidi" w:hAnsiTheme="majorBidi" w:cstheme="majorBidi"/>
          <w:sz w:val="20"/>
          <w:szCs w:val="20"/>
        </w:rPr>
        <w:t>, (Beirût: Dâr al-Kutub al-Ilmiyyah, 2004), h. 371</w:t>
      </w:r>
    </w:p>
  </w:footnote>
  <w:footnote w:id="297">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Depag RI, </w:t>
      </w:r>
      <w:r w:rsidRPr="00DC7A5C">
        <w:rPr>
          <w:rFonts w:asciiTheme="majorBidi" w:hAnsiTheme="majorBidi" w:cstheme="majorBidi"/>
          <w:i/>
          <w:iCs/>
        </w:rPr>
        <w:t>Al-Qur’an dan Terjamahannya</w:t>
      </w:r>
      <w:r w:rsidRPr="00DC7A5C">
        <w:rPr>
          <w:rFonts w:asciiTheme="majorBidi" w:hAnsiTheme="majorBidi" w:cstheme="majorBidi"/>
        </w:rPr>
        <w:t xml:space="preserve">, (Medinah al-Munawwarah: Mujamma’ al-Malik Fahd Li al-Thiba’ah Mush-haf al-Syarif, 1418) h. 93. Dalam terjemahan kementerian Agama disebutkan pengertian kata </w:t>
      </w:r>
      <w:r w:rsidRPr="00DC7A5C">
        <w:rPr>
          <w:rFonts w:asciiTheme="majorBidi" w:hAnsiTheme="majorBidi" w:cstheme="majorBidi"/>
          <w:i/>
          <w:iCs/>
        </w:rPr>
        <w:t>Ma'ruf</w:t>
      </w:r>
      <w:r w:rsidRPr="00DC7A5C">
        <w:rPr>
          <w:rFonts w:asciiTheme="majorBidi" w:hAnsiTheme="majorBidi" w:cstheme="majorBidi"/>
        </w:rPr>
        <w:t xml:space="preserve"> adalah segala perbuatan yang mendekatkan kita kepada Allah; sedangkan </w:t>
      </w:r>
      <w:r w:rsidRPr="00DC7A5C">
        <w:rPr>
          <w:rFonts w:asciiTheme="majorBidi" w:hAnsiTheme="majorBidi" w:cstheme="majorBidi"/>
          <w:i/>
          <w:iCs/>
        </w:rPr>
        <w:t>Munkar</w:t>
      </w:r>
      <w:r w:rsidRPr="00DC7A5C">
        <w:rPr>
          <w:rFonts w:asciiTheme="majorBidi" w:hAnsiTheme="majorBidi" w:cstheme="majorBidi"/>
        </w:rPr>
        <w:t xml:space="preserve"> ialah segala perbuatan yang menjauhkan kita dari pada-Nya.</w:t>
      </w:r>
    </w:p>
  </w:footnote>
  <w:footnote w:id="298">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Depag RI, </w:t>
      </w:r>
      <w:r w:rsidRPr="00DC7A5C">
        <w:rPr>
          <w:rFonts w:asciiTheme="majorBidi" w:hAnsiTheme="majorBidi" w:cstheme="majorBidi"/>
          <w:i/>
          <w:iCs/>
        </w:rPr>
        <w:t>Al-Qur’an dan Terjamahannya</w:t>
      </w:r>
      <w:r w:rsidRPr="00DC7A5C">
        <w:rPr>
          <w:rFonts w:asciiTheme="majorBidi" w:hAnsiTheme="majorBidi" w:cstheme="majorBidi"/>
        </w:rPr>
        <w:t>, (Medinah al-Munawwarah: Mujamma’ al-Malik Fahd Li al-Thiba’ah Mush-haf al-Syarif, 1418) h. 255</w:t>
      </w:r>
    </w:p>
  </w:footnote>
  <w:footnote w:id="299">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Muh</w:t>
      </w:r>
      <w:r>
        <w:rPr>
          <w:rFonts w:asciiTheme="majorBidi" w:hAnsiTheme="majorBidi" w:cstheme="majorBidi"/>
          <w:sz w:val="20"/>
          <w:szCs w:val="20"/>
        </w:rPr>
        <w:t>ammad bin Ahmad bin ‘Abd al-‘Aziz bin Ali al-Futuhi al-Hanbal</w:t>
      </w:r>
      <w:r w:rsidRPr="00DC7A5C">
        <w:rPr>
          <w:rFonts w:asciiTheme="majorBidi" w:hAnsiTheme="majorBidi" w:cstheme="majorBidi"/>
          <w:sz w:val="20"/>
          <w:szCs w:val="20"/>
        </w:rPr>
        <w:t xml:space="preserve">, dikenal Ibn al- Najjar (w. 972 H.), </w:t>
      </w:r>
      <w:r w:rsidRPr="00DC7A5C">
        <w:rPr>
          <w:rFonts w:asciiTheme="majorBidi" w:hAnsiTheme="majorBidi" w:cstheme="majorBidi"/>
          <w:i/>
          <w:iCs/>
          <w:sz w:val="20"/>
          <w:szCs w:val="20"/>
        </w:rPr>
        <w:t>Syarh al-Ka</w:t>
      </w:r>
      <w:r>
        <w:rPr>
          <w:rFonts w:asciiTheme="majorBidi" w:hAnsiTheme="majorBidi" w:cstheme="majorBidi"/>
          <w:i/>
          <w:iCs/>
          <w:sz w:val="20"/>
          <w:szCs w:val="20"/>
        </w:rPr>
        <w:t>wakib al-Muni</w:t>
      </w:r>
      <w:r w:rsidRPr="00DC7A5C">
        <w:rPr>
          <w:rFonts w:asciiTheme="majorBidi" w:hAnsiTheme="majorBidi" w:cstheme="majorBidi"/>
          <w:i/>
          <w:iCs/>
          <w:sz w:val="20"/>
          <w:szCs w:val="20"/>
        </w:rPr>
        <w:t>r</w:t>
      </w:r>
      <w:r w:rsidRPr="00DC7A5C">
        <w:rPr>
          <w:rFonts w:asciiTheme="majorBidi" w:hAnsiTheme="majorBidi" w:cstheme="majorBidi"/>
          <w:sz w:val="20"/>
          <w:szCs w:val="20"/>
        </w:rPr>
        <w:t>, (Riyâdh: Maktabah al-Abikan, 1997), Jilid 4, h. 443</w:t>
      </w:r>
    </w:p>
  </w:footnote>
  <w:footnote w:id="300">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Ali</w:t>
      </w:r>
      <w:r w:rsidRPr="00DC7A5C">
        <w:rPr>
          <w:rFonts w:asciiTheme="majorBidi" w:hAnsiTheme="majorBidi" w:cstheme="majorBidi"/>
          <w:sz w:val="20"/>
          <w:szCs w:val="20"/>
        </w:rPr>
        <w:t xml:space="preserve"> bin Muhammad al-Jurj</w:t>
      </w:r>
      <w:r w:rsidRPr="00AC6C5F">
        <w:rPr>
          <w:rFonts w:asciiTheme="majorBidi" w:hAnsiTheme="majorBidi" w:cstheme="majorBidi"/>
          <w:sz w:val="20"/>
          <w:szCs w:val="20"/>
        </w:rPr>
        <w:t>ā</w:t>
      </w:r>
      <w:r w:rsidRPr="00DC7A5C">
        <w:rPr>
          <w:rFonts w:asciiTheme="majorBidi" w:hAnsiTheme="majorBidi" w:cstheme="majorBidi"/>
          <w:sz w:val="20"/>
          <w:szCs w:val="20"/>
        </w:rPr>
        <w:t>n</w:t>
      </w:r>
      <w:r w:rsidRPr="00AC6C5F">
        <w:rPr>
          <w:rFonts w:asciiTheme="majorBidi" w:hAnsiTheme="majorBidi" w:cstheme="majorBidi"/>
          <w:sz w:val="20"/>
          <w:szCs w:val="20"/>
        </w:rPr>
        <w:t>ī,</w:t>
      </w:r>
      <w:r w:rsidRPr="00DC7A5C">
        <w:rPr>
          <w:rFonts w:asciiTheme="majorBidi" w:hAnsiTheme="majorBidi" w:cstheme="majorBidi"/>
          <w:sz w:val="20"/>
          <w:szCs w:val="20"/>
        </w:rPr>
        <w:t xml:space="preserve"> </w:t>
      </w:r>
      <w:r w:rsidRPr="00DC7A5C">
        <w:rPr>
          <w:rFonts w:asciiTheme="majorBidi" w:hAnsiTheme="majorBidi" w:cstheme="majorBidi"/>
          <w:i/>
          <w:iCs/>
          <w:sz w:val="20"/>
          <w:szCs w:val="20"/>
        </w:rPr>
        <w:t>Kit</w:t>
      </w:r>
      <w:r w:rsidRPr="00AC6C5F">
        <w:rPr>
          <w:rFonts w:asciiTheme="majorBidi" w:hAnsiTheme="majorBidi" w:cstheme="majorBidi"/>
          <w:i/>
          <w:iCs/>
          <w:sz w:val="20"/>
          <w:szCs w:val="20"/>
        </w:rPr>
        <w:t>ā</w:t>
      </w:r>
      <w:r w:rsidRPr="00DC7A5C">
        <w:rPr>
          <w:rFonts w:asciiTheme="majorBidi" w:hAnsiTheme="majorBidi" w:cstheme="majorBidi"/>
          <w:i/>
          <w:iCs/>
          <w:sz w:val="20"/>
          <w:szCs w:val="20"/>
        </w:rPr>
        <w:t>b al-Ta’r</w:t>
      </w:r>
      <w:r w:rsidRPr="00972F6C">
        <w:rPr>
          <w:rFonts w:asciiTheme="majorBidi" w:hAnsiTheme="majorBidi" w:cstheme="majorBidi"/>
          <w:i/>
          <w:iCs/>
          <w:sz w:val="20"/>
          <w:szCs w:val="20"/>
        </w:rPr>
        <w:t>ī</w:t>
      </w:r>
      <w:r w:rsidRPr="00DC7A5C">
        <w:rPr>
          <w:rFonts w:asciiTheme="majorBidi" w:hAnsiTheme="majorBidi" w:cstheme="majorBidi"/>
          <w:i/>
          <w:iCs/>
          <w:sz w:val="20"/>
          <w:szCs w:val="20"/>
        </w:rPr>
        <w:t>fat</w:t>
      </w:r>
      <w:r>
        <w:rPr>
          <w:rFonts w:asciiTheme="majorBidi" w:hAnsiTheme="majorBidi" w:cstheme="majorBidi"/>
          <w:sz w:val="20"/>
          <w:szCs w:val="20"/>
        </w:rPr>
        <w:t>, (Beirût: Da</w:t>
      </w:r>
      <w:r w:rsidRPr="00DC7A5C">
        <w:rPr>
          <w:rFonts w:asciiTheme="majorBidi" w:hAnsiTheme="majorBidi" w:cstheme="majorBidi"/>
          <w:sz w:val="20"/>
          <w:szCs w:val="20"/>
        </w:rPr>
        <w:t>r al-Kutub al-Ilmiyyah, 1988), Cet. Ke-3, h. 149</w:t>
      </w:r>
    </w:p>
  </w:footnote>
  <w:footnote w:id="301">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‘Abd al-Wahhâb Khalla</w:t>
      </w:r>
      <w:r w:rsidRPr="00DC7A5C">
        <w:rPr>
          <w:rFonts w:asciiTheme="majorBidi" w:hAnsiTheme="majorBidi" w:cstheme="majorBidi"/>
          <w:sz w:val="20"/>
          <w:szCs w:val="20"/>
        </w:rPr>
        <w:t xml:space="preserve">f, </w:t>
      </w:r>
      <w:r w:rsidRPr="00DC7A5C">
        <w:rPr>
          <w:rFonts w:asciiTheme="majorBidi" w:hAnsiTheme="majorBidi" w:cstheme="majorBidi"/>
          <w:i/>
          <w:iCs/>
          <w:sz w:val="20"/>
          <w:szCs w:val="20"/>
        </w:rPr>
        <w:t xml:space="preserve">‘Ilmu </w:t>
      </w:r>
      <w:r w:rsidRPr="00D546A2">
        <w:rPr>
          <w:rFonts w:asciiTheme="majorBidi" w:hAnsiTheme="majorBidi" w:cstheme="majorBidi"/>
          <w:i/>
          <w:iCs/>
        </w:rPr>
        <w:t>Us</w:t>
      </w:r>
      <w:r w:rsidRPr="0056354E">
        <w:rPr>
          <w:rFonts w:asciiTheme="majorBidi" w:hAnsiTheme="majorBidi" w:cstheme="majorBidi"/>
          <w:i/>
          <w:iCs/>
          <w:sz w:val="20"/>
          <w:szCs w:val="20"/>
        </w:rPr>
        <w:t>ū</w:t>
      </w:r>
      <w:r w:rsidRPr="00D546A2">
        <w:rPr>
          <w:rFonts w:asciiTheme="majorBidi" w:hAnsiTheme="majorBidi" w:cstheme="majorBidi"/>
          <w:i/>
          <w:iCs/>
        </w:rPr>
        <w:t>l al-Fiqh</w:t>
      </w:r>
      <w:r w:rsidRPr="00DC7A5C">
        <w:rPr>
          <w:rFonts w:asciiTheme="majorBidi" w:hAnsiTheme="majorBidi" w:cstheme="majorBidi"/>
          <w:sz w:val="20"/>
          <w:szCs w:val="20"/>
        </w:rPr>
        <w:t>, (Kairo: Dâr al-Qalam, 1978), Cet. ke- 12, h. 89</w:t>
      </w:r>
    </w:p>
  </w:footnote>
  <w:footnote w:id="302">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Muhammad Abû Zahrah,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Pr>
          <w:rFonts w:asciiTheme="majorBidi" w:hAnsiTheme="majorBidi" w:cstheme="majorBidi"/>
        </w:rPr>
        <w:t>, (t.t.: Da</w:t>
      </w:r>
      <w:r w:rsidRPr="00DC7A5C">
        <w:rPr>
          <w:rFonts w:asciiTheme="majorBidi" w:hAnsiTheme="majorBidi" w:cstheme="majorBidi"/>
        </w:rPr>
        <w:t>r al-Fikr, 1953), h. 273</w:t>
      </w:r>
    </w:p>
  </w:footnote>
  <w:footnote w:id="303">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Mushthafâ Ahmad Zarqâ</w:t>
      </w:r>
      <w:r w:rsidRPr="00DC7A5C">
        <w:rPr>
          <w:rFonts w:asciiTheme="majorBidi" w:hAnsiTheme="majorBidi" w:cstheme="majorBidi"/>
          <w:sz w:val="20"/>
          <w:szCs w:val="20"/>
        </w:rPr>
        <w:t xml:space="preserve">, </w:t>
      </w:r>
      <w:r w:rsidRPr="00DC7A5C">
        <w:rPr>
          <w:rFonts w:asciiTheme="majorBidi" w:hAnsiTheme="majorBidi" w:cstheme="majorBidi"/>
          <w:i/>
          <w:iCs/>
          <w:sz w:val="20"/>
          <w:szCs w:val="20"/>
        </w:rPr>
        <w:t>al-Madkhal al-</w:t>
      </w:r>
      <w:r w:rsidRPr="00CC51B7">
        <w:rPr>
          <w:rFonts w:asciiTheme="majorBidi" w:hAnsiTheme="majorBidi" w:cstheme="majorBidi"/>
          <w:i/>
          <w:iCs/>
        </w:rPr>
        <w:t xml:space="preserve"> </w:t>
      </w:r>
      <w:r w:rsidRPr="00CC51B7">
        <w:rPr>
          <w:rFonts w:asciiTheme="majorBidi" w:hAnsiTheme="majorBidi" w:cstheme="majorBidi"/>
          <w:i/>
          <w:iCs/>
          <w:sz w:val="20"/>
          <w:szCs w:val="20"/>
        </w:rPr>
        <w:t>Fiqh al-Isl</w:t>
      </w:r>
      <w:r w:rsidRPr="00CC51B7">
        <w:rPr>
          <w:rFonts w:asciiTheme="majorBidi" w:hAnsiTheme="majorBidi" w:cstheme="majorBidi"/>
          <w:i/>
          <w:iCs/>
          <w:spacing w:val="1"/>
          <w:sz w:val="20"/>
          <w:szCs w:val="20"/>
        </w:rPr>
        <w:t>ā</w:t>
      </w:r>
      <w:r w:rsidRPr="00CC51B7">
        <w:rPr>
          <w:rFonts w:asciiTheme="majorBidi" w:hAnsiTheme="majorBidi" w:cstheme="majorBidi"/>
          <w:i/>
          <w:iCs/>
          <w:sz w:val="20"/>
          <w:szCs w:val="20"/>
        </w:rPr>
        <w:t>miy</w:t>
      </w:r>
      <w:r>
        <w:rPr>
          <w:rFonts w:asciiTheme="majorBidi" w:hAnsiTheme="majorBidi" w:cstheme="majorBidi"/>
          <w:sz w:val="20"/>
          <w:szCs w:val="20"/>
        </w:rPr>
        <w:t>, (Damascus: Dâr al-Fikr, 1967), Juz I</w:t>
      </w:r>
      <w:r w:rsidRPr="00DC7A5C">
        <w:rPr>
          <w:rFonts w:asciiTheme="majorBidi" w:hAnsiTheme="majorBidi" w:cstheme="majorBidi"/>
          <w:sz w:val="20"/>
          <w:szCs w:val="20"/>
        </w:rPr>
        <w:t>, h. 131</w:t>
      </w:r>
    </w:p>
  </w:footnote>
  <w:footnote w:id="304">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w:t>
      </w:r>
      <w:r w:rsidRPr="00DC7A5C">
        <w:rPr>
          <w:rFonts w:asciiTheme="majorBidi" w:hAnsiTheme="majorBidi" w:cstheme="majorBidi"/>
          <w:color w:val="FF0000"/>
        </w:rPr>
        <w:t xml:space="preserve"> </w:t>
      </w:r>
      <w:r w:rsidRPr="00DC7A5C">
        <w:rPr>
          <w:rFonts w:asciiTheme="majorBidi" w:hAnsiTheme="majorBidi" w:cstheme="majorBidi"/>
        </w:rPr>
        <w:t xml:space="preserve"> Abd Karim Zaidan, </w:t>
      </w:r>
      <w:r w:rsidRPr="00DC7A5C">
        <w:rPr>
          <w:rFonts w:asciiTheme="majorBidi" w:hAnsiTheme="majorBidi" w:cstheme="majorBidi"/>
          <w:i/>
          <w:iCs/>
        </w:rPr>
        <w:t>Al-Waj</w:t>
      </w:r>
      <w:r w:rsidRPr="00972F6C">
        <w:rPr>
          <w:rFonts w:asciiTheme="majorBidi" w:hAnsiTheme="majorBidi" w:cstheme="majorBidi"/>
          <w:i/>
          <w:iCs/>
        </w:rPr>
        <w:t>ī</w:t>
      </w:r>
      <w:r w:rsidRPr="00DC7A5C">
        <w:rPr>
          <w:rFonts w:asciiTheme="majorBidi" w:hAnsiTheme="majorBidi" w:cstheme="majorBidi"/>
          <w:i/>
          <w:iCs/>
        </w:rPr>
        <w:t>z F</w:t>
      </w:r>
      <w:r w:rsidRPr="00972F6C">
        <w:rPr>
          <w:rFonts w:asciiTheme="majorBidi" w:hAnsiTheme="majorBidi" w:cstheme="majorBidi"/>
          <w:i/>
          <w:iCs/>
        </w:rPr>
        <w:t>ī</w:t>
      </w:r>
      <w:r w:rsidRPr="00DC7A5C">
        <w:rPr>
          <w:rFonts w:asciiTheme="majorBidi" w:hAnsiTheme="majorBidi" w:cstheme="majorBidi"/>
          <w:i/>
          <w:iCs/>
        </w:rPr>
        <w:t xml:space="preserve">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sidRPr="00DC7A5C">
        <w:rPr>
          <w:rFonts w:asciiTheme="majorBidi" w:hAnsiTheme="majorBidi" w:cstheme="majorBidi"/>
        </w:rPr>
        <w:t>, ( Baghdad: Muassasah al-Qurthubah, 1976), h. 252-253</w:t>
      </w:r>
    </w:p>
  </w:footnote>
  <w:footnote w:id="305">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Lihat.Jala al-Din al-Suyuthi</w:t>
      </w:r>
      <w:r w:rsidRPr="00DC7A5C">
        <w:rPr>
          <w:rFonts w:asciiTheme="majorBidi" w:hAnsiTheme="majorBidi" w:cstheme="majorBidi"/>
          <w:i/>
          <w:iCs/>
        </w:rPr>
        <w:t xml:space="preserve">, </w:t>
      </w:r>
      <w:r w:rsidRPr="004666EA">
        <w:rPr>
          <w:rFonts w:asciiTheme="majorBidi" w:eastAsiaTheme="minorHAnsi" w:hAnsiTheme="majorBidi" w:cstheme="majorBidi"/>
          <w:i/>
          <w:iCs/>
          <w:color w:val="000000"/>
        </w:rPr>
        <w:t>al-Asyab</w:t>
      </w:r>
      <w:r w:rsidRPr="00D54068">
        <w:rPr>
          <w:rFonts w:asciiTheme="majorBidi" w:hAnsiTheme="majorBidi" w:cstheme="majorBidi"/>
          <w:i/>
          <w:iCs/>
        </w:rPr>
        <w:t>ā</w:t>
      </w:r>
      <w:r w:rsidRPr="004666EA">
        <w:rPr>
          <w:rFonts w:asciiTheme="majorBidi" w:eastAsiaTheme="minorHAnsi" w:hAnsiTheme="majorBidi" w:cstheme="majorBidi"/>
          <w:i/>
          <w:iCs/>
          <w:color w:val="000000"/>
        </w:rPr>
        <w:t>h wa al-Nazh</w:t>
      </w:r>
      <w:r w:rsidRPr="00D54068">
        <w:rPr>
          <w:rFonts w:asciiTheme="majorBidi" w:hAnsiTheme="majorBidi" w:cstheme="majorBidi"/>
          <w:i/>
          <w:iCs/>
        </w:rPr>
        <w:t>ā</w:t>
      </w:r>
      <w:r w:rsidRPr="004666EA">
        <w:rPr>
          <w:rFonts w:asciiTheme="majorBidi" w:eastAsiaTheme="minorHAnsi" w:hAnsiTheme="majorBidi" w:cstheme="majorBidi"/>
          <w:i/>
          <w:iCs/>
          <w:color w:val="000000"/>
        </w:rPr>
        <w:t>’ir</w:t>
      </w:r>
      <w:r w:rsidRPr="00DC7A5C">
        <w:rPr>
          <w:rFonts w:asciiTheme="majorBidi" w:hAnsiTheme="majorBidi" w:cstheme="majorBidi"/>
          <w:i/>
          <w:iCs/>
        </w:rPr>
        <w:t xml:space="preserve"> f</w:t>
      </w:r>
      <w:r w:rsidRPr="00972F6C">
        <w:rPr>
          <w:rFonts w:asciiTheme="majorBidi" w:hAnsiTheme="majorBidi" w:cstheme="majorBidi"/>
          <w:i/>
          <w:iCs/>
        </w:rPr>
        <w:t>ī</w:t>
      </w:r>
      <w:r w:rsidRPr="00DC7A5C">
        <w:rPr>
          <w:rFonts w:asciiTheme="majorBidi" w:hAnsiTheme="majorBidi" w:cstheme="majorBidi"/>
          <w:i/>
          <w:iCs/>
        </w:rPr>
        <w:t xml:space="preserve"> al-furu’</w:t>
      </w:r>
      <w:r w:rsidRPr="00DC7A5C">
        <w:rPr>
          <w:rFonts w:asciiTheme="majorBidi" w:hAnsiTheme="majorBidi" w:cstheme="majorBidi"/>
        </w:rPr>
        <w:t>, ( Bairut: Maktabah Dar Ihya al-Kutubub al-‘Arabiyah, t.th), h. 6</w:t>
      </w:r>
    </w:p>
  </w:footnote>
  <w:footnote w:id="306">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Lihat. J. Suuthi Pulungan, </w:t>
      </w:r>
      <w:r w:rsidRPr="00DC7A5C">
        <w:rPr>
          <w:rFonts w:asciiTheme="majorBidi" w:hAnsiTheme="majorBidi" w:cstheme="majorBidi"/>
          <w:i/>
          <w:iCs/>
        </w:rPr>
        <w:t>Fiqh Siyasah, Ajaran, Sejarah dan Pemikiran</w:t>
      </w:r>
      <w:r w:rsidRPr="00DC7A5C">
        <w:rPr>
          <w:rFonts w:asciiTheme="majorBidi" w:hAnsiTheme="majorBidi" w:cstheme="majorBidi"/>
        </w:rPr>
        <w:t>, ( Jakarta: Raja Grafindo Persada, 1994), h. 36</w:t>
      </w:r>
    </w:p>
  </w:footnote>
  <w:footnote w:id="307">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Al-Rāgib al-Asfahānī, </w:t>
      </w:r>
      <w:r w:rsidRPr="00DC7A5C">
        <w:rPr>
          <w:rFonts w:asciiTheme="majorBidi" w:hAnsiTheme="majorBidi" w:cstheme="majorBidi"/>
          <w:i/>
          <w:iCs/>
          <w:sz w:val="20"/>
          <w:szCs w:val="20"/>
        </w:rPr>
        <w:t>al-Mufradāt fī Garīb al-Qurān</w:t>
      </w:r>
      <w:r w:rsidRPr="00DC7A5C">
        <w:rPr>
          <w:rFonts w:asciiTheme="majorBidi" w:hAnsiTheme="majorBidi" w:cstheme="majorBidi"/>
          <w:sz w:val="20"/>
          <w:szCs w:val="20"/>
        </w:rPr>
        <w:t>. (Mesir: Muşţafā al-Bābī al-Halabī, 1961), h.409.</w:t>
      </w:r>
    </w:p>
  </w:footnote>
  <w:footnote w:id="308">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Alī Ahmad al-Nadawī, </w:t>
      </w:r>
      <w:r w:rsidRPr="00DC7A5C">
        <w:rPr>
          <w:rFonts w:asciiTheme="majorBidi" w:hAnsiTheme="majorBidi" w:cstheme="majorBidi"/>
          <w:i/>
          <w:iCs/>
          <w:sz w:val="20"/>
          <w:szCs w:val="20"/>
        </w:rPr>
        <w:t>al-Qawā‘id al-Fiqhiyyah</w:t>
      </w:r>
      <w:r w:rsidRPr="00DC7A5C">
        <w:rPr>
          <w:rFonts w:asciiTheme="majorBidi" w:hAnsiTheme="majorBidi" w:cstheme="majorBidi"/>
          <w:sz w:val="20"/>
          <w:szCs w:val="20"/>
        </w:rPr>
        <w:t>, (Damaskus: Dār al-Qalam, 2000), cet. ke-5, h.5.</w:t>
      </w:r>
    </w:p>
  </w:footnote>
  <w:footnote w:id="309">
    <w:p w:rsidR="00343B61" w:rsidRDefault="00343B61" w:rsidP="00343B61">
      <w:pPr>
        <w:pStyle w:val="FootnoteText"/>
        <w:ind w:firstLine="720"/>
        <w:jc w:val="both"/>
      </w:pPr>
      <w:r>
        <w:rPr>
          <w:rStyle w:val="FootnoteReference"/>
        </w:rPr>
        <w:footnoteRef/>
      </w:r>
      <w:r>
        <w:t xml:space="preserve"> </w:t>
      </w:r>
      <w:r w:rsidRPr="00EA4B76">
        <w:rPr>
          <w:rFonts w:asciiTheme="majorBidi" w:hAnsiTheme="majorBidi" w:cstheme="majorBidi"/>
        </w:rPr>
        <w:t>Lihat.</w:t>
      </w:r>
      <w:r>
        <w:t xml:space="preserve"> </w:t>
      </w:r>
      <w:r w:rsidRPr="0000215D">
        <w:rPr>
          <w:rFonts w:asciiTheme="majorBidi" w:hAnsiTheme="majorBidi" w:cstheme="majorBidi"/>
        </w:rPr>
        <w:t xml:space="preserve">Depag RI, </w:t>
      </w:r>
      <w:r>
        <w:rPr>
          <w:rFonts w:asciiTheme="majorBidi" w:hAnsiTheme="majorBidi" w:cstheme="majorBidi"/>
          <w:i/>
          <w:iCs/>
        </w:rPr>
        <w:t xml:space="preserve">Al-Qur’ān dan </w:t>
      </w:r>
      <w:r w:rsidRPr="0000215D">
        <w:rPr>
          <w:rFonts w:asciiTheme="majorBidi" w:hAnsiTheme="majorBidi" w:cstheme="majorBidi"/>
          <w:i/>
          <w:iCs/>
        </w:rPr>
        <w:t>Terjamahannya</w:t>
      </w:r>
      <w:r w:rsidRPr="0000215D">
        <w:rPr>
          <w:rFonts w:asciiTheme="majorBidi" w:hAnsiTheme="majorBidi" w:cstheme="majorBidi"/>
        </w:rPr>
        <w:t xml:space="preserve">, ( Medinah al-Munawwarah: Mujamma’ al-Malik Fahd Li al-Thiba’ah </w:t>
      </w:r>
      <w:r>
        <w:rPr>
          <w:rFonts w:asciiTheme="majorBidi" w:hAnsiTheme="majorBidi" w:cstheme="majorBidi"/>
        </w:rPr>
        <w:t>Mush-haf al-Syarif, 1418), h. 33</w:t>
      </w:r>
    </w:p>
  </w:footnote>
  <w:footnote w:id="310">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Al-Taftāzānī</w:t>
      </w:r>
      <w:r w:rsidRPr="00DC7A5C">
        <w:rPr>
          <w:rFonts w:asciiTheme="majorBidi" w:hAnsiTheme="majorBidi" w:cstheme="majorBidi"/>
          <w:i/>
          <w:iCs/>
          <w:sz w:val="20"/>
          <w:szCs w:val="20"/>
        </w:rPr>
        <w:t xml:space="preserve">, al-Talwīh `alā al-Taudīh. </w:t>
      </w:r>
      <w:r w:rsidRPr="00DC7A5C">
        <w:rPr>
          <w:rFonts w:asciiTheme="majorBidi" w:hAnsiTheme="majorBidi" w:cstheme="majorBidi"/>
          <w:sz w:val="20"/>
          <w:szCs w:val="20"/>
        </w:rPr>
        <w:t>(Mesir: Maţba`ah Syam al-Hurriyah, 1989), Juz 1, h.20.</w:t>
      </w:r>
    </w:p>
  </w:footnote>
  <w:footnote w:id="311">
    <w:p w:rsidR="00343B61" w:rsidRPr="00DC7A5C" w:rsidRDefault="00343B61" w:rsidP="00343B61">
      <w:pPr>
        <w:pStyle w:val="FootnoteText"/>
        <w:ind w:firstLine="720"/>
        <w:jc w:val="both"/>
        <w:rPr>
          <w:rFonts w:asciiTheme="majorBidi" w:hAnsiTheme="majorBidi" w:cstheme="majorBidi"/>
          <w:rtl/>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Al-Jurjānī, </w:t>
      </w:r>
      <w:r w:rsidRPr="00DC7A5C">
        <w:rPr>
          <w:rFonts w:asciiTheme="majorBidi" w:hAnsiTheme="majorBidi" w:cstheme="majorBidi"/>
          <w:i/>
          <w:iCs/>
        </w:rPr>
        <w:t>al-Ta‘rīfāt</w:t>
      </w:r>
      <w:r w:rsidRPr="00DC7A5C">
        <w:rPr>
          <w:rFonts w:asciiTheme="majorBidi" w:hAnsiTheme="majorBidi" w:cstheme="majorBidi"/>
        </w:rPr>
        <w:t>, ( Beirūt: Dār al-Kutub al-‘Ilmiyyah, 1983), cet. ke-1, h.171.</w:t>
      </w:r>
    </w:p>
  </w:footnote>
  <w:footnote w:id="312">
    <w:p w:rsidR="00343B61" w:rsidRPr="00DC7A5C" w:rsidRDefault="00343B61" w:rsidP="00343B61">
      <w:pPr>
        <w:pStyle w:val="FootnoteText"/>
        <w:ind w:firstLine="720"/>
        <w:jc w:val="both"/>
        <w:rPr>
          <w:rFonts w:asciiTheme="majorBidi" w:hAnsiTheme="majorBidi" w:cstheme="majorBidi"/>
          <w:rtl/>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Alī Ahmad al-Nadawī, </w:t>
      </w:r>
      <w:r w:rsidRPr="00DC7A5C">
        <w:rPr>
          <w:rFonts w:asciiTheme="majorBidi" w:hAnsiTheme="majorBidi" w:cstheme="majorBidi"/>
          <w:i/>
          <w:iCs/>
        </w:rPr>
        <w:t>al-Qawā‘id al-Fiqhiyyah</w:t>
      </w:r>
      <w:r w:rsidRPr="00DC7A5C">
        <w:rPr>
          <w:rFonts w:asciiTheme="majorBidi" w:hAnsiTheme="majorBidi" w:cstheme="majorBidi"/>
        </w:rPr>
        <w:t xml:space="preserve">, </w:t>
      </w:r>
      <w:r w:rsidRPr="00DC7A5C">
        <w:rPr>
          <w:rFonts w:asciiTheme="majorBidi" w:hAnsiTheme="majorBidi" w:cstheme="majorBidi"/>
          <w:lang w:val="sv-SE"/>
        </w:rPr>
        <w:t xml:space="preserve">( Damascus: Dar Al-Qalam, t.th), </w:t>
      </w:r>
      <w:r w:rsidRPr="00DC7A5C">
        <w:rPr>
          <w:rFonts w:asciiTheme="majorBidi" w:hAnsiTheme="majorBidi" w:cstheme="majorBidi"/>
        </w:rPr>
        <w:t>h.44-45</w:t>
      </w:r>
    </w:p>
  </w:footnote>
  <w:footnote w:id="313">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Lihat.Tājuddīn al-Subkī, </w:t>
      </w:r>
      <w:r w:rsidRPr="00DC7A5C">
        <w:rPr>
          <w:rFonts w:asciiTheme="majorBidi" w:hAnsiTheme="majorBidi" w:cstheme="majorBidi"/>
          <w:i/>
          <w:iCs/>
          <w:sz w:val="20"/>
          <w:szCs w:val="20"/>
        </w:rPr>
        <w:t xml:space="preserve">al-Asybāh wa al-Nadhāir, </w:t>
      </w:r>
      <w:r w:rsidRPr="00DC7A5C">
        <w:rPr>
          <w:rFonts w:asciiTheme="majorBidi" w:hAnsiTheme="majorBidi" w:cstheme="majorBidi"/>
          <w:sz w:val="20"/>
          <w:szCs w:val="20"/>
        </w:rPr>
        <w:t>(Beirūt: Dār al-Kutub al-‘Ilmiyyah, 1991), h. 10.</w:t>
      </w:r>
    </w:p>
  </w:footnote>
  <w:footnote w:id="314">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Lihat.Muşţafā Ahmad al-Zarqā, </w:t>
      </w:r>
      <w:r w:rsidRPr="00DC7A5C">
        <w:rPr>
          <w:rFonts w:asciiTheme="majorBidi" w:hAnsiTheme="majorBidi" w:cstheme="majorBidi"/>
          <w:i/>
          <w:iCs/>
          <w:sz w:val="20"/>
          <w:szCs w:val="20"/>
        </w:rPr>
        <w:t xml:space="preserve">al-Madkhal al-Fiqh al-‘Āmm, </w:t>
      </w:r>
      <w:r w:rsidRPr="00DC7A5C">
        <w:rPr>
          <w:rFonts w:asciiTheme="majorBidi" w:hAnsiTheme="majorBidi" w:cstheme="majorBidi"/>
          <w:sz w:val="20"/>
          <w:szCs w:val="20"/>
        </w:rPr>
        <w:t xml:space="preserve">(Damaskus: Maţba‘ah </w:t>
      </w:r>
      <w:r>
        <w:rPr>
          <w:rFonts w:asciiTheme="majorBidi" w:hAnsiTheme="majorBidi" w:cstheme="majorBidi"/>
          <w:sz w:val="20"/>
          <w:szCs w:val="20"/>
        </w:rPr>
        <w:t>Jāmi‘ah, 1983), cet. ke-7, Juz II</w:t>
      </w:r>
      <w:r w:rsidRPr="00DC7A5C">
        <w:rPr>
          <w:rFonts w:asciiTheme="majorBidi" w:hAnsiTheme="majorBidi" w:cstheme="majorBidi"/>
          <w:sz w:val="20"/>
          <w:szCs w:val="20"/>
        </w:rPr>
        <w:t>, h.941.</w:t>
      </w:r>
    </w:p>
  </w:footnote>
  <w:footnote w:id="315">
    <w:p w:rsidR="00343B61" w:rsidRPr="00DC7A5C" w:rsidRDefault="00343B61" w:rsidP="00343B61">
      <w:pPr>
        <w:pStyle w:val="FootnoteText"/>
        <w:ind w:firstLine="720"/>
        <w:jc w:val="both"/>
        <w:rPr>
          <w:rFonts w:asciiTheme="majorBidi" w:hAnsiTheme="majorBidi" w:cstheme="majorBidi"/>
          <w:rtl/>
        </w:rPr>
      </w:pPr>
      <w:r w:rsidRPr="00DC7A5C">
        <w:rPr>
          <w:rStyle w:val="FootnoteReference"/>
          <w:rFonts w:asciiTheme="majorBidi" w:hAnsiTheme="majorBidi" w:cstheme="majorBidi"/>
        </w:rPr>
        <w:footnoteRef/>
      </w:r>
      <w:r w:rsidRPr="00DC7A5C">
        <w:rPr>
          <w:rFonts w:asciiTheme="majorBidi" w:hAnsiTheme="majorBidi" w:cstheme="majorBidi"/>
        </w:rPr>
        <w:t xml:space="preserve"> Lihat. Ibnu Nujaim, </w:t>
      </w:r>
      <w:r w:rsidRPr="00DC7A5C">
        <w:rPr>
          <w:rFonts w:asciiTheme="majorBidi" w:hAnsiTheme="majorBidi" w:cstheme="majorBidi"/>
          <w:i/>
          <w:iCs/>
        </w:rPr>
        <w:t>al-Asybāh wa al-Nadhā ir</w:t>
      </w:r>
      <w:r w:rsidRPr="00DC7A5C">
        <w:rPr>
          <w:rFonts w:asciiTheme="majorBidi" w:hAnsiTheme="majorBidi" w:cstheme="majorBidi"/>
        </w:rPr>
        <w:t xml:space="preserve">, </w:t>
      </w:r>
      <w:r w:rsidRPr="00DC7A5C">
        <w:rPr>
          <w:rFonts w:asciiTheme="majorBidi" w:hAnsiTheme="majorBidi" w:cstheme="majorBidi"/>
          <w:i/>
          <w:iCs/>
        </w:rPr>
        <w:t>op.cit.</w:t>
      </w:r>
      <w:r w:rsidRPr="00DC7A5C">
        <w:rPr>
          <w:rFonts w:asciiTheme="majorBidi" w:hAnsiTheme="majorBidi" w:cstheme="majorBidi"/>
        </w:rPr>
        <w:t>, cet.ke-1, h. 137.</w:t>
      </w:r>
    </w:p>
  </w:footnote>
  <w:footnote w:id="316">
    <w:p w:rsidR="00343B61" w:rsidRPr="00DC7A5C" w:rsidRDefault="00343B61" w:rsidP="00343B61">
      <w:pPr>
        <w:spacing w:after="0"/>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Ade Dedi Rohayana, </w:t>
      </w:r>
      <w:r w:rsidRPr="00DC7A5C">
        <w:rPr>
          <w:rFonts w:asciiTheme="majorBidi" w:hAnsiTheme="majorBidi" w:cstheme="majorBidi"/>
          <w:i/>
          <w:iCs/>
          <w:sz w:val="20"/>
          <w:szCs w:val="20"/>
        </w:rPr>
        <w:t>Qawā‘id fiqhiyyah dan Pengaruhnya Terhadap Perbedaan Pendapat Ulama</w:t>
      </w:r>
      <w:r w:rsidRPr="00DC7A5C">
        <w:rPr>
          <w:rFonts w:asciiTheme="majorBidi" w:hAnsiTheme="majorBidi" w:cstheme="majorBidi"/>
          <w:sz w:val="20"/>
          <w:szCs w:val="20"/>
        </w:rPr>
        <w:t>, Disertasi Sekolah Pascasarjana UIN Syarif Hidayatullah Jakara, 2008, h. 209</w:t>
      </w:r>
    </w:p>
  </w:footnote>
  <w:footnote w:id="317">
    <w:p w:rsidR="00343B61" w:rsidRPr="00DC7A5C" w:rsidRDefault="00343B61" w:rsidP="00343B61">
      <w:pPr>
        <w:pStyle w:val="FootnoteText"/>
        <w:ind w:firstLine="720"/>
        <w:jc w:val="both"/>
        <w:rPr>
          <w:rFonts w:asciiTheme="majorBidi" w:hAnsiTheme="majorBidi" w:cstheme="majorBidi"/>
          <w:lang w:val="sv-SE"/>
        </w:rPr>
      </w:pPr>
      <w:r w:rsidRPr="00DC7A5C">
        <w:rPr>
          <w:rStyle w:val="FootnoteReference"/>
          <w:rFonts w:asciiTheme="majorBidi" w:hAnsiTheme="majorBidi" w:cstheme="majorBidi"/>
        </w:rPr>
        <w:footnoteRef/>
      </w:r>
      <w:r w:rsidRPr="00DC7A5C">
        <w:rPr>
          <w:rFonts w:asciiTheme="majorBidi" w:hAnsiTheme="majorBidi" w:cstheme="majorBidi"/>
          <w:lang w:val="sv-SE"/>
        </w:rPr>
        <w:t xml:space="preserve"> </w:t>
      </w:r>
      <w:r w:rsidRPr="00DC7A5C">
        <w:rPr>
          <w:rFonts w:asciiTheme="majorBidi" w:hAnsiTheme="majorBidi" w:cstheme="majorBidi"/>
        </w:rPr>
        <w:t xml:space="preserve">Lihat. </w:t>
      </w:r>
      <w:r w:rsidRPr="00DC7A5C">
        <w:rPr>
          <w:rFonts w:asciiTheme="majorBidi" w:hAnsiTheme="majorBidi" w:cstheme="majorBidi"/>
          <w:lang w:val="sv-SE"/>
        </w:rPr>
        <w:t xml:space="preserve">Ali Ahmad Al-Nadwi, </w:t>
      </w:r>
      <w:r w:rsidRPr="00DC7A5C">
        <w:rPr>
          <w:rFonts w:asciiTheme="majorBidi" w:hAnsiTheme="majorBidi" w:cstheme="majorBidi"/>
          <w:i/>
          <w:iCs/>
          <w:lang w:val="sv-SE"/>
        </w:rPr>
        <w:t>al-</w:t>
      </w:r>
      <w:r w:rsidRPr="00FA4FE2">
        <w:rPr>
          <w:rFonts w:asciiTheme="majorBidi" w:hAnsiTheme="majorBidi" w:cstheme="majorBidi"/>
          <w:i/>
          <w:iCs/>
        </w:rPr>
        <w:t xml:space="preserve"> </w:t>
      </w:r>
      <w:r w:rsidRPr="00DC7A5C">
        <w:rPr>
          <w:rFonts w:asciiTheme="majorBidi" w:hAnsiTheme="majorBidi" w:cstheme="majorBidi"/>
          <w:i/>
          <w:iCs/>
        </w:rPr>
        <w:t>Qawā‘id</w:t>
      </w:r>
      <w:r w:rsidRPr="00DC7A5C">
        <w:rPr>
          <w:rFonts w:asciiTheme="majorBidi" w:hAnsiTheme="majorBidi" w:cstheme="majorBidi"/>
          <w:i/>
          <w:iCs/>
          <w:lang w:val="sv-SE"/>
        </w:rPr>
        <w:t xml:space="preserve"> Al-Fiqhiyah</w:t>
      </w:r>
      <w:r w:rsidRPr="00DC7A5C">
        <w:rPr>
          <w:rFonts w:asciiTheme="majorBidi" w:hAnsiTheme="majorBidi" w:cstheme="majorBidi"/>
          <w:lang w:val="sv-SE"/>
        </w:rPr>
        <w:t>, ( Damascus: Dar Al-Qalam, t.th), h. 158</w:t>
      </w:r>
    </w:p>
  </w:footnote>
  <w:footnote w:id="318">
    <w:p w:rsidR="00343B61" w:rsidRPr="00B42B46" w:rsidRDefault="00343B61" w:rsidP="00343B61">
      <w:pPr>
        <w:spacing w:after="0"/>
        <w:ind w:firstLine="720"/>
        <w:jc w:val="both"/>
        <w:rPr>
          <w:rFonts w:asciiTheme="majorBidi" w:hAnsiTheme="majorBidi" w:cstheme="majorBidi"/>
          <w:sz w:val="20"/>
          <w:szCs w:val="20"/>
          <w:lang w:val="sv-SE"/>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lang w:val="sv-SE"/>
        </w:rPr>
        <w:t xml:space="preserve"> </w:t>
      </w:r>
      <w:r w:rsidRPr="00B42B46">
        <w:rPr>
          <w:rFonts w:asciiTheme="majorBidi" w:hAnsiTheme="majorBidi" w:cstheme="majorBidi"/>
          <w:sz w:val="20"/>
          <w:szCs w:val="20"/>
          <w:lang w:val="sv-SE"/>
        </w:rPr>
        <w:t>Lihat. Shalih Bin Ghanim al-Sadlan</w:t>
      </w:r>
      <w:r w:rsidRPr="00B42B46">
        <w:rPr>
          <w:rFonts w:asciiTheme="majorBidi" w:hAnsiTheme="majorBidi" w:cstheme="majorBidi"/>
          <w:i/>
          <w:iCs/>
          <w:sz w:val="20"/>
          <w:szCs w:val="20"/>
          <w:lang w:val="sv-SE"/>
        </w:rPr>
        <w:t>, Al-Qawā‘id  al-Fiqhiyah al-Kubrā Wa mā Tafar’a ‘anhā</w:t>
      </w:r>
      <w:r w:rsidRPr="00B42B46">
        <w:rPr>
          <w:rFonts w:asciiTheme="majorBidi" w:hAnsiTheme="majorBidi" w:cstheme="majorBidi"/>
          <w:sz w:val="20"/>
          <w:szCs w:val="20"/>
          <w:lang w:val="sv-SE"/>
        </w:rPr>
        <w:t>, ( Riyadh: Dar Balansiah, 1417 H), h. 215-216</w:t>
      </w:r>
    </w:p>
  </w:footnote>
  <w:footnote w:id="319">
    <w:p w:rsidR="00343B61" w:rsidRPr="00DC7A5C" w:rsidRDefault="00343B61" w:rsidP="00343B61">
      <w:pPr>
        <w:pStyle w:val="FootnoteText"/>
        <w:ind w:firstLine="720"/>
        <w:jc w:val="both"/>
        <w:rPr>
          <w:rFonts w:asciiTheme="majorBidi" w:hAnsiTheme="majorBidi" w:cstheme="majorBidi"/>
          <w:lang w:val="sv-SE"/>
        </w:rPr>
      </w:pPr>
      <w:r w:rsidRPr="00DC7A5C">
        <w:rPr>
          <w:rStyle w:val="FootnoteReference"/>
          <w:rFonts w:asciiTheme="majorBidi" w:hAnsiTheme="majorBidi" w:cstheme="majorBidi"/>
        </w:rPr>
        <w:footnoteRef/>
      </w:r>
      <w:r w:rsidRPr="00DC7A5C">
        <w:rPr>
          <w:rFonts w:asciiTheme="majorBidi" w:hAnsiTheme="majorBidi" w:cstheme="majorBidi"/>
          <w:lang w:val="sv-SE"/>
        </w:rPr>
        <w:t xml:space="preserve"> </w:t>
      </w:r>
      <w:r w:rsidRPr="00B42B46">
        <w:rPr>
          <w:rFonts w:asciiTheme="majorBidi" w:hAnsiTheme="majorBidi" w:cstheme="majorBidi"/>
          <w:lang w:val="sv-SE"/>
        </w:rPr>
        <w:t xml:space="preserve">Lihat. </w:t>
      </w:r>
      <w:r w:rsidRPr="00DC7A5C">
        <w:rPr>
          <w:rFonts w:asciiTheme="majorBidi" w:hAnsiTheme="majorBidi" w:cstheme="majorBidi"/>
          <w:lang w:val="sv-SE"/>
        </w:rPr>
        <w:t xml:space="preserve">Al-Burnu, </w:t>
      </w:r>
      <w:r w:rsidRPr="00DC7A5C">
        <w:rPr>
          <w:rFonts w:asciiTheme="majorBidi" w:hAnsiTheme="majorBidi" w:cstheme="majorBidi"/>
          <w:i/>
          <w:iCs/>
          <w:lang w:val="sv-SE"/>
        </w:rPr>
        <w:t>al-Wajīz fī Īdlāh al-Qawā‘id al-Fiqhiyyah</w:t>
      </w:r>
      <w:r w:rsidRPr="00DC7A5C">
        <w:rPr>
          <w:rFonts w:asciiTheme="majorBidi" w:hAnsiTheme="majorBidi" w:cstheme="majorBidi"/>
          <w:lang w:val="sv-SE"/>
        </w:rPr>
        <w:t>, (Beirūt: Muassasah al-Risālah, 1983), cet.1, h.129.</w:t>
      </w:r>
    </w:p>
  </w:footnote>
  <w:footnote w:id="320">
    <w:p w:rsidR="00343B61" w:rsidRPr="00DC7A5C" w:rsidRDefault="00343B61" w:rsidP="00343B61">
      <w:pPr>
        <w:pStyle w:val="FootnoteText"/>
        <w:ind w:firstLine="720"/>
        <w:jc w:val="both"/>
        <w:rPr>
          <w:rFonts w:asciiTheme="majorBidi" w:hAnsiTheme="majorBidi" w:cstheme="majorBidi"/>
          <w:rtl/>
        </w:rPr>
      </w:pPr>
      <w:r w:rsidRPr="00DC7A5C">
        <w:rPr>
          <w:rStyle w:val="FootnoteReference"/>
          <w:rFonts w:asciiTheme="majorBidi" w:hAnsiTheme="majorBidi" w:cstheme="majorBidi"/>
        </w:rPr>
        <w:footnoteRef/>
      </w:r>
      <w:r w:rsidRPr="00B42B46">
        <w:rPr>
          <w:rFonts w:asciiTheme="majorBidi" w:hAnsiTheme="majorBidi" w:cstheme="majorBidi"/>
          <w:lang w:val="sv-SE"/>
        </w:rPr>
        <w:t xml:space="preserve"> Lihat. Shalih Bin Ghanim al-Sadlan</w:t>
      </w:r>
      <w:r w:rsidRPr="00B42B46">
        <w:rPr>
          <w:rFonts w:asciiTheme="majorBidi" w:hAnsiTheme="majorBidi" w:cstheme="majorBidi"/>
          <w:i/>
          <w:iCs/>
          <w:lang w:val="sv-SE"/>
        </w:rPr>
        <w:t>, Al-Qawā‘id  al-Fiqhiyah al-Kubrā Wa mā Tafar’a ‘anhā</w:t>
      </w:r>
      <w:r w:rsidRPr="00B42B46">
        <w:rPr>
          <w:rFonts w:asciiTheme="majorBidi" w:hAnsiTheme="majorBidi" w:cstheme="majorBidi"/>
          <w:lang w:val="sv-SE"/>
        </w:rPr>
        <w:t>, ( Riyadh: Dar Balansiah, 1417 H), h. 493</w:t>
      </w:r>
    </w:p>
  </w:footnote>
  <w:footnote w:id="321">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Alī Ahmad al-Nadawī, </w:t>
      </w:r>
      <w:r w:rsidRPr="00DC7A5C">
        <w:rPr>
          <w:rFonts w:asciiTheme="majorBidi" w:hAnsiTheme="majorBidi" w:cstheme="majorBidi"/>
          <w:i/>
          <w:iCs/>
        </w:rPr>
        <w:t>al-Qawā‘id al-Fiqhiyyah</w:t>
      </w:r>
      <w:r w:rsidRPr="00DC7A5C">
        <w:rPr>
          <w:rFonts w:asciiTheme="majorBidi" w:hAnsiTheme="majorBidi" w:cstheme="majorBidi"/>
        </w:rPr>
        <w:t xml:space="preserve">, </w:t>
      </w:r>
      <w:r w:rsidRPr="00DC7A5C">
        <w:rPr>
          <w:rFonts w:asciiTheme="majorBidi" w:hAnsiTheme="majorBidi" w:cstheme="majorBidi"/>
          <w:lang w:val="sv-SE"/>
        </w:rPr>
        <w:t xml:space="preserve">( Damascus: Dar Al-Qalam, t.th), </w:t>
      </w:r>
      <w:r w:rsidRPr="00DC7A5C">
        <w:rPr>
          <w:rFonts w:asciiTheme="majorBidi" w:hAnsiTheme="majorBidi" w:cstheme="majorBidi"/>
        </w:rPr>
        <w:t>h.287</w:t>
      </w:r>
    </w:p>
  </w:footnote>
  <w:footnote w:id="322">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Lihat.  Alī Ahmad al-Nadawī, </w:t>
      </w:r>
      <w:r w:rsidRPr="00DC7A5C">
        <w:rPr>
          <w:rFonts w:asciiTheme="majorBidi" w:hAnsiTheme="majorBidi" w:cstheme="majorBidi"/>
          <w:i/>
          <w:iCs/>
        </w:rPr>
        <w:t>al-Qawā‘id al-Fiqhiyyah</w:t>
      </w:r>
      <w:r w:rsidRPr="00DC7A5C">
        <w:rPr>
          <w:rFonts w:asciiTheme="majorBidi" w:hAnsiTheme="majorBidi" w:cstheme="majorBidi"/>
        </w:rPr>
        <w:t xml:space="preserve">, </w:t>
      </w:r>
      <w:r w:rsidRPr="00DC7A5C">
        <w:rPr>
          <w:rFonts w:asciiTheme="majorBidi" w:hAnsiTheme="majorBidi" w:cstheme="majorBidi"/>
          <w:lang w:val="sv-SE"/>
        </w:rPr>
        <w:t xml:space="preserve">( Damascus: Dar Al-Qalam, t.th), </w:t>
      </w:r>
      <w:r w:rsidRPr="00DC7A5C">
        <w:rPr>
          <w:rFonts w:asciiTheme="majorBidi" w:hAnsiTheme="majorBidi" w:cstheme="majorBidi"/>
        </w:rPr>
        <w:t>h.155</w:t>
      </w:r>
    </w:p>
  </w:footnote>
  <w:footnote w:id="323">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Alī Ahmad al-Nadawī, </w:t>
      </w:r>
      <w:r w:rsidRPr="00DC7A5C">
        <w:rPr>
          <w:rFonts w:asciiTheme="majorBidi" w:hAnsiTheme="majorBidi" w:cstheme="majorBidi"/>
          <w:i/>
          <w:iCs/>
        </w:rPr>
        <w:t>al-Qawā‘id al-Fiqhiyyah</w:t>
      </w:r>
      <w:r w:rsidRPr="00DC7A5C">
        <w:rPr>
          <w:rFonts w:asciiTheme="majorBidi" w:hAnsiTheme="majorBidi" w:cstheme="majorBidi"/>
        </w:rPr>
        <w:t xml:space="preserve">, </w:t>
      </w:r>
      <w:r w:rsidRPr="00DC7A5C">
        <w:rPr>
          <w:rFonts w:asciiTheme="majorBidi" w:hAnsiTheme="majorBidi" w:cstheme="majorBidi"/>
          <w:lang w:val="sv-SE"/>
        </w:rPr>
        <w:t xml:space="preserve">( Damascus: Dar Al-Qalam, t.th), </w:t>
      </w:r>
      <w:r w:rsidRPr="00DC7A5C">
        <w:rPr>
          <w:rFonts w:asciiTheme="majorBidi" w:hAnsiTheme="majorBidi" w:cstheme="majorBidi"/>
        </w:rPr>
        <w:t>h.155</w:t>
      </w:r>
    </w:p>
  </w:footnote>
  <w:footnote w:id="324">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Pr>
          <w:rFonts w:asciiTheme="majorBidi" w:hAnsiTheme="majorBidi" w:cstheme="majorBidi"/>
        </w:rPr>
        <w:t xml:space="preserve"> </w:t>
      </w:r>
      <w:r w:rsidRPr="00DC7A5C">
        <w:rPr>
          <w:rFonts w:asciiTheme="majorBidi" w:hAnsiTheme="majorBidi" w:cstheme="majorBidi"/>
        </w:rPr>
        <w:t xml:space="preserve">Lihat. Ade Dedi Rohayana, </w:t>
      </w:r>
      <w:r w:rsidRPr="00DC7A5C">
        <w:rPr>
          <w:rFonts w:asciiTheme="majorBidi" w:hAnsiTheme="majorBidi" w:cstheme="majorBidi"/>
          <w:i/>
          <w:iCs/>
        </w:rPr>
        <w:t>Qawā‘id fiqhiyyah dan Pengaruhnya Terhadap Perbedaan Pendapat Ulama</w:t>
      </w:r>
      <w:r w:rsidRPr="00DC7A5C">
        <w:rPr>
          <w:rFonts w:asciiTheme="majorBidi" w:hAnsiTheme="majorBidi" w:cstheme="majorBidi"/>
        </w:rPr>
        <w:t>, Disertasi Sekolah Pascasarjana UIN Syarif Hidayatullah Jakara, 2008, h. 186</w:t>
      </w:r>
    </w:p>
  </w:footnote>
  <w:footnote w:id="325">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Alī Ahmad al-Nadawī, </w:t>
      </w:r>
      <w:r w:rsidRPr="00DC7A5C">
        <w:rPr>
          <w:rFonts w:asciiTheme="majorBidi" w:hAnsiTheme="majorBidi" w:cstheme="majorBidi"/>
          <w:i/>
          <w:iCs/>
        </w:rPr>
        <w:t>al-Qawā‘id al-Fiqhiyyah</w:t>
      </w:r>
      <w:r w:rsidRPr="00DC7A5C">
        <w:rPr>
          <w:rFonts w:asciiTheme="majorBidi" w:hAnsiTheme="majorBidi" w:cstheme="majorBidi"/>
        </w:rPr>
        <w:t xml:space="preserve">, </w:t>
      </w:r>
      <w:r w:rsidRPr="00DC7A5C">
        <w:rPr>
          <w:rFonts w:asciiTheme="majorBidi" w:hAnsiTheme="majorBidi" w:cstheme="majorBidi"/>
          <w:i/>
          <w:iCs/>
        </w:rPr>
        <w:t xml:space="preserve">op.cit., </w:t>
      </w:r>
      <w:r w:rsidRPr="00DC7A5C">
        <w:rPr>
          <w:rFonts w:asciiTheme="majorBidi" w:hAnsiTheme="majorBidi" w:cstheme="majorBidi"/>
        </w:rPr>
        <w:t>h. 202.</w:t>
      </w:r>
    </w:p>
  </w:footnote>
  <w:footnote w:id="326">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Muhammad Yāsīn al-Fādānī, </w:t>
      </w:r>
      <w:r w:rsidRPr="00DC7A5C">
        <w:rPr>
          <w:rFonts w:asciiTheme="majorBidi" w:hAnsiTheme="majorBidi" w:cstheme="majorBidi"/>
          <w:i/>
          <w:iCs/>
          <w:sz w:val="20"/>
          <w:szCs w:val="20"/>
        </w:rPr>
        <w:t>al-Fawāid al-Janiyyah Hāsyiyah al-Mawāhib al- Sanniyah Syarh al-Farāid al-Bahiyyah fī Nadhm al-Qawā‘id al-Fiqhiyyah</w:t>
      </w:r>
      <w:r w:rsidRPr="00DC7A5C">
        <w:rPr>
          <w:rFonts w:asciiTheme="majorBidi" w:hAnsiTheme="majorBidi" w:cstheme="majorBidi"/>
          <w:sz w:val="20"/>
          <w:szCs w:val="20"/>
        </w:rPr>
        <w:t xml:space="preserve">, </w:t>
      </w:r>
      <w:r w:rsidRPr="00DC7A5C">
        <w:rPr>
          <w:rFonts w:asciiTheme="majorBidi" w:hAnsiTheme="majorBidi" w:cstheme="majorBidi"/>
          <w:i/>
          <w:iCs/>
          <w:sz w:val="20"/>
          <w:szCs w:val="20"/>
        </w:rPr>
        <w:t>op.cit.</w:t>
      </w:r>
      <w:r w:rsidRPr="00DC7A5C">
        <w:rPr>
          <w:rFonts w:asciiTheme="majorBidi" w:hAnsiTheme="majorBidi" w:cstheme="majorBidi"/>
          <w:sz w:val="20"/>
          <w:szCs w:val="20"/>
        </w:rPr>
        <w:t>, h. 568.</w:t>
      </w:r>
    </w:p>
  </w:footnote>
  <w:footnote w:id="327">
    <w:p w:rsidR="00343B61" w:rsidRPr="00DC7A5C" w:rsidRDefault="00343B61" w:rsidP="00343B61">
      <w:pPr>
        <w:pStyle w:val="FootnoteText"/>
        <w:ind w:firstLine="720"/>
        <w:jc w:val="both"/>
        <w:rPr>
          <w:rFonts w:asciiTheme="majorBidi" w:hAnsiTheme="majorBidi" w:cstheme="majorBidi"/>
        </w:rPr>
      </w:pPr>
      <w:r w:rsidRPr="00DC7A5C">
        <w:rPr>
          <w:rStyle w:val="FootnoteReference"/>
          <w:rFonts w:asciiTheme="majorBidi" w:hAnsiTheme="majorBidi" w:cstheme="majorBidi"/>
        </w:rPr>
        <w:footnoteRef/>
      </w:r>
      <w:r w:rsidRPr="00DC7A5C">
        <w:rPr>
          <w:rFonts w:asciiTheme="majorBidi" w:hAnsiTheme="majorBidi" w:cstheme="majorBidi"/>
        </w:rPr>
        <w:t xml:space="preserve"> Lihat. Abd al-Hamīd Hakīm, </w:t>
      </w:r>
      <w:r w:rsidRPr="00DC7A5C">
        <w:rPr>
          <w:rFonts w:asciiTheme="majorBidi" w:hAnsiTheme="majorBidi" w:cstheme="majorBidi"/>
          <w:i/>
          <w:iCs/>
        </w:rPr>
        <w:t>Mabādī Awwaliyyah</w:t>
      </w:r>
      <w:r w:rsidRPr="00DC7A5C">
        <w:rPr>
          <w:rFonts w:asciiTheme="majorBidi" w:hAnsiTheme="majorBidi" w:cstheme="majorBidi"/>
        </w:rPr>
        <w:t>, (Jakarta: Sa‘adiyah Putra, t.t.h), h. 44.</w:t>
      </w:r>
    </w:p>
  </w:footnote>
  <w:footnote w:id="328">
    <w:p w:rsidR="00343B61" w:rsidRPr="00DC7A5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C7A5C">
        <w:rPr>
          <w:rStyle w:val="FootnoteReference"/>
          <w:rFonts w:asciiTheme="majorBidi" w:hAnsiTheme="majorBidi" w:cstheme="majorBidi"/>
          <w:sz w:val="20"/>
          <w:szCs w:val="20"/>
        </w:rPr>
        <w:footnoteRef/>
      </w:r>
      <w:r w:rsidRPr="00DC7A5C">
        <w:rPr>
          <w:rFonts w:asciiTheme="majorBidi" w:hAnsiTheme="majorBidi" w:cstheme="majorBidi"/>
          <w:sz w:val="20"/>
          <w:szCs w:val="20"/>
        </w:rPr>
        <w:t xml:space="preserve"> Lihat. Salām Madkūr, </w:t>
      </w:r>
      <w:r w:rsidRPr="00DC7A5C">
        <w:rPr>
          <w:rFonts w:asciiTheme="majorBidi" w:hAnsiTheme="majorBidi" w:cstheme="majorBidi"/>
          <w:i/>
          <w:iCs/>
          <w:sz w:val="20"/>
          <w:szCs w:val="20"/>
        </w:rPr>
        <w:t>al-Ibāhah ‘Inda al-Uşūliyyīn wa al-Fuqahā</w:t>
      </w:r>
      <w:r w:rsidRPr="00DC7A5C">
        <w:rPr>
          <w:rFonts w:asciiTheme="majorBidi" w:hAnsiTheme="majorBidi" w:cstheme="majorBidi"/>
          <w:sz w:val="20"/>
          <w:szCs w:val="20"/>
        </w:rPr>
        <w:t>, (Kairo: Dār al-Nahdah al- Islāmiyyah, 1996), cet.II, h. 336.</w:t>
      </w:r>
    </w:p>
  </w:footnote>
  <w:footnote w:id="329">
    <w:p w:rsidR="00343B61" w:rsidRPr="00272081" w:rsidRDefault="00343B61" w:rsidP="00343B61">
      <w:pPr>
        <w:pStyle w:val="FootnoteText"/>
        <w:ind w:firstLine="720"/>
        <w:jc w:val="both"/>
        <w:rPr>
          <w:rFonts w:asciiTheme="majorBidi" w:hAnsiTheme="majorBidi" w:cstheme="majorBidi"/>
        </w:rPr>
      </w:pPr>
      <w:r w:rsidRPr="00272081">
        <w:rPr>
          <w:rStyle w:val="FootnoteReference"/>
          <w:rFonts w:asciiTheme="majorBidi" w:hAnsiTheme="majorBidi" w:cstheme="majorBidi"/>
        </w:rPr>
        <w:footnoteRef/>
      </w:r>
      <w:r w:rsidRPr="00272081">
        <w:rPr>
          <w:rFonts w:asciiTheme="majorBidi" w:hAnsiTheme="majorBidi" w:cstheme="majorBidi"/>
        </w:rPr>
        <w:t xml:space="preserve"> Lihat. Azymuardi Azra, </w:t>
      </w:r>
      <w:r w:rsidRPr="00272081">
        <w:rPr>
          <w:rFonts w:asciiTheme="majorBidi" w:hAnsiTheme="majorBidi" w:cstheme="majorBidi"/>
          <w:i/>
          <w:iCs/>
        </w:rPr>
        <w:t>Akar-akar Historis Pembaruan Islam di Indonesia: Neo-Sufisme Abad ke 11-12,</w:t>
      </w:r>
      <w:r w:rsidRPr="00272081">
        <w:rPr>
          <w:rFonts w:asciiTheme="majorBidi" w:hAnsiTheme="majorBidi" w:cstheme="majorBidi"/>
        </w:rPr>
        <w:t xml:space="preserve"> </w:t>
      </w:r>
      <w:r>
        <w:rPr>
          <w:rFonts w:asciiTheme="majorBidi" w:hAnsiTheme="majorBidi" w:cstheme="majorBidi"/>
        </w:rPr>
        <w:t>(</w:t>
      </w:r>
      <w:r w:rsidRPr="00272081">
        <w:rPr>
          <w:rFonts w:asciiTheme="majorBidi" w:hAnsiTheme="majorBidi" w:cstheme="majorBidi"/>
        </w:rPr>
        <w:t>Jakarta: Paramadina, tt.h), h. 174.</w:t>
      </w:r>
    </w:p>
  </w:footnote>
  <w:footnote w:id="330">
    <w:p w:rsidR="00343B61" w:rsidRPr="00B01B4C" w:rsidRDefault="00343B61" w:rsidP="00343B61">
      <w:pPr>
        <w:pStyle w:val="FootnoteText"/>
        <w:ind w:firstLine="720"/>
        <w:jc w:val="both"/>
        <w:rPr>
          <w:rFonts w:asciiTheme="majorBidi" w:hAnsiTheme="majorBidi" w:cstheme="majorBidi"/>
        </w:rPr>
      </w:pPr>
      <w:r w:rsidRPr="00B01B4C">
        <w:rPr>
          <w:rStyle w:val="FootnoteReference"/>
          <w:rFonts w:asciiTheme="majorBidi" w:hAnsiTheme="majorBidi" w:cstheme="majorBidi"/>
        </w:rPr>
        <w:footnoteRef/>
      </w:r>
      <w:r w:rsidRPr="00B01B4C">
        <w:rPr>
          <w:rFonts w:asciiTheme="majorBidi" w:hAnsiTheme="majorBidi" w:cstheme="majorBidi"/>
        </w:rPr>
        <w:t xml:space="preserve"> Menurut Martin Van Bruinessen bahwa pola sufistik inilah yang menguntungkan dan paling berhasil dilakukan pada awal penyebaran Islam, sebab pola ini lebih pers</w:t>
      </w:r>
      <w:r>
        <w:rPr>
          <w:rFonts w:asciiTheme="majorBidi" w:hAnsiTheme="majorBidi" w:cstheme="majorBidi"/>
        </w:rPr>
        <w:t>u</w:t>
      </w:r>
      <w:r w:rsidRPr="00B01B4C">
        <w:rPr>
          <w:rFonts w:asciiTheme="majorBidi" w:hAnsiTheme="majorBidi" w:cstheme="majorBidi"/>
        </w:rPr>
        <w:t xml:space="preserve">asiv dan menjadikan Islam lebih mudah diterima karena aspek kultur yang berlaku sebelumnya. Lihat. Martin Van Bruinessen, The Origigins and Development Of Sufi Prders( Tarekat) in Southeast Asia, dalam Studi Islamika, Edisi April-Juni 1994. H. 3-23. Sebagaimana dikutip oleh. Sirajuddin, </w:t>
      </w:r>
      <w:r w:rsidRPr="00B01B4C">
        <w:rPr>
          <w:rFonts w:asciiTheme="majorBidi" w:hAnsiTheme="majorBidi" w:cstheme="majorBidi"/>
          <w:i/>
          <w:iCs/>
        </w:rPr>
        <w:t>Legislasi Hukum Islam di Indonesia</w:t>
      </w:r>
      <w:r w:rsidRPr="00B01B4C">
        <w:rPr>
          <w:rFonts w:asciiTheme="majorBidi" w:hAnsiTheme="majorBidi" w:cstheme="majorBidi"/>
        </w:rPr>
        <w:t>, ( Yogyakarta: Pustaka Pelajar, 2008), h. 13</w:t>
      </w:r>
    </w:p>
  </w:footnote>
  <w:footnote w:id="331">
    <w:p w:rsidR="00343B61" w:rsidRPr="0045731A" w:rsidRDefault="00343B61" w:rsidP="00343B61">
      <w:pPr>
        <w:pStyle w:val="FootnoteText"/>
        <w:ind w:firstLine="720"/>
        <w:jc w:val="both"/>
        <w:rPr>
          <w:rFonts w:asciiTheme="majorBidi" w:hAnsiTheme="majorBidi" w:cstheme="majorBidi"/>
        </w:rPr>
      </w:pPr>
      <w:r w:rsidRPr="0045731A">
        <w:rPr>
          <w:rStyle w:val="FootnoteReference"/>
          <w:rFonts w:asciiTheme="majorBidi" w:hAnsiTheme="majorBidi" w:cstheme="majorBidi"/>
        </w:rPr>
        <w:footnoteRef/>
      </w:r>
      <w:r w:rsidRPr="0045731A">
        <w:rPr>
          <w:rFonts w:asciiTheme="majorBidi" w:hAnsiTheme="majorBidi" w:cstheme="majorBidi"/>
        </w:rPr>
        <w:t xml:space="preserve"> Marzuki Wahid dan Rumadi</w:t>
      </w:r>
      <w:r w:rsidRPr="0045731A">
        <w:rPr>
          <w:rFonts w:asciiTheme="majorBidi" w:hAnsiTheme="majorBidi" w:cstheme="majorBidi"/>
          <w:i/>
          <w:iCs/>
        </w:rPr>
        <w:t>, Fiqh Mazhab Negara; Kritik atas Politik Hukum Islam di Indonesia,</w:t>
      </w:r>
      <w:r w:rsidRPr="0045731A">
        <w:rPr>
          <w:rFonts w:asciiTheme="majorBidi" w:hAnsiTheme="majorBidi" w:cstheme="majorBidi"/>
        </w:rPr>
        <w:t xml:space="preserve"> ( Yogyakarta: LKis, 2001), h. 213-216</w:t>
      </w:r>
    </w:p>
  </w:footnote>
  <w:footnote w:id="332">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Mahfud MD mendeskripsikan bahwa umat Islam harus mengambil peran besar dalam dalam lembaga perwakilan. Jika tidak mungkin menjadikan hukum Islam sebagai hukum resmi, maka yang perlu dilakukan adalah melalui penanaman nilai-nilainya melalui objektifikasi. Lihat. Moh. Mahfud MD, </w:t>
      </w:r>
      <w:r w:rsidRPr="00950877">
        <w:rPr>
          <w:rFonts w:asciiTheme="majorBidi" w:hAnsiTheme="majorBidi" w:cstheme="majorBidi"/>
          <w:i/>
          <w:iCs/>
          <w:sz w:val="20"/>
          <w:szCs w:val="20"/>
        </w:rPr>
        <w:t>Membangun Politik Hukum, Menegakkan Konstitusi</w:t>
      </w:r>
      <w:r w:rsidRPr="00950877">
        <w:rPr>
          <w:rFonts w:asciiTheme="majorBidi" w:hAnsiTheme="majorBidi" w:cstheme="majorBidi"/>
          <w:sz w:val="20"/>
          <w:szCs w:val="20"/>
        </w:rPr>
        <w:t xml:space="preserve"> (Jakarta: Rajawali Pers, 2010), h. 282.</w:t>
      </w:r>
    </w:p>
  </w:footnote>
  <w:footnote w:id="333">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Lihat. Khamami Zada, </w:t>
      </w:r>
      <w:r w:rsidRPr="00950877">
        <w:rPr>
          <w:rFonts w:asciiTheme="majorBidi" w:hAnsiTheme="majorBidi" w:cstheme="majorBidi"/>
          <w:i/>
          <w:iCs/>
          <w:sz w:val="20"/>
          <w:szCs w:val="20"/>
        </w:rPr>
        <w:t>Islam Radikal: Pergulatan Ormas-ormas Islam garis Keras di Indonesia</w:t>
      </w:r>
      <w:r w:rsidRPr="00950877">
        <w:rPr>
          <w:rFonts w:asciiTheme="majorBidi" w:hAnsiTheme="majorBidi" w:cstheme="majorBidi"/>
          <w:sz w:val="20"/>
          <w:szCs w:val="20"/>
        </w:rPr>
        <w:t xml:space="preserve"> (Jakarta: Teraju, 2003),h. 4.</w:t>
      </w:r>
    </w:p>
  </w:footnote>
  <w:footnote w:id="334">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Istilah ini diambil dari penjelasan Iris Marion Young tentang ruang public yang menjadi tempat kemunculan isu, informasi, opini kebijakan dan praktik politik yang didiskusikan dan diseminasi yang dapat memprovokasi perubahan sosial dan politik. Lihat Iris Marion Young, </w:t>
      </w:r>
      <w:r w:rsidRPr="00950877">
        <w:rPr>
          <w:rFonts w:asciiTheme="majorBidi" w:hAnsiTheme="majorBidi" w:cstheme="majorBidi"/>
          <w:i/>
          <w:iCs/>
          <w:sz w:val="20"/>
          <w:szCs w:val="20"/>
        </w:rPr>
        <w:t>Inclusion and Democracy</w:t>
      </w:r>
      <w:r w:rsidRPr="00950877">
        <w:rPr>
          <w:rFonts w:asciiTheme="majorBidi" w:hAnsiTheme="majorBidi" w:cstheme="majorBidi"/>
          <w:sz w:val="20"/>
          <w:szCs w:val="20"/>
        </w:rPr>
        <w:t xml:space="preserve"> (New York: Oxford University Press, 2000), h. 173-174</w:t>
      </w:r>
    </w:p>
  </w:footnote>
  <w:footnote w:id="335">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Tiga partai Islam, PPP, PBB, dan PK telah menampilkan karakternya masing-masing dalam perjuangan mengislamisasi negara dan masyarakat dalam agenda pemberlakuan syariah. Lihat Bernhard Platzdasch, </w:t>
      </w:r>
      <w:r w:rsidRPr="00950877">
        <w:rPr>
          <w:rFonts w:asciiTheme="majorBidi" w:hAnsiTheme="majorBidi" w:cstheme="majorBidi"/>
          <w:i/>
          <w:iCs/>
          <w:sz w:val="20"/>
          <w:szCs w:val="20"/>
        </w:rPr>
        <w:t>Islamism in Indonesia</w:t>
      </w:r>
      <w:r w:rsidRPr="00950877">
        <w:rPr>
          <w:rFonts w:asciiTheme="majorBidi" w:hAnsiTheme="majorBidi" w:cstheme="majorBidi"/>
          <w:sz w:val="20"/>
          <w:szCs w:val="20"/>
        </w:rPr>
        <w:t xml:space="preserve"> (Singapura: ISEAS, 2009), h. 205.</w:t>
      </w:r>
    </w:p>
  </w:footnote>
  <w:footnote w:id="336">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Pr>
          <w:rFonts w:asciiTheme="majorBidi" w:hAnsiTheme="majorBidi" w:cstheme="majorBidi"/>
          <w:sz w:val="20"/>
          <w:szCs w:val="20"/>
        </w:rPr>
        <w:t xml:space="preserve"> Lihat. Jack A. Goldstone, </w:t>
      </w:r>
      <w:r w:rsidRPr="00950877">
        <w:rPr>
          <w:rFonts w:asciiTheme="majorBidi" w:hAnsiTheme="majorBidi" w:cstheme="majorBidi"/>
          <w:i/>
          <w:iCs/>
          <w:sz w:val="20"/>
          <w:szCs w:val="20"/>
        </w:rPr>
        <w:t>Bridging Institutionalized and Noninstitutionalized Politics‛ dalam Jack A. Goldstone</w:t>
      </w:r>
      <w:r w:rsidRPr="00950877">
        <w:rPr>
          <w:rFonts w:asciiTheme="majorBidi" w:hAnsiTheme="majorBidi" w:cstheme="majorBidi"/>
          <w:sz w:val="20"/>
          <w:szCs w:val="20"/>
        </w:rPr>
        <w:t xml:space="preserve"> (ed.), States, </w:t>
      </w:r>
      <w:r w:rsidRPr="00950877">
        <w:rPr>
          <w:rFonts w:asciiTheme="majorBidi" w:hAnsiTheme="majorBidi" w:cstheme="majorBidi"/>
          <w:i/>
          <w:iCs/>
          <w:sz w:val="20"/>
          <w:szCs w:val="20"/>
        </w:rPr>
        <w:t>Parties and Sosial Movement</w:t>
      </w:r>
      <w:r w:rsidRPr="00950877">
        <w:rPr>
          <w:rFonts w:asciiTheme="majorBidi" w:hAnsiTheme="majorBidi" w:cstheme="majorBidi"/>
          <w:sz w:val="20"/>
          <w:szCs w:val="20"/>
        </w:rPr>
        <w:t xml:space="preserve"> (New York: Cambdridge University Press, 2003), 12-13. Sebagaimana di kutip oleh : Khamami, </w:t>
      </w:r>
      <w:r w:rsidRPr="00950877">
        <w:rPr>
          <w:rFonts w:asciiTheme="majorBidi" w:hAnsiTheme="majorBidi" w:cstheme="majorBidi"/>
          <w:i/>
          <w:iCs/>
          <w:sz w:val="20"/>
          <w:szCs w:val="20"/>
        </w:rPr>
        <w:t>Pemberlakuan Hukum Jinayah di Aceh dan Kelantan</w:t>
      </w:r>
      <w:r w:rsidRPr="00950877">
        <w:rPr>
          <w:rFonts w:asciiTheme="majorBidi" w:hAnsiTheme="majorBidi" w:cstheme="majorBidi"/>
          <w:sz w:val="20"/>
          <w:szCs w:val="20"/>
        </w:rPr>
        <w:t xml:space="preserve">, Disertasi pada Sekolah Pascasarjana UIN Syarif Hidayatullah Jakarta, 2014, h. 40 </w:t>
      </w:r>
    </w:p>
  </w:footnote>
  <w:footnote w:id="337">
    <w:p w:rsidR="00343B61" w:rsidRPr="00950877" w:rsidRDefault="00343B61" w:rsidP="00343B61">
      <w:pPr>
        <w:pStyle w:val="FootnoteText"/>
        <w:ind w:firstLine="720"/>
        <w:jc w:val="both"/>
      </w:pPr>
      <w:r w:rsidRPr="00950877">
        <w:rPr>
          <w:rStyle w:val="FootnoteReference"/>
        </w:rPr>
        <w:footnoteRef/>
      </w:r>
      <w:r w:rsidRPr="00950877">
        <w:t xml:space="preserve"> </w:t>
      </w:r>
      <w:r w:rsidRPr="00950877">
        <w:rPr>
          <w:rFonts w:asciiTheme="majorBidi" w:hAnsiTheme="majorBidi" w:cstheme="majorBidi"/>
        </w:rPr>
        <w:t>Lihat. Jack A. Goldstone, ‚</w:t>
      </w:r>
      <w:r w:rsidRPr="00950877">
        <w:rPr>
          <w:rFonts w:asciiTheme="majorBidi" w:hAnsiTheme="majorBidi" w:cstheme="majorBidi"/>
          <w:i/>
          <w:iCs/>
        </w:rPr>
        <w:t>Bridging Institutionalized and Noninstitutionalized Politics</w:t>
      </w:r>
      <w:r w:rsidRPr="00950877">
        <w:rPr>
          <w:rFonts w:asciiTheme="majorBidi" w:hAnsiTheme="majorBidi" w:cstheme="majorBidi"/>
        </w:rPr>
        <w:t xml:space="preserve">‛ dalam Jack A. Goldstone (ed.), States, </w:t>
      </w:r>
      <w:r>
        <w:rPr>
          <w:rFonts w:asciiTheme="majorBidi" w:hAnsiTheme="majorBidi" w:cstheme="majorBidi"/>
          <w:i/>
          <w:iCs/>
        </w:rPr>
        <w:t>Parties and Soc</w:t>
      </w:r>
      <w:r w:rsidRPr="00950877">
        <w:rPr>
          <w:rFonts w:asciiTheme="majorBidi" w:hAnsiTheme="majorBidi" w:cstheme="majorBidi"/>
          <w:i/>
          <w:iCs/>
        </w:rPr>
        <w:t xml:space="preserve">ial Movement </w:t>
      </w:r>
      <w:r w:rsidRPr="00950877">
        <w:rPr>
          <w:rFonts w:asciiTheme="majorBidi" w:hAnsiTheme="majorBidi" w:cstheme="majorBidi"/>
        </w:rPr>
        <w:t xml:space="preserve">(New York: Cambdridge University Press, 2003), 12-13. Sebagaimana di kutip oleh : Khamami, </w:t>
      </w:r>
      <w:r w:rsidRPr="00950877">
        <w:rPr>
          <w:rFonts w:asciiTheme="majorBidi" w:hAnsiTheme="majorBidi" w:cstheme="majorBidi"/>
          <w:i/>
          <w:iCs/>
        </w:rPr>
        <w:t>Pemberlakuan Hukum Jinayah di Aceh dan Kelantan</w:t>
      </w:r>
      <w:r w:rsidRPr="00950877">
        <w:rPr>
          <w:rFonts w:asciiTheme="majorBidi" w:hAnsiTheme="majorBidi" w:cstheme="majorBidi"/>
        </w:rPr>
        <w:t>, Disertasi pada Sekolah Pascasarjana UIN Syarif Hidayatullah Jakarta, 2014, h. 40</w:t>
      </w:r>
    </w:p>
  </w:footnote>
  <w:footnote w:id="338">
    <w:p w:rsidR="00343B61" w:rsidRPr="0095087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Lihat. Safir Iskandar Wijaya, </w:t>
      </w:r>
      <w:r w:rsidRPr="00950877">
        <w:rPr>
          <w:rFonts w:asciiTheme="majorBidi" w:hAnsiTheme="majorBidi" w:cstheme="majorBidi"/>
          <w:i/>
          <w:iCs/>
          <w:sz w:val="20"/>
          <w:szCs w:val="20"/>
        </w:rPr>
        <w:t>Syariat Islam dalam Konteks Pelaksanaan Keistimewaan Aceh</w:t>
      </w:r>
      <w:r w:rsidRPr="00950877">
        <w:rPr>
          <w:rFonts w:asciiTheme="majorBidi" w:hAnsiTheme="majorBidi" w:cstheme="majorBidi"/>
          <w:sz w:val="20"/>
          <w:szCs w:val="20"/>
        </w:rPr>
        <w:t xml:space="preserve">, Makalah Seminar Nasional Syariat Islam di Aceh, (1999), 1. Sebagaimana di kutib oleh : Nur Aini, </w:t>
      </w:r>
      <w:r w:rsidRPr="00950877">
        <w:rPr>
          <w:rFonts w:asciiTheme="majorBidi" w:hAnsiTheme="majorBidi" w:cstheme="majorBidi"/>
          <w:i/>
          <w:iCs/>
          <w:sz w:val="20"/>
          <w:szCs w:val="20"/>
        </w:rPr>
        <w:t>Peran Ulama Dalam Politik Aceh Kontemporer</w:t>
      </w:r>
      <w:r w:rsidRPr="00950877">
        <w:rPr>
          <w:rFonts w:asciiTheme="majorBidi" w:hAnsiTheme="majorBidi" w:cstheme="majorBidi"/>
          <w:sz w:val="20"/>
          <w:szCs w:val="20"/>
        </w:rPr>
        <w:t>, Disertasi, Sekolah Pascasarjana ( SPS) UIN Syarif Hidayatullah Jakarta 1436 H/ 2015 M, h. 117</w:t>
      </w:r>
    </w:p>
  </w:footnote>
  <w:footnote w:id="339">
    <w:p w:rsidR="00343B61" w:rsidRPr="00950877"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Nuar Aini, </w:t>
      </w:r>
      <w:r w:rsidRPr="00950877">
        <w:rPr>
          <w:rFonts w:asciiTheme="majorBidi" w:hAnsiTheme="majorBidi" w:cstheme="majorBidi"/>
          <w:i/>
          <w:iCs/>
        </w:rPr>
        <w:t>Peran Ulama Dalam Politik Aceh Kontemporer</w:t>
      </w:r>
      <w:r w:rsidRPr="00950877">
        <w:rPr>
          <w:rFonts w:asciiTheme="majorBidi" w:hAnsiTheme="majorBidi" w:cstheme="majorBidi"/>
        </w:rPr>
        <w:t>, Disertasi, Sekolah Pascasarjana ( SPS) UIN Syarif Hidayatullah Jakarta 1436 H/ 2015 M,  h. 117</w:t>
      </w:r>
    </w:p>
  </w:footnote>
  <w:footnote w:id="340">
    <w:p w:rsidR="00343B61" w:rsidRPr="00950877"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Hasyim Muzadi: </w:t>
      </w:r>
      <w:r w:rsidRPr="00950877">
        <w:rPr>
          <w:rFonts w:asciiTheme="majorBidi" w:hAnsiTheme="majorBidi" w:cstheme="majorBidi"/>
          <w:i/>
          <w:iCs/>
        </w:rPr>
        <w:t>Bila Syariah Harfiah, Negara Retak</w:t>
      </w:r>
      <w:r w:rsidRPr="00950877">
        <w:rPr>
          <w:rFonts w:asciiTheme="majorBidi" w:hAnsiTheme="majorBidi" w:cstheme="majorBidi"/>
        </w:rPr>
        <w:t xml:space="preserve">,  wawancara Asrori S. Karni dari GATRA dengan Ketua Umum PBNU, KH Hasyim Muzadi, Rabu, 19 April 2006, di Gedung PBNU, Jakarta Pusat. </w:t>
      </w:r>
      <w:hyperlink r:id="rId1" w:tgtFrame="_blank" w:history="1">
        <w:r w:rsidRPr="00950877">
          <w:rPr>
            <w:rFonts w:asciiTheme="majorBidi" w:hAnsiTheme="majorBidi" w:cstheme="majorBidi"/>
          </w:rPr>
          <w:t>http://www.gatra.com/artikel.php?id=94174</w:t>
        </w:r>
      </w:hyperlink>
    </w:p>
  </w:footnote>
  <w:footnote w:id="341">
    <w:p w:rsidR="00343B61" w:rsidRPr="00950877"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Hasyim Muzadi: </w:t>
      </w:r>
      <w:r w:rsidRPr="00950877">
        <w:rPr>
          <w:rFonts w:asciiTheme="majorBidi" w:hAnsiTheme="majorBidi" w:cstheme="majorBidi"/>
          <w:i/>
          <w:iCs/>
        </w:rPr>
        <w:t>Bila Syariah Harfiah, Negara Retak</w:t>
      </w:r>
      <w:r w:rsidRPr="00950877">
        <w:rPr>
          <w:rFonts w:asciiTheme="majorBidi" w:hAnsiTheme="majorBidi" w:cstheme="majorBidi"/>
        </w:rPr>
        <w:t>,  h.1- 2</w:t>
      </w:r>
    </w:p>
  </w:footnote>
  <w:footnote w:id="342">
    <w:p w:rsidR="00343B61" w:rsidRPr="00950877"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Abu Bakar Baasir, </w:t>
      </w:r>
      <w:r w:rsidRPr="00950877">
        <w:rPr>
          <w:rFonts w:asciiTheme="majorBidi" w:hAnsiTheme="majorBidi" w:cstheme="majorBidi"/>
          <w:i/>
          <w:iCs/>
        </w:rPr>
        <w:t>Peluang dan Tantangan Formalisasi Syariat Islam di Indonesia</w:t>
      </w:r>
      <w:r w:rsidRPr="00950877">
        <w:rPr>
          <w:rFonts w:asciiTheme="majorBidi" w:hAnsiTheme="majorBidi" w:cstheme="majorBidi"/>
        </w:rPr>
        <w:t xml:space="preserve">, sebagaiman di kutip oleh: Jaka Setiawan, "Perjuangan Penerapan Syariat Islam Indonesia", </w:t>
      </w:r>
      <w:r w:rsidRPr="00950877">
        <w:rPr>
          <w:rFonts w:asciiTheme="majorBidi" w:hAnsiTheme="majorBidi" w:cstheme="majorBidi"/>
          <w:i/>
          <w:iCs/>
        </w:rPr>
        <w:t xml:space="preserve">Suara Islam, </w:t>
      </w:r>
      <w:r w:rsidRPr="00950877">
        <w:rPr>
          <w:rFonts w:asciiTheme="majorBidi" w:hAnsiTheme="majorBidi" w:cstheme="majorBidi"/>
        </w:rPr>
        <w:t>5 November 2010, h. 8.</w:t>
      </w:r>
    </w:p>
  </w:footnote>
  <w:footnote w:id="343">
    <w:p w:rsidR="00343B61" w:rsidRPr="00950877" w:rsidRDefault="00343B61" w:rsidP="00343B61">
      <w:pPr>
        <w:pStyle w:val="FootnoteText"/>
        <w:ind w:firstLine="720"/>
        <w:jc w:val="both"/>
      </w:pPr>
      <w:r w:rsidRPr="00950877">
        <w:rPr>
          <w:rStyle w:val="FootnoteReference"/>
          <w:rFonts w:asciiTheme="majorBidi" w:hAnsiTheme="majorBidi" w:cstheme="majorBidi"/>
        </w:rPr>
        <w:footnoteRef/>
      </w:r>
      <w:r w:rsidRPr="00950877">
        <w:rPr>
          <w:rFonts w:asciiTheme="majorBidi" w:hAnsiTheme="majorBidi" w:cstheme="majorBidi"/>
        </w:rPr>
        <w:t xml:space="preserve"> Lihat. Habib Rizieq Syihab, "</w:t>
      </w:r>
      <w:r w:rsidRPr="00950877">
        <w:rPr>
          <w:rFonts w:asciiTheme="majorBidi" w:hAnsiTheme="majorBidi" w:cstheme="majorBidi"/>
          <w:i/>
          <w:iCs/>
        </w:rPr>
        <w:t>Tathbiq Syariah di Indonesia</w:t>
      </w:r>
      <w:r w:rsidRPr="00950877">
        <w:rPr>
          <w:rFonts w:asciiTheme="majorBidi" w:hAnsiTheme="majorBidi" w:cstheme="majorBidi"/>
        </w:rPr>
        <w:t xml:space="preserve">", </w:t>
      </w:r>
      <w:r w:rsidRPr="00950877">
        <w:rPr>
          <w:rFonts w:asciiTheme="majorBidi" w:hAnsiTheme="majorBidi" w:cstheme="majorBidi"/>
          <w:i/>
          <w:iCs/>
        </w:rPr>
        <w:t xml:space="preserve">Suara Islam, </w:t>
      </w:r>
      <w:r w:rsidRPr="00950877">
        <w:rPr>
          <w:rFonts w:asciiTheme="majorBidi" w:hAnsiTheme="majorBidi" w:cstheme="majorBidi"/>
        </w:rPr>
        <w:t>5 November 2010, h. 15.</w:t>
      </w:r>
    </w:p>
  </w:footnote>
  <w:footnote w:id="344">
    <w:p w:rsidR="00343B61" w:rsidRPr="00950877" w:rsidRDefault="00343B61" w:rsidP="00343B61">
      <w:pPr>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Pr>
          <w:rFonts w:asciiTheme="majorBidi" w:hAnsiTheme="majorBidi" w:cstheme="majorBidi"/>
          <w:sz w:val="20"/>
          <w:szCs w:val="20"/>
        </w:rPr>
        <w:t xml:space="preserve"> https://</w:t>
      </w:r>
      <w:r w:rsidRPr="00C26951">
        <w:rPr>
          <w:rFonts w:asciiTheme="majorBidi" w:hAnsiTheme="majorBidi" w:cstheme="majorBidi"/>
          <w:sz w:val="20"/>
          <w:szCs w:val="20"/>
        </w:rPr>
        <w:t>perpusmuslimind.blogspot.co.id/201</w:t>
      </w:r>
      <w:r>
        <w:rPr>
          <w:rFonts w:asciiTheme="majorBidi" w:hAnsiTheme="majorBidi" w:cstheme="majorBidi"/>
          <w:sz w:val="20"/>
          <w:szCs w:val="20"/>
        </w:rPr>
        <w:t xml:space="preserve">4/11/penerapan syariat islam-di </w:t>
      </w:r>
      <w:r w:rsidRPr="00C26951">
        <w:rPr>
          <w:rFonts w:asciiTheme="majorBidi" w:hAnsiTheme="majorBidi" w:cstheme="majorBidi"/>
          <w:sz w:val="20"/>
          <w:szCs w:val="20"/>
        </w:rPr>
        <w:t>Indonesia.html. diakses tgl 30 Agustus 2017 Pukul 17.40.</w:t>
      </w:r>
    </w:p>
  </w:footnote>
  <w:footnote w:id="345">
    <w:p w:rsidR="00343B61" w:rsidRPr="00950877"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Jaka Setiawan, "</w:t>
      </w:r>
      <w:r w:rsidRPr="00950877">
        <w:rPr>
          <w:rFonts w:asciiTheme="majorBidi" w:hAnsiTheme="majorBidi" w:cstheme="majorBidi"/>
          <w:i/>
          <w:iCs/>
        </w:rPr>
        <w:t>Perjuangan Penerapan Syariat Islam Indonesia",</w:t>
      </w:r>
      <w:r w:rsidRPr="00950877">
        <w:rPr>
          <w:rFonts w:asciiTheme="majorBidi" w:hAnsiTheme="majorBidi" w:cstheme="majorBidi"/>
        </w:rPr>
        <w:t xml:space="preserve"> </w:t>
      </w:r>
      <w:r w:rsidRPr="00950877">
        <w:rPr>
          <w:rFonts w:asciiTheme="majorBidi" w:hAnsiTheme="majorBidi" w:cstheme="majorBidi"/>
          <w:i/>
          <w:iCs/>
        </w:rPr>
        <w:t xml:space="preserve">Suara Islam, </w:t>
      </w:r>
      <w:r w:rsidRPr="00950877">
        <w:rPr>
          <w:rFonts w:asciiTheme="majorBidi" w:hAnsiTheme="majorBidi" w:cstheme="majorBidi"/>
        </w:rPr>
        <w:t>5 November 2010, h. 8.</w:t>
      </w:r>
    </w:p>
  </w:footnote>
  <w:footnote w:id="346">
    <w:p w:rsidR="00343B61" w:rsidRPr="00950877" w:rsidRDefault="00343B61" w:rsidP="00343B61">
      <w:pPr>
        <w:spacing w:after="0" w:line="240" w:lineRule="auto"/>
        <w:ind w:firstLine="720"/>
        <w:jc w:val="both"/>
        <w:rPr>
          <w:rFonts w:asciiTheme="majorBidi" w:hAnsiTheme="majorBidi" w:cstheme="majorBidi"/>
          <w:sz w:val="20"/>
          <w:szCs w:val="20"/>
        </w:rPr>
      </w:pPr>
      <w:r w:rsidRPr="00950877">
        <w:rPr>
          <w:rStyle w:val="FootnoteReference"/>
          <w:rFonts w:asciiTheme="majorBidi" w:hAnsiTheme="majorBidi" w:cstheme="majorBidi"/>
          <w:sz w:val="20"/>
          <w:szCs w:val="20"/>
        </w:rPr>
        <w:footnoteRef/>
      </w:r>
      <w:r w:rsidRPr="00950877">
        <w:rPr>
          <w:rFonts w:asciiTheme="majorBidi" w:hAnsiTheme="majorBidi" w:cstheme="majorBidi"/>
          <w:sz w:val="20"/>
          <w:szCs w:val="20"/>
        </w:rPr>
        <w:t xml:space="preserve"> Lihat. Shodiq Ramadhan, "</w:t>
      </w:r>
      <w:r w:rsidRPr="00950877">
        <w:rPr>
          <w:rFonts w:asciiTheme="majorBidi" w:hAnsiTheme="majorBidi" w:cstheme="majorBidi"/>
          <w:i/>
          <w:iCs/>
          <w:sz w:val="20"/>
          <w:szCs w:val="20"/>
        </w:rPr>
        <w:t>Menuju Indonesia Bersyariat</w:t>
      </w:r>
      <w:r w:rsidRPr="00950877">
        <w:rPr>
          <w:rFonts w:asciiTheme="majorBidi" w:hAnsiTheme="majorBidi" w:cstheme="majorBidi"/>
          <w:sz w:val="20"/>
          <w:szCs w:val="20"/>
        </w:rPr>
        <w:t xml:space="preserve">", </w:t>
      </w:r>
      <w:r w:rsidRPr="00950877">
        <w:rPr>
          <w:rFonts w:asciiTheme="majorBidi" w:hAnsiTheme="majorBidi" w:cstheme="majorBidi"/>
          <w:i/>
          <w:iCs/>
          <w:sz w:val="20"/>
          <w:szCs w:val="20"/>
        </w:rPr>
        <w:t xml:space="preserve">Suara Islam, </w:t>
      </w:r>
      <w:r w:rsidRPr="00950877">
        <w:rPr>
          <w:rFonts w:asciiTheme="majorBidi" w:hAnsiTheme="majorBidi" w:cstheme="majorBidi"/>
          <w:sz w:val="20"/>
          <w:szCs w:val="20"/>
        </w:rPr>
        <w:t>5 November 2010, h. 9.</w:t>
      </w:r>
    </w:p>
  </w:footnote>
  <w:footnote w:id="347">
    <w:p w:rsidR="00343B61" w:rsidRDefault="00343B61" w:rsidP="00343B61">
      <w:pPr>
        <w:pStyle w:val="FootnoteText"/>
        <w:ind w:firstLine="720"/>
        <w:jc w:val="both"/>
      </w:pPr>
      <w:r>
        <w:rPr>
          <w:rStyle w:val="FootnoteReference"/>
        </w:rPr>
        <w:footnoteRef/>
      </w:r>
      <w:r>
        <w:t xml:space="preserve"> </w:t>
      </w:r>
      <w:r w:rsidRPr="0002718D">
        <w:rPr>
          <w:rFonts w:asciiTheme="majorBidi" w:hAnsiTheme="majorBidi" w:cstheme="majorBidi"/>
        </w:rPr>
        <w:t xml:space="preserve">Lihat. Penerapan </w:t>
      </w:r>
      <w:r w:rsidRPr="0002718D">
        <w:rPr>
          <w:rFonts w:asciiTheme="majorBidi" w:hAnsiTheme="majorBidi" w:cstheme="majorBidi"/>
          <w:i/>
          <w:iCs/>
        </w:rPr>
        <w:t>Syariat Islam di Indonesia</w:t>
      </w:r>
      <w:r w:rsidRPr="0002718D">
        <w:rPr>
          <w:rFonts w:asciiTheme="majorBidi" w:hAnsiTheme="majorBidi" w:cstheme="majorBidi"/>
        </w:rPr>
        <w:t xml:space="preserve">, </w:t>
      </w:r>
      <w:hyperlink r:id="rId2" w:history="1">
        <w:r w:rsidRPr="0002718D">
          <w:rPr>
            <w:rStyle w:val="Hyperlink"/>
            <w:rFonts w:asciiTheme="majorBidi" w:hAnsiTheme="majorBidi" w:cstheme="majorBidi"/>
            <w:color w:val="auto"/>
            <w:u w:val="none"/>
          </w:rPr>
          <w:t>https://perpusmuslimind.blogspot.co.id</w:t>
        </w:r>
      </w:hyperlink>
      <w:r w:rsidRPr="0002718D">
        <w:rPr>
          <w:rFonts w:asciiTheme="majorBidi" w:hAnsiTheme="majorBidi" w:cstheme="majorBidi"/>
        </w:rPr>
        <w:t>. Diakses tgl 30 Agustus 2017 pukul 17.40</w:t>
      </w:r>
      <w:r>
        <w:t xml:space="preserve"> </w:t>
      </w:r>
    </w:p>
  </w:footnote>
  <w:footnote w:id="348">
    <w:p w:rsidR="00343B61" w:rsidRPr="00950877" w:rsidRDefault="00343B61" w:rsidP="00343B61">
      <w:pPr>
        <w:pStyle w:val="FootnoteText"/>
        <w:ind w:firstLine="720"/>
        <w:jc w:val="both"/>
      </w:pPr>
      <w:r w:rsidRPr="00950877">
        <w:rPr>
          <w:rStyle w:val="FootnoteReference"/>
        </w:rPr>
        <w:footnoteRef/>
      </w:r>
      <w:r w:rsidRPr="00950877">
        <w:t xml:space="preserve"> </w:t>
      </w:r>
      <w:r w:rsidRPr="00950877">
        <w:rPr>
          <w:rFonts w:ascii="Times New Roman" w:hAnsi="Times New Roman" w:cs="Times New Roman"/>
        </w:rPr>
        <w:t xml:space="preserve">Lihat. Sutomo Paguci, </w:t>
      </w:r>
      <w:r w:rsidRPr="00950877">
        <w:rPr>
          <w:rFonts w:ascii="Times New Roman" w:hAnsi="Times New Roman" w:cs="Times New Roman"/>
          <w:i/>
          <w:iCs/>
          <w:kern w:val="36"/>
        </w:rPr>
        <w:t>NU-Muhammadiyah Menolak Syariatisasi Negara</w:t>
      </w:r>
      <w:r w:rsidRPr="00950877">
        <w:rPr>
          <w:rFonts w:ascii="Times New Roman" w:hAnsi="Times New Roman" w:cs="Times New Roman"/>
          <w:kern w:val="36"/>
        </w:rPr>
        <w:t xml:space="preserve">,  </w:t>
      </w:r>
      <w:hyperlink r:id="rId3" w:history="1">
        <w:r w:rsidRPr="00950877">
          <w:rPr>
            <w:rStyle w:val="Hyperlink"/>
            <w:rFonts w:ascii="Times New Roman" w:hAnsi="Times New Roman" w:cs="Times New Roman"/>
            <w:color w:val="auto"/>
            <w:u w:val="none"/>
          </w:rPr>
          <w:t>http://www.kompasiana.com/sutomo-paguci/nu-muhammadiyah-menolak-syariatisasi-negara</w:t>
        </w:r>
      </w:hyperlink>
      <w:r w:rsidRPr="00950877">
        <w:rPr>
          <w:rFonts w:ascii="Times New Roman" w:hAnsi="Times New Roman" w:cs="Times New Roman"/>
        </w:rPr>
        <w:t>, diakses tgl 27 September 2017 pukul 06.18</w:t>
      </w:r>
    </w:p>
  </w:footnote>
  <w:footnote w:id="349">
    <w:p w:rsidR="00343B61" w:rsidRPr="00455E3A" w:rsidRDefault="00343B61" w:rsidP="00343B61">
      <w:pPr>
        <w:pStyle w:val="FootnoteText"/>
        <w:ind w:firstLine="720"/>
        <w:jc w:val="both"/>
        <w:rPr>
          <w:rFonts w:asciiTheme="majorBidi" w:hAnsiTheme="majorBidi" w:cstheme="majorBidi"/>
        </w:rPr>
      </w:pPr>
      <w:r w:rsidRPr="00950877">
        <w:rPr>
          <w:rStyle w:val="FootnoteReference"/>
          <w:rFonts w:asciiTheme="majorBidi" w:hAnsiTheme="majorBidi" w:cstheme="majorBidi"/>
        </w:rPr>
        <w:footnoteRef/>
      </w:r>
      <w:r w:rsidRPr="00950877">
        <w:rPr>
          <w:rFonts w:asciiTheme="majorBidi" w:hAnsiTheme="majorBidi" w:cstheme="majorBidi"/>
        </w:rPr>
        <w:t xml:space="preserve"> Lihat. Syuhada Bahri, "</w:t>
      </w:r>
      <w:r w:rsidRPr="00950877">
        <w:rPr>
          <w:rFonts w:asciiTheme="majorBidi" w:hAnsiTheme="majorBidi" w:cstheme="majorBidi"/>
          <w:i/>
          <w:iCs/>
        </w:rPr>
        <w:t>Perjuangan Masih Panjang</w:t>
      </w:r>
      <w:r w:rsidRPr="00950877">
        <w:rPr>
          <w:rFonts w:asciiTheme="majorBidi" w:hAnsiTheme="majorBidi" w:cstheme="majorBidi"/>
        </w:rPr>
        <w:t xml:space="preserve">", </w:t>
      </w:r>
      <w:r w:rsidRPr="00950877">
        <w:rPr>
          <w:rFonts w:asciiTheme="majorBidi" w:hAnsiTheme="majorBidi" w:cstheme="majorBidi"/>
          <w:i/>
          <w:iCs/>
        </w:rPr>
        <w:t xml:space="preserve">Suara Islam, </w:t>
      </w:r>
      <w:r w:rsidRPr="00950877">
        <w:rPr>
          <w:rFonts w:asciiTheme="majorBidi" w:hAnsiTheme="majorBidi" w:cstheme="majorBidi"/>
        </w:rPr>
        <w:t>5 November 2010, h. 10.</w:t>
      </w:r>
    </w:p>
  </w:footnote>
  <w:footnote w:id="350">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Lihat.Hukum tertulis lazim disebut sebagai hukum perundang-undangan. Hukum tertulis telah menjadi tanda dari hukum modern yang harus mengatur serta melayani kehidupan modern</w:t>
      </w:r>
      <w:r>
        <w:rPr>
          <w:rFonts w:asciiTheme="majorBidi" w:hAnsiTheme="majorBidi" w:cstheme="majorBidi"/>
          <w:sz w:val="20"/>
          <w:szCs w:val="20"/>
        </w:rPr>
        <w:t>. Lihat.</w:t>
      </w:r>
      <w:r w:rsidRPr="00BF1D8E">
        <w:rPr>
          <w:rFonts w:asciiTheme="majorBidi" w:hAnsiTheme="majorBidi" w:cstheme="majorBidi"/>
          <w:sz w:val="20"/>
          <w:szCs w:val="20"/>
        </w:rPr>
        <w:t xml:space="preserve"> Hasanuddin AF (et.al), </w:t>
      </w:r>
      <w:r w:rsidRPr="00BF1D8E">
        <w:rPr>
          <w:rFonts w:asciiTheme="majorBidi" w:hAnsiTheme="majorBidi" w:cstheme="majorBidi"/>
          <w:i/>
          <w:iCs/>
          <w:sz w:val="20"/>
          <w:szCs w:val="20"/>
        </w:rPr>
        <w:t>Pengantar Ilmu Hukum,</w:t>
      </w:r>
      <w:r>
        <w:rPr>
          <w:rFonts w:asciiTheme="majorBidi" w:hAnsiTheme="majorBidi" w:cstheme="majorBidi"/>
          <w:sz w:val="20"/>
          <w:szCs w:val="20"/>
        </w:rPr>
        <w:t>(</w:t>
      </w:r>
      <w:r w:rsidRPr="00BF1D8E">
        <w:rPr>
          <w:rFonts w:asciiTheme="majorBidi" w:hAnsiTheme="majorBidi" w:cstheme="majorBidi"/>
          <w:i/>
          <w:iCs/>
          <w:sz w:val="20"/>
          <w:szCs w:val="20"/>
        </w:rPr>
        <w:t xml:space="preserve"> </w:t>
      </w:r>
      <w:r w:rsidRPr="00BF1D8E">
        <w:rPr>
          <w:rFonts w:asciiTheme="majorBidi" w:hAnsiTheme="majorBidi" w:cstheme="majorBidi"/>
          <w:sz w:val="20"/>
          <w:szCs w:val="20"/>
        </w:rPr>
        <w:t>Jakarta : Pustaka Al-Husna Baru, 2004), 7.</w:t>
      </w:r>
    </w:p>
  </w:footnote>
  <w:footnote w:id="351">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Lihat.Mohammad Daud Ali, </w:t>
      </w:r>
      <w:r w:rsidRPr="00BF1D8E">
        <w:rPr>
          <w:rFonts w:asciiTheme="majorBidi" w:hAnsiTheme="majorBidi" w:cstheme="majorBidi"/>
          <w:i/>
          <w:iCs/>
          <w:sz w:val="20"/>
          <w:szCs w:val="20"/>
        </w:rPr>
        <w:t xml:space="preserve">Hukum Islam dan Peradilan Agama, </w:t>
      </w:r>
      <w:r w:rsidRPr="00BF1D8E">
        <w:rPr>
          <w:rFonts w:asciiTheme="majorBidi" w:hAnsiTheme="majorBidi" w:cstheme="majorBidi"/>
          <w:sz w:val="20"/>
          <w:szCs w:val="20"/>
        </w:rPr>
        <w:t>(Jakarta : Raja Grafindo Persada, 2002), cet. II, 21.</w:t>
      </w:r>
    </w:p>
  </w:footnote>
  <w:footnote w:id="352">
    <w:p w:rsidR="00343B61" w:rsidRPr="00BF1D8E" w:rsidRDefault="00343B61" w:rsidP="00343B61">
      <w:pPr>
        <w:ind w:left="142" w:firstLine="578"/>
        <w:jc w:val="both"/>
        <w:textAlignment w:val="baseline"/>
        <w:rPr>
          <w:rFonts w:asciiTheme="majorBidi" w:eastAsia="Tahoma" w:hAnsiTheme="majorBidi" w:cstheme="majorBidi"/>
          <w:color w:val="000000"/>
          <w:spacing w:val="-4"/>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w:t>
      </w:r>
      <w:r w:rsidRPr="00BF1D8E">
        <w:rPr>
          <w:rFonts w:asciiTheme="majorBidi" w:eastAsia="Garamond" w:hAnsiTheme="majorBidi" w:cstheme="majorBidi"/>
          <w:color w:val="000000"/>
          <w:spacing w:val="-4"/>
          <w:sz w:val="20"/>
          <w:szCs w:val="20"/>
        </w:rPr>
        <w:t xml:space="preserve">A. Wasit Aulawi, "Sejarah Perkembangan Hukum Islam di Indonesia", Dalam Amrullah Ahmad, editor, </w:t>
      </w:r>
      <w:r w:rsidRPr="00BF1D8E">
        <w:rPr>
          <w:rFonts w:asciiTheme="majorBidi" w:eastAsia="Garamond" w:hAnsiTheme="majorBidi" w:cstheme="majorBidi"/>
          <w:i/>
          <w:color w:val="000000"/>
          <w:spacing w:val="-4"/>
          <w:sz w:val="20"/>
          <w:szCs w:val="20"/>
        </w:rPr>
        <w:t xml:space="preserve">Dimensi Hukum Islam dalam Sistem Hukum Nasional, </w:t>
      </w:r>
      <w:r w:rsidRPr="00BF1D8E">
        <w:rPr>
          <w:rFonts w:asciiTheme="majorBidi" w:hAnsiTheme="majorBidi" w:cstheme="majorBidi"/>
          <w:sz w:val="20"/>
          <w:szCs w:val="20"/>
        </w:rPr>
        <w:t xml:space="preserve">( Jakarta: Gema Insani Press, 1996), </w:t>
      </w:r>
      <w:r w:rsidRPr="00BF1D8E">
        <w:rPr>
          <w:rFonts w:asciiTheme="majorBidi" w:eastAsia="Garamond" w:hAnsiTheme="majorBidi" w:cstheme="majorBidi"/>
          <w:color w:val="000000"/>
          <w:spacing w:val="-4"/>
          <w:sz w:val="20"/>
          <w:szCs w:val="20"/>
        </w:rPr>
        <w:t>h. 57. Sayangnya Aulawi tidak menyebut alasan kenapa tidak dimungkinkan memperlakukan UU No. 22 Tahun 1946 pada tahun 1946 sekaligus di seluruh tanah air Indonesia.</w:t>
      </w:r>
    </w:p>
  </w:footnote>
  <w:footnote w:id="353">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sidRPr="00BF1D8E">
        <w:rPr>
          <w:rFonts w:asciiTheme="majorBidi" w:eastAsia="Garamond" w:hAnsiTheme="majorBidi" w:cstheme="majorBidi"/>
          <w:color w:val="000000"/>
        </w:rPr>
        <w:t xml:space="preserve">Wirjono Prodjodikoro, </w:t>
      </w:r>
      <w:r w:rsidRPr="00BF1D8E">
        <w:rPr>
          <w:rFonts w:asciiTheme="majorBidi" w:eastAsia="Garamond" w:hAnsiTheme="majorBidi" w:cstheme="majorBidi"/>
          <w:i/>
          <w:color w:val="000000"/>
        </w:rPr>
        <w:t xml:space="preserve">Hukum Perkawinan di Indonesia, </w:t>
      </w:r>
      <w:r w:rsidRPr="00BF1D8E">
        <w:rPr>
          <w:rFonts w:asciiTheme="majorBidi" w:eastAsia="Garamond" w:hAnsiTheme="majorBidi" w:cstheme="majorBidi"/>
          <w:iCs/>
          <w:color w:val="000000"/>
        </w:rPr>
        <w:t xml:space="preserve">( Bandung: Penerbit Sumur, 1974), </w:t>
      </w:r>
      <w:r w:rsidRPr="00BF1D8E">
        <w:rPr>
          <w:rFonts w:asciiTheme="majorBidi" w:eastAsia="Garamond" w:hAnsiTheme="majorBidi" w:cstheme="majorBidi"/>
          <w:color w:val="000000"/>
        </w:rPr>
        <w:t>h. 50.</w:t>
      </w:r>
    </w:p>
  </w:footnote>
  <w:footnote w:id="354">
    <w:p w:rsidR="00343B61" w:rsidRPr="00BF1D8E" w:rsidRDefault="00343B61" w:rsidP="00343B61">
      <w:pPr>
        <w:spacing w:after="0"/>
        <w:ind w:left="142" w:firstLine="578"/>
        <w:jc w:val="both"/>
        <w:textAlignment w:val="baseline"/>
        <w:rPr>
          <w:rFonts w:asciiTheme="majorBidi" w:eastAsia="Garamond" w:hAnsiTheme="majorBidi" w:cstheme="majorBidi"/>
          <w:color w:val="000000"/>
          <w:sz w:val="20"/>
          <w:szCs w:val="20"/>
        </w:rPr>
      </w:pPr>
      <w:r w:rsidRPr="00BF1D8E">
        <w:rPr>
          <w:rStyle w:val="FootnoteReference"/>
          <w:rFonts w:asciiTheme="majorBidi" w:hAnsiTheme="majorBidi" w:cstheme="majorBidi"/>
          <w:sz w:val="20"/>
          <w:szCs w:val="20"/>
        </w:rPr>
        <w:footnoteRef/>
      </w:r>
      <w:r w:rsidRPr="00BF1D8E">
        <w:rPr>
          <w:rFonts w:asciiTheme="majorBidi" w:eastAsia="Garamond" w:hAnsiTheme="majorBidi" w:cstheme="majorBidi"/>
          <w:color w:val="000000"/>
          <w:sz w:val="20"/>
          <w:szCs w:val="20"/>
        </w:rPr>
        <w:t xml:space="preserve"> </w:t>
      </w:r>
      <w:r w:rsidRPr="00BF1D8E">
        <w:rPr>
          <w:rFonts w:asciiTheme="majorBidi" w:hAnsiTheme="majorBidi" w:cstheme="majorBidi"/>
          <w:sz w:val="20"/>
          <w:szCs w:val="20"/>
        </w:rPr>
        <w:t>Lihat.</w:t>
      </w:r>
      <w:r w:rsidRPr="00BF1D8E">
        <w:rPr>
          <w:rFonts w:asciiTheme="majorBidi" w:eastAsia="Garamond" w:hAnsiTheme="majorBidi" w:cstheme="majorBidi"/>
          <w:color w:val="000000"/>
          <w:spacing w:val="-4"/>
          <w:sz w:val="20"/>
          <w:szCs w:val="20"/>
        </w:rPr>
        <w:t xml:space="preserve">A. Wasit Aulawi, "Sejarah Perkembangan Hukum Islam di Indonesia", Dalam Amrullah Ahmad, editor, </w:t>
      </w:r>
      <w:r w:rsidRPr="00BF1D8E">
        <w:rPr>
          <w:rFonts w:asciiTheme="majorBidi" w:eastAsia="Garamond" w:hAnsiTheme="majorBidi" w:cstheme="majorBidi"/>
          <w:i/>
          <w:color w:val="000000"/>
          <w:spacing w:val="-4"/>
          <w:sz w:val="20"/>
          <w:szCs w:val="20"/>
        </w:rPr>
        <w:t xml:space="preserve">Dimensi Hukum Islam dalam Sistem Hukum Nasional, </w:t>
      </w:r>
      <w:r w:rsidRPr="00BF1D8E">
        <w:rPr>
          <w:rFonts w:asciiTheme="majorBidi" w:hAnsiTheme="majorBidi" w:cstheme="majorBidi"/>
          <w:sz w:val="20"/>
          <w:szCs w:val="20"/>
        </w:rPr>
        <w:t xml:space="preserve">( Jakarta: Gema Insani Press, 1996), </w:t>
      </w:r>
      <w:r w:rsidRPr="00BF1D8E">
        <w:rPr>
          <w:rFonts w:asciiTheme="majorBidi" w:eastAsia="Garamond" w:hAnsiTheme="majorBidi" w:cstheme="majorBidi"/>
          <w:color w:val="000000"/>
          <w:spacing w:val="-4"/>
          <w:sz w:val="20"/>
          <w:szCs w:val="20"/>
        </w:rPr>
        <w:t xml:space="preserve">h. 57-58. </w:t>
      </w:r>
    </w:p>
  </w:footnote>
  <w:footnote w:id="355">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sidRPr="00BF1D8E">
        <w:rPr>
          <w:rFonts w:asciiTheme="majorBidi" w:eastAsia="Garamond" w:hAnsiTheme="majorBidi" w:cstheme="majorBidi"/>
          <w:color w:val="000000"/>
          <w:spacing w:val="-4"/>
        </w:rPr>
        <w:t xml:space="preserve">A. Wasit Aulawi, "Sejarah Perkembangan Hukum Islam di Indonesia", Dalam Amrullah Ahmad, editor, </w:t>
      </w:r>
      <w:r w:rsidRPr="00BF1D8E">
        <w:rPr>
          <w:rFonts w:asciiTheme="majorBidi" w:eastAsia="Garamond" w:hAnsiTheme="majorBidi" w:cstheme="majorBidi"/>
          <w:i/>
          <w:color w:val="000000"/>
          <w:spacing w:val="-4"/>
        </w:rPr>
        <w:t xml:space="preserve">Dimensi Hukum Islam dalam Sistem Hukum Nasional, </w:t>
      </w:r>
      <w:r w:rsidRPr="00BF1D8E">
        <w:rPr>
          <w:rFonts w:asciiTheme="majorBidi" w:hAnsiTheme="majorBidi" w:cstheme="majorBidi"/>
        </w:rPr>
        <w:t xml:space="preserve">( Jakarta: Gema Insani Press, 1996), </w:t>
      </w:r>
      <w:r>
        <w:rPr>
          <w:rFonts w:asciiTheme="majorBidi" w:eastAsia="Garamond" w:hAnsiTheme="majorBidi" w:cstheme="majorBidi"/>
          <w:color w:val="000000"/>
          <w:spacing w:val="-4"/>
        </w:rPr>
        <w:t>h. 58</w:t>
      </w:r>
      <w:r w:rsidRPr="00BF1D8E">
        <w:rPr>
          <w:rFonts w:asciiTheme="majorBidi" w:eastAsia="Garamond" w:hAnsiTheme="majorBidi" w:cstheme="majorBidi"/>
          <w:color w:val="000000"/>
          <w:spacing w:val="-4"/>
        </w:rPr>
        <w:t xml:space="preserve">. </w:t>
      </w:r>
    </w:p>
  </w:footnote>
  <w:footnote w:id="356">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Lihat. </w:t>
      </w:r>
      <w:r w:rsidRPr="00BF1D8E">
        <w:rPr>
          <w:rFonts w:asciiTheme="majorBidi" w:eastAsia="Garamond" w:hAnsiTheme="majorBidi" w:cstheme="majorBidi"/>
          <w:color w:val="282026"/>
          <w:spacing w:val="1"/>
        </w:rPr>
        <w:t xml:space="preserve">Zaini Ahmad Noeh, </w:t>
      </w:r>
      <w:r w:rsidRPr="00174ACB">
        <w:rPr>
          <w:rFonts w:asciiTheme="majorBidi" w:eastAsia="Garamond" w:hAnsiTheme="majorBidi" w:cstheme="majorBidi"/>
          <w:spacing w:val="1"/>
        </w:rPr>
        <w:t>"</w:t>
      </w:r>
      <w:r w:rsidRPr="00174ACB">
        <w:rPr>
          <w:rFonts w:asciiTheme="majorBidi" w:eastAsia="Garamond" w:hAnsiTheme="majorBidi" w:cstheme="majorBidi"/>
          <w:i/>
          <w:iCs/>
          <w:spacing w:val="1"/>
        </w:rPr>
        <w:t>Lima Tahun Undang-Undang Peradilan Agama</w:t>
      </w:r>
      <w:r w:rsidRPr="00174ACB">
        <w:rPr>
          <w:rFonts w:asciiTheme="majorBidi" w:eastAsia="Garamond" w:hAnsiTheme="majorBidi" w:cstheme="majorBidi"/>
          <w:spacing w:val="1"/>
        </w:rPr>
        <w:t>,</w:t>
      </w:r>
      <w:r>
        <w:rPr>
          <w:rFonts w:asciiTheme="majorBidi" w:eastAsia="Garamond" w:hAnsiTheme="majorBidi" w:cstheme="majorBidi"/>
          <w:spacing w:val="1"/>
        </w:rPr>
        <w:t xml:space="preserve">(Sebuah Kilas Balik) “, </w:t>
      </w:r>
      <w:r w:rsidRPr="00174ACB">
        <w:rPr>
          <w:rFonts w:asciiTheme="majorBidi" w:eastAsia="Garamond" w:hAnsiTheme="majorBidi" w:cstheme="majorBidi"/>
          <w:i/>
          <w:iCs/>
          <w:spacing w:val="1"/>
        </w:rPr>
        <w:t>Mimbar Hukum</w:t>
      </w:r>
      <w:r>
        <w:rPr>
          <w:rFonts w:asciiTheme="majorBidi" w:eastAsia="Garamond" w:hAnsiTheme="majorBidi" w:cstheme="majorBidi"/>
          <w:spacing w:val="1"/>
        </w:rPr>
        <w:t>, No 27 Tahun V (November-Desember 1994),</w:t>
      </w:r>
      <w:r w:rsidRPr="00174ACB">
        <w:rPr>
          <w:rFonts w:asciiTheme="majorBidi" w:eastAsia="Garamond" w:hAnsiTheme="majorBidi" w:cstheme="majorBidi"/>
          <w:spacing w:val="1"/>
        </w:rPr>
        <w:t xml:space="preserve"> h. 19.</w:t>
      </w:r>
    </w:p>
  </w:footnote>
  <w:footnote w:id="357">
    <w:p w:rsidR="00343B61" w:rsidRPr="00591DF1" w:rsidRDefault="00343B61" w:rsidP="00343B61">
      <w:pPr>
        <w:pStyle w:val="FootnoteText"/>
        <w:ind w:firstLine="720"/>
        <w:jc w:val="both"/>
        <w:rPr>
          <w:rFonts w:asciiTheme="majorBidi" w:hAnsiTheme="majorBidi" w:cstheme="majorBidi"/>
        </w:rPr>
      </w:pPr>
      <w:r w:rsidRPr="00591DF1">
        <w:rPr>
          <w:rStyle w:val="FootnoteReference"/>
          <w:rFonts w:asciiTheme="majorBidi" w:hAnsiTheme="majorBidi" w:cstheme="majorBidi"/>
        </w:rPr>
        <w:footnoteRef/>
      </w:r>
      <w:r w:rsidRPr="00591DF1">
        <w:rPr>
          <w:rFonts w:asciiTheme="majorBidi" w:hAnsiTheme="majorBidi" w:cstheme="majorBidi"/>
        </w:rPr>
        <w:t xml:space="preserve"> Lihat. Taufiqurrohman Syahuri, </w:t>
      </w:r>
      <w:r w:rsidRPr="001B7F3E">
        <w:rPr>
          <w:rFonts w:asciiTheme="majorBidi" w:hAnsiTheme="majorBidi" w:cstheme="majorBidi"/>
          <w:i/>
          <w:iCs/>
        </w:rPr>
        <w:t>Legislasi Hukum Perkawinan di Indonesia, Pro-Kontra Pembentukannya Hingga Putusan Mahkamah Konstitusi</w:t>
      </w:r>
      <w:r w:rsidRPr="00591DF1">
        <w:rPr>
          <w:rFonts w:asciiTheme="majorBidi" w:hAnsiTheme="majorBidi" w:cstheme="majorBidi"/>
        </w:rPr>
        <w:t>, ( Jakarta: Prenadamedia Group, 2015), h. 4</w:t>
      </w:r>
    </w:p>
  </w:footnote>
  <w:footnote w:id="358">
    <w:p w:rsidR="00343B61" w:rsidRPr="002549E3" w:rsidRDefault="00343B61" w:rsidP="00343B61">
      <w:pPr>
        <w:pStyle w:val="FootnoteText"/>
        <w:ind w:firstLine="720"/>
        <w:jc w:val="both"/>
      </w:pPr>
      <w:r w:rsidRPr="002549E3">
        <w:rPr>
          <w:rStyle w:val="FootnoteReference"/>
        </w:rPr>
        <w:footnoteRef/>
      </w:r>
      <w:r w:rsidRPr="002549E3">
        <w:t xml:space="preserve"> </w:t>
      </w:r>
      <w:r w:rsidRPr="002549E3">
        <w:rPr>
          <w:rFonts w:asciiTheme="majorBidi" w:hAnsiTheme="majorBidi" w:cstheme="majorBidi"/>
        </w:rPr>
        <w:t xml:space="preserve">Lihat. Taufiqurrohman Syahuri, </w:t>
      </w:r>
      <w:r w:rsidRPr="002549E3">
        <w:rPr>
          <w:rFonts w:asciiTheme="majorBidi" w:hAnsiTheme="majorBidi" w:cstheme="majorBidi"/>
          <w:i/>
          <w:iCs/>
        </w:rPr>
        <w:t>Legislasi Hukum Perkawinan di Indonesia, Pro-Kontra Pembentukannya Hingga Putusan Mahkamah Konstitusi</w:t>
      </w:r>
      <w:r w:rsidRPr="002549E3">
        <w:rPr>
          <w:rFonts w:asciiTheme="majorBidi" w:hAnsiTheme="majorBidi" w:cstheme="majorBidi"/>
        </w:rPr>
        <w:t>, ( Jakarta: Prenadamedia Group, 2015), h. 5</w:t>
      </w:r>
    </w:p>
  </w:footnote>
  <w:footnote w:id="359">
    <w:p w:rsidR="00343B61" w:rsidRPr="002549E3" w:rsidRDefault="00343B61" w:rsidP="00343B61">
      <w:pPr>
        <w:pStyle w:val="FootnoteText"/>
        <w:ind w:firstLine="720"/>
        <w:jc w:val="both"/>
        <w:rPr>
          <w:rFonts w:asciiTheme="majorBidi" w:hAnsiTheme="majorBidi" w:cstheme="majorBidi"/>
        </w:rPr>
      </w:pPr>
      <w:r w:rsidRPr="002549E3">
        <w:rPr>
          <w:rStyle w:val="FootnoteReference"/>
          <w:rFonts w:asciiTheme="majorBidi" w:hAnsiTheme="majorBidi" w:cstheme="majorBidi"/>
        </w:rPr>
        <w:footnoteRef/>
      </w:r>
      <w:r w:rsidRPr="002549E3">
        <w:rPr>
          <w:rFonts w:asciiTheme="majorBidi" w:hAnsiTheme="majorBidi" w:cstheme="majorBidi"/>
        </w:rPr>
        <w:t xml:space="preserve">Lihat. Mohammad Daud Ali, </w:t>
      </w:r>
      <w:r w:rsidRPr="002549E3">
        <w:rPr>
          <w:rFonts w:asciiTheme="majorBidi" w:hAnsiTheme="majorBidi" w:cstheme="majorBidi"/>
          <w:i/>
          <w:iCs/>
        </w:rPr>
        <w:t>Hukum Islam dan Peradilan Agama,</w:t>
      </w:r>
      <w:r w:rsidRPr="002549E3">
        <w:rPr>
          <w:rFonts w:asciiTheme="majorBidi" w:hAnsiTheme="majorBidi" w:cstheme="majorBidi"/>
        </w:rPr>
        <w:t xml:space="preserve"> ( Jakarta: Raja Grapindo Persada, 2002) cet II, h. </w:t>
      </w:r>
      <w:r w:rsidRPr="002549E3">
        <w:rPr>
          <w:rFonts w:asciiTheme="majorBidi" w:hAnsiTheme="majorBidi" w:cstheme="majorBidi"/>
          <w:i/>
          <w:iCs/>
        </w:rPr>
        <w:t xml:space="preserve"> </w:t>
      </w:r>
      <w:r w:rsidRPr="002549E3">
        <w:rPr>
          <w:rFonts w:asciiTheme="majorBidi" w:hAnsiTheme="majorBidi" w:cstheme="majorBidi"/>
        </w:rPr>
        <w:t xml:space="preserve">21. </w:t>
      </w:r>
    </w:p>
  </w:footnote>
  <w:footnote w:id="360">
    <w:p w:rsidR="00343B61" w:rsidRPr="007D112C" w:rsidRDefault="00343B61" w:rsidP="00343B61">
      <w:pPr>
        <w:spacing w:after="0"/>
        <w:ind w:left="90" w:firstLine="630"/>
        <w:jc w:val="both"/>
        <w:textAlignment w:val="baseline"/>
        <w:rPr>
          <w:rFonts w:asciiTheme="majorBidi" w:eastAsia="Garamond" w:hAnsiTheme="majorBidi" w:cstheme="majorBidi"/>
          <w:color w:val="282026"/>
          <w:sz w:val="20"/>
          <w:szCs w:val="20"/>
        </w:rPr>
      </w:pPr>
      <w:r w:rsidRPr="002549E3">
        <w:rPr>
          <w:rStyle w:val="FootnoteReference"/>
          <w:rFonts w:asciiTheme="majorBidi" w:hAnsiTheme="majorBidi" w:cstheme="majorBidi"/>
          <w:sz w:val="20"/>
          <w:szCs w:val="20"/>
        </w:rPr>
        <w:footnoteRef/>
      </w:r>
      <w:r w:rsidRPr="002549E3">
        <w:rPr>
          <w:rFonts w:asciiTheme="majorBidi" w:hAnsiTheme="majorBidi" w:cstheme="majorBidi"/>
          <w:sz w:val="20"/>
          <w:szCs w:val="20"/>
        </w:rPr>
        <w:t>Lihat.</w:t>
      </w:r>
      <w:r>
        <w:rPr>
          <w:rFonts w:asciiTheme="majorBidi" w:eastAsia="Garamond" w:hAnsiTheme="majorBidi" w:cstheme="majorBidi"/>
          <w:sz w:val="20"/>
          <w:szCs w:val="20"/>
        </w:rPr>
        <w:t xml:space="preserve">Nuriena Rifai, </w:t>
      </w:r>
      <w:r w:rsidRPr="002549E3">
        <w:rPr>
          <w:rFonts w:asciiTheme="majorBidi" w:eastAsia="Garamond" w:hAnsiTheme="majorBidi" w:cstheme="majorBidi"/>
          <w:sz w:val="20"/>
          <w:szCs w:val="20"/>
        </w:rPr>
        <w:t>"</w:t>
      </w:r>
      <w:r>
        <w:rPr>
          <w:rFonts w:asciiTheme="majorBidi" w:eastAsia="Garamond" w:hAnsiTheme="majorBidi" w:cstheme="majorBidi"/>
          <w:i/>
          <w:iCs/>
          <w:sz w:val="20"/>
          <w:szCs w:val="20"/>
        </w:rPr>
        <w:t xml:space="preserve">Muslim </w:t>
      </w:r>
      <w:r w:rsidRPr="002549E3">
        <w:rPr>
          <w:rFonts w:asciiTheme="majorBidi" w:eastAsia="Garamond" w:hAnsiTheme="majorBidi" w:cstheme="majorBidi"/>
          <w:i/>
          <w:iCs/>
          <w:sz w:val="20"/>
          <w:szCs w:val="20"/>
        </w:rPr>
        <w:t>W</w:t>
      </w:r>
      <w:r>
        <w:rPr>
          <w:rFonts w:asciiTheme="majorBidi" w:eastAsia="Garamond" w:hAnsiTheme="majorBidi" w:cstheme="majorBidi"/>
          <w:i/>
          <w:iCs/>
          <w:sz w:val="20"/>
          <w:szCs w:val="20"/>
        </w:rPr>
        <w:t>omen in Indonesia's Politics: A</w:t>
      </w:r>
      <w:r w:rsidRPr="002549E3">
        <w:rPr>
          <w:rFonts w:asciiTheme="majorBidi" w:eastAsia="Garamond" w:hAnsiTheme="majorBidi" w:cstheme="majorBidi"/>
          <w:i/>
          <w:iCs/>
          <w:sz w:val="20"/>
          <w:szCs w:val="20"/>
        </w:rPr>
        <w:t xml:space="preserve"> Historical Examination of the Political Career  of Ai syah Aminy</w:t>
      </w:r>
      <w:r w:rsidRPr="002549E3">
        <w:rPr>
          <w:rFonts w:asciiTheme="majorBidi" w:eastAsia="Garamond" w:hAnsiTheme="majorBidi" w:cstheme="majorBidi"/>
          <w:sz w:val="20"/>
          <w:szCs w:val="20"/>
        </w:rPr>
        <w:t xml:space="preserve">", (Montreal: Tesis MA pada McGill University 1993), h.32. Sebagaimana di kutip oleh </w:t>
      </w:r>
      <w:r>
        <w:rPr>
          <w:rFonts w:asciiTheme="majorBidi" w:hAnsiTheme="majorBidi" w:cstheme="majorBidi"/>
          <w:sz w:val="20"/>
          <w:szCs w:val="20"/>
        </w:rPr>
        <w:t>Kho</w:t>
      </w:r>
      <w:r w:rsidRPr="002549E3">
        <w:rPr>
          <w:rFonts w:asciiTheme="majorBidi" w:hAnsiTheme="majorBidi" w:cstheme="majorBidi"/>
          <w:sz w:val="20"/>
          <w:szCs w:val="20"/>
        </w:rPr>
        <w:t xml:space="preserve">iruddin Nasution, </w:t>
      </w:r>
      <w:r>
        <w:rPr>
          <w:rFonts w:asciiTheme="majorBidi" w:hAnsiTheme="majorBidi" w:cstheme="majorBidi"/>
          <w:i/>
          <w:iCs/>
          <w:sz w:val="20"/>
          <w:szCs w:val="20"/>
        </w:rPr>
        <w:t>Status Wanita Di Asia Tenggara: Studi Terhadap Perundang-undangan Perkawinan Muslim Komtemporer di Indonesia dan Malaysia,</w:t>
      </w:r>
      <w:r w:rsidRPr="007D112C">
        <w:rPr>
          <w:rFonts w:asciiTheme="majorBidi" w:hAnsiTheme="majorBidi" w:cstheme="majorBidi"/>
          <w:sz w:val="20"/>
          <w:szCs w:val="20"/>
        </w:rPr>
        <w:t xml:space="preserve"> (</w:t>
      </w:r>
      <w:r w:rsidRPr="002549E3">
        <w:rPr>
          <w:rFonts w:asciiTheme="majorBidi" w:hAnsiTheme="majorBidi" w:cstheme="majorBidi"/>
          <w:i/>
          <w:iCs/>
          <w:sz w:val="20"/>
          <w:szCs w:val="20"/>
        </w:rPr>
        <w:t xml:space="preserve"> </w:t>
      </w:r>
      <w:r>
        <w:rPr>
          <w:rFonts w:asciiTheme="majorBidi" w:hAnsiTheme="majorBidi" w:cstheme="majorBidi"/>
          <w:sz w:val="20"/>
          <w:szCs w:val="20"/>
        </w:rPr>
        <w:t>Leiden-Jakarta: INIS, 2002), h. 51</w:t>
      </w:r>
    </w:p>
  </w:footnote>
  <w:footnote w:id="361">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Pr>
          <w:rFonts w:asciiTheme="majorBidi" w:hAnsiTheme="majorBidi" w:cstheme="majorBidi"/>
        </w:rPr>
        <w:t xml:space="preserve"> </w:t>
      </w:r>
      <w:r w:rsidRPr="00BF1D8E">
        <w:rPr>
          <w:rFonts w:asciiTheme="majorBidi" w:hAnsiTheme="majorBidi" w:cstheme="majorBidi"/>
        </w:rPr>
        <w:t xml:space="preserve">Mohammad Daud Ali, </w:t>
      </w:r>
      <w:r w:rsidRPr="00BF1D8E">
        <w:rPr>
          <w:rFonts w:asciiTheme="majorBidi" w:hAnsiTheme="majorBidi" w:cstheme="majorBidi"/>
          <w:i/>
          <w:iCs/>
        </w:rPr>
        <w:t>Hukum Islam dan Peradilan Agama,</w:t>
      </w:r>
      <w:r w:rsidRPr="00BF1D8E">
        <w:rPr>
          <w:rFonts w:asciiTheme="majorBidi" w:hAnsiTheme="majorBidi" w:cstheme="majorBidi"/>
        </w:rPr>
        <w:t xml:space="preserve"> ( Jakarta: Raja Grapindo Persada, 2002) cet II, h. </w:t>
      </w:r>
      <w:r w:rsidRPr="00BF1D8E">
        <w:rPr>
          <w:rFonts w:asciiTheme="majorBidi" w:hAnsiTheme="majorBidi" w:cstheme="majorBidi"/>
          <w:i/>
          <w:iCs/>
        </w:rPr>
        <w:t xml:space="preserve"> </w:t>
      </w:r>
      <w:r w:rsidRPr="00BF1D8E">
        <w:rPr>
          <w:rFonts w:asciiTheme="majorBidi" w:hAnsiTheme="majorBidi" w:cstheme="majorBidi"/>
        </w:rPr>
        <w:t>21.</w:t>
      </w:r>
    </w:p>
  </w:footnote>
  <w:footnote w:id="362">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 Yayan Sopyan : </w:t>
      </w:r>
      <w:r w:rsidRPr="00BF1D8E">
        <w:rPr>
          <w:rFonts w:asciiTheme="majorBidi" w:hAnsiTheme="majorBidi" w:cstheme="majorBidi"/>
          <w:i/>
          <w:iCs/>
        </w:rPr>
        <w:t>Transformasi Hukum Islam ke Dalam Sistem Hukum Nasional</w:t>
      </w:r>
      <w:r w:rsidRPr="00BF1D8E">
        <w:rPr>
          <w:rFonts w:asciiTheme="majorBidi" w:hAnsiTheme="majorBidi" w:cstheme="majorBidi"/>
        </w:rPr>
        <w:t>, (Disertasi SPS Jakarta, 2007), 178.</w:t>
      </w:r>
    </w:p>
  </w:footnote>
  <w:footnote w:id="363">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Lihat.Abdul Wahab Abd Muhaimin, </w:t>
      </w:r>
      <w:r w:rsidRPr="00BF1D8E">
        <w:rPr>
          <w:rFonts w:asciiTheme="majorBidi" w:hAnsiTheme="majorBidi" w:cstheme="majorBidi"/>
          <w:i/>
          <w:iCs/>
        </w:rPr>
        <w:t>Adopsi Hukum Islam Dalam Sistem Hukum Nasional</w:t>
      </w:r>
      <w:r w:rsidRPr="00BF1D8E">
        <w:rPr>
          <w:rFonts w:asciiTheme="majorBidi" w:hAnsiTheme="majorBidi" w:cstheme="majorBidi"/>
        </w:rPr>
        <w:t>, ( Jakarta: Gaung Persada Press, 2010), h. 184</w:t>
      </w:r>
    </w:p>
  </w:footnote>
  <w:footnote w:id="364">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Pr>
          <w:rFonts w:asciiTheme="majorBidi" w:hAnsiTheme="majorBidi" w:cstheme="majorBidi"/>
        </w:rPr>
        <w:t xml:space="preserve"> Kho</w:t>
      </w:r>
      <w:r w:rsidRPr="002549E3">
        <w:rPr>
          <w:rFonts w:asciiTheme="majorBidi" w:hAnsiTheme="majorBidi" w:cstheme="majorBidi"/>
        </w:rPr>
        <w:t xml:space="preserve">iruddin Nasution, </w:t>
      </w:r>
      <w:r>
        <w:rPr>
          <w:rFonts w:asciiTheme="majorBidi" w:hAnsiTheme="majorBidi" w:cstheme="majorBidi"/>
          <w:i/>
          <w:iCs/>
        </w:rPr>
        <w:t>Status Wanita Di Asia Tenggara: Studi Terhadap Perundang-undangan Perkawinan Muslim Komtemporer di Indonesia dan Malaysia,</w:t>
      </w:r>
      <w:r w:rsidRPr="007D112C">
        <w:rPr>
          <w:rFonts w:asciiTheme="majorBidi" w:hAnsiTheme="majorBidi" w:cstheme="majorBidi"/>
        </w:rPr>
        <w:t xml:space="preserve"> (</w:t>
      </w:r>
      <w:r w:rsidRPr="002549E3">
        <w:rPr>
          <w:rFonts w:asciiTheme="majorBidi" w:hAnsiTheme="majorBidi" w:cstheme="majorBidi"/>
          <w:i/>
          <w:iCs/>
        </w:rPr>
        <w:t xml:space="preserve"> </w:t>
      </w:r>
      <w:r>
        <w:rPr>
          <w:rFonts w:asciiTheme="majorBidi" w:hAnsiTheme="majorBidi" w:cstheme="majorBidi"/>
        </w:rPr>
        <w:t>Leiden-Jakarta: INIS, 2002), h. 51</w:t>
      </w:r>
    </w:p>
  </w:footnote>
  <w:footnote w:id="365">
    <w:p w:rsidR="00343B61" w:rsidRPr="00BF1D8E" w:rsidRDefault="00343B61" w:rsidP="00343B61">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w:t>
      </w:r>
      <w:r>
        <w:rPr>
          <w:rFonts w:asciiTheme="majorBidi" w:hAnsiTheme="majorBidi" w:cstheme="majorBidi"/>
          <w:sz w:val="20"/>
          <w:szCs w:val="20"/>
        </w:rPr>
        <w:t xml:space="preserve"> </w:t>
      </w:r>
      <w:r>
        <w:rPr>
          <w:rFonts w:asciiTheme="majorBidi" w:eastAsiaTheme="minorHAnsi" w:hAnsiTheme="majorBidi" w:cstheme="majorBidi"/>
          <w:sz w:val="20"/>
          <w:szCs w:val="20"/>
        </w:rPr>
        <w:t xml:space="preserve">Abd. </w:t>
      </w:r>
      <w:r w:rsidRPr="00BF1D8E">
        <w:rPr>
          <w:rFonts w:asciiTheme="majorBidi" w:eastAsiaTheme="minorHAnsi" w:hAnsiTheme="majorBidi" w:cstheme="majorBidi"/>
          <w:sz w:val="20"/>
          <w:szCs w:val="20"/>
        </w:rPr>
        <w:t xml:space="preserve">Manan, </w:t>
      </w:r>
      <w:r w:rsidRPr="00BF1D8E">
        <w:rPr>
          <w:rFonts w:asciiTheme="majorBidi" w:eastAsiaTheme="minorHAnsi" w:hAnsiTheme="majorBidi" w:cstheme="majorBidi"/>
          <w:i/>
          <w:iCs/>
          <w:sz w:val="20"/>
          <w:szCs w:val="20"/>
        </w:rPr>
        <w:t>Aneka Masalah Hukum Perdata Islam di Indonesia</w:t>
      </w:r>
      <w:r w:rsidRPr="00BF1D8E">
        <w:rPr>
          <w:rFonts w:asciiTheme="majorBidi" w:eastAsiaTheme="minorHAnsi" w:hAnsiTheme="majorBidi" w:cstheme="majorBidi"/>
          <w:sz w:val="20"/>
          <w:szCs w:val="20"/>
        </w:rPr>
        <w:t>, (Jakarta : Kencana Prenada Media Group, 2006), h. 3</w:t>
      </w:r>
    </w:p>
  </w:footnote>
  <w:footnote w:id="366">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w:t>
      </w:r>
      <w:r w:rsidRPr="00BF1D8E">
        <w:rPr>
          <w:rFonts w:asciiTheme="majorBidi" w:eastAsiaTheme="minorHAnsi" w:hAnsiTheme="majorBidi" w:cstheme="majorBidi"/>
          <w:sz w:val="20"/>
          <w:szCs w:val="20"/>
        </w:rPr>
        <w:t xml:space="preserve">Abdul Wahab Abd Muhaimin, </w:t>
      </w:r>
      <w:r w:rsidRPr="00BF1D8E">
        <w:rPr>
          <w:rFonts w:asciiTheme="majorBidi" w:eastAsiaTheme="minorHAnsi" w:hAnsiTheme="majorBidi" w:cstheme="majorBidi"/>
          <w:i/>
          <w:iCs/>
          <w:sz w:val="20"/>
          <w:szCs w:val="20"/>
        </w:rPr>
        <w:t>Adopsi Hukum Islam dalam Sistem Hukum Nasional</w:t>
      </w:r>
      <w:r w:rsidRPr="00BF1D8E">
        <w:rPr>
          <w:rFonts w:asciiTheme="majorBidi" w:eastAsiaTheme="minorHAnsi" w:hAnsiTheme="majorBidi" w:cstheme="majorBidi"/>
          <w:sz w:val="20"/>
          <w:szCs w:val="20"/>
        </w:rPr>
        <w:t>, ( Jakarta: Gaung Persada Press, 2010), h. 186</w:t>
      </w:r>
    </w:p>
  </w:footnote>
  <w:footnote w:id="367">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Maria Ulfa Subadio</w:t>
      </w:r>
      <w:r w:rsidRPr="00BF1D8E">
        <w:rPr>
          <w:rFonts w:asciiTheme="majorBidi" w:hAnsiTheme="majorBidi" w:cstheme="majorBidi"/>
          <w:i/>
          <w:iCs/>
        </w:rPr>
        <w:t>, Perjuangan Untuk Mencapai UU Perkawinan</w:t>
      </w:r>
      <w:r w:rsidRPr="00BF1D8E">
        <w:rPr>
          <w:rFonts w:asciiTheme="majorBidi" w:hAnsiTheme="majorBidi" w:cstheme="majorBidi"/>
        </w:rPr>
        <w:t>, ( Jakarta:  Yayasan Idayu, 1981) , h. 16</w:t>
      </w:r>
    </w:p>
  </w:footnote>
  <w:footnote w:id="368">
    <w:p w:rsidR="00343B61" w:rsidRPr="00760510" w:rsidRDefault="00343B61" w:rsidP="00343B61">
      <w:pPr>
        <w:pStyle w:val="FootnoteText"/>
        <w:ind w:firstLine="720"/>
        <w:jc w:val="both"/>
        <w:rPr>
          <w:rFonts w:asciiTheme="majorBidi" w:hAnsiTheme="majorBidi" w:cstheme="majorBidi"/>
        </w:rPr>
      </w:pPr>
      <w:r w:rsidRPr="00760510">
        <w:rPr>
          <w:rStyle w:val="FootnoteReference"/>
          <w:rFonts w:asciiTheme="majorBidi" w:hAnsiTheme="majorBidi" w:cstheme="majorBidi"/>
        </w:rPr>
        <w:footnoteRef/>
      </w:r>
      <w:r w:rsidRPr="00760510">
        <w:rPr>
          <w:rFonts w:asciiTheme="majorBidi" w:hAnsiTheme="majorBidi" w:cstheme="majorBidi"/>
        </w:rPr>
        <w:t xml:space="preserve"> Lihat.</w:t>
      </w:r>
      <w:r w:rsidRPr="00760510">
        <w:rPr>
          <w:rFonts w:asciiTheme="majorBidi" w:eastAsia="Garamond" w:hAnsiTheme="majorBidi" w:cstheme="majorBidi"/>
        </w:rPr>
        <w:t>Zaini Ahmad Noeh, "</w:t>
      </w:r>
      <w:r w:rsidRPr="00760510">
        <w:rPr>
          <w:rFonts w:asciiTheme="majorBidi" w:eastAsia="Garamond" w:hAnsiTheme="majorBidi" w:cstheme="majorBidi"/>
          <w:i/>
          <w:iCs/>
        </w:rPr>
        <w:t>Perkembangan Hukum Keluarga Islam Setelah 50 tahun Kemerdekaan</w:t>
      </w:r>
      <w:r w:rsidRPr="00760510">
        <w:rPr>
          <w:rFonts w:asciiTheme="majorBidi" w:eastAsia="Garamond" w:hAnsiTheme="majorBidi" w:cstheme="majorBidi"/>
        </w:rPr>
        <w:t xml:space="preserve">, </w:t>
      </w:r>
      <w:r w:rsidRPr="00760510">
        <w:rPr>
          <w:rFonts w:asciiTheme="majorBidi" w:eastAsia="Garamond" w:hAnsiTheme="majorBidi" w:cstheme="majorBidi"/>
          <w:i/>
          <w:iCs/>
        </w:rPr>
        <w:t>ibid</w:t>
      </w:r>
      <w:r w:rsidRPr="00760510">
        <w:rPr>
          <w:rFonts w:asciiTheme="majorBidi" w:eastAsia="Garamond" w:hAnsiTheme="majorBidi" w:cstheme="majorBidi"/>
        </w:rPr>
        <w:t xml:space="preserve">,. h. 12. </w:t>
      </w:r>
    </w:p>
  </w:footnote>
  <w:footnote w:id="369">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760510">
        <w:rPr>
          <w:rStyle w:val="FootnoteReference"/>
          <w:rFonts w:asciiTheme="majorBidi" w:hAnsiTheme="majorBidi" w:cstheme="majorBidi"/>
          <w:sz w:val="20"/>
          <w:szCs w:val="20"/>
        </w:rPr>
        <w:footnoteRef/>
      </w:r>
      <w:r w:rsidRPr="00760510">
        <w:rPr>
          <w:rFonts w:asciiTheme="majorBidi" w:hAnsiTheme="majorBidi" w:cstheme="majorBidi"/>
          <w:sz w:val="20"/>
          <w:szCs w:val="20"/>
        </w:rPr>
        <w:t xml:space="preserve"> Lihat Maria Ulfa Subadio</w:t>
      </w:r>
      <w:r w:rsidRPr="00760510">
        <w:rPr>
          <w:rFonts w:asciiTheme="majorBidi" w:hAnsiTheme="majorBidi" w:cstheme="majorBidi"/>
          <w:i/>
          <w:iCs/>
          <w:sz w:val="20"/>
          <w:szCs w:val="20"/>
        </w:rPr>
        <w:t>, Perjuangan Untuk Mencapai UU Perkawinan</w:t>
      </w:r>
      <w:r w:rsidRPr="00760510">
        <w:rPr>
          <w:rFonts w:asciiTheme="majorBidi" w:hAnsiTheme="majorBidi" w:cstheme="majorBidi"/>
          <w:sz w:val="20"/>
          <w:szCs w:val="20"/>
        </w:rPr>
        <w:t>, ( Jakart</w:t>
      </w:r>
      <w:r>
        <w:rPr>
          <w:rFonts w:asciiTheme="majorBidi" w:hAnsiTheme="majorBidi" w:cstheme="majorBidi"/>
          <w:sz w:val="20"/>
          <w:szCs w:val="20"/>
        </w:rPr>
        <w:t>a:  Yayasan Idayu, 1981) , h. 17</w:t>
      </w:r>
    </w:p>
  </w:footnote>
  <w:footnote w:id="370">
    <w:p w:rsidR="00343B61" w:rsidRDefault="00343B61" w:rsidP="00343B61">
      <w:pPr>
        <w:autoSpaceDE w:val="0"/>
        <w:autoSpaceDN w:val="0"/>
        <w:adjustRightInd w:val="0"/>
        <w:spacing w:after="0" w:line="240" w:lineRule="auto"/>
        <w:ind w:firstLine="720"/>
        <w:jc w:val="both"/>
        <w:rPr>
          <w:rFonts w:asciiTheme="majorBidi" w:hAnsiTheme="majorBidi" w:cstheme="majorBidi"/>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w:t>
      </w:r>
      <w:r w:rsidRPr="00BC4754">
        <w:rPr>
          <w:rFonts w:asciiTheme="majorBidi" w:hAnsiTheme="majorBidi" w:cstheme="majorBidi"/>
          <w:sz w:val="20"/>
          <w:szCs w:val="20"/>
        </w:rPr>
        <w:t>Lihat Maria Ulfa Subadio</w:t>
      </w:r>
      <w:r w:rsidRPr="00BC4754">
        <w:rPr>
          <w:rFonts w:asciiTheme="majorBidi" w:hAnsiTheme="majorBidi" w:cstheme="majorBidi"/>
          <w:i/>
          <w:iCs/>
          <w:sz w:val="20"/>
          <w:szCs w:val="20"/>
        </w:rPr>
        <w:t>, Perjuangan Untuk Mencapai UU Perkawinan</w:t>
      </w:r>
      <w:r w:rsidRPr="00BC4754">
        <w:rPr>
          <w:rFonts w:asciiTheme="majorBidi" w:hAnsiTheme="majorBidi" w:cstheme="majorBidi"/>
          <w:sz w:val="20"/>
          <w:szCs w:val="20"/>
        </w:rPr>
        <w:t>, ( Jakart</w:t>
      </w:r>
      <w:r>
        <w:rPr>
          <w:rFonts w:asciiTheme="majorBidi" w:hAnsiTheme="majorBidi" w:cstheme="majorBidi"/>
          <w:sz w:val="20"/>
          <w:szCs w:val="20"/>
        </w:rPr>
        <w:t>a:  Yayasan Idayu, 1981) , h. 17</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Pr>
          <w:rFonts w:asciiTheme="majorBidi" w:hAnsiTheme="majorBidi" w:cstheme="majorBidi"/>
          <w:sz w:val="20"/>
          <w:szCs w:val="20"/>
        </w:rPr>
        <w:t xml:space="preserve">17. </w:t>
      </w:r>
      <w:r w:rsidRPr="00BF1D8E">
        <w:rPr>
          <w:rFonts w:asciiTheme="majorBidi" w:hAnsiTheme="majorBidi" w:cstheme="majorBidi"/>
          <w:sz w:val="20"/>
          <w:szCs w:val="20"/>
        </w:rPr>
        <w:t xml:space="preserve">Dalam </w:t>
      </w:r>
      <w:r w:rsidRPr="00BF1D8E">
        <w:rPr>
          <w:rFonts w:asciiTheme="majorBidi" w:eastAsiaTheme="minorHAnsi" w:hAnsiTheme="majorBidi" w:cstheme="majorBidi"/>
          <w:i/>
          <w:iCs/>
          <w:sz w:val="20"/>
          <w:szCs w:val="20"/>
        </w:rPr>
        <w:t>Adopsi Hukum Islam dalam Sistem Hukum Nasional</w:t>
      </w:r>
      <w:r w:rsidRPr="00BF1D8E">
        <w:rPr>
          <w:rFonts w:asciiTheme="majorBidi" w:hAnsiTheme="majorBidi" w:cstheme="majorBidi"/>
          <w:sz w:val="20"/>
          <w:szCs w:val="20"/>
        </w:rPr>
        <w:t xml:space="preserve"> Abdul wahhab Menyebutkan, bahwa adapun surat pernyataan organisasi-organisasi wanita terhadap perkawinan Presiden Soekarno dengan Ny. Hartini,adalah sebagai berikut : Pernjataan organisasi-organisasi wanita terhadap perkawinan Presiden dengan Nj. Hartini : Oleh karena masjarakat Indonesia telah dihadapkan kepada sesuatu kenjataan, jaitu perkawinan Ir. Soekarno Presiden Republik Indonesia dengan Nj. Hartini jang didjalankan semasa djabatannja tanpa pemberitahuan lebih dahulu kepada Pemerintah dan masjarakat, sedangkan pada saat ini belum ada suatu peraturan resmi mengenai perkawinan Presiden dan Wakil Presiden Republik Indonesia, </w:t>
      </w:r>
    </w:p>
    <w:p w:rsidR="00343B61" w:rsidRPr="00BF1D8E" w:rsidRDefault="00343B61" w:rsidP="00343B61">
      <w:pPr>
        <w:autoSpaceDE w:val="0"/>
        <w:autoSpaceDN w:val="0"/>
        <w:adjustRightInd w:val="0"/>
        <w:spacing w:after="0" w:line="240" w:lineRule="auto"/>
        <w:ind w:firstLine="720"/>
        <w:jc w:val="center"/>
        <w:rPr>
          <w:rFonts w:asciiTheme="majorBidi" w:hAnsiTheme="majorBidi" w:cstheme="majorBidi"/>
          <w:sz w:val="20"/>
          <w:szCs w:val="20"/>
        </w:rPr>
      </w:pPr>
      <w:r w:rsidRPr="00BF1D8E">
        <w:rPr>
          <w:rFonts w:asciiTheme="majorBidi" w:hAnsiTheme="majorBidi" w:cstheme="majorBidi"/>
          <w:sz w:val="20"/>
          <w:szCs w:val="20"/>
        </w:rPr>
        <w:t>Berpendapat :</w:t>
      </w:r>
    </w:p>
    <w:p w:rsidR="00343B61" w:rsidRPr="00BF1D8E" w:rsidRDefault="00343B61" w:rsidP="00343B61">
      <w:pPr>
        <w:autoSpaceDE w:val="0"/>
        <w:autoSpaceDN w:val="0"/>
        <w:adjustRightInd w:val="0"/>
        <w:spacing w:after="0" w:line="240" w:lineRule="auto"/>
        <w:ind w:firstLine="720"/>
        <w:jc w:val="center"/>
        <w:rPr>
          <w:rFonts w:asciiTheme="majorBidi" w:hAnsiTheme="majorBidi" w:cstheme="majorBidi"/>
          <w:sz w:val="20"/>
          <w:szCs w:val="20"/>
        </w:rPr>
      </w:pPr>
      <w:r w:rsidRPr="00BF1D8E">
        <w:rPr>
          <w:rFonts w:asciiTheme="majorBidi" w:hAnsiTheme="majorBidi" w:cstheme="majorBidi"/>
          <w:sz w:val="20"/>
          <w:szCs w:val="20"/>
        </w:rPr>
        <w:t>I. Perkawinan Ir. Soekarno-Presiden Republik Indonesia – dengan Nj. Hartini adalah urusan Sdr. Ir. Soekarno pribadi jang harus ditanggungnja dengan segala konsekwensinja. Menghendaki :</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II. a). Segala kunjungan dan perdjalanan resmi P.J.M. Presiden Republik Indonesia tidak disertai oleh Ny. Hartini.</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 xml:space="preserve">     b). Segala kundjungan dan perdjalanan Sdr. Ir. Soekarno dengan Nj. Hartini adalah kundjungan dan perdjalanan tidak resmi (incognito) dan tidak dianggap diperlakukan sebagai kundjungan dan perdjalanan P.J.M. Presiden Republik Indonesia.</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 xml:space="preserve">    c). Nj. Hartini tidak diperkenankan melaksanakan tugas-tugas kemasjarakatan (social functions) jang menjadi kewadjiban Ibu Negara.</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 xml:space="preserve">   d). Segala penghormatan resmi tidak diberikan pada Nj. Hartini.</w:t>
      </w:r>
    </w:p>
    <w:p w:rsidR="00343B61" w:rsidRPr="00BF1D8E" w:rsidRDefault="00343B61" w:rsidP="00343B61">
      <w:pPr>
        <w:autoSpaceDE w:val="0"/>
        <w:autoSpaceDN w:val="0"/>
        <w:adjustRightInd w:val="0"/>
        <w:spacing w:after="0" w:line="240" w:lineRule="auto"/>
        <w:ind w:left="720"/>
        <w:jc w:val="both"/>
        <w:rPr>
          <w:rFonts w:asciiTheme="majorBidi" w:hAnsiTheme="majorBidi" w:cstheme="majorBidi"/>
          <w:sz w:val="20"/>
          <w:szCs w:val="20"/>
        </w:rPr>
      </w:pPr>
      <w:r w:rsidRPr="00BF1D8E">
        <w:rPr>
          <w:rFonts w:asciiTheme="majorBidi" w:hAnsiTheme="majorBidi" w:cstheme="majorBidi"/>
          <w:sz w:val="20"/>
          <w:szCs w:val="20"/>
        </w:rPr>
        <w:t xml:space="preserve">   e). Belanja rumah-tangga Nj. Hartini tidak dibebankan pada Negara.</w:t>
      </w:r>
    </w:p>
    <w:p w:rsidR="00343B61" w:rsidRPr="00BF1D8E" w:rsidRDefault="00343B61" w:rsidP="00343B61">
      <w:pPr>
        <w:autoSpaceDE w:val="0"/>
        <w:autoSpaceDN w:val="0"/>
        <w:adjustRightInd w:val="0"/>
        <w:spacing w:after="0" w:line="240" w:lineRule="auto"/>
        <w:ind w:left="720" w:hanging="720"/>
        <w:rPr>
          <w:rFonts w:asciiTheme="majorBidi" w:hAnsiTheme="majorBidi" w:cstheme="majorBidi"/>
          <w:sz w:val="20"/>
          <w:szCs w:val="20"/>
        </w:rPr>
      </w:pPr>
      <w:r w:rsidRPr="00BF1D8E">
        <w:rPr>
          <w:rFonts w:asciiTheme="majorBidi" w:hAnsiTheme="majorBidi" w:cstheme="majorBidi"/>
          <w:sz w:val="20"/>
          <w:szCs w:val="20"/>
        </w:rPr>
        <w:t xml:space="preserve">f). Istana-istana dan tempat-tempat kediaman resmi tidak didiami oleh Nj. Hartini. </w:t>
      </w:r>
    </w:p>
    <w:p w:rsidR="00343B61" w:rsidRPr="00BF1D8E" w:rsidRDefault="00343B61" w:rsidP="00343B61">
      <w:pPr>
        <w:autoSpaceDE w:val="0"/>
        <w:autoSpaceDN w:val="0"/>
        <w:adjustRightInd w:val="0"/>
        <w:spacing w:after="0" w:line="240" w:lineRule="auto"/>
        <w:ind w:left="720" w:hanging="720"/>
        <w:jc w:val="center"/>
        <w:rPr>
          <w:rFonts w:asciiTheme="majorBidi" w:hAnsiTheme="majorBidi" w:cstheme="majorBidi"/>
          <w:sz w:val="20"/>
          <w:szCs w:val="20"/>
        </w:rPr>
      </w:pPr>
      <w:r w:rsidRPr="00BF1D8E">
        <w:rPr>
          <w:rFonts w:asciiTheme="majorBidi" w:hAnsiTheme="majorBidi" w:cstheme="majorBidi"/>
          <w:sz w:val="20"/>
          <w:szCs w:val="20"/>
        </w:rPr>
        <w:t>Menyatakan :</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III. Dalam keadaan bagaimanapun djuga, organisasi-organisasi Wanita Indonesia tidak dapat menerima Nj. Hartini sebagai Ibu Negara, karena tidak memenuhi sjarat-sjarat jang dikehendaki masjarakat dari seorang Ibu Negara.</w:t>
      </w:r>
    </w:p>
    <w:p w:rsidR="00343B61" w:rsidRPr="00BF1D8E" w:rsidRDefault="00343B61" w:rsidP="00343B61">
      <w:pPr>
        <w:autoSpaceDE w:val="0"/>
        <w:autoSpaceDN w:val="0"/>
        <w:adjustRightInd w:val="0"/>
        <w:spacing w:after="0" w:line="240" w:lineRule="auto"/>
        <w:jc w:val="center"/>
        <w:rPr>
          <w:rFonts w:asciiTheme="majorBidi" w:hAnsiTheme="majorBidi" w:cstheme="majorBidi"/>
          <w:sz w:val="20"/>
          <w:szCs w:val="20"/>
        </w:rPr>
      </w:pPr>
      <w:r w:rsidRPr="00BF1D8E">
        <w:rPr>
          <w:rFonts w:asciiTheme="majorBidi" w:hAnsiTheme="majorBidi" w:cstheme="majorBidi"/>
          <w:sz w:val="20"/>
          <w:szCs w:val="20"/>
        </w:rPr>
        <w:t>Menyimpulkan :</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Fonts w:asciiTheme="majorBidi" w:hAnsiTheme="majorBidi" w:cstheme="majorBidi"/>
          <w:sz w:val="20"/>
          <w:szCs w:val="20"/>
        </w:rPr>
        <w:t>IV. Berdasarkan pernjataan-pernjataan tersebut di atas organisasi-organisasi Wanita Indonesia menuntut supaja soal-soal mengenai perkawinan Sdr. Ir. Soekarno- Presiden R.I. dengan Nj. Hartini diatur dalam peraturan chusus dalam waktu jang sesingkat- singkatnya.</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Djakarta, 21 Oktober 1955.</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1. Wanita Katolik</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2. Istri Sedar</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3. Bhajangkari</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4. Persit</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5. P.W.K.J</w:t>
      </w:r>
    </w:p>
    <w:p w:rsidR="00343B61" w:rsidRPr="00BF1D8E" w:rsidRDefault="00343B61" w:rsidP="00343B61">
      <w:pPr>
        <w:autoSpaceDE w:val="0"/>
        <w:autoSpaceDN w:val="0"/>
        <w:adjustRightInd w:val="0"/>
        <w:spacing w:after="0" w:line="240" w:lineRule="auto"/>
        <w:ind w:firstLine="810"/>
        <w:jc w:val="both"/>
        <w:rPr>
          <w:rFonts w:asciiTheme="majorBidi" w:hAnsiTheme="majorBidi" w:cstheme="majorBidi"/>
          <w:sz w:val="20"/>
          <w:szCs w:val="20"/>
        </w:rPr>
      </w:pPr>
      <w:r w:rsidRPr="00BF1D8E">
        <w:rPr>
          <w:rFonts w:asciiTheme="majorBidi" w:hAnsiTheme="majorBidi" w:cstheme="majorBidi"/>
          <w:sz w:val="20"/>
          <w:szCs w:val="20"/>
        </w:rPr>
        <w:t>6. Sehati</w:t>
      </w:r>
    </w:p>
    <w:p w:rsidR="00343B61" w:rsidRPr="00BF1D8E" w:rsidRDefault="00343B61" w:rsidP="00343B61">
      <w:pPr>
        <w:pStyle w:val="FootnoteText"/>
        <w:ind w:firstLine="810"/>
        <w:jc w:val="both"/>
        <w:rPr>
          <w:rFonts w:asciiTheme="majorBidi" w:hAnsiTheme="majorBidi" w:cstheme="majorBidi"/>
        </w:rPr>
      </w:pPr>
      <w:r w:rsidRPr="00BF1D8E">
        <w:rPr>
          <w:rFonts w:asciiTheme="majorBidi" w:hAnsiTheme="majorBidi" w:cstheme="majorBidi"/>
        </w:rPr>
        <w:t>7. Ikatan Perawat Wanita Indonesia</w:t>
      </w:r>
    </w:p>
  </w:footnote>
  <w:footnote w:id="371">
    <w:p w:rsidR="00343B61" w:rsidRPr="007231C5" w:rsidRDefault="00343B61" w:rsidP="00343B61">
      <w:pPr>
        <w:pStyle w:val="FootnoteText"/>
        <w:ind w:left="284" w:firstLine="436"/>
        <w:jc w:val="both"/>
        <w:rPr>
          <w:rFonts w:asciiTheme="majorBidi" w:hAnsiTheme="majorBidi" w:cstheme="majorBidi"/>
        </w:rPr>
      </w:pPr>
      <w:r w:rsidRPr="007231C5">
        <w:rPr>
          <w:rStyle w:val="FootnoteReference"/>
          <w:rFonts w:asciiTheme="majorBidi" w:hAnsiTheme="majorBidi" w:cstheme="majorBidi"/>
        </w:rPr>
        <w:footnoteRef/>
      </w:r>
      <w:r w:rsidRPr="007231C5">
        <w:rPr>
          <w:rFonts w:asciiTheme="majorBidi" w:hAnsiTheme="majorBidi" w:cstheme="majorBidi"/>
        </w:rPr>
        <w:t xml:space="preserve"> Lihat.</w:t>
      </w:r>
      <w:r w:rsidRPr="007231C5">
        <w:rPr>
          <w:rFonts w:asciiTheme="majorBidi" w:eastAsia="Garamond" w:hAnsiTheme="majorBidi" w:cstheme="majorBidi"/>
        </w:rPr>
        <w:t xml:space="preserve">Wantjik Saleh, </w:t>
      </w:r>
      <w:r w:rsidRPr="007231C5">
        <w:rPr>
          <w:rFonts w:asciiTheme="majorBidi" w:eastAsia="Garamond" w:hAnsiTheme="majorBidi" w:cstheme="majorBidi"/>
          <w:i/>
        </w:rPr>
        <w:t xml:space="preserve">Hukum Perkawinan Indonesia, </w:t>
      </w:r>
      <w:r w:rsidRPr="007231C5">
        <w:rPr>
          <w:rFonts w:asciiTheme="majorBidi" w:eastAsia="Garamond" w:hAnsiTheme="majorBidi" w:cstheme="majorBidi"/>
          <w:iCs/>
        </w:rPr>
        <w:t>( Jakarta: Balai Aksara, 1987), h</w:t>
      </w:r>
      <w:r w:rsidRPr="007231C5">
        <w:rPr>
          <w:rFonts w:asciiTheme="majorBidi" w:eastAsia="Garamond" w:hAnsiTheme="majorBidi" w:cstheme="majorBidi"/>
          <w:i/>
        </w:rPr>
        <w:t xml:space="preserve">. </w:t>
      </w:r>
      <w:r w:rsidRPr="007231C5">
        <w:rPr>
          <w:rFonts w:asciiTheme="majorBidi" w:eastAsia="Garamond" w:hAnsiTheme="majorBidi" w:cstheme="majorBidi"/>
        </w:rPr>
        <w:t xml:space="preserve">1-2. Dalam buku Arso dan Wasit Aulawi, dicatat juga adanya Musyawarah Pekerja Sosial tahun 1960. Arso Sosroatmodjo dan A. Wasit Aulawi, </w:t>
      </w:r>
      <w:r w:rsidRPr="007231C5">
        <w:rPr>
          <w:rFonts w:asciiTheme="majorBidi" w:eastAsia="Garamond" w:hAnsiTheme="majorBidi" w:cstheme="majorBidi"/>
          <w:i/>
        </w:rPr>
        <w:t xml:space="preserve">Hukum Perkawinan, </w:t>
      </w:r>
      <w:r w:rsidRPr="007231C5">
        <w:rPr>
          <w:rFonts w:asciiTheme="majorBidi" w:eastAsia="Garamond" w:hAnsiTheme="majorBidi" w:cstheme="majorBidi"/>
        </w:rPr>
        <w:t>h. 9.</w:t>
      </w:r>
    </w:p>
  </w:footnote>
  <w:footnote w:id="372">
    <w:p w:rsidR="00343B61" w:rsidRPr="007231C5" w:rsidRDefault="00343B61" w:rsidP="00343B61">
      <w:pPr>
        <w:pStyle w:val="FootnoteText"/>
        <w:ind w:firstLine="720"/>
        <w:jc w:val="both"/>
        <w:rPr>
          <w:rFonts w:asciiTheme="majorBidi" w:hAnsiTheme="majorBidi" w:cstheme="majorBidi"/>
        </w:rPr>
      </w:pPr>
      <w:r w:rsidRPr="007231C5">
        <w:rPr>
          <w:rStyle w:val="FootnoteReference"/>
          <w:rFonts w:asciiTheme="majorBidi" w:hAnsiTheme="majorBidi" w:cstheme="majorBidi"/>
        </w:rPr>
        <w:footnoteRef/>
      </w:r>
      <w:r w:rsidRPr="007231C5">
        <w:rPr>
          <w:rFonts w:asciiTheme="majorBidi" w:hAnsiTheme="majorBidi" w:cstheme="majorBidi"/>
        </w:rPr>
        <w:t xml:space="preserve"> Lihat.</w:t>
      </w:r>
      <w:r w:rsidRPr="007231C5">
        <w:rPr>
          <w:rFonts w:asciiTheme="majorBidi" w:eastAsia="Garamond" w:hAnsiTheme="majorBidi" w:cstheme="majorBidi"/>
        </w:rPr>
        <w:t xml:space="preserve">Wantjik Saleh, </w:t>
      </w:r>
      <w:r w:rsidRPr="007231C5">
        <w:rPr>
          <w:rFonts w:asciiTheme="majorBidi" w:eastAsia="Garamond" w:hAnsiTheme="majorBidi" w:cstheme="majorBidi"/>
          <w:i/>
        </w:rPr>
        <w:t>Hukum Perk</w:t>
      </w:r>
      <w:r>
        <w:rPr>
          <w:rFonts w:asciiTheme="majorBidi" w:eastAsia="Garamond" w:hAnsiTheme="majorBidi" w:cstheme="majorBidi"/>
          <w:i/>
        </w:rPr>
        <w:t>awinan Indonesia,</w:t>
      </w:r>
      <w:r w:rsidRPr="007231C5">
        <w:rPr>
          <w:rFonts w:asciiTheme="majorBidi" w:eastAsia="Garamond" w:hAnsiTheme="majorBidi" w:cstheme="majorBidi"/>
          <w:iCs/>
        </w:rPr>
        <w:t>( Jakarta: Balai Aksara, 1987), h</w:t>
      </w:r>
      <w:r w:rsidRPr="007231C5">
        <w:rPr>
          <w:rFonts w:asciiTheme="majorBidi" w:eastAsia="Garamond" w:hAnsiTheme="majorBidi" w:cstheme="majorBidi"/>
          <w:i/>
        </w:rPr>
        <w:t xml:space="preserve">. </w:t>
      </w:r>
      <w:r w:rsidRPr="007231C5">
        <w:rPr>
          <w:rFonts w:asciiTheme="majorBidi" w:eastAsia="Garamond" w:hAnsiTheme="majorBidi" w:cstheme="majorBidi"/>
        </w:rPr>
        <w:t>2.</w:t>
      </w:r>
    </w:p>
  </w:footnote>
  <w:footnote w:id="373">
    <w:p w:rsidR="00343B61" w:rsidRPr="00BF1D8E" w:rsidRDefault="00343B61" w:rsidP="00343B61">
      <w:pPr>
        <w:pStyle w:val="FootnoteText"/>
        <w:ind w:firstLine="720"/>
        <w:jc w:val="both"/>
        <w:rPr>
          <w:rFonts w:asciiTheme="majorBidi" w:hAnsiTheme="majorBidi" w:cstheme="majorBidi"/>
        </w:rPr>
      </w:pPr>
      <w:r w:rsidRPr="007231C5">
        <w:rPr>
          <w:rStyle w:val="FootnoteReference"/>
          <w:rFonts w:asciiTheme="majorBidi" w:hAnsiTheme="majorBidi" w:cstheme="majorBidi"/>
        </w:rPr>
        <w:footnoteRef/>
      </w:r>
      <w:r w:rsidRPr="007231C5">
        <w:rPr>
          <w:rFonts w:asciiTheme="majorBidi" w:hAnsiTheme="majorBidi" w:cstheme="majorBidi"/>
        </w:rPr>
        <w:t xml:space="preserve"> </w:t>
      </w:r>
      <w:r w:rsidRPr="00BF1D8E">
        <w:rPr>
          <w:rFonts w:asciiTheme="majorBidi" w:hAnsiTheme="majorBidi" w:cstheme="majorBidi"/>
        </w:rPr>
        <w:t xml:space="preserve">Lihat. Arso Sastroatmodjo dan </w:t>
      </w:r>
      <w:r>
        <w:rPr>
          <w:rFonts w:asciiTheme="majorBidi" w:hAnsiTheme="majorBidi" w:cstheme="majorBidi"/>
        </w:rPr>
        <w:t xml:space="preserve">A. </w:t>
      </w:r>
      <w:r w:rsidRPr="00BF1D8E">
        <w:rPr>
          <w:rFonts w:asciiTheme="majorBidi" w:hAnsiTheme="majorBidi" w:cstheme="majorBidi"/>
        </w:rPr>
        <w:t xml:space="preserve">Wasit Aulawi, </w:t>
      </w:r>
      <w:r w:rsidRPr="00BF1D8E">
        <w:rPr>
          <w:rFonts w:asciiTheme="majorBidi" w:hAnsiTheme="majorBidi" w:cstheme="majorBidi"/>
          <w:i/>
          <w:iCs/>
        </w:rPr>
        <w:t xml:space="preserve">Hukum Perkawinan di Indonesia, </w:t>
      </w:r>
      <w:r w:rsidRPr="00BF1D8E">
        <w:rPr>
          <w:rFonts w:asciiTheme="majorBidi" w:hAnsiTheme="majorBidi" w:cstheme="majorBidi"/>
        </w:rPr>
        <w:t>(Jakarta: Bulan Bintang, 1978),</w:t>
      </w:r>
      <w:r>
        <w:rPr>
          <w:rFonts w:asciiTheme="majorBidi" w:hAnsiTheme="majorBidi" w:cstheme="majorBidi"/>
        </w:rPr>
        <w:t xml:space="preserve"> h. 10</w:t>
      </w:r>
    </w:p>
  </w:footnote>
  <w:footnote w:id="374">
    <w:p w:rsidR="00343B61" w:rsidRPr="0063579F" w:rsidRDefault="00343B61" w:rsidP="00343B61">
      <w:pPr>
        <w:pStyle w:val="FootnoteText"/>
        <w:ind w:firstLine="720"/>
        <w:jc w:val="both"/>
        <w:rPr>
          <w:rFonts w:asciiTheme="majorBidi" w:hAnsiTheme="majorBidi" w:cstheme="majorBidi"/>
        </w:rPr>
      </w:pPr>
      <w:r w:rsidRPr="0063579F">
        <w:rPr>
          <w:rStyle w:val="FootnoteReference"/>
          <w:rFonts w:asciiTheme="majorBidi" w:hAnsiTheme="majorBidi" w:cstheme="majorBidi"/>
        </w:rPr>
        <w:footnoteRef/>
      </w:r>
      <w:r w:rsidRPr="0063579F">
        <w:rPr>
          <w:rFonts w:asciiTheme="majorBidi" w:hAnsiTheme="majorBidi" w:cstheme="majorBidi"/>
        </w:rPr>
        <w:t xml:space="preserve"> Lihat.</w:t>
      </w:r>
      <w:r w:rsidRPr="0063579F">
        <w:rPr>
          <w:rFonts w:asciiTheme="majorBidi" w:eastAsia="Garamond" w:hAnsiTheme="majorBidi" w:cstheme="majorBidi"/>
        </w:rPr>
        <w:t>Zaini Ahmad Noeh, "</w:t>
      </w:r>
      <w:r w:rsidRPr="0063579F">
        <w:rPr>
          <w:rFonts w:asciiTheme="majorBidi" w:eastAsia="Garamond" w:hAnsiTheme="majorBidi" w:cstheme="majorBidi"/>
          <w:i/>
          <w:iCs/>
        </w:rPr>
        <w:t xml:space="preserve">Perkembangan Hukum Keluarga Islam Setelah 50 </w:t>
      </w:r>
      <w:r w:rsidRPr="0063579F">
        <w:rPr>
          <w:rFonts w:asciiTheme="majorBidi" w:eastAsia="Garamond" w:hAnsiTheme="majorBidi" w:cstheme="majorBidi"/>
          <w:i/>
          <w:iCs/>
          <w:spacing w:val="-1"/>
        </w:rPr>
        <w:t>tahun Kemerdekaan</w:t>
      </w:r>
      <w:r w:rsidRPr="0063579F">
        <w:rPr>
          <w:rFonts w:asciiTheme="majorBidi" w:eastAsia="Garamond" w:hAnsiTheme="majorBidi" w:cstheme="majorBidi"/>
          <w:spacing w:val="-1"/>
        </w:rPr>
        <w:t>", h. 13.</w:t>
      </w:r>
    </w:p>
  </w:footnote>
  <w:footnote w:id="375">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Pr>
          <w:rFonts w:asciiTheme="majorBidi" w:hAnsiTheme="majorBidi" w:cstheme="majorBidi"/>
        </w:rPr>
        <w:t xml:space="preserve"> </w:t>
      </w:r>
      <w:r>
        <w:rPr>
          <w:rFonts w:asciiTheme="majorBidi" w:eastAsiaTheme="minorHAnsi" w:hAnsiTheme="majorBidi" w:cstheme="majorBidi"/>
        </w:rPr>
        <w:t xml:space="preserve">Abd. </w:t>
      </w:r>
      <w:r w:rsidRPr="00BF1D8E">
        <w:rPr>
          <w:rFonts w:asciiTheme="majorBidi" w:eastAsiaTheme="minorHAnsi" w:hAnsiTheme="majorBidi" w:cstheme="majorBidi"/>
        </w:rPr>
        <w:t xml:space="preserve">Manan, </w:t>
      </w:r>
      <w:r w:rsidRPr="00BF1D8E">
        <w:rPr>
          <w:rFonts w:asciiTheme="majorBidi" w:eastAsiaTheme="minorHAnsi" w:hAnsiTheme="majorBidi" w:cstheme="majorBidi"/>
          <w:i/>
          <w:iCs/>
        </w:rPr>
        <w:t>Aneka Masalah Hukum Perdata Islam di Indonesia</w:t>
      </w:r>
      <w:r w:rsidRPr="00BF1D8E">
        <w:rPr>
          <w:rFonts w:asciiTheme="majorBidi" w:eastAsiaTheme="minorHAnsi" w:hAnsiTheme="majorBidi" w:cstheme="majorBidi"/>
        </w:rPr>
        <w:t xml:space="preserve">, (Jakarta : Kencana </w:t>
      </w:r>
      <w:r>
        <w:rPr>
          <w:rFonts w:asciiTheme="majorBidi" w:eastAsiaTheme="minorHAnsi" w:hAnsiTheme="majorBidi" w:cstheme="majorBidi"/>
        </w:rPr>
        <w:t>Prenada Media Group, 2006), h. 4</w:t>
      </w:r>
    </w:p>
  </w:footnote>
  <w:footnote w:id="376">
    <w:p w:rsidR="00343B61" w:rsidRPr="0040739F" w:rsidRDefault="00343B61" w:rsidP="00343B61">
      <w:pPr>
        <w:pStyle w:val="FootnoteText"/>
        <w:ind w:firstLine="720"/>
        <w:jc w:val="both"/>
        <w:rPr>
          <w:rFonts w:asciiTheme="majorBidi" w:hAnsiTheme="majorBidi" w:cstheme="majorBidi"/>
        </w:rPr>
      </w:pPr>
      <w:r w:rsidRPr="0040739F">
        <w:rPr>
          <w:rStyle w:val="FootnoteReference"/>
          <w:rFonts w:asciiTheme="majorBidi" w:hAnsiTheme="majorBidi" w:cstheme="majorBidi"/>
        </w:rPr>
        <w:footnoteRef/>
      </w:r>
      <w:r w:rsidRPr="0040739F">
        <w:rPr>
          <w:rFonts w:asciiTheme="majorBidi" w:hAnsiTheme="majorBidi" w:cstheme="majorBidi"/>
        </w:rPr>
        <w:t xml:space="preserve">  </w:t>
      </w:r>
      <w:r w:rsidRPr="00BF1D8E">
        <w:rPr>
          <w:rFonts w:asciiTheme="majorBidi" w:hAnsiTheme="majorBidi" w:cstheme="majorBidi"/>
        </w:rPr>
        <w:t xml:space="preserve">Lihat. Arso Sastroatmodjo dan </w:t>
      </w:r>
      <w:r>
        <w:rPr>
          <w:rFonts w:asciiTheme="majorBidi" w:hAnsiTheme="majorBidi" w:cstheme="majorBidi"/>
        </w:rPr>
        <w:t xml:space="preserve">A. </w:t>
      </w:r>
      <w:r w:rsidRPr="00BF1D8E">
        <w:rPr>
          <w:rFonts w:asciiTheme="majorBidi" w:hAnsiTheme="majorBidi" w:cstheme="majorBidi"/>
        </w:rPr>
        <w:t xml:space="preserve">Wasit Aulawi, </w:t>
      </w:r>
      <w:r w:rsidRPr="00BF1D8E">
        <w:rPr>
          <w:rFonts w:asciiTheme="majorBidi" w:hAnsiTheme="majorBidi" w:cstheme="majorBidi"/>
          <w:i/>
          <w:iCs/>
        </w:rPr>
        <w:t xml:space="preserve">Hukum Perkawinan di Indonesia, </w:t>
      </w:r>
      <w:r w:rsidRPr="00BF1D8E">
        <w:rPr>
          <w:rFonts w:asciiTheme="majorBidi" w:hAnsiTheme="majorBidi" w:cstheme="majorBidi"/>
        </w:rPr>
        <w:t xml:space="preserve">(Jakarta: Bulan Bintang, 1978), </w:t>
      </w:r>
      <w:r w:rsidRPr="0040739F">
        <w:rPr>
          <w:rFonts w:asciiTheme="majorBidi" w:eastAsia="Garamond" w:hAnsiTheme="majorBidi" w:cstheme="majorBidi"/>
          <w:spacing w:val="-1"/>
        </w:rPr>
        <w:t>h. 22-23</w:t>
      </w:r>
    </w:p>
  </w:footnote>
  <w:footnote w:id="377">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Pr>
          <w:rFonts w:asciiTheme="majorBidi" w:hAnsiTheme="majorBidi" w:cstheme="majorBidi"/>
        </w:rPr>
        <w:t xml:space="preserve"> </w:t>
      </w:r>
      <w:r w:rsidRPr="00BF1D8E">
        <w:rPr>
          <w:rFonts w:asciiTheme="majorBidi" w:hAnsiTheme="majorBidi" w:cstheme="majorBidi"/>
        </w:rPr>
        <w:t xml:space="preserve">Mohammad Daud Ali, </w:t>
      </w:r>
      <w:r w:rsidRPr="00BF1D8E">
        <w:rPr>
          <w:rFonts w:asciiTheme="majorBidi" w:hAnsiTheme="majorBidi" w:cstheme="majorBidi"/>
          <w:i/>
          <w:iCs/>
        </w:rPr>
        <w:t>Hukum Islam dan Peradilan Agama,</w:t>
      </w:r>
      <w:r w:rsidRPr="00BF1D8E">
        <w:rPr>
          <w:rFonts w:asciiTheme="majorBidi" w:hAnsiTheme="majorBidi" w:cstheme="majorBidi"/>
        </w:rPr>
        <w:t xml:space="preserve"> ( Jakarta: Raja Grapindo Persada, 2002) cet II, h. </w:t>
      </w:r>
      <w:r w:rsidRPr="00BF1D8E">
        <w:rPr>
          <w:rFonts w:asciiTheme="majorBidi" w:hAnsiTheme="majorBidi" w:cstheme="majorBidi"/>
          <w:i/>
          <w:iCs/>
        </w:rPr>
        <w:t xml:space="preserve"> </w:t>
      </w:r>
      <w:r>
        <w:rPr>
          <w:rFonts w:asciiTheme="majorBidi" w:hAnsiTheme="majorBidi" w:cstheme="majorBidi"/>
        </w:rPr>
        <w:t>22.</w:t>
      </w:r>
    </w:p>
  </w:footnote>
  <w:footnote w:id="378">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Khairuddin Nasution, </w:t>
      </w:r>
      <w:r w:rsidRPr="00BF1D8E">
        <w:rPr>
          <w:rFonts w:asciiTheme="majorBidi" w:hAnsiTheme="majorBidi" w:cstheme="majorBidi"/>
          <w:i/>
          <w:iCs/>
        </w:rPr>
        <w:t>Hukum Perdata ( Keluarga) Islam Indonesia dan Perbandingan Hukum Perkawinan di Dunia Muslim, dengan Pendekatan Intergratif Onterkonektif</w:t>
      </w:r>
      <w:r w:rsidRPr="00BF1D8E">
        <w:rPr>
          <w:rFonts w:asciiTheme="majorBidi" w:hAnsiTheme="majorBidi" w:cstheme="majorBidi"/>
        </w:rPr>
        <w:t>,( Yogyakarta:  Acamedia dan Tazaffa, 2013), h. 41</w:t>
      </w:r>
    </w:p>
  </w:footnote>
  <w:footnote w:id="379">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 Amiur Nuruddin dan Azhari Akmal Tarigan</w:t>
      </w:r>
      <w:r w:rsidRPr="00BF1D8E">
        <w:rPr>
          <w:rFonts w:asciiTheme="majorBidi" w:hAnsiTheme="majorBidi" w:cstheme="majorBidi"/>
          <w:i/>
          <w:iCs/>
          <w:sz w:val="20"/>
          <w:szCs w:val="20"/>
        </w:rPr>
        <w:t>, Hukum Perdata Islam di Indonesia</w:t>
      </w:r>
      <w:r w:rsidRPr="00BF1D8E">
        <w:rPr>
          <w:rFonts w:asciiTheme="majorBidi" w:hAnsiTheme="majorBidi" w:cstheme="majorBidi"/>
          <w:sz w:val="20"/>
          <w:szCs w:val="20"/>
        </w:rPr>
        <w:t>, (Jakarta: Kencana, 2006), cet. III, 23.</w:t>
      </w:r>
    </w:p>
  </w:footnote>
  <w:footnote w:id="380">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w:t>
      </w:r>
      <w:r w:rsidRPr="00BF1D8E">
        <w:rPr>
          <w:rFonts w:asciiTheme="majorBidi" w:eastAsiaTheme="minorHAnsi" w:hAnsiTheme="majorBidi" w:cstheme="majorBidi"/>
        </w:rPr>
        <w:t xml:space="preserve">Abdul Wahab Abd Muhaimin, </w:t>
      </w:r>
      <w:r w:rsidRPr="00BF1D8E">
        <w:rPr>
          <w:rFonts w:asciiTheme="majorBidi" w:eastAsiaTheme="minorHAnsi" w:hAnsiTheme="majorBidi" w:cstheme="majorBidi"/>
          <w:i/>
          <w:iCs/>
        </w:rPr>
        <w:t>Adopsi hukum islam dalam system Hukum nasional</w:t>
      </w:r>
      <w:r w:rsidRPr="00BF1D8E">
        <w:rPr>
          <w:rFonts w:asciiTheme="majorBidi" w:eastAsiaTheme="minorHAnsi" w:hAnsiTheme="majorBidi" w:cstheme="majorBidi"/>
        </w:rPr>
        <w:t>, ( Jakarta: Gaung Persada Press, 2010), h. 185</w:t>
      </w:r>
    </w:p>
  </w:footnote>
  <w:footnote w:id="381">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Lihat.Kamal Hasan, </w:t>
      </w:r>
      <w:r w:rsidRPr="00BF1D8E">
        <w:rPr>
          <w:rFonts w:asciiTheme="majorBidi" w:hAnsiTheme="majorBidi" w:cstheme="majorBidi"/>
          <w:i/>
          <w:iCs/>
          <w:sz w:val="20"/>
          <w:szCs w:val="20"/>
        </w:rPr>
        <w:t>Modernisasi Indonesia; Respons Cendekiawan Muslim</w:t>
      </w:r>
      <w:r w:rsidRPr="00BF1D8E">
        <w:rPr>
          <w:rFonts w:asciiTheme="majorBidi" w:hAnsiTheme="majorBidi" w:cstheme="majorBidi"/>
          <w:sz w:val="20"/>
          <w:szCs w:val="20"/>
        </w:rPr>
        <w:t>, (Jakarta: Lingkaran Studi Indonesia, 1987), h.190.</w:t>
      </w:r>
    </w:p>
  </w:footnote>
  <w:footnote w:id="382">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Lihat.Kamal Hasan, </w:t>
      </w:r>
      <w:r w:rsidRPr="00BF1D8E">
        <w:rPr>
          <w:rFonts w:asciiTheme="majorBidi" w:hAnsiTheme="majorBidi" w:cstheme="majorBidi"/>
          <w:i/>
          <w:iCs/>
        </w:rPr>
        <w:t>Modernisasi Indonesia; Respons Cendekiawan Muslim</w:t>
      </w:r>
      <w:r w:rsidRPr="00BF1D8E">
        <w:rPr>
          <w:rFonts w:asciiTheme="majorBidi" w:hAnsiTheme="majorBidi" w:cstheme="majorBidi"/>
        </w:rPr>
        <w:t>, (Jakarta: Lingkara</w:t>
      </w:r>
      <w:r>
        <w:rPr>
          <w:rFonts w:asciiTheme="majorBidi" w:hAnsiTheme="majorBidi" w:cstheme="majorBidi"/>
        </w:rPr>
        <w:t>n Studi Indonesia, 1987), h.192</w:t>
      </w:r>
    </w:p>
  </w:footnote>
  <w:footnote w:id="383">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Lihat.Khairuddin Nasution, </w:t>
      </w:r>
      <w:r w:rsidRPr="00BF1D8E">
        <w:rPr>
          <w:rFonts w:asciiTheme="majorBidi" w:hAnsiTheme="majorBidi" w:cstheme="majorBidi"/>
          <w:i/>
          <w:iCs/>
        </w:rPr>
        <w:t>Hukum Perdata ( Keluarga) Islam Indonesia dan Perbandingan Hukum Perkawinan di Dunia Muslim, dengan Pendekatan Intergratif  Interkonektif</w:t>
      </w:r>
      <w:r w:rsidRPr="00BF1D8E">
        <w:rPr>
          <w:rFonts w:asciiTheme="majorBidi" w:hAnsiTheme="majorBidi" w:cstheme="majorBidi"/>
        </w:rPr>
        <w:t>, ( Yogyakarta:  Acamedia dan Tazaffa, 2013), h. 44-49</w:t>
      </w:r>
    </w:p>
  </w:footnote>
  <w:footnote w:id="384">
    <w:p w:rsidR="00343B61" w:rsidRPr="00BF1D8E" w:rsidRDefault="00343B61" w:rsidP="00343B61">
      <w:pPr>
        <w:pStyle w:val="FootnoteText"/>
        <w:ind w:firstLine="720"/>
        <w:jc w:val="both"/>
      </w:pPr>
      <w:r w:rsidRPr="00BF1D8E">
        <w:rPr>
          <w:rStyle w:val="FootnoteReference"/>
        </w:rPr>
        <w:footnoteRef/>
      </w:r>
      <w:r w:rsidRPr="00BF1D8E">
        <w:t xml:space="preserve"> </w:t>
      </w:r>
      <w:r w:rsidRPr="00BF1D8E">
        <w:rPr>
          <w:rFonts w:asciiTheme="majorBidi" w:hAnsiTheme="majorBidi" w:cstheme="majorBidi"/>
        </w:rPr>
        <w:t xml:space="preserve">Lihat. Khairuddin Nasution, </w:t>
      </w:r>
      <w:r w:rsidRPr="00BF1D8E">
        <w:rPr>
          <w:rFonts w:asciiTheme="majorBidi" w:hAnsiTheme="majorBidi" w:cstheme="majorBidi"/>
          <w:i/>
          <w:iCs/>
        </w:rPr>
        <w:t>Hukum Perdata ( Keluarga) Islam Indonesia dan Perbandingan Hukum Perkawinan di Dunia Muslim, dengan Pendekatan Intergratif  Interkonektif</w:t>
      </w:r>
      <w:r w:rsidRPr="00BF1D8E">
        <w:rPr>
          <w:rFonts w:asciiTheme="majorBidi" w:hAnsiTheme="majorBidi" w:cstheme="majorBidi"/>
        </w:rPr>
        <w:t xml:space="preserve">, ( Yogyakarta:  Acamedia dan Tazaffa, 2013), h. 44-49. Lihat juga Amak FZ, </w:t>
      </w:r>
      <w:r w:rsidRPr="00BF1D8E">
        <w:rPr>
          <w:rFonts w:asciiTheme="majorBidi" w:hAnsiTheme="majorBidi" w:cstheme="majorBidi"/>
          <w:i/>
          <w:iCs/>
        </w:rPr>
        <w:t>Proses Pembentukan UU Parkawinan</w:t>
      </w:r>
      <w:r w:rsidRPr="00BF1D8E">
        <w:rPr>
          <w:rFonts w:asciiTheme="majorBidi" w:hAnsiTheme="majorBidi" w:cstheme="majorBidi"/>
        </w:rPr>
        <w:t>, ( Bandung: Bulan Bintang), h. 14</w:t>
      </w:r>
    </w:p>
  </w:footnote>
  <w:footnote w:id="385">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Fraksi Persatuan adalah merupakan koalisi kekuatan Islam yang terdiri dari Nu 58 orang, PARMUSI 24 orang, PSII 10 orang dan dari PERTI 2 orang. Kemudian partai-partai ini melakukan fusi dengan mengikatkan diri menjadi Partai Persatuan Pembangunan (PPP) pada tanggal 5 Januari 1973. Latar belakang fusi ini adalah karena hasil pemilu tahun 1971 bagi pemerintah merupakan salah satu legitimasi ke arah fusi partai, sebab segera partai dominan yakni Golkar yang memperoleh 62,8% suara, telah dibentuk. Bagi partai-partai Islam, pemilu tahun 1971 merupakan, pengalaman pahit mengingat untuk pertama kalinya isu “politik” dihadapkan dengan isu “non politik”, yakni “pembangunan” melalui slogan : “politik no, pembangunan, yes” yang dilontarkan Golkar. Kenyataan itulah yang menjadikan problematik PPP dalam pemilu-pemilu berikutnya. Politisi Islam kehilangan slogan, kecuali bersifat sentimen keagaman. Oleh karena itu, fusi menjadi momentum tersendiri bagi partai-partai Islam untuk merapatkan barisan. Namun identitas keislamana perlu diteruskan, kendati kata “Islam” tidak lagi menjadi jati diri partai. Aktivitas negara dengan pembangunanya menempatkan PPP pada posisi marginal dalam konteks politik Orde Baru. Namun demikian, sikap kritis partai terhadap kebijakan pemerintah, khususnya yang bersinggungan langsung dengan identitas Islam. Lihat </w:t>
      </w:r>
      <w:r w:rsidRPr="00BF1D8E">
        <w:rPr>
          <w:rFonts w:asciiTheme="majorBidi" w:eastAsiaTheme="minorHAnsi" w:hAnsiTheme="majorBidi" w:cstheme="majorBidi"/>
          <w:sz w:val="20"/>
          <w:szCs w:val="20"/>
        </w:rPr>
        <w:t xml:space="preserve">Abd Muhaimin, </w:t>
      </w:r>
      <w:r w:rsidRPr="00BF1D8E">
        <w:rPr>
          <w:rFonts w:asciiTheme="majorBidi" w:eastAsiaTheme="minorHAnsi" w:hAnsiTheme="majorBidi" w:cstheme="majorBidi"/>
          <w:i/>
          <w:iCs/>
          <w:sz w:val="20"/>
          <w:szCs w:val="20"/>
        </w:rPr>
        <w:t>Adopsi hukum islam dalam system Hukum nasional</w:t>
      </w:r>
      <w:r w:rsidRPr="00BF1D8E">
        <w:rPr>
          <w:rFonts w:asciiTheme="majorBidi" w:eastAsiaTheme="minorHAnsi" w:hAnsiTheme="majorBidi" w:cstheme="majorBidi"/>
          <w:sz w:val="20"/>
          <w:szCs w:val="20"/>
        </w:rPr>
        <w:t>, ( Jakarta: Gaung Persada Press, 2010), h. 193</w:t>
      </w:r>
    </w:p>
  </w:footnote>
  <w:footnote w:id="386">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Syamsuddin Haris, </w:t>
      </w:r>
      <w:r w:rsidRPr="00BF1D8E">
        <w:rPr>
          <w:rFonts w:asciiTheme="majorBidi" w:hAnsiTheme="majorBidi" w:cstheme="majorBidi"/>
          <w:i/>
          <w:iCs/>
        </w:rPr>
        <w:t xml:space="preserve">PPP dan Orde Baru, </w:t>
      </w:r>
      <w:r w:rsidRPr="00BF1D8E">
        <w:rPr>
          <w:rFonts w:asciiTheme="majorBidi" w:hAnsiTheme="majorBidi" w:cstheme="majorBidi"/>
        </w:rPr>
        <w:t>( Jakarta: Gramedia Widiasarana, 1991) h. 10.</w:t>
      </w:r>
    </w:p>
  </w:footnote>
  <w:footnote w:id="387">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w:t>
      </w:r>
      <w:r w:rsidRPr="00BF1D8E">
        <w:rPr>
          <w:rFonts w:asciiTheme="majorBidi" w:eastAsiaTheme="minorHAnsi" w:hAnsiTheme="majorBidi" w:cstheme="majorBidi"/>
        </w:rPr>
        <w:t xml:space="preserve">Abdul Wahab Abd Muhaimin, </w:t>
      </w:r>
      <w:r w:rsidRPr="00BF1D8E">
        <w:rPr>
          <w:rFonts w:asciiTheme="majorBidi" w:eastAsiaTheme="minorHAnsi" w:hAnsiTheme="majorBidi" w:cstheme="majorBidi"/>
          <w:i/>
          <w:iCs/>
        </w:rPr>
        <w:t>Adopsi hukum islam dalam system Hukum Nasional</w:t>
      </w:r>
      <w:r w:rsidRPr="00BF1D8E">
        <w:rPr>
          <w:rFonts w:asciiTheme="majorBidi" w:eastAsiaTheme="minorHAnsi" w:hAnsiTheme="majorBidi" w:cstheme="majorBidi"/>
        </w:rPr>
        <w:t>, ( Jakarta: Gaung Persada Press, 2010), h. 193</w:t>
      </w:r>
    </w:p>
  </w:footnote>
  <w:footnote w:id="388">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Yayan Sopyan</w:t>
      </w:r>
      <w:r w:rsidRPr="00BF1D8E">
        <w:rPr>
          <w:rFonts w:asciiTheme="majorBidi" w:hAnsiTheme="majorBidi" w:cstheme="majorBidi"/>
          <w:i/>
          <w:iCs/>
        </w:rPr>
        <w:t xml:space="preserve">, Transformasi Hukum Islam ke Dalam Sistem Hukum Nasional </w:t>
      </w:r>
      <w:r w:rsidRPr="00BF1D8E">
        <w:rPr>
          <w:rFonts w:asciiTheme="majorBidi" w:hAnsiTheme="majorBidi" w:cstheme="majorBidi"/>
        </w:rPr>
        <w:t>( Disertasi Pada SPS UIN Syarif Hidayatullah, Jakarta, 2007), h. 198, 199.</w:t>
      </w:r>
    </w:p>
  </w:footnote>
  <w:footnote w:id="389">
    <w:p w:rsidR="00343B61" w:rsidRPr="00A75F9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A75F9E">
        <w:rPr>
          <w:rStyle w:val="FootnoteReference"/>
          <w:rFonts w:asciiTheme="majorBidi" w:hAnsiTheme="majorBidi" w:cstheme="majorBidi"/>
          <w:sz w:val="20"/>
          <w:szCs w:val="20"/>
        </w:rPr>
        <w:footnoteRef/>
      </w:r>
      <w:r w:rsidRPr="00A75F9E">
        <w:rPr>
          <w:rFonts w:asciiTheme="majorBidi" w:hAnsiTheme="majorBidi" w:cstheme="majorBidi"/>
          <w:sz w:val="20"/>
          <w:szCs w:val="20"/>
        </w:rPr>
        <w:t xml:space="preserve"> Lihat Amak FZ, </w:t>
      </w:r>
      <w:r w:rsidRPr="00A75F9E">
        <w:rPr>
          <w:rFonts w:asciiTheme="majorBidi" w:hAnsiTheme="majorBidi" w:cstheme="majorBidi"/>
          <w:i/>
          <w:iCs/>
          <w:sz w:val="20"/>
          <w:szCs w:val="20"/>
        </w:rPr>
        <w:t xml:space="preserve">Proses Pembentukan UU Perkawinan, </w:t>
      </w:r>
      <w:r w:rsidRPr="00A75F9E">
        <w:rPr>
          <w:rFonts w:asciiTheme="majorBidi" w:hAnsiTheme="majorBidi" w:cstheme="majorBidi"/>
          <w:sz w:val="20"/>
          <w:szCs w:val="20"/>
        </w:rPr>
        <w:t>(Bandung: Bulan Bintang, t.th.), 14.</w:t>
      </w:r>
    </w:p>
  </w:footnote>
  <w:footnote w:id="390">
    <w:p w:rsidR="00343B61" w:rsidRPr="00BF1D8E" w:rsidRDefault="00343B61" w:rsidP="00343B61">
      <w:pPr>
        <w:spacing w:after="0"/>
        <w:ind w:firstLine="720"/>
        <w:jc w:val="both"/>
        <w:textAlignment w:val="baseline"/>
        <w:rPr>
          <w:rFonts w:asciiTheme="majorBidi" w:eastAsia="Garamond" w:hAnsiTheme="majorBidi" w:cstheme="majorBidi"/>
          <w:color w:val="000000"/>
          <w:sz w:val="20"/>
          <w:szCs w:val="20"/>
        </w:rPr>
      </w:pPr>
      <w:r w:rsidRPr="00A75F9E">
        <w:rPr>
          <w:rStyle w:val="FootnoteReference"/>
          <w:rFonts w:asciiTheme="majorBidi" w:hAnsiTheme="majorBidi" w:cstheme="majorBidi"/>
          <w:sz w:val="20"/>
          <w:szCs w:val="20"/>
        </w:rPr>
        <w:footnoteRef/>
      </w:r>
      <w:r w:rsidRPr="00A75F9E">
        <w:rPr>
          <w:rFonts w:asciiTheme="majorBidi" w:hAnsiTheme="majorBidi" w:cstheme="majorBidi"/>
          <w:sz w:val="20"/>
          <w:szCs w:val="20"/>
        </w:rPr>
        <w:t xml:space="preserve"> Lihat.</w:t>
      </w:r>
      <w:r w:rsidRPr="00A75F9E">
        <w:rPr>
          <w:rFonts w:asciiTheme="majorBidi" w:eastAsia="Garamond" w:hAnsiTheme="majorBidi" w:cstheme="majorBidi"/>
          <w:color w:val="000000"/>
          <w:sz w:val="20"/>
          <w:szCs w:val="20"/>
        </w:rPr>
        <w:t>Risalah DPR XI,18 September 1973, seperti dikutip Kharuddin Nasution,.</w:t>
      </w:r>
      <w:r w:rsidRPr="00A75F9E">
        <w:rPr>
          <w:rFonts w:asciiTheme="majorBidi" w:hAnsiTheme="majorBidi" w:cstheme="majorBidi"/>
          <w:sz w:val="20"/>
          <w:szCs w:val="20"/>
        </w:rPr>
        <w:t xml:space="preserve"> Lihat. Khairuddin Nasution, </w:t>
      </w:r>
      <w:r w:rsidRPr="00A75F9E">
        <w:rPr>
          <w:rFonts w:asciiTheme="majorBidi" w:hAnsiTheme="majorBidi" w:cstheme="majorBidi"/>
          <w:i/>
          <w:iCs/>
          <w:sz w:val="20"/>
          <w:szCs w:val="20"/>
        </w:rPr>
        <w:t>Hukum Perdata ( Keluarga) Islam Indonesia dan Perbandingan Hukum Perkawinan di Dunia Muslim, dengan Pendekatan Intergratif  Interkonektif</w:t>
      </w:r>
      <w:r w:rsidRPr="00A75F9E">
        <w:rPr>
          <w:rFonts w:asciiTheme="majorBidi" w:hAnsiTheme="majorBidi" w:cstheme="majorBidi"/>
          <w:sz w:val="20"/>
          <w:szCs w:val="20"/>
        </w:rPr>
        <w:t xml:space="preserve">, ( Yogyakarta:  Acamedia dan Tazaffa, 2013), h. </w:t>
      </w:r>
      <w:r w:rsidRPr="00A75F9E">
        <w:rPr>
          <w:rFonts w:asciiTheme="majorBidi" w:eastAsia="Garamond" w:hAnsiTheme="majorBidi" w:cstheme="majorBidi"/>
          <w:color w:val="000000"/>
          <w:sz w:val="20"/>
          <w:szCs w:val="20"/>
        </w:rPr>
        <w:t xml:space="preserve"> 42-43</w:t>
      </w:r>
    </w:p>
  </w:footnote>
  <w:footnote w:id="391">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 Amak FZ, </w:t>
      </w:r>
      <w:r w:rsidRPr="00BF1D8E">
        <w:rPr>
          <w:rFonts w:asciiTheme="majorBidi" w:hAnsiTheme="majorBidi" w:cstheme="majorBidi"/>
          <w:i/>
          <w:iCs/>
          <w:sz w:val="20"/>
          <w:szCs w:val="20"/>
        </w:rPr>
        <w:t xml:space="preserve">Proses Pembentukan UU Perkawinan, </w:t>
      </w:r>
      <w:r w:rsidRPr="00BF1D8E">
        <w:rPr>
          <w:rFonts w:asciiTheme="majorBidi" w:hAnsiTheme="majorBidi" w:cstheme="majorBidi"/>
          <w:sz w:val="20"/>
          <w:szCs w:val="20"/>
        </w:rPr>
        <w:t>(Bandung: Bulan Bintang, t.th.), 14.</w:t>
      </w:r>
    </w:p>
  </w:footnote>
  <w:footnote w:id="392">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 Amiur Nuruddin dan Azhari Ahmad Tarigan, </w:t>
      </w:r>
      <w:r w:rsidRPr="00BF1D8E">
        <w:rPr>
          <w:rFonts w:asciiTheme="majorBidi" w:hAnsiTheme="majorBidi" w:cstheme="majorBidi"/>
          <w:i/>
          <w:iCs/>
          <w:sz w:val="20"/>
          <w:szCs w:val="20"/>
        </w:rPr>
        <w:t>Hukum Perdata Islam Indonesia</w:t>
      </w:r>
      <w:r w:rsidRPr="00BF1D8E">
        <w:rPr>
          <w:rFonts w:asciiTheme="majorBidi" w:hAnsiTheme="majorBidi" w:cstheme="majorBidi"/>
          <w:sz w:val="20"/>
          <w:szCs w:val="20"/>
        </w:rPr>
        <w:t xml:space="preserve">, </w:t>
      </w:r>
      <w:r w:rsidRPr="00BF1D8E">
        <w:rPr>
          <w:rFonts w:asciiTheme="majorBidi" w:hAnsiTheme="majorBidi" w:cstheme="majorBidi"/>
          <w:i/>
          <w:iCs/>
          <w:sz w:val="20"/>
          <w:szCs w:val="20"/>
        </w:rPr>
        <w:t>Ibid</w:t>
      </w:r>
      <w:r w:rsidRPr="00BF1D8E">
        <w:rPr>
          <w:rFonts w:asciiTheme="majorBidi" w:hAnsiTheme="majorBidi" w:cstheme="majorBidi"/>
          <w:sz w:val="20"/>
          <w:szCs w:val="20"/>
        </w:rPr>
        <w:t>, h. 24.</w:t>
      </w:r>
    </w:p>
  </w:footnote>
  <w:footnote w:id="393">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Fraksi PPP Mengutus 6 orang juru bicara, yaitu Ischak Moro, H. Asmah Syahroni, H.A. Balya Umar, H. Moh. Saleh, H. Amir Iskandar, Teuku M. Soleh dan K.H. Kodratullah sebagai juru bicara fraksi untuk menyampaikan Pandangan dan tanggapan terhadap RUU perkawinan di DPR pada tanggal 18 September 1973, yang dihadiri oleh 370 orang anggota legislatif dari keseluruhan anggota yang berjumlah 460 orang. Lihat. </w:t>
      </w:r>
      <w:r w:rsidRPr="00BF1D8E">
        <w:rPr>
          <w:rFonts w:asciiTheme="majorBidi" w:eastAsiaTheme="minorHAnsi" w:hAnsiTheme="majorBidi" w:cstheme="majorBidi"/>
        </w:rPr>
        <w:t xml:space="preserve">Abdul Wahab Abd Muhaimin, </w:t>
      </w:r>
      <w:r w:rsidRPr="00BF1D8E">
        <w:rPr>
          <w:rFonts w:asciiTheme="majorBidi" w:eastAsiaTheme="minorHAnsi" w:hAnsiTheme="majorBidi" w:cstheme="majorBidi"/>
          <w:i/>
          <w:iCs/>
        </w:rPr>
        <w:t>Adopsi hukum islam dalam system Hukum nasional</w:t>
      </w:r>
      <w:r w:rsidRPr="00BF1D8E">
        <w:rPr>
          <w:rFonts w:asciiTheme="majorBidi" w:eastAsiaTheme="minorHAnsi" w:hAnsiTheme="majorBidi" w:cstheme="majorBidi"/>
        </w:rPr>
        <w:t>, ( Jakarta: Gaung Persada Press, 2010), h. 194</w:t>
      </w:r>
    </w:p>
  </w:footnote>
  <w:footnote w:id="394">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 Arso Sastroatmodjo dan Wasit Aulawi, </w:t>
      </w:r>
      <w:r w:rsidRPr="00BF1D8E">
        <w:rPr>
          <w:rFonts w:asciiTheme="majorBidi" w:hAnsiTheme="majorBidi" w:cstheme="majorBidi"/>
          <w:i/>
          <w:iCs/>
          <w:sz w:val="20"/>
          <w:szCs w:val="20"/>
        </w:rPr>
        <w:t xml:space="preserve">Hukum Perkawinan di Indonesia, </w:t>
      </w:r>
      <w:r w:rsidRPr="00BF1D8E">
        <w:rPr>
          <w:rFonts w:asciiTheme="majorBidi" w:hAnsiTheme="majorBidi" w:cstheme="majorBidi"/>
          <w:sz w:val="20"/>
          <w:szCs w:val="20"/>
        </w:rPr>
        <w:t xml:space="preserve">(Jakarta: Bulan Bintang, 1978), h. 24 </w:t>
      </w:r>
    </w:p>
  </w:footnote>
  <w:footnote w:id="395">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Lihat. Abdullah Aziz Thaba, </w:t>
      </w:r>
      <w:r w:rsidRPr="00BF1D8E">
        <w:rPr>
          <w:rFonts w:asciiTheme="majorBidi" w:hAnsiTheme="majorBidi" w:cstheme="majorBidi"/>
          <w:i/>
          <w:iCs/>
          <w:sz w:val="20"/>
          <w:szCs w:val="20"/>
        </w:rPr>
        <w:t xml:space="preserve">Islam dan Negara Dalam Politik Orde Baru, </w:t>
      </w:r>
      <w:r w:rsidRPr="00BF1D8E">
        <w:rPr>
          <w:rFonts w:asciiTheme="majorBidi" w:hAnsiTheme="majorBidi" w:cstheme="majorBidi"/>
          <w:sz w:val="20"/>
          <w:szCs w:val="20"/>
        </w:rPr>
        <w:t>(Jakarta: Gema Insani Press, 1996), h.  261.</w:t>
      </w:r>
    </w:p>
  </w:footnote>
  <w:footnote w:id="396">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BF1D8E">
        <w:rPr>
          <w:rStyle w:val="FootnoteReference"/>
          <w:rFonts w:asciiTheme="majorBidi" w:hAnsiTheme="majorBidi" w:cstheme="majorBidi"/>
          <w:sz w:val="20"/>
          <w:szCs w:val="20"/>
        </w:rPr>
        <w:footnoteRef/>
      </w:r>
      <w:r w:rsidRPr="00BF1D8E">
        <w:rPr>
          <w:rFonts w:asciiTheme="majorBidi" w:hAnsiTheme="majorBidi" w:cstheme="majorBidi"/>
          <w:sz w:val="20"/>
          <w:szCs w:val="20"/>
        </w:rPr>
        <w:t xml:space="preserve"> Lihat.Rachmadi Usman, </w:t>
      </w:r>
      <w:r w:rsidRPr="00BF1D8E">
        <w:rPr>
          <w:rFonts w:asciiTheme="majorBidi" w:hAnsiTheme="majorBidi" w:cstheme="majorBidi"/>
          <w:i/>
          <w:iCs/>
          <w:sz w:val="20"/>
          <w:szCs w:val="20"/>
        </w:rPr>
        <w:t xml:space="preserve">Perkembangan Hukum Perdata, dalam Dimensi Sejarah dan Politik Hukum di Indonesia, </w:t>
      </w:r>
      <w:r w:rsidRPr="00BF1D8E">
        <w:rPr>
          <w:rFonts w:asciiTheme="majorBidi" w:hAnsiTheme="majorBidi" w:cstheme="majorBidi"/>
          <w:sz w:val="20"/>
          <w:szCs w:val="20"/>
        </w:rPr>
        <w:t>(Jakarta: Grafiti, 2003), 198.</w:t>
      </w:r>
    </w:p>
    <w:p w:rsidR="00343B61" w:rsidRPr="00BF1D8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p>
  </w:footnote>
  <w:footnote w:id="397">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w:t>
      </w:r>
      <w:r w:rsidRPr="00BF1D8E">
        <w:rPr>
          <w:rFonts w:asciiTheme="majorBidi" w:hAnsiTheme="majorBidi" w:cstheme="majorBidi"/>
          <w:i/>
          <w:iCs/>
        </w:rPr>
        <w:t>Undang-Undang Nomor 1 Tahun 1974 Tentang Perkawinan</w:t>
      </w:r>
      <w:r>
        <w:rPr>
          <w:rFonts w:asciiTheme="majorBidi" w:hAnsiTheme="majorBidi" w:cstheme="majorBidi"/>
        </w:rPr>
        <w:t>, (</w:t>
      </w:r>
      <w:r w:rsidRPr="00BF1D8E">
        <w:rPr>
          <w:rFonts w:asciiTheme="majorBidi" w:hAnsiTheme="majorBidi" w:cstheme="majorBidi"/>
        </w:rPr>
        <w:t>Jakarta: Transmedia Pustaka, 2007)</w:t>
      </w:r>
      <w:r>
        <w:rPr>
          <w:rFonts w:asciiTheme="majorBidi" w:hAnsiTheme="majorBidi" w:cstheme="majorBidi"/>
        </w:rPr>
        <w:t xml:space="preserve"> </w:t>
      </w:r>
    </w:p>
  </w:footnote>
  <w:footnote w:id="398">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Ichtijanto S.A, “Prospek Peradilan Agama Sebagai Peradilan Negeri dalam Sistem Politik Hukum di Indonesia”, dalam Amrullah Ahmad, editor, </w:t>
      </w:r>
      <w:r w:rsidRPr="00BF1D8E">
        <w:rPr>
          <w:rFonts w:asciiTheme="majorBidi" w:hAnsiTheme="majorBidi" w:cstheme="majorBidi"/>
          <w:i/>
          <w:iCs/>
        </w:rPr>
        <w:t>Dimensi Hukum Islam dalam Sistem Hukum Nasional</w:t>
      </w:r>
      <w:r w:rsidRPr="00BF1D8E">
        <w:rPr>
          <w:rFonts w:asciiTheme="majorBidi" w:hAnsiTheme="majorBidi" w:cstheme="majorBidi"/>
        </w:rPr>
        <w:t>, ( Jakarta: Gema Insani Press, 1996), h. 185.</w:t>
      </w:r>
    </w:p>
  </w:footnote>
  <w:footnote w:id="399">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Lihat : Busthanul Arifin, </w:t>
      </w:r>
      <w:r w:rsidRPr="00BF1D8E">
        <w:rPr>
          <w:rFonts w:asciiTheme="majorBidi" w:hAnsiTheme="majorBidi" w:cstheme="majorBidi"/>
          <w:i/>
          <w:iCs/>
        </w:rPr>
        <w:t>Pelembagaan Hukum Islam di Indonesia,</w:t>
      </w:r>
      <w:r w:rsidRPr="00BF1D8E">
        <w:rPr>
          <w:rFonts w:asciiTheme="majorBidi" w:hAnsiTheme="majorBidi" w:cstheme="majorBidi"/>
        </w:rPr>
        <w:t xml:space="preserve"> </w:t>
      </w:r>
      <w:r w:rsidRPr="00BF1D8E">
        <w:rPr>
          <w:rFonts w:asciiTheme="majorBidi" w:hAnsiTheme="majorBidi" w:cstheme="majorBidi"/>
          <w:i/>
          <w:iCs/>
        </w:rPr>
        <w:t xml:space="preserve">Akar Sejarah, Hambatan dan Prospeknya, </w:t>
      </w:r>
      <w:r w:rsidRPr="00BF1D8E">
        <w:rPr>
          <w:rFonts w:asciiTheme="majorBidi" w:hAnsiTheme="majorBidi" w:cstheme="majorBidi"/>
        </w:rPr>
        <w:t>( Jakarta: Rajawali Press, 1996),</w:t>
      </w:r>
      <w:r w:rsidRPr="00BF1D8E">
        <w:rPr>
          <w:rFonts w:asciiTheme="majorBidi" w:hAnsiTheme="majorBidi" w:cstheme="majorBidi"/>
          <w:i/>
          <w:iCs/>
        </w:rPr>
        <w:t xml:space="preserve"> </w:t>
      </w:r>
      <w:r w:rsidRPr="00BF1D8E">
        <w:rPr>
          <w:rFonts w:asciiTheme="majorBidi" w:hAnsiTheme="majorBidi" w:cstheme="majorBidi"/>
        </w:rPr>
        <w:t>117, 118</w:t>
      </w:r>
    </w:p>
  </w:footnote>
  <w:footnote w:id="400">
    <w:p w:rsidR="00343B61" w:rsidRPr="00B56DEB" w:rsidRDefault="00343B61" w:rsidP="00343B61">
      <w:pPr>
        <w:spacing w:after="0" w:line="240" w:lineRule="auto"/>
        <w:ind w:firstLine="720"/>
        <w:jc w:val="both"/>
        <w:rPr>
          <w:rFonts w:asciiTheme="majorBidi" w:hAnsiTheme="majorBidi" w:cstheme="majorBidi"/>
          <w:sz w:val="20"/>
          <w:szCs w:val="20"/>
        </w:rPr>
      </w:pPr>
      <w:r w:rsidRPr="00336D0F">
        <w:rPr>
          <w:rStyle w:val="FootnoteReference"/>
          <w:rFonts w:asciiTheme="majorBidi" w:hAnsiTheme="majorBidi" w:cstheme="majorBidi"/>
          <w:sz w:val="20"/>
          <w:szCs w:val="20"/>
        </w:rPr>
        <w:footnoteRef/>
      </w:r>
      <w:r w:rsidRPr="00336D0F">
        <w:rPr>
          <w:rFonts w:asciiTheme="majorBidi" w:hAnsiTheme="majorBidi" w:cstheme="majorBidi"/>
          <w:sz w:val="20"/>
          <w:szCs w:val="20"/>
        </w:rPr>
        <w:t xml:space="preserve"> Lihat. Q.S. Al-Hujurat [43] : 13.</w:t>
      </w:r>
      <w:r>
        <w:rPr>
          <w:rFonts w:asciiTheme="majorBidi" w:hAnsiTheme="majorBidi" w:cstheme="majorBidi"/>
        </w:rPr>
        <w:t xml:space="preserve"> </w:t>
      </w:r>
      <w:r w:rsidRPr="0073531F">
        <w:rPr>
          <w:rFonts w:asciiTheme="majorBidi" w:hAnsiTheme="majorBidi" w:cstheme="majorBidi"/>
          <w:sz w:val="20"/>
          <w:szCs w:val="20"/>
        </w:rPr>
        <w:t xml:space="preserve">Allah SWT berfirman: “ </w:t>
      </w:r>
      <w:r w:rsidRPr="0073531F">
        <w:rPr>
          <w:rFonts w:asciiTheme="majorBidi" w:hAnsiTheme="majorBidi" w:cstheme="majorBidi"/>
          <w:i/>
          <w:iCs/>
          <w:sz w:val="20"/>
          <w:szCs w:val="20"/>
        </w:rPr>
        <w:t>Hai manusia, Sesungguhnya Kami menciptakan kamu dari seorang laki-laki dan seorang perempuan dan menjadikan kamu berbangsa - bangsa dan bersuku-suku supaya kamu saling kenal-mengenal. Sesungguhnya orang yang paling mulia diantara kamu disisi Allah ialah orang yang paling taqwa diantara kamu. Sesungguhnya Allah Maha mengetahui lagi Maha Mengenal</w:t>
      </w:r>
      <w:r w:rsidRPr="0073531F">
        <w:rPr>
          <w:rFonts w:asciiTheme="majorBidi" w:hAnsiTheme="majorBidi" w:cstheme="majorBidi"/>
          <w:sz w:val="20"/>
          <w:szCs w:val="20"/>
        </w:rPr>
        <w:t>.”</w:t>
      </w:r>
      <w:r>
        <w:rPr>
          <w:rFonts w:asciiTheme="majorBidi" w:hAnsiTheme="majorBidi" w:cstheme="majorBidi"/>
          <w:sz w:val="20"/>
          <w:szCs w:val="20"/>
        </w:rPr>
        <w:t xml:space="preserve"> ( QS. Al-Hujurat</w:t>
      </w:r>
      <w:r w:rsidRPr="0073531F">
        <w:rPr>
          <w:rFonts w:asciiTheme="majorBidi" w:hAnsiTheme="majorBidi" w:cstheme="majorBidi"/>
          <w:sz w:val="20"/>
          <w:szCs w:val="20"/>
        </w:rPr>
        <w:t xml:space="preserve">: [49 ] : 13) </w:t>
      </w:r>
    </w:p>
  </w:footnote>
  <w:footnote w:id="401">
    <w:p w:rsidR="00343B61" w:rsidRPr="00BF1D8E" w:rsidRDefault="00343B61" w:rsidP="00343B61">
      <w:pPr>
        <w:pStyle w:val="FootnoteText"/>
        <w:ind w:firstLine="720"/>
        <w:jc w:val="both"/>
        <w:rPr>
          <w:rFonts w:asciiTheme="majorBidi" w:hAnsiTheme="majorBidi" w:cstheme="majorBidi"/>
        </w:rPr>
      </w:pPr>
      <w:r w:rsidRPr="00BF1D8E">
        <w:rPr>
          <w:rStyle w:val="FootnoteReference"/>
          <w:rFonts w:asciiTheme="majorBidi" w:hAnsiTheme="majorBidi" w:cstheme="majorBidi"/>
        </w:rPr>
        <w:footnoteRef/>
      </w:r>
      <w:r w:rsidRPr="00BF1D8E">
        <w:rPr>
          <w:rFonts w:asciiTheme="majorBidi" w:hAnsiTheme="majorBidi" w:cstheme="majorBidi"/>
        </w:rPr>
        <w:t xml:space="preserve"> Annie Besant, </w:t>
      </w:r>
      <w:r w:rsidRPr="00BF1D8E">
        <w:rPr>
          <w:rFonts w:asciiTheme="majorBidi" w:hAnsiTheme="majorBidi" w:cstheme="majorBidi"/>
          <w:i/>
          <w:iCs/>
        </w:rPr>
        <w:t>The Life and Teachings of Muhammad</w:t>
      </w:r>
      <w:r w:rsidRPr="00BF1D8E">
        <w:rPr>
          <w:rFonts w:asciiTheme="majorBidi" w:hAnsiTheme="majorBidi" w:cstheme="majorBidi"/>
        </w:rPr>
        <w:t>, (Madras: t.p., 1932), 26.</w:t>
      </w:r>
    </w:p>
  </w:footnote>
  <w:footnote w:id="402">
    <w:p w:rsidR="00343B61" w:rsidRPr="007C6B55" w:rsidRDefault="00343B61" w:rsidP="00343B61">
      <w:pPr>
        <w:pStyle w:val="FootnoteText"/>
        <w:ind w:firstLine="720"/>
        <w:jc w:val="both"/>
        <w:rPr>
          <w:rFonts w:asciiTheme="majorBidi" w:hAnsiTheme="majorBidi" w:cstheme="majorBidi"/>
        </w:rPr>
      </w:pPr>
      <w:r w:rsidRPr="007C6B55">
        <w:rPr>
          <w:rStyle w:val="FootnoteReference"/>
          <w:rFonts w:asciiTheme="majorBidi" w:hAnsiTheme="majorBidi" w:cstheme="majorBidi"/>
        </w:rPr>
        <w:footnoteRef/>
      </w:r>
      <w:r w:rsidRPr="007C6B55">
        <w:rPr>
          <w:rFonts w:asciiTheme="majorBidi" w:hAnsiTheme="majorBidi" w:cstheme="majorBidi"/>
        </w:rPr>
        <w:t xml:space="preserve"> Lihat Asni Azrai, </w:t>
      </w:r>
      <w:r w:rsidRPr="001F751A">
        <w:rPr>
          <w:rFonts w:asciiTheme="majorBidi" w:hAnsiTheme="majorBidi" w:cstheme="majorBidi"/>
          <w:i/>
          <w:iCs/>
        </w:rPr>
        <w:t>Tinjauan Epistemologis Pembaruan Hukum Islam</w:t>
      </w:r>
      <w:r>
        <w:rPr>
          <w:rFonts w:asciiTheme="majorBidi" w:hAnsiTheme="majorBidi" w:cstheme="majorBidi"/>
          <w:i/>
          <w:iCs/>
        </w:rPr>
        <w:t xml:space="preserve"> di</w:t>
      </w:r>
      <w:r w:rsidRPr="001F751A">
        <w:rPr>
          <w:rFonts w:asciiTheme="majorBidi" w:hAnsiTheme="majorBidi" w:cstheme="majorBidi"/>
          <w:i/>
          <w:iCs/>
        </w:rPr>
        <w:t xml:space="preserve"> Indonesia Mengenai Kedudukan Perempuan</w:t>
      </w:r>
      <w:r w:rsidRPr="007C6B55">
        <w:rPr>
          <w:rFonts w:asciiTheme="majorBidi" w:hAnsiTheme="majorBidi" w:cstheme="majorBidi"/>
        </w:rPr>
        <w:t xml:space="preserve"> (</w:t>
      </w:r>
      <w:r w:rsidRPr="001F751A">
        <w:rPr>
          <w:rFonts w:asciiTheme="majorBidi" w:hAnsiTheme="majorBidi" w:cstheme="majorBidi"/>
          <w:i/>
          <w:iCs/>
        </w:rPr>
        <w:t>Analisis Metode Integratif-Holistik dan Paradigma Teo Antroposentris</w:t>
      </w:r>
      <w:r w:rsidRPr="007C6B55">
        <w:rPr>
          <w:rFonts w:asciiTheme="majorBidi" w:hAnsiTheme="majorBidi" w:cstheme="majorBidi"/>
        </w:rPr>
        <w:t>), makalah disampaikan pada Annual Internasional Confernce an Islamic Studies ( AICIS XII), h. 523</w:t>
      </w:r>
    </w:p>
  </w:footnote>
  <w:footnote w:id="403">
    <w:p w:rsidR="00343B61" w:rsidRPr="007C6B5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7C6B55">
        <w:rPr>
          <w:rStyle w:val="FootnoteReference"/>
          <w:rFonts w:asciiTheme="majorBidi" w:hAnsiTheme="majorBidi" w:cstheme="majorBidi"/>
          <w:sz w:val="20"/>
          <w:szCs w:val="20"/>
        </w:rPr>
        <w:footnoteRef/>
      </w:r>
      <w:r w:rsidRPr="007C6B55">
        <w:rPr>
          <w:rFonts w:asciiTheme="majorBidi" w:hAnsiTheme="majorBidi" w:cstheme="majorBidi"/>
          <w:sz w:val="20"/>
          <w:szCs w:val="20"/>
        </w:rPr>
        <w:t xml:space="preserve"> Tim Penyusun Kamus Pusat Bahasa Departemen Pendidikan Nasional, </w:t>
      </w:r>
      <w:r w:rsidRPr="001F751A">
        <w:rPr>
          <w:rFonts w:asciiTheme="majorBidi" w:hAnsiTheme="majorBidi" w:cstheme="majorBidi"/>
          <w:i/>
          <w:iCs/>
          <w:sz w:val="20"/>
          <w:szCs w:val="20"/>
        </w:rPr>
        <w:t>Kamus Besar Bahasa Indonesia</w:t>
      </w:r>
      <w:r w:rsidRPr="007C6B55">
        <w:rPr>
          <w:rFonts w:asciiTheme="majorBidi" w:hAnsiTheme="majorBidi" w:cstheme="majorBidi"/>
          <w:sz w:val="20"/>
          <w:szCs w:val="20"/>
        </w:rPr>
        <w:t xml:space="preserve"> (Ed. III; Cet. IV; Jakarta: Balai Pustaka, 2007), h. 109.</w:t>
      </w:r>
    </w:p>
  </w:footnote>
  <w:footnote w:id="404">
    <w:p w:rsidR="00343B61" w:rsidRPr="007C6B5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7C6B55">
        <w:rPr>
          <w:rStyle w:val="FootnoteReference"/>
          <w:rFonts w:asciiTheme="majorBidi" w:hAnsiTheme="majorBidi" w:cstheme="majorBidi"/>
          <w:sz w:val="20"/>
          <w:szCs w:val="20"/>
        </w:rPr>
        <w:footnoteRef/>
      </w:r>
      <w:r w:rsidRPr="007C6B55">
        <w:rPr>
          <w:rFonts w:asciiTheme="majorBidi" w:hAnsiTheme="majorBidi" w:cstheme="majorBidi"/>
          <w:sz w:val="20"/>
          <w:szCs w:val="20"/>
        </w:rPr>
        <w:t xml:space="preserve"> Lihat Nasrun Rusli, </w:t>
      </w:r>
      <w:r w:rsidRPr="001F751A">
        <w:rPr>
          <w:rFonts w:asciiTheme="majorBidi" w:hAnsiTheme="majorBidi" w:cstheme="majorBidi"/>
          <w:i/>
          <w:iCs/>
          <w:sz w:val="20"/>
          <w:szCs w:val="20"/>
        </w:rPr>
        <w:t>Konsep Ijtihad Al-Syaukani : Relevansinya bagi Pembaruan Hukum Islam di Indonesia</w:t>
      </w:r>
      <w:r w:rsidRPr="007C6B55">
        <w:rPr>
          <w:rFonts w:asciiTheme="majorBidi" w:hAnsiTheme="majorBidi" w:cstheme="majorBidi"/>
          <w:sz w:val="20"/>
          <w:szCs w:val="20"/>
        </w:rPr>
        <w:t xml:space="preserve"> (Cet. I; Jakarta: Logos, 1999), h. 170.</w:t>
      </w:r>
    </w:p>
  </w:footnote>
  <w:footnote w:id="405">
    <w:p w:rsidR="00343B61" w:rsidRPr="001B39F8" w:rsidRDefault="00343B61" w:rsidP="00343B61">
      <w:pPr>
        <w:pStyle w:val="FootnoteText"/>
        <w:ind w:firstLine="720"/>
        <w:jc w:val="both"/>
        <w:rPr>
          <w:rFonts w:asciiTheme="majorBidi" w:hAnsiTheme="majorBidi" w:cstheme="majorBidi"/>
        </w:rPr>
      </w:pPr>
      <w:r w:rsidRPr="001B39F8">
        <w:rPr>
          <w:rStyle w:val="FootnoteReference"/>
          <w:rFonts w:asciiTheme="majorBidi" w:hAnsiTheme="majorBidi" w:cstheme="majorBidi"/>
        </w:rPr>
        <w:footnoteRef/>
      </w:r>
      <w:r w:rsidRPr="001B39F8">
        <w:rPr>
          <w:rFonts w:asciiTheme="majorBidi" w:hAnsiTheme="majorBidi" w:cstheme="majorBidi"/>
        </w:rPr>
        <w:t xml:space="preserve"> </w:t>
      </w:r>
      <w:r w:rsidRPr="007C6B55">
        <w:rPr>
          <w:rFonts w:asciiTheme="majorBidi" w:hAnsiTheme="majorBidi" w:cstheme="majorBidi"/>
        </w:rPr>
        <w:t>Lihat</w:t>
      </w:r>
      <w:r w:rsidRPr="001B39F8">
        <w:rPr>
          <w:rFonts w:asciiTheme="majorBidi" w:hAnsiTheme="majorBidi" w:cstheme="majorBidi"/>
        </w:rPr>
        <w:t xml:space="preserve"> M. Hidayat Nur Wahid, “</w:t>
      </w:r>
      <w:r w:rsidRPr="007537EB">
        <w:rPr>
          <w:rFonts w:asciiTheme="majorBidi" w:hAnsiTheme="majorBidi" w:cstheme="majorBidi"/>
          <w:i/>
          <w:iCs/>
        </w:rPr>
        <w:t>Tajdid Sebagai sebuah Harokat ( Gerakan</w:t>
      </w:r>
      <w:r w:rsidRPr="001B39F8">
        <w:rPr>
          <w:rFonts w:asciiTheme="majorBidi" w:hAnsiTheme="majorBidi" w:cstheme="majorBidi"/>
        </w:rPr>
        <w:t xml:space="preserve">)” </w:t>
      </w:r>
      <w:r w:rsidRPr="001B39F8">
        <w:rPr>
          <w:rFonts w:asciiTheme="majorBidi" w:hAnsiTheme="majorBidi" w:cstheme="majorBidi"/>
          <w:i/>
          <w:iCs/>
        </w:rPr>
        <w:t>Jur</w:t>
      </w:r>
      <w:r>
        <w:rPr>
          <w:rFonts w:asciiTheme="majorBidi" w:hAnsiTheme="majorBidi" w:cstheme="majorBidi"/>
          <w:i/>
          <w:iCs/>
        </w:rPr>
        <w:t>n</w:t>
      </w:r>
      <w:r w:rsidRPr="001B39F8">
        <w:rPr>
          <w:rFonts w:asciiTheme="majorBidi" w:hAnsiTheme="majorBidi" w:cstheme="majorBidi"/>
          <w:i/>
          <w:iCs/>
        </w:rPr>
        <w:t>al Kajian Islam Ma’rifah</w:t>
      </w:r>
      <w:r w:rsidRPr="001B39F8">
        <w:rPr>
          <w:rFonts w:asciiTheme="majorBidi" w:hAnsiTheme="majorBidi" w:cstheme="majorBidi"/>
        </w:rPr>
        <w:t xml:space="preserve">, Vol. 2, Tahun 1415 / 1995, h. 28; Selain kata Tajdid, terkadang dipakai pula kata </w:t>
      </w:r>
      <w:r w:rsidRPr="001822E8">
        <w:rPr>
          <w:rFonts w:asciiTheme="majorBidi" w:hAnsiTheme="majorBidi" w:cstheme="majorBidi"/>
          <w:i/>
          <w:iCs/>
        </w:rPr>
        <w:t>ishlah</w:t>
      </w:r>
      <w:r w:rsidRPr="001B39F8">
        <w:rPr>
          <w:rFonts w:asciiTheme="majorBidi" w:hAnsiTheme="majorBidi" w:cstheme="majorBidi"/>
        </w:rPr>
        <w:t xml:space="preserve"> merupakan bentuk masdar dari kata </w:t>
      </w:r>
      <w:r w:rsidRPr="00084E11">
        <w:rPr>
          <w:rFonts w:asciiTheme="majorBidi" w:hAnsiTheme="majorBidi" w:cstheme="majorBidi"/>
          <w:i/>
          <w:iCs/>
        </w:rPr>
        <w:t>as</w:t>
      </w:r>
      <w:r>
        <w:rPr>
          <w:rFonts w:asciiTheme="majorBidi" w:hAnsiTheme="majorBidi" w:cstheme="majorBidi"/>
          <w:i/>
          <w:iCs/>
        </w:rPr>
        <w:t>h</w:t>
      </w:r>
      <w:r w:rsidRPr="00084E11">
        <w:rPr>
          <w:rFonts w:asciiTheme="majorBidi" w:hAnsiTheme="majorBidi" w:cstheme="majorBidi"/>
          <w:i/>
          <w:iCs/>
        </w:rPr>
        <w:t>laha-yus</w:t>
      </w:r>
      <w:r>
        <w:rPr>
          <w:rFonts w:asciiTheme="majorBidi" w:hAnsiTheme="majorBidi" w:cstheme="majorBidi"/>
          <w:i/>
          <w:iCs/>
        </w:rPr>
        <w:t>h</w:t>
      </w:r>
      <w:r w:rsidRPr="00084E11">
        <w:rPr>
          <w:rFonts w:asciiTheme="majorBidi" w:hAnsiTheme="majorBidi" w:cstheme="majorBidi"/>
          <w:i/>
          <w:iCs/>
        </w:rPr>
        <w:t>lihu</w:t>
      </w:r>
      <w:r w:rsidRPr="001B39F8">
        <w:rPr>
          <w:rFonts w:asciiTheme="majorBidi" w:hAnsiTheme="majorBidi" w:cstheme="majorBidi"/>
        </w:rPr>
        <w:t xml:space="preserve"> yang artinya memperbaiki atau perbaikan.</w:t>
      </w:r>
    </w:p>
  </w:footnote>
  <w:footnote w:id="406">
    <w:p w:rsidR="00343B61" w:rsidRPr="00A31B03" w:rsidRDefault="00343B61" w:rsidP="00343B61">
      <w:pPr>
        <w:pStyle w:val="FootnoteText"/>
        <w:ind w:firstLine="720"/>
        <w:jc w:val="both"/>
        <w:rPr>
          <w:rFonts w:asciiTheme="majorBidi" w:hAnsiTheme="majorBidi" w:cstheme="majorBidi"/>
        </w:rPr>
      </w:pPr>
      <w:r w:rsidRPr="00A31B03">
        <w:rPr>
          <w:rStyle w:val="FootnoteReference"/>
          <w:rFonts w:asciiTheme="majorBidi" w:hAnsiTheme="majorBidi" w:cstheme="majorBidi"/>
        </w:rPr>
        <w:footnoteRef/>
      </w:r>
      <w:r w:rsidRPr="00A31B03">
        <w:rPr>
          <w:rFonts w:asciiTheme="majorBidi" w:hAnsiTheme="majorBidi" w:cstheme="majorBidi"/>
        </w:rPr>
        <w:t xml:space="preserve"> </w:t>
      </w:r>
      <w:r w:rsidRPr="007C6B55">
        <w:rPr>
          <w:rFonts w:asciiTheme="majorBidi" w:hAnsiTheme="majorBidi" w:cstheme="majorBidi"/>
        </w:rPr>
        <w:t>Lihat</w:t>
      </w:r>
      <w:r>
        <w:rPr>
          <w:rFonts w:asciiTheme="majorBidi" w:hAnsiTheme="majorBidi" w:cstheme="majorBidi"/>
        </w:rPr>
        <w:t>.</w:t>
      </w:r>
      <w:r w:rsidRPr="00A31B03">
        <w:rPr>
          <w:rFonts w:asciiTheme="majorBidi" w:hAnsiTheme="majorBidi" w:cstheme="majorBidi"/>
        </w:rPr>
        <w:t xml:space="preserve"> Ibn </w:t>
      </w:r>
      <w:r>
        <w:rPr>
          <w:rFonts w:asciiTheme="majorBidi" w:hAnsiTheme="majorBidi" w:cstheme="majorBidi"/>
        </w:rPr>
        <w:t>Manzh</w:t>
      </w:r>
      <w:r w:rsidRPr="00AC6C5F">
        <w:rPr>
          <w:rFonts w:asciiTheme="majorBidi" w:hAnsiTheme="majorBidi" w:cstheme="majorBidi"/>
        </w:rPr>
        <w:t>ū</w:t>
      </w:r>
      <w:r w:rsidRPr="00DC7A5C">
        <w:rPr>
          <w:rFonts w:asciiTheme="majorBidi" w:hAnsiTheme="majorBidi" w:cstheme="majorBidi"/>
        </w:rPr>
        <w:t xml:space="preserve">r, </w:t>
      </w:r>
      <w:r w:rsidRPr="00DC7A5C">
        <w:rPr>
          <w:rFonts w:asciiTheme="majorBidi" w:hAnsiTheme="majorBidi" w:cstheme="majorBidi"/>
          <w:i/>
          <w:iCs/>
        </w:rPr>
        <w:t>Lis</w:t>
      </w:r>
      <w:r w:rsidRPr="00AC6C5F">
        <w:rPr>
          <w:rFonts w:asciiTheme="majorBidi" w:hAnsiTheme="majorBidi" w:cstheme="majorBidi"/>
          <w:i/>
          <w:iCs/>
        </w:rPr>
        <w:t>ā</w:t>
      </w:r>
      <w:r w:rsidRPr="00DC7A5C">
        <w:rPr>
          <w:rFonts w:asciiTheme="majorBidi" w:hAnsiTheme="majorBidi" w:cstheme="majorBidi"/>
          <w:i/>
          <w:iCs/>
        </w:rPr>
        <w:t>n al-Arab</w:t>
      </w:r>
      <w:r w:rsidRPr="00A31B03">
        <w:rPr>
          <w:rFonts w:asciiTheme="majorBidi" w:hAnsiTheme="majorBidi" w:cstheme="majorBidi"/>
        </w:rPr>
        <w:t xml:space="preserve">, ( Bairut: </w:t>
      </w:r>
      <w:r>
        <w:rPr>
          <w:rFonts w:asciiTheme="majorBidi" w:hAnsiTheme="majorBidi" w:cstheme="majorBidi"/>
        </w:rPr>
        <w:t>Dār al-Fikr</w:t>
      </w:r>
      <w:r w:rsidRPr="00A31B03">
        <w:rPr>
          <w:rFonts w:asciiTheme="majorBidi" w:hAnsiTheme="majorBidi" w:cstheme="majorBidi"/>
        </w:rPr>
        <w:t>, 1972), Juz III, h. 111</w:t>
      </w:r>
    </w:p>
  </w:footnote>
  <w:footnote w:id="407">
    <w:p w:rsidR="00343B61" w:rsidRPr="00684C72" w:rsidRDefault="00343B61" w:rsidP="00343B61">
      <w:pPr>
        <w:pStyle w:val="FootnoteText"/>
        <w:ind w:firstLine="720"/>
        <w:jc w:val="both"/>
        <w:rPr>
          <w:rFonts w:asciiTheme="majorBidi" w:hAnsiTheme="majorBidi" w:cstheme="majorBidi"/>
        </w:rPr>
      </w:pPr>
      <w:r w:rsidRPr="00684C72">
        <w:rPr>
          <w:rStyle w:val="FootnoteReference"/>
          <w:rFonts w:asciiTheme="majorBidi" w:hAnsiTheme="majorBidi" w:cstheme="majorBidi"/>
        </w:rPr>
        <w:footnoteRef/>
      </w:r>
      <w:r w:rsidRPr="00684C72">
        <w:rPr>
          <w:rFonts w:asciiTheme="majorBidi" w:hAnsiTheme="majorBidi" w:cstheme="majorBidi"/>
        </w:rPr>
        <w:t xml:space="preserve"> </w:t>
      </w:r>
      <w:r w:rsidRPr="007C6B55">
        <w:rPr>
          <w:rFonts w:asciiTheme="majorBidi" w:hAnsiTheme="majorBidi" w:cstheme="majorBidi"/>
        </w:rPr>
        <w:t>Lihat</w:t>
      </w:r>
      <w:r w:rsidRPr="00684C72">
        <w:rPr>
          <w:rFonts w:asciiTheme="majorBidi" w:hAnsiTheme="majorBidi" w:cstheme="majorBidi"/>
        </w:rPr>
        <w:t xml:space="preserve"> Abu Daud Sulaiman bin Al-asyats al-Sijistani, </w:t>
      </w:r>
      <w:r w:rsidRPr="00684C72">
        <w:rPr>
          <w:rFonts w:asciiTheme="majorBidi" w:hAnsiTheme="majorBidi" w:cstheme="majorBidi"/>
          <w:i/>
          <w:iCs/>
        </w:rPr>
        <w:t>Sunan Ab</w:t>
      </w:r>
      <w:r w:rsidRPr="00200EA8">
        <w:rPr>
          <w:rFonts w:asciiTheme="majorBidi" w:hAnsiTheme="majorBidi" w:cstheme="majorBidi"/>
          <w:i/>
          <w:iCs/>
        </w:rPr>
        <w:t>ū</w:t>
      </w:r>
      <w:r w:rsidRPr="00684C72">
        <w:rPr>
          <w:rFonts w:asciiTheme="majorBidi" w:hAnsiTheme="majorBidi" w:cstheme="majorBidi"/>
          <w:i/>
          <w:iCs/>
        </w:rPr>
        <w:t xml:space="preserve"> Daud</w:t>
      </w:r>
      <w:r w:rsidRPr="00684C72">
        <w:rPr>
          <w:rFonts w:asciiTheme="majorBidi" w:hAnsiTheme="majorBidi" w:cstheme="majorBidi"/>
        </w:rPr>
        <w:t xml:space="preserve">, ( Bairut: </w:t>
      </w:r>
      <w:r>
        <w:rPr>
          <w:rFonts w:asciiTheme="majorBidi" w:hAnsiTheme="majorBidi" w:cstheme="majorBidi"/>
        </w:rPr>
        <w:t>Dār al-Fikr</w:t>
      </w:r>
      <w:r w:rsidRPr="00684C72">
        <w:rPr>
          <w:rFonts w:asciiTheme="majorBidi" w:hAnsiTheme="majorBidi" w:cstheme="majorBidi"/>
        </w:rPr>
        <w:t>, t.th), Jilid, 4, h. 109. Jalal al-Din bin Abd Rahman bin Abi Bakar al-Suy</w:t>
      </w:r>
      <w:r w:rsidRPr="000009E1">
        <w:rPr>
          <w:rFonts w:asciiTheme="majorBidi" w:hAnsiTheme="majorBidi" w:cstheme="majorBidi"/>
        </w:rPr>
        <w:t>ū</w:t>
      </w:r>
      <w:r w:rsidRPr="00684C72">
        <w:rPr>
          <w:rFonts w:asciiTheme="majorBidi" w:hAnsiTheme="majorBidi" w:cstheme="majorBidi"/>
        </w:rPr>
        <w:t>th</w:t>
      </w:r>
      <w:r w:rsidRPr="00AC6C5F">
        <w:rPr>
          <w:rFonts w:asciiTheme="majorBidi" w:hAnsiTheme="majorBidi" w:cstheme="majorBidi"/>
        </w:rPr>
        <w:t>ī</w:t>
      </w:r>
      <w:r w:rsidRPr="00684C72">
        <w:rPr>
          <w:rFonts w:asciiTheme="majorBidi" w:hAnsiTheme="majorBidi" w:cstheme="majorBidi"/>
        </w:rPr>
        <w:t xml:space="preserve">, </w:t>
      </w:r>
      <w:r w:rsidRPr="00684C72">
        <w:rPr>
          <w:rFonts w:asciiTheme="majorBidi" w:hAnsiTheme="majorBidi" w:cstheme="majorBidi"/>
          <w:i/>
          <w:iCs/>
        </w:rPr>
        <w:t>Al-Jami’ al-Shagh</w:t>
      </w:r>
      <w:r w:rsidRPr="000009E1">
        <w:rPr>
          <w:rFonts w:asciiTheme="majorBidi" w:hAnsiTheme="majorBidi" w:cstheme="majorBidi"/>
          <w:i/>
          <w:iCs/>
        </w:rPr>
        <w:t>ī</w:t>
      </w:r>
      <w:r w:rsidRPr="00684C72">
        <w:rPr>
          <w:rFonts w:asciiTheme="majorBidi" w:hAnsiTheme="majorBidi" w:cstheme="majorBidi"/>
          <w:i/>
          <w:iCs/>
        </w:rPr>
        <w:t xml:space="preserve">r </w:t>
      </w:r>
      <w:r w:rsidRPr="00AC6C5F">
        <w:rPr>
          <w:rFonts w:asciiTheme="majorBidi" w:hAnsiTheme="majorBidi" w:cstheme="majorBidi"/>
          <w:i/>
          <w:iCs/>
        </w:rPr>
        <w:t>f</w:t>
      </w:r>
      <w:r w:rsidRPr="000009E1">
        <w:rPr>
          <w:rFonts w:asciiTheme="majorBidi" w:hAnsiTheme="majorBidi" w:cstheme="majorBidi"/>
          <w:i/>
          <w:iCs/>
        </w:rPr>
        <w:t xml:space="preserve">ī </w:t>
      </w:r>
      <w:r w:rsidRPr="00684C72">
        <w:rPr>
          <w:rFonts w:asciiTheme="majorBidi" w:hAnsiTheme="majorBidi" w:cstheme="majorBidi"/>
          <w:i/>
          <w:iCs/>
        </w:rPr>
        <w:t>Ah</w:t>
      </w:r>
      <w:r w:rsidRPr="00AC6C5F">
        <w:rPr>
          <w:rFonts w:asciiTheme="majorBidi" w:hAnsiTheme="majorBidi" w:cstheme="majorBidi"/>
          <w:i/>
          <w:iCs/>
        </w:rPr>
        <w:t>ā</w:t>
      </w:r>
      <w:r w:rsidRPr="00684C72">
        <w:rPr>
          <w:rFonts w:asciiTheme="majorBidi" w:hAnsiTheme="majorBidi" w:cstheme="majorBidi"/>
          <w:i/>
          <w:iCs/>
        </w:rPr>
        <w:t>d</w:t>
      </w:r>
      <w:r w:rsidRPr="000009E1">
        <w:rPr>
          <w:rFonts w:asciiTheme="majorBidi" w:hAnsiTheme="majorBidi" w:cstheme="majorBidi"/>
          <w:i/>
          <w:iCs/>
        </w:rPr>
        <w:t>ī</w:t>
      </w:r>
      <w:r w:rsidRPr="00684C72">
        <w:rPr>
          <w:rFonts w:asciiTheme="majorBidi" w:hAnsiTheme="majorBidi" w:cstheme="majorBidi"/>
          <w:i/>
          <w:iCs/>
        </w:rPr>
        <w:t>ts al-Basy</w:t>
      </w:r>
      <w:r w:rsidRPr="000009E1">
        <w:rPr>
          <w:rFonts w:asciiTheme="majorBidi" w:hAnsiTheme="majorBidi" w:cstheme="majorBidi"/>
          <w:i/>
          <w:iCs/>
        </w:rPr>
        <w:t>ī</w:t>
      </w:r>
      <w:r w:rsidRPr="00684C72">
        <w:rPr>
          <w:rFonts w:asciiTheme="majorBidi" w:hAnsiTheme="majorBidi" w:cstheme="majorBidi"/>
          <w:i/>
          <w:iCs/>
        </w:rPr>
        <w:t>r an-Nadz</w:t>
      </w:r>
      <w:r w:rsidRPr="000009E1">
        <w:rPr>
          <w:rFonts w:asciiTheme="majorBidi" w:hAnsiTheme="majorBidi" w:cstheme="majorBidi"/>
          <w:i/>
          <w:iCs/>
        </w:rPr>
        <w:t>ī</w:t>
      </w:r>
      <w:r w:rsidRPr="00684C72">
        <w:rPr>
          <w:rFonts w:asciiTheme="majorBidi" w:hAnsiTheme="majorBidi" w:cstheme="majorBidi"/>
          <w:i/>
          <w:iCs/>
        </w:rPr>
        <w:t>r</w:t>
      </w:r>
      <w:r w:rsidRPr="00684C72">
        <w:rPr>
          <w:rFonts w:asciiTheme="majorBidi" w:hAnsiTheme="majorBidi" w:cstheme="majorBidi"/>
        </w:rPr>
        <w:t xml:space="preserve">, ( Bairut: </w:t>
      </w:r>
      <w:r>
        <w:rPr>
          <w:rFonts w:asciiTheme="majorBidi" w:hAnsiTheme="majorBidi" w:cstheme="majorBidi"/>
        </w:rPr>
        <w:t>Dār al-Fikr</w:t>
      </w:r>
      <w:r w:rsidRPr="00684C72">
        <w:rPr>
          <w:rFonts w:asciiTheme="majorBidi" w:hAnsiTheme="majorBidi" w:cstheme="majorBidi"/>
        </w:rPr>
        <w:t>, t.th), jilid 1 h. 283</w:t>
      </w:r>
    </w:p>
  </w:footnote>
  <w:footnote w:id="408">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t xml:space="preserve"> ‘</w:t>
      </w:r>
      <w:r w:rsidRPr="009E77A8">
        <w:rPr>
          <w:rFonts w:asciiTheme="majorBidi" w:hAnsiTheme="majorBidi" w:cstheme="majorBidi"/>
        </w:rPr>
        <w:t>Ali bin Hisam al-Din al-Muttaqi al-Hind</w:t>
      </w:r>
      <w:r w:rsidRPr="00AC6C5F">
        <w:rPr>
          <w:rFonts w:asciiTheme="majorBidi" w:hAnsiTheme="majorBidi" w:cstheme="majorBidi"/>
        </w:rPr>
        <w:t>ī</w:t>
      </w:r>
      <w:r>
        <w:rPr>
          <w:rFonts w:asciiTheme="majorBidi" w:hAnsiTheme="majorBidi" w:cstheme="majorBidi"/>
        </w:rPr>
        <w:t xml:space="preserve">, </w:t>
      </w:r>
      <w:r w:rsidRPr="009E77A8">
        <w:rPr>
          <w:rFonts w:asciiTheme="majorBidi" w:hAnsiTheme="majorBidi" w:cstheme="majorBidi"/>
          <w:i/>
          <w:iCs/>
        </w:rPr>
        <w:t>Kanz Al-‘Umm</w:t>
      </w:r>
      <w:r w:rsidRPr="00AC6C5F">
        <w:rPr>
          <w:rFonts w:asciiTheme="majorBidi" w:hAnsiTheme="majorBidi" w:cstheme="majorBidi"/>
          <w:i/>
          <w:iCs/>
        </w:rPr>
        <w:t>ā</w:t>
      </w:r>
      <w:r w:rsidRPr="009E77A8">
        <w:rPr>
          <w:rFonts w:asciiTheme="majorBidi" w:hAnsiTheme="majorBidi" w:cstheme="majorBidi"/>
          <w:i/>
          <w:iCs/>
        </w:rPr>
        <w:t>l</w:t>
      </w:r>
      <w:r w:rsidRPr="009E77A8">
        <w:rPr>
          <w:rFonts w:asciiTheme="majorBidi" w:hAnsiTheme="majorBidi" w:cstheme="majorBidi"/>
        </w:rPr>
        <w:t>, ( Bairut: Muassasah al-Risalah, 1989), Jilid XII, h. 351.</w:t>
      </w:r>
      <w:r>
        <w:t xml:space="preserve"> </w:t>
      </w:r>
    </w:p>
  </w:footnote>
  <w:footnote w:id="409">
    <w:p w:rsidR="00343B61" w:rsidRDefault="00343B61" w:rsidP="00343B61">
      <w:pPr>
        <w:pStyle w:val="FootnoteText"/>
        <w:ind w:firstLine="720"/>
      </w:pPr>
      <w:r>
        <w:rPr>
          <w:rStyle w:val="FootnoteReference"/>
        </w:rPr>
        <w:footnoteRef/>
      </w:r>
      <w:r>
        <w:t xml:space="preserve"> </w:t>
      </w:r>
      <w:r w:rsidRPr="007C6B55">
        <w:rPr>
          <w:rFonts w:asciiTheme="majorBidi" w:hAnsiTheme="majorBidi" w:cstheme="majorBidi"/>
        </w:rPr>
        <w:t>Lihat</w:t>
      </w:r>
      <w:r w:rsidRPr="0008777F">
        <w:rPr>
          <w:rFonts w:asciiTheme="majorBidi" w:hAnsiTheme="majorBidi" w:cstheme="majorBidi"/>
        </w:rPr>
        <w:t xml:space="preserve"> Abi Thayyib Muhammad Syam al-Haq al-‘Adzim Abad</w:t>
      </w:r>
      <w:r w:rsidRPr="00AC6C5F">
        <w:rPr>
          <w:rFonts w:asciiTheme="majorBidi" w:hAnsiTheme="majorBidi" w:cstheme="majorBidi"/>
        </w:rPr>
        <w:t>ī</w:t>
      </w:r>
      <w:r w:rsidRPr="0008777F">
        <w:rPr>
          <w:rFonts w:asciiTheme="majorBidi" w:hAnsiTheme="majorBidi" w:cstheme="majorBidi"/>
        </w:rPr>
        <w:t>, ‘</w:t>
      </w:r>
      <w:r w:rsidRPr="0008777F">
        <w:rPr>
          <w:rFonts w:asciiTheme="majorBidi" w:hAnsiTheme="majorBidi" w:cstheme="majorBidi"/>
          <w:i/>
          <w:iCs/>
        </w:rPr>
        <w:t>Aun Al-Ma’b</w:t>
      </w:r>
      <w:r w:rsidRPr="0056354E">
        <w:rPr>
          <w:rFonts w:asciiTheme="majorBidi" w:hAnsiTheme="majorBidi" w:cstheme="majorBidi"/>
          <w:i/>
          <w:iCs/>
        </w:rPr>
        <w:t>ū</w:t>
      </w:r>
      <w:r w:rsidRPr="0008777F">
        <w:rPr>
          <w:rFonts w:asciiTheme="majorBidi" w:hAnsiTheme="majorBidi" w:cstheme="majorBidi"/>
          <w:i/>
          <w:iCs/>
        </w:rPr>
        <w:t>d Syarh Sunan Ab</w:t>
      </w:r>
      <w:r w:rsidRPr="0056354E">
        <w:rPr>
          <w:rFonts w:asciiTheme="majorBidi" w:hAnsiTheme="majorBidi" w:cstheme="majorBidi"/>
          <w:i/>
          <w:iCs/>
        </w:rPr>
        <w:t>ū</w:t>
      </w:r>
      <w:r w:rsidRPr="0008777F">
        <w:rPr>
          <w:rFonts w:asciiTheme="majorBidi" w:hAnsiTheme="majorBidi" w:cstheme="majorBidi"/>
          <w:i/>
          <w:iCs/>
        </w:rPr>
        <w:t xml:space="preserve"> Daud</w:t>
      </w:r>
      <w:r w:rsidRPr="0008777F">
        <w:rPr>
          <w:rFonts w:asciiTheme="majorBidi" w:hAnsiTheme="majorBidi" w:cstheme="majorBidi"/>
        </w:rPr>
        <w:t xml:space="preserve">, ( Bairt: </w:t>
      </w:r>
      <w:r>
        <w:rPr>
          <w:rFonts w:asciiTheme="majorBidi" w:hAnsiTheme="majorBidi" w:cstheme="majorBidi"/>
        </w:rPr>
        <w:t>Dār al-Fikr</w:t>
      </w:r>
      <w:r w:rsidRPr="0008777F">
        <w:rPr>
          <w:rFonts w:asciiTheme="majorBidi" w:hAnsiTheme="majorBidi" w:cstheme="majorBidi"/>
        </w:rPr>
        <w:t>, 1977), Juz, XI, h. 396.</w:t>
      </w:r>
    </w:p>
  </w:footnote>
  <w:footnote w:id="410">
    <w:p w:rsidR="00343B61" w:rsidRPr="00421CB3" w:rsidRDefault="00343B61" w:rsidP="00343B61">
      <w:pPr>
        <w:pStyle w:val="FootnoteText"/>
        <w:ind w:firstLine="720"/>
        <w:jc w:val="both"/>
        <w:rPr>
          <w:rFonts w:asciiTheme="majorBidi" w:hAnsiTheme="majorBidi" w:cstheme="majorBidi"/>
        </w:rPr>
      </w:pPr>
      <w:r w:rsidRPr="00421CB3">
        <w:rPr>
          <w:rStyle w:val="FootnoteReference"/>
          <w:rFonts w:asciiTheme="majorBidi" w:hAnsiTheme="majorBidi" w:cstheme="majorBidi"/>
        </w:rPr>
        <w:footnoteRef/>
      </w:r>
      <w:r w:rsidRPr="00421CB3">
        <w:rPr>
          <w:rFonts w:asciiTheme="majorBidi" w:hAnsiTheme="majorBidi" w:cstheme="majorBidi"/>
        </w:rPr>
        <w:t xml:space="preserve"> </w:t>
      </w:r>
      <w:r w:rsidRPr="007C6B55">
        <w:rPr>
          <w:rFonts w:asciiTheme="majorBidi" w:hAnsiTheme="majorBidi" w:cstheme="majorBidi"/>
        </w:rPr>
        <w:t>Lihat</w:t>
      </w:r>
      <w:r w:rsidRPr="00421CB3">
        <w:rPr>
          <w:rFonts w:asciiTheme="majorBidi" w:hAnsiTheme="majorBidi" w:cstheme="majorBidi"/>
        </w:rPr>
        <w:t xml:space="preserve"> Wahbah </w:t>
      </w:r>
      <w:r w:rsidRPr="00601A46">
        <w:rPr>
          <w:rFonts w:asciiTheme="majorBidi" w:hAnsiTheme="majorBidi" w:cstheme="majorBidi"/>
        </w:rPr>
        <w:t>al-Zuhail</w:t>
      </w:r>
      <w:r w:rsidRPr="00A0625A">
        <w:rPr>
          <w:rFonts w:asciiTheme="majorBidi" w:hAnsiTheme="majorBidi" w:cstheme="majorBidi"/>
        </w:rPr>
        <w:t>ī</w:t>
      </w:r>
      <w:r w:rsidRPr="00601A46">
        <w:rPr>
          <w:rFonts w:asciiTheme="majorBidi" w:hAnsiTheme="majorBidi" w:cstheme="majorBidi"/>
        </w:rPr>
        <w:t xml:space="preserve">, </w:t>
      </w:r>
      <w:r w:rsidRPr="00601A46">
        <w:rPr>
          <w:rFonts w:asciiTheme="majorBidi" w:hAnsiTheme="majorBidi" w:cstheme="majorBidi"/>
          <w:i/>
          <w:iCs/>
        </w:rPr>
        <w:t>Al-Fiqh al-Islāmi Wa Adillatuhū</w:t>
      </w:r>
      <w:r w:rsidRPr="00421CB3">
        <w:rPr>
          <w:rFonts w:asciiTheme="majorBidi" w:hAnsiTheme="majorBidi" w:cstheme="majorBidi"/>
        </w:rPr>
        <w:t>, ( Bairut: Dar al-Fkr, 1989), Jilid VI, h. 6</w:t>
      </w:r>
    </w:p>
  </w:footnote>
  <w:footnote w:id="411">
    <w:p w:rsidR="00343B61" w:rsidRPr="00421CB3" w:rsidRDefault="00343B61" w:rsidP="00343B61">
      <w:pPr>
        <w:pStyle w:val="FootnoteText"/>
        <w:ind w:firstLine="720"/>
        <w:jc w:val="both"/>
        <w:rPr>
          <w:rFonts w:asciiTheme="majorBidi" w:hAnsiTheme="majorBidi" w:cstheme="majorBidi"/>
        </w:rPr>
      </w:pPr>
      <w:r w:rsidRPr="00421CB3">
        <w:rPr>
          <w:rStyle w:val="FootnoteReference"/>
          <w:rFonts w:asciiTheme="majorBidi" w:hAnsiTheme="majorBidi" w:cstheme="majorBidi"/>
        </w:rPr>
        <w:footnoteRef/>
      </w:r>
      <w:r w:rsidRPr="00421CB3">
        <w:rPr>
          <w:rFonts w:asciiTheme="majorBidi" w:hAnsiTheme="majorBidi" w:cstheme="majorBidi"/>
        </w:rPr>
        <w:t xml:space="preserve"> </w:t>
      </w:r>
      <w:r w:rsidRPr="007C6B55">
        <w:rPr>
          <w:rFonts w:asciiTheme="majorBidi" w:hAnsiTheme="majorBidi" w:cstheme="majorBidi"/>
        </w:rPr>
        <w:t>Lihat</w:t>
      </w:r>
      <w:r w:rsidRPr="00421CB3">
        <w:rPr>
          <w:rFonts w:asciiTheme="majorBidi" w:hAnsiTheme="majorBidi" w:cstheme="majorBidi"/>
        </w:rPr>
        <w:t xml:space="preserve"> Abdul Wahhad </w:t>
      </w:r>
      <w:r w:rsidRPr="004E334F">
        <w:rPr>
          <w:rFonts w:asciiTheme="majorBidi" w:hAnsiTheme="majorBidi" w:cstheme="majorBidi"/>
          <w:lang w:val="id-ID"/>
        </w:rPr>
        <w:t>Khal</w:t>
      </w:r>
      <w:r w:rsidRPr="004E334F">
        <w:rPr>
          <w:rFonts w:asciiTheme="majorBidi" w:hAnsiTheme="majorBidi" w:cstheme="majorBidi"/>
        </w:rPr>
        <w:t>l</w:t>
      </w:r>
      <w:r w:rsidRPr="004E334F">
        <w:rPr>
          <w:rFonts w:asciiTheme="majorBidi" w:hAnsiTheme="majorBidi" w:cstheme="majorBidi"/>
          <w:lang w:val="id-ID"/>
        </w:rPr>
        <w:t>āf</w:t>
      </w:r>
      <w:r>
        <w:rPr>
          <w:rFonts w:asciiTheme="majorBidi" w:hAnsiTheme="majorBidi" w:cstheme="majorBidi"/>
        </w:rPr>
        <w:t>,</w:t>
      </w:r>
      <w:r w:rsidRPr="00D546A2">
        <w:rPr>
          <w:rFonts w:asciiTheme="majorBidi" w:hAnsiTheme="majorBidi" w:cstheme="majorBidi"/>
          <w:i/>
          <w:iCs/>
        </w:rPr>
        <w:t xml:space="preserve"> </w:t>
      </w:r>
      <w:r w:rsidRPr="00601A46">
        <w:rPr>
          <w:rFonts w:asciiTheme="majorBidi" w:hAnsiTheme="majorBidi" w:cstheme="majorBidi"/>
          <w:i/>
          <w:iCs/>
        </w:rPr>
        <w:t>Usūl al-Fiqh</w:t>
      </w:r>
      <w:r w:rsidRPr="00421CB3">
        <w:rPr>
          <w:rFonts w:asciiTheme="majorBidi" w:hAnsiTheme="majorBidi" w:cstheme="majorBidi"/>
        </w:rPr>
        <w:t>, ( t.tp: Maktabah al-Dakwa al-Islamiyah, t.t), h. 32</w:t>
      </w:r>
    </w:p>
  </w:footnote>
  <w:footnote w:id="412">
    <w:p w:rsidR="00343B61" w:rsidRPr="004A2933" w:rsidRDefault="00343B61" w:rsidP="00343B61">
      <w:pPr>
        <w:pStyle w:val="ListParagraph"/>
        <w:spacing w:after="0" w:line="240" w:lineRule="auto"/>
        <w:ind w:left="0" w:firstLine="720"/>
        <w:jc w:val="both"/>
        <w:rPr>
          <w:rFonts w:asciiTheme="majorBidi" w:hAnsiTheme="majorBidi" w:cstheme="majorBidi"/>
          <w:sz w:val="20"/>
          <w:szCs w:val="20"/>
        </w:rPr>
      </w:pPr>
      <w:r w:rsidRPr="00421CB3">
        <w:rPr>
          <w:rStyle w:val="FootnoteReference"/>
          <w:rFonts w:asciiTheme="majorBidi" w:hAnsiTheme="majorBidi" w:cstheme="majorBidi"/>
        </w:rPr>
        <w:footnoteRef/>
      </w:r>
      <w:r w:rsidRPr="00421CB3">
        <w:rPr>
          <w:rFonts w:asciiTheme="majorBidi" w:hAnsiTheme="majorBidi" w:cstheme="majorBidi"/>
        </w:rPr>
        <w:t xml:space="preserve"> </w:t>
      </w:r>
      <w:r w:rsidRPr="00E847E8">
        <w:rPr>
          <w:rFonts w:asciiTheme="majorBidi" w:hAnsiTheme="majorBidi" w:cstheme="majorBidi"/>
          <w:sz w:val="20"/>
          <w:szCs w:val="20"/>
        </w:rPr>
        <w:t xml:space="preserve">Adapun istilah-Istilah yang dipakai dalam kitab-kitab fiqh bahasa Arab untuk maksud Hukum Keluarga adalah; al-Aḥwāl al-Syakhsiyah, Nizdām al-Usrah, Huqūq al-Usrah, ahkām Munakaḥāt. Sementara istilah yang dipakai dalam bahasa Arab Perundang-undangan adalah;  qanūn al-Aḥwāl al-Syakhsiyah, qanūn al-Usrah, qanūn </w:t>
      </w:r>
      <w:r w:rsidRPr="00E847E8">
        <w:rPr>
          <w:rFonts w:asciiTheme="majorBidi" w:hAnsiTheme="majorBidi" w:cstheme="majorBidi"/>
          <w:sz w:val="20"/>
          <w:szCs w:val="20"/>
          <w:lang w:val="id-ID"/>
        </w:rPr>
        <w:t>h</w:t>
      </w:r>
      <w:r w:rsidRPr="00E847E8">
        <w:rPr>
          <w:rFonts w:asciiTheme="majorBidi" w:hAnsiTheme="majorBidi" w:cstheme="majorBidi"/>
          <w:sz w:val="20"/>
          <w:szCs w:val="20"/>
        </w:rPr>
        <w:t xml:space="preserve">uqūq al-‘ Āilah, Ahkām al-Zawāj dan aḥkām al-Izdiwāj.  Dalam bahasa Inggris, baik dalam buku-buku maupun perundang-undangan Hukum Keluarga Islam Kontemporer digunakan istilah-istilah sebagai berikut; </w:t>
      </w:r>
      <w:r w:rsidRPr="00E847E8">
        <w:rPr>
          <w:rFonts w:asciiTheme="majorBidi" w:hAnsiTheme="majorBidi" w:cstheme="majorBidi"/>
          <w:i/>
          <w:iCs/>
          <w:sz w:val="20"/>
          <w:szCs w:val="20"/>
        </w:rPr>
        <w:t>Islamic Personal  Law, Islamic Family Law, Muslim Family Law, Islamic Family Protection, Islamic Law of Per</w:t>
      </w:r>
      <w:r>
        <w:rPr>
          <w:rFonts w:asciiTheme="majorBidi" w:hAnsiTheme="majorBidi" w:cstheme="majorBidi"/>
          <w:i/>
          <w:iCs/>
          <w:sz w:val="20"/>
          <w:szCs w:val="20"/>
        </w:rPr>
        <w:t>sonal Status, Islamic Law of Family ri</w:t>
      </w:r>
      <w:r w:rsidRPr="00E847E8">
        <w:rPr>
          <w:rFonts w:asciiTheme="majorBidi" w:hAnsiTheme="majorBidi" w:cstheme="majorBidi"/>
          <w:i/>
          <w:iCs/>
          <w:sz w:val="20"/>
          <w:szCs w:val="20"/>
        </w:rPr>
        <w:t>ght, Islamic Marriage L</w:t>
      </w:r>
      <w:r>
        <w:rPr>
          <w:rFonts w:asciiTheme="majorBidi" w:hAnsiTheme="majorBidi" w:cstheme="majorBidi"/>
          <w:i/>
          <w:iCs/>
          <w:sz w:val="20"/>
          <w:szCs w:val="20"/>
        </w:rPr>
        <w:t>aw dan Islamic Marriage Ordinan</w:t>
      </w:r>
      <w:r w:rsidRPr="00E847E8">
        <w:rPr>
          <w:rFonts w:asciiTheme="majorBidi" w:hAnsiTheme="majorBidi" w:cstheme="majorBidi"/>
          <w:i/>
          <w:iCs/>
          <w:sz w:val="20"/>
          <w:szCs w:val="20"/>
        </w:rPr>
        <w:t>ce.</w:t>
      </w:r>
      <w:r w:rsidRPr="00E847E8">
        <w:rPr>
          <w:rFonts w:asciiTheme="majorBidi" w:hAnsiTheme="majorBidi" w:cstheme="majorBidi"/>
          <w:sz w:val="20"/>
          <w:szCs w:val="20"/>
        </w:rPr>
        <w:t xml:space="preserve"> Sementara dalam bahasa Indonesia digunakan Istilah; Hukum Perkawinan, Hukum Keluarga, Hukum Kekeluargaan dan Hukum Perorangan. </w:t>
      </w:r>
      <w:r w:rsidRPr="007C6B55">
        <w:rPr>
          <w:rFonts w:asciiTheme="majorBidi" w:hAnsiTheme="majorBidi" w:cstheme="majorBidi"/>
        </w:rPr>
        <w:t>Lihat</w:t>
      </w:r>
      <w:r w:rsidRPr="00421CB3">
        <w:rPr>
          <w:rFonts w:asciiTheme="majorBidi" w:hAnsiTheme="majorBidi" w:cstheme="majorBidi"/>
        </w:rPr>
        <w:t xml:space="preserve"> Kharuddin Nasution, </w:t>
      </w:r>
      <w:r w:rsidRPr="00421CB3">
        <w:rPr>
          <w:rFonts w:asciiTheme="majorBidi" w:hAnsiTheme="majorBidi" w:cstheme="majorBidi"/>
          <w:i/>
          <w:iCs/>
        </w:rPr>
        <w:t>Hukum Keluara (perdata) Islam Indonesia</w:t>
      </w:r>
      <w:r w:rsidRPr="00421CB3">
        <w:rPr>
          <w:rFonts w:asciiTheme="majorBidi" w:hAnsiTheme="majorBidi" w:cstheme="majorBidi"/>
        </w:rPr>
        <w:t>,</w:t>
      </w:r>
      <w:r>
        <w:rPr>
          <w:rFonts w:asciiTheme="majorBidi" w:hAnsiTheme="majorBidi" w:cstheme="majorBidi"/>
        </w:rPr>
        <w:t xml:space="preserve"> </w:t>
      </w:r>
      <w:r w:rsidRPr="00421CB3">
        <w:rPr>
          <w:rFonts w:asciiTheme="majorBidi" w:hAnsiTheme="majorBidi" w:cstheme="majorBidi"/>
        </w:rPr>
        <w:t>(Yogyakarta: Academia &amp; Tazzafa, 2010), h. 8</w:t>
      </w:r>
    </w:p>
  </w:footnote>
  <w:footnote w:id="413">
    <w:p w:rsidR="00343B61" w:rsidRPr="007C6B5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7C6B55">
        <w:rPr>
          <w:rStyle w:val="FootnoteReference"/>
          <w:rFonts w:asciiTheme="majorBidi" w:hAnsiTheme="majorBidi" w:cstheme="majorBidi"/>
          <w:sz w:val="20"/>
          <w:szCs w:val="20"/>
        </w:rPr>
        <w:footnoteRef/>
      </w:r>
      <w:r w:rsidRPr="007C6B55">
        <w:rPr>
          <w:rFonts w:asciiTheme="majorBidi" w:hAnsiTheme="majorBidi" w:cstheme="majorBidi"/>
          <w:sz w:val="20"/>
          <w:szCs w:val="20"/>
        </w:rPr>
        <w:t xml:space="preserve"> Lihat Abdul Manan, </w:t>
      </w:r>
      <w:r w:rsidRPr="007C6B55">
        <w:rPr>
          <w:rFonts w:asciiTheme="majorBidi" w:hAnsiTheme="majorBidi" w:cstheme="majorBidi"/>
          <w:i/>
          <w:iCs/>
          <w:sz w:val="20"/>
          <w:szCs w:val="20"/>
        </w:rPr>
        <w:t>Aspek-aspek Pengubah Hukum</w:t>
      </w:r>
      <w:r w:rsidRPr="007C6B55">
        <w:rPr>
          <w:rFonts w:asciiTheme="majorBidi" w:hAnsiTheme="majorBidi" w:cstheme="majorBidi"/>
          <w:sz w:val="20"/>
          <w:szCs w:val="20"/>
        </w:rPr>
        <w:t xml:space="preserve"> (Ed. I; Cet. III; Jakarta: Kencana Prenada Media, 2005), h. 225.</w:t>
      </w:r>
    </w:p>
  </w:footnote>
  <w:footnote w:id="414">
    <w:p w:rsidR="00343B61" w:rsidRPr="001B6CA6" w:rsidRDefault="00343B61" w:rsidP="00343B61">
      <w:pPr>
        <w:autoSpaceDE w:val="0"/>
        <w:autoSpaceDN w:val="0"/>
        <w:adjustRightInd w:val="0"/>
        <w:spacing w:after="0" w:line="240" w:lineRule="auto"/>
        <w:ind w:firstLine="720"/>
        <w:jc w:val="both"/>
        <w:rPr>
          <w:rFonts w:ascii="Times New Arabic+FPEF" w:hAnsi="Times New Roman" w:cs="Times New Arabic+FPEF"/>
          <w:sz w:val="20"/>
          <w:szCs w:val="20"/>
        </w:rPr>
      </w:pPr>
      <w:r w:rsidRPr="007C6B55">
        <w:rPr>
          <w:rStyle w:val="FootnoteReference"/>
          <w:rFonts w:asciiTheme="majorBidi" w:hAnsiTheme="majorBidi" w:cstheme="majorBidi"/>
          <w:sz w:val="20"/>
          <w:szCs w:val="20"/>
        </w:rPr>
        <w:footnoteRef/>
      </w:r>
      <w:r w:rsidRPr="007C6B55">
        <w:rPr>
          <w:rFonts w:asciiTheme="majorBidi" w:hAnsiTheme="majorBidi" w:cstheme="majorBidi"/>
          <w:sz w:val="20"/>
          <w:szCs w:val="20"/>
        </w:rPr>
        <w:t xml:space="preserve"> Lihat Amir Syarifuddin, </w:t>
      </w:r>
      <w:r w:rsidRPr="008712FC">
        <w:rPr>
          <w:rFonts w:asciiTheme="majorBidi" w:hAnsiTheme="majorBidi" w:cstheme="majorBidi"/>
          <w:i/>
          <w:iCs/>
          <w:sz w:val="20"/>
          <w:szCs w:val="20"/>
        </w:rPr>
        <w:t>Pembaharuan Pemikiran dalam Hukum Islam</w:t>
      </w:r>
      <w:r w:rsidRPr="007C6B55">
        <w:rPr>
          <w:rFonts w:asciiTheme="majorBidi" w:hAnsiTheme="majorBidi" w:cstheme="majorBidi"/>
          <w:sz w:val="20"/>
          <w:szCs w:val="20"/>
        </w:rPr>
        <w:t xml:space="preserve"> ( Padang: Angkasa Raya, 1993),</w:t>
      </w:r>
      <w:r w:rsidRPr="009F2A6B">
        <w:rPr>
          <w:rFonts w:asciiTheme="majorBidi" w:hAnsiTheme="majorBidi" w:cstheme="majorBidi"/>
          <w:sz w:val="20"/>
          <w:szCs w:val="20"/>
        </w:rPr>
        <w:t xml:space="preserve"> </w:t>
      </w:r>
      <w:r w:rsidRPr="007C6B55">
        <w:rPr>
          <w:rFonts w:asciiTheme="majorBidi" w:hAnsiTheme="majorBidi" w:cstheme="majorBidi"/>
          <w:sz w:val="20"/>
          <w:szCs w:val="20"/>
        </w:rPr>
        <w:t>Cet. II</w:t>
      </w:r>
      <w:r>
        <w:rPr>
          <w:rFonts w:asciiTheme="majorBidi" w:hAnsiTheme="majorBidi" w:cstheme="majorBidi"/>
          <w:sz w:val="20"/>
          <w:szCs w:val="20"/>
        </w:rPr>
        <w:t>,</w:t>
      </w:r>
      <w:r w:rsidRPr="007C6B55">
        <w:rPr>
          <w:rFonts w:asciiTheme="majorBidi" w:hAnsiTheme="majorBidi" w:cstheme="majorBidi"/>
          <w:sz w:val="20"/>
          <w:szCs w:val="20"/>
        </w:rPr>
        <w:t xml:space="preserve"> h. 120.</w:t>
      </w:r>
    </w:p>
  </w:footnote>
  <w:footnote w:id="415">
    <w:p w:rsidR="00343B61" w:rsidRPr="000F02B9" w:rsidRDefault="00343B61" w:rsidP="00343B61">
      <w:pPr>
        <w:pStyle w:val="FootnoteText"/>
        <w:ind w:firstLine="720"/>
        <w:jc w:val="both"/>
        <w:rPr>
          <w:rFonts w:asciiTheme="majorBidi" w:hAnsiTheme="majorBidi" w:cstheme="majorBidi"/>
        </w:rPr>
      </w:pPr>
      <w:r w:rsidRPr="000F02B9">
        <w:rPr>
          <w:rStyle w:val="FootnoteReference"/>
          <w:rFonts w:asciiTheme="majorBidi" w:hAnsiTheme="majorBidi" w:cstheme="majorBidi"/>
        </w:rPr>
        <w:footnoteRef/>
      </w:r>
      <w:r w:rsidRPr="000F02B9">
        <w:rPr>
          <w:rFonts w:asciiTheme="majorBidi" w:hAnsiTheme="majorBidi" w:cstheme="majorBidi"/>
        </w:rPr>
        <w:t xml:space="preserve"> </w:t>
      </w:r>
      <w:r w:rsidRPr="007C6B55">
        <w:rPr>
          <w:rFonts w:asciiTheme="majorBidi" w:hAnsiTheme="majorBidi" w:cstheme="majorBidi"/>
        </w:rPr>
        <w:t>Lihat</w:t>
      </w:r>
      <w:r w:rsidRPr="000F02B9">
        <w:rPr>
          <w:rFonts w:asciiTheme="majorBidi" w:hAnsiTheme="majorBidi" w:cstheme="majorBidi"/>
        </w:rPr>
        <w:t xml:space="preserve"> Asni, </w:t>
      </w:r>
      <w:r w:rsidRPr="000F02B9">
        <w:rPr>
          <w:rFonts w:asciiTheme="majorBidi" w:hAnsiTheme="majorBidi" w:cstheme="majorBidi"/>
          <w:i/>
          <w:iCs/>
        </w:rPr>
        <w:t>Pembaruan Hukum Islam Indoensia: Telaah Epstemologis Kedudukan Perempuan da</w:t>
      </w:r>
      <w:r>
        <w:rPr>
          <w:rFonts w:asciiTheme="majorBidi" w:hAnsiTheme="majorBidi" w:cstheme="majorBidi"/>
          <w:i/>
          <w:iCs/>
        </w:rPr>
        <w:t>lam</w:t>
      </w:r>
      <w:r w:rsidRPr="000F02B9">
        <w:rPr>
          <w:rFonts w:asciiTheme="majorBidi" w:hAnsiTheme="majorBidi" w:cstheme="majorBidi"/>
          <w:i/>
          <w:iCs/>
        </w:rPr>
        <w:t xml:space="preserve"> Hukum Keluarga</w:t>
      </w:r>
      <w:r w:rsidRPr="000F02B9">
        <w:rPr>
          <w:rFonts w:asciiTheme="majorBidi" w:hAnsiTheme="majorBidi" w:cstheme="majorBidi"/>
        </w:rPr>
        <w:t xml:space="preserve"> ( Jakarat: Direktorat Pendidikan Tinggi Islam DIrektorat Jenderal Pendidikan Islam Kementerian Agama RI, 2012), h. 46 </w:t>
      </w:r>
    </w:p>
  </w:footnote>
  <w:footnote w:id="416">
    <w:p w:rsidR="00343B61" w:rsidRPr="00EE3745" w:rsidRDefault="00343B61" w:rsidP="00343B61">
      <w:pPr>
        <w:pStyle w:val="FootnoteText"/>
        <w:ind w:firstLine="720"/>
        <w:jc w:val="both"/>
        <w:rPr>
          <w:rFonts w:asciiTheme="majorBidi" w:hAnsiTheme="majorBidi" w:cstheme="majorBidi"/>
        </w:rPr>
      </w:pPr>
      <w:r w:rsidRPr="00EE3745">
        <w:rPr>
          <w:rStyle w:val="FootnoteReference"/>
          <w:rFonts w:asciiTheme="majorBidi" w:hAnsiTheme="majorBidi" w:cstheme="majorBidi"/>
        </w:rPr>
        <w:footnoteRef/>
      </w:r>
      <w:r w:rsidRPr="00EE3745">
        <w:rPr>
          <w:rFonts w:asciiTheme="majorBidi" w:hAnsiTheme="majorBidi" w:cstheme="majorBidi"/>
        </w:rPr>
        <w:t xml:space="preserve"> </w:t>
      </w:r>
      <w:r w:rsidRPr="007C6B55">
        <w:rPr>
          <w:rFonts w:asciiTheme="majorBidi" w:hAnsiTheme="majorBidi" w:cstheme="majorBidi"/>
        </w:rPr>
        <w:t>Lihat</w:t>
      </w:r>
      <w:r w:rsidRPr="00EE3745">
        <w:rPr>
          <w:rFonts w:asciiTheme="majorBidi" w:hAnsiTheme="majorBidi" w:cstheme="majorBidi"/>
        </w:rPr>
        <w:t xml:space="preserve"> Rene Davis and John E.C Brierlay, </w:t>
      </w:r>
      <w:r w:rsidRPr="00EE3745">
        <w:rPr>
          <w:rFonts w:asciiTheme="majorBidi" w:hAnsiTheme="majorBidi" w:cstheme="majorBidi"/>
          <w:i/>
          <w:iCs/>
        </w:rPr>
        <w:t>Major Legal System in the Wor</w:t>
      </w:r>
      <w:r>
        <w:rPr>
          <w:rFonts w:asciiTheme="majorBidi" w:hAnsiTheme="majorBidi" w:cstheme="majorBidi"/>
          <w:i/>
          <w:iCs/>
        </w:rPr>
        <w:t>l</w:t>
      </w:r>
      <w:r w:rsidRPr="00EE3745">
        <w:rPr>
          <w:rFonts w:asciiTheme="majorBidi" w:hAnsiTheme="majorBidi" w:cstheme="majorBidi"/>
          <w:i/>
          <w:iCs/>
        </w:rPr>
        <w:t>d Today</w:t>
      </w:r>
      <w:r>
        <w:rPr>
          <w:rFonts w:asciiTheme="majorBidi" w:hAnsiTheme="majorBidi" w:cstheme="majorBidi"/>
          <w:i/>
          <w:iCs/>
        </w:rPr>
        <w:t>: An Introd</w:t>
      </w:r>
      <w:r w:rsidRPr="00EE3745">
        <w:rPr>
          <w:rFonts w:asciiTheme="majorBidi" w:hAnsiTheme="majorBidi" w:cstheme="majorBidi"/>
          <w:i/>
          <w:iCs/>
        </w:rPr>
        <w:t>uction to the Comparative Study of Law</w:t>
      </w:r>
      <w:r w:rsidRPr="00EE3745">
        <w:rPr>
          <w:rFonts w:asciiTheme="majorBidi" w:hAnsiTheme="majorBidi" w:cstheme="majorBidi"/>
        </w:rPr>
        <w:t>, ( London: Steven&amp; Sons), h. 466</w:t>
      </w:r>
    </w:p>
  </w:footnote>
  <w:footnote w:id="417">
    <w:p w:rsidR="00343B61" w:rsidRPr="002A09EC" w:rsidRDefault="00343B61" w:rsidP="00343B61">
      <w:pPr>
        <w:pStyle w:val="FootnoteText"/>
        <w:ind w:firstLine="720"/>
        <w:jc w:val="both"/>
        <w:rPr>
          <w:rFonts w:asciiTheme="majorBidi" w:hAnsiTheme="majorBidi" w:cstheme="majorBidi"/>
        </w:rPr>
      </w:pPr>
      <w:r w:rsidRPr="002A09EC">
        <w:rPr>
          <w:rStyle w:val="FootnoteReference"/>
          <w:rFonts w:asciiTheme="majorBidi" w:hAnsiTheme="majorBidi" w:cstheme="majorBidi"/>
        </w:rPr>
        <w:footnoteRef/>
      </w:r>
      <w:r w:rsidRPr="002A09EC">
        <w:rPr>
          <w:rFonts w:asciiTheme="majorBidi" w:hAnsiTheme="majorBidi" w:cstheme="majorBidi"/>
        </w:rPr>
        <w:t xml:space="preserve"> </w:t>
      </w:r>
      <w:r w:rsidRPr="007C6B55">
        <w:rPr>
          <w:rFonts w:asciiTheme="majorBidi" w:hAnsiTheme="majorBidi" w:cstheme="majorBidi"/>
        </w:rPr>
        <w:t>Lihat</w:t>
      </w:r>
      <w:r w:rsidRPr="002A09EC">
        <w:rPr>
          <w:rFonts w:asciiTheme="majorBidi" w:hAnsiTheme="majorBidi" w:cstheme="majorBidi"/>
        </w:rPr>
        <w:t xml:space="preserve"> Amir Mu'alim dan Yusdan</w:t>
      </w:r>
      <w:r>
        <w:rPr>
          <w:rFonts w:asciiTheme="majorBidi" w:hAnsiTheme="majorBidi" w:cstheme="majorBidi"/>
        </w:rPr>
        <w:t xml:space="preserve">i, </w:t>
      </w:r>
      <w:r w:rsidRPr="002A09EC">
        <w:rPr>
          <w:rFonts w:asciiTheme="majorBidi" w:hAnsiTheme="majorBidi" w:cstheme="majorBidi"/>
          <w:i/>
          <w:iCs/>
        </w:rPr>
        <w:t>Konfigurasi Pemikiran Hukum Islam</w:t>
      </w:r>
      <w:r w:rsidRPr="002A09EC">
        <w:rPr>
          <w:rFonts w:asciiTheme="majorBidi" w:hAnsiTheme="majorBidi" w:cstheme="majorBidi"/>
        </w:rPr>
        <w:t xml:space="preserve">, </w:t>
      </w:r>
      <w:r>
        <w:rPr>
          <w:rFonts w:asciiTheme="majorBidi" w:hAnsiTheme="majorBidi" w:cstheme="majorBidi"/>
        </w:rPr>
        <w:t>( Yogyakarta: UII Pess, 2001) h</w:t>
      </w:r>
      <w:r w:rsidRPr="002A09EC">
        <w:rPr>
          <w:rFonts w:asciiTheme="majorBidi" w:hAnsiTheme="majorBidi" w:cstheme="majorBidi"/>
        </w:rPr>
        <w:t>. 15</w:t>
      </w:r>
    </w:p>
  </w:footnote>
  <w:footnote w:id="418">
    <w:p w:rsidR="00343B61" w:rsidRPr="00A73103" w:rsidRDefault="00343B61" w:rsidP="00343B61">
      <w:pPr>
        <w:autoSpaceDE w:val="0"/>
        <w:autoSpaceDN w:val="0"/>
        <w:adjustRightInd w:val="0"/>
        <w:spacing w:after="0" w:line="240" w:lineRule="auto"/>
        <w:ind w:firstLine="720"/>
        <w:jc w:val="both"/>
        <w:rPr>
          <w:rFonts w:ascii="Times New Roman" w:hAnsi="Times New Roman" w:cs="Times New Roman"/>
          <w:sz w:val="19"/>
          <w:szCs w:val="19"/>
        </w:rPr>
      </w:pPr>
      <w:r>
        <w:rPr>
          <w:rStyle w:val="FootnoteReference"/>
        </w:rPr>
        <w:footnoteRef/>
      </w:r>
      <w:r>
        <w:t xml:space="preserve"> </w:t>
      </w:r>
      <w:r w:rsidRPr="007C6B55">
        <w:rPr>
          <w:rFonts w:asciiTheme="majorBidi" w:hAnsiTheme="majorBidi" w:cstheme="majorBidi"/>
        </w:rPr>
        <w:t>Lihat</w:t>
      </w:r>
      <w:r>
        <w:rPr>
          <w:rFonts w:ascii="Times New Roman" w:hAnsi="Times New Roman" w:cs="Times New Roman"/>
          <w:sz w:val="19"/>
          <w:szCs w:val="19"/>
        </w:rPr>
        <w:t xml:space="preserve"> Sulaiman Abdullah, </w:t>
      </w:r>
      <w:r w:rsidRPr="00CF4BD9">
        <w:rPr>
          <w:rFonts w:ascii="Times New Roman" w:hAnsi="Times New Roman" w:cs="Times New Roman"/>
          <w:i/>
          <w:iCs/>
          <w:sz w:val="19"/>
          <w:szCs w:val="19"/>
        </w:rPr>
        <w:t xml:space="preserve">Dinamika Qiyas dalam Pembaharuan Hukum Islam: </w:t>
      </w:r>
      <w:r>
        <w:rPr>
          <w:rFonts w:ascii="Times New Roman" w:hAnsi="Times New Roman" w:cs="Times New Roman"/>
          <w:i/>
          <w:iCs/>
          <w:sz w:val="19"/>
          <w:szCs w:val="19"/>
        </w:rPr>
        <w:t>kajian Konsep Qiyas Imam Syafi'i</w:t>
      </w:r>
      <w:r>
        <w:rPr>
          <w:rFonts w:ascii="Times New Roman" w:hAnsi="Times New Roman" w:cs="Times New Roman"/>
          <w:sz w:val="19"/>
          <w:szCs w:val="19"/>
        </w:rPr>
        <w:t>, ( Jakarta: pedoman Ilmu Jaya, 1966), h. 214.</w:t>
      </w:r>
    </w:p>
  </w:footnote>
  <w:footnote w:id="419">
    <w:p w:rsidR="00343B61" w:rsidRPr="002164FF" w:rsidRDefault="00343B61" w:rsidP="00343B61">
      <w:pPr>
        <w:pStyle w:val="FootnoteText"/>
        <w:ind w:firstLine="720"/>
        <w:jc w:val="both"/>
        <w:rPr>
          <w:rFonts w:asciiTheme="majorBidi" w:hAnsiTheme="majorBidi" w:cstheme="majorBidi"/>
        </w:rPr>
      </w:pPr>
      <w:r>
        <w:rPr>
          <w:rStyle w:val="FootnoteReference"/>
        </w:rPr>
        <w:footnoteRef/>
      </w:r>
      <w:r>
        <w:t xml:space="preserve"> </w:t>
      </w:r>
      <w:r w:rsidRPr="007C6B55">
        <w:rPr>
          <w:rFonts w:asciiTheme="majorBidi" w:hAnsiTheme="majorBidi" w:cstheme="majorBidi"/>
        </w:rPr>
        <w:t>Lihat</w:t>
      </w:r>
      <w:r w:rsidRPr="002164FF">
        <w:rPr>
          <w:rFonts w:asciiTheme="majorBidi" w:hAnsiTheme="majorBidi" w:cstheme="majorBidi"/>
        </w:rPr>
        <w:t xml:space="preserve"> Tahir Mahmood, </w:t>
      </w:r>
      <w:r w:rsidRPr="002164FF">
        <w:rPr>
          <w:rFonts w:asciiTheme="majorBidi" w:hAnsiTheme="majorBidi" w:cstheme="majorBidi"/>
          <w:i/>
          <w:iCs/>
        </w:rPr>
        <w:t>Family Law Reform in the Muslim World</w:t>
      </w:r>
      <w:r>
        <w:rPr>
          <w:rFonts w:asciiTheme="majorBidi" w:hAnsiTheme="majorBidi" w:cstheme="majorBidi"/>
        </w:rPr>
        <w:t xml:space="preserve"> (New Delhi: Tripathi,</w:t>
      </w:r>
      <w:r w:rsidRPr="002164FF">
        <w:rPr>
          <w:rFonts w:asciiTheme="majorBidi" w:hAnsiTheme="majorBidi" w:cstheme="majorBidi"/>
        </w:rPr>
        <w:t xml:space="preserve"> 1972, </w:t>
      </w:r>
      <w:r>
        <w:rPr>
          <w:rFonts w:asciiTheme="majorBidi" w:hAnsiTheme="majorBidi" w:cstheme="majorBidi"/>
        </w:rPr>
        <w:t xml:space="preserve"> h. </w:t>
      </w:r>
      <w:r w:rsidRPr="002164FF">
        <w:rPr>
          <w:rFonts w:asciiTheme="majorBidi" w:hAnsiTheme="majorBidi" w:cstheme="majorBidi"/>
        </w:rPr>
        <w:t>12.</w:t>
      </w:r>
    </w:p>
  </w:footnote>
  <w:footnote w:id="420">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Pr>
          <w:rFonts w:asciiTheme="majorBidi" w:hAnsiTheme="majorBidi" w:cstheme="majorBidi"/>
        </w:rPr>
        <w:t xml:space="preserve"> Khairuddin Nasution, </w:t>
      </w:r>
      <w:r w:rsidRPr="008F13D2">
        <w:rPr>
          <w:rFonts w:asciiTheme="majorBidi" w:hAnsiTheme="majorBidi" w:cstheme="majorBidi"/>
          <w:i/>
          <w:iCs/>
        </w:rPr>
        <w:t>Metode Pembaruan Hukum Keluarga Islam Kontemporer</w:t>
      </w:r>
      <w:r>
        <w:rPr>
          <w:rFonts w:asciiTheme="majorBidi" w:hAnsiTheme="majorBidi" w:cstheme="majorBidi"/>
        </w:rPr>
        <w:t>, dalam Jurn</w:t>
      </w:r>
      <w:r w:rsidRPr="008F13D2">
        <w:rPr>
          <w:rFonts w:asciiTheme="majorBidi" w:hAnsiTheme="majorBidi" w:cstheme="majorBidi"/>
        </w:rPr>
        <w:t xml:space="preserve">al </w:t>
      </w:r>
      <w:r w:rsidRPr="008F13D2">
        <w:rPr>
          <w:rFonts w:asciiTheme="majorBidi" w:hAnsiTheme="majorBidi" w:cstheme="majorBidi"/>
          <w:i/>
          <w:iCs/>
        </w:rPr>
        <w:t>UNISIA, Vol. XXX No. 66 Desember 200</w:t>
      </w:r>
      <w:r>
        <w:rPr>
          <w:rFonts w:asciiTheme="majorBidi" w:hAnsiTheme="majorBidi" w:cstheme="majorBidi"/>
          <w:i/>
          <w:iCs/>
        </w:rPr>
        <w:t>7</w:t>
      </w:r>
      <w:r w:rsidRPr="008F13D2">
        <w:rPr>
          <w:rFonts w:asciiTheme="majorBidi" w:hAnsiTheme="majorBidi" w:cstheme="majorBidi"/>
          <w:i/>
          <w:iCs/>
        </w:rPr>
        <w:t xml:space="preserve">, </w:t>
      </w:r>
      <w:r w:rsidRPr="008F13D2">
        <w:rPr>
          <w:rFonts w:asciiTheme="majorBidi" w:hAnsiTheme="majorBidi" w:cstheme="majorBidi"/>
        </w:rPr>
        <w:t>h</w:t>
      </w:r>
      <w:r>
        <w:rPr>
          <w:rFonts w:asciiTheme="majorBidi" w:hAnsiTheme="majorBidi" w:cstheme="majorBidi"/>
          <w:i/>
          <w:iCs/>
        </w:rPr>
        <w:t xml:space="preserve">. </w:t>
      </w:r>
      <w:r w:rsidRPr="00655343">
        <w:rPr>
          <w:rFonts w:asciiTheme="majorBidi" w:hAnsiTheme="majorBidi" w:cstheme="majorBidi"/>
        </w:rPr>
        <w:t>335</w:t>
      </w:r>
    </w:p>
  </w:footnote>
  <w:footnote w:id="421">
    <w:p w:rsidR="00343B61" w:rsidRPr="000D3CD2" w:rsidRDefault="00343B61" w:rsidP="00343B61">
      <w:pPr>
        <w:pStyle w:val="FootnoteText"/>
        <w:ind w:firstLine="720"/>
        <w:jc w:val="both"/>
        <w:rPr>
          <w:rFonts w:asciiTheme="majorBidi" w:hAnsiTheme="majorBidi" w:cstheme="majorBidi"/>
        </w:rPr>
      </w:pPr>
      <w:r w:rsidRPr="000D3CD2">
        <w:rPr>
          <w:rStyle w:val="FootnoteReference"/>
          <w:rFonts w:asciiTheme="majorBidi" w:hAnsiTheme="majorBidi" w:cstheme="majorBidi"/>
        </w:rPr>
        <w:footnoteRef/>
      </w:r>
      <w:r w:rsidRPr="000D3CD2">
        <w:rPr>
          <w:rFonts w:asciiTheme="majorBidi" w:hAnsiTheme="majorBidi" w:cstheme="majorBidi"/>
        </w:rPr>
        <w:t xml:space="preserve">Amir Syraifuddin, </w:t>
      </w:r>
      <w:r w:rsidRPr="000D3CD2">
        <w:rPr>
          <w:rFonts w:asciiTheme="majorBidi" w:hAnsiTheme="majorBidi" w:cstheme="majorBidi"/>
          <w:i/>
          <w:iCs/>
        </w:rPr>
        <w:t>Meretas Kebekuan Ijtihad; Isu-Isu Penting Hukum Islam Kontemporer Indonesia</w:t>
      </w:r>
      <w:r w:rsidRPr="000D3CD2">
        <w:rPr>
          <w:rFonts w:asciiTheme="majorBidi" w:hAnsiTheme="majorBidi" w:cstheme="majorBidi"/>
        </w:rPr>
        <w:t>, ( Jakarta: Ciputat Press, 2005), h. 77-88</w:t>
      </w:r>
    </w:p>
  </w:footnote>
  <w:footnote w:id="422">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sidRPr="008F13D2">
        <w:rPr>
          <w:rFonts w:asciiTheme="majorBidi" w:hAnsiTheme="majorBidi" w:cstheme="majorBidi"/>
        </w:rPr>
        <w:t xml:space="preserve"> Norman, Anderson, </w:t>
      </w:r>
      <w:r w:rsidRPr="008F13D2">
        <w:rPr>
          <w:rFonts w:asciiTheme="majorBidi" w:hAnsiTheme="majorBidi" w:cstheme="majorBidi"/>
          <w:i/>
          <w:iCs/>
        </w:rPr>
        <w:t>Law Reform in the Muslim World</w:t>
      </w:r>
      <w:r w:rsidRPr="008F13D2">
        <w:rPr>
          <w:rFonts w:asciiTheme="majorBidi" w:hAnsiTheme="majorBidi" w:cstheme="majorBidi"/>
        </w:rPr>
        <w:t>. ( Cambridge: The Athlone Press University of London,  1976), h. 43 dst</w:t>
      </w:r>
    </w:p>
  </w:footnote>
  <w:footnote w:id="423">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sidRPr="008F13D2">
        <w:rPr>
          <w:rFonts w:asciiTheme="majorBidi" w:hAnsiTheme="majorBidi" w:cstheme="majorBidi"/>
        </w:rPr>
        <w:t xml:space="preserve"> Norman, Anderson, </w:t>
      </w:r>
      <w:r w:rsidRPr="008F13D2">
        <w:rPr>
          <w:rFonts w:asciiTheme="majorBidi" w:hAnsiTheme="majorBidi" w:cstheme="majorBidi"/>
          <w:i/>
          <w:iCs/>
        </w:rPr>
        <w:t>Law Reform in the Muslim World</w:t>
      </w:r>
      <w:r w:rsidRPr="008F13D2">
        <w:rPr>
          <w:rFonts w:asciiTheme="majorBidi" w:hAnsiTheme="majorBidi" w:cstheme="majorBidi"/>
        </w:rPr>
        <w:t>. ( Cambridge: The Athlone Press University of London,  1976), h. 43 dst</w:t>
      </w:r>
    </w:p>
  </w:footnote>
  <w:footnote w:id="424">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sidRPr="008F13D2">
        <w:rPr>
          <w:rFonts w:asciiTheme="majorBidi" w:hAnsiTheme="majorBidi" w:cstheme="majorBidi"/>
        </w:rPr>
        <w:t xml:space="preserve"> Norman, Anderson, </w:t>
      </w:r>
      <w:r w:rsidRPr="008F13D2">
        <w:rPr>
          <w:rFonts w:asciiTheme="majorBidi" w:hAnsiTheme="majorBidi" w:cstheme="majorBidi"/>
          <w:i/>
          <w:iCs/>
        </w:rPr>
        <w:t>Law Reform in the Muslim World</w:t>
      </w:r>
      <w:r w:rsidRPr="008F13D2">
        <w:rPr>
          <w:rFonts w:asciiTheme="majorBidi" w:hAnsiTheme="majorBidi" w:cstheme="majorBidi"/>
        </w:rPr>
        <w:t>. ( Cambridge: The Athlone Press Univers</w:t>
      </w:r>
      <w:r>
        <w:rPr>
          <w:rFonts w:asciiTheme="majorBidi" w:hAnsiTheme="majorBidi" w:cstheme="majorBidi"/>
        </w:rPr>
        <w:t>ity of London,  1976), h. 56-57</w:t>
      </w:r>
    </w:p>
  </w:footnote>
  <w:footnote w:id="425">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sidRPr="008F13D2">
        <w:rPr>
          <w:rFonts w:asciiTheme="majorBidi" w:hAnsiTheme="majorBidi" w:cstheme="majorBidi"/>
        </w:rPr>
        <w:t xml:space="preserve"> Norman, Anderson, </w:t>
      </w:r>
      <w:r w:rsidRPr="008F13D2">
        <w:rPr>
          <w:rFonts w:asciiTheme="majorBidi" w:hAnsiTheme="majorBidi" w:cstheme="majorBidi"/>
          <w:i/>
          <w:iCs/>
        </w:rPr>
        <w:t>Law Reform in the Muslim World</w:t>
      </w:r>
      <w:r w:rsidRPr="008F13D2">
        <w:rPr>
          <w:rFonts w:asciiTheme="majorBidi" w:hAnsiTheme="majorBidi" w:cstheme="majorBidi"/>
        </w:rPr>
        <w:t>. ( Cambridge: The Athlone Press Univers</w:t>
      </w:r>
      <w:r>
        <w:rPr>
          <w:rFonts w:asciiTheme="majorBidi" w:hAnsiTheme="majorBidi" w:cstheme="majorBidi"/>
        </w:rPr>
        <w:t>ity of London,  1976), h. 74</w:t>
      </w:r>
    </w:p>
  </w:footnote>
  <w:footnote w:id="426">
    <w:p w:rsidR="00343B61" w:rsidRDefault="00343B61" w:rsidP="00343B61">
      <w:pPr>
        <w:pStyle w:val="FootnoteText"/>
        <w:ind w:firstLine="720"/>
        <w:jc w:val="both"/>
      </w:pPr>
      <w:r>
        <w:rPr>
          <w:rStyle w:val="FootnoteReference"/>
        </w:rPr>
        <w:footnoteRef/>
      </w:r>
      <w:r>
        <w:t xml:space="preserve"> </w:t>
      </w:r>
      <w:r w:rsidRPr="007C6B55">
        <w:rPr>
          <w:rFonts w:asciiTheme="majorBidi" w:hAnsiTheme="majorBidi" w:cstheme="majorBidi"/>
        </w:rPr>
        <w:t>Lihat</w:t>
      </w:r>
      <w:r w:rsidRPr="008F13D2">
        <w:rPr>
          <w:rFonts w:asciiTheme="majorBidi" w:hAnsiTheme="majorBidi" w:cstheme="majorBidi"/>
        </w:rPr>
        <w:t xml:space="preserve"> Norman, Anderson, </w:t>
      </w:r>
      <w:r w:rsidRPr="008F13D2">
        <w:rPr>
          <w:rFonts w:asciiTheme="majorBidi" w:hAnsiTheme="majorBidi" w:cstheme="majorBidi"/>
          <w:i/>
          <w:iCs/>
        </w:rPr>
        <w:t>Law Reform in the Muslim World</w:t>
      </w:r>
      <w:r w:rsidRPr="008F13D2">
        <w:rPr>
          <w:rFonts w:asciiTheme="majorBidi" w:hAnsiTheme="majorBidi" w:cstheme="majorBidi"/>
        </w:rPr>
        <w:t>. ( Cambridge: The Athlone Press Uni</w:t>
      </w:r>
      <w:r>
        <w:rPr>
          <w:rFonts w:asciiTheme="majorBidi" w:hAnsiTheme="majorBidi" w:cstheme="majorBidi"/>
        </w:rPr>
        <w:t xml:space="preserve">versity of London,  1976), h., 69, 74, 82 </w:t>
      </w:r>
    </w:p>
  </w:footnote>
  <w:footnote w:id="427">
    <w:p w:rsidR="00343B61" w:rsidRDefault="00343B61" w:rsidP="00343B61">
      <w:pPr>
        <w:pStyle w:val="FootnoteText"/>
        <w:ind w:firstLine="720"/>
        <w:jc w:val="both"/>
      </w:pPr>
      <w:r>
        <w:rPr>
          <w:rStyle w:val="FootnoteReference"/>
        </w:rPr>
        <w:footnoteRef/>
      </w:r>
      <w:r>
        <w:rPr>
          <w:rFonts w:asciiTheme="majorBidi" w:hAnsiTheme="majorBidi" w:cstheme="majorBidi"/>
        </w:rPr>
        <w:t xml:space="preserve"> </w:t>
      </w:r>
      <w:r w:rsidRPr="007C6B55">
        <w:rPr>
          <w:rFonts w:asciiTheme="majorBidi" w:hAnsiTheme="majorBidi" w:cstheme="majorBidi"/>
        </w:rPr>
        <w:t>Lihat</w:t>
      </w:r>
      <w:r>
        <w:rPr>
          <w:rFonts w:asciiTheme="majorBidi" w:hAnsiTheme="majorBidi" w:cstheme="majorBidi"/>
        </w:rPr>
        <w:t xml:space="preserve"> Khairuddin Nasution, </w:t>
      </w:r>
      <w:r w:rsidRPr="008F13D2">
        <w:rPr>
          <w:rFonts w:asciiTheme="majorBidi" w:hAnsiTheme="majorBidi" w:cstheme="majorBidi"/>
          <w:i/>
          <w:iCs/>
        </w:rPr>
        <w:t>Metode Pembaruan Hukum Keluarga Islam Kontemporer</w:t>
      </w:r>
      <w:r>
        <w:rPr>
          <w:rFonts w:asciiTheme="majorBidi" w:hAnsiTheme="majorBidi" w:cstheme="majorBidi"/>
        </w:rPr>
        <w:t>, dalam Jurn</w:t>
      </w:r>
      <w:r w:rsidRPr="008F13D2">
        <w:rPr>
          <w:rFonts w:asciiTheme="majorBidi" w:hAnsiTheme="majorBidi" w:cstheme="majorBidi"/>
        </w:rPr>
        <w:t xml:space="preserve">al </w:t>
      </w:r>
      <w:r w:rsidRPr="008F13D2">
        <w:rPr>
          <w:rFonts w:asciiTheme="majorBidi" w:hAnsiTheme="majorBidi" w:cstheme="majorBidi"/>
          <w:i/>
          <w:iCs/>
        </w:rPr>
        <w:t>UNISIA, Vol. XXX No. 66 Desember 200</w:t>
      </w:r>
      <w:r>
        <w:rPr>
          <w:rFonts w:asciiTheme="majorBidi" w:hAnsiTheme="majorBidi" w:cstheme="majorBidi"/>
          <w:i/>
          <w:iCs/>
        </w:rPr>
        <w:t>7</w:t>
      </w:r>
      <w:r w:rsidRPr="008F13D2">
        <w:rPr>
          <w:rFonts w:asciiTheme="majorBidi" w:hAnsiTheme="majorBidi" w:cstheme="majorBidi"/>
          <w:i/>
          <w:iCs/>
        </w:rPr>
        <w:t xml:space="preserve">, </w:t>
      </w:r>
      <w:r w:rsidRPr="008F13D2">
        <w:rPr>
          <w:rFonts w:asciiTheme="majorBidi" w:hAnsiTheme="majorBidi" w:cstheme="majorBidi"/>
        </w:rPr>
        <w:t>h</w:t>
      </w:r>
      <w:r>
        <w:rPr>
          <w:rFonts w:asciiTheme="majorBidi" w:hAnsiTheme="majorBidi" w:cstheme="majorBidi"/>
          <w:i/>
          <w:iCs/>
        </w:rPr>
        <w:t>. 338</w:t>
      </w:r>
    </w:p>
  </w:footnote>
  <w:footnote w:id="428">
    <w:p w:rsidR="00343B61" w:rsidRPr="00F317A4"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F317A4">
        <w:rPr>
          <w:rStyle w:val="FootnoteReference"/>
          <w:rFonts w:asciiTheme="majorBidi" w:hAnsiTheme="majorBidi" w:cstheme="majorBidi"/>
          <w:sz w:val="20"/>
          <w:szCs w:val="20"/>
        </w:rPr>
        <w:footnoteRef/>
      </w:r>
      <w:r w:rsidRPr="00F317A4">
        <w:rPr>
          <w:rFonts w:asciiTheme="majorBidi" w:hAnsiTheme="majorBidi" w:cstheme="majorBidi"/>
          <w:sz w:val="20"/>
          <w:szCs w:val="20"/>
        </w:rPr>
        <w:t xml:space="preserve"> </w:t>
      </w:r>
      <w:r w:rsidRPr="007C6B55">
        <w:rPr>
          <w:rFonts w:asciiTheme="majorBidi" w:hAnsiTheme="majorBidi" w:cstheme="majorBidi"/>
        </w:rPr>
        <w:t>Lihat</w:t>
      </w:r>
      <w:r w:rsidRPr="00F317A4">
        <w:rPr>
          <w:rFonts w:asciiTheme="majorBidi" w:hAnsiTheme="majorBidi" w:cstheme="majorBidi"/>
          <w:sz w:val="20"/>
          <w:szCs w:val="20"/>
        </w:rPr>
        <w:t xml:space="preserve"> Dawoud El Alami &amp; Doreen Hinchcliffe</w:t>
      </w:r>
      <w:r>
        <w:rPr>
          <w:rFonts w:asciiTheme="majorBidi" w:hAnsiTheme="majorBidi" w:cstheme="majorBidi"/>
          <w:i/>
          <w:iCs/>
          <w:sz w:val="20"/>
          <w:szCs w:val="20"/>
        </w:rPr>
        <w:t xml:space="preserve">, </w:t>
      </w:r>
      <w:r w:rsidRPr="00F317A4">
        <w:rPr>
          <w:rFonts w:asciiTheme="majorBidi" w:hAnsiTheme="majorBidi" w:cstheme="majorBidi"/>
          <w:i/>
          <w:iCs/>
          <w:sz w:val="20"/>
          <w:szCs w:val="20"/>
        </w:rPr>
        <w:t>Is</w:t>
      </w:r>
      <w:r>
        <w:rPr>
          <w:rFonts w:asciiTheme="majorBidi" w:hAnsiTheme="majorBidi" w:cstheme="majorBidi"/>
          <w:i/>
          <w:iCs/>
          <w:sz w:val="20"/>
          <w:szCs w:val="20"/>
        </w:rPr>
        <w:t xml:space="preserve">lamic Marriage and Divorce Laws </w:t>
      </w:r>
      <w:r w:rsidRPr="00F317A4">
        <w:rPr>
          <w:rFonts w:asciiTheme="majorBidi" w:hAnsiTheme="majorBidi" w:cstheme="majorBidi"/>
          <w:i/>
          <w:iCs/>
          <w:sz w:val="20"/>
          <w:szCs w:val="20"/>
        </w:rPr>
        <w:t>of the Arab World.</w:t>
      </w:r>
      <w:r>
        <w:rPr>
          <w:rFonts w:asciiTheme="majorBidi" w:hAnsiTheme="majorBidi" w:cstheme="majorBidi"/>
          <w:sz w:val="20"/>
          <w:szCs w:val="20"/>
        </w:rPr>
        <w:t>(</w:t>
      </w:r>
      <w:r>
        <w:rPr>
          <w:rFonts w:asciiTheme="majorBidi" w:hAnsiTheme="majorBidi" w:cstheme="majorBidi"/>
          <w:i/>
          <w:iCs/>
          <w:sz w:val="20"/>
          <w:szCs w:val="20"/>
        </w:rPr>
        <w:t xml:space="preserve"> </w:t>
      </w:r>
      <w:r>
        <w:rPr>
          <w:rFonts w:asciiTheme="majorBidi" w:hAnsiTheme="majorBidi" w:cstheme="majorBidi"/>
          <w:sz w:val="20"/>
          <w:szCs w:val="20"/>
        </w:rPr>
        <w:t xml:space="preserve">London: </w:t>
      </w:r>
      <w:r w:rsidRPr="00F317A4">
        <w:rPr>
          <w:rFonts w:asciiTheme="majorBidi" w:hAnsiTheme="majorBidi" w:cstheme="majorBidi"/>
          <w:sz w:val="20"/>
          <w:szCs w:val="20"/>
        </w:rPr>
        <w:t>the</w:t>
      </w:r>
      <w:r>
        <w:rPr>
          <w:rFonts w:asciiTheme="majorBidi" w:hAnsiTheme="majorBidi" w:cstheme="majorBidi"/>
          <w:sz w:val="20"/>
          <w:szCs w:val="20"/>
        </w:rPr>
        <w:t xml:space="preserve"> </w:t>
      </w:r>
      <w:r w:rsidRPr="00F317A4">
        <w:rPr>
          <w:rFonts w:asciiTheme="majorBidi" w:hAnsiTheme="majorBidi" w:cstheme="majorBidi"/>
          <w:sz w:val="20"/>
          <w:szCs w:val="20"/>
        </w:rPr>
        <w:t>Hague, Boston</w:t>
      </w:r>
      <w:r>
        <w:rPr>
          <w:rFonts w:asciiTheme="majorBidi" w:hAnsiTheme="majorBidi" w:cstheme="majorBidi"/>
          <w:sz w:val="20"/>
          <w:szCs w:val="20"/>
        </w:rPr>
        <w:t>, Kluwer Law International, 1996), h. 81</w:t>
      </w:r>
    </w:p>
  </w:footnote>
  <w:footnote w:id="429">
    <w:p w:rsidR="00343B61" w:rsidRDefault="00343B61" w:rsidP="00343B61">
      <w:pPr>
        <w:pStyle w:val="FootnoteText"/>
        <w:ind w:firstLine="720"/>
        <w:jc w:val="both"/>
      </w:pPr>
      <w:r>
        <w:rPr>
          <w:rStyle w:val="FootnoteReference"/>
        </w:rPr>
        <w:footnoteRef/>
      </w:r>
      <w:r>
        <w:t xml:space="preserve"> </w:t>
      </w:r>
      <w:r w:rsidRPr="008F13D2">
        <w:rPr>
          <w:rFonts w:asciiTheme="majorBidi" w:hAnsiTheme="majorBidi" w:cstheme="majorBidi"/>
        </w:rPr>
        <w:t xml:space="preserve">Khairuddin Nasution,  </w:t>
      </w:r>
      <w:r w:rsidRPr="008F13D2">
        <w:rPr>
          <w:rFonts w:asciiTheme="majorBidi" w:hAnsiTheme="majorBidi" w:cstheme="majorBidi"/>
          <w:i/>
          <w:iCs/>
        </w:rPr>
        <w:t>Metode Pembaruan Hukum Keluarga Islam Kontemporer</w:t>
      </w:r>
      <w:r>
        <w:rPr>
          <w:rFonts w:asciiTheme="majorBidi" w:hAnsiTheme="majorBidi" w:cstheme="majorBidi"/>
        </w:rPr>
        <w:t>, dalam Jurn</w:t>
      </w:r>
      <w:r w:rsidRPr="008F13D2">
        <w:rPr>
          <w:rFonts w:asciiTheme="majorBidi" w:hAnsiTheme="majorBidi" w:cstheme="majorBidi"/>
        </w:rPr>
        <w:t xml:space="preserve">al </w:t>
      </w:r>
      <w:r w:rsidRPr="008F13D2">
        <w:rPr>
          <w:rFonts w:asciiTheme="majorBidi" w:hAnsiTheme="majorBidi" w:cstheme="majorBidi"/>
          <w:i/>
          <w:iCs/>
        </w:rPr>
        <w:t>UNISIA, Vol. XXX No. 66 Desember 200</w:t>
      </w:r>
      <w:r>
        <w:rPr>
          <w:rFonts w:asciiTheme="majorBidi" w:hAnsiTheme="majorBidi" w:cstheme="majorBidi"/>
          <w:i/>
          <w:iCs/>
        </w:rPr>
        <w:t>7</w:t>
      </w:r>
      <w:r w:rsidRPr="008F13D2">
        <w:rPr>
          <w:rFonts w:asciiTheme="majorBidi" w:hAnsiTheme="majorBidi" w:cstheme="majorBidi"/>
          <w:i/>
          <w:iCs/>
        </w:rPr>
        <w:t xml:space="preserve">, </w:t>
      </w:r>
      <w:r w:rsidRPr="008F13D2">
        <w:rPr>
          <w:rFonts w:asciiTheme="majorBidi" w:hAnsiTheme="majorBidi" w:cstheme="majorBidi"/>
        </w:rPr>
        <w:t>h</w:t>
      </w:r>
      <w:r>
        <w:rPr>
          <w:rFonts w:asciiTheme="majorBidi" w:hAnsiTheme="majorBidi" w:cstheme="majorBidi"/>
          <w:i/>
          <w:iCs/>
        </w:rPr>
        <w:t>.</w:t>
      </w:r>
      <w:r w:rsidRPr="007465CB">
        <w:rPr>
          <w:rFonts w:asciiTheme="majorBidi" w:hAnsiTheme="majorBidi" w:cstheme="majorBidi"/>
        </w:rPr>
        <w:t xml:space="preserve"> 339</w:t>
      </w:r>
    </w:p>
  </w:footnote>
  <w:footnote w:id="430">
    <w:p w:rsidR="00343B61" w:rsidRPr="00DB0FE5" w:rsidRDefault="00343B61" w:rsidP="00343B61">
      <w:pPr>
        <w:pStyle w:val="FootnoteText"/>
        <w:ind w:firstLine="720"/>
        <w:jc w:val="both"/>
        <w:rPr>
          <w:rFonts w:asciiTheme="majorBidi" w:hAnsiTheme="majorBidi" w:cstheme="majorBidi"/>
        </w:rPr>
      </w:pPr>
      <w:r w:rsidRPr="00DB0FE5">
        <w:rPr>
          <w:rStyle w:val="FootnoteReference"/>
          <w:rFonts w:asciiTheme="majorBidi" w:hAnsiTheme="majorBidi" w:cstheme="majorBidi"/>
        </w:rPr>
        <w:footnoteRef/>
      </w:r>
      <w:r w:rsidRPr="00DB0FE5">
        <w:rPr>
          <w:rFonts w:asciiTheme="majorBidi" w:hAnsiTheme="majorBidi" w:cstheme="majorBidi"/>
        </w:rPr>
        <w:t xml:space="preserve"> Ahmad Rajafi, </w:t>
      </w:r>
      <w:r w:rsidRPr="00DB0FE5">
        <w:rPr>
          <w:rFonts w:asciiTheme="majorBidi" w:hAnsiTheme="majorBidi" w:cstheme="majorBidi"/>
          <w:i/>
          <w:iCs/>
        </w:rPr>
        <w:t>Inkulturasi wahyu dan Budaya Lokal Serta Implikasinya terhadap Pembaruan Hukum Keluarga di Indonesia</w:t>
      </w:r>
      <w:r w:rsidRPr="00DB0FE5">
        <w:rPr>
          <w:rFonts w:asciiTheme="majorBidi" w:hAnsiTheme="majorBidi" w:cstheme="majorBidi"/>
        </w:rPr>
        <w:t xml:space="preserve">, ( Lampung: Disertasi Program Pascasarjana Institut Agama Islam Negeri </w:t>
      </w:r>
      <w:r>
        <w:rPr>
          <w:rFonts w:asciiTheme="majorBidi" w:hAnsiTheme="majorBidi" w:cstheme="majorBidi"/>
        </w:rPr>
        <w:t xml:space="preserve">( IAIN) </w:t>
      </w:r>
      <w:r w:rsidRPr="00DB0FE5">
        <w:rPr>
          <w:rFonts w:asciiTheme="majorBidi" w:hAnsiTheme="majorBidi" w:cstheme="majorBidi"/>
        </w:rPr>
        <w:t>Raden Intan Lampung, 2015), h. 141-142</w:t>
      </w:r>
    </w:p>
  </w:footnote>
  <w:footnote w:id="431">
    <w:p w:rsidR="00343B61" w:rsidRPr="00BF1D8E" w:rsidRDefault="00343B61" w:rsidP="00343B61">
      <w:pPr>
        <w:pStyle w:val="FootnoteText"/>
        <w:ind w:firstLine="720"/>
        <w:jc w:val="both"/>
      </w:pPr>
      <w:r w:rsidRPr="00BF1D8E">
        <w:rPr>
          <w:rStyle w:val="FootnoteReference"/>
        </w:rPr>
        <w:footnoteRef/>
      </w:r>
      <w:r w:rsidRPr="00BF1D8E">
        <w:t xml:space="preserve"> </w:t>
      </w:r>
      <w:r w:rsidRPr="00BF1D8E">
        <w:rPr>
          <w:rFonts w:asciiTheme="majorBidi" w:hAnsiTheme="majorBidi" w:cstheme="majorBidi"/>
        </w:rPr>
        <w:t xml:space="preserve">Lihat.Abdul Wahab Abd Muhaimin, </w:t>
      </w:r>
      <w:r w:rsidRPr="00BF1D8E">
        <w:rPr>
          <w:rFonts w:asciiTheme="majorBidi" w:hAnsiTheme="majorBidi" w:cstheme="majorBidi"/>
          <w:i/>
          <w:iCs/>
        </w:rPr>
        <w:t>Adopsi Hukum Islam Dalam Sistem Hukum Nasional</w:t>
      </w:r>
      <w:r w:rsidRPr="00BF1D8E">
        <w:rPr>
          <w:rFonts w:asciiTheme="majorBidi" w:hAnsiTheme="majorBidi" w:cstheme="majorBidi"/>
        </w:rPr>
        <w:t>, ( Jakarta: Gaung Persada Press, 2010), h. 213</w:t>
      </w:r>
    </w:p>
  </w:footnote>
  <w:footnote w:id="432">
    <w:p w:rsidR="00343B61" w:rsidRPr="009D7DA2" w:rsidRDefault="00343B61" w:rsidP="00343B61">
      <w:pPr>
        <w:pStyle w:val="FootnoteText"/>
        <w:ind w:firstLine="720"/>
        <w:jc w:val="both"/>
        <w:rPr>
          <w:rFonts w:asciiTheme="majorBidi" w:hAnsiTheme="majorBidi" w:cstheme="majorBidi"/>
        </w:rPr>
      </w:pPr>
      <w:r>
        <w:rPr>
          <w:rStyle w:val="FootnoteReference"/>
        </w:rPr>
        <w:footnoteRef/>
      </w:r>
      <w:r>
        <w:t xml:space="preserve"> </w:t>
      </w:r>
      <w:r w:rsidRPr="00B01B4C">
        <w:rPr>
          <w:rFonts w:asciiTheme="majorBidi" w:hAnsiTheme="majorBidi" w:cstheme="majorBidi"/>
        </w:rPr>
        <w:t xml:space="preserve">Sirajuddin, </w:t>
      </w:r>
      <w:r w:rsidRPr="00B01B4C">
        <w:rPr>
          <w:rFonts w:asciiTheme="majorBidi" w:hAnsiTheme="majorBidi" w:cstheme="majorBidi"/>
          <w:i/>
          <w:iCs/>
        </w:rPr>
        <w:t>Legislasi Hukum Islam di Indonesia</w:t>
      </w:r>
      <w:r w:rsidRPr="00B01B4C">
        <w:rPr>
          <w:rFonts w:asciiTheme="majorBidi" w:hAnsiTheme="majorBidi" w:cstheme="majorBidi"/>
        </w:rPr>
        <w:t>, ( Yogyakar</w:t>
      </w:r>
      <w:r>
        <w:rPr>
          <w:rFonts w:asciiTheme="majorBidi" w:hAnsiTheme="majorBidi" w:cstheme="majorBidi"/>
        </w:rPr>
        <w:t>ta: Pustaka Pelajar, 2008), h. 2</w:t>
      </w:r>
      <w:r w:rsidRPr="00B01B4C">
        <w:rPr>
          <w:rFonts w:asciiTheme="majorBidi" w:hAnsiTheme="majorBidi" w:cstheme="majorBidi"/>
        </w:rPr>
        <w:t>3</w:t>
      </w:r>
    </w:p>
  </w:footnote>
  <w:footnote w:id="433">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Yusuf Musa, </w:t>
      </w:r>
      <w:r w:rsidRPr="004666EA">
        <w:rPr>
          <w:rFonts w:asciiTheme="majorBidi" w:hAnsiTheme="majorBidi" w:cstheme="majorBidi"/>
          <w:i/>
          <w:iCs/>
        </w:rPr>
        <w:t>Nizham al-Hukm fi al-Islam</w:t>
      </w:r>
      <w:r w:rsidRPr="004666EA">
        <w:rPr>
          <w:rFonts w:asciiTheme="majorBidi" w:hAnsiTheme="majorBidi" w:cstheme="majorBidi"/>
        </w:rPr>
        <w:t xml:space="preserve">, ( Cairo: Dar al-Kitab Al-Arabi, 1963 ), Jilid II, h. 20. Lihat juga. Abdul Karim Zaydan, </w:t>
      </w:r>
      <w:r w:rsidRPr="004666EA">
        <w:rPr>
          <w:rFonts w:asciiTheme="majorBidi" w:hAnsiTheme="majorBidi" w:cstheme="majorBidi"/>
          <w:i/>
          <w:iCs/>
        </w:rPr>
        <w:t>Al-fardh wa Dawlah fi Syariah al-islamiyyah</w:t>
      </w:r>
      <w:r w:rsidRPr="004666EA">
        <w:rPr>
          <w:rFonts w:asciiTheme="majorBidi" w:hAnsiTheme="majorBidi" w:cstheme="majorBidi"/>
        </w:rPr>
        <w:t>, ( t.t: Al-Ijtihad al-islamiyyah, al- ‘Alamiy, 1970), h.13.</w:t>
      </w:r>
    </w:p>
  </w:footnote>
  <w:footnote w:id="434">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 Dzajuli, </w:t>
      </w:r>
      <w:r w:rsidRPr="004666EA">
        <w:rPr>
          <w:rFonts w:asciiTheme="majorBidi" w:hAnsiTheme="majorBidi" w:cstheme="majorBidi"/>
          <w:i/>
          <w:iCs/>
        </w:rPr>
        <w:t>Fiqh Siyasah, Implementasi Kemaslahatan Umat dalam Rambu-rambu Syari’ah</w:t>
      </w:r>
      <w:r w:rsidRPr="004666EA">
        <w:rPr>
          <w:rFonts w:asciiTheme="majorBidi" w:hAnsiTheme="majorBidi" w:cstheme="majorBidi"/>
        </w:rPr>
        <w:t>, ( Jakarta: Prenada Media Group, 2003), h. 14</w:t>
      </w:r>
    </w:p>
  </w:footnote>
  <w:footnote w:id="435">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‘Amru Khalid, </w:t>
      </w:r>
      <w:r w:rsidRPr="004666EA">
        <w:rPr>
          <w:rFonts w:asciiTheme="majorBidi" w:hAnsiTheme="majorBidi" w:cstheme="majorBidi"/>
          <w:i/>
          <w:iCs/>
        </w:rPr>
        <w:t>‘Ala Khatthi al-Habib</w:t>
      </w:r>
      <w:r w:rsidRPr="004666EA">
        <w:rPr>
          <w:rFonts w:asciiTheme="majorBidi" w:hAnsiTheme="majorBidi" w:cstheme="majorBidi"/>
        </w:rPr>
        <w:t>, ( Bairut: al-Dar al-‘Arabiyah li al-‘Ulum, 2006), h. 98</w:t>
      </w:r>
    </w:p>
  </w:footnote>
  <w:footnote w:id="436">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 Dzajuli, </w:t>
      </w:r>
      <w:r w:rsidRPr="004666EA">
        <w:rPr>
          <w:rFonts w:asciiTheme="majorBidi" w:hAnsiTheme="majorBidi" w:cstheme="majorBidi"/>
          <w:i/>
          <w:iCs/>
        </w:rPr>
        <w:t>Fiqh Siyasah, Implementasi Kemaslahatan Umat dalam Rambu-rambu Syari’ah</w:t>
      </w:r>
      <w:r w:rsidRPr="004666EA">
        <w:rPr>
          <w:rFonts w:asciiTheme="majorBidi" w:hAnsiTheme="majorBidi" w:cstheme="majorBidi"/>
        </w:rPr>
        <w:t xml:space="preserve">, ( Jakarta: Prenada Media Group, 2003), h. 14 </w:t>
      </w:r>
    </w:p>
  </w:footnote>
  <w:footnote w:id="437">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‘Ala al Din Mahmud Za’tari dan Gussan Muhammad Rusydi al-Hamaw</w:t>
      </w:r>
      <w:r w:rsidRPr="00AC6C5F">
        <w:rPr>
          <w:rFonts w:asciiTheme="majorBidi" w:hAnsiTheme="majorBidi" w:cstheme="majorBidi"/>
        </w:rPr>
        <w:t>ī</w:t>
      </w:r>
      <w:r w:rsidRPr="004666EA">
        <w:rPr>
          <w:rFonts w:asciiTheme="majorBidi" w:hAnsiTheme="majorBidi" w:cstheme="majorBidi"/>
        </w:rPr>
        <w:t xml:space="preserve">, </w:t>
      </w:r>
      <w:r>
        <w:rPr>
          <w:rFonts w:asciiTheme="majorBidi" w:hAnsiTheme="majorBidi" w:cstheme="majorBidi"/>
          <w:i/>
          <w:iCs/>
        </w:rPr>
        <w:t>Al-S</w:t>
      </w:r>
      <w:r w:rsidRPr="00601A46">
        <w:rPr>
          <w:rFonts w:asciiTheme="majorBidi" w:hAnsiTheme="majorBidi" w:cstheme="majorBidi"/>
          <w:i/>
          <w:iCs/>
        </w:rPr>
        <w:t>ī</w:t>
      </w:r>
      <w:r>
        <w:rPr>
          <w:rFonts w:asciiTheme="majorBidi" w:hAnsiTheme="majorBidi" w:cstheme="majorBidi"/>
          <w:i/>
          <w:iCs/>
        </w:rPr>
        <w:t xml:space="preserve">rah al-Nabawiyah </w:t>
      </w:r>
      <w:r w:rsidRPr="004666EA">
        <w:rPr>
          <w:rFonts w:asciiTheme="majorBidi" w:hAnsiTheme="majorBidi" w:cstheme="majorBidi"/>
          <w:i/>
          <w:iCs/>
        </w:rPr>
        <w:t>Min al-Rah</w:t>
      </w:r>
      <w:r w:rsidRPr="00601A46">
        <w:rPr>
          <w:rFonts w:asciiTheme="majorBidi" w:hAnsiTheme="majorBidi" w:cstheme="majorBidi"/>
          <w:i/>
          <w:iCs/>
        </w:rPr>
        <w:t>ī</w:t>
      </w:r>
      <w:r w:rsidRPr="004666EA">
        <w:rPr>
          <w:rFonts w:asciiTheme="majorBidi" w:hAnsiTheme="majorBidi" w:cstheme="majorBidi"/>
          <w:i/>
          <w:iCs/>
        </w:rPr>
        <w:t>q al-Makht</w:t>
      </w:r>
      <w:r w:rsidRPr="00AC6C5F">
        <w:rPr>
          <w:rFonts w:asciiTheme="majorBidi" w:hAnsiTheme="majorBidi" w:cstheme="majorBidi"/>
          <w:i/>
          <w:iCs/>
        </w:rPr>
        <w:t>ū</w:t>
      </w:r>
      <w:r w:rsidRPr="004666EA">
        <w:rPr>
          <w:rFonts w:asciiTheme="majorBidi" w:hAnsiTheme="majorBidi" w:cstheme="majorBidi"/>
          <w:i/>
          <w:iCs/>
        </w:rPr>
        <w:t>m li al-Mubarikaf</w:t>
      </w:r>
      <w:r w:rsidRPr="00AC6C5F">
        <w:rPr>
          <w:rFonts w:asciiTheme="majorBidi" w:hAnsiTheme="majorBidi" w:cstheme="majorBidi"/>
          <w:i/>
          <w:iCs/>
        </w:rPr>
        <w:t>ū</w:t>
      </w:r>
      <w:r w:rsidRPr="004666EA">
        <w:rPr>
          <w:rFonts w:asciiTheme="majorBidi" w:hAnsiTheme="majorBidi" w:cstheme="majorBidi"/>
          <w:i/>
          <w:iCs/>
        </w:rPr>
        <w:t>r</w:t>
      </w:r>
      <w:r w:rsidRPr="00601A46">
        <w:rPr>
          <w:rFonts w:asciiTheme="majorBidi" w:hAnsiTheme="majorBidi" w:cstheme="majorBidi"/>
          <w:i/>
          <w:iCs/>
        </w:rPr>
        <w:t>ī</w:t>
      </w:r>
      <w:r w:rsidRPr="004666EA">
        <w:rPr>
          <w:rFonts w:asciiTheme="majorBidi" w:hAnsiTheme="majorBidi" w:cstheme="majorBidi"/>
        </w:rPr>
        <w:t>, ( Suriah : Dar al-‘Ashama, 2007), h. 126-127</w:t>
      </w:r>
    </w:p>
  </w:footnote>
  <w:footnote w:id="43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Al-Ghozali, </w:t>
      </w:r>
      <w:r w:rsidRPr="004666EA">
        <w:rPr>
          <w:rFonts w:asciiTheme="majorBidi" w:hAnsiTheme="majorBidi" w:cstheme="majorBidi"/>
          <w:i/>
          <w:iCs/>
        </w:rPr>
        <w:t xml:space="preserve">Fiqhus </w:t>
      </w:r>
      <w:r>
        <w:rPr>
          <w:rFonts w:asciiTheme="majorBidi" w:hAnsiTheme="majorBidi" w:cstheme="majorBidi"/>
          <w:i/>
          <w:iCs/>
        </w:rPr>
        <w:t>al-S</w:t>
      </w:r>
      <w:r w:rsidRPr="00601A46">
        <w:rPr>
          <w:rFonts w:asciiTheme="majorBidi" w:hAnsiTheme="majorBidi" w:cstheme="majorBidi"/>
          <w:i/>
          <w:iCs/>
        </w:rPr>
        <w:t>ī</w:t>
      </w:r>
      <w:r>
        <w:rPr>
          <w:rFonts w:asciiTheme="majorBidi" w:hAnsiTheme="majorBidi" w:cstheme="majorBidi"/>
          <w:i/>
          <w:iCs/>
        </w:rPr>
        <w:t>rah</w:t>
      </w:r>
      <w:r w:rsidRPr="004666EA">
        <w:rPr>
          <w:rFonts w:asciiTheme="majorBidi" w:hAnsiTheme="majorBidi" w:cstheme="majorBidi"/>
        </w:rPr>
        <w:t>, terj. Abu Laila dan Muhammad Tohir, ( Bandung: Al-Ma’arif, t.th) h.  556</w:t>
      </w:r>
    </w:p>
  </w:footnote>
  <w:footnote w:id="439">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Hadits, Shahih, sebagian dari kisah tentang Hudaibiyyah. Az-Zuhri adalah salah seorang dari isnad hadits tersebut. Menurut susunannya, hadits itu tidak berbeda dengan hadits-hadits lainnya tentang Hudaibiyyah, sekalipun banyak yang bersifat mursal. Ahmad bin Hanbal meriwayatkan hadits tersebut sebagai hadits maushul dari Ibnu Ishaq. Al-Bukhari dan Ahmad bin hanbal mengetengahkan hadits seperti itu dari sumber lain.</w:t>
      </w:r>
    </w:p>
  </w:footnote>
  <w:footnote w:id="440">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Muhammad Al-Ghozali, </w:t>
      </w:r>
      <w:r w:rsidRPr="004666EA">
        <w:rPr>
          <w:rFonts w:asciiTheme="majorBidi" w:hAnsiTheme="majorBidi" w:cstheme="majorBidi"/>
          <w:i/>
          <w:iCs/>
        </w:rPr>
        <w:t>Fiqh al-</w:t>
      </w:r>
      <w:r>
        <w:rPr>
          <w:rFonts w:asciiTheme="majorBidi" w:hAnsiTheme="majorBidi" w:cstheme="majorBidi"/>
          <w:i/>
          <w:iCs/>
        </w:rPr>
        <w:t>S</w:t>
      </w:r>
      <w:r w:rsidRPr="00601A46">
        <w:rPr>
          <w:rFonts w:asciiTheme="majorBidi" w:hAnsiTheme="majorBidi" w:cstheme="majorBidi"/>
          <w:i/>
          <w:iCs/>
        </w:rPr>
        <w:t>ī</w:t>
      </w:r>
      <w:r>
        <w:rPr>
          <w:rFonts w:asciiTheme="majorBidi" w:hAnsiTheme="majorBidi" w:cstheme="majorBidi"/>
          <w:i/>
          <w:iCs/>
        </w:rPr>
        <w:t>rah</w:t>
      </w:r>
      <w:r w:rsidRPr="004666EA">
        <w:rPr>
          <w:rFonts w:asciiTheme="majorBidi" w:hAnsiTheme="majorBidi" w:cstheme="majorBidi"/>
        </w:rPr>
        <w:t>, terj. Abu Laila dan Muhammad Tohir, ( Bandung: Al-Ma’arif, t.th) h.  558</w:t>
      </w:r>
    </w:p>
  </w:footnote>
  <w:footnote w:id="441">
    <w:p w:rsidR="00343B61" w:rsidRPr="004666EA" w:rsidRDefault="00343B61" w:rsidP="00343B61">
      <w:pPr>
        <w:spacing w:after="0"/>
        <w:ind w:firstLine="720"/>
        <w:jc w:val="both"/>
        <w:rPr>
          <w:rFonts w:asciiTheme="majorBidi" w:hAnsiTheme="majorBidi" w:cstheme="majorBidi"/>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hAnsiTheme="majorBidi" w:cstheme="majorBidi"/>
          <w:color w:val="000000"/>
          <w:sz w:val="20"/>
          <w:szCs w:val="20"/>
        </w:rPr>
        <w:t xml:space="preserve">Lihat. Wizarah al-auqaf wa al-Syu’un Islamiyah, </w:t>
      </w:r>
      <w:r w:rsidRPr="004666EA">
        <w:rPr>
          <w:rFonts w:asciiTheme="majorBidi" w:hAnsiTheme="majorBidi" w:cstheme="majorBidi"/>
          <w:i/>
          <w:iCs/>
          <w:color w:val="000000"/>
          <w:sz w:val="20"/>
          <w:szCs w:val="20"/>
        </w:rPr>
        <w:t>al-Maus</w:t>
      </w:r>
      <w:r w:rsidRPr="004D1554">
        <w:rPr>
          <w:rFonts w:asciiTheme="majorBidi" w:hAnsiTheme="majorBidi" w:cstheme="majorBidi"/>
          <w:i/>
          <w:iCs/>
          <w:sz w:val="20"/>
          <w:szCs w:val="20"/>
        </w:rPr>
        <w:t>ū</w:t>
      </w:r>
      <w:r w:rsidRPr="004666EA">
        <w:rPr>
          <w:rFonts w:asciiTheme="majorBidi" w:hAnsiTheme="majorBidi" w:cstheme="majorBidi"/>
          <w:i/>
          <w:iCs/>
          <w:color w:val="000000"/>
          <w:sz w:val="20"/>
          <w:szCs w:val="20"/>
        </w:rPr>
        <w:t>’ah al-Fiqhiyah al-K</w:t>
      </w:r>
      <w:r>
        <w:rPr>
          <w:rFonts w:asciiTheme="majorBidi" w:hAnsiTheme="majorBidi" w:cstheme="majorBidi"/>
          <w:i/>
          <w:iCs/>
          <w:color w:val="000000"/>
          <w:sz w:val="20"/>
          <w:szCs w:val="20"/>
        </w:rPr>
        <w:t>u</w:t>
      </w:r>
      <w:r w:rsidRPr="004666EA">
        <w:rPr>
          <w:rFonts w:asciiTheme="majorBidi" w:hAnsiTheme="majorBidi" w:cstheme="majorBidi"/>
          <w:i/>
          <w:iCs/>
          <w:color w:val="000000"/>
          <w:sz w:val="20"/>
          <w:szCs w:val="20"/>
        </w:rPr>
        <w:t>wa</w:t>
      </w:r>
      <w:r>
        <w:rPr>
          <w:rFonts w:asciiTheme="majorBidi" w:hAnsiTheme="majorBidi" w:cstheme="majorBidi"/>
          <w:i/>
          <w:iCs/>
          <w:color w:val="000000"/>
          <w:sz w:val="20"/>
          <w:szCs w:val="20"/>
        </w:rPr>
        <w:t>i</w:t>
      </w:r>
      <w:r w:rsidRPr="004666EA">
        <w:rPr>
          <w:rFonts w:asciiTheme="majorBidi" w:hAnsiTheme="majorBidi" w:cstheme="majorBidi"/>
          <w:i/>
          <w:iCs/>
          <w:color w:val="000000"/>
          <w:sz w:val="20"/>
          <w:szCs w:val="20"/>
        </w:rPr>
        <w:t>tiyah</w:t>
      </w:r>
      <w:r w:rsidRPr="004666EA">
        <w:rPr>
          <w:rFonts w:asciiTheme="majorBidi" w:hAnsiTheme="majorBidi" w:cstheme="majorBidi"/>
          <w:color w:val="000000"/>
          <w:sz w:val="20"/>
          <w:szCs w:val="20"/>
        </w:rPr>
        <w:t>, (</w:t>
      </w:r>
      <w:r>
        <w:rPr>
          <w:rFonts w:asciiTheme="majorBidi" w:hAnsiTheme="majorBidi" w:cstheme="majorBidi"/>
          <w:color w:val="000000"/>
          <w:sz w:val="20"/>
          <w:szCs w:val="20"/>
        </w:rPr>
        <w:t xml:space="preserve"> Kuwait: Maktabah Syamilah, t.th</w:t>
      </w:r>
      <w:r w:rsidRPr="004666EA">
        <w:rPr>
          <w:rFonts w:asciiTheme="majorBidi" w:hAnsiTheme="majorBidi" w:cstheme="majorBidi"/>
          <w:color w:val="000000"/>
          <w:sz w:val="20"/>
          <w:szCs w:val="20"/>
        </w:rPr>
        <w:t>), Juz ix, h. 109</w:t>
      </w:r>
    </w:p>
  </w:footnote>
  <w:footnote w:id="442">
    <w:p w:rsidR="00343B61" w:rsidRPr="00014B3C" w:rsidRDefault="00343B61" w:rsidP="00343B61">
      <w:pPr>
        <w:autoSpaceDE w:val="0"/>
        <w:autoSpaceDN w:val="0"/>
        <w:adjustRightInd w:val="0"/>
        <w:spacing w:after="0"/>
        <w:ind w:firstLine="720"/>
        <w:jc w:val="both"/>
        <w:rPr>
          <w:rFonts w:asciiTheme="majorBidi" w:hAnsiTheme="majorBidi" w:cstheme="majorBidi"/>
          <w:color w:val="000000"/>
          <w:sz w:val="20"/>
          <w:szCs w:val="20"/>
        </w:rPr>
      </w:pPr>
      <w:r w:rsidRPr="00E710F2">
        <w:rPr>
          <w:rStyle w:val="FootnoteReference"/>
          <w:rFonts w:asciiTheme="majorBidi" w:hAnsiTheme="majorBidi" w:cstheme="majorBidi"/>
          <w:sz w:val="20"/>
          <w:szCs w:val="20"/>
        </w:rPr>
        <w:footnoteRef/>
      </w:r>
      <w:r w:rsidRPr="00E710F2">
        <w:rPr>
          <w:rFonts w:asciiTheme="majorBidi" w:hAnsiTheme="majorBidi" w:cstheme="majorBidi"/>
          <w:sz w:val="20"/>
          <w:szCs w:val="20"/>
        </w:rPr>
        <w:t xml:space="preserve"> Hal demikian tercermin dalam hadis yang di</w:t>
      </w:r>
      <w:r>
        <w:rPr>
          <w:rFonts w:asciiTheme="majorBidi" w:hAnsiTheme="majorBidi" w:cstheme="majorBidi"/>
          <w:sz w:val="20"/>
          <w:szCs w:val="20"/>
        </w:rPr>
        <w:t>riwayatkan oleh Muadz Ibn Jabal</w:t>
      </w:r>
      <w:r w:rsidRPr="00E710F2">
        <w:rPr>
          <w:rFonts w:asciiTheme="majorBidi" w:hAnsiTheme="majorBidi" w:cstheme="majorBidi"/>
          <w:sz w:val="20"/>
          <w:szCs w:val="20"/>
        </w:rPr>
        <w:t xml:space="preserve"> r.a ketika ai akan</w:t>
      </w:r>
      <w:r>
        <w:rPr>
          <w:rFonts w:asciiTheme="majorBidi" w:hAnsiTheme="majorBidi" w:cstheme="majorBidi"/>
          <w:sz w:val="20"/>
          <w:szCs w:val="20"/>
        </w:rPr>
        <w:t xml:space="preserve"> di utus oleh Nabi Saw sebagai q</w:t>
      </w:r>
      <w:r w:rsidRPr="00E710F2">
        <w:rPr>
          <w:rFonts w:asciiTheme="majorBidi" w:hAnsiTheme="majorBidi" w:cstheme="majorBidi"/>
          <w:sz w:val="20"/>
          <w:szCs w:val="20"/>
        </w:rPr>
        <w:t>ad</w:t>
      </w:r>
      <w:r>
        <w:rPr>
          <w:rFonts w:asciiTheme="majorBidi" w:hAnsiTheme="majorBidi" w:cstheme="majorBidi"/>
          <w:sz w:val="20"/>
          <w:szCs w:val="20"/>
        </w:rPr>
        <w:t>h</w:t>
      </w:r>
      <w:r w:rsidRPr="00E710F2">
        <w:rPr>
          <w:rFonts w:asciiTheme="majorBidi" w:hAnsiTheme="majorBidi" w:cstheme="majorBidi"/>
          <w:sz w:val="20"/>
          <w:szCs w:val="20"/>
        </w:rPr>
        <w:t>i ke</w:t>
      </w:r>
      <w:r>
        <w:rPr>
          <w:rFonts w:asciiTheme="majorBidi" w:hAnsiTheme="majorBidi" w:cstheme="majorBidi"/>
          <w:sz w:val="20"/>
          <w:szCs w:val="20"/>
        </w:rPr>
        <w:t xml:space="preserve"> </w:t>
      </w:r>
      <w:r w:rsidRPr="00E710F2">
        <w:rPr>
          <w:rFonts w:asciiTheme="majorBidi" w:hAnsiTheme="majorBidi" w:cstheme="majorBidi"/>
          <w:sz w:val="20"/>
          <w:szCs w:val="20"/>
        </w:rPr>
        <w:t>Negeri Yaman.</w:t>
      </w:r>
      <w:r>
        <w:rPr>
          <w:rFonts w:asciiTheme="majorBidi" w:hAnsiTheme="majorBidi" w:cstheme="majorBidi"/>
          <w:sz w:val="20"/>
          <w:szCs w:val="20"/>
        </w:rPr>
        <w:t xml:space="preserve"> ( HR. Termudzi dan Abu Daud).</w:t>
      </w:r>
      <w:r w:rsidRPr="00E710F2">
        <w:rPr>
          <w:rFonts w:asciiTheme="majorBidi" w:hAnsiTheme="majorBidi" w:cstheme="majorBidi"/>
          <w:sz w:val="20"/>
          <w:szCs w:val="20"/>
        </w:rPr>
        <w:t xml:space="preserve"> Lihat. Muhammab Ibn ‘Isa Al-Turmudzi, </w:t>
      </w:r>
      <w:r w:rsidRPr="00E710F2">
        <w:rPr>
          <w:rFonts w:asciiTheme="majorBidi" w:hAnsiTheme="majorBidi" w:cstheme="majorBidi"/>
          <w:i/>
          <w:iCs/>
          <w:sz w:val="20"/>
          <w:szCs w:val="20"/>
        </w:rPr>
        <w:t>Al-Jami’Al-Shoheh Sunan Turmudzi</w:t>
      </w:r>
      <w:r w:rsidRPr="00E710F2">
        <w:rPr>
          <w:rFonts w:asciiTheme="majorBidi" w:hAnsiTheme="majorBidi" w:cstheme="majorBidi"/>
          <w:sz w:val="20"/>
          <w:szCs w:val="20"/>
        </w:rPr>
        <w:t xml:space="preserve">, ( Bairut: Dar Al-Ihya Al-Turats Al-Arabi, t.th), Jilid III, h. 616. </w:t>
      </w:r>
      <w:r w:rsidRPr="00E710F2">
        <w:rPr>
          <w:rFonts w:asciiTheme="majorBidi" w:hAnsiTheme="majorBidi" w:cstheme="majorBidi"/>
          <w:color w:val="000000"/>
          <w:sz w:val="20"/>
          <w:szCs w:val="20"/>
        </w:rPr>
        <w:t xml:space="preserve">Lihat juga. Sulaiman Ibn al-Asy’ats al-Sijistani, </w:t>
      </w:r>
      <w:r w:rsidRPr="00E710F2">
        <w:rPr>
          <w:rFonts w:asciiTheme="majorBidi" w:hAnsiTheme="majorBidi" w:cstheme="majorBidi"/>
          <w:i/>
          <w:iCs/>
          <w:color w:val="000000"/>
          <w:sz w:val="20"/>
          <w:szCs w:val="20"/>
        </w:rPr>
        <w:t>Sunan Abu Daud</w:t>
      </w:r>
      <w:r w:rsidRPr="00E710F2">
        <w:rPr>
          <w:rFonts w:asciiTheme="majorBidi" w:hAnsiTheme="majorBidi" w:cstheme="majorBidi"/>
          <w:color w:val="000000"/>
          <w:sz w:val="20"/>
          <w:szCs w:val="20"/>
        </w:rPr>
        <w:t>, ( Bairut: Dak al-Kitab al-Arabi, t.t.h), Jilid III, h. 330</w:t>
      </w:r>
    </w:p>
  </w:footnote>
  <w:footnote w:id="443">
    <w:p w:rsidR="00343B61" w:rsidRPr="009D1E82" w:rsidRDefault="00343B61" w:rsidP="00343B61">
      <w:pPr>
        <w:pStyle w:val="FootnoteText"/>
        <w:ind w:firstLine="720"/>
        <w:jc w:val="both"/>
        <w:rPr>
          <w:rFonts w:asciiTheme="majorBidi" w:hAnsiTheme="majorBidi" w:cstheme="majorBidi"/>
        </w:rPr>
      </w:pPr>
      <w:r w:rsidRPr="009D1E82">
        <w:rPr>
          <w:rStyle w:val="FootnoteReference"/>
          <w:rFonts w:asciiTheme="majorBidi" w:hAnsiTheme="majorBidi" w:cstheme="majorBidi"/>
        </w:rPr>
        <w:footnoteRef/>
      </w:r>
      <w:r w:rsidRPr="009D1E82">
        <w:rPr>
          <w:rFonts w:asciiTheme="majorBidi" w:hAnsiTheme="majorBidi" w:cstheme="majorBidi"/>
        </w:rPr>
        <w:t xml:space="preserve"> Peperangan Yamamah terjadi pada tahun 12 Hijriyyah antara kaum muslimin dengan kelompok yang menamakan dirinya keluar dari Islam  dibawah pimpinan Musailimah al-Kadzdzab .  Dalam peperangan ini sekitar 70 orang penghafal al-Qur’an menjadi syahid, karena gugur  ditengah peperangan.</w:t>
      </w:r>
    </w:p>
  </w:footnote>
  <w:footnote w:id="444">
    <w:p w:rsidR="00343B61" w:rsidRPr="00014B3C" w:rsidRDefault="00343B61" w:rsidP="00343B61">
      <w:pPr>
        <w:pStyle w:val="ListParagraph"/>
        <w:spacing w:line="240" w:lineRule="auto"/>
        <w:ind w:left="0" w:firstLine="720"/>
        <w:jc w:val="both"/>
        <w:rPr>
          <w:rFonts w:asciiTheme="majorBidi" w:hAnsiTheme="majorBidi" w:cstheme="majorBidi"/>
          <w:i/>
          <w:iCs/>
          <w:sz w:val="20"/>
          <w:szCs w:val="20"/>
        </w:rPr>
      </w:pPr>
      <w:r w:rsidRPr="00014B3C">
        <w:rPr>
          <w:rStyle w:val="FootnoteReference"/>
          <w:rFonts w:asciiTheme="majorBidi" w:hAnsiTheme="majorBidi" w:cstheme="majorBidi"/>
          <w:sz w:val="20"/>
          <w:szCs w:val="20"/>
        </w:rPr>
        <w:footnoteRef/>
      </w:r>
      <w:r w:rsidRPr="00014B3C">
        <w:rPr>
          <w:rFonts w:asciiTheme="majorBidi" w:hAnsiTheme="majorBidi" w:cstheme="majorBidi"/>
          <w:sz w:val="20"/>
          <w:szCs w:val="20"/>
        </w:rPr>
        <w:t xml:space="preserve"> Lihat Subḥi al- Ṣālih, </w:t>
      </w:r>
      <w:r w:rsidRPr="00014B3C">
        <w:rPr>
          <w:rFonts w:asciiTheme="majorBidi" w:hAnsiTheme="majorBidi" w:cstheme="majorBidi"/>
          <w:i/>
          <w:iCs/>
          <w:sz w:val="20"/>
          <w:szCs w:val="20"/>
        </w:rPr>
        <w:t>Mabāhi</w:t>
      </w:r>
      <w:r w:rsidRPr="00014B3C">
        <w:rPr>
          <w:rFonts w:asciiTheme="majorBidi" w:hAnsiTheme="majorBidi" w:cstheme="majorBidi"/>
          <w:i/>
          <w:iCs/>
          <w:sz w:val="16"/>
          <w:szCs w:val="16"/>
        </w:rPr>
        <w:t>Ṡ</w:t>
      </w:r>
      <w:r w:rsidRPr="00014B3C">
        <w:rPr>
          <w:rFonts w:asciiTheme="majorBidi" w:hAnsiTheme="majorBidi" w:cstheme="majorBidi"/>
          <w:i/>
          <w:iCs/>
          <w:sz w:val="20"/>
          <w:szCs w:val="20"/>
        </w:rPr>
        <w:t xml:space="preserve"> fi Ul</w:t>
      </w:r>
      <w:r w:rsidRPr="0050625C">
        <w:rPr>
          <w:rFonts w:asciiTheme="majorBidi" w:hAnsiTheme="majorBidi" w:cstheme="majorBidi"/>
          <w:i/>
          <w:iCs/>
          <w:sz w:val="20"/>
          <w:szCs w:val="20"/>
        </w:rPr>
        <w:t>ū</w:t>
      </w:r>
      <w:r w:rsidRPr="00014B3C">
        <w:rPr>
          <w:rFonts w:asciiTheme="majorBidi" w:hAnsiTheme="majorBidi" w:cstheme="majorBidi"/>
          <w:i/>
          <w:iCs/>
          <w:sz w:val="20"/>
          <w:szCs w:val="20"/>
        </w:rPr>
        <w:t>m al-Qur’ān</w:t>
      </w:r>
      <w:r w:rsidRPr="00014B3C">
        <w:rPr>
          <w:rFonts w:asciiTheme="majorBidi" w:hAnsiTheme="majorBidi" w:cstheme="majorBidi"/>
          <w:sz w:val="20"/>
          <w:szCs w:val="20"/>
        </w:rPr>
        <w:t>, ( Beirut: Dar al-Ilm li al-Malayin, l988), h.78.</w:t>
      </w:r>
    </w:p>
  </w:footnote>
  <w:footnote w:id="445">
    <w:p w:rsidR="00343B61" w:rsidRPr="009D1E82" w:rsidRDefault="00343B61" w:rsidP="00343B61">
      <w:pPr>
        <w:pStyle w:val="FootnoteText"/>
        <w:ind w:firstLine="720"/>
        <w:jc w:val="both"/>
        <w:rPr>
          <w:rFonts w:asciiTheme="majorBidi" w:hAnsiTheme="majorBidi" w:cstheme="majorBidi"/>
        </w:rPr>
      </w:pPr>
      <w:r w:rsidRPr="009D1E82">
        <w:rPr>
          <w:rStyle w:val="FootnoteReference"/>
          <w:rFonts w:asciiTheme="majorBidi" w:hAnsiTheme="majorBidi" w:cstheme="majorBidi"/>
        </w:rPr>
        <w:footnoteRef/>
      </w:r>
      <w:r>
        <w:rPr>
          <w:rFonts w:asciiTheme="majorBidi" w:hAnsiTheme="majorBidi" w:cstheme="majorBidi"/>
        </w:rPr>
        <w:t xml:space="preserve">Lihat. </w:t>
      </w:r>
      <w:r w:rsidRPr="009D1E82">
        <w:rPr>
          <w:rFonts w:asciiTheme="majorBidi" w:hAnsiTheme="majorBidi" w:cstheme="majorBidi"/>
        </w:rPr>
        <w:t xml:space="preserve">Syabli Nu’mani, </w:t>
      </w:r>
      <w:r w:rsidRPr="009D1E82">
        <w:rPr>
          <w:rFonts w:asciiTheme="majorBidi" w:hAnsiTheme="majorBidi" w:cstheme="majorBidi"/>
          <w:i/>
          <w:iCs/>
        </w:rPr>
        <w:t>Umar bin Khoththab Yang Agung Sejarah dan Analisis Kepemimpinannya</w:t>
      </w:r>
      <w:r w:rsidRPr="009D1E82">
        <w:rPr>
          <w:rFonts w:asciiTheme="majorBidi" w:hAnsiTheme="majorBidi" w:cstheme="majorBidi"/>
        </w:rPr>
        <w:t>, ( Bandung, Pustaka, 1994), h. 268</w:t>
      </w:r>
    </w:p>
  </w:footnote>
  <w:footnote w:id="446">
    <w:p w:rsidR="00343B61" w:rsidRPr="007B223C" w:rsidRDefault="00343B61" w:rsidP="00343B61">
      <w:pPr>
        <w:pStyle w:val="FootnoteText"/>
        <w:ind w:firstLine="720"/>
        <w:jc w:val="both"/>
        <w:rPr>
          <w:rFonts w:asciiTheme="majorBidi" w:hAnsiTheme="majorBidi" w:cstheme="majorBidi"/>
        </w:rPr>
      </w:pPr>
      <w:r w:rsidRPr="009D1E82">
        <w:rPr>
          <w:rStyle w:val="FootnoteReference"/>
          <w:rFonts w:asciiTheme="majorBidi" w:hAnsiTheme="majorBidi" w:cstheme="majorBidi"/>
        </w:rPr>
        <w:footnoteRef/>
      </w:r>
      <w:r w:rsidRPr="007B223C">
        <w:rPr>
          <w:rFonts w:asciiTheme="majorBidi" w:hAnsiTheme="majorBidi" w:cstheme="majorBidi"/>
        </w:rPr>
        <w:t xml:space="preserve"> </w:t>
      </w:r>
      <w:r w:rsidRPr="00E96998">
        <w:rPr>
          <w:rFonts w:asciiTheme="majorBidi" w:hAnsiTheme="majorBidi" w:cstheme="majorBidi"/>
        </w:rPr>
        <w:t xml:space="preserve">Lihat. Abd al-‘Al Ahmad Athwah, </w:t>
      </w:r>
      <w:r w:rsidRPr="00E96998">
        <w:rPr>
          <w:rFonts w:asciiTheme="majorBidi" w:hAnsiTheme="majorBidi" w:cstheme="majorBidi"/>
          <w:i/>
          <w:iCs/>
        </w:rPr>
        <w:t>Al-Madkhal ila al-Siyasah al-Syari‟yah</w:t>
      </w:r>
      <w:r w:rsidRPr="00E96998">
        <w:rPr>
          <w:rFonts w:asciiTheme="majorBidi" w:hAnsiTheme="majorBidi" w:cstheme="majorBidi"/>
        </w:rPr>
        <w:t xml:space="preserve">, (Riyadh: </w:t>
      </w:r>
      <w:r w:rsidRPr="00E96998">
        <w:rPr>
          <w:rFonts w:asciiTheme="majorBidi" w:hAnsiTheme="majorBidi" w:cstheme="majorBidi"/>
          <w:color w:val="FF0000"/>
        </w:rPr>
        <w:t xml:space="preserve"> </w:t>
      </w:r>
      <w:r w:rsidRPr="00E96998">
        <w:rPr>
          <w:rFonts w:asciiTheme="majorBidi" w:hAnsiTheme="majorBidi" w:cstheme="majorBidi"/>
          <w:color w:val="000000" w:themeColor="text1"/>
        </w:rPr>
        <w:t xml:space="preserve">Jam’iah al-Imam Muhammad Ibn Su’ud al-Islamiyah, </w:t>
      </w:r>
      <w:r w:rsidRPr="00E96998">
        <w:rPr>
          <w:rFonts w:asciiTheme="majorBidi" w:hAnsiTheme="majorBidi" w:cstheme="majorBidi"/>
        </w:rPr>
        <w:t>1993), h. 46</w:t>
      </w:r>
    </w:p>
  </w:footnote>
  <w:footnote w:id="447">
    <w:p w:rsidR="00343B61" w:rsidRPr="003F75A4" w:rsidRDefault="00343B61" w:rsidP="00343B61">
      <w:pPr>
        <w:pStyle w:val="FootnoteText"/>
        <w:ind w:firstLine="720"/>
        <w:jc w:val="both"/>
        <w:rPr>
          <w:rFonts w:asciiTheme="majorBidi" w:hAnsiTheme="majorBidi" w:cstheme="majorBidi"/>
        </w:rPr>
      </w:pPr>
      <w:r w:rsidRPr="003F75A4">
        <w:rPr>
          <w:rStyle w:val="FootnoteReference"/>
          <w:rFonts w:asciiTheme="majorBidi" w:hAnsiTheme="majorBidi" w:cstheme="majorBidi"/>
        </w:rPr>
        <w:footnoteRef/>
      </w:r>
      <w:r w:rsidRPr="003F75A4">
        <w:rPr>
          <w:rFonts w:asciiTheme="majorBidi" w:hAnsiTheme="majorBidi" w:cstheme="majorBidi"/>
        </w:rPr>
        <w:t xml:space="preserve"> Lihat Muhammad Said Ramadhan al-Buti, </w:t>
      </w:r>
      <w:r w:rsidRPr="003F75A4">
        <w:rPr>
          <w:rFonts w:asciiTheme="majorBidi" w:hAnsiTheme="majorBidi" w:cstheme="majorBidi"/>
          <w:i/>
          <w:iCs/>
        </w:rPr>
        <w:t>Min Rawa’i al-Qur’an</w:t>
      </w:r>
      <w:r w:rsidRPr="003F75A4">
        <w:rPr>
          <w:rFonts w:asciiTheme="majorBidi" w:hAnsiTheme="majorBidi" w:cstheme="majorBidi"/>
        </w:rPr>
        <w:t>, ( ttp., : Maktabah al-Farabi, l977), h. 121-122.</w:t>
      </w:r>
    </w:p>
  </w:footnote>
  <w:footnote w:id="448">
    <w:p w:rsidR="00343B61" w:rsidRDefault="00343B61" w:rsidP="00343B61">
      <w:pPr>
        <w:pStyle w:val="FootnoteText"/>
        <w:ind w:firstLine="720"/>
        <w:jc w:val="both"/>
      </w:pPr>
      <w:r w:rsidRPr="003F75A4">
        <w:rPr>
          <w:rStyle w:val="FootnoteReference"/>
          <w:rFonts w:asciiTheme="majorBidi" w:hAnsiTheme="majorBidi" w:cstheme="majorBidi"/>
        </w:rPr>
        <w:footnoteRef/>
      </w:r>
      <w:r w:rsidRPr="003F75A4">
        <w:rPr>
          <w:rFonts w:asciiTheme="majorBidi" w:hAnsiTheme="majorBidi" w:cstheme="majorBidi"/>
        </w:rPr>
        <w:t xml:space="preserve"> Beni Ahmad Sawbani, Fiqh Siayasah, </w:t>
      </w:r>
      <w:r w:rsidRPr="003F75A4">
        <w:rPr>
          <w:rFonts w:asciiTheme="majorBidi" w:hAnsiTheme="majorBidi" w:cstheme="majorBidi"/>
          <w:i/>
          <w:iCs/>
        </w:rPr>
        <w:t>Terminologi dan Lintas Sejarah Islam Sejak Muhammad Saw Hingga Al-Khulafa Ar Rasyidun</w:t>
      </w:r>
      <w:r w:rsidRPr="003F75A4">
        <w:rPr>
          <w:rFonts w:asciiTheme="majorBidi" w:hAnsiTheme="majorBidi" w:cstheme="majorBidi"/>
        </w:rPr>
        <w:t>, ( Bandung: Lingkar Setia, 2015), h. 233</w:t>
      </w:r>
    </w:p>
  </w:footnote>
  <w:footnote w:id="449">
    <w:p w:rsidR="00343B61" w:rsidRPr="00AD3074" w:rsidRDefault="00343B61" w:rsidP="00343B61">
      <w:pPr>
        <w:pStyle w:val="FootnoteText"/>
        <w:ind w:firstLine="720"/>
        <w:jc w:val="both"/>
        <w:rPr>
          <w:rFonts w:asciiTheme="majorBidi" w:hAnsiTheme="majorBidi" w:cstheme="majorBidi"/>
        </w:rPr>
      </w:pPr>
      <w:r w:rsidRPr="00AD3074">
        <w:rPr>
          <w:rStyle w:val="FootnoteReference"/>
          <w:rFonts w:asciiTheme="majorBidi" w:hAnsiTheme="majorBidi" w:cstheme="majorBidi"/>
        </w:rPr>
        <w:footnoteRef/>
      </w:r>
      <w:r w:rsidRPr="00AD3074">
        <w:rPr>
          <w:rFonts w:asciiTheme="majorBidi" w:hAnsiTheme="majorBidi" w:cstheme="majorBidi"/>
        </w:rPr>
        <w:t xml:space="preserve"> Lihat. Muhamad Iqbal, </w:t>
      </w:r>
      <w:r>
        <w:rPr>
          <w:rFonts w:asciiTheme="majorBidi" w:hAnsiTheme="majorBidi" w:cstheme="majorBidi"/>
          <w:i/>
          <w:iCs/>
        </w:rPr>
        <w:t>Fiqih Si</w:t>
      </w:r>
      <w:r w:rsidRPr="00AD3074">
        <w:rPr>
          <w:rFonts w:asciiTheme="majorBidi" w:hAnsiTheme="majorBidi" w:cstheme="majorBidi"/>
          <w:i/>
          <w:iCs/>
        </w:rPr>
        <w:t>yasah, Kontektualitasi Doktrin Politik Islam</w:t>
      </w:r>
      <w:r w:rsidRPr="00AD3074">
        <w:rPr>
          <w:rFonts w:asciiTheme="majorBidi" w:hAnsiTheme="majorBidi" w:cstheme="majorBidi"/>
        </w:rPr>
        <w:t>, ( Jakarta: Prenadamedia Group, 2014), h. 12-13</w:t>
      </w:r>
    </w:p>
  </w:footnote>
  <w:footnote w:id="450">
    <w:p w:rsidR="00343B61" w:rsidRPr="00AD3074" w:rsidRDefault="00343B61" w:rsidP="00343B61">
      <w:pPr>
        <w:pStyle w:val="FootnoteText"/>
        <w:ind w:firstLine="720"/>
        <w:jc w:val="both"/>
        <w:rPr>
          <w:rFonts w:asciiTheme="majorBidi" w:hAnsiTheme="majorBidi" w:cstheme="majorBidi"/>
        </w:rPr>
      </w:pPr>
      <w:r w:rsidRPr="00AD3074">
        <w:rPr>
          <w:rStyle w:val="FootnoteReference"/>
          <w:rFonts w:asciiTheme="majorBidi" w:hAnsiTheme="majorBidi" w:cstheme="majorBidi"/>
        </w:rPr>
        <w:footnoteRef/>
      </w:r>
      <w:r w:rsidRPr="00AD3074">
        <w:rPr>
          <w:rFonts w:asciiTheme="majorBidi" w:hAnsiTheme="majorBidi" w:cstheme="majorBidi"/>
        </w:rPr>
        <w:t xml:space="preserve"> Lihat. Muhamad Iqbal, </w:t>
      </w:r>
      <w:r>
        <w:rPr>
          <w:rFonts w:asciiTheme="majorBidi" w:hAnsiTheme="majorBidi" w:cstheme="majorBidi"/>
          <w:i/>
          <w:iCs/>
        </w:rPr>
        <w:t>Fiqih Si</w:t>
      </w:r>
      <w:r w:rsidRPr="00AD3074">
        <w:rPr>
          <w:rFonts w:asciiTheme="majorBidi" w:hAnsiTheme="majorBidi" w:cstheme="majorBidi"/>
          <w:i/>
          <w:iCs/>
        </w:rPr>
        <w:t>yasah, Kontektualitasi Doktrin Politik Islam</w:t>
      </w:r>
      <w:r w:rsidRPr="00AD3074">
        <w:rPr>
          <w:rFonts w:asciiTheme="majorBidi" w:hAnsiTheme="majorBidi" w:cstheme="majorBidi"/>
        </w:rPr>
        <w:t>, ( Jakarta: Prenadamedia Group, 2014), h. 12-13</w:t>
      </w:r>
    </w:p>
  </w:footnote>
  <w:footnote w:id="451">
    <w:p w:rsidR="00343B61" w:rsidRDefault="00343B61" w:rsidP="00343B61">
      <w:pPr>
        <w:pStyle w:val="FootnoteText"/>
        <w:ind w:firstLine="720"/>
        <w:jc w:val="both"/>
      </w:pPr>
      <w:r>
        <w:rPr>
          <w:rStyle w:val="FootnoteReference"/>
        </w:rPr>
        <w:footnoteRef/>
      </w:r>
      <w:r>
        <w:t xml:space="preserve"> </w:t>
      </w:r>
      <w:r w:rsidRPr="005153A1">
        <w:rPr>
          <w:rFonts w:asciiTheme="majorBidi" w:hAnsiTheme="majorBidi" w:cstheme="majorBidi"/>
        </w:rPr>
        <w:t xml:space="preserve">Lihat. Muhamad Iqbal, </w:t>
      </w:r>
      <w:r>
        <w:rPr>
          <w:rFonts w:asciiTheme="majorBidi" w:hAnsiTheme="majorBidi" w:cstheme="majorBidi"/>
          <w:i/>
          <w:iCs/>
        </w:rPr>
        <w:t>Fiqih Si</w:t>
      </w:r>
      <w:r w:rsidRPr="005153A1">
        <w:rPr>
          <w:rFonts w:asciiTheme="majorBidi" w:hAnsiTheme="majorBidi" w:cstheme="majorBidi"/>
          <w:i/>
          <w:iCs/>
        </w:rPr>
        <w:t>yasah, Kontektualitasi Doktrin Politik Islam</w:t>
      </w:r>
      <w:r>
        <w:rPr>
          <w:rFonts w:asciiTheme="majorBidi" w:hAnsiTheme="majorBidi" w:cstheme="majorBidi"/>
        </w:rPr>
        <w:t>, (</w:t>
      </w:r>
      <w:r w:rsidRPr="005153A1">
        <w:rPr>
          <w:rFonts w:asciiTheme="majorBidi" w:hAnsiTheme="majorBidi" w:cstheme="majorBidi"/>
        </w:rPr>
        <w:t>Jakarta: P</w:t>
      </w:r>
      <w:r>
        <w:rPr>
          <w:rFonts w:asciiTheme="majorBidi" w:hAnsiTheme="majorBidi" w:cstheme="majorBidi"/>
        </w:rPr>
        <w:t xml:space="preserve">renadamedia Group, 2014), h. </w:t>
      </w:r>
      <w:r w:rsidRPr="005153A1">
        <w:rPr>
          <w:rFonts w:asciiTheme="majorBidi" w:hAnsiTheme="majorBidi" w:cstheme="majorBidi"/>
        </w:rPr>
        <w:t>13</w:t>
      </w:r>
    </w:p>
  </w:footnote>
  <w:footnote w:id="452">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H.S. Prodjokusuma dkk, </w:t>
      </w:r>
      <w:r w:rsidRPr="00B934A1">
        <w:rPr>
          <w:rFonts w:asciiTheme="majorBidi" w:hAnsiTheme="majorBidi" w:cstheme="majorBidi"/>
          <w:i/>
        </w:rPr>
        <w:t>20 Tahun Majelis Ulama Indonesia</w:t>
      </w:r>
      <w:r>
        <w:rPr>
          <w:rFonts w:asciiTheme="majorBidi" w:hAnsiTheme="majorBidi" w:cstheme="majorBidi"/>
        </w:rPr>
        <w:t>, (Jakarta: Sekretariat MUI,</w:t>
      </w:r>
      <w:r w:rsidRPr="00B934A1">
        <w:rPr>
          <w:rFonts w:asciiTheme="majorBidi" w:hAnsiTheme="majorBidi" w:cstheme="majorBidi"/>
        </w:rPr>
        <w:t>1995), h. 13</w:t>
      </w:r>
    </w:p>
  </w:footnote>
  <w:footnote w:id="453">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Lihat Ali Mufradi, </w:t>
      </w:r>
      <w:r w:rsidRPr="00B934A1">
        <w:rPr>
          <w:rFonts w:asciiTheme="majorBidi" w:hAnsiTheme="majorBidi" w:cstheme="majorBidi"/>
          <w:i/>
          <w:iCs/>
        </w:rPr>
        <w:t>Peran Majelis Ulama Indonesia ( MUI) Pespektif Sosial Politik di Indonesia Tahun 1975-1990</w:t>
      </w:r>
      <w:r w:rsidRPr="00B934A1">
        <w:rPr>
          <w:rFonts w:asciiTheme="majorBidi" w:hAnsiTheme="majorBidi" w:cstheme="majorBidi"/>
        </w:rPr>
        <w:t xml:space="preserve">, dalam: </w:t>
      </w:r>
      <w:r w:rsidRPr="00B934A1">
        <w:rPr>
          <w:rFonts w:asciiTheme="majorBidi" w:hAnsiTheme="majorBidi" w:cstheme="majorBidi"/>
          <w:i/>
          <w:iCs/>
        </w:rPr>
        <w:t>Fatwa Majelis Ulama Indonesia ( MUI) dalam Perspektif Hukum dan Perundang-Undangan</w:t>
      </w:r>
      <w:r w:rsidRPr="00B934A1">
        <w:rPr>
          <w:rFonts w:asciiTheme="majorBidi" w:hAnsiTheme="majorBidi" w:cstheme="majorBidi"/>
        </w:rPr>
        <w:t>, ( Jakarta: Pusdiklat Lektur dan Khazanah Keagamaan Badan Litbang dan Diklat Kementerian Agama RI, 2012), 89-91</w:t>
      </w:r>
    </w:p>
  </w:footnote>
  <w:footnote w:id="454">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Lihat 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41-42</w:t>
      </w:r>
    </w:p>
  </w:footnote>
  <w:footnote w:id="455">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Anwar Abbas dkk, </w:t>
      </w:r>
      <w:r w:rsidRPr="00B934A1">
        <w:rPr>
          <w:rFonts w:asciiTheme="majorBidi" w:hAnsiTheme="majorBidi" w:cstheme="majorBidi"/>
          <w:i/>
          <w:iCs/>
        </w:rPr>
        <w:t>Wawasan Majelis Ulama Indonesia</w:t>
      </w:r>
      <w:r w:rsidRPr="00B934A1">
        <w:rPr>
          <w:rFonts w:asciiTheme="majorBidi" w:hAnsiTheme="majorBidi" w:cstheme="majorBidi"/>
        </w:rPr>
        <w:t xml:space="preserve">, dalam;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4</w:t>
      </w:r>
    </w:p>
  </w:footnote>
  <w:footnote w:id="456">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Lihat M. Rusli Karim, </w:t>
      </w:r>
      <w:r w:rsidRPr="00B934A1">
        <w:rPr>
          <w:rFonts w:asciiTheme="majorBidi" w:hAnsiTheme="majorBidi" w:cstheme="majorBidi"/>
          <w:i/>
        </w:rPr>
        <w:t>Negara dan Peminggiran Islam Politik</w:t>
      </w:r>
      <w:r w:rsidRPr="00B934A1">
        <w:rPr>
          <w:rFonts w:asciiTheme="majorBidi" w:hAnsiTheme="majorBidi" w:cstheme="majorBidi"/>
        </w:rPr>
        <w:t xml:space="preserve"> (Yogyakarta: Tiara Wacana, 1999), 120</w:t>
      </w:r>
    </w:p>
  </w:footnote>
  <w:footnote w:id="457">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Departemen Penerangan RI, </w:t>
      </w:r>
      <w:r w:rsidRPr="00B934A1">
        <w:rPr>
          <w:rFonts w:asciiTheme="majorBidi" w:hAnsiTheme="majorBidi" w:cstheme="majorBidi"/>
          <w:i/>
        </w:rPr>
        <w:t>10 Tahun Majelis Ulama Indonesia</w:t>
      </w:r>
      <w:r>
        <w:rPr>
          <w:rFonts w:asciiTheme="majorBidi" w:hAnsiTheme="majorBidi" w:cstheme="majorBidi"/>
        </w:rPr>
        <w:t>, (</w:t>
      </w:r>
      <w:r w:rsidRPr="00B934A1">
        <w:rPr>
          <w:rFonts w:asciiTheme="majorBidi" w:hAnsiTheme="majorBidi" w:cstheme="majorBidi"/>
        </w:rPr>
        <w:t>Jakarta : Sekretaris Majelis Indoneisa, 1985, h. 16</w:t>
      </w:r>
    </w:p>
  </w:footnote>
  <w:footnote w:id="458">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M. Atho Mudzhar, </w:t>
      </w:r>
      <w:r w:rsidRPr="00B934A1">
        <w:rPr>
          <w:rFonts w:asciiTheme="majorBidi" w:hAnsiTheme="majorBidi" w:cstheme="majorBidi"/>
          <w:i/>
        </w:rPr>
        <w:t xml:space="preserve">Fatwa-Fatwa Majelis Ulama Indonesia, Sebuah Studi Pemikiran Hukum Islam di Indonesia 1975-1988 edisi dwibahasa, </w:t>
      </w:r>
      <w:r w:rsidRPr="00B934A1">
        <w:rPr>
          <w:rFonts w:asciiTheme="majorBidi" w:hAnsiTheme="majorBidi" w:cstheme="majorBidi"/>
        </w:rPr>
        <w:t>( Jakarta: INIS, 1993),  h. 55</w:t>
      </w:r>
    </w:p>
  </w:footnote>
  <w:footnote w:id="459">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Ali Mufradi, </w:t>
      </w:r>
      <w:r>
        <w:rPr>
          <w:rFonts w:asciiTheme="majorBidi" w:hAnsiTheme="majorBidi" w:cstheme="majorBidi"/>
          <w:i/>
          <w:iCs/>
        </w:rPr>
        <w:t>Peran Majelis Ulama Indonesia (</w:t>
      </w:r>
      <w:r w:rsidRPr="00B934A1">
        <w:rPr>
          <w:rFonts w:asciiTheme="majorBidi" w:hAnsiTheme="majorBidi" w:cstheme="majorBidi"/>
          <w:i/>
          <w:iCs/>
        </w:rPr>
        <w:t>MUI) Pespektif Sosial Politik di Indonesia, op,cit.,</w:t>
      </w:r>
      <w:r w:rsidRPr="00B934A1">
        <w:rPr>
          <w:rFonts w:asciiTheme="majorBidi" w:hAnsiTheme="majorBidi" w:cstheme="majorBidi"/>
        </w:rPr>
        <w:t>89-93</w:t>
      </w:r>
    </w:p>
  </w:footnote>
  <w:footnote w:id="460">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Delian Noer, </w:t>
      </w:r>
      <w:r w:rsidRPr="00B934A1">
        <w:rPr>
          <w:rFonts w:asciiTheme="majorBidi" w:hAnsiTheme="majorBidi" w:cstheme="majorBidi"/>
          <w:i/>
        </w:rPr>
        <w:t>Administerasi Islam di Indonesia</w:t>
      </w:r>
      <w:r w:rsidRPr="00B934A1">
        <w:rPr>
          <w:rFonts w:asciiTheme="majorBidi" w:hAnsiTheme="majorBidi" w:cstheme="majorBidi"/>
        </w:rPr>
        <w:t>, (Jakarta : CV Rajawali, 1983), edisi baru, h.125, 141</w:t>
      </w:r>
    </w:p>
  </w:footnote>
  <w:footnote w:id="461">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H.S. Prodjokusuma dkk, </w:t>
      </w:r>
      <w:r w:rsidRPr="00B934A1">
        <w:rPr>
          <w:rFonts w:asciiTheme="majorBidi" w:hAnsiTheme="majorBidi" w:cstheme="majorBidi"/>
          <w:i/>
        </w:rPr>
        <w:t>20 Tahun Majelis Ulama Indonesia</w:t>
      </w:r>
      <w:r w:rsidRPr="00B934A1">
        <w:rPr>
          <w:rFonts w:asciiTheme="majorBidi" w:hAnsiTheme="majorBidi" w:cstheme="majorBidi"/>
        </w:rPr>
        <w:t>, (Jakarta: Sekretariat MUI,  1995), h. 13</w:t>
      </w:r>
    </w:p>
  </w:footnote>
  <w:footnote w:id="462">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A.Mukti Ali, “</w:t>
      </w:r>
      <w:r w:rsidRPr="00B934A1">
        <w:rPr>
          <w:rFonts w:asciiTheme="majorBidi" w:hAnsiTheme="majorBidi" w:cstheme="majorBidi"/>
          <w:i/>
          <w:iCs/>
        </w:rPr>
        <w:t>Persepsi Buya Hamka : Ulama Sudah Lama Terjual</w:t>
      </w:r>
      <w:r w:rsidRPr="00B934A1">
        <w:rPr>
          <w:rFonts w:asciiTheme="majorBidi" w:hAnsiTheme="majorBidi" w:cstheme="majorBidi"/>
        </w:rPr>
        <w:t xml:space="preserve">”, dalam: Nasir Tamara, et. al. (penyunting), </w:t>
      </w:r>
      <w:r w:rsidRPr="00B934A1">
        <w:rPr>
          <w:rFonts w:asciiTheme="majorBidi" w:hAnsiTheme="majorBidi" w:cstheme="majorBidi"/>
          <w:i/>
        </w:rPr>
        <w:t>Hamka di Mata Hati Umat</w:t>
      </w:r>
      <w:r w:rsidRPr="00B934A1">
        <w:rPr>
          <w:rFonts w:asciiTheme="majorBidi" w:hAnsiTheme="majorBidi" w:cstheme="majorBidi"/>
        </w:rPr>
        <w:t>, (Jakarta : Pustaka Sinar Harapan, 1996), cet. ke-3, h. 70.</w:t>
      </w:r>
    </w:p>
  </w:footnote>
  <w:footnote w:id="463">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w:t>
      </w:r>
      <w:r w:rsidRPr="00B934A1">
        <w:rPr>
          <w:rFonts w:asciiTheme="majorBidi" w:hAnsiTheme="majorBidi" w:cstheme="majorBidi"/>
          <w:lang w:val="sv-SE"/>
        </w:rPr>
        <w:t xml:space="preserve">Helmi Karim, </w:t>
      </w:r>
      <w:r w:rsidRPr="00B934A1">
        <w:rPr>
          <w:rFonts w:asciiTheme="majorBidi" w:hAnsiTheme="majorBidi" w:cstheme="majorBidi"/>
          <w:i/>
          <w:iCs/>
          <w:lang w:val="sv-SE"/>
        </w:rPr>
        <w:t>Konsep Ijtihad Majelis Ulama Indonesia dalam pengembangan hukum Islam,</w:t>
      </w:r>
      <w:r w:rsidRPr="00B934A1">
        <w:rPr>
          <w:rFonts w:asciiTheme="majorBidi" w:hAnsiTheme="majorBidi" w:cstheme="majorBidi"/>
          <w:lang w:val="sv-SE"/>
        </w:rPr>
        <w:t xml:space="preserve"> Disertasi doktor Ilmu Agama Islam,( Jakarta: Perpustakaan Pasca sarjana UIN 1993). h. 78</w:t>
      </w:r>
    </w:p>
  </w:footnote>
  <w:footnote w:id="464">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Delian Noer, </w:t>
      </w:r>
      <w:r w:rsidRPr="00B934A1">
        <w:rPr>
          <w:rFonts w:asciiTheme="majorBidi" w:hAnsiTheme="majorBidi" w:cstheme="majorBidi"/>
          <w:i/>
        </w:rPr>
        <w:t>Administerasi Islam di Indonesia</w:t>
      </w:r>
      <w:r w:rsidRPr="00B934A1">
        <w:rPr>
          <w:rFonts w:asciiTheme="majorBidi" w:hAnsiTheme="majorBidi" w:cstheme="majorBidi"/>
        </w:rPr>
        <w:t>, (Jakarta : CV Rajawali, 1983), h.125</w:t>
      </w:r>
    </w:p>
  </w:footnote>
  <w:footnote w:id="465">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Hamam Faizin, </w:t>
      </w:r>
      <w:r w:rsidRPr="00B934A1">
        <w:rPr>
          <w:rFonts w:asciiTheme="majorBidi" w:hAnsiTheme="majorBidi" w:cstheme="majorBidi"/>
          <w:i/>
          <w:iCs/>
        </w:rPr>
        <w:t>MUI dalam Bingkai Sejarah</w:t>
      </w:r>
      <w:r w:rsidRPr="00B934A1">
        <w:rPr>
          <w:rFonts w:asciiTheme="majorBidi" w:hAnsiTheme="majorBidi" w:cstheme="majorBidi"/>
        </w:rPr>
        <w:t xml:space="preserve">, makalah, tidak diterbitkan. </w:t>
      </w:r>
    </w:p>
  </w:footnote>
  <w:footnote w:id="466">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Asrorun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Disertasi Doktor Konsentrasi Syari’ah ( Jakarta: Perpustakaan Pascasarjana UIN Syarif Hidatullah, 2008), h. 76</w:t>
      </w:r>
    </w:p>
  </w:footnote>
  <w:footnote w:id="467">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w:t>
      </w:r>
      <w:r w:rsidRPr="00B934A1">
        <w:rPr>
          <w:rFonts w:asciiTheme="majorBidi" w:hAnsiTheme="majorBidi" w:cstheme="majorBidi"/>
          <w:i/>
          <w:iCs/>
        </w:rPr>
        <w:t>15 Tahun Majelis Ulama Indonesia: Wadah Musyawarah para Ulama, Zu’ama dan Cendekiawan Muslim,</w:t>
      </w:r>
      <w:r w:rsidRPr="00B934A1">
        <w:rPr>
          <w:rFonts w:asciiTheme="majorBidi" w:hAnsiTheme="majorBidi" w:cstheme="majorBidi"/>
        </w:rPr>
        <w:t xml:space="preserve"> hal. 46. Lihat juga </w:t>
      </w:r>
      <w:r w:rsidRPr="00B934A1">
        <w:rPr>
          <w:rFonts w:asciiTheme="majorBidi" w:hAnsiTheme="majorBidi" w:cstheme="majorBidi"/>
          <w:lang w:val="sv-SE"/>
        </w:rPr>
        <w:t xml:space="preserve">Karim, </w:t>
      </w:r>
      <w:r w:rsidRPr="00B934A1">
        <w:rPr>
          <w:rFonts w:asciiTheme="majorBidi" w:hAnsiTheme="majorBidi" w:cstheme="majorBidi"/>
          <w:i/>
          <w:iCs/>
          <w:lang w:val="sv-SE"/>
        </w:rPr>
        <w:t xml:space="preserve">Konsep Ijtihad Majelis Ulama Indonesia dalam pengembangan hukum Islam, </w:t>
      </w:r>
      <w:r w:rsidRPr="00B934A1">
        <w:rPr>
          <w:rFonts w:asciiTheme="majorBidi" w:hAnsiTheme="majorBidi" w:cstheme="majorBidi"/>
          <w:lang w:val="sv-SE"/>
        </w:rPr>
        <w:t>h. 80</w:t>
      </w:r>
    </w:p>
  </w:footnote>
  <w:footnote w:id="468">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w:t>
      </w:r>
      <w:r>
        <w:rPr>
          <w:rFonts w:asciiTheme="majorBidi" w:hAnsiTheme="majorBidi" w:cstheme="majorBidi"/>
        </w:rPr>
        <w:t xml:space="preserve">. </w:t>
      </w:r>
      <w:r w:rsidRPr="00B934A1">
        <w:rPr>
          <w:rFonts w:asciiTheme="majorBidi" w:hAnsiTheme="majorBidi" w:cstheme="majorBidi"/>
        </w:rPr>
        <w:t xml:space="preserve">Asrorunun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w:t>
      </w:r>
      <w:r w:rsidRPr="00B934A1">
        <w:rPr>
          <w:rFonts w:asciiTheme="majorBidi" w:hAnsiTheme="majorBidi" w:cstheme="majorBidi"/>
          <w:i/>
          <w:iCs/>
        </w:rPr>
        <w:t>ibid</w:t>
      </w:r>
      <w:r w:rsidRPr="00B934A1">
        <w:rPr>
          <w:rFonts w:asciiTheme="majorBidi" w:hAnsiTheme="majorBidi" w:cstheme="majorBidi"/>
        </w:rPr>
        <w:t>, h. 76-77</w:t>
      </w:r>
    </w:p>
  </w:footnote>
  <w:footnote w:id="469">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w:t>
      </w:r>
      <w:r>
        <w:rPr>
          <w:rFonts w:asciiTheme="majorBidi" w:hAnsiTheme="majorBidi" w:cstheme="majorBidi"/>
        </w:rPr>
        <w:t xml:space="preserve">. </w:t>
      </w:r>
      <w:r w:rsidRPr="00B934A1">
        <w:rPr>
          <w:rFonts w:asciiTheme="majorBidi" w:hAnsiTheme="majorBidi" w:cstheme="majorBidi"/>
        </w:rPr>
        <w:t xml:space="preserve">H.S. Prodjokusuma dkk, </w:t>
      </w:r>
      <w:r w:rsidRPr="00B934A1">
        <w:rPr>
          <w:rFonts w:asciiTheme="majorBidi" w:hAnsiTheme="majorBidi" w:cstheme="majorBidi"/>
          <w:i/>
        </w:rPr>
        <w:t>20 Tahun Majelis Ulama Indonesia</w:t>
      </w:r>
      <w:r w:rsidRPr="00B934A1">
        <w:rPr>
          <w:rFonts w:asciiTheme="majorBidi" w:hAnsiTheme="majorBidi" w:cstheme="majorBidi"/>
        </w:rPr>
        <w:t xml:space="preserve"> , (Jakarta: Sekretariat MUI,  1995), h. 13</w:t>
      </w:r>
    </w:p>
  </w:footnote>
  <w:footnote w:id="470">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w:t>
      </w:r>
      <w:r>
        <w:rPr>
          <w:rFonts w:asciiTheme="majorBidi" w:hAnsiTheme="majorBidi" w:cstheme="majorBidi"/>
        </w:rPr>
        <w:t>.</w:t>
      </w:r>
      <w:r w:rsidRPr="00B934A1">
        <w:rPr>
          <w:rFonts w:asciiTheme="majorBidi" w:hAnsiTheme="majorBidi" w:cstheme="majorBidi"/>
        </w:rPr>
        <w:t xml:space="preserve">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43</w:t>
      </w:r>
    </w:p>
  </w:footnote>
  <w:footnote w:id="471">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Lihat M. Atho Mudzhar, </w:t>
      </w:r>
      <w:r w:rsidRPr="00B934A1">
        <w:rPr>
          <w:rFonts w:asciiTheme="majorBidi" w:hAnsiTheme="majorBidi" w:cstheme="majorBidi"/>
          <w:i/>
        </w:rPr>
        <w:t xml:space="preserve">Fatwa-Fatwa Majelis Ulama Indonesia, Sebuah Studi Pemikiran Hukum Islam di Indonesia 1975-1988 edisi dwibahasa, </w:t>
      </w:r>
      <w:r w:rsidRPr="00B934A1">
        <w:rPr>
          <w:rFonts w:asciiTheme="majorBidi" w:hAnsiTheme="majorBidi" w:cstheme="majorBidi"/>
        </w:rPr>
        <w:t>( Jakarta: INIS, 1993),  h. 56</w:t>
      </w:r>
    </w:p>
  </w:footnote>
  <w:footnote w:id="472">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Lihat.Irfan Hamka, </w:t>
      </w:r>
      <w:r w:rsidRPr="00B934A1">
        <w:rPr>
          <w:rFonts w:asciiTheme="majorBidi" w:hAnsiTheme="majorBidi" w:cstheme="majorBidi"/>
          <w:i/>
          <w:iCs/>
        </w:rPr>
        <w:t>Ayah, Kisah Buya Hamka</w:t>
      </w:r>
      <w:r w:rsidRPr="00B934A1">
        <w:rPr>
          <w:rFonts w:asciiTheme="majorBidi" w:hAnsiTheme="majorBidi" w:cstheme="majorBidi"/>
        </w:rPr>
        <w:t>,</w:t>
      </w:r>
      <w:r w:rsidRPr="00B934A1">
        <w:rPr>
          <w:rFonts w:asciiTheme="majorBidi" w:hAnsiTheme="majorBidi" w:cstheme="majorBidi"/>
          <w:i/>
          <w:iCs/>
        </w:rPr>
        <w:t xml:space="preserve"> Masa Muda, Dewasa, Menjadi Ulama,</w:t>
      </w:r>
      <w:r w:rsidRPr="00B934A1">
        <w:rPr>
          <w:rFonts w:asciiTheme="majorBidi" w:hAnsiTheme="majorBidi" w:cstheme="majorBidi"/>
        </w:rPr>
        <w:t xml:space="preserve"> ( Jakarta: Republika, 2014), h. 289</w:t>
      </w:r>
    </w:p>
  </w:footnote>
  <w:footnote w:id="473">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Johan Prasetya, </w:t>
      </w:r>
      <w:r w:rsidRPr="00B934A1">
        <w:rPr>
          <w:rFonts w:asciiTheme="majorBidi" w:hAnsiTheme="majorBidi" w:cstheme="majorBidi"/>
          <w:i/>
          <w:iCs/>
        </w:rPr>
        <w:t>Ajaran- Ajaran Founding Father dan Orang-orang di Sekitarnya</w:t>
      </w:r>
      <w:r w:rsidRPr="00B934A1">
        <w:rPr>
          <w:rFonts w:asciiTheme="majorBidi" w:hAnsiTheme="majorBidi" w:cstheme="majorBidi"/>
        </w:rPr>
        <w:t>, ( Jogyakarta: Palapa, 2014), h. 14</w:t>
      </w:r>
    </w:p>
  </w:footnote>
  <w:footnote w:id="474">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M. Jamil, </w:t>
      </w:r>
      <w:r w:rsidRPr="00B934A1">
        <w:rPr>
          <w:rFonts w:asciiTheme="majorBidi" w:hAnsiTheme="majorBidi" w:cstheme="majorBidi"/>
          <w:i/>
          <w:iCs/>
        </w:rPr>
        <w:t>Metode Istinbȃt Hukum Hamka (Studi Terhadap Ayat-Ayat Aẖkâm Tafsir Al-Azhar</w:t>
      </w:r>
      <w:r w:rsidRPr="00B934A1">
        <w:rPr>
          <w:rFonts w:asciiTheme="majorBidi" w:hAnsiTheme="majorBidi" w:cstheme="majorBidi"/>
        </w:rPr>
        <w:t>), Disertasi, Sekolah Pascasarjana Universitas Islam Negeri Syarif Hidayatullah Jakarta 1429 H/2008 M, h. 45</w:t>
      </w:r>
    </w:p>
  </w:footnote>
  <w:footnote w:id="475">
    <w:p w:rsidR="00343B61" w:rsidRPr="00B934A1" w:rsidRDefault="00343B61" w:rsidP="00343B61">
      <w:pPr>
        <w:autoSpaceDE w:val="0"/>
        <w:autoSpaceDN w:val="0"/>
        <w:adjustRightInd w:val="0"/>
        <w:spacing w:after="0"/>
        <w:ind w:firstLine="720"/>
        <w:jc w:val="both"/>
        <w:rPr>
          <w:rFonts w:asciiTheme="majorBidi" w:hAnsiTheme="majorBidi" w:cstheme="majorBidi"/>
          <w:sz w:val="20"/>
          <w:szCs w:val="20"/>
        </w:rPr>
      </w:pPr>
      <w:r w:rsidRPr="00B934A1">
        <w:rPr>
          <w:rStyle w:val="FootnoteReference"/>
          <w:rFonts w:asciiTheme="majorBidi" w:hAnsiTheme="majorBidi" w:cstheme="majorBidi"/>
          <w:sz w:val="20"/>
          <w:szCs w:val="20"/>
        </w:rPr>
        <w:footnoteRef/>
      </w:r>
      <w:r w:rsidRPr="00B934A1">
        <w:rPr>
          <w:rFonts w:asciiTheme="majorBidi" w:hAnsiTheme="majorBidi" w:cstheme="majorBidi"/>
          <w:sz w:val="20"/>
          <w:szCs w:val="20"/>
        </w:rPr>
        <w:t xml:space="preserve"> Lihat. M. Jamil, </w:t>
      </w:r>
      <w:r w:rsidRPr="00B934A1">
        <w:rPr>
          <w:rFonts w:asciiTheme="majorBidi" w:hAnsiTheme="majorBidi" w:cstheme="majorBidi"/>
          <w:i/>
          <w:iCs/>
          <w:sz w:val="20"/>
          <w:szCs w:val="20"/>
        </w:rPr>
        <w:t>Metode Istinbȃt Hukum Hamka (Studi Terhadap Ayat-Ayat Aẖkâm Tafsir Al-Azhar</w:t>
      </w:r>
      <w:r w:rsidRPr="00B934A1">
        <w:rPr>
          <w:rFonts w:asciiTheme="majorBidi" w:hAnsiTheme="majorBidi" w:cstheme="majorBidi"/>
          <w:sz w:val="20"/>
          <w:szCs w:val="20"/>
        </w:rPr>
        <w:t>), Disertasi, Sekolah Pascasarjana Universitas Islam Negeri Syarif Hidayatullah Jakarta 1429 H/2008 M, h. 43-44</w:t>
      </w:r>
    </w:p>
  </w:footnote>
  <w:footnote w:id="476">
    <w:p w:rsidR="00343B61" w:rsidRPr="00B934A1" w:rsidRDefault="00343B61" w:rsidP="00343B61">
      <w:pPr>
        <w:autoSpaceDE w:val="0"/>
        <w:autoSpaceDN w:val="0"/>
        <w:adjustRightInd w:val="0"/>
        <w:spacing w:after="0"/>
        <w:ind w:firstLine="720"/>
        <w:jc w:val="both"/>
        <w:rPr>
          <w:rFonts w:asciiTheme="majorBidi" w:eastAsiaTheme="minorHAnsi" w:hAnsiTheme="majorBidi" w:cstheme="majorBidi"/>
          <w:i/>
          <w:iCs/>
          <w:sz w:val="20"/>
          <w:szCs w:val="20"/>
        </w:rPr>
      </w:pPr>
      <w:r w:rsidRPr="00B934A1">
        <w:rPr>
          <w:rStyle w:val="FootnoteReference"/>
          <w:rFonts w:asciiTheme="majorBidi" w:hAnsiTheme="majorBidi" w:cstheme="majorBidi"/>
          <w:sz w:val="20"/>
          <w:szCs w:val="20"/>
        </w:rPr>
        <w:footnoteRef/>
      </w:r>
      <w:r w:rsidRPr="00B934A1">
        <w:rPr>
          <w:rFonts w:asciiTheme="majorBidi" w:hAnsiTheme="majorBidi" w:cstheme="majorBidi"/>
          <w:sz w:val="20"/>
          <w:szCs w:val="20"/>
        </w:rPr>
        <w:t xml:space="preserve"> Buku-buku tersebut diurutkan oleh H. Rusydi di dalam buku Pribadi dan Martabat Buya Prof. Dr. Hamka, diantara : (1) Khatibul Ummah Jilid I. Inilah permulaan mengarang yang dicetak. </w:t>
      </w:r>
      <w:r w:rsidRPr="00B934A1">
        <w:rPr>
          <w:rFonts w:asciiTheme="majorBidi" w:eastAsiaTheme="minorHAnsi" w:hAnsiTheme="majorBidi" w:cstheme="majorBidi"/>
          <w:i/>
          <w:iCs/>
          <w:sz w:val="20"/>
          <w:szCs w:val="20"/>
        </w:rPr>
        <w:t>Adat Minangkabau dan Agama Islam (1929), Ringkasan Tarikh Ummat Islam (1929),</w:t>
      </w:r>
      <w:r w:rsidRPr="00B934A1">
        <w:rPr>
          <w:rFonts w:asciiTheme="majorBidi" w:hAnsiTheme="majorBidi" w:cstheme="majorBidi"/>
          <w:sz w:val="20"/>
          <w:szCs w:val="20"/>
        </w:rPr>
        <w:t xml:space="preserve"> </w:t>
      </w:r>
      <w:r w:rsidRPr="00B934A1">
        <w:rPr>
          <w:rFonts w:asciiTheme="majorBidi" w:eastAsiaTheme="minorHAnsi" w:hAnsiTheme="majorBidi" w:cstheme="majorBidi"/>
          <w:i/>
          <w:iCs/>
          <w:sz w:val="20"/>
          <w:szCs w:val="20"/>
        </w:rPr>
        <w:t>Hikmah Isra’ Mi’raj, Arkanul Islam (1932),  Laila Majnun,</w:t>
      </w:r>
      <w:r w:rsidRPr="00B934A1">
        <w:rPr>
          <w:rFonts w:asciiTheme="majorBidi" w:hAnsiTheme="majorBidi" w:cstheme="majorBidi"/>
          <w:sz w:val="20"/>
          <w:szCs w:val="20"/>
        </w:rPr>
        <w:t xml:space="preserve"> </w:t>
      </w:r>
      <w:r w:rsidRPr="00B934A1">
        <w:rPr>
          <w:rFonts w:asciiTheme="majorBidi" w:eastAsiaTheme="minorHAnsi" w:hAnsiTheme="majorBidi" w:cstheme="majorBidi"/>
          <w:i/>
          <w:iCs/>
          <w:sz w:val="20"/>
          <w:szCs w:val="20"/>
        </w:rPr>
        <w:t xml:space="preserve">Di Bawah Lindungan Ka’bah (1936), Tenggelamnya Kapal Van Der Wijck (1937), </w:t>
      </w:r>
      <w:r w:rsidRPr="00B934A1">
        <w:rPr>
          <w:rFonts w:asciiTheme="majorBidi" w:eastAsiaTheme="minorHAnsi" w:hAnsiTheme="majorBidi" w:cstheme="majorBidi"/>
          <w:sz w:val="20"/>
          <w:szCs w:val="20"/>
        </w:rPr>
        <w:t xml:space="preserve"> </w:t>
      </w:r>
      <w:r w:rsidRPr="00B934A1">
        <w:rPr>
          <w:rFonts w:asciiTheme="majorBidi" w:eastAsiaTheme="minorHAnsi" w:hAnsiTheme="majorBidi" w:cstheme="majorBidi"/>
          <w:i/>
          <w:iCs/>
          <w:sz w:val="20"/>
          <w:szCs w:val="20"/>
        </w:rPr>
        <w:t xml:space="preserve">Di Dalam Lembah Kehidupan (1939), Falsafah Hidup (1939), </w:t>
      </w:r>
      <w:r w:rsidRPr="00B934A1">
        <w:rPr>
          <w:rFonts w:asciiTheme="majorBidi" w:eastAsiaTheme="minorHAnsi" w:hAnsiTheme="majorBidi" w:cstheme="majorBidi"/>
          <w:sz w:val="20"/>
          <w:szCs w:val="20"/>
        </w:rPr>
        <w:t xml:space="preserve"> </w:t>
      </w:r>
      <w:r w:rsidRPr="00B934A1">
        <w:rPr>
          <w:rFonts w:asciiTheme="majorBidi" w:eastAsiaTheme="minorHAnsi" w:hAnsiTheme="majorBidi" w:cstheme="majorBidi"/>
          <w:i/>
          <w:iCs/>
          <w:sz w:val="20"/>
          <w:szCs w:val="20"/>
        </w:rPr>
        <w:t>Lembaga Hidup (1940), Lembaga Budi (1940), Negara Islam (1946), Islam dan Demokrasi (1946, )</w:t>
      </w:r>
      <w:r w:rsidRPr="00B934A1">
        <w:rPr>
          <w:rFonts w:asciiTheme="majorBidi" w:hAnsiTheme="majorBidi" w:cstheme="majorBidi"/>
          <w:sz w:val="20"/>
          <w:szCs w:val="20"/>
        </w:rPr>
        <w:t xml:space="preserve"> </w:t>
      </w:r>
      <w:r w:rsidRPr="00B934A1">
        <w:rPr>
          <w:rFonts w:asciiTheme="majorBidi" w:eastAsiaTheme="minorHAnsi" w:hAnsiTheme="majorBidi" w:cstheme="majorBidi"/>
          <w:i/>
          <w:iCs/>
          <w:sz w:val="20"/>
          <w:szCs w:val="20"/>
        </w:rPr>
        <w:t xml:space="preserve">Pengaruh Ajaran Muhammad Abduh di Indonesia (1958), dan Tafsir Al-Azhar 30 Juz. </w:t>
      </w:r>
      <w:r w:rsidRPr="00B934A1">
        <w:rPr>
          <w:rFonts w:asciiTheme="majorBidi" w:hAnsiTheme="majorBidi" w:cstheme="majorBidi"/>
          <w:sz w:val="20"/>
          <w:szCs w:val="20"/>
        </w:rPr>
        <w:t xml:space="preserve">Lihat. </w:t>
      </w:r>
      <w:r w:rsidRPr="00B934A1">
        <w:rPr>
          <w:rFonts w:asciiTheme="majorBidi" w:eastAsiaTheme="minorHAnsi" w:hAnsiTheme="majorBidi" w:cstheme="majorBidi"/>
          <w:sz w:val="20"/>
          <w:szCs w:val="20"/>
        </w:rPr>
        <w:t xml:space="preserve">H. Rusjdi, </w:t>
      </w:r>
      <w:r w:rsidRPr="00B934A1">
        <w:rPr>
          <w:rFonts w:asciiTheme="majorBidi" w:eastAsiaTheme="minorHAnsi" w:hAnsiTheme="majorBidi" w:cstheme="majorBidi"/>
          <w:i/>
          <w:iCs/>
          <w:sz w:val="20"/>
          <w:szCs w:val="20"/>
        </w:rPr>
        <w:t xml:space="preserve">Pribadi dan Martabat Buya Prof. Dr. Hamka, </w:t>
      </w:r>
      <w:r w:rsidRPr="00B934A1">
        <w:rPr>
          <w:rFonts w:asciiTheme="majorBidi" w:eastAsiaTheme="minorHAnsi" w:hAnsiTheme="majorBidi" w:cstheme="majorBidi"/>
          <w:sz w:val="20"/>
          <w:szCs w:val="20"/>
        </w:rPr>
        <w:t>(Jakarta: Pustaka Panjimas, 1983), h. 335-339</w:t>
      </w:r>
    </w:p>
  </w:footnote>
  <w:footnote w:id="477">
    <w:p w:rsidR="00343B61" w:rsidRPr="00B934A1" w:rsidRDefault="00343B61" w:rsidP="00343B61">
      <w:pPr>
        <w:pStyle w:val="FootnoteText"/>
        <w:ind w:firstLine="720"/>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M. Jamil, </w:t>
      </w:r>
      <w:r w:rsidRPr="00B934A1">
        <w:rPr>
          <w:rFonts w:asciiTheme="majorBidi" w:hAnsiTheme="majorBidi" w:cstheme="majorBidi"/>
          <w:i/>
          <w:iCs/>
        </w:rPr>
        <w:t>Metode Istinbȃt Hukum Hamka (Studi Terhadap Ayat-Ayat Aẖkâm Tafsir Al-Azhar</w:t>
      </w:r>
      <w:r w:rsidRPr="00B934A1">
        <w:rPr>
          <w:rFonts w:asciiTheme="majorBidi" w:hAnsiTheme="majorBidi" w:cstheme="majorBidi"/>
        </w:rPr>
        <w:t>), Disertasi, Sekolah Pascasarjana Universitas Islam Negeri Syarif Hidayatullah Jakarta 1429 H/2008 M, h. 45</w:t>
      </w:r>
    </w:p>
  </w:footnote>
  <w:footnote w:id="478">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Irfan Hamka, </w:t>
      </w:r>
      <w:r w:rsidRPr="00B934A1">
        <w:rPr>
          <w:rFonts w:asciiTheme="majorBidi" w:hAnsiTheme="majorBidi" w:cstheme="majorBidi"/>
          <w:i/>
          <w:iCs/>
        </w:rPr>
        <w:t>Ayah, Kisah Buya Hamka</w:t>
      </w:r>
      <w:r w:rsidRPr="00B934A1">
        <w:rPr>
          <w:rFonts w:asciiTheme="majorBidi" w:hAnsiTheme="majorBidi" w:cstheme="majorBidi"/>
        </w:rPr>
        <w:t>,</w:t>
      </w:r>
      <w:r w:rsidRPr="00B934A1">
        <w:rPr>
          <w:rFonts w:asciiTheme="majorBidi" w:hAnsiTheme="majorBidi" w:cstheme="majorBidi"/>
          <w:i/>
          <w:iCs/>
        </w:rPr>
        <w:t xml:space="preserve"> Masa Muda, Dewasa, Menjadi Ulama,</w:t>
      </w:r>
      <w:r w:rsidRPr="00B934A1">
        <w:rPr>
          <w:rFonts w:asciiTheme="majorBidi" w:hAnsiTheme="majorBidi" w:cstheme="majorBidi"/>
        </w:rPr>
        <w:t xml:space="preserve"> ( Jakarta: Republika, 2014), h. 290</w:t>
      </w:r>
    </w:p>
  </w:footnote>
  <w:footnote w:id="479">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M. Atho Mudzhar, </w:t>
      </w:r>
      <w:r w:rsidRPr="00B934A1">
        <w:rPr>
          <w:rFonts w:asciiTheme="majorBidi" w:hAnsiTheme="majorBidi" w:cstheme="majorBidi"/>
          <w:i/>
        </w:rPr>
        <w:t xml:space="preserve">Fatwa-Fatwa Majelis Ulama Indonesia, Sebuah Studi Pemikiran Hukum Islam di Indonesia 1975-1988 edisi dwibahasa, </w:t>
      </w:r>
      <w:r w:rsidRPr="00B934A1">
        <w:rPr>
          <w:rFonts w:asciiTheme="majorBidi" w:hAnsiTheme="majorBidi" w:cstheme="majorBidi"/>
        </w:rPr>
        <w:t>( Jakarta: INIS, 1993),  h. 65</w:t>
      </w:r>
    </w:p>
  </w:footnote>
  <w:footnote w:id="480">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M. Atho Mudzhar, </w:t>
      </w:r>
      <w:r w:rsidRPr="00B934A1">
        <w:rPr>
          <w:rFonts w:asciiTheme="majorBidi" w:hAnsiTheme="majorBidi" w:cstheme="majorBidi"/>
          <w:i/>
        </w:rPr>
        <w:t xml:space="preserve">Fatwa-Fatwa Majelis Ulama Indonesia, Sebuah Studi Pemikiran Hukum Islam di Indonesia 1975-1988 edisi dwibahasa, </w:t>
      </w:r>
      <w:r w:rsidRPr="00B934A1">
        <w:rPr>
          <w:rFonts w:asciiTheme="majorBidi" w:hAnsiTheme="majorBidi" w:cstheme="majorBidi"/>
        </w:rPr>
        <w:t>( Jakarta: INIS, 1993),  h. 66</w:t>
      </w:r>
    </w:p>
  </w:footnote>
  <w:footnote w:id="481">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H.S. Prodjokusuma dkk, </w:t>
      </w:r>
      <w:r w:rsidRPr="00B934A1">
        <w:rPr>
          <w:rFonts w:asciiTheme="majorBidi" w:hAnsiTheme="majorBidi" w:cstheme="majorBidi"/>
          <w:i/>
        </w:rPr>
        <w:t>20 Tahun Majelis Ulama Indonesia</w:t>
      </w:r>
      <w:r w:rsidRPr="00B934A1">
        <w:rPr>
          <w:rFonts w:asciiTheme="majorBidi" w:hAnsiTheme="majorBidi" w:cstheme="majorBidi"/>
        </w:rPr>
        <w:t>, (Jakarta: Sekretariat MUI,  1995), h. 27-28</w:t>
      </w:r>
    </w:p>
  </w:footnote>
  <w:footnote w:id="482">
    <w:p w:rsidR="00343B61" w:rsidRPr="00B934A1" w:rsidRDefault="00343B61" w:rsidP="00343B61">
      <w:pPr>
        <w:pStyle w:val="FootnoteText"/>
        <w:ind w:firstLine="720"/>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H.S. Prodjokusuma dkk, </w:t>
      </w:r>
      <w:r w:rsidRPr="00B934A1">
        <w:rPr>
          <w:rFonts w:asciiTheme="majorBidi" w:hAnsiTheme="majorBidi" w:cstheme="majorBidi"/>
          <w:i/>
        </w:rPr>
        <w:t>20 Tahun Majelis Ulama Indonesia</w:t>
      </w:r>
      <w:r w:rsidRPr="00B934A1">
        <w:rPr>
          <w:rFonts w:asciiTheme="majorBidi" w:hAnsiTheme="majorBidi" w:cstheme="majorBidi"/>
        </w:rPr>
        <w:t xml:space="preserve">, </w:t>
      </w:r>
      <w:r w:rsidRPr="00B934A1">
        <w:rPr>
          <w:rFonts w:asciiTheme="majorBidi" w:hAnsiTheme="majorBidi" w:cstheme="majorBidi"/>
          <w:i/>
          <w:iCs/>
        </w:rPr>
        <w:t>ibid</w:t>
      </w:r>
      <w:r w:rsidRPr="00B934A1">
        <w:rPr>
          <w:rFonts w:asciiTheme="majorBidi" w:hAnsiTheme="majorBidi" w:cstheme="majorBidi"/>
        </w:rPr>
        <w:t>, h. 28</w:t>
      </w:r>
    </w:p>
  </w:footnote>
  <w:footnote w:id="483">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Asrorun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h. 79</w:t>
      </w:r>
    </w:p>
  </w:footnote>
  <w:footnote w:id="484">
    <w:p w:rsidR="00343B61" w:rsidRPr="00B934A1" w:rsidRDefault="00343B61" w:rsidP="00343B61">
      <w:pPr>
        <w:spacing w:after="0"/>
        <w:ind w:firstLine="720"/>
        <w:jc w:val="both"/>
        <w:rPr>
          <w:rFonts w:asciiTheme="majorBidi" w:hAnsiTheme="majorBidi" w:cstheme="majorBidi"/>
          <w:i/>
          <w:iCs/>
          <w:sz w:val="20"/>
          <w:szCs w:val="20"/>
        </w:rPr>
      </w:pPr>
      <w:r w:rsidRPr="00B934A1">
        <w:rPr>
          <w:rStyle w:val="FootnoteReference"/>
          <w:rFonts w:asciiTheme="majorBidi" w:hAnsiTheme="majorBidi" w:cstheme="majorBidi"/>
          <w:sz w:val="20"/>
          <w:szCs w:val="20"/>
        </w:rPr>
        <w:footnoteRef/>
      </w:r>
      <w:r w:rsidRPr="00B934A1">
        <w:rPr>
          <w:rFonts w:asciiTheme="majorBidi" w:hAnsiTheme="majorBidi" w:cstheme="majorBidi"/>
          <w:sz w:val="20"/>
          <w:szCs w:val="20"/>
        </w:rPr>
        <w:t xml:space="preserve"> Lihat. Ahmadie Thaha, </w:t>
      </w:r>
      <w:r w:rsidRPr="00B934A1">
        <w:rPr>
          <w:rFonts w:asciiTheme="majorBidi" w:hAnsiTheme="majorBidi" w:cstheme="majorBidi"/>
          <w:i/>
          <w:iCs/>
          <w:sz w:val="20"/>
          <w:szCs w:val="20"/>
        </w:rPr>
        <w:t xml:space="preserve">Profil Ketua MUI dari Masa Ke Masa, </w:t>
      </w:r>
      <w:r w:rsidRPr="00B934A1">
        <w:rPr>
          <w:rFonts w:asciiTheme="majorBidi" w:hAnsiTheme="majorBidi" w:cstheme="majorBidi"/>
          <w:sz w:val="20"/>
          <w:szCs w:val="20"/>
        </w:rPr>
        <w:t xml:space="preserve">www. mui.or.id </w:t>
      </w:r>
    </w:p>
  </w:footnote>
  <w:footnote w:id="485">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Asrorun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h. 79</w:t>
      </w:r>
    </w:p>
  </w:footnote>
  <w:footnote w:id="486">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Ahmadie Thaha, </w:t>
      </w:r>
      <w:r w:rsidRPr="00B934A1">
        <w:rPr>
          <w:rFonts w:asciiTheme="majorBidi" w:hAnsiTheme="majorBidi" w:cstheme="majorBidi"/>
          <w:i/>
          <w:iCs/>
        </w:rPr>
        <w:t xml:space="preserve">Profil Ketua MUI dari Masa Ke Masa, </w:t>
      </w:r>
      <w:r w:rsidRPr="00B934A1">
        <w:rPr>
          <w:rFonts w:asciiTheme="majorBidi" w:hAnsiTheme="majorBidi" w:cstheme="majorBidi"/>
        </w:rPr>
        <w:t>www. mui.or.id</w:t>
      </w:r>
    </w:p>
  </w:footnote>
  <w:footnote w:id="487">
    <w:p w:rsidR="00343B61" w:rsidRPr="00B934A1" w:rsidRDefault="00343B61" w:rsidP="00343B61">
      <w:pPr>
        <w:pStyle w:val="FootnoteText"/>
        <w:ind w:firstLine="720"/>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Ahmadie Thaha, </w:t>
      </w:r>
      <w:r w:rsidRPr="00B934A1">
        <w:rPr>
          <w:rFonts w:asciiTheme="majorBidi" w:hAnsiTheme="majorBidi" w:cstheme="majorBidi"/>
          <w:i/>
          <w:iCs/>
        </w:rPr>
        <w:t xml:space="preserve">Profil Ketua MUI dari Masa Ke Masa, </w:t>
      </w:r>
      <w:r w:rsidRPr="00B934A1">
        <w:rPr>
          <w:rFonts w:asciiTheme="majorBidi" w:hAnsiTheme="majorBidi" w:cstheme="majorBidi"/>
        </w:rPr>
        <w:t>www. mui.or.id</w:t>
      </w:r>
    </w:p>
  </w:footnote>
  <w:footnote w:id="488">
    <w:p w:rsidR="00343B61" w:rsidRPr="00B934A1" w:rsidRDefault="00343B61" w:rsidP="00343B61">
      <w:pPr>
        <w:spacing w:after="0"/>
        <w:ind w:firstLine="720"/>
        <w:jc w:val="both"/>
        <w:rPr>
          <w:rFonts w:asciiTheme="majorBidi" w:hAnsiTheme="majorBidi" w:cstheme="majorBidi"/>
          <w:color w:val="000000" w:themeColor="text1"/>
          <w:sz w:val="20"/>
          <w:szCs w:val="20"/>
        </w:rPr>
      </w:pPr>
      <w:r w:rsidRPr="00B934A1">
        <w:rPr>
          <w:rStyle w:val="FootnoteReference"/>
          <w:rFonts w:asciiTheme="majorBidi" w:hAnsiTheme="majorBidi" w:cstheme="majorBidi"/>
          <w:color w:val="000000" w:themeColor="text1"/>
          <w:sz w:val="20"/>
          <w:szCs w:val="20"/>
        </w:rPr>
        <w:footnoteRef/>
      </w:r>
      <w:r w:rsidRPr="00B934A1">
        <w:rPr>
          <w:rFonts w:asciiTheme="majorBidi" w:hAnsiTheme="majorBidi" w:cstheme="majorBidi"/>
          <w:color w:val="000000" w:themeColor="text1"/>
          <w:sz w:val="20"/>
          <w:szCs w:val="20"/>
        </w:rPr>
        <w:t xml:space="preserve"> Lihat. Ahmadie Thaha, </w:t>
      </w:r>
      <w:r w:rsidRPr="00B934A1">
        <w:rPr>
          <w:rFonts w:asciiTheme="majorBidi" w:hAnsiTheme="majorBidi" w:cstheme="majorBidi"/>
          <w:i/>
          <w:iCs/>
          <w:color w:val="000000" w:themeColor="text1"/>
          <w:sz w:val="20"/>
          <w:szCs w:val="20"/>
        </w:rPr>
        <w:t>S</w:t>
      </w:r>
      <w:hyperlink r:id="rId4" w:history="1">
        <w:r w:rsidRPr="00B934A1">
          <w:rPr>
            <w:rFonts w:asciiTheme="majorBidi" w:hAnsiTheme="majorBidi" w:cstheme="majorBidi"/>
            <w:i/>
            <w:iCs/>
            <w:color w:val="000000" w:themeColor="text1"/>
            <w:kern w:val="36"/>
            <w:sz w:val="20"/>
            <w:szCs w:val="20"/>
          </w:rPr>
          <w:t>ekilas Sosok Kyai Ma’ruf Amin</w:t>
        </w:r>
      </w:hyperlink>
      <w:r w:rsidRPr="00B934A1">
        <w:rPr>
          <w:rFonts w:asciiTheme="majorBidi" w:hAnsiTheme="majorBidi" w:cstheme="majorBidi"/>
          <w:i/>
          <w:iCs/>
          <w:color w:val="000000" w:themeColor="text1"/>
          <w:sz w:val="20"/>
          <w:szCs w:val="20"/>
        </w:rPr>
        <w:t xml:space="preserve">, </w:t>
      </w:r>
      <w:r w:rsidRPr="00B934A1">
        <w:rPr>
          <w:rFonts w:asciiTheme="majorBidi" w:hAnsiTheme="majorBidi" w:cstheme="majorBidi"/>
          <w:color w:val="000000" w:themeColor="text1"/>
          <w:sz w:val="20"/>
          <w:szCs w:val="20"/>
        </w:rPr>
        <w:t xml:space="preserve">hhh.ttp// </w:t>
      </w:r>
      <w:hyperlink r:id="rId5" w:history="1">
        <w:r w:rsidRPr="00B934A1">
          <w:rPr>
            <w:rStyle w:val="Hyperlink"/>
            <w:rFonts w:asciiTheme="majorBidi" w:hAnsiTheme="majorBidi" w:cstheme="majorBidi"/>
            <w:color w:val="000000" w:themeColor="text1"/>
            <w:sz w:val="20"/>
            <w:szCs w:val="20"/>
          </w:rPr>
          <w:t>www.mui.or.id</w:t>
        </w:r>
      </w:hyperlink>
      <w:r w:rsidRPr="00B934A1">
        <w:rPr>
          <w:rFonts w:asciiTheme="majorBidi" w:hAnsiTheme="majorBidi" w:cstheme="majorBidi"/>
          <w:color w:val="000000" w:themeColor="text1"/>
          <w:sz w:val="20"/>
          <w:szCs w:val="20"/>
        </w:rPr>
        <w:t xml:space="preserve">  diakses tgl 6 september 2015 jam 08.35</w:t>
      </w:r>
    </w:p>
  </w:footnote>
  <w:footnote w:id="489">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Hamam Faizin, </w:t>
      </w:r>
      <w:r w:rsidRPr="00B934A1">
        <w:rPr>
          <w:rFonts w:asciiTheme="majorBidi" w:hAnsiTheme="majorBidi" w:cstheme="majorBidi"/>
          <w:i/>
          <w:iCs/>
        </w:rPr>
        <w:t>MUI dalam Bingkai Sejarah</w:t>
      </w:r>
      <w:r w:rsidRPr="00B934A1">
        <w:rPr>
          <w:rFonts w:asciiTheme="majorBidi" w:hAnsiTheme="majorBidi" w:cstheme="majorBidi"/>
        </w:rPr>
        <w:t xml:space="preserve">, makalah, tidak diterbitkan, sebagaimana dikutip oleh  Lihat. Asrorun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h. 79</w:t>
      </w:r>
    </w:p>
    <w:p w:rsidR="00343B61" w:rsidRPr="00B934A1" w:rsidRDefault="00343B61" w:rsidP="00343B61">
      <w:pPr>
        <w:pStyle w:val="FootnoteText"/>
        <w:ind w:firstLine="720"/>
        <w:jc w:val="both"/>
        <w:rPr>
          <w:rFonts w:asciiTheme="majorBidi" w:hAnsiTheme="majorBidi" w:cstheme="majorBidi"/>
        </w:rPr>
      </w:pPr>
    </w:p>
  </w:footnote>
  <w:footnote w:id="490">
    <w:p w:rsidR="00343B61" w:rsidRPr="00B934A1" w:rsidRDefault="00343B61" w:rsidP="00343B61">
      <w:pPr>
        <w:autoSpaceDE w:val="0"/>
        <w:autoSpaceDN w:val="0"/>
        <w:adjustRightInd w:val="0"/>
        <w:spacing w:after="0"/>
        <w:ind w:firstLine="720"/>
        <w:jc w:val="both"/>
        <w:rPr>
          <w:rFonts w:asciiTheme="majorBidi" w:hAnsiTheme="majorBidi" w:cstheme="majorBidi"/>
          <w:color w:val="FF0000"/>
          <w:sz w:val="20"/>
          <w:szCs w:val="20"/>
        </w:rPr>
      </w:pPr>
      <w:r w:rsidRPr="00B934A1">
        <w:rPr>
          <w:rStyle w:val="FootnoteReference"/>
          <w:rFonts w:asciiTheme="majorBidi" w:hAnsiTheme="majorBidi" w:cstheme="majorBidi"/>
          <w:sz w:val="20"/>
          <w:szCs w:val="20"/>
        </w:rPr>
        <w:footnoteRef/>
      </w:r>
      <w:r w:rsidRPr="00B934A1">
        <w:rPr>
          <w:rFonts w:asciiTheme="majorBidi" w:hAnsiTheme="majorBidi" w:cstheme="majorBidi"/>
          <w:sz w:val="20"/>
          <w:szCs w:val="20"/>
        </w:rPr>
        <w:t xml:space="preserve">Lihat Majelis Ulama Indonesia, </w:t>
      </w:r>
      <w:r w:rsidRPr="00B934A1">
        <w:rPr>
          <w:rFonts w:asciiTheme="majorBidi" w:hAnsiTheme="majorBidi" w:cstheme="majorBidi"/>
          <w:i/>
          <w:iCs/>
          <w:sz w:val="20"/>
          <w:szCs w:val="20"/>
        </w:rPr>
        <w:t>Wawasan Majelis Ulama Indonesia</w:t>
      </w:r>
      <w:r w:rsidRPr="00B934A1">
        <w:rPr>
          <w:rFonts w:asciiTheme="majorBidi" w:hAnsiTheme="majorBidi" w:cstheme="majorBidi"/>
          <w:sz w:val="20"/>
          <w:szCs w:val="20"/>
        </w:rPr>
        <w:t xml:space="preserve">, dalam “ </w:t>
      </w:r>
      <w:r w:rsidRPr="00B934A1">
        <w:rPr>
          <w:rFonts w:asciiTheme="majorBidi" w:hAnsiTheme="majorBidi" w:cstheme="majorBidi"/>
          <w:i/>
          <w:iCs/>
          <w:sz w:val="20"/>
          <w:szCs w:val="20"/>
        </w:rPr>
        <w:t>Himpunan Putusan Musyawarah Nasional  VII Majelis Ulama Indonesia 2005</w:t>
      </w:r>
      <w:r w:rsidRPr="00B934A1">
        <w:rPr>
          <w:rFonts w:asciiTheme="majorBidi" w:hAnsiTheme="majorBidi" w:cstheme="majorBidi"/>
          <w:sz w:val="20"/>
          <w:szCs w:val="20"/>
        </w:rPr>
        <w:t>, (Jakarta: Sekretariat MUI, 2005), h. 20</w:t>
      </w:r>
    </w:p>
  </w:footnote>
  <w:footnote w:id="491">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Lihat Anwar Abbas dkk, </w:t>
      </w:r>
      <w:r w:rsidRPr="00B934A1">
        <w:rPr>
          <w:rFonts w:asciiTheme="majorBidi" w:hAnsiTheme="majorBidi" w:cstheme="majorBidi"/>
          <w:i/>
          <w:iCs/>
        </w:rPr>
        <w:t>Wawasan Majelis Ulama Indonesia</w:t>
      </w:r>
      <w:r w:rsidRPr="00B934A1">
        <w:rPr>
          <w:rFonts w:asciiTheme="majorBidi" w:hAnsiTheme="majorBidi" w:cstheme="majorBidi"/>
        </w:rPr>
        <w:t xml:space="preserve">, dalam; </w:t>
      </w:r>
      <w:r w:rsidRPr="00B934A1">
        <w:rPr>
          <w:rFonts w:asciiTheme="majorBidi" w:hAnsiTheme="majorBidi" w:cstheme="majorBidi"/>
          <w:i/>
          <w:iCs/>
        </w:rPr>
        <w:t>Pedoman penyelengaraan Organisasi Majelis Ulama Indonesia</w:t>
      </w:r>
      <w:r>
        <w:rPr>
          <w:rFonts w:asciiTheme="majorBidi" w:hAnsiTheme="majorBidi" w:cstheme="majorBidi"/>
        </w:rPr>
        <w:t>, (</w:t>
      </w:r>
      <w:r w:rsidRPr="00B934A1">
        <w:rPr>
          <w:rFonts w:asciiTheme="majorBidi" w:hAnsiTheme="majorBidi" w:cstheme="majorBidi"/>
        </w:rPr>
        <w:t>Sekretrariat Majelis Ulama Indonesia, 2010), h. 7</w:t>
      </w:r>
    </w:p>
  </w:footnote>
  <w:footnote w:id="492">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Pasal 4 bab III Pedoman dasar Majelis Ulama Indosia, dalam”</w:t>
      </w:r>
      <w:r w:rsidRPr="00B934A1">
        <w:rPr>
          <w:rFonts w:asciiTheme="majorBidi" w:hAnsiTheme="majorBidi" w:cstheme="majorBidi"/>
          <w:i/>
          <w:iCs/>
        </w:rPr>
        <w:t xml:space="preserve"> </w:t>
      </w:r>
      <w:r w:rsidRPr="00B934A1">
        <w:rPr>
          <w:rFonts w:asciiTheme="majorBidi" w:hAnsiTheme="majorBidi" w:cstheme="majorBidi"/>
        </w:rPr>
        <w:t>Himpunan Putusan Musyawarah Nasional  VII Majelis Ulama Indonesia 2005, (Jakarta: Sekretariat MUI, 2005), h. 32</w:t>
      </w:r>
    </w:p>
  </w:footnote>
  <w:footnote w:id="493">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Majelis Ulama Indonesia, </w:t>
      </w:r>
      <w:r w:rsidRPr="00B934A1">
        <w:rPr>
          <w:rFonts w:asciiTheme="majorBidi" w:hAnsiTheme="majorBidi" w:cstheme="majorBidi"/>
          <w:i/>
          <w:iCs/>
        </w:rPr>
        <w:t>Wawasan Majelis Ulama Indonesia</w:t>
      </w:r>
      <w:r w:rsidRPr="00B934A1">
        <w:rPr>
          <w:rFonts w:asciiTheme="majorBidi" w:hAnsiTheme="majorBidi" w:cstheme="majorBidi"/>
        </w:rPr>
        <w:t>, dalam “ Himpunan Putusan Musyawarah Nasional  VII Majelis Ulama Indonesia 2005, (Jakarta: Sekretariat MUI, 2005), h. 26</w:t>
      </w:r>
    </w:p>
  </w:footnote>
  <w:footnote w:id="494">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Anwar Abbas dkk, </w:t>
      </w:r>
      <w:r w:rsidRPr="00B934A1">
        <w:rPr>
          <w:rFonts w:asciiTheme="majorBidi" w:hAnsiTheme="majorBidi" w:cstheme="majorBidi"/>
          <w:i/>
          <w:iCs/>
        </w:rPr>
        <w:t>Wawasan Majelis Ulama Indonesia</w:t>
      </w:r>
      <w:r w:rsidRPr="00B934A1">
        <w:rPr>
          <w:rFonts w:asciiTheme="majorBidi" w:hAnsiTheme="majorBidi" w:cstheme="majorBidi"/>
        </w:rPr>
        <w:t xml:space="preserve">, dalam;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10-12</w:t>
      </w:r>
    </w:p>
  </w:footnote>
  <w:footnote w:id="495">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Pasal 5 bab IV Pedoman dasar Majelis Ulama Indosia, dalam”</w:t>
      </w:r>
      <w:r w:rsidRPr="00B934A1">
        <w:rPr>
          <w:rFonts w:asciiTheme="majorBidi" w:hAnsiTheme="majorBidi" w:cstheme="majorBidi"/>
          <w:i/>
          <w:iCs/>
        </w:rPr>
        <w:t xml:space="preserve"> Pedoman penyelengaraan Organisasi Majelis Ulama Indonesia</w:t>
      </w:r>
      <w:r w:rsidRPr="00B934A1">
        <w:rPr>
          <w:rFonts w:asciiTheme="majorBidi" w:hAnsiTheme="majorBidi" w:cstheme="majorBidi"/>
        </w:rPr>
        <w:t>, edisi revisi, ( Sekretrariat Majelis Ulama Indonesia, 2010), h. 19-20</w:t>
      </w:r>
    </w:p>
  </w:footnote>
  <w:footnote w:id="496">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Pasal 6 bab IV Pedoman dasar Majelis Ulama Indosia, dalam”</w:t>
      </w:r>
      <w:r w:rsidRPr="00B934A1">
        <w:rPr>
          <w:rFonts w:asciiTheme="majorBidi" w:hAnsiTheme="majorBidi" w:cstheme="majorBidi"/>
          <w:i/>
          <w:iCs/>
        </w:rPr>
        <w:t xml:space="preserve"> Himpunan Putusan Musyawarah Nasional  VII Majelis Ulama Indonesia</w:t>
      </w:r>
      <w:r w:rsidRPr="00B934A1">
        <w:rPr>
          <w:rFonts w:asciiTheme="majorBidi" w:hAnsiTheme="majorBidi" w:cstheme="majorBidi"/>
        </w:rPr>
        <w:t xml:space="preserve"> 2005, (Jakarta: Sekretariat MUI, 2005), h. 34</w:t>
      </w:r>
    </w:p>
  </w:footnote>
  <w:footnote w:id="497">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Asrorun Ni’am Sholeh, </w:t>
      </w:r>
      <w:r w:rsidRPr="00B934A1">
        <w:rPr>
          <w:rFonts w:asciiTheme="majorBidi" w:hAnsiTheme="majorBidi" w:cstheme="majorBidi"/>
          <w:i/>
          <w:iCs/>
        </w:rPr>
        <w:t>Sadd add-Dzari’ah dan Aplikasinya dalam Fatwa Majelis Ulama Indonesia,</w:t>
      </w:r>
      <w:r w:rsidRPr="00B934A1">
        <w:rPr>
          <w:rFonts w:asciiTheme="majorBidi" w:hAnsiTheme="majorBidi" w:cstheme="majorBidi"/>
        </w:rPr>
        <w:t xml:space="preserve"> h. 79</w:t>
      </w:r>
    </w:p>
  </w:footnote>
  <w:footnote w:id="498">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Lihat 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45</w:t>
      </w:r>
    </w:p>
  </w:footnote>
  <w:footnote w:id="499">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 Sekretrariat Majelis Ulama Indonesia, 2010), h. 50</w:t>
      </w:r>
    </w:p>
  </w:footnote>
  <w:footnote w:id="500">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xml:space="preserve">, </w:t>
      </w:r>
      <w:r w:rsidRPr="00B934A1">
        <w:rPr>
          <w:rFonts w:asciiTheme="majorBidi" w:hAnsiTheme="majorBidi" w:cstheme="majorBidi"/>
          <w:i/>
          <w:iCs/>
        </w:rPr>
        <w:t>ibid.</w:t>
      </w:r>
      <w:r w:rsidRPr="00B934A1">
        <w:rPr>
          <w:rFonts w:asciiTheme="majorBidi" w:hAnsiTheme="majorBidi" w:cstheme="majorBidi"/>
        </w:rPr>
        <w:t>, h. 51</w:t>
      </w:r>
    </w:p>
  </w:footnote>
  <w:footnote w:id="501">
    <w:p w:rsidR="00343B61" w:rsidRPr="00B934A1" w:rsidRDefault="00343B61" w:rsidP="00343B61">
      <w:pPr>
        <w:autoSpaceDE w:val="0"/>
        <w:autoSpaceDN w:val="0"/>
        <w:adjustRightInd w:val="0"/>
        <w:spacing w:after="0"/>
        <w:ind w:firstLine="720"/>
        <w:jc w:val="both"/>
        <w:rPr>
          <w:rFonts w:asciiTheme="majorBidi" w:hAnsiTheme="majorBidi" w:cstheme="majorBidi"/>
          <w:i/>
          <w:iCs/>
          <w:sz w:val="20"/>
          <w:szCs w:val="20"/>
        </w:rPr>
      </w:pPr>
      <w:r w:rsidRPr="00B934A1">
        <w:rPr>
          <w:rStyle w:val="FootnoteReference"/>
          <w:rFonts w:asciiTheme="majorBidi" w:hAnsiTheme="majorBidi" w:cstheme="majorBidi"/>
          <w:sz w:val="20"/>
          <w:szCs w:val="20"/>
        </w:rPr>
        <w:footnoteRef/>
      </w:r>
      <w:r w:rsidRPr="00B934A1">
        <w:rPr>
          <w:rFonts w:asciiTheme="majorBidi" w:hAnsiTheme="majorBidi" w:cstheme="majorBidi"/>
          <w:sz w:val="20"/>
          <w:szCs w:val="20"/>
        </w:rPr>
        <w:t xml:space="preserve"> Lihat Pasal 5 ayat (3) Pedoman Rumah Tangga MUI, dalam”</w:t>
      </w:r>
      <w:r w:rsidRPr="00B934A1">
        <w:rPr>
          <w:rFonts w:asciiTheme="majorBidi" w:hAnsiTheme="majorBidi" w:cstheme="majorBidi"/>
          <w:i/>
          <w:iCs/>
          <w:sz w:val="20"/>
          <w:szCs w:val="20"/>
        </w:rPr>
        <w:t xml:space="preserve"> Himpunan Putusan</w:t>
      </w:r>
      <w:r w:rsidRPr="00B934A1">
        <w:rPr>
          <w:rFonts w:asciiTheme="majorBidi" w:hAnsiTheme="majorBidi" w:cstheme="majorBidi"/>
          <w:sz w:val="20"/>
          <w:szCs w:val="20"/>
        </w:rPr>
        <w:t xml:space="preserve"> </w:t>
      </w:r>
      <w:r w:rsidRPr="00B934A1">
        <w:rPr>
          <w:rFonts w:asciiTheme="majorBidi" w:hAnsiTheme="majorBidi" w:cstheme="majorBidi"/>
          <w:i/>
          <w:iCs/>
          <w:sz w:val="20"/>
          <w:szCs w:val="20"/>
        </w:rPr>
        <w:t xml:space="preserve">Hasil Musyawarah Nasional VII Tahun 2005, </w:t>
      </w:r>
      <w:r w:rsidRPr="00B934A1">
        <w:rPr>
          <w:rFonts w:asciiTheme="majorBidi" w:hAnsiTheme="majorBidi" w:cstheme="majorBidi"/>
          <w:sz w:val="20"/>
          <w:szCs w:val="20"/>
        </w:rPr>
        <w:t>(Jakarta: Sekretariat MUI, 2005), h. 46.</w:t>
      </w:r>
    </w:p>
  </w:footnote>
  <w:footnote w:id="502">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Pasal 5 ayat (5) Pedoman Rumah Tangga MUI, dalam”</w:t>
      </w:r>
      <w:r w:rsidRPr="00B934A1">
        <w:rPr>
          <w:rFonts w:asciiTheme="majorBidi" w:hAnsiTheme="majorBidi" w:cstheme="majorBidi"/>
          <w:i/>
          <w:iCs/>
        </w:rPr>
        <w:t xml:space="preserve"> </w:t>
      </w:r>
      <w:r w:rsidRPr="00B934A1">
        <w:rPr>
          <w:rFonts w:asciiTheme="majorBidi" w:hAnsiTheme="majorBidi" w:cstheme="majorBidi"/>
        </w:rPr>
        <w:t xml:space="preserve">Himpunan Putusan </w:t>
      </w:r>
      <w:r w:rsidRPr="00B934A1">
        <w:rPr>
          <w:rFonts w:asciiTheme="majorBidi" w:hAnsiTheme="majorBidi" w:cstheme="majorBidi"/>
          <w:i/>
          <w:iCs/>
        </w:rPr>
        <w:t xml:space="preserve">Hasil Musyawarah Nasional VII Tahun 2005, </w:t>
      </w:r>
      <w:r w:rsidRPr="00B934A1">
        <w:rPr>
          <w:rFonts w:asciiTheme="majorBidi" w:hAnsiTheme="majorBidi" w:cstheme="majorBidi"/>
        </w:rPr>
        <w:t>(Jakarta: Sekretariat MUI, 2005), h. 46.</w:t>
      </w:r>
    </w:p>
  </w:footnote>
  <w:footnote w:id="503">
    <w:p w:rsidR="00343B61" w:rsidRDefault="00343B61" w:rsidP="00343B61">
      <w:pPr>
        <w:pStyle w:val="FootnoteText"/>
        <w:ind w:firstLine="720"/>
        <w:jc w:val="both"/>
      </w:pPr>
      <w:r w:rsidRPr="00B934A1">
        <w:rPr>
          <w:rStyle w:val="FootnoteReference"/>
          <w:rFonts w:asciiTheme="majorBidi" w:hAnsiTheme="majorBidi" w:cstheme="majorBidi"/>
        </w:rPr>
        <w:footnoteRef/>
      </w:r>
      <w:r w:rsidRPr="00B934A1">
        <w:rPr>
          <w:rFonts w:asciiTheme="majorBidi" w:hAnsiTheme="majorBidi" w:cstheme="majorBidi"/>
        </w:rPr>
        <w:t xml:space="preserve"> Anwar Abbas dkk, </w:t>
      </w:r>
      <w:r w:rsidRPr="00B934A1">
        <w:rPr>
          <w:rFonts w:asciiTheme="majorBidi" w:hAnsiTheme="majorBidi" w:cstheme="majorBidi"/>
          <w:i/>
          <w:iCs/>
        </w:rPr>
        <w:t>Pedoman penyelengaraan Organisasi Majelis Ulama Indonesia</w:t>
      </w:r>
      <w:r w:rsidRPr="00B934A1">
        <w:rPr>
          <w:rFonts w:asciiTheme="majorBidi" w:hAnsiTheme="majorBidi" w:cstheme="majorBidi"/>
        </w:rPr>
        <w:t xml:space="preserve">, </w:t>
      </w:r>
      <w:r w:rsidRPr="00B934A1">
        <w:rPr>
          <w:rFonts w:asciiTheme="majorBidi" w:hAnsiTheme="majorBidi" w:cstheme="majorBidi"/>
          <w:i/>
          <w:iCs/>
        </w:rPr>
        <w:t>ibid.</w:t>
      </w:r>
      <w:r w:rsidRPr="00B934A1">
        <w:rPr>
          <w:rFonts w:asciiTheme="majorBidi" w:hAnsiTheme="majorBidi" w:cstheme="majorBidi"/>
        </w:rPr>
        <w:t>, h. 51</w:t>
      </w:r>
    </w:p>
  </w:footnote>
  <w:footnote w:id="504">
    <w:p w:rsidR="00343B61" w:rsidRPr="001F0F6C" w:rsidRDefault="00343B61" w:rsidP="00343B61">
      <w:pPr>
        <w:spacing w:after="0"/>
        <w:ind w:firstLine="720"/>
        <w:jc w:val="both"/>
        <w:rPr>
          <w:rFonts w:asciiTheme="majorBidi" w:hAnsiTheme="majorBidi" w:cstheme="majorBidi"/>
          <w:sz w:val="20"/>
          <w:szCs w:val="20"/>
        </w:rPr>
      </w:pPr>
      <w:r w:rsidRPr="00713AF0">
        <w:rPr>
          <w:rStyle w:val="FootnoteReference"/>
          <w:rFonts w:asciiTheme="majorBidi" w:hAnsiTheme="majorBidi" w:cstheme="majorBidi"/>
          <w:sz w:val="20"/>
          <w:szCs w:val="20"/>
        </w:rPr>
        <w:footnoteRef/>
      </w:r>
      <w:r w:rsidRPr="00713AF0">
        <w:rPr>
          <w:rFonts w:asciiTheme="majorBidi" w:hAnsiTheme="majorBidi" w:cstheme="majorBidi"/>
          <w:sz w:val="20"/>
          <w:szCs w:val="20"/>
        </w:rPr>
        <w:t xml:space="preserve"> Lihat</w:t>
      </w:r>
      <w:r>
        <w:t xml:space="preserve">. </w:t>
      </w:r>
      <w:r w:rsidRPr="00365637">
        <w:rPr>
          <w:rFonts w:asciiTheme="majorBidi" w:hAnsiTheme="majorBidi" w:cstheme="majorBidi"/>
          <w:sz w:val="20"/>
          <w:szCs w:val="20"/>
        </w:rPr>
        <w:t>Iffatul Umniati Ismail</w:t>
      </w:r>
      <w:r w:rsidRPr="00365637">
        <w:rPr>
          <w:rFonts w:asciiTheme="majorBidi" w:hAnsiTheme="majorBidi" w:cstheme="majorBidi"/>
          <w:i/>
          <w:iCs/>
          <w:sz w:val="20"/>
          <w:szCs w:val="20"/>
        </w:rPr>
        <w:t xml:space="preserve">, Telaah Kritis Metodologi Istinbath MUI (Studi Kasus Fatwa Tentang Golput), </w:t>
      </w:r>
      <w:r w:rsidRPr="00365637">
        <w:rPr>
          <w:rFonts w:asciiTheme="majorBidi" w:hAnsiTheme="majorBidi" w:cstheme="majorBidi"/>
          <w:sz w:val="20"/>
          <w:szCs w:val="20"/>
        </w:rPr>
        <w:t>dalam : Media Syari’ah, Vol. XIII No 1 Januari-Juni 2011, h. 73</w:t>
      </w:r>
    </w:p>
  </w:footnote>
  <w:footnote w:id="505">
    <w:p w:rsidR="00343B61" w:rsidRPr="00B04B42" w:rsidRDefault="00343B61" w:rsidP="00343B61">
      <w:pPr>
        <w:pStyle w:val="ListParagraph"/>
        <w:spacing w:after="0" w:line="240" w:lineRule="auto"/>
        <w:ind w:left="0" w:firstLine="720"/>
        <w:jc w:val="both"/>
        <w:rPr>
          <w:rFonts w:asciiTheme="majorBidi" w:hAnsiTheme="majorBidi" w:cstheme="majorBidi"/>
        </w:rPr>
      </w:pPr>
      <w:r w:rsidRPr="00B04B42">
        <w:rPr>
          <w:rStyle w:val="FootnoteReference"/>
          <w:rFonts w:asciiTheme="majorBidi" w:hAnsiTheme="majorBidi" w:cstheme="majorBidi"/>
          <w:sz w:val="20"/>
          <w:szCs w:val="20"/>
        </w:rPr>
        <w:footnoteRef/>
      </w:r>
      <w:r w:rsidRPr="00B04B42">
        <w:rPr>
          <w:rFonts w:asciiTheme="majorBidi" w:hAnsiTheme="majorBidi" w:cstheme="majorBidi"/>
          <w:sz w:val="20"/>
          <w:szCs w:val="20"/>
        </w:rPr>
        <w:t xml:space="preserve"> </w:t>
      </w:r>
      <w:r>
        <w:rPr>
          <w:rFonts w:asciiTheme="majorBidi" w:hAnsiTheme="majorBidi" w:cstheme="majorBidi"/>
          <w:sz w:val="20"/>
          <w:szCs w:val="20"/>
        </w:rPr>
        <w:t xml:space="preserve">Lihat </w:t>
      </w:r>
      <w:r w:rsidRPr="00B04B42">
        <w:rPr>
          <w:rFonts w:asciiTheme="majorBidi" w:hAnsiTheme="majorBidi" w:cstheme="majorBidi"/>
          <w:sz w:val="20"/>
          <w:szCs w:val="20"/>
        </w:rPr>
        <w:t xml:space="preserve">Sa’di Abu Jaib, </w:t>
      </w:r>
      <w:r w:rsidRPr="00B04B42">
        <w:rPr>
          <w:rFonts w:asciiTheme="majorBidi" w:hAnsiTheme="majorBidi" w:cstheme="majorBidi"/>
          <w:i/>
          <w:iCs/>
          <w:sz w:val="20"/>
          <w:szCs w:val="20"/>
        </w:rPr>
        <w:t>Qamus al-Fiqhi Lughotan wa I</w:t>
      </w:r>
      <w:bookmarkStart w:id="20" w:name="OLE_LINK22"/>
      <w:bookmarkStart w:id="21" w:name="OLE_LINK19"/>
      <w:r w:rsidRPr="00B04B42">
        <w:rPr>
          <w:rFonts w:asciiTheme="majorBidi" w:hAnsiTheme="majorBidi" w:cstheme="majorBidi"/>
          <w:i/>
          <w:iCs/>
          <w:sz w:val="20"/>
          <w:szCs w:val="20"/>
          <w:u w:val="single"/>
          <w:lang w:val="sv-SE"/>
        </w:rPr>
        <w:t>s</w:t>
      </w:r>
      <w:bookmarkEnd w:id="20"/>
      <w:bookmarkEnd w:id="21"/>
      <w:r w:rsidRPr="00B04B42">
        <w:rPr>
          <w:rFonts w:asciiTheme="majorBidi" w:hAnsiTheme="majorBidi" w:cstheme="majorBidi"/>
          <w:i/>
          <w:iCs/>
          <w:sz w:val="20"/>
          <w:szCs w:val="20"/>
        </w:rPr>
        <w:t>tilahan</w:t>
      </w:r>
      <w:r w:rsidRPr="00B04B42">
        <w:rPr>
          <w:rFonts w:asciiTheme="majorBidi" w:hAnsiTheme="majorBidi" w:cstheme="majorBidi"/>
          <w:sz w:val="20"/>
          <w:szCs w:val="20"/>
        </w:rPr>
        <w:t xml:space="preserve">, ( Damascus: Dar al-Fikr, 1988), h. 281. Lihat juga Ibrahim Mushtofa dkk, </w:t>
      </w:r>
      <w:r w:rsidRPr="00B04B42">
        <w:rPr>
          <w:rFonts w:asciiTheme="majorBidi" w:hAnsiTheme="majorBidi" w:cstheme="majorBidi"/>
          <w:i/>
          <w:iCs/>
          <w:sz w:val="20"/>
          <w:szCs w:val="20"/>
        </w:rPr>
        <w:t>Mu’jam al-Wasīth</w:t>
      </w:r>
      <w:r w:rsidRPr="00B04B42">
        <w:rPr>
          <w:rFonts w:asciiTheme="majorBidi" w:hAnsiTheme="majorBidi" w:cstheme="majorBidi"/>
          <w:sz w:val="20"/>
          <w:szCs w:val="20"/>
        </w:rPr>
        <w:t xml:space="preserve">, ( t.t: Dar al-Da’wah, t.th), Jilid 2, h. 673. Lihat juga Ali bin Muhammad Abu Hasan al-Jurjani, </w:t>
      </w:r>
      <w:r w:rsidRPr="00B04B42">
        <w:rPr>
          <w:rFonts w:asciiTheme="majorBidi" w:hAnsiTheme="majorBidi" w:cstheme="majorBidi"/>
          <w:i/>
          <w:iCs/>
          <w:sz w:val="20"/>
          <w:szCs w:val="20"/>
        </w:rPr>
        <w:t>Al-Ta’rif</w:t>
      </w:r>
      <w:r w:rsidRPr="00B04B42">
        <w:rPr>
          <w:rFonts w:asciiTheme="majorBidi" w:hAnsiTheme="majorBidi" w:cstheme="majorBidi"/>
          <w:i/>
          <w:iCs/>
        </w:rPr>
        <w:t>ā</w:t>
      </w:r>
      <w:r w:rsidRPr="00B04B42">
        <w:rPr>
          <w:rFonts w:asciiTheme="majorBidi" w:hAnsiTheme="majorBidi" w:cstheme="majorBidi"/>
          <w:i/>
          <w:iCs/>
          <w:sz w:val="20"/>
          <w:szCs w:val="20"/>
        </w:rPr>
        <w:t>t</w:t>
      </w:r>
      <w:r w:rsidRPr="00B04B42">
        <w:rPr>
          <w:rFonts w:asciiTheme="majorBidi" w:hAnsiTheme="majorBidi" w:cstheme="majorBidi"/>
          <w:sz w:val="20"/>
          <w:szCs w:val="20"/>
        </w:rPr>
        <w:t>, (Bairut: Dar al-Kutub al-‘ilmiyah, t.th), h. 32</w:t>
      </w:r>
    </w:p>
  </w:footnote>
  <w:footnote w:id="506">
    <w:p w:rsidR="00343B61" w:rsidRPr="00B04B42" w:rsidRDefault="00343B61" w:rsidP="00343B61">
      <w:pPr>
        <w:pStyle w:val="FootnoteText"/>
        <w:ind w:firstLine="720"/>
        <w:jc w:val="both"/>
        <w:rPr>
          <w:rFonts w:asciiTheme="majorBidi" w:hAnsiTheme="majorBidi" w:cstheme="majorBidi"/>
        </w:rPr>
      </w:pPr>
      <w:r w:rsidRPr="00B04B42">
        <w:rPr>
          <w:rStyle w:val="FootnoteReference"/>
          <w:rFonts w:asciiTheme="majorBidi" w:hAnsiTheme="majorBidi" w:cstheme="majorBidi"/>
        </w:rPr>
        <w:footnoteRef/>
      </w:r>
      <w:r w:rsidRPr="00B04B42">
        <w:rPr>
          <w:rFonts w:asciiTheme="majorBidi" w:hAnsiTheme="majorBidi" w:cstheme="majorBidi"/>
        </w:rPr>
        <w:t xml:space="preserve"> </w:t>
      </w:r>
      <w:r>
        <w:rPr>
          <w:rFonts w:asciiTheme="majorBidi" w:hAnsiTheme="majorBidi" w:cstheme="majorBidi"/>
        </w:rPr>
        <w:t>Lihat</w:t>
      </w:r>
      <w:r w:rsidRPr="00B04B42">
        <w:rPr>
          <w:rFonts w:asciiTheme="majorBidi" w:hAnsiTheme="majorBidi" w:cstheme="majorBidi"/>
        </w:rPr>
        <w:t xml:space="preserve"> Muhammad bin Mukram bin </w:t>
      </w:r>
      <w:r>
        <w:rPr>
          <w:rFonts w:asciiTheme="majorBidi" w:hAnsiTheme="majorBidi" w:cstheme="majorBidi"/>
        </w:rPr>
        <w:t>Manzhūr</w:t>
      </w:r>
      <w:r w:rsidRPr="00B04B42">
        <w:rPr>
          <w:rFonts w:asciiTheme="majorBidi" w:hAnsiTheme="majorBidi" w:cstheme="majorBidi"/>
        </w:rPr>
        <w:t xml:space="preserve"> al-Ifriqi al-Mishri, </w:t>
      </w:r>
      <w:r w:rsidRPr="00DC7A5C">
        <w:rPr>
          <w:rFonts w:asciiTheme="majorBidi" w:hAnsiTheme="majorBidi" w:cstheme="majorBidi"/>
          <w:i/>
          <w:iCs/>
        </w:rPr>
        <w:t>Lis</w:t>
      </w:r>
      <w:r w:rsidRPr="00AC6C5F">
        <w:rPr>
          <w:rFonts w:asciiTheme="majorBidi" w:hAnsiTheme="majorBidi" w:cstheme="majorBidi"/>
          <w:i/>
          <w:iCs/>
        </w:rPr>
        <w:t>ā</w:t>
      </w:r>
      <w:r w:rsidRPr="00DC7A5C">
        <w:rPr>
          <w:rFonts w:asciiTheme="majorBidi" w:hAnsiTheme="majorBidi" w:cstheme="majorBidi"/>
          <w:i/>
          <w:iCs/>
        </w:rPr>
        <w:t>n al-Arab</w:t>
      </w:r>
      <w:r w:rsidRPr="00B04B42">
        <w:rPr>
          <w:rFonts w:asciiTheme="majorBidi" w:hAnsiTheme="majorBidi" w:cstheme="majorBidi"/>
        </w:rPr>
        <w:t>, ( Bairut: Daar al-Shadr, t.th), Jilid 15, hal. 145.</w:t>
      </w:r>
    </w:p>
  </w:footnote>
  <w:footnote w:id="507">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xml:space="preserve">, ( Medinah al-Munawwarah: Mujamma’ al-Malik Fahd Li al-Thiba’ah </w:t>
      </w:r>
      <w:r>
        <w:rPr>
          <w:rFonts w:asciiTheme="majorBidi" w:hAnsiTheme="majorBidi" w:cstheme="majorBidi"/>
        </w:rPr>
        <w:t xml:space="preserve">Mush-haf al-Syarif, 1418), h. </w:t>
      </w:r>
      <w:r w:rsidRPr="004666EA">
        <w:rPr>
          <w:rFonts w:asciiTheme="majorBidi" w:hAnsiTheme="majorBidi" w:cstheme="majorBidi"/>
        </w:rPr>
        <w:t>7</w:t>
      </w:r>
      <w:r>
        <w:rPr>
          <w:rFonts w:asciiTheme="majorBidi" w:hAnsiTheme="majorBidi" w:cstheme="majorBidi"/>
        </w:rPr>
        <w:t>18</w:t>
      </w:r>
    </w:p>
  </w:footnote>
  <w:footnote w:id="508">
    <w:p w:rsidR="00343B61" w:rsidRPr="00CB0722" w:rsidRDefault="00343B61" w:rsidP="00343B61">
      <w:pPr>
        <w:pStyle w:val="ListParagraph"/>
        <w:spacing w:after="0" w:line="240" w:lineRule="auto"/>
        <w:ind w:left="0" w:firstLine="720"/>
        <w:jc w:val="both"/>
        <w:rPr>
          <w:rFonts w:asciiTheme="majorBidi" w:hAnsiTheme="majorBidi" w:cstheme="majorBidi"/>
          <w:sz w:val="20"/>
          <w:szCs w:val="20"/>
        </w:rPr>
      </w:pPr>
      <w:r w:rsidRPr="00CB0722">
        <w:rPr>
          <w:rStyle w:val="FootnoteReference"/>
          <w:rFonts w:asciiTheme="majorBidi" w:hAnsiTheme="majorBidi" w:cstheme="majorBidi"/>
          <w:sz w:val="20"/>
          <w:szCs w:val="20"/>
        </w:rPr>
        <w:footnoteRef/>
      </w:r>
      <w:r w:rsidRPr="00CB0722">
        <w:rPr>
          <w:rFonts w:asciiTheme="majorBidi" w:hAnsiTheme="majorBidi" w:cstheme="majorBidi"/>
          <w:sz w:val="20"/>
          <w:szCs w:val="20"/>
        </w:rPr>
        <w:t xml:space="preserve"> Lihat Louis Ma’luf, </w:t>
      </w:r>
      <w:r w:rsidRPr="00CB0722">
        <w:rPr>
          <w:rFonts w:asciiTheme="majorBidi" w:hAnsiTheme="majorBidi" w:cstheme="majorBidi"/>
          <w:i/>
          <w:iCs/>
          <w:sz w:val="20"/>
          <w:szCs w:val="20"/>
        </w:rPr>
        <w:t>Al-Munjid fi al-lughah wa al-‘alām</w:t>
      </w:r>
      <w:r w:rsidRPr="00CB0722">
        <w:rPr>
          <w:rFonts w:asciiTheme="majorBidi" w:hAnsiTheme="majorBidi" w:cstheme="majorBidi"/>
          <w:sz w:val="20"/>
          <w:szCs w:val="20"/>
        </w:rPr>
        <w:t xml:space="preserve">, </w:t>
      </w:r>
      <w:r w:rsidRPr="00CB0722">
        <w:rPr>
          <w:rFonts w:asciiTheme="majorBidi" w:hAnsiTheme="majorBidi" w:cstheme="majorBidi"/>
        </w:rPr>
        <w:t xml:space="preserve">(Beirut: Dar al-Masyriq, 1976), Jilid. I, </w:t>
      </w:r>
      <w:r w:rsidRPr="00CB0722">
        <w:rPr>
          <w:rFonts w:asciiTheme="majorBidi" w:hAnsiTheme="majorBidi" w:cstheme="majorBidi"/>
          <w:sz w:val="20"/>
          <w:szCs w:val="20"/>
        </w:rPr>
        <w:t>h. 529.</w:t>
      </w:r>
    </w:p>
  </w:footnote>
  <w:footnote w:id="509">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Atabik Ali, dan Zuhdi Muhdlor, </w:t>
      </w:r>
      <w:r w:rsidRPr="0028777D">
        <w:rPr>
          <w:rFonts w:asciiTheme="majorBidi" w:hAnsiTheme="majorBidi" w:cstheme="majorBidi"/>
          <w:i/>
          <w:iCs/>
        </w:rPr>
        <w:t>Qamus Al-‘Ashri, Arabi Indunesi</w:t>
      </w:r>
      <w:r w:rsidRPr="00CB0722">
        <w:rPr>
          <w:rFonts w:asciiTheme="majorBidi" w:hAnsiTheme="majorBidi" w:cstheme="majorBidi"/>
        </w:rPr>
        <w:t xml:space="preserve">, ( Krapyak: Multi Karya Gratifika, 2003), h, 170. Lihat juga. Ahmad Warson Munawwir, </w:t>
      </w:r>
      <w:r w:rsidRPr="00CB0722">
        <w:rPr>
          <w:rFonts w:asciiTheme="majorBidi" w:hAnsiTheme="majorBidi" w:cstheme="majorBidi"/>
          <w:i/>
          <w:iCs/>
        </w:rPr>
        <w:t>Kamus al-Munawwir Arab Indonesia Terlengkap</w:t>
      </w:r>
      <w:r w:rsidRPr="00CB0722">
        <w:rPr>
          <w:rFonts w:asciiTheme="majorBidi" w:hAnsiTheme="majorBidi" w:cstheme="majorBidi"/>
        </w:rPr>
        <w:t>, ( Yogyakarta: Pustaka Progresif, 1984), h. 1034</w:t>
      </w:r>
    </w:p>
  </w:footnote>
  <w:footnote w:id="510">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Al-Fayum</w:t>
      </w:r>
      <w:r w:rsidRPr="0028777D">
        <w:rPr>
          <w:rFonts w:asciiTheme="majorBidi" w:hAnsiTheme="majorBidi" w:cstheme="majorBidi"/>
        </w:rPr>
        <w:t>ī</w:t>
      </w:r>
      <w:r w:rsidRPr="00CB0722">
        <w:rPr>
          <w:rFonts w:asciiTheme="majorBidi" w:hAnsiTheme="majorBidi" w:cstheme="majorBidi"/>
        </w:rPr>
        <w:t xml:space="preserve">, </w:t>
      </w:r>
      <w:r w:rsidRPr="00CB0722">
        <w:rPr>
          <w:rFonts w:asciiTheme="majorBidi" w:hAnsiTheme="majorBidi" w:cstheme="majorBidi"/>
          <w:i/>
          <w:iCs/>
        </w:rPr>
        <w:t>Al-misbah al-Mun</w:t>
      </w:r>
      <w:r w:rsidRPr="00601A46">
        <w:rPr>
          <w:rFonts w:asciiTheme="majorBidi" w:hAnsiTheme="majorBidi" w:cstheme="majorBidi"/>
          <w:i/>
          <w:iCs/>
        </w:rPr>
        <w:t>ī</w:t>
      </w:r>
      <w:r w:rsidRPr="00CB0722">
        <w:rPr>
          <w:rFonts w:asciiTheme="majorBidi" w:hAnsiTheme="majorBidi" w:cstheme="majorBidi"/>
          <w:i/>
          <w:iCs/>
        </w:rPr>
        <w:t>r F</w:t>
      </w:r>
      <w:r w:rsidRPr="00601A46">
        <w:rPr>
          <w:rFonts w:asciiTheme="majorBidi" w:hAnsiTheme="majorBidi" w:cstheme="majorBidi"/>
          <w:i/>
          <w:iCs/>
        </w:rPr>
        <w:t>ī</w:t>
      </w:r>
      <w:r w:rsidRPr="00CB0722">
        <w:rPr>
          <w:rFonts w:asciiTheme="majorBidi" w:hAnsiTheme="majorBidi" w:cstheme="majorBidi"/>
          <w:i/>
          <w:iCs/>
        </w:rPr>
        <w:t xml:space="preserve"> Gharib al-Syarh al-Kab</w:t>
      </w:r>
      <w:r w:rsidRPr="00601A46">
        <w:rPr>
          <w:rFonts w:asciiTheme="majorBidi" w:hAnsiTheme="majorBidi" w:cstheme="majorBidi"/>
          <w:i/>
          <w:iCs/>
        </w:rPr>
        <w:t>ī</w:t>
      </w:r>
      <w:r w:rsidRPr="00CB0722">
        <w:rPr>
          <w:rFonts w:asciiTheme="majorBidi" w:hAnsiTheme="majorBidi" w:cstheme="majorBidi"/>
          <w:i/>
          <w:iCs/>
        </w:rPr>
        <w:t>r li al-Rafi’i</w:t>
      </w:r>
      <w:r w:rsidRPr="00CB0722">
        <w:rPr>
          <w:rFonts w:asciiTheme="majorBidi" w:hAnsiTheme="majorBidi" w:cstheme="majorBidi"/>
        </w:rPr>
        <w:t>, ( Cairo: Mathba’ah al-Amiriyah, 1965), h. 2</w:t>
      </w:r>
    </w:p>
  </w:footnote>
  <w:footnote w:id="511">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Yusuf al-Qardlaw</w:t>
      </w:r>
      <w:r w:rsidRPr="0028777D">
        <w:rPr>
          <w:rFonts w:asciiTheme="majorBidi" w:hAnsiTheme="majorBidi" w:cstheme="majorBidi"/>
        </w:rPr>
        <w:t>ī</w:t>
      </w:r>
      <w:r w:rsidRPr="00CB0722">
        <w:rPr>
          <w:rFonts w:asciiTheme="majorBidi" w:hAnsiTheme="majorBidi" w:cstheme="majorBidi"/>
        </w:rPr>
        <w:t xml:space="preserve">, </w:t>
      </w:r>
      <w:r w:rsidRPr="00CB0722">
        <w:rPr>
          <w:rFonts w:asciiTheme="majorBidi" w:hAnsiTheme="majorBidi" w:cstheme="majorBidi"/>
          <w:i/>
          <w:iCs/>
        </w:rPr>
        <w:t>Al-Fatwa Bain Al-Indlibath Wa Al-Tasayyub</w:t>
      </w:r>
      <w:r w:rsidRPr="00CB0722">
        <w:rPr>
          <w:rFonts w:asciiTheme="majorBidi" w:hAnsiTheme="majorBidi" w:cstheme="majorBidi"/>
        </w:rPr>
        <w:t>, (Mesir: Dar al-Qalam, tt),h. 5.</w:t>
      </w:r>
    </w:p>
  </w:footnote>
  <w:footnote w:id="512">
    <w:p w:rsidR="00343B61" w:rsidRPr="005627F3"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Abu Al-Qasim Mahmud Ibn Umar Bin Ahmad Al-Zamakhsyar</w:t>
      </w:r>
      <w:r w:rsidRPr="00C46CD7">
        <w:rPr>
          <w:rFonts w:asciiTheme="majorBidi" w:hAnsiTheme="majorBidi" w:cstheme="majorBidi"/>
        </w:rPr>
        <w:t>ī</w:t>
      </w:r>
      <w:r w:rsidRPr="00CB0722">
        <w:rPr>
          <w:rFonts w:asciiTheme="majorBidi" w:hAnsiTheme="majorBidi" w:cstheme="majorBidi"/>
        </w:rPr>
        <w:t xml:space="preserve"> Jar Allah, </w:t>
      </w:r>
      <w:r w:rsidRPr="00CB0722">
        <w:rPr>
          <w:rFonts w:asciiTheme="majorBidi" w:hAnsiTheme="majorBidi" w:cstheme="majorBidi"/>
          <w:i/>
          <w:iCs/>
        </w:rPr>
        <w:t>Tafs</w:t>
      </w:r>
      <w:r w:rsidRPr="00601A46">
        <w:rPr>
          <w:rFonts w:asciiTheme="majorBidi" w:hAnsiTheme="majorBidi" w:cstheme="majorBidi"/>
          <w:i/>
          <w:iCs/>
        </w:rPr>
        <w:t>ī</w:t>
      </w:r>
      <w:r w:rsidRPr="00CB0722">
        <w:rPr>
          <w:rFonts w:asciiTheme="majorBidi" w:hAnsiTheme="majorBidi" w:cstheme="majorBidi"/>
          <w:i/>
          <w:iCs/>
        </w:rPr>
        <w:t>r al-Kasysy</w:t>
      </w:r>
      <w:r w:rsidRPr="00AC6C5F">
        <w:rPr>
          <w:rFonts w:asciiTheme="majorBidi" w:hAnsiTheme="majorBidi" w:cstheme="majorBidi"/>
          <w:i/>
          <w:iCs/>
        </w:rPr>
        <w:t>ā</w:t>
      </w:r>
      <w:r w:rsidRPr="00CB0722">
        <w:rPr>
          <w:rFonts w:asciiTheme="majorBidi" w:hAnsiTheme="majorBidi" w:cstheme="majorBidi"/>
          <w:i/>
          <w:iCs/>
        </w:rPr>
        <w:t>f</w:t>
      </w:r>
      <w:r w:rsidRPr="00CB0722">
        <w:rPr>
          <w:rFonts w:asciiTheme="majorBidi" w:hAnsiTheme="majorBidi" w:cstheme="majorBidi"/>
        </w:rPr>
        <w:t>, ( t.t: Maktabah Syamilah, t.th),  h. 305</w:t>
      </w:r>
    </w:p>
  </w:footnote>
  <w:footnote w:id="513">
    <w:p w:rsidR="00343B61" w:rsidRPr="005627F3" w:rsidRDefault="00343B61" w:rsidP="00343B61">
      <w:pPr>
        <w:autoSpaceDE w:val="0"/>
        <w:autoSpaceDN w:val="0"/>
        <w:adjustRightInd w:val="0"/>
        <w:spacing w:after="0"/>
        <w:ind w:firstLine="720"/>
        <w:jc w:val="both"/>
        <w:rPr>
          <w:rFonts w:asciiTheme="majorBidi" w:hAnsiTheme="majorBidi" w:cstheme="majorBidi"/>
          <w:sz w:val="20"/>
          <w:szCs w:val="20"/>
        </w:rPr>
      </w:pPr>
      <w:r w:rsidRPr="005627F3">
        <w:rPr>
          <w:rStyle w:val="FootnoteReference"/>
          <w:rFonts w:asciiTheme="majorBidi" w:hAnsiTheme="majorBidi" w:cstheme="majorBidi"/>
          <w:sz w:val="20"/>
          <w:szCs w:val="20"/>
        </w:rPr>
        <w:footnoteRef/>
      </w:r>
      <w:r w:rsidRPr="005627F3">
        <w:rPr>
          <w:rFonts w:asciiTheme="majorBidi" w:hAnsiTheme="majorBidi" w:cstheme="majorBidi"/>
          <w:sz w:val="20"/>
          <w:szCs w:val="20"/>
        </w:rPr>
        <w:t xml:space="preserve"> Lihat Departemen Pendidikan Nasional, </w:t>
      </w:r>
      <w:r w:rsidRPr="005627F3">
        <w:rPr>
          <w:rFonts w:asciiTheme="majorBidi" w:hAnsiTheme="majorBidi" w:cstheme="majorBidi"/>
          <w:i/>
          <w:iCs/>
          <w:sz w:val="20"/>
          <w:szCs w:val="20"/>
        </w:rPr>
        <w:t>Kamus Besar Bahasa Indonesia</w:t>
      </w:r>
      <w:r w:rsidRPr="005627F3">
        <w:rPr>
          <w:rFonts w:asciiTheme="majorBidi" w:hAnsiTheme="majorBidi" w:cstheme="majorBidi"/>
          <w:sz w:val="20"/>
          <w:szCs w:val="20"/>
        </w:rPr>
        <w:t>, (Jakarta: Balai Pustaka, 2003), hal. 314.</w:t>
      </w:r>
    </w:p>
  </w:footnote>
  <w:footnote w:id="514">
    <w:p w:rsidR="00343B61" w:rsidRDefault="00343B61" w:rsidP="00343B61">
      <w:pPr>
        <w:pStyle w:val="FootnoteText"/>
        <w:ind w:firstLine="720"/>
        <w:jc w:val="both"/>
      </w:pPr>
      <w:r w:rsidRPr="005627F3">
        <w:rPr>
          <w:rStyle w:val="FootnoteReference"/>
          <w:rFonts w:asciiTheme="majorBidi" w:hAnsiTheme="majorBidi" w:cstheme="majorBidi"/>
        </w:rPr>
        <w:footnoteRef/>
      </w:r>
      <w:r w:rsidRPr="005627F3">
        <w:rPr>
          <w:rFonts w:asciiTheme="majorBidi" w:hAnsiTheme="majorBidi" w:cstheme="majorBidi"/>
        </w:rPr>
        <w:t xml:space="preserve"> Lihat Ma’ruf Amin, </w:t>
      </w:r>
      <w:r w:rsidRPr="005627F3">
        <w:rPr>
          <w:rFonts w:asciiTheme="majorBidi" w:hAnsiTheme="majorBidi" w:cstheme="majorBidi"/>
          <w:i/>
          <w:iCs/>
        </w:rPr>
        <w:t>Pengantar Komisi Fatwa dalam</w:t>
      </w:r>
      <w:r w:rsidRPr="005627F3">
        <w:rPr>
          <w:rFonts w:asciiTheme="majorBidi" w:hAnsiTheme="majorBidi" w:cstheme="majorBidi"/>
        </w:rPr>
        <w:t xml:space="preserve"> </w:t>
      </w:r>
      <w:r w:rsidRPr="005627F3">
        <w:rPr>
          <w:rFonts w:asciiTheme="majorBidi" w:hAnsiTheme="majorBidi" w:cstheme="majorBidi"/>
          <w:i/>
          <w:iCs/>
        </w:rPr>
        <w:t>Fatwa Munas VII  Majelis Ulama Indonesia</w:t>
      </w:r>
      <w:r w:rsidRPr="005627F3">
        <w:rPr>
          <w:rFonts w:asciiTheme="majorBidi" w:hAnsiTheme="majorBidi" w:cstheme="majorBidi"/>
        </w:rPr>
        <w:t>, ( Jakarta: Majelis Ulama Indonesia, 2005), h. v</w:t>
      </w:r>
    </w:p>
  </w:footnote>
  <w:footnote w:id="515">
    <w:p w:rsidR="00343B61" w:rsidRDefault="00343B61" w:rsidP="00343B61">
      <w:pPr>
        <w:pStyle w:val="FootnoteText"/>
        <w:ind w:firstLine="720"/>
      </w:pPr>
      <w:r>
        <w:rPr>
          <w:rStyle w:val="FootnoteReference"/>
        </w:rPr>
        <w:footnoteRef/>
      </w:r>
      <w:r>
        <w:t xml:space="preserve"> </w:t>
      </w:r>
      <w:r w:rsidRPr="00C0315E">
        <w:rPr>
          <w:rFonts w:asciiTheme="majorBidi" w:hAnsiTheme="majorBidi" w:cstheme="majorBidi"/>
        </w:rPr>
        <w:t>Lihat QS. Al-Nisa [4]: 127 dan 176</w:t>
      </w:r>
    </w:p>
  </w:footnote>
  <w:footnote w:id="516">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w:t>
      </w:r>
      <w:r w:rsidRPr="006663ED">
        <w:t xml:space="preserve"> QS. Al-Kahf [18]: 22 dan Yusuf [12]: 41</w:t>
      </w:r>
    </w:p>
  </w:footnote>
  <w:footnote w:id="517">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w:t>
      </w:r>
      <w:r w:rsidRPr="006663ED">
        <w:t xml:space="preserve"> QS. Yusuf [12]: 46</w:t>
      </w:r>
    </w:p>
  </w:footnote>
  <w:footnote w:id="518">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w:t>
      </w:r>
      <w:r w:rsidRPr="006663ED">
        <w:t xml:space="preserve"> QS. Yusuf [12]: 43 dan al-Naml [27]: 32</w:t>
      </w:r>
    </w:p>
  </w:footnote>
  <w:footnote w:id="519">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w:t>
      </w:r>
      <w:r>
        <w:rPr>
          <w:rFonts w:ascii="Z@RE85.tmp" w:hAnsi="Z@RE85.tmp" w:cs="Z@RE85.tmp"/>
        </w:rPr>
        <w:t xml:space="preserve"> QS. Al-Shaff t [37] : 11 dan 149</w:t>
      </w:r>
    </w:p>
  </w:footnote>
  <w:footnote w:id="520">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w:t>
      </w:r>
      <w:r>
        <w:rPr>
          <w:rFonts w:ascii="Z@RE85.tmp" w:hAnsi="Z@RE85.tmp" w:cs="Z@RE85.tmp"/>
        </w:rPr>
        <w:t xml:space="preserve"> Muhammad ibn Mukarran ibn Manzur al-Ifriqi al-Masri, </w:t>
      </w:r>
      <w:r w:rsidRPr="00DC7A5C">
        <w:rPr>
          <w:rFonts w:asciiTheme="majorBidi" w:hAnsiTheme="majorBidi" w:cstheme="majorBidi"/>
          <w:i/>
          <w:iCs/>
        </w:rPr>
        <w:t>Lis</w:t>
      </w:r>
      <w:r w:rsidRPr="00AC6C5F">
        <w:rPr>
          <w:rFonts w:asciiTheme="majorBidi" w:hAnsiTheme="majorBidi" w:cstheme="majorBidi"/>
          <w:i/>
          <w:iCs/>
        </w:rPr>
        <w:t>ā</w:t>
      </w:r>
      <w:r w:rsidRPr="00DC7A5C">
        <w:rPr>
          <w:rFonts w:asciiTheme="majorBidi" w:hAnsiTheme="majorBidi" w:cstheme="majorBidi"/>
          <w:i/>
          <w:iCs/>
        </w:rPr>
        <w:t>n al-Arab</w:t>
      </w:r>
      <w:r>
        <w:rPr>
          <w:rFonts w:ascii="Z@RE85.tmp" w:hAnsi="Z@RE85.tmp" w:cs="Z@RE85.tmp"/>
        </w:rPr>
        <w:t xml:space="preserve">, </w:t>
      </w:r>
      <w:r w:rsidRPr="00B04B42">
        <w:rPr>
          <w:rFonts w:asciiTheme="majorBidi" w:hAnsiTheme="majorBidi" w:cstheme="majorBidi"/>
        </w:rPr>
        <w:t>( Bairut: Daar al-Shadr, t.th),</w:t>
      </w:r>
      <w:r>
        <w:rPr>
          <w:rFonts w:asciiTheme="majorBidi" w:hAnsiTheme="majorBidi" w:cstheme="majorBidi"/>
        </w:rPr>
        <w:t xml:space="preserve"> </w:t>
      </w:r>
      <w:r>
        <w:rPr>
          <w:rFonts w:ascii="Z@RE85.tmp" w:hAnsi="Z@RE85.tmp" w:cs="Z@RE85.tmp"/>
        </w:rPr>
        <w:t>juz xv, h. 145</w:t>
      </w:r>
    </w:p>
  </w:footnote>
  <w:footnote w:id="521">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Muhammad Abu Zahrah,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 al-Fiqh</w:t>
      </w:r>
      <w:r w:rsidRPr="00CB0722">
        <w:rPr>
          <w:rFonts w:asciiTheme="majorBidi" w:hAnsiTheme="majorBidi" w:cstheme="majorBidi"/>
        </w:rPr>
        <w:t xml:space="preserve">,( Mesir: Dar al-Fikr al-‘Arabi, 1958), h. 401-402. Lihat juga. Wahbah al-Zuhaili,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 al-Fiqh</w:t>
      </w:r>
      <w:r w:rsidRPr="00C50B62">
        <w:rPr>
          <w:rFonts w:asciiTheme="majorBidi" w:hAnsiTheme="majorBidi" w:cstheme="majorBidi"/>
          <w:i/>
          <w:iCs/>
        </w:rPr>
        <w:t xml:space="preserve"> al-Isl</w:t>
      </w:r>
      <w:r w:rsidRPr="0051521E">
        <w:rPr>
          <w:rFonts w:asciiTheme="majorBidi" w:hAnsiTheme="majorBidi" w:cstheme="majorBidi"/>
          <w:i/>
          <w:iCs/>
          <w:spacing w:val="1"/>
        </w:rPr>
        <w:t>ā</w:t>
      </w:r>
      <w:r w:rsidRPr="00C50B62">
        <w:rPr>
          <w:rFonts w:asciiTheme="majorBidi" w:hAnsiTheme="majorBidi" w:cstheme="majorBidi"/>
          <w:i/>
          <w:iCs/>
        </w:rPr>
        <w:t>miy</w:t>
      </w:r>
      <w:r w:rsidRPr="00CB0722">
        <w:rPr>
          <w:rFonts w:asciiTheme="majorBidi" w:hAnsiTheme="majorBidi" w:cstheme="majorBidi"/>
          <w:sz w:val="21"/>
          <w:szCs w:val="21"/>
        </w:rPr>
        <w:t>,</w:t>
      </w:r>
      <w:r w:rsidRPr="00CB0722">
        <w:rPr>
          <w:rFonts w:asciiTheme="majorBidi" w:hAnsiTheme="majorBidi" w:cstheme="majorBidi"/>
        </w:rPr>
        <w:t xml:space="preserve">(Beirut: Dar al-Fikr al-Mu‘asir, 1986), II, h. 1156-1158. Lihat. Amir Syarifuddin, </w:t>
      </w:r>
      <w:r w:rsidRPr="00D546A2">
        <w:rPr>
          <w:rFonts w:asciiTheme="majorBidi" w:hAnsiTheme="majorBidi" w:cstheme="majorBidi"/>
          <w:i/>
          <w:iCs/>
        </w:rPr>
        <w:t>Us</w:t>
      </w:r>
      <w:r w:rsidRPr="0056354E">
        <w:rPr>
          <w:rFonts w:asciiTheme="majorBidi" w:hAnsiTheme="majorBidi" w:cstheme="majorBidi"/>
          <w:i/>
          <w:iCs/>
        </w:rPr>
        <w:t>ū</w:t>
      </w:r>
      <w:r w:rsidRPr="00D546A2">
        <w:rPr>
          <w:rFonts w:asciiTheme="majorBidi" w:hAnsiTheme="majorBidi" w:cstheme="majorBidi"/>
          <w:i/>
          <w:iCs/>
        </w:rPr>
        <w:t>l al-Fiqh</w:t>
      </w:r>
      <w:r w:rsidRPr="00C50B62">
        <w:rPr>
          <w:rFonts w:asciiTheme="majorBidi" w:hAnsiTheme="majorBidi" w:cstheme="majorBidi"/>
          <w:i/>
          <w:iCs/>
        </w:rPr>
        <w:t xml:space="preserve"> </w:t>
      </w:r>
      <w:r w:rsidRPr="00CB0722">
        <w:rPr>
          <w:rFonts w:asciiTheme="majorBidi" w:hAnsiTheme="majorBidi" w:cstheme="majorBidi"/>
        </w:rPr>
        <w:t>(Ciputat: Logos Wacana Ilmu, 2001), II, h.  431-433.</w:t>
      </w:r>
    </w:p>
  </w:footnote>
  <w:footnote w:id="522">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Ibrahim Mushtofa dkk, </w:t>
      </w:r>
      <w:r w:rsidRPr="00CB0722">
        <w:rPr>
          <w:rFonts w:asciiTheme="majorBidi" w:hAnsiTheme="majorBidi" w:cstheme="majorBidi"/>
          <w:i/>
          <w:iCs/>
        </w:rPr>
        <w:t>Mu’jam al-Wasith</w:t>
      </w:r>
      <w:r w:rsidRPr="00CB0722">
        <w:rPr>
          <w:rFonts w:asciiTheme="majorBidi" w:hAnsiTheme="majorBidi" w:cstheme="majorBidi"/>
        </w:rPr>
        <w:t>, ( t.</w:t>
      </w:r>
      <w:r>
        <w:rPr>
          <w:rFonts w:asciiTheme="majorBidi" w:hAnsiTheme="majorBidi" w:cstheme="majorBidi"/>
        </w:rPr>
        <w:t>t: Dar al-Da’wah, t.th), Jilid II</w:t>
      </w:r>
      <w:r w:rsidRPr="00CB0722">
        <w:rPr>
          <w:rFonts w:asciiTheme="majorBidi" w:hAnsiTheme="majorBidi" w:cstheme="majorBidi"/>
        </w:rPr>
        <w:t>, h. 674</w:t>
      </w:r>
    </w:p>
  </w:footnote>
  <w:footnote w:id="523">
    <w:p w:rsidR="00343B61" w:rsidRPr="00CB0722" w:rsidRDefault="00343B61" w:rsidP="00343B61">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CB0722">
        <w:rPr>
          <w:rStyle w:val="FootnoteReference"/>
          <w:rFonts w:asciiTheme="majorBidi" w:hAnsiTheme="majorBidi" w:cstheme="majorBidi"/>
        </w:rPr>
        <w:footnoteRef/>
      </w:r>
      <w:r w:rsidRPr="00CB0722">
        <w:rPr>
          <w:rFonts w:asciiTheme="majorBidi" w:hAnsiTheme="majorBidi" w:cstheme="majorBidi"/>
        </w:rPr>
        <w:t xml:space="preserve"> </w:t>
      </w:r>
      <w:r w:rsidRPr="00CB0722">
        <w:rPr>
          <w:rFonts w:asciiTheme="majorBidi" w:hAnsiTheme="majorBidi" w:cstheme="majorBidi"/>
          <w:sz w:val="20"/>
          <w:szCs w:val="20"/>
        </w:rPr>
        <w:t xml:space="preserve">Lihat Sya'ban Muhammad Ismail,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sz w:val="20"/>
          <w:szCs w:val="20"/>
        </w:rPr>
        <w:t>ū</w:t>
      </w:r>
      <w:r w:rsidRPr="00D546A2">
        <w:rPr>
          <w:rFonts w:asciiTheme="majorBidi" w:hAnsiTheme="majorBidi" w:cstheme="majorBidi"/>
          <w:i/>
          <w:iCs/>
        </w:rPr>
        <w:t>l al-Fiqh</w:t>
      </w:r>
      <w:r w:rsidRPr="00C50B62">
        <w:rPr>
          <w:rFonts w:asciiTheme="majorBidi" w:hAnsiTheme="majorBidi" w:cstheme="majorBidi"/>
          <w:i/>
          <w:iCs/>
          <w:sz w:val="20"/>
          <w:szCs w:val="20"/>
        </w:rPr>
        <w:t xml:space="preserve"> </w:t>
      </w:r>
      <w:r w:rsidRPr="00CB0722">
        <w:rPr>
          <w:rFonts w:asciiTheme="majorBidi" w:hAnsiTheme="majorBidi" w:cstheme="majorBidi"/>
          <w:i/>
          <w:iCs/>
          <w:sz w:val="20"/>
          <w:szCs w:val="20"/>
        </w:rPr>
        <w:t>al-Muyassar</w:t>
      </w:r>
      <w:r w:rsidRPr="00CB0722">
        <w:rPr>
          <w:rFonts w:asciiTheme="majorBidi" w:hAnsiTheme="majorBidi" w:cstheme="majorBidi"/>
          <w:sz w:val="20"/>
          <w:szCs w:val="20"/>
        </w:rPr>
        <w:t xml:space="preserve">, </w:t>
      </w:r>
      <w:r w:rsidRPr="00CB0722">
        <w:rPr>
          <w:rFonts w:asciiTheme="majorBidi" w:eastAsiaTheme="minorHAnsi" w:hAnsiTheme="majorBidi" w:cstheme="majorBidi"/>
          <w:sz w:val="20"/>
          <w:szCs w:val="20"/>
        </w:rPr>
        <w:t xml:space="preserve">(Cairo: Dar al-Kitab al-Jami.i, 1994), </w:t>
      </w:r>
      <w:r w:rsidRPr="00CB0722">
        <w:rPr>
          <w:rFonts w:asciiTheme="majorBidi" w:hAnsiTheme="majorBidi" w:cstheme="majorBidi"/>
          <w:sz w:val="20"/>
          <w:szCs w:val="20"/>
        </w:rPr>
        <w:t>Juz III, h. 347</w:t>
      </w:r>
    </w:p>
  </w:footnote>
  <w:footnote w:id="524">
    <w:p w:rsidR="00343B61" w:rsidRDefault="00343B61" w:rsidP="00343B61">
      <w:pPr>
        <w:pStyle w:val="FootnoteText"/>
        <w:ind w:firstLine="720"/>
        <w:jc w:val="both"/>
      </w:pPr>
      <w:r w:rsidRPr="00CB0722">
        <w:rPr>
          <w:rStyle w:val="FootnoteReference"/>
          <w:rFonts w:asciiTheme="majorBidi" w:hAnsiTheme="majorBidi" w:cstheme="majorBidi"/>
        </w:rPr>
        <w:footnoteRef/>
      </w:r>
      <w:r>
        <w:rPr>
          <w:rFonts w:asciiTheme="majorBidi" w:hAnsiTheme="majorBidi" w:cstheme="majorBidi"/>
        </w:rPr>
        <w:t>Lihat.</w:t>
      </w:r>
      <w:r w:rsidRPr="00CB0722">
        <w:rPr>
          <w:rFonts w:asciiTheme="majorBidi" w:hAnsiTheme="majorBidi" w:cstheme="majorBidi"/>
        </w:rPr>
        <w:t xml:space="preserve"> </w:t>
      </w:r>
      <w:r w:rsidRPr="00CB59BE">
        <w:rPr>
          <w:rFonts w:asciiTheme="majorBidi" w:hAnsiTheme="majorBidi" w:cstheme="majorBidi"/>
        </w:rPr>
        <w:t>Al-Syauk</w:t>
      </w:r>
      <w:r w:rsidRPr="003A2EE2">
        <w:rPr>
          <w:rFonts w:asciiTheme="majorBidi" w:hAnsiTheme="majorBidi" w:cstheme="majorBidi"/>
        </w:rPr>
        <w:t>ā</w:t>
      </w:r>
      <w:r w:rsidRPr="00CB59BE">
        <w:rPr>
          <w:rFonts w:asciiTheme="majorBidi" w:hAnsiTheme="majorBidi" w:cstheme="majorBidi"/>
        </w:rPr>
        <w:t xml:space="preserve">ni, </w:t>
      </w:r>
      <w:r w:rsidRPr="00CB59BE">
        <w:rPr>
          <w:rFonts w:asciiTheme="majorBidi" w:hAnsiTheme="majorBidi" w:cstheme="majorBidi"/>
          <w:i/>
          <w:iCs/>
        </w:rPr>
        <w:t>Irsyād al-fuhūl ila Tahqiq min ‘Ilm al-Ushūl</w:t>
      </w:r>
      <w:r w:rsidRPr="00CB0722">
        <w:rPr>
          <w:rFonts w:asciiTheme="majorBidi" w:hAnsiTheme="majorBidi" w:cstheme="majorBidi"/>
        </w:rPr>
        <w:t>, ( B</w:t>
      </w:r>
      <w:r>
        <w:rPr>
          <w:rFonts w:asciiTheme="majorBidi" w:hAnsiTheme="majorBidi" w:cstheme="majorBidi"/>
        </w:rPr>
        <w:t>airut: Dar al-Fikr, 1973), Juz II</w:t>
      </w:r>
      <w:r w:rsidRPr="00CB0722">
        <w:rPr>
          <w:rFonts w:asciiTheme="majorBidi" w:hAnsiTheme="majorBidi" w:cstheme="majorBidi"/>
        </w:rPr>
        <w:t>, h. 124</w:t>
      </w:r>
    </w:p>
  </w:footnote>
  <w:footnote w:id="525">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Muhammad Abu Zahrah,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 al-Fiqh</w:t>
      </w:r>
      <w:r w:rsidRPr="00CB0722">
        <w:rPr>
          <w:rFonts w:asciiTheme="majorBidi" w:hAnsiTheme="majorBidi" w:cstheme="majorBidi"/>
        </w:rPr>
        <w:t>, ( Kairo: Dar al-Fikr al-Arabi, 1377 H/1958 M)  h. 401</w:t>
      </w:r>
    </w:p>
  </w:footnote>
  <w:footnote w:id="526">
    <w:p w:rsidR="00343B61" w:rsidRDefault="00343B61" w:rsidP="00343B61">
      <w:pPr>
        <w:pStyle w:val="FootnoteText"/>
        <w:ind w:firstLine="720"/>
        <w:jc w:val="both"/>
      </w:pPr>
      <w:r w:rsidRPr="00CB0722">
        <w:rPr>
          <w:rStyle w:val="FootnoteReference"/>
          <w:rFonts w:asciiTheme="majorBidi" w:hAnsiTheme="majorBidi" w:cstheme="majorBidi"/>
        </w:rPr>
        <w:footnoteRef/>
      </w:r>
      <w:r w:rsidRPr="00CB0722">
        <w:rPr>
          <w:rFonts w:asciiTheme="majorBidi" w:hAnsiTheme="majorBidi" w:cstheme="majorBidi"/>
        </w:rPr>
        <w:t xml:space="preserve"> Lihat Depag RI, </w:t>
      </w:r>
      <w:r w:rsidRPr="00CB0722">
        <w:rPr>
          <w:rFonts w:asciiTheme="majorBidi" w:hAnsiTheme="majorBidi" w:cstheme="majorBidi"/>
          <w:i/>
          <w:iCs/>
        </w:rPr>
        <w:t>Al-Quran dan Terjamahannya</w:t>
      </w:r>
      <w:r w:rsidRPr="00CB0722">
        <w:rPr>
          <w:rFonts w:asciiTheme="majorBidi" w:hAnsiTheme="majorBidi" w:cstheme="majorBidi"/>
        </w:rPr>
        <w:t>, (Medinah al-Munawwarah: Mujamma’ al-Malik Fahd Li al-Thiba’ah Mush-haf al-Syarif, 1418) h. 411</w:t>
      </w:r>
    </w:p>
  </w:footnote>
  <w:footnote w:id="527">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Depag RI, </w:t>
      </w:r>
      <w:r w:rsidRPr="00CB0722">
        <w:rPr>
          <w:rFonts w:asciiTheme="majorBidi" w:hAnsiTheme="majorBidi" w:cstheme="majorBidi"/>
          <w:i/>
          <w:iCs/>
        </w:rPr>
        <w:t>Al-Quran dan Terjamahannya</w:t>
      </w:r>
      <w:r w:rsidRPr="00CB0722">
        <w:rPr>
          <w:rFonts w:asciiTheme="majorBidi" w:hAnsiTheme="majorBidi" w:cstheme="majorBidi"/>
        </w:rPr>
        <w:t>, (Medinah al-Munawwarah: Mujamma’ al-Malik Fahd Li al-Thiba’ah Mush-haf al-Syarif, 1418) h. 109</w:t>
      </w:r>
    </w:p>
  </w:footnote>
  <w:footnote w:id="528">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Muhammad Utsman Syubair, </w:t>
      </w:r>
      <w:r w:rsidRPr="00CB0722">
        <w:rPr>
          <w:rFonts w:asciiTheme="majorBidi" w:hAnsiTheme="majorBidi" w:cstheme="majorBidi"/>
          <w:i/>
          <w:iCs/>
        </w:rPr>
        <w:t>Fatawa Al-Syeikh Abu Zahrah</w:t>
      </w:r>
      <w:r w:rsidRPr="00CB0722">
        <w:rPr>
          <w:rFonts w:asciiTheme="majorBidi" w:hAnsiTheme="majorBidi" w:cstheme="majorBidi"/>
        </w:rPr>
        <w:t>, ( Damascus: Dar al-Qalam, 2006), h. 33</w:t>
      </w:r>
    </w:p>
  </w:footnote>
  <w:footnote w:id="529">
    <w:p w:rsidR="00343B61" w:rsidRPr="001648AE" w:rsidRDefault="00343B61" w:rsidP="00343B61">
      <w:pPr>
        <w:autoSpaceDE w:val="0"/>
        <w:autoSpaceDN w:val="0"/>
        <w:adjustRightInd w:val="0"/>
        <w:spacing w:after="0"/>
        <w:ind w:firstLine="720"/>
        <w:jc w:val="both"/>
        <w:rPr>
          <w:rFonts w:ascii="Z@RE7F.tmp" w:hAnsi="Z@RE7F.tmp" w:cs="Z@RE7F.tmp"/>
          <w:sz w:val="20"/>
          <w:szCs w:val="20"/>
        </w:rPr>
      </w:pPr>
      <w:r w:rsidRPr="00CB0722">
        <w:rPr>
          <w:rStyle w:val="FootnoteReference"/>
          <w:rFonts w:asciiTheme="majorBidi" w:hAnsiTheme="majorBidi" w:cstheme="majorBidi"/>
          <w:sz w:val="20"/>
          <w:szCs w:val="20"/>
        </w:rPr>
        <w:footnoteRef/>
      </w:r>
      <w:r w:rsidRPr="00CB0722">
        <w:rPr>
          <w:rFonts w:asciiTheme="majorBidi" w:hAnsiTheme="majorBidi" w:cstheme="majorBidi"/>
          <w:sz w:val="20"/>
          <w:szCs w:val="20"/>
        </w:rPr>
        <w:t xml:space="preserve"> Lihat.  Ibn Qayyim al-Jauziyyah, ‘</w:t>
      </w:r>
      <w:r w:rsidRPr="00CB0722">
        <w:rPr>
          <w:rFonts w:asciiTheme="majorBidi" w:hAnsiTheme="majorBidi" w:cstheme="majorBidi"/>
          <w:i/>
          <w:iCs/>
          <w:sz w:val="20"/>
          <w:szCs w:val="20"/>
        </w:rPr>
        <w:t>Il</w:t>
      </w:r>
      <w:r w:rsidRPr="00AC6C5F">
        <w:rPr>
          <w:rFonts w:asciiTheme="majorBidi" w:hAnsiTheme="majorBidi" w:cstheme="majorBidi"/>
          <w:i/>
          <w:iCs/>
          <w:sz w:val="20"/>
          <w:szCs w:val="20"/>
        </w:rPr>
        <w:t>ā</w:t>
      </w:r>
      <w:r w:rsidRPr="00CB0722">
        <w:rPr>
          <w:rFonts w:asciiTheme="majorBidi" w:hAnsiTheme="majorBidi" w:cstheme="majorBidi"/>
          <w:i/>
          <w:iCs/>
          <w:sz w:val="20"/>
          <w:szCs w:val="20"/>
        </w:rPr>
        <w:t>m al-Muwaqq</w:t>
      </w:r>
      <w:r w:rsidRPr="00601A46">
        <w:rPr>
          <w:rFonts w:asciiTheme="majorBidi" w:hAnsiTheme="majorBidi" w:cstheme="majorBidi"/>
          <w:i/>
          <w:iCs/>
          <w:sz w:val="20"/>
          <w:szCs w:val="20"/>
        </w:rPr>
        <w:t>ī</w:t>
      </w:r>
      <w:r w:rsidRPr="00CB0722">
        <w:rPr>
          <w:rFonts w:asciiTheme="majorBidi" w:hAnsiTheme="majorBidi" w:cstheme="majorBidi"/>
          <w:i/>
          <w:iCs/>
          <w:sz w:val="20"/>
          <w:szCs w:val="20"/>
        </w:rPr>
        <w:t>n ‘an Rabb al-‘Alam</w:t>
      </w:r>
      <w:r w:rsidRPr="00601A46">
        <w:rPr>
          <w:rFonts w:asciiTheme="majorBidi" w:hAnsiTheme="majorBidi" w:cstheme="majorBidi"/>
          <w:i/>
          <w:iCs/>
          <w:sz w:val="20"/>
          <w:szCs w:val="20"/>
        </w:rPr>
        <w:t>ī</w:t>
      </w:r>
      <w:r w:rsidRPr="00CB0722">
        <w:rPr>
          <w:rFonts w:asciiTheme="majorBidi" w:hAnsiTheme="majorBidi" w:cstheme="majorBidi"/>
          <w:i/>
          <w:iCs/>
          <w:sz w:val="20"/>
          <w:szCs w:val="20"/>
        </w:rPr>
        <w:t>n</w:t>
      </w:r>
      <w:r w:rsidRPr="00CB0722">
        <w:rPr>
          <w:rFonts w:asciiTheme="majorBidi" w:hAnsiTheme="majorBidi" w:cstheme="majorBidi"/>
          <w:sz w:val="20"/>
          <w:szCs w:val="20"/>
        </w:rPr>
        <w:t>, (Beirut: Dar al- Fikr, 2003), Jilid 1, h. 12</w:t>
      </w:r>
    </w:p>
  </w:footnote>
  <w:footnote w:id="530">
    <w:p w:rsidR="00343B61" w:rsidRDefault="00343B61" w:rsidP="00343B61">
      <w:pPr>
        <w:pStyle w:val="FootnoteText"/>
        <w:ind w:firstLine="720"/>
        <w:jc w:val="both"/>
      </w:pPr>
      <w:r w:rsidRPr="001648AE">
        <w:rPr>
          <w:rStyle w:val="FootnoteReference"/>
        </w:rPr>
        <w:footnoteRef/>
      </w:r>
      <w:r w:rsidRPr="001648AE">
        <w:t xml:space="preserve"> </w:t>
      </w:r>
      <w:r>
        <w:rPr>
          <w:rFonts w:asciiTheme="majorBidi" w:hAnsiTheme="majorBidi" w:cstheme="majorBidi"/>
        </w:rPr>
        <w:t xml:space="preserve">Lihat M. Atho </w:t>
      </w:r>
      <w:r w:rsidRPr="00BA61A7">
        <w:rPr>
          <w:rFonts w:asciiTheme="majorBidi" w:hAnsiTheme="majorBidi" w:cstheme="majorBidi"/>
        </w:rPr>
        <w:t xml:space="preserve">Mudzhar, </w:t>
      </w:r>
      <w:r w:rsidRPr="00BA61A7">
        <w:rPr>
          <w:rFonts w:asciiTheme="majorBidi" w:hAnsiTheme="majorBidi" w:cstheme="majorBidi"/>
          <w:i/>
        </w:rPr>
        <w:t xml:space="preserve">Fatwa-Fatwa Majelis Ulama Indonesia, Sebuah Studi Pemikiran Hukum Islam di Indonesia 1975-1988 edisi dwibahasa, </w:t>
      </w:r>
      <w:r w:rsidRPr="00BA61A7">
        <w:rPr>
          <w:rFonts w:asciiTheme="majorBidi" w:hAnsiTheme="majorBidi" w:cstheme="majorBidi"/>
        </w:rPr>
        <w:t xml:space="preserve">( Jakarta: INIS, 1993),  </w:t>
      </w:r>
      <w:r>
        <w:rPr>
          <w:rFonts w:asciiTheme="majorBidi" w:hAnsiTheme="majorBidi" w:cstheme="majorBidi"/>
        </w:rPr>
        <w:t>h. 2</w:t>
      </w:r>
    </w:p>
  </w:footnote>
  <w:footnote w:id="531">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M. Atho </w:t>
      </w:r>
      <w:r w:rsidRPr="00BA61A7">
        <w:rPr>
          <w:rFonts w:asciiTheme="majorBidi" w:hAnsiTheme="majorBidi" w:cstheme="majorBidi"/>
        </w:rPr>
        <w:t xml:space="preserve">Mudzhar, </w:t>
      </w:r>
      <w:r w:rsidRPr="00BA61A7">
        <w:rPr>
          <w:rFonts w:asciiTheme="majorBidi" w:hAnsiTheme="majorBidi" w:cstheme="majorBidi"/>
          <w:i/>
        </w:rPr>
        <w:t xml:space="preserve">Fatwa-Fatwa Majelis Ulama Indonesia, Sebuah Studi Pemikiran Hukum Islam di Indonesia 1975-1988 edisi dwibahasa, </w:t>
      </w:r>
      <w:r w:rsidRPr="00BA61A7">
        <w:rPr>
          <w:rFonts w:asciiTheme="majorBidi" w:hAnsiTheme="majorBidi" w:cstheme="majorBidi"/>
        </w:rPr>
        <w:t xml:space="preserve">( Jakarta: INIS, 1993),  </w:t>
      </w:r>
      <w:r>
        <w:rPr>
          <w:rFonts w:asciiTheme="majorBidi" w:hAnsiTheme="majorBidi" w:cstheme="majorBidi"/>
        </w:rPr>
        <w:t>h. 2</w:t>
      </w:r>
    </w:p>
  </w:footnote>
  <w:footnote w:id="532">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Wahbah bin Mushthofa Al-Zuhaily, </w:t>
      </w:r>
      <w:r w:rsidRPr="00CB0722">
        <w:rPr>
          <w:rFonts w:asciiTheme="majorBidi" w:hAnsiTheme="majorBidi" w:cstheme="majorBidi"/>
          <w:i/>
          <w:iCs/>
        </w:rPr>
        <w:t>Fatawa Muashirah</w:t>
      </w:r>
      <w:r w:rsidRPr="00CB0722">
        <w:rPr>
          <w:rFonts w:asciiTheme="majorBidi" w:hAnsiTheme="majorBidi" w:cstheme="majorBidi"/>
        </w:rPr>
        <w:t>, ( Damascus: Dar al-Fikr, 2006), h. 12-13</w:t>
      </w:r>
    </w:p>
  </w:footnote>
  <w:footnote w:id="533">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Harun Nasution, </w:t>
      </w:r>
      <w:r w:rsidRPr="00CB0722">
        <w:rPr>
          <w:rFonts w:asciiTheme="majorBidi" w:hAnsiTheme="majorBidi" w:cstheme="majorBidi"/>
          <w:i/>
          <w:iCs/>
        </w:rPr>
        <w:t>Pembaharuan dalam Islam Sejarah, Pemikiran, dan Gerakan</w:t>
      </w:r>
      <w:r w:rsidRPr="00CB0722">
        <w:rPr>
          <w:rFonts w:asciiTheme="majorBidi" w:hAnsiTheme="majorBidi" w:cstheme="majorBidi"/>
        </w:rPr>
        <w:t xml:space="preserve"> (Jakarta: Bulan Bintang, 1996), h. 134-135.</w:t>
      </w:r>
    </w:p>
  </w:footnote>
  <w:footnote w:id="534">
    <w:p w:rsidR="00343B61" w:rsidRPr="0040059A"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Abduh menyeru untuk memusnahkan sikap eklektis dan mengembalikan fungsi akal pikiran yang baik sehingga syarat-syarat ijtihad terpenuhi. Abduh dan para pengikutnya kemudian disebut sebagi tokoh-tokoh gerakan salafiyah yang berpengaruh terhadap pembaharuan hukum Islam. Lihat. Mohammad Daud Ali, </w:t>
      </w:r>
      <w:r w:rsidRPr="00CB0722">
        <w:rPr>
          <w:rFonts w:asciiTheme="majorBidi" w:hAnsiTheme="majorBidi" w:cstheme="majorBidi"/>
          <w:i/>
          <w:iCs/>
        </w:rPr>
        <w:t xml:space="preserve">Hukum Islam Pengantar Hukum dan Tata Hukum Islam di Indonesia </w:t>
      </w:r>
      <w:r w:rsidRPr="00CB0722">
        <w:rPr>
          <w:rFonts w:asciiTheme="majorBidi" w:hAnsiTheme="majorBidi" w:cstheme="majorBidi"/>
        </w:rPr>
        <w:t xml:space="preserve">(Jakarta: RajaGrafindo Persada, 2007), h. 199, 200-201, Malcom H. </w:t>
      </w:r>
      <w:r w:rsidRPr="00CB0722">
        <w:rPr>
          <w:rFonts w:asciiTheme="majorBidi" w:hAnsiTheme="majorBidi" w:cstheme="majorBidi"/>
          <w:i/>
          <w:iCs/>
        </w:rPr>
        <w:t>Kerr,</w:t>
      </w:r>
      <w:r w:rsidRPr="00063C5F">
        <w:rPr>
          <w:rFonts w:asciiTheme="majorBidi" w:hAnsiTheme="majorBidi" w:cstheme="majorBidi"/>
          <w:i/>
          <w:iCs/>
        </w:rPr>
        <w:t xml:space="preserve"> Islamic Reform: the Poli</w:t>
      </w:r>
      <w:r>
        <w:rPr>
          <w:rFonts w:asciiTheme="majorBidi" w:hAnsiTheme="majorBidi" w:cstheme="majorBidi"/>
          <w:i/>
          <w:iCs/>
        </w:rPr>
        <w:t>tical and Legal Theories of Muh</w:t>
      </w:r>
      <w:r w:rsidRPr="00063C5F">
        <w:rPr>
          <w:rFonts w:asciiTheme="majorBidi" w:hAnsiTheme="majorBidi" w:cstheme="majorBidi"/>
          <w:i/>
          <w:iCs/>
        </w:rPr>
        <w:t>ammad ‘Abduh and Rashid Ridha</w:t>
      </w:r>
      <w:r w:rsidRPr="0040059A">
        <w:rPr>
          <w:rFonts w:asciiTheme="majorBidi" w:hAnsiTheme="majorBidi" w:cstheme="majorBidi"/>
        </w:rPr>
        <w:t xml:space="preserve"> (Berkeley: Universitas of California, 1966),</w:t>
      </w:r>
      <w:r>
        <w:rPr>
          <w:rFonts w:asciiTheme="majorBidi" w:hAnsiTheme="majorBidi" w:cstheme="majorBidi"/>
        </w:rPr>
        <w:t>h.</w:t>
      </w:r>
      <w:r w:rsidRPr="0040059A">
        <w:rPr>
          <w:rFonts w:asciiTheme="majorBidi" w:hAnsiTheme="majorBidi" w:cstheme="majorBidi"/>
        </w:rPr>
        <w:t xml:space="preserve"> 57-dst.</w:t>
      </w:r>
    </w:p>
  </w:footnote>
  <w:footnote w:id="535">
    <w:p w:rsidR="00343B61" w:rsidRPr="0040059A" w:rsidRDefault="00343B61" w:rsidP="00343B61">
      <w:pPr>
        <w:pStyle w:val="FootnoteText"/>
        <w:ind w:firstLine="720"/>
        <w:jc w:val="both"/>
        <w:rPr>
          <w:rFonts w:asciiTheme="majorBidi" w:hAnsiTheme="majorBidi" w:cstheme="majorBidi"/>
        </w:rPr>
      </w:pPr>
      <w:r w:rsidRPr="0040059A">
        <w:rPr>
          <w:rStyle w:val="FootnoteReference"/>
          <w:rFonts w:asciiTheme="majorBidi" w:hAnsiTheme="majorBidi" w:cstheme="majorBidi"/>
        </w:rPr>
        <w:footnoteRef/>
      </w:r>
      <w:r w:rsidRPr="0040059A">
        <w:rPr>
          <w:rFonts w:asciiTheme="majorBidi" w:hAnsiTheme="majorBidi" w:cstheme="majorBidi"/>
        </w:rPr>
        <w:t xml:space="preserve"> </w:t>
      </w:r>
      <w:r>
        <w:rPr>
          <w:rFonts w:asciiTheme="majorBidi" w:hAnsiTheme="majorBidi" w:cstheme="majorBidi"/>
        </w:rPr>
        <w:t>Lihat</w:t>
      </w:r>
      <w:r w:rsidRPr="0040059A">
        <w:rPr>
          <w:rFonts w:asciiTheme="majorBidi" w:hAnsiTheme="majorBidi" w:cstheme="majorBidi"/>
        </w:rPr>
        <w:t xml:space="preserve"> Selain sebagai mufti ‘</w:t>
      </w:r>
      <w:r>
        <w:rPr>
          <w:rFonts w:asciiTheme="majorBidi" w:hAnsiTheme="majorBidi" w:cstheme="majorBidi"/>
        </w:rPr>
        <w:t xml:space="preserve">Abduh juga bertugas sebagai </w:t>
      </w:r>
      <w:r w:rsidRPr="00063C5F">
        <w:rPr>
          <w:rFonts w:asciiTheme="majorBidi" w:hAnsiTheme="majorBidi" w:cstheme="majorBidi"/>
          <w:i/>
          <w:iCs/>
        </w:rPr>
        <w:t>Qa</w:t>
      </w:r>
      <w:r w:rsidRPr="00063C5F">
        <w:rPr>
          <w:i/>
          <w:iCs/>
          <w:u w:val="single"/>
          <w:lang w:val="sv-SE"/>
        </w:rPr>
        <w:t>d</w:t>
      </w:r>
      <w:r w:rsidRPr="00063C5F">
        <w:rPr>
          <w:rFonts w:asciiTheme="majorBidi" w:hAnsiTheme="majorBidi" w:cstheme="majorBidi"/>
          <w:i/>
          <w:iCs/>
        </w:rPr>
        <w:t xml:space="preserve">i </w:t>
      </w:r>
      <w:r w:rsidRPr="0040059A">
        <w:rPr>
          <w:rFonts w:asciiTheme="majorBidi" w:hAnsiTheme="majorBidi" w:cstheme="majorBidi"/>
        </w:rPr>
        <w:t>(hakim). Dalam menja</w:t>
      </w:r>
      <w:r>
        <w:rPr>
          <w:rFonts w:asciiTheme="majorBidi" w:hAnsiTheme="majorBidi" w:cstheme="majorBidi"/>
        </w:rPr>
        <w:t xml:space="preserve">lankan fungsinya sebagai mufti </w:t>
      </w:r>
      <w:r w:rsidRPr="0040059A">
        <w:rPr>
          <w:rFonts w:asciiTheme="majorBidi" w:hAnsiTheme="majorBidi" w:cstheme="majorBidi"/>
        </w:rPr>
        <w:t>ia memerankan dua fatwa sekaligus, fatwa resmi dan tidak resmi. Jika yang pertama ia sandarkan pada pendapat mazhab Hanafi, maka yang kedua lebih khusus pada tafsir atas ayat al-Qur’an.</w:t>
      </w:r>
      <w:r>
        <w:rPr>
          <w:rFonts w:asciiTheme="majorBidi" w:hAnsiTheme="majorBidi" w:cstheme="majorBidi"/>
        </w:rPr>
        <w:t xml:space="preserve"> Lihat.</w:t>
      </w:r>
      <w:r w:rsidRPr="0040059A">
        <w:rPr>
          <w:rFonts w:asciiTheme="majorBidi" w:hAnsiTheme="majorBidi" w:cstheme="majorBidi"/>
        </w:rPr>
        <w:t xml:space="preserve"> Rif’at Syauqi Nawawi, </w:t>
      </w:r>
      <w:r w:rsidRPr="00063C5F">
        <w:rPr>
          <w:rFonts w:asciiTheme="majorBidi" w:hAnsiTheme="majorBidi" w:cstheme="majorBidi"/>
          <w:i/>
          <w:iCs/>
        </w:rPr>
        <w:t>Rasionalitas Tafsir Muhammad ‘Abduh, Kajian Masalah Ibadah dan Akidah</w:t>
      </w:r>
      <w:r w:rsidRPr="0040059A">
        <w:rPr>
          <w:rFonts w:asciiTheme="majorBidi" w:hAnsiTheme="majorBidi" w:cstheme="majorBidi"/>
        </w:rPr>
        <w:t xml:space="preserve"> (Jakarta: Paramadina, 2002), 24-25, 73-74. Salam Madhkur, </w:t>
      </w:r>
      <w:r w:rsidRPr="00063C5F">
        <w:rPr>
          <w:rFonts w:asciiTheme="majorBidi" w:hAnsiTheme="majorBidi" w:cstheme="majorBidi"/>
          <w:i/>
          <w:iCs/>
        </w:rPr>
        <w:t>al-Qada fi al-Islam</w:t>
      </w:r>
      <w:r w:rsidRPr="0040059A">
        <w:rPr>
          <w:rFonts w:asciiTheme="majorBidi" w:hAnsiTheme="majorBidi" w:cstheme="majorBidi"/>
        </w:rPr>
        <w:t xml:space="preserve"> (Kairo: Dar al-Nahdah</w:t>
      </w:r>
      <w:r>
        <w:rPr>
          <w:rFonts w:asciiTheme="majorBidi" w:hAnsiTheme="majorBidi" w:cstheme="majorBidi"/>
        </w:rPr>
        <w:t xml:space="preserve"> al-‘Arabiyyah, 1964), h.136. Muh</w:t>
      </w:r>
      <w:r w:rsidRPr="0040059A">
        <w:rPr>
          <w:rFonts w:asciiTheme="majorBidi" w:hAnsiTheme="majorBidi" w:cstheme="majorBidi"/>
        </w:rPr>
        <w:t xml:space="preserve">ammad Rashid Rida, </w:t>
      </w:r>
      <w:r w:rsidRPr="00063C5F">
        <w:rPr>
          <w:rFonts w:asciiTheme="majorBidi" w:hAnsiTheme="majorBidi" w:cstheme="majorBidi"/>
          <w:i/>
          <w:iCs/>
        </w:rPr>
        <w:t>Tarikh Usta</w:t>
      </w:r>
      <w:r>
        <w:rPr>
          <w:rFonts w:asciiTheme="majorBidi" w:hAnsiTheme="majorBidi" w:cstheme="majorBidi"/>
          <w:i/>
          <w:iCs/>
        </w:rPr>
        <w:t>zd</w:t>
      </w:r>
      <w:r w:rsidRPr="00063C5F">
        <w:rPr>
          <w:rFonts w:asciiTheme="majorBidi" w:hAnsiTheme="majorBidi" w:cstheme="majorBidi"/>
          <w:i/>
          <w:iCs/>
        </w:rPr>
        <w:t xml:space="preserve"> al-Imam al-Shaikh Muhammad ‘Abduh</w:t>
      </w:r>
      <w:r w:rsidRPr="0040059A">
        <w:rPr>
          <w:rFonts w:asciiTheme="majorBidi" w:hAnsiTheme="majorBidi" w:cstheme="majorBidi"/>
        </w:rPr>
        <w:t xml:space="preserve"> (Mesir: Dar al-Iman, 1367), I,</w:t>
      </w:r>
      <w:r>
        <w:rPr>
          <w:rFonts w:asciiTheme="majorBidi" w:hAnsiTheme="majorBidi" w:cstheme="majorBidi"/>
        </w:rPr>
        <w:t xml:space="preserve"> h.</w:t>
      </w:r>
      <w:r w:rsidRPr="0040059A">
        <w:rPr>
          <w:rFonts w:asciiTheme="majorBidi" w:hAnsiTheme="majorBidi" w:cstheme="majorBidi"/>
        </w:rPr>
        <w:t xml:space="preserve"> 156 dan 646.</w:t>
      </w:r>
    </w:p>
  </w:footnote>
  <w:footnote w:id="536">
    <w:p w:rsidR="00343B61" w:rsidRPr="0040059A" w:rsidRDefault="00343B61" w:rsidP="00343B61">
      <w:pPr>
        <w:pStyle w:val="FootnoteText"/>
        <w:ind w:firstLine="720"/>
        <w:jc w:val="both"/>
        <w:rPr>
          <w:rFonts w:asciiTheme="majorBidi" w:hAnsiTheme="majorBidi" w:cstheme="majorBidi"/>
        </w:rPr>
      </w:pPr>
      <w:r w:rsidRPr="0040059A">
        <w:rPr>
          <w:rStyle w:val="FootnoteReference"/>
          <w:rFonts w:asciiTheme="majorBidi" w:hAnsiTheme="majorBidi" w:cstheme="majorBidi"/>
        </w:rPr>
        <w:footnoteRef/>
      </w:r>
      <w:r w:rsidRPr="0040059A">
        <w:rPr>
          <w:rFonts w:asciiTheme="majorBidi" w:hAnsiTheme="majorBidi" w:cstheme="majorBidi"/>
        </w:rPr>
        <w:t xml:space="preserve"> </w:t>
      </w:r>
      <w:r>
        <w:rPr>
          <w:rFonts w:asciiTheme="majorBidi" w:hAnsiTheme="majorBidi" w:cstheme="majorBidi"/>
        </w:rPr>
        <w:t>Lihat</w:t>
      </w:r>
      <w:r w:rsidRPr="0040059A">
        <w:rPr>
          <w:rFonts w:asciiTheme="majorBidi" w:hAnsiTheme="majorBidi" w:cstheme="majorBidi"/>
        </w:rPr>
        <w:t xml:space="preserve"> Abdul Manan, </w:t>
      </w:r>
      <w:r w:rsidRPr="00CB3F9F">
        <w:rPr>
          <w:rFonts w:asciiTheme="majorBidi" w:hAnsiTheme="majorBidi" w:cstheme="majorBidi"/>
          <w:i/>
          <w:iCs/>
        </w:rPr>
        <w:t>Reformasi Hukum Islam di Indonesia</w:t>
      </w:r>
      <w:r w:rsidRPr="0040059A">
        <w:rPr>
          <w:rFonts w:asciiTheme="majorBidi" w:hAnsiTheme="majorBidi" w:cstheme="majorBidi"/>
        </w:rPr>
        <w:t>,</w:t>
      </w:r>
      <w:r>
        <w:rPr>
          <w:rFonts w:asciiTheme="majorBidi" w:hAnsiTheme="majorBidi" w:cstheme="majorBidi"/>
        </w:rPr>
        <w:t xml:space="preserve"> </w:t>
      </w:r>
      <w:r w:rsidRPr="0040059A">
        <w:rPr>
          <w:rFonts w:asciiTheme="majorBidi" w:hAnsiTheme="majorBidi" w:cstheme="majorBidi"/>
        </w:rPr>
        <w:t xml:space="preserve">(Jakarta: </w:t>
      </w:r>
      <w:r>
        <w:rPr>
          <w:rFonts w:asciiTheme="majorBidi" w:hAnsiTheme="majorBidi" w:cstheme="majorBidi"/>
        </w:rPr>
        <w:t>RajaGrafindo Persada, 2006),</w:t>
      </w:r>
      <w:r w:rsidRPr="0040059A">
        <w:rPr>
          <w:rFonts w:asciiTheme="majorBidi" w:hAnsiTheme="majorBidi" w:cstheme="majorBidi"/>
        </w:rPr>
        <w:t xml:space="preserve"> </w:t>
      </w:r>
      <w:r>
        <w:rPr>
          <w:rFonts w:asciiTheme="majorBidi" w:hAnsiTheme="majorBidi" w:cstheme="majorBidi"/>
        </w:rPr>
        <w:t>h.</w:t>
      </w:r>
      <w:r w:rsidRPr="0040059A">
        <w:rPr>
          <w:rFonts w:asciiTheme="majorBidi" w:hAnsiTheme="majorBidi" w:cstheme="majorBidi"/>
        </w:rPr>
        <w:t xml:space="preserve">195.  </w:t>
      </w:r>
    </w:p>
  </w:footnote>
  <w:footnote w:id="537">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Lihat Amin Abdullah, </w:t>
      </w:r>
      <w:r w:rsidRPr="00CB0722">
        <w:rPr>
          <w:rFonts w:asciiTheme="majorBidi" w:hAnsiTheme="majorBidi" w:cstheme="majorBidi"/>
          <w:i/>
          <w:iCs/>
        </w:rPr>
        <w:t>Pendekatan Hermeunetik dalam Studi Fatwa-Fatwa Keagamaan: Proses Negoisasi Komunitas Pencari Makna Teks, Pengarang, dan Pembaca</w:t>
      </w:r>
      <w:r w:rsidRPr="00CB0722">
        <w:rPr>
          <w:rFonts w:asciiTheme="majorBidi" w:hAnsiTheme="majorBidi" w:cstheme="majorBidi"/>
        </w:rPr>
        <w:t xml:space="preserve">‛ dalam Khlaed M. Abou El Fadl, </w:t>
      </w:r>
      <w:r w:rsidRPr="00CB0722">
        <w:rPr>
          <w:rFonts w:asciiTheme="majorBidi" w:hAnsiTheme="majorBidi" w:cstheme="majorBidi"/>
          <w:i/>
          <w:iCs/>
        </w:rPr>
        <w:t>Atas Nama Tuhan dari Fikih Otoriter ke Fikih Otoritatif</w:t>
      </w:r>
      <w:r w:rsidRPr="00CB0722">
        <w:rPr>
          <w:rFonts w:asciiTheme="majorBidi" w:hAnsiTheme="majorBidi" w:cstheme="majorBidi"/>
        </w:rPr>
        <w:t xml:space="preserve"> (Jakarta: Serambi, 2003), ix. Lihat juga. Tobibatussaadah, </w:t>
      </w:r>
      <w:r w:rsidRPr="00CB0722">
        <w:rPr>
          <w:rFonts w:asciiTheme="majorBidi" w:hAnsiTheme="majorBidi" w:cstheme="majorBidi"/>
          <w:i/>
          <w:iCs/>
        </w:rPr>
        <w:t>Fatwa-Fatwa Majelis Ulama Indonesia 2005: Otoritas Keagamaan Versus Liberalisasi Pemikiran Islam Pasca Orde Baru</w:t>
      </w:r>
      <w:r w:rsidRPr="00CB0722">
        <w:rPr>
          <w:rFonts w:asciiTheme="majorBidi" w:hAnsiTheme="majorBidi" w:cstheme="majorBidi"/>
        </w:rPr>
        <w:t>, Tesis UIN Syarif Hidayatullah Jakarta, 2009,  h. 55-57.</w:t>
      </w:r>
    </w:p>
  </w:footnote>
  <w:footnote w:id="538">
    <w:p w:rsidR="00343B61" w:rsidRPr="0040059A"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Abdul Manan, </w:t>
      </w:r>
      <w:r w:rsidRPr="00CB0722">
        <w:rPr>
          <w:rFonts w:asciiTheme="majorBidi" w:hAnsiTheme="majorBidi" w:cstheme="majorBidi"/>
          <w:i/>
          <w:iCs/>
        </w:rPr>
        <w:t>Reformasi Hukum Islam di Indonesia</w:t>
      </w:r>
      <w:r w:rsidRPr="00CB0722">
        <w:rPr>
          <w:rFonts w:asciiTheme="majorBidi" w:hAnsiTheme="majorBidi" w:cstheme="majorBidi"/>
        </w:rPr>
        <w:t>, (Jakarta: RajaGrafindo Persada, 2006), h  194-195.</w:t>
      </w:r>
    </w:p>
  </w:footnote>
  <w:footnote w:id="539">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Salah satu contoh kasus yang diberikan oleh Sahal Mahfudz adalah perdebatan yang terjadi antara Kyai Murtadlo dari Tuban dengan Kyai Mahfudz dari Jawa Tengah tentang khutbah Jum’at. Jika kyai Murtadlo menyatakan bahwa khubah Jum’at tidak boleh menggunakan bahasa selain bahasa Arab, maka Kyai Mahfudz memperbolehkan hal tersebut. Sahal Mahfudz, </w:t>
      </w:r>
      <w:r w:rsidRPr="00CB0722">
        <w:rPr>
          <w:rFonts w:asciiTheme="majorBidi" w:hAnsiTheme="majorBidi" w:cstheme="majorBidi"/>
          <w:i/>
          <w:iCs/>
        </w:rPr>
        <w:t>Ba</w:t>
      </w:r>
      <w:r w:rsidRPr="00CB0722">
        <w:rPr>
          <w:i/>
          <w:iCs/>
          <w:u w:val="single"/>
          <w:lang w:val="sv-SE"/>
        </w:rPr>
        <w:t>h</w:t>
      </w:r>
      <w:r w:rsidRPr="00CB0722">
        <w:rPr>
          <w:rFonts w:asciiTheme="majorBidi" w:hAnsiTheme="majorBidi" w:cstheme="majorBidi"/>
          <w:i/>
          <w:iCs/>
        </w:rPr>
        <w:t>tsul Masāil dan Istinbaṭ hukum NU: Sebuah Catatan Pendek. dalam Solusi Problematika Aktual Hukum Islam,</w:t>
      </w:r>
      <w:r w:rsidRPr="00CB0722">
        <w:rPr>
          <w:rFonts w:asciiTheme="majorBidi" w:hAnsiTheme="majorBidi" w:cstheme="majorBidi"/>
        </w:rPr>
        <w:t xml:space="preserve"> Keputusan Muktamar, Munas, dan Konbes Nahdlatul Ulama 1926-1999 M (Surabaya: Lajnah Ta’lif wan Nasyr (LTN) NU Jatim, 2005), h. x-xi.</w:t>
      </w:r>
    </w:p>
  </w:footnote>
  <w:footnote w:id="540">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Lihat Tobibatussa’adah, </w:t>
      </w:r>
      <w:r w:rsidRPr="00CB0722">
        <w:rPr>
          <w:rFonts w:asciiTheme="majorBidi" w:hAnsiTheme="majorBidi" w:cstheme="majorBidi"/>
          <w:i/>
          <w:iCs/>
        </w:rPr>
        <w:t>Fatwa-Fatwa Majelis Ulama Indonesia 2005: Otoritas Keagamaan versus Liberalisme Pemikiran Islam Pasca Orde Baru</w:t>
      </w:r>
      <w:r w:rsidRPr="00CB0722">
        <w:rPr>
          <w:rFonts w:asciiTheme="majorBidi" w:hAnsiTheme="majorBidi" w:cstheme="majorBidi"/>
        </w:rPr>
        <w:t>, Disertasi UIN Syarif Hidayatullah Jakarta, 2009, h. 87.</w:t>
      </w:r>
    </w:p>
  </w:footnote>
  <w:footnote w:id="541">
    <w:p w:rsidR="00343B61" w:rsidRPr="0040059A"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Sahal Mahfudz, </w:t>
      </w:r>
      <w:r w:rsidRPr="00CB0722">
        <w:rPr>
          <w:rFonts w:asciiTheme="majorBidi" w:hAnsiTheme="majorBidi" w:cstheme="majorBidi"/>
          <w:i/>
          <w:iCs/>
        </w:rPr>
        <w:t xml:space="preserve">Solusi Problematika Aktual Hukum Islam, Keputusan Muktamar, Munas, dan Konbes Nahdlatul Ulama </w:t>
      </w:r>
      <w:r w:rsidRPr="00CB0722">
        <w:rPr>
          <w:rFonts w:asciiTheme="majorBidi" w:hAnsiTheme="majorBidi" w:cstheme="majorBidi"/>
        </w:rPr>
        <w:t>1926-1999 M, h. 467-469.</w:t>
      </w:r>
      <w:r w:rsidRPr="0040059A">
        <w:rPr>
          <w:rFonts w:asciiTheme="majorBidi" w:hAnsiTheme="majorBidi" w:cstheme="majorBidi"/>
        </w:rPr>
        <w:t xml:space="preserve">  </w:t>
      </w:r>
    </w:p>
  </w:footnote>
  <w:footnote w:id="542">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Aziz Dahlan,  </w:t>
      </w:r>
      <w:r w:rsidRPr="00CB0722">
        <w:rPr>
          <w:rFonts w:asciiTheme="majorBidi" w:hAnsiTheme="majorBidi" w:cstheme="majorBidi"/>
          <w:i/>
          <w:iCs/>
        </w:rPr>
        <w:t>Ensiklopedi Hukum Islam</w:t>
      </w:r>
      <w:r w:rsidRPr="00CB0722">
        <w:rPr>
          <w:rFonts w:asciiTheme="majorBidi" w:hAnsiTheme="majorBidi" w:cstheme="majorBidi"/>
        </w:rPr>
        <w:t xml:space="preserve"> (Jakarta: Ikhtiar Baru Van Hoeve, 2003), Jilid, I, h. 175. Sahal Mahfudz, </w:t>
      </w:r>
      <w:r w:rsidRPr="00CB0722">
        <w:rPr>
          <w:rFonts w:asciiTheme="majorBidi" w:hAnsiTheme="majorBidi" w:cstheme="majorBidi"/>
          <w:i/>
          <w:iCs/>
        </w:rPr>
        <w:t>Solusi Problematika Aktual Hukum Islam, Keputusan Muktamar, Munas, dan Konbes Nahdlatul Ulama</w:t>
      </w:r>
      <w:r w:rsidRPr="00CB0722">
        <w:rPr>
          <w:rFonts w:asciiTheme="majorBidi" w:hAnsiTheme="majorBidi" w:cstheme="majorBidi"/>
        </w:rPr>
        <w:t xml:space="preserve"> 1926-1999 M, h. 3.</w:t>
      </w:r>
    </w:p>
  </w:footnote>
  <w:footnote w:id="543">
    <w:p w:rsidR="00343B61" w:rsidRPr="00CB0722"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 M. Atho Mudzhar, </w:t>
      </w:r>
      <w:r w:rsidRPr="00CB0722">
        <w:rPr>
          <w:rFonts w:asciiTheme="majorBidi" w:hAnsiTheme="majorBidi" w:cstheme="majorBidi"/>
          <w:i/>
        </w:rPr>
        <w:t xml:space="preserve">Fatwa-Fatwa Majelis Ulama Indonesia, Sebuah Studi Pemikiran Hukum Islam di Indonesia 1975-1988 edisi dwibahasa, </w:t>
      </w:r>
      <w:r w:rsidRPr="00CB0722">
        <w:rPr>
          <w:rFonts w:asciiTheme="majorBidi" w:hAnsiTheme="majorBidi" w:cstheme="majorBidi"/>
        </w:rPr>
        <w:t>( Jakarta: INIS, 1993),  h. 24</w:t>
      </w:r>
    </w:p>
  </w:footnote>
  <w:footnote w:id="544">
    <w:p w:rsidR="00343B61" w:rsidRPr="0040059A" w:rsidRDefault="00343B61" w:rsidP="00343B61">
      <w:pPr>
        <w:pStyle w:val="FootnoteText"/>
        <w:ind w:firstLine="720"/>
        <w:jc w:val="both"/>
        <w:rPr>
          <w:rFonts w:asciiTheme="majorBidi" w:hAnsiTheme="majorBidi" w:cstheme="majorBidi"/>
        </w:rPr>
      </w:pPr>
      <w:r w:rsidRPr="00CB0722">
        <w:rPr>
          <w:rStyle w:val="FootnoteReference"/>
          <w:rFonts w:asciiTheme="majorBidi" w:hAnsiTheme="majorBidi" w:cstheme="majorBidi"/>
        </w:rPr>
        <w:footnoteRef/>
      </w:r>
      <w:r w:rsidRPr="00CB0722">
        <w:rPr>
          <w:rFonts w:asciiTheme="majorBidi" w:hAnsiTheme="majorBidi" w:cstheme="majorBidi"/>
        </w:rPr>
        <w:t xml:space="preserve"> Lihat</w:t>
      </w:r>
      <w:r>
        <w:rPr>
          <w:rFonts w:asciiTheme="majorBidi" w:hAnsiTheme="majorBidi" w:cstheme="majorBidi"/>
        </w:rPr>
        <w:t xml:space="preserve">. M. </w:t>
      </w:r>
      <w:r w:rsidRPr="00CB0722">
        <w:rPr>
          <w:rFonts w:asciiTheme="majorBidi" w:hAnsiTheme="majorBidi" w:cstheme="majorBidi"/>
        </w:rPr>
        <w:t xml:space="preserve">Atho Mudzhar, </w:t>
      </w:r>
      <w:r w:rsidRPr="00CB0722">
        <w:rPr>
          <w:rFonts w:asciiTheme="majorBidi" w:hAnsiTheme="majorBidi" w:cstheme="majorBidi"/>
          <w:i/>
        </w:rPr>
        <w:t xml:space="preserve">Fatwa-Fatwa Majelis Ulama Indonesia, Sebuah Studi Pemikiran Hukum Islam di Indonesia 1975-1988 edisi dwibahasa, </w:t>
      </w:r>
      <w:r w:rsidRPr="00CB0722">
        <w:rPr>
          <w:rFonts w:asciiTheme="majorBidi" w:hAnsiTheme="majorBidi" w:cstheme="majorBidi"/>
        </w:rPr>
        <w:t>( Jakarta: INIS, 1993),  24-25</w:t>
      </w:r>
    </w:p>
  </w:footnote>
  <w:footnote w:id="545">
    <w:p w:rsidR="00343B61" w:rsidRPr="0040059A" w:rsidRDefault="00343B61" w:rsidP="00343B61">
      <w:pPr>
        <w:pStyle w:val="FootnoteText"/>
        <w:ind w:firstLine="720"/>
        <w:jc w:val="both"/>
        <w:rPr>
          <w:rFonts w:asciiTheme="majorBidi" w:hAnsiTheme="majorBidi" w:cstheme="majorBidi"/>
        </w:rPr>
      </w:pPr>
      <w:r w:rsidRPr="0040059A">
        <w:rPr>
          <w:rStyle w:val="FootnoteReference"/>
          <w:rFonts w:asciiTheme="majorBidi" w:hAnsiTheme="majorBidi" w:cstheme="majorBidi"/>
        </w:rPr>
        <w:footnoteRef/>
      </w:r>
      <w:r w:rsidRPr="0040059A">
        <w:rPr>
          <w:rFonts w:asciiTheme="majorBidi" w:hAnsiTheme="majorBidi" w:cstheme="majorBidi"/>
        </w:rPr>
        <w:t xml:space="preserve"> Lihat</w:t>
      </w:r>
      <w:r>
        <w:rPr>
          <w:rFonts w:asciiTheme="majorBidi" w:hAnsiTheme="majorBidi" w:cstheme="majorBidi"/>
        </w:rPr>
        <w:t xml:space="preserve">. Aziz Dahlan, </w:t>
      </w:r>
      <w:r w:rsidRPr="00304AF7">
        <w:rPr>
          <w:rFonts w:asciiTheme="majorBidi" w:hAnsiTheme="majorBidi" w:cstheme="majorBidi"/>
          <w:i/>
          <w:iCs/>
        </w:rPr>
        <w:t>Ensiklopedi Hukum Islam</w:t>
      </w:r>
      <w:r w:rsidRPr="0040059A">
        <w:rPr>
          <w:rFonts w:asciiTheme="majorBidi" w:hAnsiTheme="majorBidi" w:cstheme="majorBidi"/>
        </w:rPr>
        <w:t xml:space="preserve"> (Jakarta</w:t>
      </w:r>
      <w:r>
        <w:rPr>
          <w:rFonts w:asciiTheme="majorBidi" w:hAnsiTheme="majorBidi" w:cstheme="majorBidi"/>
        </w:rPr>
        <w:t>: Ikhtiar Baru Van Hoeve, 2003)</w:t>
      </w:r>
      <w:r w:rsidRPr="0040059A">
        <w:rPr>
          <w:rFonts w:asciiTheme="majorBidi" w:hAnsiTheme="majorBidi" w:cstheme="majorBidi"/>
        </w:rPr>
        <w:t>,</w:t>
      </w:r>
      <w:r>
        <w:rPr>
          <w:rFonts w:asciiTheme="majorBidi" w:hAnsiTheme="majorBidi" w:cstheme="majorBidi"/>
        </w:rPr>
        <w:t xml:space="preserve"> Jilid, </w:t>
      </w:r>
      <w:r w:rsidRPr="0040059A">
        <w:rPr>
          <w:rFonts w:asciiTheme="majorBidi" w:hAnsiTheme="majorBidi" w:cstheme="majorBidi"/>
        </w:rPr>
        <w:t xml:space="preserve"> III, </w:t>
      </w:r>
      <w:r>
        <w:rPr>
          <w:rFonts w:asciiTheme="majorBidi" w:hAnsiTheme="majorBidi" w:cstheme="majorBidi"/>
        </w:rPr>
        <w:t xml:space="preserve">h. </w:t>
      </w:r>
      <w:r w:rsidRPr="0040059A">
        <w:rPr>
          <w:rFonts w:asciiTheme="majorBidi" w:hAnsiTheme="majorBidi" w:cstheme="majorBidi"/>
        </w:rPr>
        <w:t>1064.</w:t>
      </w:r>
    </w:p>
  </w:footnote>
  <w:footnote w:id="546">
    <w:p w:rsidR="00343B61" w:rsidRPr="0040059A" w:rsidRDefault="00343B61" w:rsidP="00343B61">
      <w:pPr>
        <w:pStyle w:val="FootnoteText"/>
        <w:ind w:firstLine="720"/>
        <w:jc w:val="both"/>
        <w:rPr>
          <w:rFonts w:asciiTheme="majorBidi" w:hAnsiTheme="majorBidi" w:cstheme="majorBidi"/>
        </w:rPr>
      </w:pPr>
      <w:r w:rsidRPr="0040059A">
        <w:rPr>
          <w:rStyle w:val="FootnoteReference"/>
          <w:rFonts w:asciiTheme="majorBidi" w:hAnsiTheme="majorBidi" w:cstheme="majorBidi"/>
        </w:rPr>
        <w:footnoteRef/>
      </w:r>
      <w:r w:rsidRPr="0040059A">
        <w:rPr>
          <w:rFonts w:asciiTheme="majorBidi" w:hAnsiTheme="majorBidi" w:cstheme="majorBidi"/>
        </w:rPr>
        <w:t xml:space="preserve"> Lihat</w:t>
      </w:r>
      <w:r>
        <w:rPr>
          <w:rFonts w:asciiTheme="majorBidi" w:hAnsiTheme="majorBidi" w:cstheme="majorBidi"/>
        </w:rPr>
        <w:t xml:space="preserve">. Aziz Dahlan, </w:t>
      </w:r>
      <w:r w:rsidRPr="00304AF7">
        <w:rPr>
          <w:rFonts w:asciiTheme="majorBidi" w:hAnsiTheme="majorBidi" w:cstheme="majorBidi"/>
          <w:i/>
          <w:iCs/>
        </w:rPr>
        <w:t>Ensiklopedi Hukum Islam</w:t>
      </w:r>
      <w:r w:rsidRPr="0040059A">
        <w:rPr>
          <w:rFonts w:asciiTheme="majorBidi" w:hAnsiTheme="majorBidi" w:cstheme="majorBidi"/>
        </w:rPr>
        <w:t xml:space="preserve"> (Jakarta</w:t>
      </w:r>
      <w:r>
        <w:rPr>
          <w:rFonts w:asciiTheme="majorBidi" w:hAnsiTheme="majorBidi" w:cstheme="majorBidi"/>
        </w:rPr>
        <w:t>: Ikhtiar Baru Van Hoeve, 2003)</w:t>
      </w:r>
      <w:r w:rsidRPr="0040059A">
        <w:rPr>
          <w:rFonts w:asciiTheme="majorBidi" w:hAnsiTheme="majorBidi" w:cstheme="majorBidi"/>
        </w:rPr>
        <w:t>,</w:t>
      </w:r>
      <w:r>
        <w:rPr>
          <w:rFonts w:asciiTheme="majorBidi" w:hAnsiTheme="majorBidi" w:cstheme="majorBidi"/>
        </w:rPr>
        <w:t xml:space="preserve"> Jilid, </w:t>
      </w:r>
      <w:r w:rsidRPr="0040059A">
        <w:rPr>
          <w:rFonts w:asciiTheme="majorBidi" w:hAnsiTheme="majorBidi" w:cstheme="majorBidi"/>
        </w:rPr>
        <w:t xml:space="preserve"> III, </w:t>
      </w:r>
      <w:r>
        <w:rPr>
          <w:rFonts w:asciiTheme="majorBidi" w:hAnsiTheme="majorBidi" w:cstheme="majorBidi"/>
        </w:rPr>
        <w:t xml:space="preserve">h. </w:t>
      </w:r>
      <w:r w:rsidRPr="0040059A">
        <w:rPr>
          <w:rFonts w:asciiTheme="majorBidi" w:hAnsiTheme="majorBidi" w:cstheme="majorBidi"/>
        </w:rPr>
        <w:t>1064.</w:t>
      </w:r>
    </w:p>
  </w:footnote>
  <w:footnote w:id="547">
    <w:p w:rsidR="00343B61" w:rsidRDefault="00343B61" w:rsidP="00343B61">
      <w:pPr>
        <w:pStyle w:val="FootnoteText"/>
        <w:ind w:firstLine="720"/>
        <w:jc w:val="both"/>
      </w:pPr>
      <w:r w:rsidRPr="0040059A">
        <w:rPr>
          <w:rStyle w:val="FootnoteReference"/>
          <w:rFonts w:asciiTheme="majorBidi" w:hAnsiTheme="majorBidi" w:cstheme="majorBidi"/>
        </w:rPr>
        <w:footnoteRef/>
      </w:r>
      <w:r w:rsidRPr="0040059A">
        <w:rPr>
          <w:rFonts w:asciiTheme="majorBidi" w:hAnsiTheme="majorBidi" w:cstheme="majorBidi"/>
        </w:rPr>
        <w:t xml:space="preserve"> Dalam catatan Atho Mudzhar, selain kedua lembaga besar tersebut juga berdiri lembaga fatwa yang berasal dari organisasi Islam lainnya. Al-Irsyad lembaga yang didirikan oleh Ahmad Surkati dari Sudan dan Persatuan Islam (Persis) yang didirikan oleh Ahmad Hasan dari Singapura seorang keturunan India yang berdiri sebelum kemerdekaan. Keduanya dianggap sebagai organisasi yang cenderung reformis skriptualis. Hal ini sejalan dengan Muhammadiyah baik dalam hal teologi maupun ajaran Islam.</w:t>
      </w:r>
      <w:r>
        <w:rPr>
          <w:rFonts w:asciiTheme="majorBidi" w:hAnsiTheme="majorBidi" w:cstheme="majorBidi"/>
        </w:rPr>
        <w:t xml:space="preserve"> </w:t>
      </w:r>
      <w:r w:rsidRPr="0040059A">
        <w:rPr>
          <w:rFonts w:asciiTheme="majorBidi" w:hAnsiTheme="majorBidi" w:cstheme="majorBidi"/>
        </w:rPr>
        <w:t xml:space="preserve"> </w:t>
      </w:r>
      <w:r>
        <w:rPr>
          <w:rFonts w:asciiTheme="majorBidi" w:hAnsiTheme="majorBidi" w:cstheme="majorBidi"/>
        </w:rPr>
        <w:t xml:space="preserve">Lihat. </w:t>
      </w:r>
      <w:r w:rsidRPr="0040059A">
        <w:rPr>
          <w:rFonts w:asciiTheme="majorBidi" w:hAnsiTheme="majorBidi" w:cstheme="majorBidi"/>
        </w:rPr>
        <w:t xml:space="preserve">M. Atho Mudzhar, </w:t>
      </w:r>
      <w:r w:rsidRPr="0029190E">
        <w:rPr>
          <w:rFonts w:asciiTheme="majorBidi" w:hAnsiTheme="majorBidi" w:cstheme="majorBidi"/>
          <w:i/>
          <w:iCs/>
        </w:rPr>
        <w:t>Fatwa-Fatwa Majelis Ulama Indonesia</w:t>
      </w:r>
      <w:r w:rsidRPr="0040059A">
        <w:rPr>
          <w:rFonts w:asciiTheme="majorBidi" w:hAnsiTheme="majorBidi" w:cstheme="majorBidi"/>
        </w:rPr>
        <w:t>,</w:t>
      </w:r>
      <w:r>
        <w:rPr>
          <w:rFonts w:asciiTheme="majorBidi" w:hAnsiTheme="majorBidi" w:cstheme="majorBidi"/>
        </w:rPr>
        <w:t xml:space="preserve"> </w:t>
      </w:r>
      <w:r w:rsidRPr="0029190E">
        <w:rPr>
          <w:rFonts w:asciiTheme="majorBidi" w:hAnsiTheme="majorBidi" w:cstheme="majorBidi"/>
          <w:i/>
          <w:iCs/>
        </w:rPr>
        <w:t>ibid</w:t>
      </w:r>
      <w:r>
        <w:rPr>
          <w:rFonts w:asciiTheme="majorBidi" w:hAnsiTheme="majorBidi" w:cstheme="majorBidi"/>
        </w:rPr>
        <w:t>.,</w:t>
      </w:r>
      <w:r w:rsidRPr="0040059A">
        <w:rPr>
          <w:rFonts w:asciiTheme="majorBidi" w:hAnsiTheme="majorBidi" w:cstheme="majorBidi"/>
        </w:rPr>
        <w:t xml:space="preserve"> </w:t>
      </w:r>
      <w:r>
        <w:rPr>
          <w:rFonts w:asciiTheme="majorBidi" w:hAnsiTheme="majorBidi" w:cstheme="majorBidi"/>
        </w:rPr>
        <w:t xml:space="preserve">h. </w:t>
      </w:r>
      <w:r w:rsidRPr="0040059A">
        <w:rPr>
          <w:rFonts w:asciiTheme="majorBidi" w:hAnsiTheme="majorBidi" w:cstheme="majorBidi"/>
        </w:rPr>
        <w:t>24-25.</w:t>
      </w:r>
    </w:p>
  </w:footnote>
  <w:footnote w:id="548">
    <w:p w:rsidR="00343B61" w:rsidRPr="00482638" w:rsidRDefault="00343B61" w:rsidP="00343B61">
      <w:pPr>
        <w:pStyle w:val="FootnoteText"/>
        <w:ind w:firstLine="720"/>
        <w:jc w:val="both"/>
        <w:rPr>
          <w:rFonts w:asciiTheme="majorBidi" w:hAnsiTheme="majorBidi" w:cstheme="majorBidi"/>
        </w:rPr>
      </w:pPr>
      <w:r w:rsidRPr="00482638">
        <w:rPr>
          <w:rStyle w:val="FootnoteReference"/>
          <w:rFonts w:asciiTheme="majorBidi" w:hAnsiTheme="majorBidi" w:cstheme="majorBidi"/>
        </w:rPr>
        <w:footnoteRef/>
      </w:r>
      <w:r w:rsidRPr="00482638">
        <w:rPr>
          <w:rFonts w:asciiTheme="majorBidi" w:hAnsiTheme="majorBidi" w:cstheme="majorBidi"/>
        </w:rPr>
        <w:t xml:space="preserve"> Lihat. Ma’ruf Amin, </w:t>
      </w:r>
      <w:r w:rsidRPr="00482638">
        <w:rPr>
          <w:rFonts w:asciiTheme="majorBidi" w:hAnsiTheme="majorBidi" w:cstheme="majorBidi"/>
          <w:i/>
          <w:iCs/>
        </w:rPr>
        <w:t>Himpunan Fatwa Majelis Ulama Indonesia</w:t>
      </w:r>
      <w:r w:rsidRPr="00482638">
        <w:rPr>
          <w:rFonts w:asciiTheme="majorBidi" w:hAnsiTheme="majorBidi" w:cstheme="majorBidi"/>
        </w:rPr>
        <w:t>,( Jakarta: Direktorat Jenderal Bimbingan Masyaratkat Islam dan Penyelenggaraan Haji Dep</w:t>
      </w:r>
      <w:r>
        <w:rPr>
          <w:rFonts w:asciiTheme="majorBidi" w:hAnsiTheme="majorBidi" w:cstheme="majorBidi"/>
        </w:rPr>
        <w:t xml:space="preserve">ag </w:t>
      </w:r>
      <w:r w:rsidRPr="00482638">
        <w:rPr>
          <w:rFonts w:asciiTheme="majorBidi" w:hAnsiTheme="majorBidi" w:cstheme="majorBidi"/>
        </w:rPr>
        <w:t>RI, 2003), h. Vii</w:t>
      </w:r>
    </w:p>
  </w:footnote>
  <w:footnote w:id="549">
    <w:p w:rsidR="00343B61" w:rsidRPr="00482638" w:rsidRDefault="00343B61" w:rsidP="00343B61">
      <w:pPr>
        <w:pStyle w:val="FootnoteText"/>
        <w:ind w:firstLine="720"/>
        <w:jc w:val="both"/>
        <w:rPr>
          <w:rFonts w:asciiTheme="majorBidi" w:hAnsiTheme="majorBidi" w:cstheme="majorBidi"/>
        </w:rPr>
      </w:pPr>
      <w:r w:rsidRPr="00482638">
        <w:rPr>
          <w:rStyle w:val="FootnoteReference"/>
          <w:rFonts w:asciiTheme="majorBidi" w:hAnsiTheme="majorBidi" w:cstheme="majorBidi"/>
        </w:rPr>
        <w:footnoteRef/>
      </w:r>
      <w:r w:rsidRPr="00482638">
        <w:rPr>
          <w:rFonts w:asciiTheme="majorBidi" w:hAnsiTheme="majorBidi" w:cstheme="majorBidi"/>
        </w:rPr>
        <w:t xml:space="preserve"> Lihat Ma’ruf Amin, </w:t>
      </w:r>
      <w:r w:rsidRPr="00482638">
        <w:rPr>
          <w:rFonts w:asciiTheme="majorBidi" w:hAnsiTheme="majorBidi" w:cstheme="majorBidi"/>
          <w:i/>
          <w:iCs/>
        </w:rPr>
        <w:t>Himpunan Fatwa Majelis Ulama Indonesia</w:t>
      </w:r>
      <w:r w:rsidRPr="00482638">
        <w:rPr>
          <w:rFonts w:asciiTheme="majorBidi" w:hAnsiTheme="majorBidi" w:cstheme="majorBidi"/>
        </w:rPr>
        <w:t>,( Jakarta: Direktorat Jenderal Bimbingan Masyaratkat Islam dan Penyelenggaraan Haji Dep</w:t>
      </w:r>
      <w:r>
        <w:rPr>
          <w:rFonts w:asciiTheme="majorBidi" w:hAnsiTheme="majorBidi" w:cstheme="majorBidi"/>
        </w:rPr>
        <w:t xml:space="preserve">ag </w:t>
      </w:r>
      <w:r w:rsidRPr="00482638">
        <w:rPr>
          <w:rFonts w:asciiTheme="majorBidi" w:hAnsiTheme="majorBidi" w:cstheme="majorBidi"/>
        </w:rPr>
        <w:t>RI, 2003), h. Vii</w:t>
      </w:r>
    </w:p>
  </w:footnote>
  <w:footnote w:id="550">
    <w:p w:rsidR="00343B61" w:rsidRPr="008723F0" w:rsidRDefault="00343B61" w:rsidP="00343B61">
      <w:pPr>
        <w:pStyle w:val="FootnoteText"/>
        <w:ind w:firstLine="720"/>
        <w:jc w:val="both"/>
        <w:rPr>
          <w:rFonts w:asciiTheme="majorBidi" w:hAnsiTheme="majorBidi" w:cstheme="majorBidi"/>
        </w:rPr>
      </w:pPr>
      <w:r w:rsidRPr="00482638">
        <w:rPr>
          <w:rStyle w:val="FootnoteReference"/>
          <w:rFonts w:asciiTheme="majorBidi" w:hAnsiTheme="majorBidi" w:cstheme="majorBidi"/>
        </w:rPr>
        <w:footnoteRef/>
      </w:r>
      <w:r w:rsidRPr="00482638">
        <w:rPr>
          <w:rFonts w:asciiTheme="majorBidi" w:hAnsiTheme="majorBidi" w:cstheme="majorBidi"/>
        </w:rPr>
        <w:t xml:space="preserve"> Lihat. Depag RI, </w:t>
      </w:r>
      <w:r w:rsidRPr="00482638">
        <w:rPr>
          <w:rFonts w:asciiTheme="majorBidi" w:hAnsiTheme="majorBidi" w:cstheme="majorBidi"/>
          <w:i/>
          <w:iCs/>
        </w:rPr>
        <w:t>Al-Quran dan Terjamahannya</w:t>
      </w:r>
      <w:r w:rsidRPr="00482638">
        <w:rPr>
          <w:rFonts w:asciiTheme="majorBidi" w:hAnsiTheme="majorBidi" w:cstheme="majorBidi"/>
        </w:rPr>
        <w:t>, (Medinah al-Munawwarah: Mujamma’ al-Malik Fahd Li al-Thiba’ah Mush-haf al-Syarif, 1418) h. 419</w:t>
      </w:r>
    </w:p>
  </w:footnote>
  <w:footnote w:id="551">
    <w:p w:rsidR="00343B61" w:rsidRPr="00482638" w:rsidRDefault="00343B61" w:rsidP="00343B61">
      <w:pPr>
        <w:pStyle w:val="FootnoteText"/>
        <w:ind w:firstLine="720"/>
        <w:jc w:val="both"/>
        <w:rPr>
          <w:rFonts w:asciiTheme="majorBidi" w:hAnsiTheme="majorBidi" w:cstheme="majorBidi"/>
        </w:rPr>
      </w:pPr>
      <w:r w:rsidRPr="00482638">
        <w:rPr>
          <w:rStyle w:val="FootnoteReference"/>
          <w:rFonts w:asciiTheme="majorBidi" w:hAnsiTheme="majorBidi" w:cstheme="majorBidi"/>
        </w:rPr>
        <w:footnoteRef/>
      </w:r>
      <w:r w:rsidRPr="00482638">
        <w:rPr>
          <w:rFonts w:asciiTheme="majorBidi" w:hAnsiTheme="majorBidi" w:cstheme="majorBidi"/>
        </w:rPr>
        <w:t xml:space="preserve"> Lihat. Depag RI, </w:t>
      </w:r>
      <w:r w:rsidRPr="00482638">
        <w:rPr>
          <w:rFonts w:asciiTheme="majorBidi" w:hAnsiTheme="majorBidi" w:cstheme="majorBidi"/>
          <w:i/>
          <w:iCs/>
        </w:rPr>
        <w:t>Al-Quran dan Terjamahannya</w:t>
      </w:r>
      <w:r w:rsidRPr="00482638">
        <w:rPr>
          <w:rFonts w:asciiTheme="majorBidi" w:hAnsiTheme="majorBidi" w:cstheme="majorBidi"/>
        </w:rPr>
        <w:t>, (Medinah al-Munawwarah: Mujamma’ al-Malik Fahd Li al-Thiba’ah Mush-haf al-Syarif, 1418) h. 226</w:t>
      </w:r>
    </w:p>
  </w:footnote>
  <w:footnote w:id="552">
    <w:p w:rsidR="00343B61" w:rsidRPr="00482638" w:rsidRDefault="00343B61" w:rsidP="00343B61">
      <w:pPr>
        <w:autoSpaceDE w:val="0"/>
        <w:autoSpaceDN w:val="0"/>
        <w:adjustRightInd w:val="0"/>
        <w:spacing w:after="0"/>
        <w:ind w:firstLine="720"/>
        <w:jc w:val="both"/>
        <w:rPr>
          <w:rFonts w:asciiTheme="majorBidi" w:hAnsiTheme="majorBidi" w:cstheme="majorBidi"/>
          <w:sz w:val="20"/>
          <w:szCs w:val="20"/>
        </w:rPr>
      </w:pPr>
      <w:r w:rsidRPr="00482638">
        <w:rPr>
          <w:rStyle w:val="FootnoteReference"/>
          <w:rFonts w:asciiTheme="majorBidi" w:hAnsiTheme="majorBidi" w:cstheme="majorBidi"/>
          <w:sz w:val="20"/>
          <w:szCs w:val="20"/>
        </w:rPr>
        <w:footnoteRef/>
      </w:r>
      <w:r w:rsidRPr="00482638">
        <w:rPr>
          <w:rFonts w:asciiTheme="majorBidi" w:hAnsiTheme="majorBidi" w:cstheme="majorBidi"/>
          <w:sz w:val="20"/>
          <w:szCs w:val="20"/>
        </w:rPr>
        <w:t xml:space="preserve"> Lihat. Abi Muhammad Abdullah Ibn Abdurrahman al-Darim</w:t>
      </w:r>
      <w:r w:rsidRPr="00AC6C5F">
        <w:rPr>
          <w:rFonts w:asciiTheme="majorBidi" w:hAnsiTheme="majorBidi" w:cstheme="majorBidi"/>
          <w:sz w:val="20"/>
          <w:szCs w:val="20"/>
        </w:rPr>
        <w:t>ī</w:t>
      </w:r>
      <w:r w:rsidRPr="00482638">
        <w:rPr>
          <w:rFonts w:asciiTheme="majorBidi" w:hAnsiTheme="majorBidi" w:cstheme="majorBidi"/>
          <w:sz w:val="20"/>
          <w:szCs w:val="20"/>
        </w:rPr>
        <w:t xml:space="preserve">, </w:t>
      </w:r>
      <w:r w:rsidRPr="00482638">
        <w:rPr>
          <w:rFonts w:asciiTheme="majorBidi" w:hAnsiTheme="majorBidi" w:cstheme="majorBidi"/>
          <w:i/>
          <w:iCs/>
          <w:sz w:val="20"/>
          <w:szCs w:val="20"/>
        </w:rPr>
        <w:t>Musnad al-D</w:t>
      </w:r>
      <w:r w:rsidRPr="00AC6C5F">
        <w:rPr>
          <w:rFonts w:asciiTheme="majorBidi" w:hAnsiTheme="majorBidi" w:cstheme="majorBidi"/>
          <w:i/>
          <w:iCs/>
          <w:sz w:val="20"/>
          <w:szCs w:val="20"/>
        </w:rPr>
        <w:t>ā</w:t>
      </w:r>
      <w:r w:rsidRPr="00482638">
        <w:rPr>
          <w:rFonts w:asciiTheme="majorBidi" w:hAnsiTheme="majorBidi" w:cstheme="majorBidi"/>
          <w:i/>
          <w:iCs/>
          <w:sz w:val="20"/>
          <w:szCs w:val="20"/>
        </w:rPr>
        <w:t>rim</w:t>
      </w:r>
      <w:r w:rsidRPr="00A52EB4">
        <w:rPr>
          <w:rFonts w:asciiTheme="majorBidi" w:hAnsiTheme="majorBidi" w:cstheme="majorBidi"/>
          <w:i/>
          <w:iCs/>
          <w:sz w:val="20"/>
          <w:szCs w:val="20"/>
        </w:rPr>
        <w:t>ī</w:t>
      </w:r>
      <w:r>
        <w:rPr>
          <w:rFonts w:asciiTheme="majorBidi" w:hAnsiTheme="majorBidi" w:cstheme="majorBidi"/>
          <w:i/>
          <w:iCs/>
          <w:sz w:val="20"/>
          <w:szCs w:val="20"/>
        </w:rPr>
        <w:t xml:space="preserve"> al-Ma’r</w:t>
      </w:r>
      <w:r w:rsidRPr="0056354E">
        <w:rPr>
          <w:rFonts w:asciiTheme="majorBidi" w:hAnsiTheme="majorBidi" w:cstheme="majorBidi"/>
          <w:i/>
          <w:iCs/>
          <w:sz w:val="20"/>
          <w:szCs w:val="20"/>
        </w:rPr>
        <w:t>ū</w:t>
      </w:r>
      <w:r>
        <w:rPr>
          <w:rFonts w:asciiTheme="majorBidi" w:hAnsiTheme="majorBidi" w:cstheme="majorBidi"/>
          <w:i/>
          <w:iCs/>
          <w:sz w:val="20"/>
          <w:szCs w:val="20"/>
        </w:rPr>
        <w:t>f Bi Sunan</w:t>
      </w:r>
      <w:r w:rsidRPr="00482638">
        <w:rPr>
          <w:rFonts w:asciiTheme="majorBidi" w:hAnsiTheme="majorBidi" w:cstheme="majorBidi"/>
          <w:i/>
          <w:iCs/>
          <w:sz w:val="20"/>
          <w:szCs w:val="20"/>
        </w:rPr>
        <w:t xml:space="preserve"> al-D</w:t>
      </w:r>
      <w:r w:rsidRPr="00AC6C5F">
        <w:rPr>
          <w:rFonts w:asciiTheme="majorBidi" w:hAnsiTheme="majorBidi" w:cstheme="majorBidi"/>
          <w:i/>
          <w:iCs/>
          <w:sz w:val="20"/>
          <w:szCs w:val="20"/>
        </w:rPr>
        <w:t>ā</w:t>
      </w:r>
      <w:r w:rsidRPr="00482638">
        <w:rPr>
          <w:rFonts w:asciiTheme="majorBidi" w:hAnsiTheme="majorBidi" w:cstheme="majorBidi"/>
          <w:i/>
          <w:iCs/>
          <w:sz w:val="20"/>
          <w:szCs w:val="20"/>
        </w:rPr>
        <w:t>rim</w:t>
      </w:r>
      <w:r w:rsidRPr="00A52EB4">
        <w:rPr>
          <w:rFonts w:asciiTheme="majorBidi" w:hAnsiTheme="majorBidi" w:cstheme="majorBidi"/>
          <w:i/>
          <w:iCs/>
          <w:sz w:val="20"/>
          <w:szCs w:val="20"/>
        </w:rPr>
        <w:t>ī,</w:t>
      </w:r>
      <w:r w:rsidRPr="00482638">
        <w:rPr>
          <w:rFonts w:asciiTheme="majorBidi" w:hAnsiTheme="majorBidi" w:cstheme="majorBidi"/>
          <w:sz w:val="20"/>
          <w:szCs w:val="20"/>
        </w:rPr>
        <w:t xml:space="preserve"> ( t.t: Dar al-Mughni, t.t.h), jilid I, h. 259. Lihat juga Ala’ Al-Din ‘Ali bin Husam al-Din al-Hindi</w:t>
      </w:r>
      <w:r w:rsidRPr="00482638">
        <w:rPr>
          <w:rFonts w:asciiTheme="majorBidi" w:hAnsiTheme="majorBidi" w:cstheme="majorBidi"/>
          <w:i/>
          <w:iCs/>
          <w:sz w:val="20"/>
          <w:szCs w:val="20"/>
        </w:rPr>
        <w:t>, Kanz Al-‘Ummal Fi Sunan al-Aqw</w:t>
      </w:r>
      <w:r w:rsidRPr="00AC6C5F">
        <w:rPr>
          <w:rFonts w:asciiTheme="majorBidi" w:hAnsiTheme="majorBidi" w:cstheme="majorBidi"/>
          <w:i/>
          <w:iCs/>
          <w:sz w:val="20"/>
          <w:szCs w:val="20"/>
        </w:rPr>
        <w:t>ā</w:t>
      </w:r>
      <w:r w:rsidRPr="00482638">
        <w:rPr>
          <w:rFonts w:asciiTheme="majorBidi" w:hAnsiTheme="majorBidi" w:cstheme="majorBidi"/>
          <w:i/>
          <w:iCs/>
          <w:sz w:val="20"/>
          <w:szCs w:val="20"/>
        </w:rPr>
        <w:t>l wa Al-Af’</w:t>
      </w:r>
      <w:r w:rsidRPr="00AC6C5F">
        <w:rPr>
          <w:rFonts w:asciiTheme="majorBidi" w:hAnsiTheme="majorBidi" w:cstheme="majorBidi"/>
          <w:i/>
          <w:iCs/>
          <w:sz w:val="20"/>
          <w:szCs w:val="20"/>
        </w:rPr>
        <w:t>ā</w:t>
      </w:r>
      <w:r w:rsidRPr="00482638">
        <w:rPr>
          <w:rFonts w:asciiTheme="majorBidi" w:hAnsiTheme="majorBidi" w:cstheme="majorBidi"/>
          <w:i/>
          <w:iCs/>
          <w:sz w:val="20"/>
          <w:szCs w:val="20"/>
        </w:rPr>
        <w:t>l</w:t>
      </w:r>
      <w:r w:rsidRPr="00482638">
        <w:rPr>
          <w:rFonts w:asciiTheme="majorBidi" w:hAnsiTheme="majorBidi" w:cstheme="majorBidi"/>
          <w:sz w:val="20"/>
          <w:szCs w:val="20"/>
        </w:rPr>
        <w:t>, ( Bairut: Muassasah Al-Risalah, 1981), Jilid X, h. 184</w:t>
      </w:r>
    </w:p>
  </w:footnote>
  <w:footnote w:id="553">
    <w:p w:rsidR="00343B61" w:rsidRPr="0011362F" w:rsidRDefault="00343B61" w:rsidP="00343B61">
      <w:pPr>
        <w:pStyle w:val="FootnoteText"/>
        <w:ind w:firstLine="720"/>
        <w:jc w:val="both"/>
        <w:rPr>
          <w:rFonts w:asciiTheme="majorBidi" w:hAnsiTheme="majorBidi" w:cstheme="majorBidi"/>
        </w:rPr>
      </w:pPr>
      <w:r w:rsidRPr="0011362F">
        <w:rPr>
          <w:rStyle w:val="FootnoteReference"/>
          <w:rFonts w:asciiTheme="majorBidi" w:hAnsiTheme="majorBidi" w:cstheme="majorBidi"/>
        </w:rPr>
        <w:footnoteRef/>
      </w:r>
      <w:r w:rsidRPr="0011362F">
        <w:rPr>
          <w:rFonts w:asciiTheme="majorBidi" w:hAnsiTheme="majorBidi" w:cstheme="majorBidi"/>
        </w:rPr>
        <w:t xml:space="preserve"> Ma’ruf Amin, </w:t>
      </w:r>
      <w:r w:rsidRPr="0011362F">
        <w:rPr>
          <w:rFonts w:asciiTheme="majorBidi" w:hAnsiTheme="majorBidi" w:cstheme="majorBidi"/>
          <w:i/>
          <w:iCs/>
        </w:rPr>
        <w:t>Himpunan Fatwa Majelis Ulama Indonesia</w:t>
      </w:r>
      <w:r w:rsidRPr="0011362F">
        <w:rPr>
          <w:rFonts w:asciiTheme="majorBidi" w:hAnsiTheme="majorBidi" w:cstheme="majorBidi"/>
        </w:rPr>
        <w:t>,( Jakarta: Direktorat Jenderal Bimbingan Masyaratkat Islam dan Penyelenggaraan Haji Depertemen Agama RI, 2003), h. viii-ix</w:t>
      </w:r>
    </w:p>
  </w:footnote>
  <w:footnote w:id="554">
    <w:p w:rsidR="00343B61" w:rsidRPr="00304727" w:rsidRDefault="00343B61" w:rsidP="00343B61">
      <w:pPr>
        <w:autoSpaceDE w:val="0"/>
        <w:autoSpaceDN w:val="0"/>
        <w:adjustRightInd w:val="0"/>
        <w:spacing w:after="0"/>
        <w:ind w:firstLine="720"/>
        <w:jc w:val="both"/>
        <w:rPr>
          <w:rFonts w:ascii="Z@RE7F.tmp" w:hAnsi="Z@RE7F.tmp" w:cs="Z@RE7F.tmp"/>
          <w:sz w:val="20"/>
          <w:szCs w:val="20"/>
        </w:rPr>
      </w:pPr>
      <w:r w:rsidRPr="0011362F">
        <w:rPr>
          <w:rStyle w:val="FootnoteReference"/>
          <w:rFonts w:asciiTheme="majorBidi" w:hAnsiTheme="majorBidi" w:cstheme="majorBidi"/>
          <w:sz w:val="20"/>
          <w:szCs w:val="20"/>
        </w:rPr>
        <w:footnoteRef/>
      </w:r>
      <w:r w:rsidRPr="0011362F">
        <w:rPr>
          <w:rFonts w:asciiTheme="majorBidi" w:hAnsiTheme="majorBidi" w:cstheme="majorBidi"/>
          <w:sz w:val="20"/>
          <w:szCs w:val="20"/>
        </w:rPr>
        <w:t xml:space="preserve"> Ibn Qayyim </w:t>
      </w:r>
      <w:r w:rsidRPr="00CB0722">
        <w:rPr>
          <w:rFonts w:asciiTheme="majorBidi" w:hAnsiTheme="majorBidi" w:cstheme="majorBidi"/>
          <w:sz w:val="20"/>
          <w:szCs w:val="20"/>
        </w:rPr>
        <w:t>al-Jauziyyah, ‘</w:t>
      </w:r>
      <w:r w:rsidRPr="00CB0722">
        <w:rPr>
          <w:rFonts w:asciiTheme="majorBidi" w:hAnsiTheme="majorBidi" w:cstheme="majorBidi"/>
          <w:i/>
          <w:iCs/>
          <w:sz w:val="20"/>
          <w:szCs w:val="20"/>
        </w:rPr>
        <w:t>Il</w:t>
      </w:r>
      <w:r w:rsidRPr="00AC6C5F">
        <w:rPr>
          <w:rFonts w:asciiTheme="majorBidi" w:hAnsiTheme="majorBidi" w:cstheme="majorBidi"/>
          <w:i/>
          <w:iCs/>
          <w:sz w:val="20"/>
          <w:szCs w:val="20"/>
        </w:rPr>
        <w:t>ā</w:t>
      </w:r>
      <w:r w:rsidRPr="00CB0722">
        <w:rPr>
          <w:rFonts w:asciiTheme="majorBidi" w:hAnsiTheme="majorBidi" w:cstheme="majorBidi"/>
          <w:i/>
          <w:iCs/>
          <w:sz w:val="20"/>
          <w:szCs w:val="20"/>
        </w:rPr>
        <w:t>m al-Muwaqq</w:t>
      </w:r>
      <w:r w:rsidRPr="00601A46">
        <w:rPr>
          <w:rFonts w:asciiTheme="majorBidi" w:hAnsiTheme="majorBidi" w:cstheme="majorBidi"/>
          <w:i/>
          <w:iCs/>
          <w:sz w:val="20"/>
          <w:szCs w:val="20"/>
        </w:rPr>
        <w:t>ī</w:t>
      </w:r>
      <w:r w:rsidRPr="00CB0722">
        <w:rPr>
          <w:rFonts w:asciiTheme="majorBidi" w:hAnsiTheme="majorBidi" w:cstheme="majorBidi"/>
          <w:i/>
          <w:iCs/>
          <w:sz w:val="20"/>
          <w:szCs w:val="20"/>
        </w:rPr>
        <w:t>n ‘an Rabb al-‘Alam</w:t>
      </w:r>
      <w:r w:rsidRPr="00601A46">
        <w:rPr>
          <w:rFonts w:asciiTheme="majorBidi" w:hAnsiTheme="majorBidi" w:cstheme="majorBidi"/>
          <w:i/>
          <w:iCs/>
          <w:sz w:val="20"/>
          <w:szCs w:val="20"/>
        </w:rPr>
        <w:t>ī</w:t>
      </w:r>
      <w:r w:rsidRPr="00CB0722">
        <w:rPr>
          <w:rFonts w:asciiTheme="majorBidi" w:hAnsiTheme="majorBidi" w:cstheme="majorBidi"/>
          <w:i/>
          <w:iCs/>
          <w:sz w:val="20"/>
          <w:szCs w:val="20"/>
        </w:rPr>
        <w:t>n</w:t>
      </w:r>
      <w:r w:rsidRPr="0011362F">
        <w:rPr>
          <w:rFonts w:asciiTheme="majorBidi" w:hAnsiTheme="majorBidi" w:cstheme="majorBidi"/>
          <w:sz w:val="20"/>
          <w:szCs w:val="20"/>
        </w:rPr>
        <w:t>, (Beirut: Dar al- Fikr, 2003), Jilid 1, h. 35</w:t>
      </w:r>
    </w:p>
  </w:footnote>
  <w:footnote w:id="555">
    <w:p w:rsidR="00343B61" w:rsidRPr="00482638" w:rsidRDefault="00343B61" w:rsidP="00343B61">
      <w:pPr>
        <w:pStyle w:val="FootnoteText"/>
        <w:ind w:firstLine="720"/>
        <w:jc w:val="both"/>
        <w:rPr>
          <w:rFonts w:asciiTheme="majorBidi" w:hAnsiTheme="majorBidi" w:cstheme="majorBidi"/>
        </w:rPr>
      </w:pPr>
      <w:r w:rsidRPr="00482638">
        <w:rPr>
          <w:rStyle w:val="FootnoteReference"/>
          <w:rFonts w:asciiTheme="majorBidi" w:hAnsiTheme="majorBidi" w:cstheme="majorBidi"/>
        </w:rPr>
        <w:footnoteRef/>
      </w:r>
      <w:r w:rsidRPr="00482638">
        <w:rPr>
          <w:rFonts w:asciiTheme="majorBidi" w:hAnsiTheme="majorBidi" w:cstheme="majorBidi"/>
        </w:rPr>
        <w:t xml:space="preserve"> </w:t>
      </w:r>
      <w:r w:rsidRPr="00E011AA">
        <w:rPr>
          <w:rFonts w:asciiTheme="majorBidi" w:hAnsiTheme="majorBidi" w:cstheme="majorBidi"/>
          <w:i/>
          <w:iCs/>
        </w:rPr>
        <w:t>Wawasan Majelis Ulama Indonesia</w:t>
      </w:r>
      <w:r w:rsidRPr="00482638">
        <w:rPr>
          <w:rFonts w:asciiTheme="majorBidi" w:hAnsiTheme="majorBidi" w:cstheme="majorBidi"/>
        </w:rPr>
        <w:t>, hasil Munas VII MUI 2005, (Jakarta: Sekretariat MUI, 2005).</w:t>
      </w:r>
    </w:p>
  </w:footnote>
  <w:footnote w:id="556">
    <w:p w:rsidR="00343B61" w:rsidRPr="00482638" w:rsidRDefault="00343B61" w:rsidP="00343B61">
      <w:pPr>
        <w:autoSpaceDE w:val="0"/>
        <w:autoSpaceDN w:val="0"/>
        <w:adjustRightInd w:val="0"/>
        <w:spacing w:after="0"/>
        <w:ind w:firstLine="720"/>
        <w:jc w:val="both"/>
        <w:rPr>
          <w:rFonts w:asciiTheme="majorBidi" w:hAnsiTheme="majorBidi" w:cstheme="majorBidi"/>
          <w:sz w:val="20"/>
          <w:szCs w:val="20"/>
        </w:rPr>
      </w:pPr>
      <w:r w:rsidRPr="00482638">
        <w:rPr>
          <w:rStyle w:val="FootnoteReference"/>
          <w:rFonts w:asciiTheme="majorBidi" w:hAnsiTheme="majorBidi" w:cstheme="majorBidi"/>
          <w:sz w:val="20"/>
          <w:szCs w:val="20"/>
        </w:rPr>
        <w:footnoteRef/>
      </w:r>
      <w:r w:rsidRPr="00482638">
        <w:rPr>
          <w:rFonts w:asciiTheme="majorBidi" w:hAnsiTheme="majorBidi" w:cstheme="majorBidi"/>
          <w:sz w:val="20"/>
          <w:szCs w:val="20"/>
        </w:rPr>
        <w:t xml:space="preserve"> Dalam hal ini, Ulama telah membuat batas perbedaan antara fatwa (pendapat hukum, legal opinion) dan qadla' (putusan hukum), baik dari aspek hakekat maupun dari tinjauan implikasi yang dihasilkan dari keduanya. Secara garis besar perbedaan antara fatwa dan qadla' antara lain Nampak pada;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(i) ketetapan hakim (qadla') bersifat mengikat bagi seseorang untuk patuh menjalankan ketentuan yang telah diputuskan sesuai dengan syariat Islam. Sedangkan fatwa lebih bersifat informative (ikhbar) tentang ketentuan Allah yang menuntut bagi orang Islam untuk melaksanakan atau hanya sekedar kebolehan;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(ii) ketetapan hakim (qadla') mengharuskan adanya lafadz yang terucap secara jelas, sedangkan fatwa bisa dalam bentuk perkataan, perbuatan, isyarat dan tulisan;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(iii) ketetapan hukum (qadla') wajib diterima dan dilaksanakan oleh terhukum, baik ketetapan hukim tersebut salah ataupun benar. Sedangkan fatwa berbeda dengan qadla', pemohon fatwa tidak mempunyai kewajiban untuk menerima apalagi melaksanakan fatwa tersebut;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(iv) fatwa mempunyai implikasi yang luas dibanding dengan ketetapan yang diputuskan oleh hakim. Jika fatwa itu tidak sekedar menjangkau pribadi pemohon fatwa tetapi mencakup orang banyak, maka ketetapan hakim lebih khusus dan personal, hanya diperuntukkan bagi tersangka atau pihak terhukum;</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 (v) obyek permasalahan yang menjadi wilayah garapan qadla' hanya pada aspek-aspek muamalah, sedangkan kewenangan produk fatwa menjangkau aspek ibadah, akhlaq, adab dan sekaligus masuk pada wilayah muamalah;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(vi) ketetapan hakim hanya pada masalah hukum wajib, mubah, dan haram, tidak menjangkau pada masalah hukum makruh dan sunnah. Sedangkan kewenangan fatwa dapat menjangkau pada semua masalah hukum dan lain-lainya;</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 (vii) disyaratkan bagi seorang hakim itu sosok pribadi yang merdeka, berjenis kelamin laki-laki, mampu mendengar dan tidak boleh bagi hakim menetapkan hukum untuk kerabatnya. Sedang, seorang </w:t>
      </w:r>
      <w:r w:rsidRPr="000A7ADD">
        <w:rPr>
          <w:rFonts w:ascii="Z@R72D6.tmp,Italic" w:hAnsi="Z@R72D6.tmp,Italic" w:cs="Z@R72D6.tmp,Italic"/>
          <w:i/>
          <w:iCs/>
          <w:sz w:val="20"/>
          <w:szCs w:val="20"/>
        </w:rPr>
        <w:t xml:space="preserve">mufti </w:t>
      </w:r>
      <w:r w:rsidRPr="000A7ADD">
        <w:rPr>
          <w:rFonts w:ascii="Z@R72D2.tmp" w:hAnsi="Z@R72D2.tmp" w:cs="Z@R72D2.tmp"/>
          <w:sz w:val="20"/>
          <w:szCs w:val="20"/>
        </w:rPr>
        <w:t xml:space="preserve">tidak terikat dengan gender dan status dirinya, apakah ia seorang budak, tidak mendengar atau tidak melihat, tetap mempunyai hak untuk mengeluarkan fatwa. Bahkan seorang </w:t>
      </w:r>
      <w:r w:rsidRPr="000A7ADD">
        <w:rPr>
          <w:rFonts w:ascii="Z@R72D6.tmp,Italic" w:hAnsi="Z@R72D6.tmp,Italic" w:cs="Z@R72D6.tmp,Italic"/>
          <w:i/>
          <w:iCs/>
          <w:sz w:val="20"/>
          <w:szCs w:val="20"/>
        </w:rPr>
        <w:t xml:space="preserve">mufti </w:t>
      </w:r>
      <w:r w:rsidRPr="000A7ADD">
        <w:rPr>
          <w:rFonts w:ascii="Z@R72D2.tmp" w:hAnsi="Z@R72D2.tmp" w:cs="Z@R72D2.tmp"/>
          <w:sz w:val="20"/>
          <w:szCs w:val="20"/>
        </w:rPr>
        <w:t xml:space="preserve">dibolehkan mengeluarkan fatwa bagi kerabatnya; </w:t>
      </w:r>
    </w:p>
    <w:p w:rsidR="00343B61" w:rsidRPr="000A7ADD" w:rsidRDefault="00343B61" w:rsidP="00343B61">
      <w:pPr>
        <w:autoSpaceDE w:val="0"/>
        <w:autoSpaceDN w:val="0"/>
        <w:adjustRightInd w:val="0"/>
        <w:spacing w:after="0"/>
        <w:ind w:firstLine="720"/>
        <w:jc w:val="both"/>
        <w:rPr>
          <w:rFonts w:ascii="Z@R72D2.tmp" w:hAnsi="Z@R72D2.tmp" w:cs="Z@R72D2.tmp"/>
          <w:sz w:val="20"/>
          <w:szCs w:val="20"/>
        </w:rPr>
      </w:pPr>
      <w:r w:rsidRPr="000A7ADD">
        <w:rPr>
          <w:rFonts w:ascii="Z@R72D2.tmp" w:hAnsi="Z@R72D2.tmp" w:cs="Z@R72D2.tmp"/>
          <w:sz w:val="20"/>
          <w:szCs w:val="20"/>
        </w:rPr>
        <w:t xml:space="preserve">(viii) fatwa secara definitif merupakan ketentuan hukum syar’i yang diinformasikan oleh seorang </w:t>
      </w:r>
      <w:r w:rsidRPr="000A7ADD">
        <w:rPr>
          <w:rFonts w:ascii="Z@R72D6.tmp,Italic" w:hAnsi="Z@R72D6.tmp,Italic" w:cs="Z@R72D6.tmp,Italic"/>
          <w:i/>
          <w:iCs/>
          <w:sz w:val="20"/>
          <w:szCs w:val="20"/>
        </w:rPr>
        <w:t>mufti</w:t>
      </w:r>
      <w:r w:rsidRPr="000A7ADD">
        <w:rPr>
          <w:rFonts w:ascii="Z@R72D2.tmp" w:hAnsi="Z@R72D2.tmp" w:cs="Z@R72D2.tmp"/>
          <w:sz w:val="20"/>
          <w:szCs w:val="20"/>
        </w:rPr>
        <w:t xml:space="preserve">, sedangkan </w:t>
      </w:r>
      <w:r w:rsidRPr="000A7ADD">
        <w:rPr>
          <w:rFonts w:ascii="Z@R72D6.tmp,Italic" w:hAnsi="Z@R72D6.tmp,Italic" w:cs="Z@R72D6.tmp,Italic"/>
          <w:i/>
          <w:iCs/>
          <w:sz w:val="20"/>
          <w:szCs w:val="20"/>
        </w:rPr>
        <w:t xml:space="preserve">qadla' </w:t>
      </w:r>
      <w:r w:rsidRPr="000A7ADD">
        <w:rPr>
          <w:rFonts w:ascii="Z@R72D2.tmp" w:hAnsi="Z@R72D2.tmp" w:cs="Z@R72D2.tmp"/>
          <w:sz w:val="20"/>
          <w:szCs w:val="20"/>
        </w:rPr>
        <w:t xml:space="preserve">lebih bersifat penegasan yang memisahkan antara manusia dengan hukum syar’i; </w:t>
      </w:r>
    </w:p>
    <w:p w:rsidR="00343B61" w:rsidRPr="000A7ADD" w:rsidRDefault="00343B61" w:rsidP="00343B61">
      <w:pPr>
        <w:autoSpaceDE w:val="0"/>
        <w:autoSpaceDN w:val="0"/>
        <w:adjustRightInd w:val="0"/>
        <w:spacing w:after="0"/>
        <w:ind w:firstLine="720"/>
        <w:jc w:val="both"/>
        <w:rPr>
          <w:rFonts w:ascii="Z@R72D2.tmp" w:hAnsi="Z@R72D2.tmp" w:cs="Z@R72D2.tmp"/>
          <w:sz w:val="24"/>
          <w:szCs w:val="24"/>
        </w:rPr>
      </w:pPr>
      <w:r w:rsidRPr="000A7ADD">
        <w:rPr>
          <w:rFonts w:ascii="Z@R72D2.tmp" w:hAnsi="Z@R72D2.tmp" w:cs="Z@R72D2.tmp"/>
          <w:sz w:val="20"/>
          <w:szCs w:val="20"/>
        </w:rPr>
        <w:t xml:space="preserve">(ix) pada model fatwa mewajibkan bagi pemohon untuk mengikuti mazhab yang dianut oleh sang </w:t>
      </w:r>
      <w:r w:rsidRPr="000A7ADD">
        <w:rPr>
          <w:rFonts w:ascii="Z@R72D6.tmp,Italic" w:hAnsi="Z@R72D6.tmp,Italic" w:cs="Z@R72D6.tmp,Italic"/>
          <w:i/>
          <w:iCs/>
          <w:sz w:val="20"/>
          <w:szCs w:val="20"/>
        </w:rPr>
        <w:t>mufti</w:t>
      </w:r>
      <w:r w:rsidRPr="000A7ADD">
        <w:rPr>
          <w:rFonts w:ascii="Z@R72D2.tmp" w:hAnsi="Z@R72D2.tmp" w:cs="Z@R72D2.tmp"/>
          <w:sz w:val="20"/>
          <w:szCs w:val="20"/>
        </w:rPr>
        <w:t xml:space="preserve">, sedangkan </w:t>
      </w:r>
      <w:r w:rsidRPr="000A7ADD">
        <w:rPr>
          <w:rFonts w:ascii="Z@R72D6.tmp,Italic" w:hAnsi="Z@R72D6.tmp,Italic" w:cs="Z@R72D6.tmp,Italic"/>
          <w:i/>
          <w:iCs/>
          <w:sz w:val="20"/>
          <w:szCs w:val="20"/>
        </w:rPr>
        <w:t xml:space="preserve">qadla' </w:t>
      </w:r>
      <w:r w:rsidRPr="000A7ADD">
        <w:rPr>
          <w:rFonts w:ascii="Z@R72D2.tmp" w:hAnsi="Z@R72D2.tmp" w:cs="Z@R72D2.tmp"/>
          <w:sz w:val="20"/>
          <w:szCs w:val="20"/>
        </w:rPr>
        <w:t>memungkinkan untuk mengacu kepada seluruh mazhab yang ada.</w:t>
      </w:r>
      <w:r w:rsidRPr="000A7ADD">
        <w:rPr>
          <w:rStyle w:val="FootnoteReference"/>
          <w:rFonts w:ascii="Z@R72D2.tmp" w:hAnsi="Z@R72D2.tmp" w:cs="Z@R72D2.tmp"/>
          <w:sz w:val="20"/>
          <w:szCs w:val="20"/>
        </w:rPr>
        <w:footnoteRef/>
      </w:r>
      <w:r w:rsidRPr="000A7ADD">
        <w:rPr>
          <w:rFonts w:ascii="Z@R72D2.tmp" w:hAnsi="Z@R72D2.tmp" w:cs="Z@R72D2.tmp"/>
          <w:sz w:val="20"/>
          <w:szCs w:val="20"/>
        </w:rPr>
        <w:t xml:space="preserve"> Lihat Ma'ruf Amin, </w:t>
      </w:r>
      <w:r w:rsidRPr="000A7ADD">
        <w:rPr>
          <w:rFonts w:ascii="Z@R72D6.tmp,Italic" w:hAnsi="Z@R72D6.tmp,Italic" w:cs="Z@R72D6.tmp,Italic"/>
          <w:i/>
          <w:iCs/>
          <w:sz w:val="20"/>
          <w:szCs w:val="20"/>
        </w:rPr>
        <w:t>Kedudukan Fatwa dalam</w:t>
      </w:r>
      <w:r w:rsidRPr="000A7ADD">
        <w:rPr>
          <w:rFonts w:ascii="Z@R72D2.tmp" w:hAnsi="Z@R72D2.tmp" w:cs="Z@R72D2.tmp"/>
          <w:sz w:val="20"/>
          <w:szCs w:val="20"/>
        </w:rPr>
        <w:t xml:space="preserve"> </w:t>
      </w:r>
      <w:r w:rsidRPr="000A7ADD">
        <w:rPr>
          <w:rFonts w:ascii="Z@R72D6.tmp,Italic" w:hAnsi="Z@R72D6.tmp,Italic" w:cs="Z@R72D6.tmp,Italic"/>
          <w:i/>
          <w:iCs/>
          <w:sz w:val="20"/>
          <w:szCs w:val="20"/>
        </w:rPr>
        <w:t xml:space="preserve">Hukum Islam, </w:t>
      </w:r>
      <w:r w:rsidRPr="000A7ADD">
        <w:rPr>
          <w:rFonts w:ascii="Z@R72D2.tmp" w:hAnsi="Z@R72D2.tmp" w:cs="Z@R72D2.tmp"/>
          <w:sz w:val="20"/>
          <w:szCs w:val="20"/>
        </w:rPr>
        <w:t xml:space="preserve">makalah, tidak diterbitkan, sebagaimana dikutip oleh  </w:t>
      </w:r>
      <w:r w:rsidRPr="000A7ADD">
        <w:rPr>
          <w:rFonts w:asciiTheme="majorBidi" w:hAnsiTheme="majorBidi" w:cstheme="majorBidi"/>
          <w:sz w:val="20"/>
          <w:szCs w:val="20"/>
        </w:rPr>
        <w:t xml:space="preserve">Asrorun Ni’am Sholeh, </w:t>
      </w:r>
      <w:r w:rsidRPr="000A7ADD">
        <w:rPr>
          <w:rFonts w:asciiTheme="majorBidi" w:hAnsiTheme="majorBidi" w:cstheme="majorBidi"/>
          <w:i/>
          <w:iCs/>
          <w:sz w:val="20"/>
          <w:szCs w:val="20"/>
        </w:rPr>
        <w:t>Sadd add-Dzari’ah dan Aplikasinya dalam Fatwa Majelis Ulama Indonesia,</w:t>
      </w:r>
      <w:r w:rsidRPr="000A7ADD">
        <w:rPr>
          <w:rFonts w:asciiTheme="majorBidi" w:hAnsiTheme="majorBidi" w:cstheme="majorBidi"/>
          <w:sz w:val="20"/>
          <w:szCs w:val="20"/>
        </w:rPr>
        <w:t xml:space="preserve"> </w:t>
      </w:r>
      <w:r w:rsidRPr="000A7ADD">
        <w:rPr>
          <w:rFonts w:asciiTheme="majorBidi" w:hAnsiTheme="majorBidi" w:cstheme="majorBidi"/>
          <w:i/>
          <w:iCs/>
          <w:sz w:val="20"/>
          <w:szCs w:val="20"/>
        </w:rPr>
        <w:t>ibid</w:t>
      </w:r>
      <w:r w:rsidRPr="000A7ADD">
        <w:rPr>
          <w:rFonts w:asciiTheme="majorBidi" w:hAnsiTheme="majorBidi" w:cstheme="majorBidi"/>
          <w:sz w:val="20"/>
          <w:szCs w:val="20"/>
        </w:rPr>
        <w:t>, h.84-85</w:t>
      </w:r>
    </w:p>
  </w:footnote>
  <w:footnote w:id="557">
    <w:p w:rsidR="00343B61" w:rsidRPr="00891B53" w:rsidRDefault="00343B61" w:rsidP="00343B61">
      <w:pPr>
        <w:autoSpaceDE w:val="0"/>
        <w:autoSpaceDN w:val="0"/>
        <w:adjustRightInd w:val="0"/>
        <w:spacing w:after="0" w:line="240" w:lineRule="auto"/>
        <w:ind w:firstLine="720"/>
        <w:jc w:val="both"/>
        <w:rPr>
          <w:rFonts w:ascii="Z@R72D2.tmp" w:hAnsi="Z@R72D2.tmp" w:cs="Z@R72D2.tmp"/>
          <w:sz w:val="19"/>
          <w:szCs w:val="19"/>
        </w:rPr>
      </w:pPr>
      <w:r>
        <w:rPr>
          <w:rStyle w:val="FootnoteReference"/>
        </w:rPr>
        <w:footnoteRef/>
      </w:r>
      <w:r>
        <w:t xml:space="preserve"> </w:t>
      </w:r>
      <w:r>
        <w:rPr>
          <w:rFonts w:ascii="Z@R72D2.tmp" w:hAnsi="Z@R72D2.tmp" w:cs="Z@R72D2.tmp"/>
          <w:sz w:val="19"/>
          <w:szCs w:val="19"/>
        </w:rPr>
        <w:t xml:space="preserve">Mengenai hal ini, dapat dilihat hasil </w:t>
      </w:r>
      <w:r>
        <w:rPr>
          <w:rFonts w:ascii="Z@R72D6.tmp,Italic" w:hAnsi="Z@R72D6.tmp,Italic" w:cs="Z@R72D6.tmp,Italic"/>
          <w:i/>
          <w:iCs/>
          <w:sz w:val="19"/>
          <w:szCs w:val="19"/>
        </w:rPr>
        <w:t xml:space="preserve">survey </w:t>
      </w:r>
      <w:r>
        <w:rPr>
          <w:rFonts w:ascii="Z@R72D2.tmp" w:hAnsi="Z@R72D2.tmp" w:cs="Z@R72D2.tmp"/>
          <w:sz w:val="19"/>
          <w:szCs w:val="19"/>
        </w:rPr>
        <w:t xml:space="preserve">Litbang Media Indonesia terkait dengan tingkat penerimaan dan keterpengaruhan masyarakat, yang dipublkasikan pada 19 Desember 2003; Hasil </w:t>
      </w:r>
      <w:r>
        <w:rPr>
          <w:rFonts w:ascii="Z@R72D6.tmp,Italic" w:hAnsi="Z@R72D6.tmp,Italic" w:cs="Z@R72D6.tmp,Italic"/>
          <w:i/>
          <w:iCs/>
          <w:sz w:val="19"/>
          <w:szCs w:val="19"/>
        </w:rPr>
        <w:t xml:space="preserve">survey </w:t>
      </w:r>
      <w:r>
        <w:rPr>
          <w:rFonts w:ascii="Z@R72D2.tmp" w:hAnsi="Z@R72D2.tmp" w:cs="Z@R72D2.tmp"/>
          <w:sz w:val="19"/>
          <w:szCs w:val="19"/>
        </w:rPr>
        <w:t>tersebut menjelaskan bahwa sebanyak 54,58 % responden merasa mantap untuk mengikuti fatwa MUI.</w:t>
      </w:r>
    </w:p>
  </w:footnote>
  <w:footnote w:id="558">
    <w:p w:rsidR="00343B61" w:rsidRPr="00891B53" w:rsidRDefault="00343B61" w:rsidP="00343B61">
      <w:pPr>
        <w:autoSpaceDE w:val="0"/>
        <w:autoSpaceDN w:val="0"/>
        <w:adjustRightInd w:val="0"/>
        <w:spacing w:after="0" w:line="240" w:lineRule="auto"/>
        <w:ind w:firstLine="720"/>
        <w:jc w:val="both"/>
        <w:rPr>
          <w:rFonts w:ascii="Z@R72D2.tmp" w:hAnsi="Z@R72D2.tmp" w:cs="Z@R72D2.tmp"/>
          <w:sz w:val="19"/>
          <w:szCs w:val="19"/>
        </w:rPr>
      </w:pPr>
      <w:r>
        <w:rPr>
          <w:rStyle w:val="FootnoteReference"/>
        </w:rPr>
        <w:footnoteRef/>
      </w:r>
      <w:r>
        <w:t xml:space="preserve"> </w:t>
      </w:r>
      <w:r>
        <w:rPr>
          <w:rFonts w:ascii="Z@R72D2.tmp" w:hAnsi="Z@R72D2.tmp" w:cs="Z@R72D2.tmp"/>
          <w:sz w:val="19"/>
          <w:szCs w:val="19"/>
        </w:rPr>
        <w:t xml:space="preserve">Penelitian Wahiduddin Adams membuktikan bahwa fatwa Majelis Ulama Indonesia telah terserap, baik sebagaian maupun seluruhnya, ke dalam peraturan perundang-undangan. Dia mencatat sebanyak 12 fatwa dalam rentang waktu 1975-1997 telah diserap dalam bentuk Undang-Undang (UU), Peraturan Pemerintah (PP), Keputusan Menteri (Kepmen), maupun Keputusan Dirjen. Lih. Wahiduddin Adams, </w:t>
      </w:r>
      <w:r>
        <w:rPr>
          <w:rFonts w:ascii="Z@R72D6.tmp,Italic" w:hAnsi="Z@R72D6.tmp,Italic" w:cs="Z@R72D6.tmp,Italic"/>
          <w:i/>
          <w:iCs/>
          <w:sz w:val="19"/>
          <w:szCs w:val="19"/>
        </w:rPr>
        <w:t xml:space="preserve">Pola Penyerapan Fatwa Majelis Ulama Indonesia dalam Peraturan Perundang- Undangan 1975-1997, </w:t>
      </w:r>
      <w:r>
        <w:rPr>
          <w:rFonts w:ascii="Z@R72D2.tmp" w:hAnsi="Z@R72D2.tmp" w:cs="Z@R72D2.tmp"/>
          <w:sz w:val="19"/>
          <w:szCs w:val="19"/>
        </w:rPr>
        <w:t>(Jakarta: Program Pascasarjana UIN Jakarta, 2002), Disertasi.</w:t>
      </w:r>
    </w:p>
  </w:footnote>
  <w:footnote w:id="559">
    <w:p w:rsidR="00343B61" w:rsidRDefault="00343B61" w:rsidP="00343B61">
      <w:pPr>
        <w:pStyle w:val="FootnoteText"/>
        <w:ind w:firstLine="720"/>
        <w:jc w:val="both"/>
      </w:pPr>
      <w:r>
        <w:rPr>
          <w:rStyle w:val="FootnoteReference"/>
        </w:rPr>
        <w:footnoteRef/>
      </w:r>
      <w:r>
        <w:t xml:space="preserve"> </w:t>
      </w:r>
      <w:r w:rsidRPr="00AE0DB4">
        <w:rPr>
          <w:rFonts w:asciiTheme="majorBidi" w:hAnsiTheme="majorBidi" w:cstheme="majorBidi"/>
        </w:rPr>
        <w:t xml:space="preserve">Asrorun Ni’am Sholeh, </w:t>
      </w:r>
      <w:r w:rsidRPr="00AE0DB4">
        <w:rPr>
          <w:rFonts w:asciiTheme="majorBidi" w:hAnsiTheme="majorBidi" w:cstheme="majorBidi"/>
          <w:i/>
          <w:iCs/>
        </w:rPr>
        <w:t>Sadd add-Dzari’ah dan Aplikasinya dalam Fatwa Majelis Ulama Indonesia,</w:t>
      </w:r>
      <w:r w:rsidRPr="00AE0DB4">
        <w:rPr>
          <w:rFonts w:asciiTheme="majorBidi" w:hAnsiTheme="majorBidi" w:cstheme="majorBidi"/>
        </w:rPr>
        <w:t xml:space="preserve"> </w:t>
      </w:r>
      <w:r w:rsidRPr="00AE0DB4">
        <w:rPr>
          <w:rFonts w:asciiTheme="majorBidi" w:hAnsiTheme="majorBidi" w:cstheme="majorBidi"/>
          <w:i/>
          <w:iCs/>
        </w:rPr>
        <w:t>ibid</w:t>
      </w:r>
      <w:r>
        <w:rPr>
          <w:rFonts w:asciiTheme="majorBidi" w:hAnsiTheme="majorBidi" w:cstheme="majorBidi"/>
        </w:rPr>
        <w:t>, h.85-86</w:t>
      </w:r>
    </w:p>
  </w:footnote>
  <w:footnote w:id="560">
    <w:p w:rsidR="00343B61" w:rsidRPr="00482638" w:rsidRDefault="00343B61" w:rsidP="00343B61">
      <w:pPr>
        <w:autoSpaceDE w:val="0"/>
        <w:autoSpaceDN w:val="0"/>
        <w:adjustRightInd w:val="0"/>
        <w:spacing w:after="0" w:line="240" w:lineRule="auto"/>
        <w:ind w:firstLine="720"/>
        <w:jc w:val="both"/>
        <w:rPr>
          <w:rFonts w:ascii="Z@R72D2.tmp" w:hAnsi="Z@R72D2.tmp" w:cs="Z@R72D2.tmp"/>
          <w:sz w:val="19"/>
          <w:szCs w:val="19"/>
        </w:rPr>
      </w:pPr>
      <w:r>
        <w:rPr>
          <w:rStyle w:val="FootnoteReference"/>
        </w:rPr>
        <w:footnoteRef/>
      </w:r>
      <w:r>
        <w:t xml:space="preserve"> </w:t>
      </w:r>
      <w:r>
        <w:rPr>
          <w:rFonts w:ascii="Z@R72D2.tmp" w:hAnsi="Z@R72D2.tmp" w:cs="Z@R72D2.tmp"/>
          <w:sz w:val="19"/>
          <w:szCs w:val="19"/>
        </w:rPr>
        <w:t>Hal ini dapat dilihat dari komposisi pengurus Komisi Fatwa dan lembaga lain di MUI yang punya keterkaitan dengan fatwa. Di Komisi Fatwa, terdapat sembilan pimpinan komisi dan tiga puluh anggota, dengan latar belakang yang beragam; Ulama, akademisi, ahli hukum Departemen Hukum dan Ham, Departemen Agama, Mahkamah Agung, pesantren, perguruan tinggi, dan ormas-ormas Islam. Sementara di LP-POM juga sangat beragam, ahli fikih, ahli bioteknologi, mikrobiologi, dan ahli pangan. Demikian juga DSN-MUI, yang terdiri dari ahli fikih, ahli ekonomi, ahli hukum ekonomi, konsultan, dan praktisi perbankan dan keuangan non-bank. Selengkapnya dapat dilhat dalam struktur kepengurusan MUI Hasil Munas 2015 periode 2015 -2020.</w:t>
      </w:r>
    </w:p>
  </w:footnote>
  <w:footnote w:id="561">
    <w:p w:rsidR="00343B61" w:rsidRPr="00F03061" w:rsidRDefault="00343B61" w:rsidP="00343B61">
      <w:pPr>
        <w:pStyle w:val="FootnoteText"/>
        <w:ind w:firstLine="720"/>
        <w:jc w:val="both"/>
        <w:rPr>
          <w:rFonts w:asciiTheme="majorBidi" w:hAnsiTheme="majorBidi" w:cstheme="majorBidi"/>
        </w:rPr>
      </w:pPr>
      <w:r w:rsidRPr="00F03061">
        <w:rPr>
          <w:rStyle w:val="FootnoteReference"/>
          <w:rFonts w:asciiTheme="majorBidi" w:hAnsiTheme="majorBidi" w:cstheme="majorBidi"/>
        </w:rPr>
        <w:footnoteRef/>
      </w:r>
      <w:r w:rsidRPr="00F03061">
        <w:rPr>
          <w:rFonts w:asciiTheme="majorBidi" w:hAnsiTheme="majorBidi" w:cstheme="majorBidi"/>
        </w:rPr>
        <w:t xml:space="preserve"> Zafrullah Salim</w:t>
      </w:r>
      <w:r w:rsidRPr="00F03061">
        <w:rPr>
          <w:rFonts w:asciiTheme="majorBidi" w:hAnsiTheme="majorBidi" w:cstheme="majorBidi"/>
          <w:i/>
          <w:iCs/>
        </w:rPr>
        <w:t>, Kedudukan Fatwa Dalam Negara Hukum Republik Indonesia</w:t>
      </w:r>
      <w:r>
        <w:rPr>
          <w:rFonts w:asciiTheme="majorBidi" w:hAnsiTheme="majorBidi" w:cstheme="majorBidi"/>
        </w:rPr>
        <w:t>, dalam</w:t>
      </w:r>
      <w:r w:rsidRPr="00F03061">
        <w:rPr>
          <w:rFonts w:asciiTheme="majorBidi" w:hAnsiTheme="majorBidi" w:cstheme="majorBidi"/>
        </w:rPr>
        <w:t>: Jurnal Fatwa, Volume 1 No 1 Tahun 2011, h. 9</w:t>
      </w:r>
    </w:p>
  </w:footnote>
  <w:footnote w:id="562">
    <w:p w:rsidR="00343B61" w:rsidRDefault="00343B61" w:rsidP="00343B61">
      <w:pPr>
        <w:pStyle w:val="FootnoteText"/>
        <w:ind w:firstLine="720"/>
        <w:jc w:val="both"/>
      </w:pPr>
      <w:r>
        <w:rPr>
          <w:rStyle w:val="FootnoteReference"/>
        </w:rPr>
        <w:footnoteRef/>
      </w:r>
      <w:r>
        <w:t xml:space="preserve"> </w:t>
      </w:r>
      <w:r w:rsidRPr="00AE0DB4">
        <w:rPr>
          <w:rFonts w:asciiTheme="majorBidi" w:hAnsiTheme="majorBidi" w:cstheme="majorBidi"/>
        </w:rPr>
        <w:t xml:space="preserve">Asrorun Ni’am Sholeh, </w:t>
      </w:r>
      <w:r w:rsidRPr="00AE0DB4">
        <w:rPr>
          <w:rFonts w:asciiTheme="majorBidi" w:hAnsiTheme="majorBidi" w:cstheme="majorBidi"/>
          <w:i/>
          <w:iCs/>
        </w:rPr>
        <w:t>Sadd add-Dzari’ah dan Aplikasinya dalam Fatwa Majelis Ulama Indonesia,</w:t>
      </w:r>
      <w:r w:rsidRPr="00AE0DB4">
        <w:rPr>
          <w:rFonts w:asciiTheme="majorBidi" w:hAnsiTheme="majorBidi" w:cstheme="majorBidi"/>
        </w:rPr>
        <w:t xml:space="preserve"> </w:t>
      </w:r>
      <w:r w:rsidRPr="00AE0DB4">
        <w:rPr>
          <w:rFonts w:asciiTheme="majorBidi" w:hAnsiTheme="majorBidi" w:cstheme="majorBidi"/>
          <w:i/>
          <w:iCs/>
        </w:rPr>
        <w:t>ibid</w:t>
      </w:r>
      <w:r>
        <w:rPr>
          <w:rFonts w:asciiTheme="majorBidi" w:hAnsiTheme="majorBidi" w:cstheme="majorBidi"/>
        </w:rPr>
        <w:t>, h. 86</w:t>
      </w:r>
    </w:p>
  </w:footnote>
  <w:footnote w:id="563">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F54144">
        <w:rPr>
          <w:rStyle w:val="FootnoteReference"/>
          <w:rFonts w:asciiTheme="majorBidi" w:hAnsiTheme="majorBidi" w:cstheme="majorBidi"/>
        </w:rPr>
        <w:footnoteRef/>
      </w:r>
      <w:r>
        <w:rPr>
          <w:rFonts w:asciiTheme="majorBidi" w:hAnsiTheme="majorBidi" w:cstheme="majorBidi"/>
          <w:sz w:val="20"/>
          <w:szCs w:val="20"/>
        </w:rPr>
        <w:t xml:space="preserve"> </w:t>
      </w:r>
      <w:r w:rsidRPr="00F54144">
        <w:rPr>
          <w:rFonts w:asciiTheme="majorBidi" w:hAnsiTheme="majorBidi" w:cstheme="majorBidi"/>
          <w:sz w:val="20"/>
          <w:szCs w:val="20"/>
        </w:rPr>
        <w:t>Pedoman ini merupakan hasil keputusan Sidang Pengurus Paripurna Majelis Ulama Indonesia tanggal 7 Jumadil Awwal 1406 H./18 Januari 1986 M.</w:t>
      </w:r>
    </w:p>
  </w:footnote>
  <w:footnote w:id="564">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F54144">
        <w:rPr>
          <w:rStyle w:val="FootnoteReference"/>
          <w:rFonts w:asciiTheme="majorBidi" w:hAnsiTheme="majorBidi" w:cstheme="majorBidi"/>
        </w:rPr>
        <w:footnoteRef/>
      </w:r>
      <w:r>
        <w:rPr>
          <w:rFonts w:asciiTheme="majorBidi" w:hAnsiTheme="majorBidi" w:cstheme="majorBidi"/>
          <w:sz w:val="20"/>
          <w:szCs w:val="20"/>
        </w:rPr>
        <w:t xml:space="preserve"> </w:t>
      </w:r>
      <w:r w:rsidRPr="00F54144">
        <w:rPr>
          <w:rFonts w:asciiTheme="majorBidi" w:hAnsiTheme="majorBidi" w:cstheme="majorBidi"/>
          <w:sz w:val="20"/>
          <w:szCs w:val="20"/>
        </w:rPr>
        <w:t>Pedoman ini ditetapkan oleh Dewan Pimpinan Majelis Ulama Indonesia melalui Surat Keputusan Dewan Pimpinan Majelis Ulama Indonesia nomor: U-596/MUI/X/1997 tanggal 2 Oktober 1997.</w:t>
      </w:r>
      <w:r>
        <w:rPr>
          <w:rFonts w:asciiTheme="majorBidi" w:hAnsiTheme="majorBidi" w:cstheme="majorBidi"/>
          <w:sz w:val="20"/>
          <w:szCs w:val="20"/>
        </w:rPr>
        <w:t xml:space="preserve"> Lihat Dire</w:t>
      </w:r>
      <w:r w:rsidRPr="00F54144">
        <w:rPr>
          <w:rFonts w:asciiTheme="majorBidi" w:hAnsiTheme="majorBidi" w:cstheme="majorBidi"/>
          <w:sz w:val="20"/>
          <w:szCs w:val="20"/>
        </w:rPr>
        <w:t xml:space="preserve">ktorat jenderal  Bimbingan Masyarakat Islam dan Penyelenggaraan Haji, </w:t>
      </w:r>
      <w:r w:rsidRPr="00F54144">
        <w:rPr>
          <w:rFonts w:asciiTheme="majorBidi" w:hAnsiTheme="majorBidi" w:cstheme="majorBidi"/>
          <w:i/>
          <w:iCs/>
          <w:sz w:val="20"/>
          <w:szCs w:val="20"/>
        </w:rPr>
        <w:t>Himpunan Fatwa Majelis Ulama Indonesia</w:t>
      </w:r>
      <w:r w:rsidRPr="00F54144">
        <w:rPr>
          <w:rFonts w:asciiTheme="majorBidi" w:hAnsiTheme="majorBidi" w:cstheme="majorBidi"/>
          <w:sz w:val="20"/>
          <w:szCs w:val="20"/>
        </w:rPr>
        <w:t>, (Jakarta: Departemen Agama RI, 2003), h. 1 . 2</w:t>
      </w:r>
    </w:p>
  </w:footnote>
  <w:footnote w:id="565">
    <w:p w:rsidR="00343B61" w:rsidRPr="00F54144" w:rsidRDefault="00343B61" w:rsidP="00343B61">
      <w:pPr>
        <w:pStyle w:val="FootnoteText"/>
        <w:ind w:firstLine="720"/>
        <w:jc w:val="both"/>
        <w:rPr>
          <w:rFonts w:asciiTheme="majorBidi" w:hAnsiTheme="majorBidi" w:cstheme="majorBidi"/>
        </w:rPr>
      </w:pPr>
      <w:r w:rsidRPr="00F54144">
        <w:rPr>
          <w:rStyle w:val="FootnoteReference"/>
          <w:rFonts w:asciiTheme="majorBidi" w:hAnsiTheme="majorBidi" w:cstheme="majorBidi"/>
        </w:rPr>
        <w:footnoteRef/>
      </w:r>
      <w:r w:rsidRPr="00F54144">
        <w:rPr>
          <w:rFonts w:asciiTheme="majorBidi" w:hAnsiTheme="majorBidi" w:cstheme="majorBidi"/>
        </w:rPr>
        <w:t xml:space="preserve"> Sebagai hasil Keputusan Rapat Komisi Fatwa, tanggal 23 Muharram 1422/12 April 2001.</w:t>
      </w:r>
    </w:p>
  </w:footnote>
  <w:footnote w:id="566">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F54144">
        <w:rPr>
          <w:rStyle w:val="FootnoteReference"/>
          <w:rFonts w:asciiTheme="majorBidi" w:hAnsiTheme="majorBidi" w:cstheme="majorBidi"/>
        </w:rPr>
        <w:footnoteRef/>
      </w:r>
      <w:r w:rsidRPr="00F54144">
        <w:rPr>
          <w:rFonts w:asciiTheme="majorBidi" w:hAnsiTheme="majorBidi" w:cstheme="majorBidi"/>
          <w:sz w:val="20"/>
          <w:szCs w:val="20"/>
        </w:rPr>
        <w:t xml:space="preserve"> Lihat Keputusan Ijtima’ ulama komisi fatwa Se-Indo</w:t>
      </w:r>
      <w:r>
        <w:rPr>
          <w:rFonts w:asciiTheme="majorBidi" w:hAnsiTheme="majorBidi" w:cstheme="majorBidi"/>
          <w:sz w:val="20"/>
          <w:szCs w:val="20"/>
        </w:rPr>
        <w:t>nesia Pertama Tahun 2003 dalam</w:t>
      </w:r>
      <w:r w:rsidRPr="00F54144">
        <w:rPr>
          <w:rFonts w:asciiTheme="majorBidi" w:hAnsiTheme="majorBidi" w:cstheme="majorBidi"/>
          <w:sz w:val="20"/>
          <w:szCs w:val="20"/>
        </w:rPr>
        <w:t xml:space="preserve">: </w:t>
      </w:r>
      <w:r w:rsidRPr="00F54144">
        <w:rPr>
          <w:rFonts w:asciiTheme="majorBidi" w:hAnsiTheme="majorBidi" w:cstheme="majorBidi"/>
          <w:i/>
          <w:iCs/>
          <w:sz w:val="20"/>
          <w:szCs w:val="20"/>
        </w:rPr>
        <w:t xml:space="preserve">Himpunan Fatwa Majelis Ulama Indonesia, </w:t>
      </w:r>
      <w:r w:rsidRPr="00F54144">
        <w:rPr>
          <w:rFonts w:asciiTheme="majorBidi" w:hAnsiTheme="majorBidi" w:cstheme="majorBidi"/>
          <w:sz w:val="20"/>
          <w:szCs w:val="20"/>
        </w:rPr>
        <w:t>h. 713-719</w:t>
      </w:r>
    </w:p>
    <w:p w:rsidR="00343B61" w:rsidRPr="00F54144" w:rsidRDefault="00343B61" w:rsidP="00343B61">
      <w:pPr>
        <w:pStyle w:val="FootnoteText"/>
        <w:ind w:firstLine="720"/>
        <w:jc w:val="both"/>
        <w:rPr>
          <w:rFonts w:asciiTheme="majorBidi" w:hAnsiTheme="majorBidi" w:cstheme="majorBidi"/>
        </w:rPr>
      </w:pPr>
    </w:p>
  </w:footnote>
  <w:footnote w:id="567">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F54144">
        <w:rPr>
          <w:rStyle w:val="FootnoteReference"/>
          <w:rFonts w:asciiTheme="majorBidi" w:hAnsiTheme="majorBidi" w:cstheme="majorBidi"/>
        </w:rPr>
        <w:footnoteRef/>
      </w:r>
      <w:r>
        <w:rPr>
          <w:rFonts w:asciiTheme="majorBidi" w:hAnsiTheme="majorBidi" w:cstheme="majorBidi"/>
          <w:sz w:val="20"/>
          <w:szCs w:val="20"/>
        </w:rPr>
        <w:t xml:space="preserve"> Lihat Direktorat Jenderal </w:t>
      </w:r>
      <w:r w:rsidRPr="00F54144">
        <w:rPr>
          <w:rFonts w:asciiTheme="majorBidi" w:hAnsiTheme="majorBidi" w:cstheme="majorBidi"/>
          <w:sz w:val="20"/>
          <w:szCs w:val="20"/>
        </w:rPr>
        <w:t xml:space="preserve">Bimbingan Masyarakat Islam dan Penyelenggaraan Haji, </w:t>
      </w:r>
      <w:r w:rsidRPr="00F54144">
        <w:rPr>
          <w:rFonts w:asciiTheme="majorBidi" w:hAnsiTheme="majorBidi" w:cstheme="majorBidi"/>
          <w:i/>
          <w:iCs/>
          <w:sz w:val="20"/>
          <w:szCs w:val="20"/>
        </w:rPr>
        <w:t>Himpunan Fatwa Majelis Ulama Indonesia</w:t>
      </w:r>
      <w:r w:rsidRPr="00F54144">
        <w:rPr>
          <w:rFonts w:asciiTheme="majorBidi" w:hAnsiTheme="majorBidi" w:cstheme="majorBidi"/>
          <w:sz w:val="20"/>
          <w:szCs w:val="20"/>
        </w:rPr>
        <w:t>, (Jakarta: Dep</w:t>
      </w:r>
      <w:r>
        <w:rPr>
          <w:rFonts w:asciiTheme="majorBidi" w:hAnsiTheme="majorBidi" w:cstheme="majorBidi"/>
          <w:sz w:val="20"/>
          <w:szCs w:val="20"/>
        </w:rPr>
        <w:t>artemen Agama RI, 2003), h. 1-</w:t>
      </w:r>
      <w:r w:rsidRPr="00F54144">
        <w:rPr>
          <w:rFonts w:asciiTheme="majorBidi" w:hAnsiTheme="majorBidi" w:cstheme="majorBidi"/>
          <w:sz w:val="20"/>
          <w:szCs w:val="20"/>
        </w:rPr>
        <w:t>2</w:t>
      </w:r>
    </w:p>
  </w:footnote>
  <w:footnote w:id="568">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F54144">
        <w:rPr>
          <w:rStyle w:val="FootnoteReference"/>
          <w:rFonts w:asciiTheme="majorBidi" w:hAnsiTheme="majorBidi" w:cstheme="majorBidi"/>
        </w:rPr>
        <w:footnoteRef/>
      </w:r>
      <w:r w:rsidRPr="00F54144">
        <w:rPr>
          <w:rFonts w:asciiTheme="majorBidi" w:hAnsiTheme="majorBidi" w:cstheme="majorBidi"/>
          <w:sz w:val="20"/>
          <w:szCs w:val="20"/>
        </w:rPr>
        <w:t xml:space="preserve"> Termaktub dalam ayat </w:t>
      </w:r>
      <w:r>
        <w:rPr>
          <w:rFonts w:asciiTheme="majorBidi" w:hAnsiTheme="majorBidi" w:cstheme="majorBidi"/>
          <w:sz w:val="20"/>
          <w:szCs w:val="20"/>
        </w:rPr>
        <w:t>1,</w:t>
      </w:r>
      <w:r w:rsidRPr="00F54144">
        <w:rPr>
          <w:rFonts w:asciiTheme="majorBidi" w:hAnsiTheme="majorBidi" w:cstheme="majorBidi"/>
          <w:sz w:val="20"/>
          <w:szCs w:val="20"/>
        </w:rPr>
        <w:t>2</w:t>
      </w:r>
      <w:r>
        <w:rPr>
          <w:rFonts w:asciiTheme="majorBidi" w:hAnsiTheme="majorBidi" w:cstheme="majorBidi"/>
          <w:sz w:val="20"/>
          <w:szCs w:val="20"/>
        </w:rPr>
        <w:t xml:space="preserve"> dan</w:t>
      </w:r>
      <w:r w:rsidRPr="00F54144">
        <w:rPr>
          <w:rFonts w:asciiTheme="majorBidi" w:hAnsiTheme="majorBidi" w:cstheme="majorBidi"/>
          <w:sz w:val="20"/>
          <w:szCs w:val="20"/>
        </w:rPr>
        <w:t xml:space="preserve"> Bab II mengenai dasar umum </w:t>
      </w:r>
      <w:r>
        <w:rPr>
          <w:rFonts w:asciiTheme="majorBidi" w:hAnsiTheme="majorBidi" w:cstheme="majorBidi"/>
          <w:sz w:val="20"/>
          <w:szCs w:val="20"/>
        </w:rPr>
        <w:t xml:space="preserve">dan sifat </w:t>
      </w:r>
      <w:r w:rsidRPr="00F54144">
        <w:rPr>
          <w:rFonts w:asciiTheme="majorBidi" w:hAnsiTheme="majorBidi" w:cstheme="majorBidi"/>
          <w:sz w:val="20"/>
          <w:szCs w:val="20"/>
        </w:rPr>
        <w:t>fatwa. Lih</w:t>
      </w:r>
      <w:r>
        <w:rPr>
          <w:rFonts w:asciiTheme="majorBidi" w:hAnsiTheme="majorBidi" w:cstheme="majorBidi"/>
          <w:sz w:val="20"/>
          <w:szCs w:val="20"/>
        </w:rPr>
        <w:t>at</w:t>
      </w:r>
      <w:r w:rsidRPr="00F54144">
        <w:rPr>
          <w:rFonts w:asciiTheme="majorBidi" w:hAnsiTheme="majorBidi" w:cstheme="majorBidi"/>
          <w:sz w:val="20"/>
          <w:szCs w:val="20"/>
        </w:rPr>
        <w:t xml:space="preserve">. </w:t>
      </w:r>
      <w:r w:rsidRPr="00F54144">
        <w:rPr>
          <w:rFonts w:asciiTheme="majorBidi" w:hAnsiTheme="majorBidi" w:cstheme="majorBidi"/>
          <w:i/>
          <w:iCs/>
          <w:sz w:val="20"/>
          <w:szCs w:val="20"/>
        </w:rPr>
        <w:t>Pedoman dan</w:t>
      </w:r>
      <w:r>
        <w:rPr>
          <w:rFonts w:asciiTheme="majorBidi" w:hAnsiTheme="majorBidi" w:cstheme="majorBidi"/>
          <w:i/>
          <w:iCs/>
          <w:sz w:val="20"/>
          <w:szCs w:val="20"/>
        </w:rPr>
        <w:t xml:space="preserve"> </w:t>
      </w:r>
      <w:r w:rsidRPr="00F54144">
        <w:rPr>
          <w:rFonts w:asciiTheme="majorBidi" w:hAnsiTheme="majorBidi" w:cstheme="majorBidi"/>
          <w:i/>
          <w:iCs/>
          <w:sz w:val="20"/>
          <w:szCs w:val="20"/>
        </w:rPr>
        <w:t>Prosedur Penetapan Fatwa Majelis Ulama</w:t>
      </w:r>
      <w:r w:rsidRPr="00F54144">
        <w:rPr>
          <w:rFonts w:asciiTheme="majorBidi" w:hAnsiTheme="majorBidi" w:cstheme="majorBidi"/>
          <w:sz w:val="20"/>
          <w:szCs w:val="20"/>
        </w:rPr>
        <w:t xml:space="preserve">, </w:t>
      </w:r>
      <w:r>
        <w:rPr>
          <w:rFonts w:asciiTheme="majorBidi" w:hAnsiTheme="majorBidi" w:cstheme="majorBidi"/>
          <w:sz w:val="20"/>
          <w:szCs w:val="20"/>
        </w:rPr>
        <w:t xml:space="preserve">dalam : Ma’ruf Amin, </w:t>
      </w:r>
      <w:r w:rsidRPr="00E71AD1">
        <w:rPr>
          <w:rFonts w:asciiTheme="majorBidi" w:hAnsiTheme="majorBidi" w:cstheme="majorBidi"/>
          <w:i/>
          <w:iCs/>
          <w:sz w:val="20"/>
          <w:szCs w:val="20"/>
        </w:rPr>
        <w:t>Himpunan Fatwa Majelis Ulama Indonesia Sejak 1975</w:t>
      </w:r>
      <w:r>
        <w:rPr>
          <w:rFonts w:asciiTheme="majorBidi" w:hAnsiTheme="majorBidi" w:cstheme="majorBidi"/>
          <w:sz w:val="20"/>
          <w:szCs w:val="20"/>
        </w:rPr>
        <w:t xml:space="preserve"> (Jakarta: Erlangga, 2011), h. 937</w:t>
      </w:r>
    </w:p>
  </w:footnote>
  <w:footnote w:id="569">
    <w:p w:rsidR="00343B61" w:rsidRPr="00BE77D1" w:rsidRDefault="00343B61" w:rsidP="00343B61">
      <w:pPr>
        <w:autoSpaceDE w:val="0"/>
        <w:autoSpaceDN w:val="0"/>
        <w:adjustRightInd w:val="0"/>
        <w:spacing w:after="0" w:line="240" w:lineRule="auto"/>
        <w:ind w:firstLine="720"/>
        <w:jc w:val="both"/>
        <w:rPr>
          <w:rFonts w:ascii="Z@R72D6.tmp,Italic" w:hAnsi="Z@R72D6.tmp,Italic" w:cs="Z@R72D6.tmp,Italic"/>
          <w:i/>
          <w:iCs/>
          <w:sz w:val="20"/>
          <w:szCs w:val="20"/>
        </w:rPr>
      </w:pPr>
      <w:r w:rsidRPr="00BE77D1">
        <w:rPr>
          <w:rStyle w:val="FootnoteReference"/>
          <w:sz w:val="20"/>
          <w:szCs w:val="20"/>
        </w:rPr>
        <w:footnoteRef/>
      </w:r>
      <w:r w:rsidRPr="00BE77D1">
        <w:rPr>
          <w:sz w:val="20"/>
          <w:szCs w:val="20"/>
        </w:rPr>
        <w:t xml:space="preserve"> </w:t>
      </w:r>
      <w:r w:rsidRPr="00BE77D1">
        <w:rPr>
          <w:rFonts w:ascii="Z@R72D2.tmp" w:hAnsi="Z@R72D2.tmp" w:cs="Z@R72D2.tmp"/>
          <w:sz w:val="20"/>
          <w:szCs w:val="20"/>
        </w:rPr>
        <w:t xml:space="preserve">Lihat. Abd Karim </w:t>
      </w:r>
      <w:r w:rsidRPr="00DC7A5C">
        <w:rPr>
          <w:rFonts w:asciiTheme="majorBidi" w:hAnsiTheme="majorBidi" w:cstheme="majorBidi"/>
        </w:rPr>
        <w:t>Zaid</w:t>
      </w:r>
      <w:r w:rsidRPr="00A52EB4">
        <w:rPr>
          <w:rFonts w:asciiTheme="majorBidi" w:hAnsiTheme="majorBidi" w:cstheme="majorBidi"/>
          <w:sz w:val="20"/>
          <w:szCs w:val="20"/>
        </w:rPr>
        <w:t>ā</w:t>
      </w:r>
      <w:r w:rsidRPr="00DC7A5C">
        <w:rPr>
          <w:rFonts w:asciiTheme="majorBidi" w:hAnsiTheme="majorBidi" w:cstheme="majorBidi"/>
        </w:rPr>
        <w:t>n,</w:t>
      </w:r>
      <w:r w:rsidRPr="00B13211">
        <w:rPr>
          <w:rFonts w:asciiTheme="majorBidi" w:hAnsiTheme="majorBidi" w:cstheme="majorBidi"/>
          <w:sz w:val="20"/>
          <w:szCs w:val="20"/>
        </w:rPr>
        <w:t xml:space="preserve">, </w:t>
      </w:r>
      <w:r w:rsidRPr="00B13211">
        <w:rPr>
          <w:rFonts w:asciiTheme="majorBidi" w:hAnsiTheme="majorBidi" w:cstheme="majorBidi"/>
          <w:i/>
          <w:iCs/>
          <w:sz w:val="20"/>
          <w:szCs w:val="20"/>
        </w:rPr>
        <w:t>Al-Wajīz Fī Ushū</w:t>
      </w:r>
      <w:r>
        <w:rPr>
          <w:rFonts w:asciiTheme="majorBidi" w:hAnsiTheme="majorBidi" w:cstheme="majorBidi"/>
          <w:i/>
          <w:iCs/>
          <w:sz w:val="20"/>
          <w:szCs w:val="20"/>
        </w:rPr>
        <w:t xml:space="preserve">l </w:t>
      </w:r>
      <w:r w:rsidRPr="00B13211">
        <w:rPr>
          <w:rFonts w:asciiTheme="majorBidi" w:hAnsiTheme="majorBidi" w:cstheme="majorBidi"/>
          <w:i/>
          <w:iCs/>
          <w:sz w:val="20"/>
          <w:szCs w:val="20"/>
        </w:rPr>
        <w:t>al-Fiqh</w:t>
      </w:r>
      <w:r>
        <w:rPr>
          <w:rFonts w:ascii="Z@R72D2.tmp" w:hAnsi="Z@R72D2.tmp" w:cs="Z@R72D2.tmp"/>
          <w:sz w:val="20"/>
          <w:szCs w:val="20"/>
        </w:rPr>
        <w:t>, (</w:t>
      </w:r>
      <w:r w:rsidRPr="00BE77D1">
        <w:rPr>
          <w:rFonts w:ascii="Z@R72D2.tmp" w:hAnsi="Z@R72D2.tmp" w:cs="Z@R72D2.tmp"/>
          <w:sz w:val="20"/>
          <w:szCs w:val="20"/>
        </w:rPr>
        <w:t>Baghdad: Muassasah Qurthubah, t.th), h. 148</w:t>
      </w:r>
    </w:p>
  </w:footnote>
  <w:footnote w:id="570">
    <w:p w:rsidR="00343B61" w:rsidRPr="00BE77D1" w:rsidRDefault="00343B61" w:rsidP="00343B61">
      <w:pPr>
        <w:pStyle w:val="FootnoteText"/>
        <w:ind w:firstLine="720"/>
        <w:jc w:val="both"/>
      </w:pPr>
      <w:r w:rsidRPr="00BE77D1">
        <w:rPr>
          <w:rStyle w:val="FootnoteReference"/>
        </w:rPr>
        <w:footnoteRef/>
      </w:r>
      <w:r w:rsidRPr="00BE77D1">
        <w:t xml:space="preserve"> </w:t>
      </w:r>
      <w:r w:rsidRPr="00BE77D1">
        <w:rPr>
          <w:rFonts w:asciiTheme="majorBidi" w:hAnsiTheme="majorBidi" w:cstheme="majorBidi"/>
        </w:rPr>
        <w:t xml:space="preserve">Lihat. </w:t>
      </w:r>
      <w:r w:rsidRPr="00BE77D1">
        <w:rPr>
          <w:rFonts w:asciiTheme="majorBidi" w:hAnsiTheme="majorBidi" w:cstheme="majorBidi"/>
          <w:i/>
          <w:iCs/>
        </w:rPr>
        <w:t>Pedoman dan Prosedur Penetapan Fatwa Majelis Ulama</w:t>
      </w:r>
      <w:r w:rsidRPr="00BE77D1">
        <w:rPr>
          <w:rFonts w:asciiTheme="majorBidi" w:hAnsiTheme="majorBidi" w:cstheme="majorBidi"/>
        </w:rPr>
        <w:t xml:space="preserve">, </w:t>
      </w:r>
      <w:r>
        <w:rPr>
          <w:rFonts w:asciiTheme="majorBidi" w:hAnsiTheme="majorBidi" w:cstheme="majorBidi"/>
        </w:rPr>
        <w:t>dalam</w:t>
      </w:r>
      <w:r w:rsidRPr="00BE77D1">
        <w:rPr>
          <w:rFonts w:asciiTheme="majorBidi" w:hAnsiTheme="majorBidi" w:cstheme="majorBidi"/>
        </w:rPr>
        <w:t xml:space="preserve">: Ma’ruf Amin, </w:t>
      </w:r>
      <w:r w:rsidRPr="00BE77D1">
        <w:rPr>
          <w:rFonts w:asciiTheme="majorBidi" w:hAnsiTheme="majorBidi" w:cstheme="majorBidi"/>
          <w:i/>
          <w:iCs/>
        </w:rPr>
        <w:t>Himpunan Fatwa Majelis Ulama Indonesia Sejak 1975</w:t>
      </w:r>
      <w:r w:rsidRPr="00BE77D1">
        <w:rPr>
          <w:rFonts w:asciiTheme="majorBidi" w:hAnsiTheme="majorBidi" w:cstheme="majorBidi"/>
        </w:rPr>
        <w:t xml:space="preserve"> (Jakarta: Erlangga, 2011), h. 938</w:t>
      </w:r>
    </w:p>
  </w:footnote>
  <w:footnote w:id="571">
    <w:p w:rsidR="00343B61" w:rsidRPr="00F54144" w:rsidRDefault="00343B61" w:rsidP="00343B61">
      <w:pPr>
        <w:pStyle w:val="FootnoteText"/>
        <w:ind w:firstLine="720"/>
        <w:jc w:val="both"/>
        <w:rPr>
          <w:rFonts w:asciiTheme="majorBidi" w:hAnsiTheme="majorBidi" w:cstheme="majorBidi"/>
        </w:rPr>
      </w:pPr>
      <w:r w:rsidRPr="00BE77D1">
        <w:rPr>
          <w:rStyle w:val="FootnoteReference"/>
          <w:rFonts w:asciiTheme="majorBidi" w:hAnsiTheme="majorBidi" w:cstheme="majorBidi"/>
        </w:rPr>
        <w:footnoteRef/>
      </w:r>
      <w:r w:rsidRPr="00BE77D1">
        <w:rPr>
          <w:rFonts w:asciiTheme="majorBidi" w:hAnsiTheme="majorBidi" w:cstheme="majorBidi"/>
        </w:rPr>
        <w:t xml:space="preserve"> Lihat Depag RI, </w:t>
      </w:r>
      <w:r w:rsidRPr="00BE77D1">
        <w:rPr>
          <w:rFonts w:asciiTheme="majorBidi" w:hAnsiTheme="majorBidi" w:cstheme="majorBidi"/>
          <w:i/>
          <w:iCs/>
        </w:rPr>
        <w:t>Al-Quran dan Terjamahannya</w:t>
      </w:r>
      <w:r w:rsidRPr="00BE77D1">
        <w:rPr>
          <w:rFonts w:asciiTheme="majorBidi" w:hAnsiTheme="majorBidi" w:cstheme="majorBidi"/>
        </w:rPr>
        <w:t>, (Medinah al-Munawwarah: Mujamma’ al-Malik Fahd Li al-Thiba’ah Mush-haf al-Syarif, 1418) h. 128</w:t>
      </w:r>
    </w:p>
  </w:footnote>
  <w:footnote w:id="572">
    <w:p w:rsidR="00343B61" w:rsidRPr="00DB2BD4" w:rsidRDefault="00343B61" w:rsidP="00343B61">
      <w:pPr>
        <w:pStyle w:val="FootnoteText"/>
        <w:ind w:firstLine="720"/>
        <w:jc w:val="both"/>
        <w:rPr>
          <w:rFonts w:asciiTheme="majorBidi" w:hAnsiTheme="majorBidi" w:cstheme="majorBidi"/>
        </w:rPr>
      </w:pPr>
      <w:r w:rsidRPr="00DB2BD4">
        <w:rPr>
          <w:rStyle w:val="FootnoteReference"/>
          <w:rFonts w:asciiTheme="majorBidi" w:hAnsiTheme="majorBidi" w:cstheme="majorBidi"/>
        </w:rPr>
        <w:footnoteRef/>
      </w:r>
      <w:r>
        <w:rPr>
          <w:rFonts w:asciiTheme="majorBidi" w:hAnsiTheme="majorBidi" w:cstheme="majorBidi"/>
        </w:rPr>
        <w:t>Lihat.</w:t>
      </w:r>
      <w:r w:rsidRPr="00DB2BD4">
        <w:rPr>
          <w:rFonts w:asciiTheme="majorBidi" w:hAnsiTheme="majorBidi" w:cstheme="majorBidi"/>
        </w:rPr>
        <w:t xml:space="preserve"> Wahbah bin Mushtofa Al-Zuhail</w:t>
      </w:r>
      <w:r w:rsidRPr="00914108">
        <w:rPr>
          <w:rFonts w:asciiTheme="majorBidi" w:hAnsiTheme="majorBidi" w:cstheme="majorBidi"/>
        </w:rPr>
        <w:t>ī</w:t>
      </w:r>
      <w:r w:rsidRPr="00DB2BD4">
        <w:rPr>
          <w:rFonts w:asciiTheme="majorBidi" w:hAnsiTheme="majorBidi" w:cstheme="majorBidi"/>
        </w:rPr>
        <w:t xml:space="preserve">,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 al-Fiqh</w:t>
      </w:r>
      <w:r w:rsidRPr="00DB2BD4">
        <w:rPr>
          <w:rFonts w:asciiTheme="majorBidi" w:hAnsiTheme="majorBidi" w:cstheme="majorBidi"/>
        </w:rPr>
        <w:t>, ( Tripoli, Kulliah Dakwah Islamiah, 1998), h. 20</w:t>
      </w:r>
    </w:p>
  </w:footnote>
  <w:footnote w:id="573">
    <w:p w:rsidR="00343B61" w:rsidRPr="00F54144" w:rsidRDefault="00343B61" w:rsidP="00343B61">
      <w:pPr>
        <w:ind w:firstLine="720"/>
        <w:jc w:val="both"/>
        <w:rPr>
          <w:rFonts w:asciiTheme="majorBidi" w:hAnsiTheme="majorBidi" w:cstheme="majorBidi"/>
          <w:sz w:val="20"/>
          <w:szCs w:val="20"/>
        </w:rPr>
      </w:pPr>
      <w:r w:rsidRPr="00F54144">
        <w:rPr>
          <w:rStyle w:val="FootnoteReference"/>
          <w:rFonts w:asciiTheme="majorBidi" w:hAnsiTheme="majorBidi" w:cstheme="majorBidi"/>
        </w:rPr>
        <w:footnoteRef/>
      </w:r>
      <w:r w:rsidRPr="00F54144">
        <w:rPr>
          <w:rFonts w:asciiTheme="majorBidi" w:hAnsiTheme="majorBidi" w:cstheme="majorBidi"/>
          <w:sz w:val="20"/>
          <w:szCs w:val="20"/>
        </w:rPr>
        <w:t xml:space="preserve"> Lihat Sulaiman Ibn Atsats Al-Sijistani, </w:t>
      </w:r>
      <w:r w:rsidRPr="004666EA">
        <w:rPr>
          <w:rFonts w:asciiTheme="majorBidi" w:hAnsiTheme="majorBidi" w:cstheme="majorBidi"/>
          <w:i/>
          <w:iCs/>
          <w:sz w:val="20"/>
          <w:szCs w:val="20"/>
        </w:rPr>
        <w:t>Sunan Ab</w:t>
      </w:r>
      <w:r w:rsidRPr="0056354E">
        <w:rPr>
          <w:rFonts w:asciiTheme="majorBidi" w:hAnsiTheme="majorBidi" w:cstheme="majorBidi"/>
          <w:i/>
          <w:iCs/>
          <w:sz w:val="20"/>
          <w:szCs w:val="20"/>
        </w:rPr>
        <w:t>ū</w:t>
      </w:r>
      <w:r w:rsidRPr="004666EA">
        <w:rPr>
          <w:rFonts w:asciiTheme="majorBidi" w:hAnsiTheme="majorBidi" w:cstheme="majorBidi"/>
          <w:i/>
          <w:iCs/>
          <w:sz w:val="20"/>
          <w:szCs w:val="20"/>
        </w:rPr>
        <w:t xml:space="preserve"> Daud</w:t>
      </w:r>
      <w:r w:rsidRPr="00F54144">
        <w:rPr>
          <w:rFonts w:asciiTheme="majorBidi" w:hAnsiTheme="majorBidi" w:cstheme="majorBidi"/>
          <w:sz w:val="20"/>
          <w:szCs w:val="20"/>
        </w:rPr>
        <w:t xml:space="preserve">, ( Bairut: Dar Al-Kutub Al-‘Arabi), t.th. Jilid 3, h.330, Lihat juga, </w:t>
      </w:r>
      <w:r w:rsidRPr="00F54144">
        <w:rPr>
          <w:rFonts w:asciiTheme="majorBidi" w:hAnsiTheme="majorBidi" w:cstheme="majorBidi"/>
          <w:color w:val="000000"/>
          <w:sz w:val="20"/>
          <w:szCs w:val="20"/>
        </w:rPr>
        <w:t xml:space="preserve">Abu Bakar Ahmad bin Al-Husein bin Ali Al-Baihaqi, </w:t>
      </w:r>
      <w:r w:rsidRPr="00F54144">
        <w:rPr>
          <w:rFonts w:asciiTheme="majorBidi" w:hAnsiTheme="majorBidi" w:cstheme="majorBidi"/>
          <w:i/>
          <w:iCs/>
          <w:color w:val="000000"/>
          <w:sz w:val="20"/>
          <w:szCs w:val="20"/>
        </w:rPr>
        <w:t>Al-Sunan Al-Kubr</w:t>
      </w:r>
      <w:r w:rsidRPr="00455983">
        <w:rPr>
          <w:rFonts w:asciiTheme="majorBidi" w:hAnsiTheme="majorBidi" w:cstheme="majorBidi"/>
          <w:i/>
          <w:iCs/>
          <w:sz w:val="20"/>
          <w:szCs w:val="20"/>
        </w:rPr>
        <w:t>ā</w:t>
      </w:r>
      <w:r w:rsidRPr="00F54144">
        <w:rPr>
          <w:rFonts w:asciiTheme="majorBidi" w:hAnsiTheme="majorBidi" w:cstheme="majorBidi"/>
          <w:color w:val="000000"/>
          <w:sz w:val="20"/>
          <w:szCs w:val="20"/>
        </w:rPr>
        <w:t xml:space="preserve">, ( India: Majelis Daerah al-Ma’arif </w:t>
      </w:r>
      <w:r>
        <w:rPr>
          <w:rFonts w:asciiTheme="majorBidi" w:hAnsiTheme="majorBidi" w:cstheme="majorBidi"/>
          <w:color w:val="000000"/>
          <w:sz w:val="20"/>
          <w:szCs w:val="20"/>
        </w:rPr>
        <w:t>al-Nizhamiyah, 1344 H),  Jilid III</w:t>
      </w:r>
      <w:r w:rsidRPr="00F54144">
        <w:rPr>
          <w:rFonts w:asciiTheme="majorBidi" w:hAnsiTheme="majorBidi" w:cstheme="majorBidi"/>
          <w:color w:val="000000"/>
          <w:sz w:val="20"/>
          <w:szCs w:val="20"/>
        </w:rPr>
        <w:t xml:space="preserve"> h. 423</w:t>
      </w:r>
    </w:p>
    <w:p w:rsidR="00343B61" w:rsidRDefault="00343B61" w:rsidP="00343B61">
      <w:pPr>
        <w:pStyle w:val="FootnoteText"/>
        <w:ind w:firstLine="720"/>
        <w:jc w:val="both"/>
      </w:pPr>
    </w:p>
  </w:footnote>
  <w:footnote w:id="574">
    <w:p w:rsidR="00343B61" w:rsidRPr="004B6252" w:rsidRDefault="00343B61" w:rsidP="00343B61">
      <w:pPr>
        <w:spacing w:after="0"/>
        <w:ind w:firstLine="720"/>
        <w:jc w:val="both"/>
        <w:rPr>
          <w:rFonts w:asciiTheme="majorBidi" w:hAnsiTheme="majorBidi" w:cstheme="majorBidi"/>
          <w:color w:val="000000"/>
          <w:sz w:val="20"/>
          <w:szCs w:val="20"/>
        </w:rPr>
      </w:pPr>
      <w:r w:rsidRPr="001B7C2B">
        <w:rPr>
          <w:rStyle w:val="FootnoteReference"/>
        </w:rPr>
        <w:footnoteRef/>
      </w:r>
      <w:r w:rsidRPr="001B7C2B">
        <w:rPr>
          <w:sz w:val="20"/>
          <w:szCs w:val="20"/>
        </w:rPr>
        <w:t xml:space="preserve"> </w:t>
      </w:r>
      <w:r w:rsidRPr="001B7C2B">
        <w:rPr>
          <w:rFonts w:asciiTheme="majorBidi" w:hAnsiTheme="majorBidi" w:cstheme="majorBidi"/>
          <w:color w:val="000000"/>
          <w:sz w:val="20"/>
          <w:szCs w:val="20"/>
        </w:rPr>
        <w:t xml:space="preserve">Lihat. </w:t>
      </w:r>
      <w:r w:rsidRPr="00584D8E">
        <w:rPr>
          <w:rFonts w:asciiTheme="majorBidi" w:hAnsiTheme="majorBidi" w:cstheme="majorBidi"/>
          <w:color w:val="000000"/>
          <w:sz w:val="20"/>
          <w:szCs w:val="20"/>
        </w:rPr>
        <w:t>Abu Bakar Ahmad bin Al-Husein Al-Baihaq</w:t>
      </w:r>
      <w:r w:rsidRPr="00914108">
        <w:rPr>
          <w:rFonts w:asciiTheme="majorBidi" w:hAnsiTheme="majorBidi" w:cstheme="majorBidi"/>
          <w:sz w:val="20"/>
          <w:szCs w:val="20"/>
        </w:rPr>
        <w:t>ī</w:t>
      </w:r>
      <w:r w:rsidRPr="00584D8E">
        <w:rPr>
          <w:rFonts w:asciiTheme="majorBidi" w:hAnsiTheme="majorBidi" w:cstheme="majorBidi"/>
          <w:color w:val="000000"/>
          <w:sz w:val="20"/>
          <w:szCs w:val="20"/>
        </w:rPr>
        <w:t>, Al</w:t>
      </w:r>
      <w:r w:rsidRPr="000E0B02">
        <w:rPr>
          <w:rFonts w:asciiTheme="majorBidi" w:hAnsiTheme="majorBidi" w:cstheme="majorBidi"/>
          <w:i/>
          <w:iCs/>
          <w:color w:val="000000"/>
          <w:sz w:val="20"/>
          <w:szCs w:val="20"/>
        </w:rPr>
        <w:t xml:space="preserve">-Sunan </w:t>
      </w:r>
      <w:r w:rsidRPr="00F54144">
        <w:rPr>
          <w:rFonts w:asciiTheme="majorBidi" w:hAnsiTheme="majorBidi" w:cstheme="majorBidi"/>
          <w:i/>
          <w:iCs/>
          <w:color w:val="000000"/>
          <w:sz w:val="20"/>
          <w:szCs w:val="20"/>
        </w:rPr>
        <w:t>Al-Kubr</w:t>
      </w:r>
      <w:r w:rsidRPr="00455983">
        <w:rPr>
          <w:rFonts w:asciiTheme="majorBidi" w:hAnsiTheme="majorBidi" w:cstheme="majorBidi"/>
          <w:i/>
          <w:iCs/>
          <w:sz w:val="20"/>
          <w:szCs w:val="20"/>
        </w:rPr>
        <w:t>ā</w:t>
      </w:r>
      <w:r w:rsidRPr="000E0B02">
        <w:rPr>
          <w:rFonts w:asciiTheme="majorBidi" w:hAnsiTheme="majorBidi" w:cstheme="majorBidi"/>
          <w:i/>
          <w:iCs/>
          <w:color w:val="000000"/>
          <w:sz w:val="20"/>
          <w:szCs w:val="20"/>
        </w:rPr>
        <w:t xml:space="preserve"> Wa f</w:t>
      </w:r>
      <w:r w:rsidRPr="00401B91">
        <w:rPr>
          <w:rFonts w:asciiTheme="majorBidi" w:hAnsiTheme="majorBidi" w:cstheme="majorBidi"/>
          <w:i/>
          <w:iCs/>
          <w:sz w:val="20"/>
          <w:szCs w:val="20"/>
        </w:rPr>
        <w:t>ī</w:t>
      </w:r>
      <w:r w:rsidRPr="000E0B02">
        <w:rPr>
          <w:rFonts w:asciiTheme="majorBidi" w:hAnsiTheme="majorBidi" w:cstheme="majorBidi"/>
          <w:i/>
          <w:iCs/>
          <w:color w:val="000000"/>
          <w:sz w:val="20"/>
          <w:szCs w:val="20"/>
        </w:rPr>
        <w:t xml:space="preserve"> Dzailih</w:t>
      </w:r>
      <w:r w:rsidRPr="00401B91">
        <w:rPr>
          <w:rFonts w:asciiTheme="majorBidi" w:hAnsiTheme="majorBidi" w:cstheme="majorBidi"/>
          <w:i/>
          <w:iCs/>
          <w:sz w:val="20"/>
          <w:szCs w:val="20"/>
        </w:rPr>
        <w:t>ī</w:t>
      </w:r>
      <w:r w:rsidRPr="000E0B02">
        <w:rPr>
          <w:rFonts w:asciiTheme="majorBidi" w:hAnsiTheme="majorBidi" w:cstheme="majorBidi"/>
          <w:i/>
          <w:iCs/>
          <w:color w:val="000000"/>
          <w:sz w:val="20"/>
          <w:szCs w:val="20"/>
        </w:rPr>
        <w:t xml:space="preserve"> Al-Jauhar</w:t>
      </w:r>
      <w:r>
        <w:rPr>
          <w:rFonts w:asciiTheme="majorBidi" w:hAnsiTheme="majorBidi" w:cstheme="majorBidi"/>
          <w:i/>
          <w:iCs/>
          <w:color w:val="000000"/>
          <w:sz w:val="20"/>
          <w:szCs w:val="20"/>
        </w:rPr>
        <w:t xml:space="preserve"> </w:t>
      </w:r>
      <w:r w:rsidRPr="000E0B02">
        <w:rPr>
          <w:rFonts w:asciiTheme="majorBidi" w:hAnsiTheme="majorBidi" w:cstheme="majorBidi"/>
          <w:i/>
          <w:iCs/>
          <w:color w:val="000000"/>
          <w:sz w:val="20"/>
          <w:szCs w:val="20"/>
        </w:rPr>
        <w:t>Al-Naq</w:t>
      </w:r>
      <w:r w:rsidRPr="00401B91">
        <w:rPr>
          <w:rFonts w:asciiTheme="majorBidi" w:hAnsiTheme="majorBidi" w:cstheme="majorBidi"/>
          <w:i/>
          <w:iCs/>
          <w:sz w:val="20"/>
          <w:szCs w:val="20"/>
        </w:rPr>
        <w:t>ī</w:t>
      </w:r>
      <w:r w:rsidRPr="00584D8E">
        <w:rPr>
          <w:rFonts w:asciiTheme="majorBidi" w:hAnsiTheme="majorBidi" w:cstheme="majorBidi"/>
          <w:color w:val="000000"/>
          <w:sz w:val="20"/>
          <w:szCs w:val="20"/>
        </w:rPr>
        <w:t>, ( India: Majelis Dairah Al-Ma’arif al-Nizhamiyah, 1344 H), Jilid X. h.114</w:t>
      </w:r>
      <w:r>
        <w:rPr>
          <w:rFonts w:asciiTheme="majorBidi" w:hAnsiTheme="majorBidi" w:cstheme="majorBidi"/>
          <w:color w:val="000000"/>
          <w:sz w:val="20"/>
          <w:szCs w:val="20"/>
        </w:rPr>
        <w:t>. Lihat juga.</w:t>
      </w:r>
      <w:r w:rsidRPr="001B7C2B">
        <w:rPr>
          <w:rFonts w:asciiTheme="majorBidi" w:hAnsiTheme="majorBidi" w:cstheme="majorBidi"/>
          <w:color w:val="000000"/>
          <w:sz w:val="20"/>
          <w:szCs w:val="20"/>
        </w:rPr>
        <w:t xml:space="preserve"> ‘Ala al-Din ‘Ali bin His</w:t>
      </w:r>
      <w:r>
        <w:rPr>
          <w:rFonts w:asciiTheme="majorBidi" w:hAnsiTheme="majorBidi" w:cstheme="majorBidi"/>
          <w:color w:val="000000"/>
          <w:sz w:val="20"/>
          <w:szCs w:val="20"/>
        </w:rPr>
        <w:t>y</w:t>
      </w:r>
      <w:r w:rsidRPr="001B7C2B">
        <w:rPr>
          <w:rFonts w:asciiTheme="majorBidi" w:hAnsiTheme="majorBidi" w:cstheme="majorBidi"/>
          <w:color w:val="000000"/>
          <w:sz w:val="20"/>
          <w:szCs w:val="20"/>
        </w:rPr>
        <w:t xml:space="preserve">am al-Din al-Muttaqi, </w:t>
      </w:r>
      <w:r w:rsidRPr="00482638">
        <w:rPr>
          <w:rFonts w:asciiTheme="majorBidi" w:hAnsiTheme="majorBidi" w:cstheme="majorBidi"/>
          <w:sz w:val="20"/>
          <w:szCs w:val="20"/>
        </w:rPr>
        <w:t>al-Hind</w:t>
      </w:r>
      <w:r w:rsidRPr="00914108">
        <w:rPr>
          <w:rFonts w:asciiTheme="majorBidi" w:hAnsiTheme="majorBidi" w:cstheme="majorBidi"/>
          <w:sz w:val="20"/>
          <w:szCs w:val="20"/>
        </w:rPr>
        <w:t>ī</w:t>
      </w:r>
      <w:r w:rsidRPr="00482638">
        <w:rPr>
          <w:rFonts w:asciiTheme="majorBidi" w:hAnsiTheme="majorBidi" w:cstheme="majorBidi"/>
          <w:i/>
          <w:iCs/>
          <w:sz w:val="20"/>
          <w:szCs w:val="20"/>
        </w:rPr>
        <w:t>, Kanz Al-‘Ummal Fi Sunan al-Aqw</w:t>
      </w:r>
      <w:r w:rsidRPr="00AC6C5F">
        <w:rPr>
          <w:rFonts w:asciiTheme="majorBidi" w:hAnsiTheme="majorBidi" w:cstheme="majorBidi"/>
          <w:i/>
          <w:iCs/>
          <w:sz w:val="20"/>
          <w:szCs w:val="20"/>
        </w:rPr>
        <w:t>ā</w:t>
      </w:r>
      <w:r w:rsidRPr="00482638">
        <w:rPr>
          <w:rFonts w:asciiTheme="majorBidi" w:hAnsiTheme="majorBidi" w:cstheme="majorBidi"/>
          <w:i/>
          <w:iCs/>
          <w:sz w:val="20"/>
          <w:szCs w:val="20"/>
        </w:rPr>
        <w:t>l wa Al-Af’</w:t>
      </w:r>
      <w:r w:rsidRPr="00AC6C5F">
        <w:rPr>
          <w:rFonts w:asciiTheme="majorBidi" w:hAnsiTheme="majorBidi" w:cstheme="majorBidi"/>
          <w:i/>
          <w:iCs/>
          <w:sz w:val="20"/>
          <w:szCs w:val="20"/>
        </w:rPr>
        <w:t>ā</w:t>
      </w:r>
      <w:r w:rsidRPr="00482638">
        <w:rPr>
          <w:rFonts w:asciiTheme="majorBidi" w:hAnsiTheme="majorBidi" w:cstheme="majorBidi"/>
          <w:i/>
          <w:iCs/>
          <w:sz w:val="20"/>
          <w:szCs w:val="20"/>
        </w:rPr>
        <w:t>l</w:t>
      </w:r>
      <w:r>
        <w:rPr>
          <w:rFonts w:asciiTheme="majorBidi" w:hAnsiTheme="majorBidi" w:cstheme="majorBidi"/>
          <w:i/>
          <w:iCs/>
          <w:sz w:val="20"/>
          <w:szCs w:val="20"/>
        </w:rPr>
        <w:t>,</w:t>
      </w:r>
      <w:r w:rsidRPr="001B7C2B">
        <w:rPr>
          <w:rFonts w:asciiTheme="majorBidi" w:hAnsiTheme="majorBidi" w:cstheme="majorBidi"/>
          <w:color w:val="000000"/>
          <w:sz w:val="20"/>
          <w:szCs w:val="20"/>
        </w:rPr>
        <w:t xml:space="preserve"> ( Bairut: Muassah al-Risalah, 1981 M/ 1401 H), Jilid V, h. 600</w:t>
      </w:r>
    </w:p>
  </w:footnote>
  <w:footnote w:id="575">
    <w:p w:rsidR="00343B61" w:rsidRPr="006E7D58" w:rsidRDefault="00343B61" w:rsidP="00343B61">
      <w:pPr>
        <w:pStyle w:val="FootnoteText"/>
        <w:ind w:firstLine="720"/>
        <w:jc w:val="both"/>
      </w:pPr>
      <w:r w:rsidRPr="006E7D58">
        <w:rPr>
          <w:rStyle w:val="FootnoteReference"/>
        </w:rPr>
        <w:footnoteRef/>
      </w:r>
      <w:r w:rsidRPr="006E7D58">
        <w:t xml:space="preserve"> </w:t>
      </w:r>
      <w:r w:rsidRPr="006E7D58">
        <w:rPr>
          <w:rFonts w:ascii="Times New Roman" w:hAnsi="Times New Roman" w:cs="Times New Roman"/>
          <w:lang w:val="sv-SE" w:eastAsia="en-GB"/>
        </w:rPr>
        <w:t xml:space="preserve">Asrorun Ni’am Sholeh, </w:t>
      </w:r>
      <w:r w:rsidRPr="006E7D58">
        <w:rPr>
          <w:rFonts w:ascii="Times New Roman" w:hAnsi="Times New Roman" w:cs="Times New Roman"/>
          <w:i/>
          <w:iCs/>
          <w:lang w:val="sv-SE" w:eastAsia="en-GB"/>
        </w:rPr>
        <w:t xml:space="preserve">Sadd add-Dzari’ah dan Aplikasinya dalam Fatwa Majelis Ulama Indonesia, </w:t>
      </w:r>
      <w:r w:rsidRPr="006E7D58">
        <w:rPr>
          <w:rFonts w:ascii="Times New Roman" w:hAnsi="Times New Roman" w:cs="Times New Roman"/>
          <w:lang w:val="sv-SE" w:eastAsia="en-GB"/>
        </w:rPr>
        <w:t>Disertasi Doktor Konsentrasi Syari’ah ( Jakarta: Perpustakaan Pascasarjana UIN Syarif Hidatullah, 2008), h. 125</w:t>
      </w:r>
    </w:p>
  </w:footnote>
  <w:footnote w:id="576">
    <w:p w:rsidR="00343B61" w:rsidRPr="00FF30CA"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6E7D58">
        <w:rPr>
          <w:rStyle w:val="FootnoteReference"/>
          <w:rFonts w:asciiTheme="majorBidi" w:hAnsiTheme="majorBidi" w:cstheme="majorBidi"/>
        </w:rPr>
        <w:footnoteRef/>
      </w:r>
      <w:r w:rsidRPr="006E7D58">
        <w:rPr>
          <w:rFonts w:asciiTheme="majorBidi" w:hAnsiTheme="majorBidi" w:cstheme="majorBidi"/>
          <w:sz w:val="20"/>
          <w:szCs w:val="20"/>
        </w:rPr>
        <w:t xml:space="preserve"> Dasar Umum penetapan fatwa termaktub dalam bab II dan Metode Penatapan Fatwa pada bab III. Lihat. </w:t>
      </w:r>
      <w:r w:rsidRPr="006E7D58">
        <w:rPr>
          <w:rFonts w:asciiTheme="majorBidi" w:hAnsiTheme="majorBidi" w:cstheme="majorBidi"/>
          <w:i/>
          <w:iCs/>
          <w:sz w:val="20"/>
          <w:szCs w:val="20"/>
        </w:rPr>
        <w:t>Pedoman dan Prosedur Penetapan Fatwa Majelis Ulama</w:t>
      </w:r>
      <w:r w:rsidRPr="006E7D58">
        <w:rPr>
          <w:rFonts w:asciiTheme="majorBidi" w:hAnsiTheme="majorBidi" w:cstheme="majorBidi"/>
          <w:sz w:val="20"/>
          <w:szCs w:val="20"/>
        </w:rPr>
        <w:t xml:space="preserve">, dalam : Ma’ruf Amin, </w:t>
      </w:r>
      <w:r w:rsidRPr="006E7D58">
        <w:rPr>
          <w:rFonts w:asciiTheme="majorBidi" w:hAnsiTheme="majorBidi" w:cstheme="majorBidi"/>
          <w:i/>
          <w:iCs/>
          <w:sz w:val="20"/>
          <w:szCs w:val="20"/>
        </w:rPr>
        <w:t>Himpunan Fatwa Majelis Ulama Indonesia Sejak 1975</w:t>
      </w:r>
      <w:r w:rsidRPr="006E7D58">
        <w:rPr>
          <w:rFonts w:asciiTheme="majorBidi" w:hAnsiTheme="majorBidi" w:cstheme="majorBidi"/>
          <w:sz w:val="20"/>
          <w:szCs w:val="20"/>
        </w:rPr>
        <w:t xml:space="preserve"> (Jakarta: Erlangga, 2011), h. 937</w:t>
      </w:r>
    </w:p>
  </w:footnote>
  <w:footnote w:id="577">
    <w:p w:rsidR="00343B61" w:rsidRDefault="00343B61" w:rsidP="00343B61">
      <w:pPr>
        <w:pStyle w:val="FootnoteText"/>
        <w:ind w:firstLine="720"/>
        <w:jc w:val="both"/>
      </w:pPr>
      <w:r w:rsidRPr="00FF30CA">
        <w:rPr>
          <w:rStyle w:val="FootnoteReference"/>
          <w:rFonts w:asciiTheme="majorBidi" w:hAnsiTheme="majorBidi" w:cstheme="majorBidi"/>
        </w:rPr>
        <w:footnoteRef/>
      </w:r>
      <w:r w:rsidRPr="00FF30CA">
        <w:rPr>
          <w:rFonts w:asciiTheme="majorBidi" w:hAnsiTheme="majorBidi" w:cstheme="majorBidi"/>
        </w:rPr>
        <w:t xml:space="preserve"> Dalam Wawasan Majelis Ulama Indonesai disebutkan bahwa MUI berperan sebagai ahli waris tugas-tugas para Nabi, yaitu menyebarkan ajaran Islam serta meperjuangkan terwujudnya suatu kehidupan sehari-hari secara arif dan bijaksana berdasarkan Islam. Lihat. Sekretariat Majelis Ulama Indonesia Pusat, </w:t>
      </w:r>
      <w:r w:rsidRPr="00FF30CA">
        <w:rPr>
          <w:rFonts w:asciiTheme="majorBidi" w:hAnsiTheme="majorBidi" w:cstheme="majorBidi"/>
          <w:i/>
          <w:iCs/>
        </w:rPr>
        <w:t>Himpunan Keputusan Musyawarah Majelis Ulama Indonesia VII</w:t>
      </w:r>
      <w:r w:rsidRPr="00FF30CA">
        <w:rPr>
          <w:rFonts w:asciiTheme="majorBidi" w:hAnsiTheme="majorBidi" w:cstheme="majorBidi"/>
        </w:rPr>
        <w:t>, ( Jakarta:</w:t>
      </w:r>
      <w:r>
        <w:rPr>
          <w:rFonts w:asciiTheme="majorBidi" w:hAnsiTheme="majorBidi" w:cstheme="majorBidi"/>
        </w:rPr>
        <w:t xml:space="preserve"> </w:t>
      </w:r>
      <w:r w:rsidRPr="00FF30CA">
        <w:rPr>
          <w:rFonts w:asciiTheme="majorBidi" w:hAnsiTheme="majorBidi" w:cstheme="majorBidi"/>
        </w:rPr>
        <w:t>Majelis Ulama Indonesia, 2010), h. 31</w:t>
      </w:r>
      <w:r>
        <w:t xml:space="preserve"> </w:t>
      </w:r>
    </w:p>
  </w:footnote>
  <w:footnote w:id="578">
    <w:p w:rsidR="00343B61" w:rsidRPr="00F54144"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F54144">
        <w:rPr>
          <w:rStyle w:val="FootnoteReference"/>
          <w:rFonts w:asciiTheme="majorBidi" w:hAnsiTheme="majorBidi" w:cstheme="majorBidi"/>
        </w:rPr>
        <w:footnoteRef/>
      </w:r>
      <w:r w:rsidRPr="00F54144">
        <w:rPr>
          <w:rFonts w:asciiTheme="majorBidi" w:hAnsiTheme="majorBidi" w:cstheme="majorBidi"/>
          <w:sz w:val="20"/>
          <w:szCs w:val="20"/>
        </w:rPr>
        <w:t xml:space="preserve"> Lihat antara lain Mohammad Atho Mudzhar, </w:t>
      </w:r>
      <w:r w:rsidRPr="00F54144">
        <w:rPr>
          <w:rFonts w:asciiTheme="majorBidi" w:hAnsiTheme="majorBidi" w:cstheme="majorBidi"/>
          <w:i/>
          <w:iCs/>
          <w:sz w:val="20"/>
          <w:szCs w:val="20"/>
        </w:rPr>
        <w:t>Fatwa-Fatwa Majelis Ulama Indonesia:</w:t>
      </w:r>
      <w:r>
        <w:rPr>
          <w:rFonts w:asciiTheme="majorBidi" w:hAnsiTheme="majorBidi" w:cstheme="majorBidi"/>
          <w:i/>
          <w:iCs/>
          <w:sz w:val="20"/>
          <w:szCs w:val="20"/>
        </w:rPr>
        <w:t xml:space="preserve"> </w:t>
      </w:r>
      <w:r w:rsidRPr="00F54144">
        <w:rPr>
          <w:rFonts w:asciiTheme="majorBidi" w:hAnsiTheme="majorBidi" w:cstheme="majorBidi"/>
          <w:i/>
          <w:iCs/>
          <w:sz w:val="20"/>
          <w:szCs w:val="20"/>
        </w:rPr>
        <w:t xml:space="preserve">Sebuah Studi tentang Pemikiran Hukum Islam di Indonesia (1975 . 1988), </w:t>
      </w:r>
      <w:r w:rsidRPr="00F54144">
        <w:rPr>
          <w:rFonts w:asciiTheme="majorBidi" w:hAnsiTheme="majorBidi" w:cstheme="majorBidi"/>
          <w:sz w:val="20"/>
          <w:szCs w:val="20"/>
        </w:rPr>
        <w:t>(Jakarta: INIS, 1993), edisi</w:t>
      </w:r>
      <w:r>
        <w:rPr>
          <w:rFonts w:asciiTheme="majorBidi" w:hAnsiTheme="majorBidi" w:cstheme="majorBidi"/>
          <w:sz w:val="20"/>
          <w:szCs w:val="20"/>
        </w:rPr>
        <w:t xml:space="preserve"> </w:t>
      </w:r>
      <w:r w:rsidRPr="00F54144">
        <w:rPr>
          <w:rFonts w:asciiTheme="majorBidi" w:hAnsiTheme="majorBidi" w:cstheme="majorBidi"/>
          <w:sz w:val="20"/>
          <w:szCs w:val="20"/>
        </w:rPr>
        <w:t>dwibahasa, hal.19.</w:t>
      </w:r>
    </w:p>
  </w:footnote>
  <w:footnote w:id="579">
    <w:p w:rsidR="00343B61" w:rsidRPr="00F54144" w:rsidRDefault="00343B61" w:rsidP="00343B61">
      <w:pPr>
        <w:pStyle w:val="FootnoteText"/>
        <w:ind w:firstLine="720"/>
        <w:jc w:val="both"/>
        <w:rPr>
          <w:rFonts w:asciiTheme="majorBidi" w:hAnsiTheme="majorBidi" w:cstheme="majorBidi"/>
        </w:rPr>
      </w:pPr>
      <w:r w:rsidRPr="00F54144">
        <w:rPr>
          <w:rStyle w:val="FootnoteReference"/>
          <w:rFonts w:asciiTheme="majorBidi" w:hAnsiTheme="majorBidi" w:cstheme="majorBidi"/>
        </w:rPr>
        <w:footnoteRef/>
      </w:r>
      <w:r w:rsidRPr="00F54144">
        <w:rPr>
          <w:rFonts w:asciiTheme="majorBidi" w:hAnsiTheme="majorBidi" w:cstheme="majorBidi"/>
        </w:rPr>
        <w:t xml:space="preserve"> Lihat antara lain Mohammad Atho Mudzhar, </w:t>
      </w:r>
      <w:r w:rsidRPr="005107FA">
        <w:rPr>
          <w:rFonts w:asciiTheme="majorBidi" w:hAnsiTheme="majorBidi" w:cstheme="majorBidi"/>
          <w:i/>
          <w:iCs/>
        </w:rPr>
        <w:t xml:space="preserve">Fatwa-Fatwa Majelis Ulama Indonesia: Sebuah Studi tentang Pemikiran Hukum Islam di Indonesia </w:t>
      </w:r>
      <w:r w:rsidRPr="00F54144">
        <w:rPr>
          <w:rFonts w:asciiTheme="majorBidi" w:hAnsiTheme="majorBidi" w:cstheme="majorBidi"/>
        </w:rPr>
        <w:t xml:space="preserve">(1975 </w:t>
      </w:r>
      <w:r w:rsidRPr="00F54144">
        <w:rPr>
          <w:rFonts w:asciiTheme="majorBidi" w:cstheme="majorBidi"/>
        </w:rPr>
        <w:t>–</w:t>
      </w:r>
      <w:r w:rsidRPr="00F54144">
        <w:rPr>
          <w:rFonts w:asciiTheme="majorBidi" w:hAnsiTheme="majorBidi" w:cstheme="majorBidi"/>
        </w:rPr>
        <w:t xml:space="preserve"> 1988), (Jakarta: INIS, 1993), edisi</w:t>
      </w:r>
      <w:r>
        <w:rPr>
          <w:rFonts w:asciiTheme="majorBidi" w:hAnsiTheme="majorBidi" w:cstheme="majorBidi"/>
        </w:rPr>
        <w:t xml:space="preserve"> </w:t>
      </w:r>
      <w:r w:rsidRPr="00F54144">
        <w:rPr>
          <w:rFonts w:asciiTheme="majorBidi" w:hAnsiTheme="majorBidi" w:cstheme="majorBidi"/>
        </w:rPr>
        <w:t>dwibahasa, hal.19.</w:t>
      </w:r>
    </w:p>
  </w:footnote>
  <w:footnote w:id="580">
    <w:p w:rsidR="00343B61" w:rsidRDefault="00343B61" w:rsidP="00343B61">
      <w:pPr>
        <w:pStyle w:val="FootnoteText"/>
        <w:ind w:firstLine="720"/>
        <w:jc w:val="both"/>
      </w:pPr>
      <w:r>
        <w:rPr>
          <w:rStyle w:val="FootnoteReference"/>
        </w:rPr>
        <w:footnoteRef/>
      </w:r>
      <w:r>
        <w:rPr>
          <w:rFonts w:asciiTheme="majorBidi" w:hAnsiTheme="majorBidi" w:cstheme="majorBidi"/>
          <w:lang w:val="sv-SE" w:eastAsia="en-GB"/>
        </w:rPr>
        <w:t xml:space="preserve">Lihat. </w:t>
      </w:r>
      <w:r w:rsidRPr="00B52741">
        <w:rPr>
          <w:rFonts w:ascii="Times New Roman" w:hAnsi="Times New Roman" w:cs="Times New Roman"/>
          <w:lang w:val="sv-SE" w:eastAsia="en-GB"/>
        </w:rPr>
        <w:t>Asror</w:t>
      </w:r>
      <w:r>
        <w:rPr>
          <w:rFonts w:ascii="Times New Roman" w:hAnsi="Times New Roman" w:cs="Times New Roman"/>
          <w:lang w:val="sv-SE" w:eastAsia="en-GB"/>
        </w:rPr>
        <w:t>un</w:t>
      </w:r>
      <w:r w:rsidRPr="00B52741">
        <w:rPr>
          <w:rFonts w:ascii="Times New Roman" w:hAnsi="Times New Roman" w:cs="Times New Roman"/>
          <w:lang w:val="sv-SE" w:eastAsia="en-GB"/>
        </w:rPr>
        <w:t xml:space="preserve"> Ni’am Sholeh, </w:t>
      </w:r>
      <w:r>
        <w:rPr>
          <w:rFonts w:ascii="Times New Roman" w:hAnsi="Times New Roman" w:cs="Times New Roman"/>
          <w:i/>
          <w:iCs/>
          <w:lang w:val="sv-SE" w:eastAsia="en-GB"/>
        </w:rPr>
        <w:t>Sadd add</w:t>
      </w:r>
      <w:r w:rsidRPr="00B52741">
        <w:rPr>
          <w:rFonts w:ascii="Times New Roman" w:hAnsi="Times New Roman" w:cs="Times New Roman"/>
          <w:i/>
          <w:iCs/>
          <w:lang w:val="sv-SE" w:eastAsia="en-GB"/>
        </w:rPr>
        <w:t xml:space="preserve">-Dzari’ah dan Aplikasinya dalam Fatwa Majelis Ulama Indonesia, </w:t>
      </w:r>
      <w:r w:rsidRPr="00B52741">
        <w:rPr>
          <w:rFonts w:ascii="Times New Roman" w:hAnsi="Times New Roman" w:cs="Times New Roman"/>
          <w:lang w:val="sv-SE" w:eastAsia="en-GB"/>
        </w:rPr>
        <w:t>Disertasi Doktor Konsentrasi Syari’ah ( Jakarta: Perpustakaan Pascasarjana UIN Syarif Hidatullah, 2008)</w:t>
      </w:r>
      <w:r>
        <w:rPr>
          <w:rFonts w:ascii="Times New Roman" w:hAnsi="Times New Roman" w:cs="Times New Roman"/>
          <w:lang w:val="sv-SE" w:eastAsia="en-GB"/>
        </w:rPr>
        <w:t>, h. 129</w:t>
      </w:r>
    </w:p>
  </w:footnote>
  <w:footnote w:id="581">
    <w:p w:rsidR="00343B61" w:rsidRPr="007C44CE" w:rsidRDefault="00343B61" w:rsidP="00343B61">
      <w:pPr>
        <w:pStyle w:val="FootnoteText"/>
        <w:ind w:firstLine="720"/>
        <w:jc w:val="both"/>
        <w:rPr>
          <w:rFonts w:asciiTheme="majorBidi" w:hAnsiTheme="majorBidi" w:cstheme="majorBidi"/>
          <w:i/>
          <w:iCs/>
        </w:rPr>
      </w:pPr>
      <w:r w:rsidRPr="00636140">
        <w:rPr>
          <w:rStyle w:val="FootnoteReference"/>
          <w:rFonts w:asciiTheme="majorBidi" w:hAnsiTheme="majorBidi" w:cstheme="majorBidi"/>
        </w:rPr>
        <w:footnoteRef/>
      </w:r>
      <w:r w:rsidRPr="00636140">
        <w:rPr>
          <w:rFonts w:asciiTheme="majorBidi" w:hAnsiTheme="majorBidi" w:cstheme="majorBidi"/>
        </w:rPr>
        <w:t xml:space="preserve"> Lihat Mohammad Atho Mudzhar, </w:t>
      </w:r>
      <w:r w:rsidRPr="00636140">
        <w:rPr>
          <w:rFonts w:asciiTheme="majorBidi" w:hAnsiTheme="majorBidi" w:cstheme="majorBidi"/>
          <w:i/>
          <w:iCs/>
        </w:rPr>
        <w:t>Fatwa-Fatwa Majelis Ulama Indonesia: Sebuah Studi tentang</w:t>
      </w:r>
      <w:r>
        <w:rPr>
          <w:rFonts w:asciiTheme="majorBidi" w:hAnsiTheme="majorBidi" w:cstheme="majorBidi"/>
          <w:i/>
          <w:iCs/>
        </w:rPr>
        <w:t xml:space="preserve"> </w:t>
      </w:r>
      <w:r w:rsidRPr="00636140">
        <w:rPr>
          <w:rFonts w:asciiTheme="majorBidi" w:hAnsiTheme="majorBidi" w:cstheme="majorBidi"/>
          <w:i/>
          <w:iCs/>
        </w:rPr>
        <w:t>Pemikiran Hukum Islam di Indonesia</w:t>
      </w:r>
      <w:r w:rsidRPr="00636140">
        <w:rPr>
          <w:rFonts w:asciiTheme="majorBidi" w:hAnsiTheme="majorBidi" w:cstheme="majorBidi"/>
        </w:rPr>
        <w:t xml:space="preserve"> (1975-1988), (Jakarta: INIS, 1993), h. 86</w:t>
      </w:r>
    </w:p>
  </w:footnote>
  <w:footnote w:id="582">
    <w:p w:rsidR="00343B61" w:rsidRPr="008109CE"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8109CE">
        <w:rPr>
          <w:rStyle w:val="FootnoteReference"/>
          <w:rFonts w:asciiTheme="majorBidi" w:hAnsiTheme="majorBidi" w:cstheme="majorBidi"/>
          <w:sz w:val="20"/>
          <w:szCs w:val="20"/>
        </w:rPr>
        <w:footnoteRef/>
      </w:r>
      <w:r w:rsidRPr="008109CE">
        <w:rPr>
          <w:rFonts w:asciiTheme="majorBidi" w:hAnsiTheme="majorBidi" w:cstheme="majorBidi"/>
          <w:sz w:val="20"/>
          <w:szCs w:val="20"/>
        </w:rPr>
        <w:t xml:space="preserve"> Lihat </w:t>
      </w:r>
      <w:r w:rsidRPr="008109CE">
        <w:rPr>
          <w:rFonts w:asciiTheme="majorBidi" w:hAnsiTheme="majorBidi" w:cstheme="majorBidi"/>
          <w:i/>
          <w:iCs/>
          <w:sz w:val="20"/>
          <w:szCs w:val="20"/>
        </w:rPr>
        <w:t xml:space="preserve">Himpunan Fatwa Majelis Ulama Indonesia, </w:t>
      </w:r>
      <w:r w:rsidRPr="008109CE">
        <w:rPr>
          <w:rFonts w:asciiTheme="majorBidi" w:hAnsiTheme="majorBidi" w:cstheme="majorBidi"/>
          <w:sz w:val="20"/>
          <w:szCs w:val="20"/>
        </w:rPr>
        <w:t>(Jakarta: MUI . Departemen Agama, 2003), hal. 205 - 208. Dalam diktum keputusan fatwa disebutkan ada dua keputusan yakni; (i) membenarkan ada</w:t>
      </w:r>
      <w:r>
        <w:rPr>
          <w:rFonts w:asciiTheme="majorBidi" w:hAnsiTheme="majorBidi" w:cstheme="majorBidi"/>
          <w:sz w:val="20"/>
          <w:szCs w:val="20"/>
        </w:rPr>
        <w:t>nya pendapat mazhab Syafi'i</w:t>
      </w:r>
      <w:r w:rsidRPr="008109CE">
        <w:rPr>
          <w:rFonts w:asciiTheme="majorBidi" w:hAnsiTheme="majorBidi" w:cstheme="majorBidi"/>
          <w:sz w:val="20"/>
          <w:szCs w:val="20"/>
        </w:rPr>
        <w:t xml:space="preserve"> /jumhur Ulama tentang tidak halalnya memakan daging kodok dan membenarkan adanya pendapat Imam Maliki tentang halalnya daging kodok tersebut; (ii) membudidayakan kodok hanya untuk diambil manfaatnya, tidak untuk dimakan, tidak bertentangan dengan ajaran Islam.</w:t>
      </w:r>
    </w:p>
  </w:footnote>
  <w:footnote w:id="583">
    <w:p w:rsidR="00343B61" w:rsidRPr="008109CE"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lang w:val="sv-SE"/>
        </w:rPr>
      </w:pPr>
      <w:r w:rsidRPr="008109CE">
        <w:rPr>
          <w:rStyle w:val="FootnoteReference"/>
          <w:rFonts w:asciiTheme="majorBidi" w:hAnsiTheme="majorBidi" w:cstheme="majorBidi"/>
          <w:sz w:val="20"/>
          <w:szCs w:val="20"/>
        </w:rPr>
        <w:footnoteRef/>
      </w:r>
      <w:r w:rsidRPr="008109CE">
        <w:rPr>
          <w:rFonts w:asciiTheme="majorBidi" w:hAnsiTheme="majorBidi" w:cstheme="majorBidi"/>
          <w:sz w:val="20"/>
          <w:szCs w:val="20"/>
          <w:lang w:val="sv-SE" w:eastAsia="en-GB"/>
        </w:rPr>
        <w:t xml:space="preserve">Lihat.Asrorun Ni’am Sholeh, </w:t>
      </w:r>
      <w:r w:rsidRPr="008109CE">
        <w:rPr>
          <w:rFonts w:asciiTheme="majorBidi" w:hAnsiTheme="majorBidi" w:cstheme="majorBidi"/>
          <w:i/>
          <w:iCs/>
          <w:sz w:val="20"/>
          <w:szCs w:val="20"/>
          <w:lang w:val="sv-SE" w:eastAsia="en-GB"/>
        </w:rPr>
        <w:t xml:space="preserve">Sadd add-Dzari’ah dan Aplikasinya dalam Fatwa Majelis Ulama Indonesia, </w:t>
      </w:r>
      <w:r w:rsidRPr="008109CE">
        <w:rPr>
          <w:rFonts w:asciiTheme="majorBidi" w:hAnsiTheme="majorBidi" w:cstheme="majorBidi"/>
          <w:sz w:val="20"/>
          <w:szCs w:val="20"/>
          <w:lang w:val="sv-SE" w:eastAsia="en-GB"/>
        </w:rPr>
        <w:t>Disertasi Doktor Konsentrasi Syari’ah ( Jakarta: Perpustakaan Pascasarjana UIN Syarif Hidatullah, 2008), h. 130</w:t>
      </w:r>
    </w:p>
  </w:footnote>
  <w:footnote w:id="584">
    <w:p w:rsidR="00343B61" w:rsidRPr="008109CE" w:rsidRDefault="00343B61" w:rsidP="00343B61">
      <w:pPr>
        <w:pStyle w:val="FootnoteText"/>
        <w:ind w:firstLine="720"/>
        <w:jc w:val="both"/>
        <w:rPr>
          <w:rFonts w:asciiTheme="majorBidi" w:hAnsiTheme="majorBidi" w:cstheme="majorBidi"/>
        </w:rPr>
      </w:pPr>
      <w:r w:rsidRPr="008109CE">
        <w:rPr>
          <w:rStyle w:val="FootnoteReference"/>
          <w:rFonts w:asciiTheme="majorBidi" w:hAnsiTheme="majorBidi" w:cstheme="majorBidi"/>
        </w:rPr>
        <w:footnoteRef/>
      </w:r>
      <w:r w:rsidRPr="008109CE">
        <w:rPr>
          <w:rFonts w:asciiTheme="majorBidi" w:hAnsiTheme="majorBidi" w:cstheme="majorBidi"/>
        </w:rPr>
        <w:t xml:space="preserve"> Metode </w:t>
      </w:r>
      <w:r w:rsidRPr="008109CE">
        <w:rPr>
          <w:rFonts w:asciiTheme="majorBidi" w:hAnsiTheme="majorBidi" w:cstheme="majorBidi"/>
          <w:i/>
          <w:iCs/>
        </w:rPr>
        <w:t>al-jam’u wa at-taufiq</w:t>
      </w:r>
      <w:r w:rsidRPr="008109CE">
        <w:rPr>
          <w:rFonts w:asciiTheme="majorBidi" w:hAnsiTheme="majorBidi" w:cstheme="majorBidi"/>
        </w:rPr>
        <w:t xml:space="preserve"> artinya mengkompromikan diantara dua pendapat yang tampak bertentangan, atau sama diamalkan sesuai konteksnya.Lihat. Aan Supian</w:t>
      </w:r>
      <w:r w:rsidRPr="008109CE">
        <w:rPr>
          <w:rFonts w:asciiTheme="majorBidi" w:hAnsiTheme="majorBidi" w:cstheme="majorBidi"/>
          <w:i/>
          <w:iCs/>
        </w:rPr>
        <w:t>, Konsep Syadz dan ‘Illat Kriteria Matan Hadis</w:t>
      </w:r>
      <w:r w:rsidRPr="008109CE">
        <w:rPr>
          <w:rFonts w:asciiTheme="majorBidi" w:hAnsiTheme="majorBidi" w:cstheme="majorBidi"/>
        </w:rPr>
        <w:t xml:space="preserve">, </w:t>
      </w:r>
      <w:r w:rsidRPr="008109CE">
        <w:rPr>
          <w:rFonts w:asciiTheme="majorBidi" w:hAnsiTheme="majorBidi" w:cstheme="majorBidi"/>
          <w:i/>
          <w:iCs/>
        </w:rPr>
        <w:t>op,cit</w:t>
      </w:r>
      <w:r w:rsidRPr="008109CE">
        <w:rPr>
          <w:rFonts w:asciiTheme="majorBidi" w:hAnsiTheme="majorBidi" w:cstheme="majorBidi"/>
        </w:rPr>
        <w:t>., (t.t:  Studia Press, 2005), h.61</w:t>
      </w:r>
    </w:p>
  </w:footnote>
  <w:footnote w:id="585">
    <w:p w:rsidR="00343B61" w:rsidRPr="004F20E0" w:rsidRDefault="00343B61" w:rsidP="00343B61">
      <w:pPr>
        <w:pStyle w:val="FootnoteText"/>
        <w:ind w:firstLine="720"/>
        <w:jc w:val="both"/>
        <w:rPr>
          <w:rFonts w:asciiTheme="majorBidi" w:hAnsiTheme="majorBidi" w:cstheme="majorBidi"/>
          <w:lang w:val="id-ID"/>
        </w:rPr>
      </w:pPr>
      <w:r w:rsidRPr="008109CE">
        <w:rPr>
          <w:rStyle w:val="FootnoteReference"/>
          <w:rFonts w:asciiTheme="majorBidi" w:hAnsiTheme="majorBidi" w:cstheme="majorBidi"/>
        </w:rPr>
        <w:footnoteRef/>
      </w:r>
      <w:r w:rsidRPr="008109CE">
        <w:rPr>
          <w:rFonts w:asciiTheme="majorBidi" w:hAnsiTheme="majorBidi" w:cstheme="majorBidi"/>
        </w:rPr>
        <w:t xml:space="preserve"> </w:t>
      </w:r>
      <w:r w:rsidRPr="008109CE">
        <w:rPr>
          <w:rFonts w:asciiTheme="majorBidi" w:hAnsiTheme="majorBidi" w:cstheme="majorBidi"/>
          <w:spacing w:val="6"/>
          <w:lang w:val="id-ID"/>
        </w:rPr>
        <w:t xml:space="preserve">Metode </w:t>
      </w:r>
      <w:r w:rsidRPr="008109CE">
        <w:rPr>
          <w:rFonts w:asciiTheme="majorBidi" w:hAnsiTheme="majorBidi" w:cstheme="majorBidi"/>
          <w:i/>
          <w:iCs/>
          <w:spacing w:val="6"/>
          <w:lang w:val="id-ID"/>
        </w:rPr>
        <w:t>bayāni</w:t>
      </w:r>
      <w:r w:rsidRPr="008109CE">
        <w:rPr>
          <w:rFonts w:asciiTheme="majorBidi" w:hAnsiTheme="majorBidi" w:cstheme="majorBidi"/>
          <w:spacing w:val="6"/>
          <w:lang w:val="id-ID"/>
        </w:rPr>
        <w:t xml:space="preserve"> adalah upaya menemukan hukum dalam teks dengan kajian kebahasaan; metode</w:t>
      </w:r>
      <w:r w:rsidRPr="008109CE">
        <w:rPr>
          <w:rFonts w:asciiTheme="majorBidi" w:hAnsiTheme="majorBidi" w:cstheme="majorBidi"/>
          <w:i/>
          <w:iCs/>
          <w:spacing w:val="6"/>
          <w:lang w:val="id-ID"/>
        </w:rPr>
        <w:t xml:space="preserve"> ta’līli</w:t>
      </w:r>
      <w:r w:rsidRPr="008109CE">
        <w:rPr>
          <w:rFonts w:asciiTheme="majorBidi" w:hAnsiTheme="majorBidi" w:cstheme="majorBidi"/>
          <w:spacing w:val="6"/>
          <w:lang w:val="id-ID"/>
        </w:rPr>
        <w:t xml:space="preserve"> disebut juga </w:t>
      </w:r>
      <w:r w:rsidRPr="008109CE">
        <w:rPr>
          <w:rFonts w:asciiTheme="majorBidi" w:hAnsiTheme="majorBidi" w:cstheme="majorBidi"/>
          <w:i/>
          <w:iCs/>
          <w:spacing w:val="6"/>
          <w:lang w:val="id-ID"/>
        </w:rPr>
        <w:t>qiyāsi</w:t>
      </w:r>
      <w:r w:rsidRPr="008109CE">
        <w:rPr>
          <w:rFonts w:asciiTheme="majorBidi" w:hAnsiTheme="majorBidi" w:cstheme="majorBidi"/>
          <w:spacing w:val="6"/>
          <w:lang w:val="id-ID"/>
        </w:rPr>
        <w:t xml:space="preserve"> adalah upaya menemukan hukum melalui penemuan ’illat dan mengaitkannya dengan hukum yang ada dalam teks; dan metode </w:t>
      </w:r>
      <w:r>
        <w:rPr>
          <w:rFonts w:asciiTheme="majorBidi" w:hAnsiTheme="majorBidi" w:cstheme="majorBidi"/>
          <w:i/>
          <w:iCs/>
          <w:spacing w:val="6"/>
          <w:lang w:val="id-ID"/>
        </w:rPr>
        <w:t>isti</w:t>
      </w:r>
      <w:r>
        <w:rPr>
          <w:rFonts w:asciiTheme="majorBidi" w:hAnsiTheme="majorBidi" w:cstheme="majorBidi"/>
          <w:i/>
          <w:iCs/>
          <w:spacing w:val="6"/>
        </w:rPr>
        <w:t>s</w:t>
      </w:r>
      <w:r w:rsidRPr="008109CE">
        <w:rPr>
          <w:rFonts w:asciiTheme="majorBidi" w:hAnsiTheme="majorBidi" w:cstheme="majorBidi"/>
          <w:i/>
          <w:iCs/>
          <w:spacing w:val="6"/>
          <w:lang w:val="id-ID"/>
        </w:rPr>
        <w:t>lā</w:t>
      </w:r>
      <w:r w:rsidRPr="008109CE">
        <w:rPr>
          <w:rFonts w:asciiTheme="majorBidi" w:hAnsiTheme="majorBidi" w:cstheme="majorBidi"/>
          <w:i/>
          <w:iCs/>
          <w:spacing w:val="6"/>
          <w:u w:val="single"/>
          <w:lang w:val="id-ID"/>
        </w:rPr>
        <w:t>h</w:t>
      </w:r>
      <w:r w:rsidRPr="008109CE">
        <w:rPr>
          <w:rFonts w:asciiTheme="majorBidi" w:hAnsiTheme="majorBidi" w:cstheme="majorBidi"/>
          <w:i/>
          <w:iCs/>
          <w:spacing w:val="6"/>
          <w:lang w:val="id-ID"/>
        </w:rPr>
        <w:t>i</w:t>
      </w:r>
      <w:r w:rsidRPr="008109CE">
        <w:rPr>
          <w:rFonts w:asciiTheme="majorBidi" w:hAnsiTheme="majorBidi" w:cstheme="majorBidi"/>
          <w:spacing w:val="6"/>
          <w:lang w:val="id-ID"/>
        </w:rPr>
        <w:t xml:space="preserve"> adalah upaya menemukan hukum dengan mempertimbangkan unsur kemaslahatan di dalamnya. Lebih lanjut, lihat Wahbah al-Zu</w:t>
      </w:r>
      <w:r w:rsidRPr="008109CE">
        <w:rPr>
          <w:rFonts w:asciiTheme="majorBidi" w:hAnsiTheme="majorBidi" w:cstheme="majorBidi"/>
          <w:spacing w:val="6"/>
          <w:u w:val="single"/>
          <w:lang w:val="id-ID"/>
        </w:rPr>
        <w:t>h</w:t>
      </w:r>
      <w:r w:rsidRPr="008109CE">
        <w:rPr>
          <w:rFonts w:asciiTheme="majorBidi" w:hAnsiTheme="majorBidi" w:cstheme="majorBidi"/>
          <w:spacing w:val="6"/>
          <w:lang w:val="id-ID"/>
        </w:rPr>
        <w:t xml:space="preserve">aili, </w:t>
      </w:r>
      <w:r w:rsidRPr="008109CE">
        <w:rPr>
          <w:rFonts w:asciiTheme="majorBidi" w:hAnsiTheme="majorBidi" w:cstheme="majorBidi"/>
          <w:i/>
          <w:iCs/>
          <w:spacing w:val="6"/>
          <w:lang w:val="id-ID"/>
        </w:rPr>
        <w:t>Usūl al-Fiqh al-Islāmi</w:t>
      </w:r>
      <w:r w:rsidRPr="008109CE">
        <w:rPr>
          <w:rFonts w:asciiTheme="majorBidi" w:hAnsiTheme="majorBidi" w:cstheme="majorBidi"/>
          <w:spacing w:val="6"/>
          <w:lang w:val="id-ID"/>
        </w:rPr>
        <w:t>, (Damaskus: Dar al-Fikr, 1426 H/2005 M), Juz 2, h. 330</w:t>
      </w:r>
    </w:p>
  </w:footnote>
  <w:footnote w:id="586">
    <w:p w:rsidR="00343B61" w:rsidRPr="004F20E0"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4F20E0">
        <w:rPr>
          <w:rStyle w:val="FootnoteReference"/>
          <w:rFonts w:asciiTheme="majorBidi" w:hAnsiTheme="majorBidi" w:cstheme="majorBidi"/>
          <w:sz w:val="20"/>
          <w:szCs w:val="20"/>
        </w:rPr>
        <w:footnoteRef/>
      </w:r>
      <w:r w:rsidRPr="004F20E0">
        <w:rPr>
          <w:rFonts w:asciiTheme="majorBidi" w:hAnsiTheme="majorBidi" w:cstheme="majorBidi"/>
          <w:sz w:val="20"/>
          <w:szCs w:val="20"/>
        </w:rPr>
        <w:t xml:space="preserve"> </w:t>
      </w:r>
      <w:r w:rsidRPr="00593602">
        <w:rPr>
          <w:rFonts w:asciiTheme="majorBidi" w:hAnsiTheme="majorBidi" w:cstheme="majorBidi"/>
          <w:sz w:val="20"/>
          <w:szCs w:val="20"/>
        </w:rPr>
        <w:t>Sadd al-dzari’ah</w:t>
      </w:r>
      <w:r w:rsidRPr="004F20E0">
        <w:rPr>
          <w:rFonts w:asciiTheme="majorBidi" w:hAnsiTheme="majorBidi" w:cstheme="majorBidi"/>
          <w:i/>
          <w:iCs/>
          <w:sz w:val="20"/>
          <w:szCs w:val="20"/>
        </w:rPr>
        <w:t xml:space="preserve"> </w:t>
      </w:r>
      <w:r w:rsidRPr="004F20E0">
        <w:rPr>
          <w:rFonts w:asciiTheme="majorBidi" w:hAnsiTheme="majorBidi" w:cstheme="majorBidi"/>
          <w:sz w:val="20"/>
          <w:szCs w:val="20"/>
        </w:rPr>
        <w:t xml:space="preserve">adalah metode penetapan hukum dengan cara menutup jalan yang mengantarkan pada perbuatan yang mendatangkan </w:t>
      </w:r>
      <w:r w:rsidRPr="004F20E0">
        <w:rPr>
          <w:rFonts w:asciiTheme="majorBidi" w:hAnsiTheme="majorBidi" w:cstheme="majorBidi"/>
          <w:i/>
          <w:iCs/>
          <w:sz w:val="20"/>
          <w:szCs w:val="20"/>
        </w:rPr>
        <w:t xml:space="preserve">mafsadah </w:t>
      </w:r>
      <w:r w:rsidRPr="004F20E0">
        <w:rPr>
          <w:rFonts w:asciiTheme="majorBidi" w:hAnsiTheme="majorBidi" w:cstheme="majorBidi"/>
          <w:sz w:val="20"/>
          <w:szCs w:val="20"/>
        </w:rPr>
        <w:t>dan ya</w:t>
      </w:r>
      <w:r>
        <w:rPr>
          <w:rFonts w:asciiTheme="majorBidi" w:hAnsiTheme="majorBidi" w:cstheme="majorBidi"/>
          <w:sz w:val="20"/>
          <w:szCs w:val="20"/>
        </w:rPr>
        <w:t>ng dilarang. Lihat. Al-Syathibi</w:t>
      </w:r>
      <w:r w:rsidRPr="004F20E0">
        <w:rPr>
          <w:rFonts w:asciiTheme="majorBidi" w:hAnsiTheme="majorBidi" w:cstheme="majorBidi"/>
          <w:sz w:val="20"/>
          <w:szCs w:val="20"/>
        </w:rPr>
        <w:t xml:space="preserve">, </w:t>
      </w:r>
      <w:r w:rsidRPr="004F20E0">
        <w:rPr>
          <w:rFonts w:asciiTheme="majorBidi" w:hAnsiTheme="majorBidi" w:cstheme="majorBidi"/>
          <w:i/>
          <w:iCs/>
          <w:sz w:val="20"/>
          <w:szCs w:val="20"/>
        </w:rPr>
        <w:t>Al-Muwafaqat fi Ushul al-Syari’at</w:t>
      </w:r>
      <w:r w:rsidRPr="004F20E0">
        <w:rPr>
          <w:rFonts w:asciiTheme="majorBidi" w:hAnsiTheme="majorBidi" w:cstheme="majorBidi"/>
          <w:sz w:val="20"/>
          <w:szCs w:val="20"/>
        </w:rPr>
        <w:t>, (Beirut: Dar al-Rasyid al-Haditsah, t.t.), juz 3, h. 257 . 258.</w:t>
      </w:r>
    </w:p>
  </w:footnote>
  <w:footnote w:id="587">
    <w:p w:rsidR="00343B61" w:rsidRDefault="00343B61" w:rsidP="00343B61">
      <w:pPr>
        <w:pStyle w:val="FootnoteText"/>
        <w:ind w:firstLine="720"/>
        <w:jc w:val="both"/>
      </w:pPr>
      <w:r w:rsidRPr="004F20E0">
        <w:rPr>
          <w:rStyle w:val="FootnoteReference"/>
          <w:rFonts w:asciiTheme="majorBidi" w:hAnsiTheme="majorBidi" w:cstheme="majorBidi"/>
        </w:rPr>
        <w:footnoteRef/>
      </w:r>
      <w:r w:rsidRPr="004F20E0">
        <w:rPr>
          <w:rFonts w:asciiTheme="majorBidi" w:hAnsiTheme="majorBidi" w:cstheme="majorBidi"/>
        </w:rPr>
        <w:t xml:space="preserve"> Termaktub dalam bab III ayat 1-5 mengenai Metode Penetapan Fatwa. Lihat. </w:t>
      </w:r>
      <w:r w:rsidRPr="004F20E0">
        <w:rPr>
          <w:rFonts w:asciiTheme="majorBidi" w:hAnsiTheme="majorBidi" w:cstheme="majorBidi"/>
          <w:i/>
          <w:iCs/>
        </w:rPr>
        <w:t>Pedoman dan Prosedur Penetapan Fatwa Majelis Ulama</w:t>
      </w:r>
      <w:r w:rsidRPr="004F20E0">
        <w:rPr>
          <w:rFonts w:asciiTheme="majorBidi" w:hAnsiTheme="majorBidi" w:cstheme="majorBidi"/>
        </w:rPr>
        <w:t xml:space="preserve">, dalam : Ma’ruf Amin, </w:t>
      </w:r>
      <w:r w:rsidRPr="004F20E0">
        <w:rPr>
          <w:rFonts w:asciiTheme="majorBidi" w:hAnsiTheme="majorBidi" w:cstheme="majorBidi"/>
          <w:i/>
          <w:iCs/>
        </w:rPr>
        <w:t>Himpunan Fatwa Majelis Ulama Indonesia Sejak 1975</w:t>
      </w:r>
      <w:r w:rsidRPr="004F20E0">
        <w:rPr>
          <w:rFonts w:asciiTheme="majorBidi" w:hAnsiTheme="majorBidi" w:cstheme="majorBidi"/>
        </w:rPr>
        <w:t xml:space="preserve"> (Jakarta: Erlangga, 2011), h. 937</w:t>
      </w:r>
    </w:p>
  </w:footnote>
  <w:footnote w:id="588">
    <w:p w:rsidR="00343B61" w:rsidRPr="00C61DF7" w:rsidRDefault="00343B61" w:rsidP="00343B61">
      <w:pPr>
        <w:pStyle w:val="FootnoteText"/>
        <w:ind w:firstLine="720"/>
        <w:jc w:val="both"/>
        <w:rPr>
          <w:rFonts w:asciiTheme="majorBidi" w:hAnsiTheme="majorBidi" w:cstheme="majorBidi"/>
        </w:rPr>
      </w:pPr>
      <w:r w:rsidRPr="00C61DF7">
        <w:rPr>
          <w:rStyle w:val="FootnoteReference"/>
          <w:rFonts w:asciiTheme="majorBidi" w:hAnsiTheme="majorBidi" w:cstheme="majorBidi"/>
        </w:rPr>
        <w:footnoteRef/>
      </w:r>
      <w:r w:rsidRPr="00C61DF7">
        <w:rPr>
          <w:rFonts w:asciiTheme="majorBidi" w:hAnsiTheme="majorBidi" w:cstheme="majorBidi"/>
        </w:rPr>
        <w:t xml:space="preserve"> Lihat Fatwa MUI tentang Kriteria Maslahat,  Nomor: 6/MUNAS VII/MUI/10/2005.  dalam KH. Ma’ruf Amin dkk., </w:t>
      </w:r>
      <w:r w:rsidRPr="00C61DF7">
        <w:rPr>
          <w:rFonts w:asciiTheme="majorBidi" w:hAnsiTheme="majorBidi" w:cstheme="majorBidi"/>
          <w:i/>
          <w:iCs/>
        </w:rPr>
        <w:t>Himpunan Fatwa Majelis Ulama Indonesia Sejak</w:t>
      </w:r>
      <w:r>
        <w:rPr>
          <w:rFonts w:asciiTheme="majorBidi" w:hAnsiTheme="majorBidi" w:cstheme="majorBidi"/>
          <w:i/>
          <w:iCs/>
        </w:rPr>
        <w:t xml:space="preserve">, </w:t>
      </w:r>
      <w:r w:rsidRPr="00C61DF7">
        <w:rPr>
          <w:rFonts w:asciiTheme="majorBidi" w:hAnsiTheme="majorBidi" w:cstheme="majorBidi"/>
        </w:rPr>
        <w:t>1975,</w:t>
      </w:r>
      <w:r w:rsidRPr="00C61DF7">
        <w:rPr>
          <w:rFonts w:asciiTheme="majorBidi" w:hAnsiTheme="majorBidi" w:cstheme="majorBidi"/>
          <w:i/>
          <w:iCs/>
        </w:rPr>
        <w:t xml:space="preserve"> </w:t>
      </w:r>
      <w:r>
        <w:rPr>
          <w:rFonts w:asciiTheme="majorBidi" w:hAnsiTheme="majorBidi" w:cstheme="majorBidi"/>
          <w:i/>
          <w:iCs/>
        </w:rPr>
        <w:t xml:space="preserve">ibid, h. </w:t>
      </w:r>
      <w:r w:rsidRPr="00C61DF7">
        <w:rPr>
          <w:rFonts w:asciiTheme="majorBidi" w:hAnsiTheme="majorBidi" w:cstheme="majorBidi"/>
        </w:rPr>
        <w:t xml:space="preserve">486-490.  </w:t>
      </w:r>
    </w:p>
  </w:footnote>
  <w:footnote w:id="589">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Termaktub dalam bab IV ayat 1-8 mengenai Prosedur Rapat</w:t>
      </w:r>
      <w:r w:rsidRPr="004F20E0">
        <w:rPr>
          <w:rFonts w:asciiTheme="majorBidi" w:hAnsiTheme="majorBidi" w:cstheme="majorBidi"/>
        </w:rPr>
        <w:t xml:space="preserve"> Penetapan Fatwa. Lihat. </w:t>
      </w:r>
      <w:r w:rsidRPr="004F20E0">
        <w:rPr>
          <w:rFonts w:asciiTheme="majorBidi" w:hAnsiTheme="majorBidi" w:cstheme="majorBidi"/>
          <w:i/>
          <w:iCs/>
        </w:rPr>
        <w:t>Pedoman dan Prosedur Penetapan Fatwa Majelis Ulama</w:t>
      </w:r>
      <w:r w:rsidRPr="004F20E0">
        <w:rPr>
          <w:rFonts w:asciiTheme="majorBidi" w:hAnsiTheme="majorBidi" w:cstheme="majorBidi"/>
        </w:rPr>
        <w:t xml:space="preserve">, dalam : Ma’ruf Amin, </w:t>
      </w:r>
      <w:r w:rsidRPr="004F20E0">
        <w:rPr>
          <w:rFonts w:asciiTheme="majorBidi" w:hAnsiTheme="majorBidi" w:cstheme="majorBidi"/>
          <w:i/>
          <w:iCs/>
        </w:rPr>
        <w:t>Himpunan Fatwa Majelis Ulama Indonesia Sejak 1975</w:t>
      </w:r>
      <w:r w:rsidRPr="004F20E0">
        <w:rPr>
          <w:rFonts w:asciiTheme="majorBidi" w:hAnsiTheme="majorBidi" w:cstheme="majorBidi"/>
        </w:rPr>
        <w:t xml:space="preserve"> (</w:t>
      </w:r>
      <w:r>
        <w:rPr>
          <w:rFonts w:asciiTheme="majorBidi" w:hAnsiTheme="majorBidi" w:cstheme="majorBidi"/>
        </w:rPr>
        <w:t>Jakarta: Erlangga, 2011), h. 938</w:t>
      </w:r>
    </w:p>
  </w:footnote>
  <w:footnote w:id="590">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Pada bab V ayat 1-3  </w:t>
      </w:r>
      <w:r w:rsidRPr="00C523C6">
        <w:rPr>
          <w:rFonts w:asciiTheme="majorBidi" w:hAnsiTheme="majorBidi" w:cstheme="majorBidi"/>
        </w:rPr>
        <w:t>Pedoman dan Prosedur Penetapan Fatwa Majelis Ulama</w:t>
      </w:r>
      <w:r>
        <w:rPr>
          <w:rFonts w:asciiTheme="majorBidi" w:hAnsiTheme="majorBidi" w:cstheme="majorBidi"/>
        </w:rPr>
        <w:t xml:space="preserve"> menjelaskan Format</w:t>
      </w:r>
      <w:r w:rsidRPr="004F20E0">
        <w:rPr>
          <w:rFonts w:asciiTheme="majorBidi" w:hAnsiTheme="majorBidi" w:cstheme="majorBidi"/>
        </w:rPr>
        <w:t xml:space="preserve"> Fatwa. Lihat. dalam : Ma’ruf Amin, </w:t>
      </w:r>
      <w:r w:rsidRPr="004F20E0">
        <w:rPr>
          <w:rFonts w:asciiTheme="majorBidi" w:hAnsiTheme="majorBidi" w:cstheme="majorBidi"/>
          <w:i/>
          <w:iCs/>
        </w:rPr>
        <w:t>Himpunan Fatwa Majelis Ulama Indonesia Sejak 1975</w:t>
      </w:r>
      <w:r w:rsidRPr="004F20E0">
        <w:rPr>
          <w:rFonts w:asciiTheme="majorBidi" w:hAnsiTheme="majorBidi" w:cstheme="majorBidi"/>
        </w:rPr>
        <w:t xml:space="preserve"> (</w:t>
      </w:r>
      <w:r>
        <w:rPr>
          <w:rFonts w:asciiTheme="majorBidi" w:hAnsiTheme="majorBidi" w:cstheme="majorBidi"/>
        </w:rPr>
        <w:t>Jakarta: Erlangga, 2011), h. 939</w:t>
      </w:r>
    </w:p>
  </w:footnote>
  <w:footnote w:id="591">
    <w:p w:rsidR="00343B61" w:rsidRPr="00CA1173" w:rsidRDefault="00343B61" w:rsidP="00343B61">
      <w:pPr>
        <w:pStyle w:val="FootnoteText"/>
        <w:ind w:firstLine="720"/>
        <w:jc w:val="both"/>
        <w:rPr>
          <w:rFonts w:asciiTheme="majorBidi" w:hAnsiTheme="majorBidi" w:cstheme="majorBidi"/>
        </w:rPr>
      </w:pPr>
      <w:r w:rsidRPr="00CA1173">
        <w:rPr>
          <w:rStyle w:val="FootnoteReference"/>
          <w:rFonts w:asciiTheme="majorBidi" w:hAnsiTheme="majorBidi" w:cstheme="majorBidi"/>
        </w:rPr>
        <w:footnoteRef/>
      </w:r>
      <w:r w:rsidRPr="00CA1173">
        <w:rPr>
          <w:rFonts w:asciiTheme="majorBidi" w:hAnsiTheme="majorBidi" w:cstheme="majorBidi"/>
        </w:rPr>
        <w:t xml:space="preserve"> Tentang Kewenangan dan Wilayah Fatwa termaktub dalam  bab VI ayat 1-6  Pedoman dan Prosedur Penetapan Fatwa Majelis Ulama. Lihat. Ma’ruf Amin, </w:t>
      </w:r>
      <w:r w:rsidRPr="00CA1173">
        <w:rPr>
          <w:rFonts w:asciiTheme="majorBidi" w:hAnsiTheme="majorBidi" w:cstheme="majorBidi"/>
          <w:i/>
          <w:iCs/>
        </w:rPr>
        <w:t>Himpunan Fatwa Majelis Ulama Indonesia Sejak 1975</w:t>
      </w:r>
      <w:r w:rsidRPr="00CA1173">
        <w:rPr>
          <w:rFonts w:asciiTheme="majorBidi" w:hAnsiTheme="majorBidi" w:cstheme="majorBidi"/>
        </w:rPr>
        <w:t xml:space="preserve"> (Jakarta: Erlangga, 2011), h. 940</w:t>
      </w:r>
    </w:p>
  </w:footnote>
  <w:footnote w:id="592">
    <w:p w:rsidR="00343B61" w:rsidRDefault="00343B61" w:rsidP="00343B61">
      <w:pPr>
        <w:pStyle w:val="FootnoteText"/>
        <w:ind w:firstLine="720"/>
        <w:jc w:val="both"/>
      </w:pPr>
      <w:r w:rsidRPr="00CA1173">
        <w:rPr>
          <w:rStyle w:val="FootnoteReference"/>
          <w:rFonts w:asciiTheme="majorBidi" w:hAnsiTheme="majorBidi" w:cstheme="majorBidi"/>
        </w:rPr>
        <w:footnoteRef/>
      </w:r>
      <w:r w:rsidRPr="00CA1173">
        <w:rPr>
          <w:rFonts w:asciiTheme="majorBidi" w:hAnsiTheme="majorBidi" w:cstheme="majorBidi"/>
        </w:rPr>
        <w:t xml:space="preserve"> Lihat isi Bab VII  ayat 1- 4 Pedoman dan Prosedur Penetapan Fatwa Majelis Ulama Ma’ruf Amin</w:t>
      </w:r>
      <w:r w:rsidRPr="00CA1173">
        <w:rPr>
          <w:rFonts w:asciiTheme="majorBidi" w:hAnsiTheme="majorBidi" w:cstheme="majorBidi"/>
          <w:i/>
          <w:iCs/>
        </w:rPr>
        <w:t xml:space="preserve">, </w:t>
      </w:r>
      <w:r w:rsidRPr="00CA1173">
        <w:rPr>
          <w:rFonts w:asciiTheme="majorBidi" w:hAnsiTheme="majorBidi" w:cstheme="majorBidi"/>
        </w:rPr>
        <w:t>dkk,</w:t>
      </w:r>
      <w:r w:rsidRPr="00CA1173">
        <w:rPr>
          <w:rFonts w:asciiTheme="majorBidi" w:hAnsiTheme="majorBidi" w:cstheme="majorBidi"/>
          <w:i/>
          <w:iCs/>
        </w:rPr>
        <w:t xml:space="preserve"> Himpunan Fatwa MUI sejak 1975, </w:t>
      </w:r>
      <w:r w:rsidRPr="00CA1173">
        <w:rPr>
          <w:rFonts w:asciiTheme="majorBidi" w:hAnsiTheme="majorBidi" w:cstheme="majorBidi"/>
        </w:rPr>
        <w:t>( Jakarta: Penerbit Erlangga, 2011</w:t>
      </w:r>
      <w:r w:rsidRPr="00CA1173">
        <w:rPr>
          <w:rFonts w:asciiTheme="majorBidi" w:hAnsiTheme="majorBidi" w:cstheme="majorBidi"/>
          <w:i/>
          <w:iCs/>
        </w:rPr>
        <w:t xml:space="preserve">), </w:t>
      </w:r>
      <w:r w:rsidRPr="00CA1173">
        <w:rPr>
          <w:rFonts w:asciiTheme="majorBidi" w:hAnsiTheme="majorBidi" w:cstheme="majorBidi"/>
        </w:rPr>
        <w:t>h. 940</w:t>
      </w:r>
    </w:p>
  </w:footnote>
  <w:footnote w:id="593">
    <w:p w:rsidR="00343B61" w:rsidRPr="00953FB7" w:rsidRDefault="00343B61" w:rsidP="00343B61">
      <w:pPr>
        <w:pStyle w:val="FootnoteText"/>
        <w:ind w:firstLine="720"/>
        <w:jc w:val="both"/>
        <w:rPr>
          <w:rFonts w:asciiTheme="majorBidi" w:hAnsiTheme="majorBidi" w:cstheme="majorBidi"/>
        </w:rPr>
      </w:pPr>
      <w:r w:rsidRPr="00953FB7">
        <w:rPr>
          <w:rStyle w:val="FootnoteReference"/>
          <w:rFonts w:asciiTheme="majorBidi" w:hAnsiTheme="majorBidi" w:cstheme="majorBidi"/>
        </w:rPr>
        <w:footnoteRef/>
      </w:r>
      <w:r w:rsidRPr="00953FB7">
        <w:rPr>
          <w:rFonts w:asciiTheme="majorBidi" w:hAnsiTheme="majorBidi" w:cstheme="majorBidi"/>
        </w:rPr>
        <w:t xml:space="preserve"> Bila dibandingkan dengan metode istinbat hukum lajnah Bahsul Masail NU, tampak bahwa metode penetapan fatwa MUI ini memiliki </w:t>
      </w:r>
      <w:r>
        <w:rPr>
          <w:rFonts w:asciiTheme="majorBidi" w:hAnsiTheme="majorBidi" w:cstheme="majorBidi"/>
        </w:rPr>
        <w:t xml:space="preserve"> </w:t>
      </w:r>
      <w:r w:rsidRPr="00953FB7">
        <w:rPr>
          <w:rFonts w:asciiTheme="majorBidi" w:hAnsiTheme="majorBidi" w:cstheme="majorBidi"/>
        </w:rPr>
        <w:t xml:space="preserve">banyak kesamaan. Dalam kajian Ahmad Zahro, misalnya, Lajnah memiliki tiga metode, yakni metode </w:t>
      </w:r>
      <w:r w:rsidRPr="004948C3">
        <w:rPr>
          <w:rFonts w:asciiTheme="majorBidi" w:hAnsiTheme="majorBidi" w:cstheme="majorBidi"/>
          <w:i/>
          <w:iCs/>
        </w:rPr>
        <w:t xml:space="preserve">qauli, ilhaqi, </w:t>
      </w:r>
      <w:r w:rsidRPr="004948C3">
        <w:rPr>
          <w:rFonts w:asciiTheme="majorBidi" w:hAnsiTheme="majorBidi" w:cstheme="majorBidi"/>
        </w:rPr>
        <w:t>dan</w:t>
      </w:r>
      <w:r w:rsidRPr="004948C3">
        <w:rPr>
          <w:rFonts w:asciiTheme="majorBidi" w:hAnsiTheme="majorBidi" w:cstheme="majorBidi"/>
          <w:i/>
          <w:iCs/>
        </w:rPr>
        <w:t xml:space="preserve"> manhaji</w:t>
      </w:r>
      <w:r w:rsidRPr="00953FB7">
        <w:rPr>
          <w:rFonts w:asciiTheme="majorBidi" w:hAnsiTheme="majorBidi" w:cstheme="majorBidi"/>
        </w:rPr>
        <w:t>. Lihat Ahmad Zahro, Tradisi Intelektual NU : Lajnah Bahtsul Masail 1926 – 1999, (Yogyakarta: LKiS, 2004), h. 269. Hal senada juga diungkap oleh Rifyal Ka'bah. Lihat Rifyal Ka'bah, Hukum Islam di Indonesia: Perspektif Muhammadiyah dan NU, Jakarta : Universitas Yarsi, 1999, h. 266</w:t>
      </w:r>
    </w:p>
  </w:footnote>
  <w:footnote w:id="594">
    <w:p w:rsidR="00343B61" w:rsidRPr="00953FB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53FB7">
        <w:rPr>
          <w:rStyle w:val="FootnoteReference"/>
          <w:rFonts w:asciiTheme="majorBidi" w:hAnsiTheme="majorBidi" w:cstheme="majorBidi"/>
          <w:sz w:val="20"/>
          <w:szCs w:val="20"/>
        </w:rPr>
        <w:footnoteRef/>
      </w:r>
      <w:r>
        <w:rPr>
          <w:rFonts w:asciiTheme="majorBidi" w:hAnsiTheme="majorBidi" w:cstheme="majorBidi"/>
          <w:sz w:val="20"/>
          <w:szCs w:val="20"/>
        </w:rPr>
        <w:t>Lihat.</w:t>
      </w:r>
      <w:r w:rsidRPr="00953FB7">
        <w:rPr>
          <w:rFonts w:asciiTheme="majorBidi" w:hAnsiTheme="majorBidi" w:cstheme="majorBidi"/>
          <w:sz w:val="20"/>
          <w:szCs w:val="20"/>
        </w:rPr>
        <w:t xml:space="preserve">Ma'ruf Amin (et. al), </w:t>
      </w:r>
      <w:r w:rsidRPr="00953FB7">
        <w:rPr>
          <w:rFonts w:asciiTheme="majorBidi" w:hAnsiTheme="majorBidi" w:cstheme="majorBidi"/>
          <w:i/>
          <w:iCs/>
          <w:sz w:val="20"/>
          <w:szCs w:val="20"/>
        </w:rPr>
        <w:t>Pedoman Fatwa Produk Halal</w:t>
      </w:r>
      <w:r w:rsidRPr="00953FB7">
        <w:rPr>
          <w:rFonts w:asciiTheme="majorBidi" w:hAnsiTheme="majorBidi" w:cstheme="majorBidi"/>
          <w:sz w:val="20"/>
          <w:szCs w:val="20"/>
        </w:rPr>
        <w:t>, (Jakarta: Proyek Pembinaan Pangan Halal Ditjen Bimas Islam dan Penyelenggaraan Haji Departemen Agama RI, 2003), h. 15</w:t>
      </w:r>
    </w:p>
  </w:footnote>
  <w:footnote w:id="595">
    <w:p w:rsidR="00343B61" w:rsidRDefault="00343B61" w:rsidP="00343B61">
      <w:pPr>
        <w:pStyle w:val="FootnoteText"/>
        <w:ind w:firstLine="720"/>
        <w:jc w:val="both"/>
      </w:pPr>
      <w:r w:rsidRPr="00953FB7">
        <w:rPr>
          <w:rStyle w:val="FootnoteReference"/>
          <w:rFonts w:asciiTheme="majorBidi" w:hAnsiTheme="majorBidi" w:cstheme="majorBidi"/>
        </w:rPr>
        <w:footnoteRef/>
      </w:r>
      <w:r w:rsidRPr="00953FB7">
        <w:rPr>
          <w:rFonts w:asciiTheme="majorBidi" w:hAnsiTheme="majorBidi" w:cstheme="majorBidi"/>
        </w:rPr>
        <w:t xml:space="preserve"> </w:t>
      </w:r>
      <w:r>
        <w:rPr>
          <w:rFonts w:asciiTheme="majorBidi" w:hAnsiTheme="majorBidi" w:cstheme="majorBidi"/>
        </w:rPr>
        <w:t xml:space="preserve">Lihat. </w:t>
      </w:r>
      <w:r w:rsidRPr="00953FB7">
        <w:rPr>
          <w:rFonts w:asciiTheme="majorBidi" w:hAnsiTheme="majorBidi" w:cstheme="majorBidi"/>
        </w:rPr>
        <w:t>Ibrahim Hose</w:t>
      </w:r>
      <w:r>
        <w:rPr>
          <w:rFonts w:asciiTheme="majorBidi" w:hAnsiTheme="majorBidi" w:cstheme="majorBidi"/>
        </w:rPr>
        <w:t>n</w:t>
      </w:r>
      <w:r w:rsidRPr="00953FB7">
        <w:rPr>
          <w:rFonts w:asciiTheme="majorBidi" w:hAnsiTheme="majorBidi" w:cstheme="majorBidi"/>
        </w:rPr>
        <w:t xml:space="preserve">” Dapatkan Hukum Islam direaktualisasikan?” dalam : Pelita Tanggal 18 September 1982. Sebagaimana dikutib oleh Helmi Karem, </w:t>
      </w:r>
      <w:r w:rsidRPr="00953FB7">
        <w:rPr>
          <w:rFonts w:asciiTheme="majorBidi" w:hAnsiTheme="majorBidi" w:cstheme="majorBidi"/>
          <w:i/>
          <w:iCs/>
        </w:rPr>
        <w:t>Konsep Ijtihad M</w:t>
      </w:r>
      <w:r>
        <w:rPr>
          <w:rFonts w:asciiTheme="majorBidi" w:hAnsiTheme="majorBidi" w:cstheme="majorBidi"/>
          <w:i/>
          <w:iCs/>
        </w:rPr>
        <w:t>ajelis Ulama Indonesia dalam Pe</w:t>
      </w:r>
      <w:r w:rsidRPr="00953FB7">
        <w:rPr>
          <w:rFonts w:asciiTheme="majorBidi" w:hAnsiTheme="majorBidi" w:cstheme="majorBidi"/>
          <w:i/>
          <w:iCs/>
        </w:rPr>
        <w:t>eng</w:t>
      </w:r>
      <w:r>
        <w:rPr>
          <w:rFonts w:asciiTheme="majorBidi" w:hAnsiTheme="majorBidi" w:cstheme="majorBidi"/>
          <w:i/>
          <w:iCs/>
        </w:rPr>
        <w:t>e</w:t>
      </w:r>
      <w:r w:rsidRPr="00953FB7">
        <w:rPr>
          <w:rFonts w:asciiTheme="majorBidi" w:hAnsiTheme="majorBidi" w:cstheme="majorBidi"/>
          <w:i/>
          <w:iCs/>
        </w:rPr>
        <w:t>mbangan Hukum Islam</w:t>
      </w:r>
      <w:r w:rsidRPr="00953FB7">
        <w:rPr>
          <w:rFonts w:asciiTheme="majorBidi" w:hAnsiTheme="majorBidi" w:cstheme="majorBidi"/>
        </w:rPr>
        <w:t>, ( Jakarta: Disertasi Institut Agama Islam Negeri Jakarta, 1993), h. 112</w:t>
      </w:r>
    </w:p>
  </w:footnote>
  <w:footnote w:id="596">
    <w:p w:rsidR="00343B61" w:rsidRDefault="00343B61" w:rsidP="00343B61">
      <w:pPr>
        <w:pStyle w:val="FootnoteText"/>
        <w:ind w:firstLine="720"/>
        <w:jc w:val="both"/>
      </w:pPr>
      <w:r>
        <w:rPr>
          <w:rStyle w:val="FootnoteReference"/>
        </w:rPr>
        <w:footnoteRef/>
      </w:r>
      <w:r>
        <w:t xml:space="preserve"> </w:t>
      </w:r>
      <w:r>
        <w:rPr>
          <w:rFonts w:ascii="Times New Roman" w:hAnsi="Times New Roman" w:cs="Times New Roman"/>
        </w:rPr>
        <w:t>Yusuf al-Qardh</w:t>
      </w:r>
      <w:r w:rsidRPr="00401B91">
        <w:rPr>
          <w:rFonts w:asciiTheme="majorBidi" w:hAnsiTheme="majorBidi" w:cstheme="majorBidi"/>
        </w:rPr>
        <w:t>ā</w:t>
      </w:r>
      <w:r>
        <w:rPr>
          <w:rFonts w:ascii="Times New Roman" w:hAnsi="Times New Roman" w:cs="Times New Roman"/>
        </w:rPr>
        <w:t>w</w:t>
      </w:r>
      <w:r w:rsidRPr="00401B91">
        <w:rPr>
          <w:rFonts w:asciiTheme="majorBidi" w:hAnsiTheme="majorBidi" w:cstheme="majorBidi"/>
        </w:rPr>
        <w:t>ī</w:t>
      </w:r>
      <w:r>
        <w:rPr>
          <w:rFonts w:ascii="Times New Roman" w:hAnsi="Times New Roman" w:cs="Times New Roman"/>
          <w:i/>
          <w:iCs/>
        </w:rPr>
        <w:t>, al-Ijtih</w:t>
      </w:r>
      <w:r w:rsidRPr="00AC6C5F">
        <w:rPr>
          <w:rFonts w:asciiTheme="majorBidi" w:hAnsiTheme="majorBidi" w:cstheme="majorBidi"/>
          <w:i/>
          <w:iCs/>
        </w:rPr>
        <w:t>ā</w:t>
      </w:r>
      <w:r>
        <w:rPr>
          <w:rFonts w:ascii="Times New Roman" w:hAnsi="Times New Roman" w:cs="Times New Roman"/>
          <w:i/>
          <w:iCs/>
        </w:rPr>
        <w:t>d f</w:t>
      </w:r>
      <w:r w:rsidRPr="00401B91">
        <w:rPr>
          <w:rFonts w:asciiTheme="majorBidi" w:hAnsiTheme="majorBidi" w:cstheme="majorBidi"/>
          <w:i/>
          <w:iCs/>
        </w:rPr>
        <w:t>ī</w:t>
      </w:r>
      <w:r>
        <w:rPr>
          <w:rFonts w:asciiTheme="majorBidi" w:hAnsiTheme="majorBidi" w:cstheme="majorBidi"/>
          <w:i/>
          <w:iCs/>
        </w:rPr>
        <w:t xml:space="preserve"> </w:t>
      </w:r>
      <w:r>
        <w:rPr>
          <w:rFonts w:ascii="Times New Roman" w:hAnsi="Times New Roman" w:cs="Times New Roman"/>
          <w:i/>
          <w:iCs/>
        </w:rPr>
        <w:t>al-Syar</w:t>
      </w:r>
      <w:r w:rsidRPr="00401B91">
        <w:rPr>
          <w:rFonts w:asciiTheme="majorBidi" w:hAnsiTheme="majorBidi" w:cstheme="majorBidi"/>
          <w:i/>
          <w:iCs/>
        </w:rPr>
        <w:t>ī</w:t>
      </w:r>
      <w:r>
        <w:rPr>
          <w:rFonts w:ascii="TimesNewRoman,Italic" w:hAnsi="Times New Roman" w:cs="TimesNewRoman,Italic" w:hint="cs"/>
          <w:i/>
          <w:iCs/>
        </w:rPr>
        <w:t>’</w:t>
      </w:r>
      <w:r>
        <w:rPr>
          <w:rFonts w:ascii="Times New Roman" w:hAnsi="Times New Roman" w:cs="Times New Roman"/>
          <w:i/>
          <w:iCs/>
        </w:rPr>
        <w:t>ah al-Isl</w:t>
      </w:r>
      <w:r w:rsidRPr="00AC6C5F">
        <w:rPr>
          <w:rFonts w:asciiTheme="majorBidi" w:hAnsiTheme="majorBidi" w:cstheme="majorBidi"/>
          <w:i/>
          <w:iCs/>
        </w:rPr>
        <w:t>ā</w:t>
      </w:r>
      <w:r>
        <w:rPr>
          <w:rFonts w:ascii="Times New Roman" w:hAnsi="Times New Roman" w:cs="Times New Roman"/>
          <w:i/>
          <w:iCs/>
        </w:rPr>
        <w:t>miyah ma</w:t>
      </w:r>
      <w:r>
        <w:rPr>
          <w:rFonts w:ascii="TimesNewRoman,Italic" w:hAnsi="Times New Roman" w:cs="TimesNewRoman,Italic" w:hint="cs"/>
          <w:i/>
          <w:iCs/>
        </w:rPr>
        <w:t>’</w:t>
      </w:r>
      <w:r>
        <w:rPr>
          <w:rFonts w:ascii="Times New Roman" w:hAnsi="Times New Roman" w:cs="Times New Roman"/>
          <w:i/>
          <w:iCs/>
        </w:rPr>
        <w:t>a Nazhar</w:t>
      </w:r>
      <w:r w:rsidRPr="00AC6C5F">
        <w:rPr>
          <w:rFonts w:asciiTheme="majorBidi" w:hAnsiTheme="majorBidi" w:cstheme="majorBidi"/>
          <w:i/>
          <w:iCs/>
        </w:rPr>
        <w:t>ā</w:t>
      </w:r>
      <w:r>
        <w:rPr>
          <w:rFonts w:ascii="Times New Roman" w:hAnsi="Times New Roman" w:cs="Times New Roman"/>
          <w:i/>
          <w:iCs/>
        </w:rPr>
        <w:t>t Tahl</w:t>
      </w:r>
      <w:r w:rsidRPr="00401B91">
        <w:rPr>
          <w:rFonts w:asciiTheme="majorBidi" w:hAnsiTheme="majorBidi" w:cstheme="majorBidi"/>
          <w:i/>
          <w:iCs/>
        </w:rPr>
        <w:t>ī</w:t>
      </w:r>
      <w:r>
        <w:rPr>
          <w:rFonts w:ascii="Times New Roman" w:hAnsi="Times New Roman" w:cs="Times New Roman"/>
          <w:i/>
          <w:iCs/>
        </w:rPr>
        <w:t>liyah f</w:t>
      </w:r>
      <w:r w:rsidRPr="00401B91">
        <w:rPr>
          <w:rFonts w:asciiTheme="majorBidi" w:hAnsiTheme="majorBidi" w:cstheme="majorBidi"/>
          <w:i/>
          <w:iCs/>
        </w:rPr>
        <w:t>ī</w:t>
      </w:r>
      <w:r>
        <w:rPr>
          <w:rFonts w:asciiTheme="majorBidi" w:hAnsiTheme="majorBidi" w:cstheme="majorBidi"/>
          <w:i/>
          <w:iCs/>
        </w:rPr>
        <w:t xml:space="preserve"> </w:t>
      </w:r>
      <w:r>
        <w:rPr>
          <w:rFonts w:ascii="Times New Roman" w:hAnsi="Times New Roman" w:cs="Times New Roman"/>
          <w:i/>
          <w:iCs/>
        </w:rPr>
        <w:t>al- Ijtih</w:t>
      </w:r>
      <w:r w:rsidRPr="00AC6C5F">
        <w:rPr>
          <w:rFonts w:asciiTheme="majorBidi" w:hAnsiTheme="majorBidi" w:cstheme="majorBidi"/>
          <w:i/>
          <w:iCs/>
        </w:rPr>
        <w:t>ā</w:t>
      </w:r>
      <w:r>
        <w:rPr>
          <w:rFonts w:ascii="Times New Roman" w:hAnsi="Times New Roman" w:cs="Times New Roman"/>
          <w:i/>
          <w:iCs/>
        </w:rPr>
        <w:t>d al-Mu</w:t>
      </w:r>
      <w:r>
        <w:rPr>
          <w:rFonts w:ascii="TimesNewRoman,Italic" w:hAnsi="Times New Roman" w:cs="TimesNewRoman,Italic" w:hint="cs"/>
          <w:i/>
          <w:iCs/>
        </w:rPr>
        <w:t>’</w:t>
      </w:r>
      <w:r w:rsidRPr="00AC6C5F">
        <w:rPr>
          <w:rFonts w:asciiTheme="majorBidi" w:hAnsiTheme="majorBidi" w:cstheme="majorBidi"/>
          <w:i/>
          <w:iCs/>
        </w:rPr>
        <w:t>ā</w:t>
      </w:r>
      <w:r>
        <w:rPr>
          <w:rFonts w:ascii="Times New Roman" w:hAnsi="Times New Roman" w:cs="Times New Roman"/>
          <w:i/>
          <w:iCs/>
        </w:rPr>
        <w:t xml:space="preserve">shir, </w:t>
      </w:r>
      <w:r>
        <w:rPr>
          <w:rFonts w:ascii="Times New Roman" w:hAnsi="Times New Roman" w:cs="Times New Roman"/>
        </w:rPr>
        <w:t>(Kuwait, Dar al-Qalam 1985), h. 114</w:t>
      </w:r>
    </w:p>
  </w:footnote>
  <w:footnote w:id="597">
    <w:p w:rsidR="00343B61" w:rsidRPr="00F85B7D" w:rsidRDefault="00343B61" w:rsidP="00343B61">
      <w:pPr>
        <w:autoSpaceDE w:val="0"/>
        <w:autoSpaceDN w:val="0"/>
        <w:adjustRightInd w:val="0"/>
        <w:spacing w:after="0" w:line="240" w:lineRule="auto"/>
        <w:ind w:firstLine="720"/>
        <w:jc w:val="both"/>
        <w:rPr>
          <w:rFonts w:ascii="Times New Roman" w:hAnsi="Times New Roman" w:cs="Times New Roman"/>
          <w:i/>
          <w:iCs/>
          <w:sz w:val="20"/>
          <w:szCs w:val="20"/>
        </w:rPr>
      </w:pPr>
      <w:r>
        <w:rPr>
          <w:rStyle w:val="FootnoteReference"/>
        </w:rPr>
        <w:footnoteRef/>
      </w:r>
      <w:r>
        <w:t xml:space="preserve"> </w:t>
      </w:r>
      <w:r w:rsidRPr="00927E8D">
        <w:rPr>
          <w:rFonts w:ascii="Times New Roman" w:hAnsi="Times New Roman" w:cs="Times New Roman"/>
          <w:sz w:val="20"/>
          <w:szCs w:val="20"/>
        </w:rPr>
        <w:t>Yusuf al-Qardh</w:t>
      </w:r>
      <w:r w:rsidRPr="00927E8D">
        <w:rPr>
          <w:rFonts w:asciiTheme="majorBidi" w:hAnsiTheme="majorBidi" w:cstheme="majorBidi"/>
          <w:sz w:val="20"/>
          <w:szCs w:val="20"/>
        </w:rPr>
        <w:t>ā</w:t>
      </w:r>
      <w:r w:rsidRPr="00927E8D">
        <w:rPr>
          <w:rFonts w:ascii="Times New Roman" w:hAnsi="Times New Roman" w:cs="Times New Roman"/>
          <w:sz w:val="20"/>
          <w:szCs w:val="20"/>
        </w:rPr>
        <w:t>w</w:t>
      </w:r>
      <w:r w:rsidRPr="00927E8D">
        <w:rPr>
          <w:rFonts w:asciiTheme="majorBidi" w:hAnsiTheme="majorBidi" w:cstheme="majorBidi"/>
          <w:sz w:val="20"/>
          <w:szCs w:val="20"/>
        </w:rPr>
        <w:t>ī</w:t>
      </w:r>
      <w:r w:rsidRPr="00927E8D">
        <w:rPr>
          <w:rFonts w:ascii="Times New Roman" w:hAnsi="Times New Roman" w:cs="Times New Roman"/>
          <w:i/>
          <w:iCs/>
          <w:sz w:val="20"/>
          <w:szCs w:val="20"/>
        </w:rPr>
        <w:t>, al-Ijtih</w:t>
      </w:r>
      <w:r w:rsidRPr="00927E8D">
        <w:rPr>
          <w:rFonts w:asciiTheme="majorBidi" w:hAnsiTheme="majorBidi" w:cstheme="majorBidi"/>
          <w:i/>
          <w:iCs/>
          <w:sz w:val="20"/>
          <w:szCs w:val="20"/>
        </w:rPr>
        <w:t>ā</w:t>
      </w:r>
      <w:r w:rsidRPr="00927E8D">
        <w:rPr>
          <w:rFonts w:ascii="Times New Roman" w:hAnsi="Times New Roman" w:cs="Times New Roman"/>
          <w:i/>
          <w:iCs/>
          <w:sz w:val="20"/>
          <w:szCs w:val="20"/>
        </w:rPr>
        <w:t>d f</w:t>
      </w:r>
      <w:r w:rsidRPr="00927E8D">
        <w:rPr>
          <w:rFonts w:asciiTheme="majorBidi" w:hAnsiTheme="majorBidi" w:cstheme="majorBidi"/>
          <w:i/>
          <w:iCs/>
          <w:sz w:val="20"/>
          <w:szCs w:val="20"/>
        </w:rPr>
        <w:t xml:space="preserve">ī </w:t>
      </w:r>
      <w:r w:rsidRPr="00927E8D">
        <w:rPr>
          <w:rFonts w:ascii="Times New Roman" w:hAnsi="Times New Roman" w:cs="Times New Roman"/>
          <w:i/>
          <w:iCs/>
          <w:sz w:val="20"/>
          <w:szCs w:val="20"/>
        </w:rPr>
        <w:t>al-Syar</w:t>
      </w:r>
      <w:r w:rsidRPr="00927E8D">
        <w:rPr>
          <w:rFonts w:asciiTheme="majorBidi" w:hAnsiTheme="majorBidi" w:cstheme="majorBidi"/>
          <w:i/>
          <w:iCs/>
          <w:sz w:val="20"/>
          <w:szCs w:val="20"/>
        </w:rPr>
        <w:t>ī</w:t>
      </w:r>
      <w:r w:rsidRPr="00927E8D">
        <w:rPr>
          <w:rFonts w:ascii="TimesNewRoman,Italic" w:hAnsi="Times New Roman" w:cs="TimesNewRoman,Italic" w:hint="cs"/>
          <w:i/>
          <w:iCs/>
          <w:sz w:val="20"/>
          <w:szCs w:val="20"/>
        </w:rPr>
        <w:t>’</w:t>
      </w:r>
      <w:r w:rsidRPr="00927E8D">
        <w:rPr>
          <w:rFonts w:ascii="Times New Roman" w:hAnsi="Times New Roman" w:cs="Times New Roman"/>
          <w:i/>
          <w:iCs/>
          <w:sz w:val="20"/>
          <w:szCs w:val="20"/>
        </w:rPr>
        <w:t>ah al-Isl</w:t>
      </w:r>
      <w:r w:rsidRPr="00927E8D">
        <w:rPr>
          <w:rFonts w:asciiTheme="majorBidi" w:hAnsiTheme="majorBidi" w:cstheme="majorBidi"/>
          <w:i/>
          <w:iCs/>
          <w:sz w:val="20"/>
          <w:szCs w:val="20"/>
        </w:rPr>
        <w:t>ā</w:t>
      </w:r>
      <w:r w:rsidRPr="00927E8D">
        <w:rPr>
          <w:rFonts w:ascii="Times New Roman" w:hAnsi="Times New Roman" w:cs="Times New Roman"/>
          <w:i/>
          <w:iCs/>
          <w:sz w:val="20"/>
          <w:szCs w:val="20"/>
        </w:rPr>
        <w:t>miyah ma</w:t>
      </w:r>
      <w:r w:rsidRPr="00927E8D">
        <w:rPr>
          <w:rFonts w:ascii="TimesNewRoman,Italic" w:hAnsi="Times New Roman" w:cs="TimesNewRoman,Italic" w:hint="cs"/>
          <w:i/>
          <w:iCs/>
          <w:sz w:val="20"/>
          <w:szCs w:val="20"/>
        </w:rPr>
        <w:t>’</w:t>
      </w:r>
      <w:r w:rsidRPr="00927E8D">
        <w:rPr>
          <w:rFonts w:ascii="Times New Roman" w:hAnsi="Times New Roman" w:cs="Times New Roman"/>
          <w:i/>
          <w:iCs/>
          <w:sz w:val="20"/>
          <w:szCs w:val="20"/>
        </w:rPr>
        <w:t>a Nazhar</w:t>
      </w:r>
      <w:r w:rsidRPr="00927E8D">
        <w:rPr>
          <w:rFonts w:asciiTheme="majorBidi" w:hAnsiTheme="majorBidi" w:cstheme="majorBidi"/>
          <w:i/>
          <w:iCs/>
          <w:sz w:val="20"/>
          <w:szCs w:val="20"/>
        </w:rPr>
        <w:t>ā</w:t>
      </w:r>
      <w:r w:rsidRPr="00927E8D">
        <w:rPr>
          <w:rFonts w:ascii="Times New Roman" w:hAnsi="Times New Roman" w:cs="Times New Roman"/>
          <w:i/>
          <w:iCs/>
          <w:sz w:val="20"/>
          <w:szCs w:val="20"/>
        </w:rPr>
        <w:t>t Tahl</w:t>
      </w:r>
      <w:r w:rsidRPr="00927E8D">
        <w:rPr>
          <w:rFonts w:asciiTheme="majorBidi" w:hAnsiTheme="majorBidi" w:cstheme="majorBidi"/>
          <w:i/>
          <w:iCs/>
          <w:sz w:val="20"/>
          <w:szCs w:val="20"/>
        </w:rPr>
        <w:t>ī</w:t>
      </w:r>
      <w:r w:rsidRPr="00927E8D">
        <w:rPr>
          <w:rFonts w:ascii="Times New Roman" w:hAnsi="Times New Roman" w:cs="Times New Roman"/>
          <w:i/>
          <w:iCs/>
          <w:sz w:val="20"/>
          <w:szCs w:val="20"/>
        </w:rPr>
        <w:t>liyah f</w:t>
      </w:r>
      <w:r w:rsidRPr="00927E8D">
        <w:rPr>
          <w:rFonts w:asciiTheme="majorBidi" w:hAnsiTheme="majorBidi" w:cstheme="majorBidi"/>
          <w:i/>
          <w:iCs/>
          <w:sz w:val="20"/>
          <w:szCs w:val="20"/>
        </w:rPr>
        <w:t xml:space="preserve">ī </w:t>
      </w:r>
      <w:r w:rsidRPr="00927E8D">
        <w:rPr>
          <w:rFonts w:ascii="Times New Roman" w:hAnsi="Times New Roman" w:cs="Times New Roman"/>
          <w:i/>
          <w:iCs/>
          <w:sz w:val="20"/>
          <w:szCs w:val="20"/>
        </w:rPr>
        <w:t>al- Ijtih</w:t>
      </w:r>
      <w:r w:rsidRPr="00927E8D">
        <w:rPr>
          <w:rFonts w:asciiTheme="majorBidi" w:hAnsiTheme="majorBidi" w:cstheme="majorBidi"/>
          <w:i/>
          <w:iCs/>
          <w:sz w:val="20"/>
          <w:szCs w:val="20"/>
        </w:rPr>
        <w:t>ā</w:t>
      </w:r>
      <w:r w:rsidRPr="00927E8D">
        <w:rPr>
          <w:rFonts w:ascii="Times New Roman" w:hAnsi="Times New Roman" w:cs="Times New Roman"/>
          <w:i/>
          <w:iCs/>
          <w:sz w:val="20"/>
          <w:szCs w:val="20"/>
        </w:rPr>
        <w:t>d al-Mu</w:t>
      </w:r>
      <w:r w:rsidRPr="00927E8D">
        <w:rPr>
          <w:rFonts w:ascii="TimesNewRoman,Italic" w:hAnsi="Times New Roman" w:cs="TimesNewRoman,Italic" w:hint="cs"/>
          <w:i/>
          <w:iCs/>
          <w:sz w:val="20"/>
          <w:szCs w:val="20"/>
        </w:rPr>
        <w:t>’</w:t>
      </w:r>
      <w:r w:rsidRPr="00927E8D">
        <w:rPr>
          <w:rFonts w:asciiTheme="majorBidi" w:hAnsiTheme="majorBidi" w:cstheme="majorBidi"/>
          <w:i/>
          <w:iCs/>
          <w:sz w:val="20"/>
          <w:szCs w:val="20"/>
        </w:rPr>
        <w:t>ā</w:t>
      </w:r>
      <w:r w:rsidRPr="00927E8D">
        <w:rPr>
          <w:rFonts w:ascii="Times New Roman" w:hAnsi="Times New Roman" w:cs="Times New Roman"/>
          <w:i/>
          <w:iCs/>
          <w:sz w:val="20"/>
          <w:szCs w:val="20"/>
        </w:rPr>
        <w:t>shir</w:t>
      </w:r>
      <w:r>
        <w:rPr>
          <w:rFonts w:ascii="Times New Roman" w:hAnsi="Times New Roman" w:cs="Times New Roman"/>
          <w:i/>
          <w:iCs/>
        </w:rPr>
        <w:t xml:space="preserve">, </w:t>
      </w:r>
      <w:r>
        <w:rPr>
          <w:rFonts w:ascii="Times New Roman" w:hAnsi="Times New Roman" w:cs="Times New Roman"/>
        </w:rPr>
        <w:t>(Kuwait, Dar al-Qalam 1985), h. 115</w:t>
      </w:r>
    </w:p>
  </w:footnote>
  <w:footnote w:id="598">
    <w:p w:rsidR="00343B61" w:rsidRPr="00F15CE3" w:rsidRDefault="00343B61" w:rsidP="00343B61">
      <w:pPr>
        <w:pStyle w:val="FootnoteText"/>
        <w:ind w:firstLine="720"/>
        <w:jc w:val="both"/>
        <w:rPr>
          <w:rFonts w:asciiTheme="majorBidi" w:hAnsiTheme="majorBidi" w:cstheme="majorBidi"/>
        </w:rPr>
      </w:pPr>
      <w:r w:rsidRPr="00617357">
        <w:rPr>
          <w:rStyle w:val="FootnoteReference"/>
          <w:rFonts w:asciiTheme="majorBidi" w:hAnsiTheme="majorBidi" w:cstheme="majorBidi"/>
        </w:rPr>
        <w:footnoteRef/>
      </w:r>
      <w:r w:rsidRPr="00617357">
        <w:rPr>
          <w:rFonts w:asciiTheme="majorBidi" w:hAnsiTheme="majorBidi" w:cstheme="majorBidi"/>
        </w:rPr>
        <w:t xml:space="preserve"> “ </w:t>
      </w:r>
      <w:r w:rsidRPr="00251586">
        <w:rPr>
          <w:rFonts w:asciiTheme="majorBidi" w:hAnsiTheme="majorBidi" w:cstheme="majorBidi"/>
          <w:i/>
          <w:iCs/>
        </w:rPr>
        <w:t>Talf</w:t>
      </w:r>
      <w:r w:rsidRPr="00401B91">
        <w:rPr>
          <w:rFonts w:asciiTheme="majorBidi" w:hAnsiTheme="majorBidi" w:cstheme="majorBidi"/>
          <w:i/>
          <w:iCs/>
        </w:rPr>
        <w:t>ī</w:t>
      </w:r>
      <w:r w:rsidRPr="00251586">
        <w:rPr>
          <w:rFonts w:asciiTheme="majorBidi" w:hAnsiTheme="majorBidi" w:cstheme="majorBidi"/>
          <w:i/>
          <w:iCs/>
        </w:rPr>
        <w:t>q</w:t>
      </w:r>
      <w:r w:rsidRPr="00617357">
        <w:rPr>
          <w:rFonts w:asciiTheme="majorBidi" w:hAnsiTheme="majorBidi" w:cstheme="majorBidi"/>
        </w:rPr>
        <w:t>” menurut bahasa berarti menggabungkan ujung kain yang satu dengan ujung kain</w:t>
      </w:r>
      <w:r>
        <w:rPr>
          <w:rFonts w:asciiTheme="majorBidi" w:hAnsiTheme="majorBidi" w:cstheme="majorBidi"/>
        </w:rPr>
        <w:t xml:space="preserve"> </w:t>
      </w:r>
      <w:r w:rsidRPr="00617357">
        <w:rPr>
          <w:rFonts w:asciiTheme="majorBidi" w:hAnsiTheme="majorBidi" w:cstheme="majorBidi"/>
        </w:rPr>
        <w:t>yang lain. Menurut terminology, talfîq berarti mengikuti pendapat beberapa madzhab dalam satu</w:t>
      </w:r>
      <w:r>
        <w:rPr>
          <w:rFonts w:asciiTheme="majorBidi" w:hAnsiTheme="majorBidi" w:cstheme="majorBidi"/>
        </w:rPr>
        <w:t xml:space="preserve"> </w:t>
      </w:r>
      <w:r w:rsidRPr="00617357">
        <w:rPr>
          <w:rFonts w:asciiTheme="majorBidi" w:hAnsiTheme="majorBidi" w:cstheme="majorBidi"/>
        </w:rPr>
        <w:t xml:space="preserve">masalah yang terdiri dari beberapa bagian (rukun). </w:t>
      </w:r>
      <w:r w:rsidRPr="00251586">
        <w:rPr>
          <w:rFonts w:asciiTheme="majorBidi" w:hAnsiTheme="majorBidi" w:cstheme="majorBidi"/>
          <w:i/>
          <w:iCs/>
        </w:rPr>
        <w:t>Talfiq</w:t>
      </w:r>
      <w:r w:rsidRPr="00617357">
        <w:rPr>
          <w:rFonts w:asciiTheme="majorBidi" w:hAnsiTheme="majorBidi" w:cstheme="majorBidi"/>
        </w:rPr>
        <w:t xml:space="preserve"> merupakan fenomena yang muncul setelah</w:t>
      </w:r>
      <w:r>
        <w:rPr>
          <w:rFonts w:asciiTheme="majorBidi" w:hAnsiTheme="majorBidi" w:cstheme="majorBidi"/>
        </w:rPr>
        <w:t xml:space="preserve"> </w:t>
      </w:r>
      <w:r w:rsidRPr="00617357">
        <w:rPr>
          <w:rFonts w:asciiTheme="majorBidi" w:hAnsiTheme="majorBidi" w:cstheme="majorBidi"/>
        </w:rPr>
        <w:t>abad ke 10 H, setelah tersebarnya faham taqlid di kalangan ulama. Sebagian ulama melarang talfîq,</w:t>
      </w:r>
      <w:r>
        <w:rPr>
          <w:rFonts w:asciiTheme="majorBidi" w:hAnsiTheme="majorBidi" w:cstheme="majorBidi"/>
        </w:rPr>
        <w:t xml:space="preserve"> </w:t>
      </w:r>
      <w:r w:rsidRPr="00617357">
        <w:rPr>
          <w:rFonts w:asciiTheme="majorBidi" w:hAnsiTheme="majorBidi" w:cstheme="majorBidi"/>
        </w:rPr>
        <w:t>karena akan membuat orang mengikuti pendapat madzhab yang termudah saja. Ulama lain</w:t>
      </w:r>
      <w:r>
        <w:rPr>
          <w:rFonts w:asciiTheme="majorBidi" w:hAnsiTheme="majorBidi" w:cstheme="majorBidi"/>
        </w:rPr>
        <w:t xml:space="preserve"> </w:t>
      </w:r>
      <w:r w:rsidRPr="00617357">
        <w:rPr>
          <w:rFonts w:asciiTheme="majorBidi" w:hAnsiTheme="majorBidi" w:cstheme="majorBidi"/>
        </w:rPr>
        <w:t>membolehkan talfîq, karena tidak ada ayat al-Qur’an atau Sunnah Nabi yang mewajibkan seseorang</w:t>
      </w:r>
      <w:r>
        <w:rPr>
          <w:rFonts w:asciiTheme="majorBidi" w:hAnsiTheme="majorBidi" w:cstheme="majorBidi"/>
        </w:rPr>
        <w:t xml:space="preserve"> </w:t>
      </w:r>
      <w:r w:rsidRPr="00617357">
        <w:rPr>
          <w:rFonts w:asciiTheme="majorBidi" w:hAnsiTheme="majorBidi" w:cstheme="majorBidi"/>
        </w:rPr>
        <w:t xml:space="preserve">mengikuti madzhab tertentu. Lihat Wahbah al-Zuhaili, </w:t>
      </w:r>
      <w:r w:rsidRPr="00617357">
        <w:rPr>
          <w:rFonts w:asciiTheme="majorBidi" w:hAnsiTheme="majorBidi" w:cstheme="majorBidi"/>
          <w:i/>
          <w:iCs/>
        </w:rPr>
        <w:t>Ushûl al-Fiqh al-Islâmiy</w:t>
      </w:r>
      <w:r w:rsidRPr="00617357">
        <w:rPr>
          <w:rFonts w:asciiTheme="majorBidi" w:hAnsiTheme="majorBidi" w:cstheme="majorBidi"/>
        </w:rPr>
        <w:t>, (Beirut: Dar al-Fikr,</w:t>
      </w:r>
      <w:r>
        <w:rPr>
          <w:rFonts w:asciiTheme="majorBidi" w:hAnsiTheme="majorBidi" w:cstheme="majorBidi"/>
        </w:rPr>
        <w:t xml:space="preserve"> </w:t>
      </w:r>
      <w:r w:rsidRPr="00617357">
        <w:rPr>
          <w:rFonts w:asciiTheme="majorBidi" w:hAnsiTheme="majorBidi" w:cstheme="majorBidi"/>
        </w:rPr>
        <w:t>1986), Juz II, h. 1142-1148</w:t>
      </w:r>
    </w:p>
  </w:footnote>
  <w:footnote w:id="599">
    <w:p w:rsidR="00343B61" w:rsidRDefault="00343B61" w:rsidP="00343B61">
      <w:pPr>
        <w:pStyle w:val="FootnoteText"/>
        <w:ind w:firstLine="720"/>
        <w:jc w:val="both"/>
      </w:pPr>
      <w:r>
        <w:rPr>
          <w:rStyle w:val="FootnoteReference"/>
        </w:rPr>
        <w:footnoteRef/>
      </w:r>
      <w:r>
        <w:t xml:space="preserve"> </w:t>
      </w:r>
      <w:r w:rsidRPr="00927E8D">
        <w:rPr>
          <w:rFonts w:ascii="Times New Roman" w:hAnsi="Times New Roman" w:cs="Times New Roman"/>
        </w:rPr>
        <w:t>Yusuf al-Qardh</w:t>
      </w:r>
      <w:r w:rsidRPr="00927E8D">
        <w:rPr>
          <w:rFonts w:asciiTheme="majorBidi" w:hAnsiTheme="majorBidi" w:cstheme="majorBidi"/>
        </w:rPr>
        <w:t>ā</w:t>
      </w:r>
      <w:r w:rsidRPr="00927E8D">
        <w:rPr>
          <w:rFonts w:ascii="Times New Roman" w:hAnsi="Times New Roman" w:cs="Times New Roman"/>
        </w:rPr>
        <w:t>w</w:t>
      </w:r>
      <w:r w:rsidRPr="00927E8D">
        <w:rPr>
          <w:rFonts w:asciiTheme="majorBidi" w:hAnsiTheme="majorBidi" w:cstheme="majorBidi"/>
        </w:rPr>
        <w:t>ī</w:t>
      </w:r>
      <w:r w:rsidRPr="00927E8D">
        <w:rPr>
          <w:rFonts w:ascii="Times New Roman" w:hAnsi="Times New Roman" w:cs="Times New Roman"/>
          <w:i/>
          <w:iCs/>
        </w:rPr>
        <w:t>, al-Ijtih</w:t>
      </w:r>
      <w:r w:rsidRPr="00927E8D">
        <w:rPr>
          <w:rFonts w:asciiTheme="majorBidi" w:hAnsiTheme="majorBidi" w:cstheme="majorBidi"/>
          <w:i/>
          <w:iCs/>
        </w:rPr>
        <w:t>ā</w:t>
      </w:r>
      <w:r w:rsidRPr="00927E8D">
        <w:rPr>
          <w:rFonts w:ascii="Times New Roman" w:hAnsi="Times New Roman" w:cs="Times New Roman"/>
          <w:i/>
          <w:iCs/>
        </w:rPr>
        <w:t>d f</w:t>
      </w:r>
      <w:r w:rsidRPr="00927E8D">
        <w:rPr>
          <w:rFonts w:asciiTheme="majorBidi" w:hAnsiTheme="majorBidi" w:cstheme="majorBidi"/>
          <w:i/>
          <w:iCs/>
        </w:rPr>
        <w:t xml:space="preserve">ī </w:t>
      </w:r>
      <w:r w:rsidRPr="00927E8D">
        <w:rPr>
          <w:rFonts w:ascii="Times New Roman" w:hAnsi="Times New Roman" w:cs="Times New Roman"/>
          <w:i/>
          <w:iCs/>
        </w:rPr>
        <w:t>al-Syar</w:t>
      </w:r>
      <w:r w:rsidRPr="00927E8D">
        <w:rPr>
          <w:rFonts w:asciiTheme="majorBidi" w:hAnsiTheme="majorBidi" w:cstheme="majorBidi"/>
          <w:i/>
          <w:iCs/>
        </w:rPr>
        <w:t>ī</w:t>
      </w:r>
      <w:r w:rsidRPr="00927E8D">
        <w:rPr>
          <w:rFonts w:ascii="TimesNewRoman,Italic" w:hAnsi="Times New Roman" w:cs="TimesNewRoman,Italic" w:hint="cs"/>
          <w:i/>
          <w:iCs/>
        </w:rPr>
        <w:t>’</w:t>
      </w:r>
      <w:r w:rsidRPr="00927E8D">
        <w:rPr>
          <w:rFonts w:ascii="Times New Roman" w:hAnsi="Times New Roman" w:cs="Times New Roman"/>
          <w:i/>
          <w:iCs/>
        </w:rPr>
        <w:t>ah al-Isl</w:t>
      </w:r>
      <w:r w:rsidRPr="00927E8D">
        <w:rPr>
          <w:rFonts w:asciiTheme="majorBidi" w:hAnsiTheme="majorBidi" w:cstheme="majorBidi"/>
          <w:i/>
          <w:iCs/>
        </w:rPr>
        <w:t>ā</w:t>
      </w:r>
      <w:r w:rsidRPr="00927E8D">
        <w:rPr>
          <w:rFonts w:ascii="Times New Roman" w:hAnsi="Times New Roman" w:cs="Times New Roman"/>
          <w:i/>
          <w:iCs/>
        </w:rPr>
        <w:t>miyah ma</w:t>
      </w:r>
      <w:r w:rsidRPr="00927E8D">
        <w:rPr>
          <w:rFonts w:ascii="TimesNewRoman,Italic" w:hAnsi="Times New Roman" w:cs="TimesNewRoman,Italic" w:hint="cs"/>
          <w:i/>
          <w:iCs/>
        </w:rPr>
        <w:t>’</w:t>
      </w:r>
      <w:r w:rsidRPr="00927E8D">
        <w:rPr>
          <w:rFonts w:ascii="Times New Roman" w:hAnsi="Times New Roman" w:cs="Times New Roman"/>
          <w:i/>
          <w:iCs/>
        </w:rPr>
        <w:t>a Nazhar</w:t>
      </w:r>
      <w:r w:rsidRPr="00927E8D">
        <w:rPr>
          <w:rFonts w:asciiTheme="majorBidi" w:hAnsiTheme="majorBidi" w:cstheme="majorBidi"/>
          <w:i/>
          <w:iCs/>
        </w:rPr>
        <w:t>ā</w:t>
      </w:r>
      <w:r w:rsidRPr="00927E8D">
        <w:rPr>
          <w:rFonts w:ascii="Times New Roman" w:hAnsi="Times New Roman" w:cs="Times New Roman"/>
          <w:i/>
          <w:iCs/>
        </w:rPr>
        <w:t>t Tahl</w:t>
      </w:r>
      <w:r w:rsidRPr="00927E8D">
        <w:rPr>
          <w:rFonts w:asciiTheme="majorBidi" w:hAnsiTheme="majorBidi" w:cstheme="majorBidi"/>
          <w:i/>
          <w:iCs/>
        </w:rPr>
        <w:t>ī</w:t>
      </w:r>
      <w:r w:rsidRPr="00927E8D">
        <w:rPr>
          <w:rFonts w:ascii="Times New Roman" w:hAnsi="Times New Roman" w:cs="Times New Roman"/>
          <w:i/>
          <w:iCs/>
        </w:rPr>
        <w:t>liyah f</w:t>
      </w:r>
      <w:r w:rsidRPr="00927E8D">
        <w:rPr>
          <w:rFonts w:asciiTheme="majorBidi" w:hAnsiTheme="majorBidi" w:cstheme="majorBidi"/>
          <w:i/>
          <w:iCs/>
        </w:rPr>
        <w:t xml:space="preserve">ī </w:t>
      </w:r>
      <w:r w:rsidRPr="00927E8D">
        <w:rPr>
          <w:rFonts w:ascii="Times New Roman" w:hAnsi="Times New Roman" w:cs="Times New Roman"/>
          <w:i/>
          <w:iCs/>
        </w:rPr>
        <w:t>al- Ijtih</w:t>
      </w:r>
      <w:r w:rsidRPr="00927E8D">
        <w:rPr>
          <w:rFonts w:asciiTheme="majorBidi" w:hAnsiTheme="majorBidi" w:cstheme="majorBidi"/>
          <w:i/>
          <w:iCs/>
        </w:rPr>
        <w:t>ā</w:t>
      </w:r>
      <w:r w:rsidRPr="00927E8D">
        <w:rPr>
          <w:rFonts w:ascii="Times New Roman" w:hAnsi="Times New Roman" w:cs="Times New Roman"/>
          <w:i/>
          <w:iCs/>
        </w:rPr>
        <w:t>d al-Mu</w:t>
      </w:r>
      <w:r w:rsidRPr="00927E8D">
        <w:rPr>
          <w:rFonts w:ascii="TimesNewRoman,Italic" w:hAnsi="Times New Roman" w:cs="TimesNewRoman,Italic" w:hint="cs"/>
          <w:i/>
          <w:iCs/>
        </w:rPr>
        <w:t>’</w:t>
      </w:r>
      <w:r w:rsidRPr="00927E8D">
        <w:rPr>
          <w:rFonts w:asciiTheme="majorBidi" w:hAnsiTheme="majorBidi" w:cstheme="majorBidi"/>
          <w:i/>
          <w:iCs/>
        </w:rPr>
        <w:t>ā</w:t>
      </w:r>
      <w:r w:rsidRPr="00927E8D">
        <w:rPr>
          <w:rFonts w:ascii="Times New Roman" w:hAnsi="Times New Roman" w:cs="Times New Roman"/>
          <w:i/>
          <w:iCs/>
        </w:rPr>
        <w:t>shir</w:t>
      </w:r>
      <w:r>
        <w:rPr>
          <w:rFonts w:ascii="Times New Roman" w:hAnsi="Times New Roman" w:cs="Times New Roman"/>
          <w:i/>
          <w:iCs/>
        </w:rPr>
        <w:t xml:space="preserve">, </w:t>
      </w:r>
      <w:r>
        <w:rPr>
          <w:rFonts w:ascii="Times New Roman" w:hAnsi="Times New Roman" w:cs="Times New Roman"/>
        </w:rPr>
        <w:t>(Kuwait, Dar al-Qalam 1985), h. 117</w:t>
      </w:r>
    </w:p>
  </w:footnote>
  <w:footnote w:id="600">
    <w:p w:rsidR="00343B61" w:rsidRDefault="00343B61" w:rsidP="00343B61">
      <w:pPr>
        <w:pStyle w:val="FootnoteText"/>
        <w:ind w:firstLine="720"/>
        <w:jc w:val="both"/>
      </w:pPr>
      <w:r>
        <w:rPr>
          <w:rStyle w:val="FootnoteReference"/>
        </w:rPr>
        <w:footnoteRef/>
      </w:r>
      <w:r>
        <w:t xml:space="preserve"> </w:t>
      </w:r>
      <w:r w:rsidRPr="00927E8D">
        <w:rPr>
          <w:rFonts w:ascii="Times New Roman" w:hAnsi="Times New Roman" w:cs="Times New Roman"/>
        </w:rPr>
        <w:t>Yusuf al-Qardh</w:t>
      </w:r>
      <w:r w:rsidRPr="00927E8D">
        <w:rPr>
          <w:rFonts w:asciiTheme="majorBidi" w:hAnsiTheme="majorBidi" w:cstheme="majorBidi"/>
        </w:rPr>
        <w:t>ā</w:t>
      </w:r>
      <w:r w:rsidRPr="00927E8D">
        <w:rPr>
          <w:rFonts w:ascii="Times New Roman" w:hAnsi="Times New Roman" w:cs="Times New Roman"/>
        </w:rPr>
        <w:t>w</w:t>
      </w:r>
      <w:r w:rsidRPr="00927E8D">
        <w:rPr>
          <w:rFonts w:asciiTheme="majorBidi" w:hAnsiTheme="majorBidi" w:cstheme="majorBidi"/>
        </w:rPr>
        <w:t>ī</w:t>
      </w:r>
      <w:r w:rsidRPr="00927E8D">
        <w:rPr>
          <w:rFonts w:ascii="Times New Roman" w:hAnsi="Times New Roman" w:cs="Times New Roman"/>
          <w:i/>
          <w:iCs/>
        </w:rPr>
        <w:t>, al-Ijtih</w:t>
      </w:r>
      <w:r w:rsidRPr="00927E8D">
        <w:rPr>
          <w:rFonts w:asciiTheme="majorBidi" w:hAnsiTheme="majorBidi" w:cstheme="majorBidi"/>
          <w:i/>
          <w:iCs/>
        </w:rPr>
        <w:t>ā</w:t>
      </w:r>
      <w:r w:rsidRPr="00927E8D">
        <w:rPr>
          <w:rFonts w:ascii="Times New Roman" w:hAnsi="Times New Roman" w:cs="Times New Roman"/>
          <w:i/>
          <w:iCs/>
        </w:rPr>
        <w:t>d f</w:t>
      </w:r>
      <w:r w:rsidRPr="00927E8D">
        <w:rPr>
          <w:rFonts w:asciiTheme="majorBidi" w:hAnsiTheme="majorBidi" w:cstheme="majorBidi"/>
          <w:i/>
          <w:iCs/>
        </w:rPr>
        <w:t xml:space="preserve">ī </w:t>
      </w:r>
      <w:r w:rsidRPr="00927E8D">
        <w:rPr>
          <w:rFonts w:ascii="Times New Roman" w:hAnsi="Times New Roman" w:cs="Times New Roman"/>
          <w:i/>
          <w:iCs/>
        </w:rPr>
        <w:t>al-Syar</w:t>
      </w:r>
      <w:r w:rsidRPr="00927E8D">
        <w:rPr>
          <w:rFonts w:asciiTheme="majorBidi" w:hAnsiTheme="majorBidi" w:cstheme="majorBidi"/>
          <w:i/>
          <w:iCs/>
        </w:rPr>
        <w:t>ī</w:t>
      </w:r>
      <w:r w:rsidRPr="00927E8D">
        <w:rPr>
          <w:rFonts w:ascii="TimesNewRoman,Italic" w:hAnsi="Times New Roman" w:cs="TimesNewRoman,Italic" w:hint="cs"/>
          <w:i/>
          <w:iCs/>
        </w:rPr>
        <w:t>’</w:t>
      </w:r>
      <w:r w:rsidRPr="00927E8D">
        <w:rPr>
          <w:rFonts w:ascii="Times New Roman" w:hAnsi="Times New Roman" w:cs="Times New Roman"/>
          <w:i/>
          <w:iCs/>
        </w:rPr>
        <w:t>ah al-Isl</w:t>
      </w:r>
      <w:r w:rsidRPr="00927E8D">
        <w:rPr>
          <w:rFonts w:asciiTheme="majorBidi" w:hAnsiTheme="majorBidi" w:cstheme="majorBidi"/>
          <w:i/>
          <w:iCs/>
        </w:rPr>
        <w:t>ā</w:t>
      </w:r>
      <w:r w:rsidRPr="00927E8D">
        <w:rPr>
          <w:rFonts w:ascii="Times New Roman" w:hAnsi="Times New Roman" w:cs="Times New Roman"/>
          <w:i/>
          <w:iCs/>
        </w:rPr>
        <w:t>miyah ma</w:t>
      </w:r>
      <w:r w:rsidRPr="00927E8D">
        <w:rPr>
          <w:rFonts w:ascii="TimesNewRoman,Italic" w:hAnsi="Times New Roman" w:cs="TimesNewRoman,Italic" w:hint="cs"/>
          <w:i/>
          <w:iCs/>
        </w:rPr>
        <w:t>’</w:t>
      </w:r>
      <w:r w:rsidRPr="00927E8D">
        <w:rPr>
          <w:rFonts w:ascii="Times New Roman" w:hAnsi="Times New Roman" w:cs="Times New Roman"/>
          <w:i/>
          <w:iCs/>
        </w:rPr>
        <w:t>a Nazhar</w:t>
      </w:r>
      <w:r w:rsidRPr="00927E8D">
        <w:rPr>
          <w:rFonts w:asciiTheme="majorBidi" w:hAnsiTheme="majorBidi" w:cstheme="majorBidi"/>
          <w:i/>
          <w:iCs/>
        </w:rPr>
        <w:t>ā</w:t>
      </w:r>
      <w:r w:rsidRPr="00927E8D">
        <w:rPr>
          <w:rFonts w:ascii="Times New Roman" w:hAnsi="Times New Roman" w:cs="Times New Roman"/>
          <w:i/>
          <w:iCs/>
        </w:rPr>
        <w:t>t Tahl</w:t>
      </w:r>
      <w:r w:rsidRPr="00927E8D">
        <w:rPr>
          <w:rFonts w:asciiTheme="majorBidi" w:hAnsiTheme="majorBidi" w:cstheme="majorBidi"/>
          <w:i/>
          <w:iCs/>
        </w:rPr>
        <w:t>ī</w:t>
      </w:r>
      <w:r w:rsidRPr="00927E8D">
        <w:rPr>
          <w:rFonts w:ascii="Times New Roman" w:hAnsi="Times New Roman" w:cs="Times New Roman"/>
          <w:i/>
          <w:iCs/>
        </w:rPr>
        <w:t>liyah f</w:t>
      </w:r>
      <w:r w:rsidRPr="00927E8D">
        <w:rPr>
          <w:rFonts w:asciiTheme="majorBidi" w:hAnsiTheme="majorBidi" w:cstheme="majorBidi"/>
          <w:i/>
          <w:iCs/>
        </w:rPr>
        <w:t xml:space="preserve">ī </w:t>
      </w:r>
      <w:r w:rsidRPr="00927E8D">
        <w:rPr>
          <w:rFonts w:ascii="Times New Roman" w:hAnsi="Times New Roman" w:cs="Times New Roman"/>
          <w:i/>
          <w:iCs/>
        </w:rPr>
        <w:t>al- Ijtih</w:t>
      </w:r>
      <w:r w:rsidRPr="00927E8D">
        <w:rPr>
          <w:rFonts w:asciiTheme="majorBidi" w:hAnsiTheme="majorBidi" w:cstheme="majorBidi"/>
          <w:i/>
          <w:iCs/>
        </w:rPr>
        <w:t>ā</w:t>
      </w:r>
      <w:r w:rsidRPr="00927E8D">
        <w:rPr>
          <w:rFonts w:ascii="Times New Roman" w:hAnsi="Times New Roman" w:cs="Times New Roman"/>
          <w:i/>
          <w:iCs/>
        </w:rPr>
        <w:t>d al-Mu</w:t>
      </w:r>
      <w:r w:rsidRPr="00927E8D">
        <w:rPr>
          <w:rFonts w:ascii="TimesNewRoman,Italic" w:hAnsi="Times New Roman" w:cs="TimesNewRoman,Italic" w:hint="cs"/>
          <w:i/>
          <w:iCs/>
        </w:rPr>
        <w:t>’</w:t>
      </w:r>
      <w:r w:rsidRPr="00927E8D">
        <w:rPr>
          <w:rFonts w:asciiTheme="majorBidi" w:hAnsiTheme="majorBidi" w:cstheme="majorBidi"/>
          <w:i/>
          <w:iCs/>
        </w:rPr>
        <w:t>ā</w:t>
      </w:r>
      <w:r w:rsidRPr="00927E8D">
        <w:rPr>
          <w:rFonts w:ascii="Times New Roman" w:hAnsi="Times New Roman" w:cs="Times New Roman"/>
          <w:i/>
          <w:iCs/>
        </w:rPr>
        <w:t>shir</w:t>
      </w:r>
      <w:r>
        <w:rPr>
          <w:rFonts w:ascii="Times New Roman" w:hAnsi="Times New Roman" w:cs="Times New Roman"/>
          <w:i/>
          <w:iCs/>
        </w:rPr>
        <w:t xml:space="preserve">, </w:t>
      </w:r>
      <w:r>
        <w:rPr>
          <w:rFonts w:ascii="Times New Roman" w:hAnsi="Times New Roman" w:cs="Times New Roman"/>
        </w:rPr>
        <w:t>(Kuwait, Dar al-Qalam 1985), h. 120-125</w:t>
      </w:r>
    </w:p>
  </w:footnote>
  <w:footnote w:id="601">
    <w:p w:rsidR="00343B61" w:rsidRDefault="00343B61" w:rsidP="00343B61">
      <w:pPr>
        <w:pStyle w:val="FootnoteText"/>
        <w:ind w:firstLine="720"/>
        <w:jc w:val="both"/>
      </w:pPr>
      <w:r>
        <w:rPr>
          <w:rStyle w:val="FootnoteReference"/>
        </w:rPr>
        <w:footnoteRef/>
      </w:r>
      <w:r>
        <w:t xml:space="preserve"> </w:t>
      </w:r>
      <w:r w:rsidRPr="009347B9">
        <w:rPr>
          <w:rFonts w:asciiTheme="majorBidi" w:hAnsiTheme="majorBidi" w:cstheme="majorBidi"/>
        </w:rPr>
        <w:t xml:space="preserve">Lihat. Ibrahim bin Musa bin Muhammad al-Lakhmi al-Gharnathi, </w:t>
      </w:r>
      <w:r w:rsidRPr="00AC6C5F">
        <w:rPr>
          <w:rFonts w:asciiTheme="majorBidi" w:hAnsiTheme="majorBidi" w:cstheme="majorBidi"/>
          <w:lang w:val="sv-SE"/>
        </w:rPr>
        <w:t>Al- Sy</w:t>
      </w:r>
      <w:r w:rsidRPr="00AC6C5F">
        <w:rPr>
          <w:rFonts w:asciiTheme="majorBidi" w:hAnsiTheme="majorBidi" w:cstheme="majorBidi"/>
        </w:rPr>
        <w:t>ā</w:t>
      </w:r>
      <w:r w:rsidRPr="00AC6C5F">
        <w:rPr>
          <w:rFonts w:asciiTheme="majorBidi" w:hAnsiTheme="majorBidi" w:cstheme="majorBidi"/>
          <w:lang w:val="sv-SE"/>
        </w:rPr>
        <w:t>thib</w:t>
      </w:r>
      <w:r w:rsidRPr="00AC6C5F">
        <w:rPr>
          <w:rFonts w:asciiTheme="majorBidi" w:hAnsiTheme="majorBidi" w:cstheme="majorBidi"/>
        </w:rPr>
        <w:t>ī</w:t>
      </w:r>
      <w:r>
        <w:rPr>
          <w:rFonts w:asciiTheme="majorBidi" w:hAnsiTheme="majorBidi" w:cstheme="majorBidi"/>
          <w:sz w:val="24"/>
          <w:szCs w:val="24"/>
        </w:rPr>
        <w:t xml:space="preserve"> </w:t>
      </w:r>
      <w:r w:rsidRPr="00AC6C5F">
        <w:rPr>
          <w:rFonts w:asciiTheme="majorBidi" w:hAnsiTheme="majorBidi" w:cstheme="majorBidi"/>
          <w:i/>
          <w:iCs/>
        </w:rPr>
        <w:t>al-Muwafaqāt fi ushūl al-Syarī’ah</w:t>
      </w:r>
      <w:r>
        <w:rPr>
          <w:rFonts w:ascii="Times New Roman" w:hAnsi="Times New Roman" w:cs="Times New Roman"/>
          <w:i/>
          <w:iCs/>
        </w:rPr>
        <w:t xml:space="preserve">, </w:t>
      </w:r>
      <w:r>
        <w:rPr>
          <w:rFonts w:ascii="Times New Roman" w:hAnsi="Times New Roman" w:cs="Times New Roman"/>
        </w:rPr>
        <w:t>(Beirut: Dâr al-Fikr, t.th), Juz I, h. 126</w:t>
      </w:r>
    </w:p>
  </w:footnote>
  <w:footnote w:id="602">
    <w:p w:rsidR="00343B61" w:rsidRPr="00C63156" w:rsidRDefault="00343B61" w:rsidP="00343B61">
      <w:pPr>
        <w:pStyle w:val="FootnoteText"/>
        <w:ind w:firstLine="720"/>
        <w:jc w:val="both"/>
        <w:rPr>
          <w:rFonts w:asciiTheme="majorBidi" w:hAnsiTheme="majorBidi" w:cstheme="majorBidi"/>
        </w:rPr>
      </w:pPr>
      <w:r w:rsidRPr="00592E44">
        <w:rPr>
          <w:rStyle w:val="FootnoteReference"/>
          <w:rFonts w:asciiTheme="majorBidi" w:hAnsiTheme="majorBidi" w:cstheme="majorBidi"/>
        </w:rPr>
        <w:footnoteRef/>
      </w:r>
      <w:r>
        <w:rPr>
          <w:rFonts w:asciiTheme="majorBidi" w:hAnsiTheme="majorBidi" w:cstheme="majorBidi"/>
        </w:rPr>
        <w:t xml:space="preserve">Lihat. </w:t>
      </w:r>
      <w:r w:rsidRPr="00C63156">
        <w:rPr>
          <w:rFonts w:asciiTheme="majorBidi" w:hAnsiTheme="majorBidi" w:cstheme="majorBidi"/>
        </w:rPr>
        <w:t xml:space="preserve">Fathurrahman Djamil, </w:t>
      </w:r>
      <w:r>
        <w:rPr>
          <w:rFonts w:asciiTheme="majorBidi" w:hAnsiTheme="majorBidi" w:cstheme="majorBidi"/>
          <w:i/>
          <w:iCs/>
        </w:rPr>
        <w:t xml:space="preserve">Ijtihad Muhammadiyah Dalam </w:t>
      </w:r>
      <w:r w:rsidRPr="00C63156">
        <w:rPr>
          <w:rFonts w:asciiTheme="majorBidi" w:hAnsiTheme="majorBidi" w:cstheme="majorBidi"/>
          <w:i/>
          <w:iCs/>
        </w:rPr>
        <w:t>Masalah-Masalah Kontemporer</w:t>
      </w:r>
      <w:r w:rsidRPr="00C63156">
        <w:rPr>
          <w:rFonts w:asciiTheme="majorBidi" w:hAnsiTheme="majorBidi" w:cstheme="majorBidi"/>
        </w:rPr>
        <w:t>, (Jakarta, PPS, 1994), h. 54</w:t>
      </w:r>
    </w:p>
  </w:footnote>
  <w:footnote w:id="603">
    <w:p w:rsidR="00343B61" w:rsidRPr="004A73E2"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4A73E2">
        <w:rPr>
          <w:rStyle w:val="FootnoteReference"/>
          <w:rFonts w:asciiTheme="majorBidi" w:hAnsiTheme="majorBidi" w:cstheme="majorBidi"/>
          <w:sz w:val="20"/>
          <w:szCs w:val="20"/>
        </w:rPr>
        <w:footnoteRef/>
      </w:r>
      <w:r>
        <w:rPr>
          <w:rFonts w:asciiTheme="majorBidi" w:hAnsiTheme="majorBidi" w:cstheme="majorBidi"/>
        </w:rPr>
        <w:t>Lihat</w:t>
      </w:r>
      <w:r>
        <w:rPr>
          <w:rFonts w:asciiTheme="majorBidi" w:hAnsiTheme="majorBidi" w:cstheme="majorBidi"/>
          <w:sz w:val="20"/>
          <w:szCs w:val="20"/>
        </w:rPr>
        <w:t xml:space="preserve">. </w:t>
      </w:r>
      <w:r w:rsidRPr="004A73E2">
        <w:rPr>
          <w:rFonts w:asciiTheme="majorBidi" w:hAnsiTheme="majorBidi" w:cstheme="majorBidi"/>
          <w:sz w:val="20"/>
          <w:szCs w:val="20"/>
        </w:rPr>
        <w:t xml:space="preserve">Fathurrahman Djamil, </w:t>
      </w:r>
      <w:r w:rsidRPr="004A73E2">
        <w:rPr>
          <w:rFonts w:asciiTheme="majorBidi" w:hAnsiTheme="majorBidi" w:cstheme="majorBidi"/>
          <w:i/>
          <w:iCs/>
          <w:sz w:val="20"/>
          <w:szCs w:val="20"/>
        </w:rPr>
        <w:t xml:space="preserve">Ijtihad Muhammadiyah Dalam Masalah-Masalah Kontemporer, </w:t>
      </w:r>
      <w:r w:rsidRPr="004A73E2">
        <w:rPr>
          <w:rFonts w:asciiTheme="majorBidi" w:hAnsiTheme="majorBidi" w:cstheme="majorBidi"/>
          <w:sz w:val="20"/>
          <w:szCs w:val="20"/>
        </w:rPr>
        <w:t>(Jakarta, PPS, 1994), h. 27</w:t>
      </w:r>
    </w:p>
  </w:footnote>
  <w:footnote w:id="604">
    <w:p w:rsidR="00343B61" w:rsidRDefault="00343B61" w:rsidP="00343B61">
      <w:pPr>
        <w:pStyle w:val="FootnoteText"/>
        <w:ind w:firstLine="720"/>
        <w:jc w:val="both"/>
      </w:pPr>
      <w:r w:rsidRPr="004A73E2">
        <w:rPr>
          <w:rStyle w:val="FootnoteReference"/>
          <w:rFonts w:asciiTheme="majorBidi" w:hAnsiTheme="majorBidi" w:cstheme="majorBidi"/>
        </w:rPr>
        <w:footnoteRef/>
      </w:r>
      <w:r w:rsidRPr="004A73E2">
        <w:rPr>
          <w:rFonts w:asciiTheme="majorBidi" w:hAnsiTheme="majorBidi" w:cstheme="majorBidi"/>
        </w:rPr>
        <w:t xml:space="preserve"> </w:t>
      </w:r>
      <w:r>
        <w:rPr>
          <w:rFonts w:asciiTheme="majorBidi" w:hAnsiTheme="majorBidi" w:cstheme="majorBidi"/>
        </w:rPr>
        <w:t xml:space="preserve">Lihat. </w:t>
      </w:r>
      <w:r w:rsidRPr="004A73E2">
        <w:rPr>
          <w:rFonts w:asciiTheme="majorBidi" w:hAnsiTheme="majorBidi" w:cstheme="majorBidi"/>
        </w:rPr>
        <w:t>Al-Amid</w:t>
      </w:r>
      <w:r w:rsidRPr="00914108">
        <w:rPr>
          <w:rFonts w:asciiTheme="majorBidi" w:hAnsiTheme="majorBidi" w:cstheme="majorBidi"/>
        </w:rPr>
        <w:t>ī</w:t>
      </w:r>
      <w:r w:rsidRPr="004A73E2">
        <w:rPr>
          <w:rFonts w:asciiTheme="majorBidi" w:hAnsiTheme="majorBidi" w:cstheme="majorBidi"/>
        </w:rPr>
        <w:t xml:space="preserve">, </w:t>
      </w:r>
      <w:r w:rsidRPr="004A73E2">
        <w:rPr>
          <w:rFonts w:asciiTheme="majorBidi" w:hAnsiTheme="majorBidi" w:cstheme="majorBidi"/>
          <w:i/>
          <w:iCs/>
        </w:rPr>
        <w:t>al-Ihk</w:t>
      </w:r>
      <w:r w:rsidRPr="00AC6C5F">
        <w:rPr>
          <w:rFonts w:asciiTheme="majorBidi" w:hAnsiTheme="majorBidi" w:cstheme="majorBidi"/>
          <w:i/>
          <w:iCs/>
        </w:rPr>
        <w:t>ā</w:t>
      </w:r>
      <w:r w:rsidRPr="004A73E2">
        <w:rPr>
          <w:rFonts w:asciiTheme="majorBidi" w:hAnsiTheme="majorBidi" w:cstheme="majorBidi"/>
          <w:i/>
          <w:iCs/>
        </w:rPr>
        <w:t xml:space="preserve">m </w:t>
      </w:r>
      <w:r>
        <w:rPr>
          <w:rFonts w:ascii="Times New Roman" w:hAnsi="Times New Roman" w:cs="Times New Roman"/>
          <w:i/>
          <w:iCs/>
        </w:rPr>
        <w:t>fî</w:t>
      </w:r>
      <w:r w:rsidRPr="004A73E2">
        <w:rPr>
          <w:rFonts w:asciiTheme="majorBidi" w:hAnsiTheme="majorBidi" w:cstheme="majorBidi"/>
          <w:i/>
          <w:iCs/>
        </w:rPr>
        <w:t xml:space="preserve">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w:t>
      </w:r>
      <w:r w:rsidRPr="004A73E2">
        <w:rPr>
          <w:rFonts w:asciiTheme="majorBidi" w:hAnsiTheme="majorBidi" w:cstheme="majorBidi"/>
          <w:i/>
          <w:iCs/>
        </w:rPr>
        <w:t xml:space="preserve"> al-Ahk</w:t>
      </w:r>
      <w:r w:rsidRPr="00AC6C5F">
        <w:rPr>
          <w:rFonts w:asciiTheme="majorBidi" w:hAnsiTheme="majorBidi" w:cstheme="majorBidi"/>
          <w:i/>
          <w:iCs/>
        </w:rPr>
        <w:t>ā</w:t>
      </w:r>
      <w:r w:rsidRPr="004A73E2">
        <w:rPr>
          <w:rFonts w:asciiTheme="majorBidi" w:hAnsiTheme="majorBidi" w:cstheme="majorBidi"/>
          <w:i/>
          <w:iCs/>
        </w:rPr>
        <w:t>m</w:t>
      </w:r>
      <w:r w:rsidRPr="004A73E2">
        <w:rPr>
          <w:rFonts w:asciiTheme="majorBidi" w:hAnsiTheme="majorBidi" w:cstheme="majorBidi"/>
        </w:rPr>
        <w:t>, (Kairo: Muassasah al-Halabi, t.th), Juz I, h. 242</w:t>
      </w:r>
    </w:p>
  </w:footnote>
  <w:footnote w:id="605">
    <w:p w:rsidR="00343B61" w:rsidRPr="00723BA2" w:rsidRDefault="00343B61" w:rsidP="00343B61">
      <w:pPr>
        <w:pStyle w:val="FootnoteText"/>
        <w:ind w:firstLine="720"/>
        <w:jc w:val="both"/>
        <w:rPr>
          <w:rFonts w:asciiTheme="majorBidi" w:hAnsiTheme="majorBidi" w:cstheme="majorBidi"/>
        </w:rPr>
      </w:pPr>
      <w:r w:rsidRPr="00723BA2">
        <w:rPr>
          <w:rStyle w:val="FootnoteReference"/>
          <w:rFonts w:asciiTheme="majorBidi" w:hAnsiTheme="majorBidi" w:cstheme="majorBidi"/>
        </w:rPr>
        <w:footnoteRef/>
      </w:r>
      <w:r w:rsidRPr="00723BA2">
        <w:rPr>
          <w:rFonts w:asciiTheme="majorBidi" w:hAnsiTheme="majorBidi" w:cstheme="majorBidi"/>
        </w:rPr>
        <w:t xml:space="preserve"> </w:t>
      </w:r>
      <w:r>
        <w:rPr>
          <w:rFonts w:asciiTheme="majorBidi" w:hAnsiTheme="majorBidi" w:cstheme="majorBidi"/>
        </w:rPr>
        <w:t>Lihat. Fatwa Maje</w:t>
      </w:r>
      <w:r w:rsidRPr="000D6F31">
        <w:rPr>
          <w:rFonts w:asciiTheme="majorBidi" w:hAnsiTheme="majorBidi" w:cstheme="majorBidi"/>
        </w:rPr>
        <w:t>lis Ulama Indonesia Nomor: 6/MUNAS VII/MUI/10/2005, tanggal 26-29 Juli 2005 Tentang</w:t>
      </w:r>
      <w:r>
        <w:rPr>
          <w:rFonts w:asciiTheme="majorBidi" w:hAnsiTheme="majorBidi" w:cstheme="majorBidi"/>
        </w:rPr>
        <w:t xml:space="preserve">  Kriteria Mashlahat. Dalam: Ma’</w:t>
      </w:r>
      <w:r w:rsidRPr="000D6F31">
        <w:rPr>
          <w:rFonts w:asciiTheme="majorBidi" w:hAnsiTheme="majorBidi" w:cstheme="majorBidi"/>
        </w:rPr>
        <w:t xml:space="preserve">ruf Amin, dkk, </w:t>
      </w:r>
      <w:r w:rsidRPr="000D6F31">
        <w:rPr>
          <w:rFonts w:asciiTheme="majorBidi" w:hAnsiTheme="majorBidi" w:cstheme="majorBidi"/>
          <w:i/>
          <w:iCs/>
        </w:rPr>
        <w:t>Himpunan Fatwa MUI Sejak 1975</w:t>
      </w:r>
      <w:r w:rsidRPr="000D6F31">
        <w:rPr>
          <w:rFonts w:asciiTheme="majorBidi" w:hAnsiTheme="majorBidi" w:cstheme="majorBidi"/>
        </w:rPr>
        <w:t xml:space="preserve"> ( Jakarta: </w:t>
      </w:r>
      <w:r>
        <w:rPr>
          <w:rFonts w:asciiTheme="majorBidi" w:hAnsiTheme="majorBidi" w:cstheme="majorBidi"/>
        </w:rPr>
        <w:t>Penerbit Erlangga, 2011), h. 490</w:t>
      </w:r>
    </w:p>
  </w:footnote>
  <w:footnote w:id="606">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Lihat. Fatwa Maje</w:t>
      </w:r>
      <w:r w:rsidRPr="000D6F31">
        <w:rPr>
          <w:rFonts w:asciiTheme="majorBidi" w:hAnsiTheme="majorBidi" w:cstheme="majorBidi"/>
        </w:rPr>
        <w:t>lis Ulama Indonesia Nomor: 6/MUNAS VII/MUI/10/2005, tanggal 26-29 Juli 2005 Tentang  Kriteria Mashlahat. Dalam: Makruf Amin, dkk, Himpunan Fatwa MUI Sejak 1975 ( Jakarta: Penerbit Erlangga, 2011), h. 486</w:t>
      </w:r>
    </w:p>
  </w:footnote>
  <w:footnote w:id="607">
    <w:p w:rsidR="00343B61" w:rsidRPr="003A52CF" w:rsidRDefault="00343B61" w:rsidP="00343B61">
      <w:pPr>
        <w:pStyle w:val="ListParagraph"/>
        <w:spacing w:after="0" w:line="240" w:lineRule="auto"/>
        <w:ind w:left="0" w:firstLine="720"/>
        <w:jc w:val="both"/>
        <w:rPr>
          <w:rFonts w:asciiTheme="majorBidi" w:hAnsiTheme="majorBidi" w:cstheme="majorBidi"/>
          <w:i/>
          <w:iCs/>
          <w:sz w:val="20"/>
          <w:szCs w:val="20"/>
        </w:rPr>
      </w:pPr>
      <w:r w:rsidRPr="003A52CF">
        <w:rPr>
          <w:rStyle w:val="FootnoteReference"/>
          <w:rFonts w:asciiTheme="majorBidi" w:hAnsiTheme="majorBidi" w:cstheme="majorBidi"/>
          <w:sz w:val="20"/>
          <w:szCs w:val="20"/>
        </w:rPr>
        <w:footnoteRef/>
      </w:r>
      <w:r w:rsidRPr="003A52CF">
        <w:rPr>
          <w:rFonts w:asciiTheme="majorBidi" w:hAnsiTheme="majorBidi" w:cstheme="majorBidi"/>
          <w:sz w:val="20"/>
          <w:szCs w:val="20"/>
        </w:rPr>
        <w:t xml:space="preserve"> Muhammad bin ‘Ali bin Muhammad al-Syaukani</w:t>
      </w:r>
      <w:r w:rsidRPr="003A52CF">
        <w:rPr>
          <w:rFonts w:asciiTheme="majorBidi" w:hAnsiTheme="majorBidi" w:cstheme="majorBidi"/>
          <w:i/>
          <w:iCs/>
          <w:sz w:val="20"/>
          <w:szCs w:val="20"/>
        </w:rPr>
        <w:t>, Irsyād al-Fuhūl ilā Tahqīq ‘ilm al-U</w:t>
      </w:r>
      <w:r w:rsidRPr="003A52CF">
        <w:rPr>
          <w:rFonts w:asciiTheme="majorBidi" w:hAnsiTheme="majorBidi" w:cstheme="majorBidi"/>
          <w:i/>
          <w:iCs/>
          <w:sz w:val="20"/>
          <w:szCs w:val="20"/>
          <w:u w:val="single"/>
          <w:lang w:val="sv-SE"/>
        </w:rPr>
        <w:t>s</w:t>
      </w:r>
      <w:r w:rsidRPr="003A52CF">
        <w:rPr>
          <w:rFonts w:asciiTheme="majorBidi" w:hAnsiTheme="majorBidi" w:cstheme="majorBidi"/>
          <w:i/>
          <w:iCs/>
          <w:sz w:val="20"/>
          <w:szCs w:val="20"/>
        </w:rPr>
        <w:t>ūl</w:t>
      </w:r>
      <w:r w:rsidRPr="003A52CF">
        <w:rPr>
          <w:rFonts w:asciiTheme="majorBidi" w:hAnsiTheme="majorBidi" w:cstheme="majorBidi"/>
          <w:sz w:val="20"/>
          <w:szCs w:val="20"/>
        </w:rPr>
        <w:t>, ( Bairut: Dar al-Fikir, 1992 M/ 1422 H), h. 403</w:t>
      </w:r>
    </w:p>
  </w:footnote>
  <w:footnote w:id="608">
    <w:p w:rsidR="00343B61" w:rsidRPr="00642BB2" w:rsidRDefault="00343B61" w:rsidP="00343B61">
      <w:pPr>
        <w:pStyle w:val="FootnoteText"/>
        <w:ind w:firstLine="720"/>
        <w:jc w:val="both"/>
        <w:rPr>
          <w:rFonts w:asciiTheme="majorBidi" w:hAnsiTheme="majorBidi" w:cstheme="majorBidi"/>
        </w:rPr>
      </w:pPr>
      <w:r w:rsidRPr="00642BB2">
        <w:rPr>
          <w:rStyle w:val="FootnoteReference"/>
          <w:rFonts w:asciiTheme="majorBidi" w:hAnsiTheme="majorBidi" w:cstheme="majorBidi"/>
        </w:rPr>
        <w:footnoteRef/>
      </w:r>
      <w:r w:rsidRPr="00642BB2">
        <w:rPr>
          <w:rFonts w:asciiTheme="majorBidi" w:hAnsiTheme="majorBidi" w:cstheme="majorBidi"/>
        </w:rPr>
        <w:t xml:space="preserve"> Lihat. Abu Hamid Muhamad bin Muhammad bin Muhammad bin Muhammad al-Ghazali, </w:t>
      </w:r>
      <w:r w:rsidRPr="00642BB2">
        <w:rPr>
          <w:rFonts w:asciiTheme="majorBidi" w:hAnsiTheme="majorBidi" w:cstheme="majorBidi"/>
          <w:i/>
          <w:iCs/>
        </w:rPr>
        <w:t>Al-Mushtashfa fi ‘ilm al-Ush</w:t>
      </w:r>
      <w:r w:rsidRPr="003A52CF">
        <w:rPr>
          <w:rFonts w:asciiTheme="majorBidi" w:hAnsiTheme="majorBidi" w:cstheme="majorBidi"/>
          <w:i/>
          <w:iCs/>
        </w:rPr>
        <w:t>ū</w:t>
      </w:r>
      <w:r w:rsidRPr="00642BB2">
        <w:rPr>
          <w:rFonts w:asciiTheme="majorBidi" w:hAnsiTheme="majorBidi" w:cstheme="majorBidi"/>
          <w:i/>
          <w:iCs/>
        </w:rPr>
        <w:t>l</w:t>
      </w:r>
      <w:r w:rsidRPr="00642BB2">
        <w:rPr>
          <w:rFonts w:asciiTheme="majorBidi" w:hAnsiTheme="majorBidi" w:cstheme="majorBidi"/>
        </w:rPr>
        <w:t>, ( Bairut: Dar Kutub ‘ilmiyah, t.th), h. 344-345</w:t>
      </w:r>
    </w:p>
  </w:footnote>
  <w:footnote w:id="609">
    <w:p w:rsidR="00343B61" w:rsidRPr="009347B9" w:rsidRDefault="00343B61" w:rsidP="00343B61">
      <w:pPr>
        <w:pStyle w:val="FootnoteText"/>
        <w:ind w:firstLine="720"/>
        <w:jc w:val="both"/>
        <w:rPr>
          <w:rFonts w:asciiTheme="majorBidi" w:hAnsiTheme="majorBidi" w:cstheme="majorBidi"/>
        </w:rPr>
      </w:pPr>
      <w:r w:rsidRPr="009347B9">
        <w:rPr>
          <w:rStyle w:val="FootnoteReference"/>
          <w:rFonts w:asciiTheme="majorBidi" w:hAnsiTheme="majorBidi" w:cstheme="majorBidi"/>
        </w:rPr>
        <w:footnoteRef/>
      </w:r>
      <w:r w:rsidRPr="009347B9">
        <w:rPr>
          <w:rFonts w:asciiTheme="majorBidi" w:hAnsiTheme="majorBidi" w:cstheme="majorBidi"/>
        </w:rPr>
        <w:t xml:space="preserve"> Lihat. Ibrahim bin Musa bin Muhammad al-Lakhmi al-Gharnathi al-Syatibi, </w:t>
      </w:r>
      <w:r w:rsidRPr="009347B9">
        <w:rPr>
          <w:rFonts w:asciiTheme="majorBidi" w:hAnsiTheme="majorBidi" w:cstheme="majorBidi"/>
          <w:i/>
          <w:iCs/>
        </w:rPr>
        <w:t>Al-Muwafaqat</w:t>
      </w:r>
      <w:r w:rsidRPr="009347B9">
        <w:rPr>
          <w:rFonts w:asciiTheme="majorBidi" w:hAnsiTheme="majorBidi" w:cstheme="majorBidi"/>
        </w:rPr>
        <w:t>, (  t.t: Dar Ibn ‘Affan, t.th), cet I, Juz I, h. 32</w:t>
      </w:r>
    </w:p>
  </w:footnote>
  <w:footnote w:id="610">
    <w:p w:rsidR="00343B61" w:rsidRPr="00B7150C" w:rsidRDefault="00343B61" w:rsidP="00343B61">
      <w:pPr>
        <w:pStyle w:val="FootnoteText"/>
        <w:ind w:firstLine="720"/>
        <w:jc w:val="both"/>
        <w:rPr>
          <w:rFonts w:asciiTheme="majorBidi" w:hAnsiTheme="majorBidi" w:cstheme="majorBidi"/>
        </w:rPr>
      </w:pPr>
      <w:r w:rsidRPr="00B7150C">
        <w:rPr>
          <w:rStyle w:val="FootnoteReference"/>
          <w:rFonts w:asciiTheme="majorBidi" w:hAnsiTheme="majorBidi" w:cstheme="majorBidi"/>
        </w:rPr>
        <w:footnoteRef/>
      </w:r>
      <w:r w:rsidRPr="00B7150C">
        <w:rPr>
          <w:rFonts w:asciiTheme="majorBidi" w:hAnsiTheme="majorBidi" w:cstheme="majorBidi"/>
        </w:rPr>
        <w:t xml:space="preserve"> </w:t>
      </w:r>
      <w:r>
        <w:rPr>
          <w:rFonts w:asciiTheme="majorBidi" w:hAnsiTheme="majorBidi" w:cstheme="majorBidi"/>
        </w:rPr>
        <w:t xml:space="preserve">Lihat. </w:t>
      </w:r>
      <w:r w:rsidRPr="00B7150C">
        <w:rPr>
          <w:rFonts w:asciiTheme="majorBidi" w:hAnsiTheme="majorBidi" w:cstheme="majorBidi"/>
        </w:rPr>
        <w:t xml:space="preserve">Wahbah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sidRPr="00B7150C">
        <w:rPr>
          <w:rFonts w:asciiTheme="majorBidi" w:hAnsiTheme="majorBidi" w:cstheme="majorBidi"/>
        </w:rPr>
        <w:t>, ( Bairut: Dar Al-Fikr, 1989), Jilid VI. H. 16</w:t>
      </w:r>
    </w:p>
  </w:footnote>
  <w:footnote w:id="611">
    <w:p w:rsidR="00343B61" w:rsidRPr="001B1DFD" w:rsidRDefault="00343B61" w:rsidP="00343B61">
      <w:pPr>
        <w:pStyle w:val="FootnoteText"/>
        <w:ind w:firstLine="720"/>
        <w:jc w:val="both"/>
        <w:rPr>
          <w:rFonts w:asciiTheme="majorBidi" w:hAnsiTheme="majorBidi" w:cstheme="majorBidi"/>
        </w:rPr>
      </w:pPr>
      <w:r w:rsidRPr="001B1DFD">
        <w:rPr>
          <w:rStyle w:val="FootnoteReference"/>
          <w:rFonts w:asciiTheme="majorBidi" w:hAnsiTheme="majorBidi" w:cstheme="majorBidi"/>
        </w:rPr>
        <w:footnoteRef/>
      </w:r>
      <w:r w:rsidRPr="001B1DFD">
        <w:rPr>
          <w:rFonts w:asciiTheme="majorBidi" w:hAnsiTheme="majorBidi" w:cstheme="majorBidi"/>
        </w:rPr>
        <w:t xml:space="preserve"> </w:t>
      </w:r>
      <w:r>
        <w:rPr>
          <w:rFonts w:asciiTheme="majorBidi" w:hAnsiTheme="majorBidi" w:cstheme="majorBidi"/>
        </w:rPr>
        <w:t xml:space="preserve">Lihat. </w:t>
      </w:r>
      <w:r w:rsidRPr="001B1DFD">
        <w:rPr>
          <w:rFonts w:asciiTheme="majorBidi" w:hAnsiTheme="majorBidi" w:cstheme="majorBidi"/>
        </w:rPr>
        <w:t xml:space="preserve">Khairuddin Nasution, </w:t>
      </w:r>
      <w:r w:rsidRPr="001B1DFD">
        <w:rPr>
          <w:rFonts w:asciiTheme="majorBidi" w:hAnsiTheme="majorBidi" w:cstheme="majorBidi"/>
          <w:i/>
          <w:iCs/>
        </w:rPr>
        <w:t xml:space="preserve">Hukum </w:t>
      </w:r>
      <w:r>
        <w:rPr>
          <w:rFonts w:asciiTheme="majorBidi" w:hAnsiTheme="majorBidi" w:cstheme="majorBidi"/>
          <w:i/>
          <w:iCs/>
        </w:rPr>
        <w:t>Keluarga (Perdata) Islam Indone</w:t>
      </w:r>
      <w:r w:rsidRPr="001B1DFD">
        <w:rPr>
          <w:rFonts w:asciiTheme="majorBidi" w:hAnsiTheme="majorBidi" w:cstheme="majorBidi"/>
          <w:i/>
          <w:iCs/>
        </w:rPr>
        <w:t>s</w:t>
      </w:r>
      <w:r>
        <w:rPr>
          <w:rFonts w:asciiTheme="majorBidi" w:hAnsiTheme="majorBidi" w:cstheme="majorBidi"/>
          <w:i/>
          <w:iCs/>
        </w:rPr>
        <w:t>i</w:t>
      </w:r>
      <w:r w:rsidRPr="001B1DFD">
        <w:rPr>
          <w:rFonts w:asciiTheme="majorBidi" w:hAnsiTheme="majorBidi" w:cstheme="majorBidi"/>
          <w:i/>
          <w:iCs/>
        </w:rPr>
        <w:t>a</w:t>
      </w:r>
      <w:r w:rsidRPr="001B1DFD">
        <w:rPr>
          <w:rFonts w:asciiTheme="majorBidi" w:hAnsiTheme="majorBidi" w:cstheme="majorBidi"/>
        </w:rPr>
        <w:t>, ( Yogyakarta: Academia &amp; Tazzafa, 2010), h. 8</w:t>
      </w:r>
    </w:p>
  </w:footnote>
  <w:footnote w:id="612">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Da</w:t>
      </w:r>
      <w:r w:rsidRPr="003A659F">
        <w:rPr>
          <w:rFonts w:asciiTheme="majorBidi" w:hAnsiTheme="majorBidi" w:cstheme="majorBidi"/>
        </w:rPr>
        <w:t xml:space="preserve">lam </w:t>
      </w:r>
      <w:r>
        <w:rPr>
          <w:rFonts w:asciiTheme="majorBidi" w:hAnsiTheme="majorBidi" w:cstheme="majorBidi"/>
        </w:rPr>
        <w:t xml:space="preserve">buku </w:t>
      </w:r>
      <w:r w:rsidRPr="003A659F">
        <w:rPr>
          <w:rFonts w:asciiTheme="majorBidi" w:hAnsiTheme="majorBidi" w:cstheme="majorBidi"/>
        </w:rPr>
        <w:t xml:space="preserve">Himpunan Fatwa MUI </w:t>
      </w:r>
      <w:r>
        <w:rPr>
          <w:rFonts w:asciiTheme="majorBidi" w:hAnsiTheme="majorBidi" w:cstheme="majorBidi"/>
        </w:rPr>
        <w:t>Sejak 1975 ditemukan setidaknya 22</w:t>
      </w:r>
      <w:r w:rsidRPr="003A659F">
        <w:rPr>
          <w:rFonts w:asciiTheme="majorBidi" w:hAnsiTheme="majorBidi" w:cstheme="majorBidi"/>
        </w:rPr>
        <w:t xml:space="preserve"> buah fatwa yang masuk dalam kategori Hukum Keluarga, yaitu; 1) Fatwa Perkawinan Campuran,2) Fatwa Talak Tiga Sekaligus, 3) Fatwa Iddah Wafat, 4) Fatwa Adopsi( Pengangkatan anak), 5) Fatwa Pendayagunaan Tanah Warisan, 6) Fatwa Prosedur Pernikahan, 7. Fatwa Pengucapan Shighat Taklik Talak Pada Waktu Upacara Pernikahan, 8) Fatwa Nikah Mut’ah, 9) Fatwa Aborsi, 10) Fatwa Wakaf Uang, 11) Fatwa Kewarisan Saudara Kandung Laki-laki/ Saudara Sebapak, 12) Fatwa Perkawinan Beda Agama, 13) Fatwa Kewarisan Beda Agama, 14) Fatwa Nikah dibawah Tangan, 15) Fatwa Nikah Wisata, 16) Fatwa Wasiat Menghebahkan Kornea Mata, 17) Fatwa Bayi Tabung / Inseminasi Buatan, 18) Fatwa Kloning, 19) Fatwa Transfer Emberio Ke Rahim Titipan, 19) Fatwa Vasektomi dan 20) Fatwa Nikah Usia Dini.</w:t>
      </w:r>
      <w:r>
        <w:rPr>
          <w:rFonts w:asciiTheme="majorBidi" w:hAnsiTheme="majorBidi" w:cstheme="majorBidi"/>
        </w:rPr>
        <w:t xml:space="preserve"> 21) fatwa Talak diluar Pengadilan</w:t>
      </w:r>
      <w:r w:rsidRPr="003A659F">
        <w:rPr>
          <w:rFonts w:asciiTheme="majorBidi" w:hAnsiTheme="majorBidi" w:cstheme="majorBidi"/>
        </w:rPr>
        <w:t xml:space="preserve"> </w:t>
      </w:r>
      <w:r w:rsidRPr="004C1C28">
        <w:rPr>
          <w:rFonts w:asciiTheme="majorBidi" w:hAnsiTheme="majorBidi" w:cstheme="majorBidi"/>
        </w:rPr>
        <w:t>22)Fatwa Pengasuhan Anak Bagi Orangtua Yang Bercerai Karena Beda Agama</w:t>
      </w:r>
      <w:r w:rsidRPr="003A659F">
        <w:rPr>
          <w:rFonts w:asciiTheme="majorBidi" w:hAnsiTheme="majorBidi" w:cstheme="majorBidi"/>
        </w:rPr>
        <w:t xml:space="preserve"> ( Lihat. Ma’ruf Amin, dkk</w:t>
      </w:r>
      <w:r>
        <w:rPr>
          <w:rFonts w:asciiTheme="majorBidi" w:hAnsiTheme="majorBidi" w:cstheme="majorBidi"/>
        </w:rPr>
        <w:t>,</w:t>
      </w:r>
      <w:r w:rsidRPr="003A659F">
        <w:rPr>
          <w:rFonts w:asciiTheme="majorBidi" w:hAnsiTheme="majorBidi" w:cstheme="majorBidi"/>
        </w:rPr>
        <w:t xml:space="preserve"> </w:t>
      </w:r>
      <w:r w:rsidRPr="00D67616">
        <w:rPr>
          <w:rFonts w:asciiTheme="majorBidi" w:hAnsiTheme="majorBidi" w:cstheme="majorBidi"/>
          <w:i/>
          <w:iCs/>
        </w:rPr>
        <w:t>Himpunan Fatwa MUI Sejak 1975</w:t>
      </w:r>
      <w:r w:rsidRPr="003A659F">
        <w:rPr>
          <w:rFonts w:asciiTheme="majorBidi" w:hAnsiTheme="majorBidi" w:cstheme="majorBidi"/>
        </w:rPr>
        <w:t>, ( Jakarta: Erlangga, 2011), h. xii-xx.</w:t>
      </w:r>
    </w:p>
  </w:footnote>
  <w:footnote w:id="613">
    <w:p w:rsidR="00343B61" w:rsidRPr="0033511D" w:rsidRDefault="00343B61" w:rsidP="00343B61">
      <w:pPr>
        <w:pStyle w:val="Default"/>
        <w:ind w:firstLine="720"/>
        <w:jc w:val="both"/>
        <w:rPr>
          <w:rFonts w:asciiTheme="majorBidi" w:eastAsia="Times New Roman" w:hAnsiTheme="majorBidi" w:cstheme="majorBidi"/>
          <w:sz w:val="20"/>
          <w:szCs w:val="20"/>
        </w:rPr>
      </w:pPr>
      <w:r w:rsidRPr="0033511D">
        <w:rPr>
          <w:rStyle w:val="FootnoteReference"/>
          <w:rFonts w:asciiTheme="majorBidi" w:hAnsiTheme="majorBidi" w:cstheme="majorBidi"/>
          <w:sz w:val="20"/>
          <w:szCs w:val="20"/>
        </w:rPr>
        <w:footnoteRef/>
      </w:r>
      <w:r w:rsidRPr="0033511D">
        <w:rPr>
          <w:rFonts w:asciiTheme="majorBidi" w:hAnsiTheme="majorBidi" w:cstheme="majorBidi"/>
          <w:sz w:val="20"/>
          <w:szCs w:val="20"/>
        </w:rPr>
        <w:t xml:space="preserve"> </w:t>
      </w:r>
      <w:r>
        <w:rPr>
          <w:rFonts w:asciiTheme="majorBidi" w:hAnsiTheme="majorBidi" w:cstheme="majorBidi"/>
          <w:sz w:val="20"/>
          <w:szCs w:val="20"/>
        </w:rPr>
        <w:t xml:space="preserve">Lihat. </w:t>
      </w:r>
      <w:r w:rsidRPr="0033511D">
        <w:rPr>
          <w:rFonts w:asciiTheme="majorBidi" w:hAnsiTheme="majorBidi" w:cstheme="majorBidi"/>
          <w:sz w:val="20"/>
          <w:szCs w:val="20"/>
        </w:rPr>
        <w:t xml:space="preserve">Muhammad Khaeruddin Hamsin, </w:t>
      </w:r>
      <w:r w:rsidRPr="0033511D">
        <w:rPr>
          <w:rFonts w:asciiTheme="majorBidi" w:hAnsiTheme="majorBidi" w:cstheme="majorBidi"/>
          <w:i/>
          <w:iCs/>
          <w:sz w:val="20"/>
          <w:szCs w:val="20"/>
        </w:rPr>
        <w:t xml:space="preserve">Perkawinan Beda Agama dalam Tinjauan Syariah dan Hukum Positif </w:t>
      </w:r>
      <w:r w:rsidRPr="0033511D">
        <w:rPr>
          <w:rFonts w:asciiTheme="majorBidi" w:eastAsia="Times New Roman" w:hAnsiTheme="majorBidi" w:cstheme="majorBidi"/>
          <w:i/>
          <w:iCs/>
          <w:sz w:val="20"/>
          <w:szCs w:val="20"/>
        </w:rPr>
        <w:t xml:space="preserve"> (Menyoal Pasal 2 ayat (1) UU No. 1 Th. 1974),</w:t>
      </w:r>
      <w:r w:rsidRPr="0033511D">
        <w:rPr>
          <w:rFonts w:asciiTheme="majorBidi" w:eastAsia="Times New Roman" w:hAnsiTheme="majorBidi" w:cstheme="majorBidi"/>
          <w:sz w:val="20"/>
          <w:szCs w:val="20"/>
        </w:rPr>
        <w:t xml:space="preserve"> Makalah tidak di publikasikan, h, 3</w:t>
      </w:r>
    </w:p>
  </w:footnote>
  <w:footnote w:id="614">
    <w:p w:rsidR="00343B61" w:rsidRPr="00C63951" w:rsidRDefault="00343B61" w:rsidP="00343B61">
      <w:pPr>
        <w:pStyle w:val="FootnoteText"/>
        <w:ind w:firstLine="720"/>
        <w:jc w:val="both"/>
        <w:rPr>
          <w:rFonts w:asciiTheme="majorBidi" w:hAnsiTheme="majorBidi" w:cstheme="majorBidi"/>
        </w:rPr>
      </w:pPr>
      <w:r w:rsidRPr="00C63951">
        <w:rPr>
          <w:rStyle w:val="FootnoteReference"/>
          <w:rFonts w:asciiTheme="majorBidi" w:hAnsiTheme="majorBidi" w:cstheme="majorBidi"/>
        </w:rPr>
        <w:footnoteRef/>
      </w:r>
      <w:r>
        <w:rPr>
          <w:rFonts w:asciiTheme="majorBidi" w:hAnsiTheme="majorBidi" w:cstheme="majorBidi"/>
        </w:rPr>
        <w:t xml:space="preserve"> Lihat. </w:t>
      </w:r>
      <w:r w:rsidRPr="00C63951">
        <w:rPr>
          <w:rFonts w:asciiTheme="majorBidi" w:hAnsiTheme="majorBidi" w:cstheme="majorBidi"/>
        </w:rPr>
        <w:t xml:space="preserve">Tutik Hamidah, </w:t>
      </w:r>
      <w:r w:rsidRPr="00C63951">
        <w:rPr>
          <w:rFonts w:asciiTheme="majorBidi" w:hAnsiTheme="majorBidi" w:cstheme="majorBidi"/>
          <w:i/>
          <w:iCs/>
        </w:rPr>
        <w:t>Pemikiran Feminis Muslim Indonesia</w:t>
      </w:r>
      <w:r w:rsidRPr="00C63951">
        <w:rPr>
          <w:rFonts w:asciiTheme="majorBidi" w:hAnsiTheme="majorBidi" w:cstheme="majorBidi"/>
        </w:rPr>
        <w:t>, ( Jakarta: Disertasi Pada UIN Syarif Hidayatullah, 2009), h. 148</w:t>
      </w:r>
    </w:p>
  </w:footnote>
  <w:footnote w:id="615">
    <w:p w:rsidR="00343B61" w:rsidRPr="00B3518C" w:rsidRDefault="00343B61" w:rsidP="00343B61">
      <w:pPr>
        <w:pStyle w:val="FootnoteText"/>
        <w:ind w:firstLine="720"/>
        <w:jc w:val="both"/>
        <w:rPr>
          <w:rFonts w:asciiTheme="majorBidi" w:hAnsiTheme="majorBidi" w:cstheme="majorBidi"/>
        </w:rPr>
      </w:pPr>
      <w:r w:rsidRPr="00B3518C">
        <w:rPr>
          <w:rStyle w:val="FootnoteReference"/>
          <w:rFonts w:asciiTheme="majorBidi" w:hAnsiTheme="majorBidi" w:cstheme="majorBidi"/>
        </w:rPr>
        <w:footnoteRef/>
      </w:r>
      <w:r w:rsidRPr="00B3518C">
        <w:rPr>
          <w:rFonts w:asciiTheme="majorBidi" w:hAnsiTheme="majorBidi" w:cstheme="majorBidi"/>
        </w:rPr>
        <w:t xml:space="preserve">  Lihat. Tutik Hamidah, </w:t>
      </w:r>
      <w:r w:rsidRPr="00B3518C">
        <w:rPr>
          <w:rFonts w:asciiTheme="majorBidi" w:hAnsiTheme="majorBidi" w:cstheme="majorBidi"/>
          <w:i/>
          <w:iCs/>
        </w:rPr>
        <w:t>Pemikiran Feminis Muslim Indonesia</w:t>
      </w:r>
      <w:r w:rsidRPr="00B3518C">
        <w:rPr>
          <w:rFonts w:asciiTheme="majorBidi" w:hAnsiTheme="majorBidi" w:cstheme="majorBidi"/>
        </w:rPr>
        <w:t>, ( Jakarta: Disertasi Pada UIN Syarif Hidayatullah, 2009), h. 148</w:t>
      </w:r>
    </w:p>
  </w:footnote>
  <w:footnote w:id="616">
    <w:p w:rsidR="00343B61" w:rsidRPr="00BD69EE" w:rsidRDefault="00343B61" w:rsidP="00343B61">
      <w:pPr>
        <w:pStyle w:val="FootnoteText"/>
        <w:ind w:firstLine="720"/>
        <w:jc w:val="both"/>
        <w:rPr>
          <w:rFonts w:asciiTheme="majorBidi" w:hAnsiTheme="majorBidi" w:cstheme="majorBidi"/>
        </w:rPr>
      </w:pPr>
      <w:r w:rsidRPr="00B3518C">
        <w:rPr>
          <w:rStyle w:val="FootnoteReference"/>
          <w:rFonts w:asciiTheme="majorBidi" w:hAnsiTheme="majorBidi" w:cstheme="majorBidi"/>
        </w:rPr>
        <w:footnoteRef/>
      </w:r>
      <w:r w:rsidRPr="00B3518C">
        <w:rPr>
          <w:rFonts w:asciiTheme="majorBidi" w:hAnsiTheme="majorBidi" w:cstheme="majorBidi"/>
        </w:rPr>
        <w:t xml:space="preserve"> Lihat. Quraish Shihab, </w:t>
      </w:r>
      <w:r w:rsidRPr="00B3518C">
        <w:rPr>
          <w:rFonts w:asciiTheme="majorBidi" w:hAnsiTheme="majorBidi" w:cstheme="majorBidi"/>
          <w:i/>
          <w:iCs/>
        </w:rPr>
        <w:t>Wawasan Al-Quran Tafsir Maudhu'i atas Pelbagai Persoalan Umat</w:t>
      </w:r>
      <w:r w:rsidRPr="00B3518C">
        <w:rPr>
          <w:rFonts w:asciiTheme="majorBidi" w:hAnsiTheme="majorBidi" w:cstheme="majorBidi"/>
        </w:rPr>
        <w:t>, ( Bandung, Mizan, 1996 ) h. 347</w:t>
      </w:r>
    </w:p>
  </w:footnote>
  <w:footnote w:id="617">
    <w:p w:rsidR="00343B61" w:rsidRPr="00A24609"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D87A7D">
        <w:rPr>
          <w:rStyle w:val="FootnoteReference"/>
        </w:rPr>
        <w:footnoteRef/>
      </w:r>
      <w:r>
        <w:t xml:space="preserve"> </w:t>
      </w:r>
      <w:r w:rsidRPr="00D87A7D">
        <w:rPr>
          <w:rFonts w:asciiTheme="majorBidi" w:hAnsiTheme="majorBidi" w:cstheme="majorBidi"/>
          <w:sz w:val="20"/>
          <w:szCs w:val="20"/>
        </w:rPr>
        <w:t xml:space="preserve">Termasuk yang melarang adalah Ibnu Umar, </w:t>
      </w:r>
      <w:r>
        <w:rPr>
          <w:rFonts w:asciiTheme="majorBidi" w:hAnsiTheme="majorBidi" w:cstheme="majorBidi"/>
          <w:sz w:val="20"/>
          <w:szCs w:val="20"/>
        </w:rPr>
        <w:t xml:space="preserve">dan yang memboleh dengan syarat wanita ahli kitab adalah jumhur ulama. </w:t>
      </w:r>
      <w:r w:rsidRPr="00D87A7D">
        <w:rPr>
          <w:rFonts w:asciiTheme="majorBidi" w:hAnsiTheme="majorBidi" w:cstheme="majorBidi"/>
          <w:sz w:val="20"/>
          <w:szCs w:val="20"/>
        </w:rPr>
        <w:t>lihat.</w:t>
      </w:r>
      <w:r w:rsidRPr="00D87A7D">
        <w:rPr>
          <w:sz w:val="20"/>
          <w:szCs w:val="20"/>
        </w:rPr>
        <w:t xml:space="preserve"> </w:t>
      </w:r>
      <w:r w:rsidRPr="00D87A7D">
        <w:rPr>
          <w:rFonts w:asciiTheme="majorBidi" w:hAnsiTheme="majorBidi" w:cstheme="majorBidi"/>
          <w:sz w:val="20"/>
          <w:szCs w:val="20"/>
        </w:rPr>
        <w:t>Lihat. ‘Ala al-Din ‘Ali bin Muhammad bin Ibrahim al-Baghdad</w:t>
      </w:r>
      <w:r w:rsidRPr="00914108">
        <w:rPr>
          <w:rFonts w:asciiTheme="majorBidi" w:hAnsiTheme="majorBidi" w:cstheme="majorBidi"/>
          <w:sz w:val="20"/>
          <w:szCs w:val="20"/>
        </w:rPr>
        <w:t>ī</w:t>
      </w:r>
      <w:r w:rsidRPr="00D87A7D">
        <w:rPr>
          <w:rFonts w:asciiTheme="majorBidi" w:hAnsiTheme="majorBidi" w:cstheme="majorBidi"/>
          <w:sz w:val="20"/>
          <w:szCs w:val="20"/>
        </w:rPr>
        <w:t xml:space="preserve"> al-Kh</w:t>
      </w:r>
      <w:r w:rsidRPr="00452369">
        <w:rPr>
          <w:rFonts w:asciiTheme="majorBidi" w:hAnsiTheme="majorBidi" w:cstheme="majorBidi"/>
          <w:sz w:val="20"/>
          <w:szCs w:val="20"/>
        </w:rPr>
        <w:t>ā</w:t>
      </w:r>
      <w:r w:rsidRPr="00D87A7D">
        <w:rPr>
          <w:rFonts w:asciiTheme="majorBidi" w:hAnsiTheme="majorBidi" w:cstheme="majorBidi"/>
          <w:sz w:val="20"/>
          <w:szCs w:val="20"/>
        </w:rPr>
        <w:t xml:space="preserve">zin, </w:t>
      </w:r>
      <w:r w:rsidRPr="00D87A7D">
        <w:rPr>
          <w:rFonts w:asciiTheme="majorBidi" w:hAnsiTheme="majorBidi" w:cstheme="majorBidi"/>
          <w:i/>
          <w:iCs/>
          <w:sz w:val="20"/>
          <w:szCs w:val="20"/>
        </w:rPr>
        <w:t>Tafs</w:t>
      </w:r>
      <w:r w:rsidRPr="00452369">
        <w:rPr>
          <w:rFonts w:asciiTheme="majorBidi" w:hAnsiTheme="majorBidi" w:cstheme="majorBidi"/>
          <w:i/>
          <w:iCs/>
          <w:sz w:val="20"/>
          <w:szCs w:val="20"/>
        </w:rPr>
        <w:t>ī</w:t>
      </w:r>
      <w:r w:rsidRPr="00D87A7D">
        <w:rPr>
          <w:rFonts w:asciiTheme="majorBidi" w:hAnsiTheme="majorBidi" w:cstheme="majorBidi"/>
          <w:i/>
          <w:iCs/>
          <w:sz w:val="20"/>
          <w:szCs w:val="20"/>
        </w:rPr>
        <w:t>r al-Kh</w:t>
      </w:r>
      <w:r w:rsidRPr="00AC6C5F">
        <w:rPr>
          <w:rFonts w:asciiTheme="majorBidi" w:hAnsiTheme="majorBidi" w:cstheme="majorBidi"/>
          <w:i/>
          <w:iCs/>
          <w:sz w:val="20"/>
          <w:szCs w:val="20"/>
        </w:rPr>
        <w:t>ā</w:t>
      </w:r>
      <w:r w:rsidRPr="00D87A7D">
        <w:rPr>
          <w:rFonts w:asciiTheme="majorBidi" w:hAnsiTheme="majorBidi" w:cstheme="majorBidi"/>
          <w:i/>
          <w:iCs/>
          <w:sz w:val="20"/>
          <w:szCs w:val="20"/>
        </w:rPr>
        <w:t>zin</w:t>
      </w:r>
      <w:r w:rsidRPr="00D87A7D">
        <w:rPr>
          <w:rFonts w:asciiTheme="majorBidi" w:hAnsiTheme="majorBidi" w:cstheme="majorBidi"/>
          <w:sz w:val="20"/>
          <w:szCs w:val="20"/>
        </w:rPr>
        <w:t>, ( Bairut: Dar al-kutub al-Ilmiyah, 1415 H), Jilid II, h. 15</w:t>
      </w:r>
      <w:r>
        <w:rPr>
          <w:rFonts w:asciiTheme="majorBidi" w:hAnsiTheme="majorBidi" w:cstheme="majorBidi"/>
          <w:sz w:val="20"/>
          <w:szCs w:val="20"/>
        </w:rPr>
        <w:t xml:space="preserve">. Lihat juga. ‘Ali al-Shabuni, </w:t>
      </w:r>
      <w:r w:rsidRPr="00A3064C">
        <w:rPr>
          <w:rFonts w:asciiTheme="majorBidi" w:hAnsiTheme="majorBidi" w:cstheme="majorBidi"/>
          <w:i/>
          <w:iCs/>
          <w:sz w:val="20"/>
          <w:szCs w:val="20"/>
        </w:rPr>
        <w:t>Tafsir ayat al-Ahkam</w:t>
      </w:r>
      <w:r>
        <w:rPr>
          <w:rFonts w:asciiTheme="majorBidi" w:hAnsiTheme="majorBidi" w:cstheme="majorBidi"/>
          <w:sz w:val="20"/>
          <w:szCs w:val="20"/>
        </w:rPr>
        <w:t>, ( Damascus: Dar al-Fikr, t.th), Jilid I, h. 248</w:t>
      </w:r>
    </w:p>
  </w:footnote>
  <w:footnote w:id="618">
    <w:p w:rsidR="00343B61" w:rsidRDefault="00343B61" w:rsidP="00343B61">
      <w:pPr>
        <w:pStyle w:val="FootnoteText"/>
        <w:ind w:firstLine="720"/>
        <w:jc w:val="both"/>
      </w:pPr>
      <w:r>
        <w:rPr>
          <w:rStyle w:val="FootnoteReference"/>
        </w:rPr>
        <w:footnoteRef/>
      </w:r>
      <w:r>
        <w:t xml:space="preserve"> </w:t>
      </w:r>
      <w:r w:rsidRPr="00EA38F5">
        <w:rPr>
          <w:rFonts w:asciiTheme="majorBidi" w:hAnsiTheme="majorBidi" w:cstheme="majorBidi"/>
        </w:rPr>
        <w:t xml:space="preserve">Lihat. Depag RI, </w:t>
      </w:r>
      <w:r w:rsidRPr="00EA38F5">
        <w:rPr>
          <w:rFonts w:asciiTheme="majorBidi" w:hAnsiTheme="majorBidi" w:cstheme="majorBidi"/>
          <w:i/>
          <w:iCs/>
        </w:rPr>
        <w:t>Al-Qur’an dan Terjamahannya</w:t>
      </w:r>
      <w:r w:rsidRPr="00EA38F5">
        <w:rPr>
          <w:rFonts w:asciiTheme="majorBidi" w:hAnsiTheme="majorBidi" w:cstheme="majorBidi"/>
        </w:rPr>
        <w:t>, (Medinah al-Munawwarah: Mujamma’ al-Malik Fahd Li al-Thiba’ah Mush-haf al-Syarif, 1418 H ) h.</w:t>
      </w:r>
      <w:r>
        <w:rPr>
          <w:rFonts w:asciiTheme="majorBidi" w:hAnsiTheme="majorBidi" w:cstheme="majorBidi"/>
        </w:rPr>
        <w:t xml:space="preserve"> 53</w:t>
      </w:r>
    </w:p>
  </w:footnote>
  <w:footnote w:id="619">
    <w:p w:rsidR="00343B61" w:rsidRPr="00B704D4" w:rsidRDefault="00343B61" w:rsidP="00343B61">
      <w:pPr>
        <w:pStyle w:val="FootnoteText"/>
        <w:ind w:firstLine="720"/>
        <w:jc w:val="both"/>
        <w:rPr>
          <w:rFonts w:asciiTheme="majorBidi" w:hAnsiTheme="majorBidi" w:cstheme="majorBidi"/>
        </w:rPr>
      </w:pPr>
      <w:r w:rsidRPr="00B704D4">
        <w:rPr>
          <w:rStyle w:val="FootnoteReference"/>
          <w:rFonts w:asciiTheme="majorBidi" w:hAnsiTheme="majorBidi" w:cstheme="majorBidi"/>
        </w:rPr>
        <w:footnoteRef/>
      </w:r>
      <w:r w:rsidRPr="00B704D4">
        <w:rPr>
          <w:rFonts w:asciiTheme="majorBidi" w:hAnsiTheme="majorBidi" w:cstheme="majorBidi"/>
        </w:rPr>
        <w:t xml:space="preserve"> Lihat. </w:t>
      </w:r>
      <w:r>
        <w:rPr>
          <w:rFonts w:asciiTheme="majorBidi" w:hAnsiTheme="majorBidi" w:cstheme="majorBidi"/>
        </w:rPr>
        <w:t>Abu al-Hasan `Ali ibn Ahmad al-w</w:t>
      </w:r>
      <w:r w:rsidRPr="00452369">
        <w:rPr>
          <w:rFonts w:asciiTheme="majorBidi" w:hAnsiTheme="majorBidi" w:cstheme="majorBidi"/>
        </w:rPr>
        <w:t>ā</w:t>
      </w:r>
      <w:r w:rsidRPr="00B704D4">
        <w:rPr>
          <w:rFonts w:asciiTheme="majorBidi" w:hAnsiTheme="majorBidi" w:cstheme="majorBidi"/>
        </w:rPr>
        <w:t>hid</w:t>
      </w:r>
      <w:r w:rsidRPr="00914108">
        <w:rPr>
          <w:rFonts w:asciiTheme="majorBidi" w:hAnsiTheme="majorBidi" w:cstheme="majorBidi"/>
        </w:rPr>
        <w:t>ī</w:t>
      </w:r>
      <w:r w:rsidRPr="00B704D4">
        <w:rPr>
          <w:rFonts w:asciiTheme="majorBidi" w:hAnsiTheme="majorBidi" w:cstheme="majorBidi"/>
        </w:rPr>
        <w:t xml:space="preserve">, </w:t>
      </w:r>
      <w:r w:rsidRPr="00B704D4">
        <w:rPr>
          <w:rFonts w:asciiTheme="majorBidi" w:hAnsiTheme="majorBidi" w:cstheme="majorBidi"/>
          <w:i/>
          <w:iCs/>
        </w:rPr>
        <w:t>Asb</w:t>
      </w:r>
      <w:r w:rsidRPr="00AC6C5F">
        <w:rPr>
          <w:rFonts w:asciiTheme="majorBidi" w:hAnsiTheme="majorBidi" w:cstheme="majorBidi"/>
          <w:i/>
          <w:iCs/>
        </w:rPr>
        <w:t>ā</w:t>
      </w:r>
      <w:r w:rsidRPr="00B704D4">
        <w:rPr>
          <w:rFonts w:asciiTheme="majorBidi" w:hAnsiTheme="majorBidi" w:cstheme="majorBidi"/>
          <w:i/>
          <w:iCs/>
        </w:rPr>
        <w:t>b Nuz</w:t>
      </w:r>
      <w:r w:rsidRPr="0056354E">
        <w:rPr>
          <w:rFonts w:asciiTheme="majorBidi" w:hAnsiTheme="majorBidi" w:cstheme="majorBidi"/>
          <w:i/>
          <w:iCs/>
        </w:rPr>
        <w:t>ū</w:t>
      </w:r>
      <w:r w:rsidRPr="00B704D4">
        <w:rPr>
          <w:rFonts w:asciiTheme="majorBidi" w:hAnsiTheme="majorBidi" w:cstheme="majorBidi"/>
          <w:i/>
          <w:iCs/>
        </w:rPr>
        <w:t>l al-Qur</w:t>
      </w:r>
      <w:r w:rsidRPr="00AC6C5F">
        <w:rPr>
          <w:rFonts w:asciiTheme="majorBidi" w:hAnsiTheme="majorBidi" w:cstheme="majorBidi"/>
          <w:i/>
          <w:iCs/>
        </w:rPr>
        <w:t>ā</w:t>
      </w:r>
      <w:r w:rsidRPr="00B704D4">
        <w:rPr>
          <w:rFonts w:asciiTheme="majorBidi" w:hAnsiTheme="majorBidi" w:cstheme="majorBidi"/>
          <w:i/>
          <w:iCs/>
        </w:rPr>
        <w:t>n</w:t>
      </w:r>
      <w:r w:rsidRPr="00B704D4">
        <w:rPr>
          <w:rFonts w:asciiTheme="majorBidi" w:hAnsiTheme="majorBidi" w:cstheme="majorBidi"/>
        </w:rPr>
        <w:t>, (Kairo: t.p., 1968) h.45-46,</w:t>
      </w:r>
    </w:p>
  </w:footnote>
  <w:footnote w:id="620">
    <w:p w:rsidR="00343B61" w:rsidRPr="00B704D4" w:rsidRDefault="00343B61" w:rsidP="00343B61">
      <w:pPr>
        <w:pStyle w:val="FootnoteText"/>
        <w:ind w:firstLine="720"/>
        <w:jc w:val="both"/>
        <w:rPr>
          <w:rFonts w:asciiTheme="majorBidi" w:hAnsiTheme="majorBidi" w:cstheme="majorBidi"/>
          <w:rtl/>
        </w:rPr>
      </w:pPr>
      <w:r w:rsidRPr="00B704D4">
        <w:rPr>
          <w:rStyle w:val="FootnoteReference"/>
          <w:rFonts w:asciiTheme="majorBidi" w:hAnsiTheme="majorBidi" w:cstheme="majorBidi"/>
        </w:rPr>
        <w:footnoteRef/>
      </w:r>
      <w:r w:rsidRPr="00B704D4">
        <w:rPr>
          <w:rFonts w:asciiTheme="majorBidi" w:hAnsiTheme="majorBidi" w:cstheme="majorBidi"/>
        </w:rPr>
        <w:t xml:space="preserve">  Lihat. Abu Abdullah Muhammad bin Umar bin Al-Hasan al-Taimi al-Razi, </w:t>
      </w:r>
      <w:r w:rsidRPr="00B704D4">
        <w:rPr>
          <w:rFonts w:asciiTheme="majorBidi" w:hAnsiTheme="majorBidi" w:cstheme="majorBidi"/>
          <w:i/>
          <w:iCs/>
        </w:rPr>
        <w:t>Maf</w:t>
      </w:r>
      <w:r w:rsidRPr="00AC6C5F">
        <w:rPr>
          <w:rFonts w:asciiTheme="majorBidi" w:hAnsiTheme="majorBidi" w:cstheme="majorBidi"/>
          <w:i/>
          <w:iCs/>
        </w:rPr>
        <w:t>ā</w:t>
      </w:r>
      <w:r w:rsidRPr="00B704D4">
        <w:rPr>
          <w:rFonts w:asciiTheme="majorBidi" w:hAnsiTheme="majorBidi" w:cstheme="majorBidi"/>
          <w:i/>
          <w:iCs/>
        </w:rPr>
        <w:t>tih al-Ghaib</w:t>
      </w:r>
      <w:r w:rsidRPr="00B704D4">
        <w:rPr>
          <w:rFonts w:asciiTheme="majorBidi" w:hAnsiTheme="majorBidi" w:cstheme="majorBidi"/>
        </w:rPr>
        <w:t>, ( Bairut: Dar Ihya Turats al-‘Arabi, t.th), Jilid I, h. 1612</w:t>
      </w:r>
    </w:p>
  </w:footnote>
  <w:footnote w:id="621">
    <w:p w:rsidR="00343B61" w:rsidRPr="00230218" w:rsidRDefault="00343B61" w:rsidP="00343B61">
      <w:pPr>
        <w:pStyle w:val="ListParagraph"/>
        <w:tabs>
          <w:tab w:val="left" w:pos="0"/>
          <w:tab w:val="right" w:pos="5687"/>
        </w:tabs>
        <w:spacing w:line="240" w:lineRule="auto"/>
        <w:ind w:left="0" w:firstLine="720"/>
        <w:jc w:val="both"/>
        <w:rPr>
          <w:rFonts w:asciiTheme="majorBidi" w:hAnsiTheme="majorBidi" w:cstheme="majorBidi"/>
          <w:sz w:val="20"/>
          <w:szCs w:val="20"/>
          <w:lang w:val="sv-SE"/>
        </w:rPr>
      </w:pPr>
      <w:r w:rsidRPr="00B704D4">
        <w:rPr>
          <w:rStyle w:val="FootnoteReference"/>
          <w:rFonts w:asciiTheme="majorBidi" w:hAnsiTheme="majorBidi" w:cstheme="majorBidi"/>
        </w:rPr>
        <w:footnoteRef/>
      </w:r>
      <w:r w:rsidRPr="00B704D4">
        <w:rPr>
          <w:rFonts w:asciiTheme="majorBidi" w:hAnsiTheme="majorBidi" w:cstheme="majorBidi"/>
        </w:rPr>
        <w:t xml:space="preserve"> </w:t>
      </w:r>
      <w:r w:rsidRPr="00B704D4">
        <w:rPr>
          <w:rFonts w:asciiTheme="majorBidi" w:hAnsiTheme="majorBidi" w:cstheme="majorBidi"/>
          <w:color w:val="000000"/>
          <w:sz w:val="20"/>
          <w:szCs w:val="20"/>
        </w:rPr>
        <w:t xml:space="preserve">Lihat. ‘Abd al-Razzaq bin Hamma al-Shin’ani, </w:t>
      </w:r>
      <w:r w:rsidRPr="00B704D4">
        <w:rPr>
          <w:rFonts w:asciiTheme="majorBidi" w:hAnsiTheme="majorBidi" w:cstheme="majorBidi"/>
          <w:i/>
          <w:iCs/>
          <w:color w:val="000000"/>
          <w:sz w:val="20"/>
          <w:szCs w:val="20"/>
        </w:rPr>
        <w:t>Tafsir al-Qur’an</w:t>
      </w:r>
      <w:r w:rsidRPr="00B704D4">
        <w:rPr>
          <w:rFonts w:asciiTheme="majorBidi" w:hAnsiTheme="majorBidi" w:cstheme="majorBidi"/>
          <w:color w:val="000000"/>
          <w:sz w:val="20"/>
          <w:szCs w:val="20"/>
        </w:rPr>
        <w:t>, (Riyadh, Maktabah al-Rusyd, 1410), Jilid II, h. 271</w:t>
      </w:r>
    </w:p>
  </w:footnote>
  <w:footnote w:id="622">
    <w:p w:rsidR="00343B61" w:rsidRPr="00247810" w:rsidRDefault="00343B61" w:rsidP="00343B61">
      <w:pPr>
        <w:pStyle w:val="FootnoteText"/>
        <w:ind w:firstLine="720"/>
        <w:jc w:val="both"/>
        <w:rPr>
          <w:lang w:val="sv-SE"/>
        </w:rPr>
      </w:pPr>
      <w:r>
        <w:rPr>
          <w:rStyle w:val="FootnoteReference"/>
        </w:rPr>
        <w:footnoteRef/>
      </w:r>
      <w:r w:rsidRPr="00247810">
        <w:rPr>
          <w:lang w:val="sv-SE"/>
        </w:rPr>
        <w:t xml:space="preserve"> </w:t>
      </w:r>
      <w:r w:rsidRPr="00247810">
        <w:rPr>
          <w:rFonts w:asciiTheme="majorBidi" w:hAnsiTheme="majorBidi" w:cstheme="majorBidi"/>
          <w:lang w:val="sv-SE"/>
        </w:rPr>
        <w:t>Lihat.Depag</w:t>
      </w:r>
      <w:r>
        <w:rPr>
          <w:rFonts w:asciiTheme="majorBidi" w:hAnsiTheme="majorBidi" w:cstheme="majorBidi"/>
          <w:lang w:val="sv-SE"/>
        </w:rPr>
        <w:t xml:space="preserve"> RI,</w:t>
      </w:r>
      <w:r w:rsidRPr="00247810">
        <w:rPr>
          <w:rFonts w:asciiTheme="majorBidi" w:hAnsiTheme="majorBidi" w:cstheme="majorBidi"/>
          <w:i/>
          <w:iCs/>
          <w:lang w:val="sv-SE"/>
        </w:rPr>
        <w:t>Al-Qur’an dan Terjamahannya</w:t>
      </w:r>
      <w:r w:rsidRPr="00247810">
        <w:rPr>
          <w:rFonts w:asciiTheme="majorBidi" w:hAnsiTheme="majorBidi" w:cstheme="majorBidi"/>
          <w:lang w:val="sv-SE"/>
        </w:rPr>
        <w:t>, (Medinah al-Munawwarah: Mujamma’ al-Malik Fahd Li al-Thiba’ah Mush-haf al-Syarif, 1418 H ) h. 924</w:t>
      </w:r>
    </w:p>
  </w:footnote>
  <w:footnote w:id="623">
    <w:p w:rsidR="00343B61" w:rsidRDefault="00343B61" w:rsidP="00343B61">
      <w:pPr>
        <w:pStyle w:val="FootnoteText"/>
        <w:ind w:firstLine="720"/>
        <w:jc w:val="both"/>
      </w:pPr>
      <w:r>
        <w:rPr>
          <w:rStyle w:val="FootnoteReference"/>
        </w:rPr>
        <w:footnoteRef/>
      </w:r>
      <w:r>
        <w:t xml:space="preserve"> </w:t>
      </w:r>
      <w:r w:rsidRPr="00B704D4">
        <w:rPr>
          <w:rFonts w:asciiTheme="majorBidi" w:hAnsiTheme="majorBidi" w:cstheme="majorBidi"/>
        </w:rPr>
        <w:t xml:space="preserve">Lihat. Muhammad Abduh, </w:t>
      </w:r>
      <w:r w:rsidRPr="00B704D4">
        <w:rPr>
          <w:rFonts w:asciiTheme="majorBidi" w:hAnsiTheme="majorBidi" w:cstheme="majorBidi"/>
          <w:i/>
          <w:iCs/>
        </w:rPr>
        <w:t>al-`A`m</w:t>
      </w:r>
      <w:r w:rsidRPr="00AC6C5F">
        <w:rPr>
          <w:rFonts w:asciiTheme="majorBidi" w:hAnsiTheme="majorBidi" w:cstheme="majorBidi"/>
          <w:i/>
          <w:iCs/>
        </w:rPr>
        <w:t>ā</w:t>
      </w:r>
      <w:r w:rsidRPr="00B704D4">
        <w:rPr>
          <w:rFonts w:asciiTheme="majorBidi" w:hAnsiTheme="majorBidi" w:cstheme="majorBidi"/>
          <w:i/>
          <w:iCs/>
        </w:rPr>
        <w:t>l al-K</w:t>
      </w:r>
      <w:r w:rsidRPr="00AC6C5F">
        <w:rPr>
          <w:rFonts w:asciiTheme="majorBidi" w:hAnsiTheme="majorBidi" w:cstheme="majorBidi"/>
          <w:i/>
          <w:iCs/>
        </w:rPr>
        <w:t>ā</w:t>
      </w:r>
      <w:r w:rsidRPr="00B704D4">
        <w:rPr>
          <w:rFonts w:asciiTheme="majorBidi" w:hAnsiTheme="majorBidi" w:cstheme="majorBidi"/>
          <w:i/>
          <w:iCs/>
        </w:rPr>
        <w:t>milah, Op.Cit</w:t>
      </w:r>
      <w:r w:rsidRPr="00B704D4">
        <w:rPr>
          <w:rFonts w:asciiTheme="majorBidi" w:hAnsiTheme="majorBidi" w:cstheme="majorBidi"/>
        </w:rPr>
        <w:t>, jilid IV,h.586</w:t>
      </w:r>
    </w:p>
  </w:footnote>
  <w:footnote w:id="624">
    <w:p w:rsidR="00343B61" w:rsidRDefault="00343B61" w:rsidP="00343B61">
      <w:pPr>
        <w:pStyle w:val="FootnoteText"/>
        <w:ind w:firstLine="720"/>
        <w:jc w:val="both"/>
      </w:pPr>
      <w:r w:rsidRPr="008935D6">
        <w:rPr>
          <w:rStyle w:val="FootnoteReference"/>
          <w:rFonts w:asciiTheme="majorBidi" w:hAnsiTheme="majorBidi" w:cstheme="majorBidi"/>
        </w:rPr>
        <w:footnoteRef/>
      </w:r>
      <w:r w:rsidRPr="008935D6">
        <w:rPr>
          <w:rFonts w:asciiTheme="majorBidi" w:hAnsiTheme="majorBidi" w:cstheme="majorBidi"/>
        </w:rPr>
        <w:t xml:space="preserve"> Lihat.</w:t>
      </w:r>
      <w:r>
        <w:t xml:space="preserve"> </w:t>
      </w:r>
      <w:r>
        <w:rPr>
          <w:rFonts w:ascii="Times New Roman" w:hAnsi="Times New Roman" w:cs="Times New Roman"/>
        </w:rPr>
        <w:t xml:space="preserve">M.Quraish Shihab, </w:t>
      </w:r>
      <w:r>
        <w:rPr>
          <w:rFonts w:ascii="Times New Roman" w:hAnsi="Times New Roman" w:cs="Times New Roman"/>
          <w:i/>
          <w:iCs/>
        </w:rPr>
        <w:t xml:space="preserve">Tafsir al-Misbah Pesan Kesan dan Keserasian Al-Qur’an,      </w:t>
      </w:r>
      <w:r>
        <w:rPr>
          <w:rFonts w:ascii="Times New Roman" w:hAnsi="Times New Roman" w:cs="Times New Roman"/>
        </w:rPr>
        <w:t>( Bandung: Muzan, 2000)</w:t>
      </w:r>
      <w:r>
        <w:rPr>
          <w:rFonts w:ascii="Times New Roman" w:hAnsi="Times New Roman" w:cs="Times New Roman"/>
          <w:i/>
          <w:iCs/>
        </w:rPr>
        <w:t xml:space="preserve">, </w:t>
      </w:r>
      <w:r>
        <w:rPr>
          <w:rFonts w:ascii="Times New Roman" w:hAnsi="Times New Roman" w:cs="Times New Roman"/>
        </w:rPr>
        <w:t>Vol I, h. 445</w:t>
      </w:r>
    </w:p>
  </w:footnote>
  <w:footnote w:id="625">
    <w:p w:rsidR="00343B61" w:rsidRPr="00B73C6C" w:rsidRDefault="00343B61" w:rsidP="00343B61">
      <w:pPr>
        <w:pStyle w:val="FootnoteText"/>
        <w:ind w:firstLine="720"/>
        <w:jc w:val="both"/>
        <w:rPr>
          <w:rFonts w:asciiTheme="majorBidi" w:hAnsiTheme="majorBidi" w:cstheme="majorBidi"/>
        </w:rPr>
      </w:pPr>
      <w:r w:rsidRPr="00B73C6C">
        <w:rPr>
          <w:rStyle w:val="FootnoteReference"/>
          <w:rFonts w:asciiTheme="majorBidi" w:hAnsiTheme="majorBidi" w:cstheme="majorBidi"/>
        </w:rPr>
        <w:footnoteRef/>
      </w:r>
      <w:r w:rsidRPr="00B73C6C">
        <w:rPr>
          <w:rFonts w:asciiTheme="majorBidi" w:hAnsiTheme="majorBidi" w:cstheme="majorBidi"/>
        </w:rPr>
        <w:t xml:space="preserve">Lihat.Depag RI, </w:t>
      </w:r>
      <w:r w:rsidRPr="00B73C6C">
        <w:rPr>
          <w:rFonts w:asciiTheme="majorBidi" w:hAnsiTheme="majorBidi" w:cstheme="majorBidi"/>
          <w:i/>
          <w:iCs/>
        </w:rPr>
        <w:t>Al-Qur’an dan Terjamahannya</w:t>
      </w:r>
      <w:r w:rsidRPr="00B73C6C">
        <w:rPr>
          <w:rFonts w:asciiTheme="majorBidi" w:hAnsiTheme="majorBidi" w:cstheme="majorBidi"/>
        </w:rPr>
        <w:t>, (Medinah al-Munawwarah: Mujamma’ al-Malik Fahd Li al-Thiba’ah Mush-haf al-Syarif, 1418 H ) h. 158</w:t>
      </w:r>
    </w:p>
  </w:footnote>
  <w:footnote w:id="626">
    <w:p w:rsidR="00343B61" w:rsidRPr="008E78BB" w:rsidRDefault="00343B61" w:rsidP="00343B61">
      <w:pPr>
        <w:spacing w:after="0" w:line="240" w:lineRule="auto"/>
        <w:ind w:firstLine="720"/>
        <w:jc w:val="both"/>
        <w:rPr>
          <w:rFonts w:asciiTheme="majorBidi" w:hAnsiTheme="majorBidi" w:cstheme="majorBidi"/>
          <w:sz w:val="20"/>
          <w:szCs w:val="20"/>
        </w:rPr>
      </w:pPr>
      <w:r w:rsidRPr="00B73C6C">
        <w:rPr>
          <w:rStyle w:val="FootnoteReference"/>
          <w:rFonts w:asciiTheme="majorBidi" w:hAnsiTheme="majorBidi" w:cstheme="majorBidi"/>
          <w:sz w:val="20"/>
          <w:szCs w:val="20"/>
        </w:rPr>
        <w:footnoteRef/>
      </w:r>
      <w:r w:rsidRPr="00B73C6C">
        <w:rPr>
          <w:rFonts w:asciiTheme="majorBidi" w:hAnsiTheme="majorBidi" w:cstheme="majorBidi"/>
          <w:sz w:val="20"/>
          <w:szCs w:val="20"/>
        </w:rPr>
        <w:t xml:space="preserve"> Lihat.‘Ali al-Shabuni, </w:t>
      </w:r>
      <w:r w:rsidRPr="00B73C6C">
        <w:rPr>
          <w:rFonts w:asciiTheme="majorBidi" w:hAnsiTheme="majorBidi" w:cstheme="majorBidi"/>
          <w:i/>
          <w:iCs/>
          <w:sz w:val="20"/>
          <w:szCs w:val="20"/>
        </w:rPr>
        <w:t>Tafsir Ayat al-Ahkam</w:t>
      </w:r>
      <w:r w:rsidRPr="00B73C6C">
        <w:rPr>
          <w:rFonts w:asciiTheme="majorBidi" w:hAnsiTheme="majorBidi" w:cstheme="majorBidi"/>
          <w:sz w:val="20"/>
          <w:szCs w:val="20"/>
        </w:rPr>
        <w:t>, ( Damascus: Dar al-Fikr, t.th), Jilid I, h. 248</w:t>
      </w:r>
    </w:p>
  </w:footnote>
  <w:footnote w:id="627">
    <w:p w:rsidR="00343B61" w:rsidRDefault="00343B61" w:rsidP="00343B61">
      <w:pPr>
        <w:pStyle w:val="FootnoteText"/>
        <w:ind w:firstLine="720"/>
        <w:jc w:val="both"/>
      </w:pPr>
      <w:r w:rsidRPr="00A24609">
        <w:rPr>
          <w:rStyle w:val="FootnoteReference"/>
        </w:rPr>
        <w:footnoteRef/>
      </w:r>
      <w:r w:rsidRPr="00A24609">
        <w:rPr>
          <w:rFonts w:asciiTheme="majorBidi" w:hAnsiTheme="majorBidi" w:cstheme="majorBidi"/>
        </w:rPr>
        <w:t xml:space="preserve">Lihat. Muhammad ‘Ali al-Sayis, </w:t>
      </w:r>
      <w:r w:rsidRPr="001E454B">
        <w:rPr>
          <w:rFonts w:asciiTheme="majorBidi" w:hAnsiTheme="majorBidi" w:cstheme="majorBidi"/>
          <w:i/>
          <w:iCs/>
        </w:rPr>
        <w:t>Tafsir Ayat al-A</w:t>
      </w:r>
      <w:r w:rsidRPr="001E454B">
        <w:rPr>
          <w:rFonts w:ascii="Times New Roman" w:hAnsi="Times New Roman" w:cs="Times New Roman"/>
          <w:i/>
          <w:iCs/>
          <w:u w:val="single"/>
          <w:lang w:val="id-ID"/>
        </w:rPr>
        <w:t>h</w:t>
      </w:r>
      <w:r w:rsidRPr="001E454B">
        <w:rPr>
          <w:rFonts w:asciiTheme="majorBidi" w:hAnsiTheme="majorBidi" w:cstheme="majorBidi"/>
          <w:i/>
          <w:iCs/>
        </w:rPr>
        <w:t>kām</w:t>
      </w:r>
      <w:r w:rsidRPr="00A24609">
        <w:rPr>
          <w:rFonts w:asciiTheme="majorBidi" w:hAnsiTheme="majorBidi" w:cstheme="majorBidi"/>
        </w:rPr>
        <w:t>, ( Mesir: Maktabah al-Ashriyah, 2002), h. 354</w:t>
      </w:r>
    </w:p>
  </w:footnote>
  <w:footnote w:id="628">
    <w:p w:rsidR="00343B61" w:rsidRPr="00F44A2B" w:rsidRDefault="00343B61" w:rsidP="00343B61">
      <w:pPr>
        <w:pStyle w:val="FootnoteText"/>
        <w:ind w:firstLine="720"/>
        <w:jc w:val="both"/>
        <w:rPr>
          <w:rFonts w:asciiTheme="majorBidi" w:hAnsiTheme="majorBidi" w:cstheme="majorBidi"/>
        </w:rPr>
      </w:pPr>
      <w:r w:rsidRPr="00F44A2B">
        <w:rPr>
          <w:rStyle w:val="FootnoteReference"/>
          <w:rFonts w:asciiTheme="majorBidi" w:hAnsiTheme="majorBidi" w:cstheme="majorBidi"/>
        </w:rPr>
        <w:footnoteRef/>
      </w:r>
      <w:r w:rsidRPr="00F44A2B">
        <w:rPr>
          <w:rFonts w:asciiTheme="majorBidi" w:hAnsiTheme="majorBidi" w:cstheme="majorBidi"/>
        </w:rPr>
        <w:t xml:space="preserve"> Sayyid Sabiq, </w:t>
      </w:r>
      <w:r w:rsidRPr="00F44A2B">
        <w:rPr>
          <w:rFonts w:asciiTheme="majorBidi" w:hAnsiTheme="majorBidi" w:cstheme="majorBidi"/>
          <w:i/>
          <w:iCs/>
        </w:rPr>
        <w:t>al-Fiqh al-Sunnah</w:t>
      </w:r>
      <w:r w:rsidRPr="00F44A2B">
        <w:rPr>
          <w:rFonts w:asciiTheme="majorBidi" w:hAnsiTheme="majorBidi" w:cstheme="majorBidi"/>
        </w:rPr>
        <w:t>, ( Kairo: Dâr al-Fikr, 1997),  jilid II, h. 94.</w:t>
      </w:r>
    </w:p>
  </w:footnote>
  <w:footnote w:id="629">
    <w:p w:rsidR="00343B61" w:rsidRDefault="00343B61" w:rsidP="00343B61">
      <w:pPr>
        <w:pStyle w:val="FootnoteText"/>
        <w:ind w:firstLine="720"/>
        <w:jc w:val="both"/>
      </w:pPr>
      <w:r>
        <w:rPr>
          <w:rStyle w:val="FootnoteReference"/>
        </w:rPr>
        <w:footnoteRef/>
      </w:r>
      <w:r>
        <w:t xml:space="preserve"> </w:t>
      </w:r>
      <w:r w:rsidRPr="00B3518C">
        <w:rPr>
          <w:rFonts w:asciiTheme="majorBidi" w:hAnsiTheme="majorBidi" w:cstheme="majorBidi"/>
        </w:rPr>
        <w:t xml:space="preserve">Lihat. Quraish Shihab, </w:t>
      </w:r>
      <w:r w:rsidRPr="00B3518C">
        <w:rPr>
          <w:rFonts w:asciiTheme="majorBidi" w:hAnsiTheme="majorBidi" w:cstheme="majorBidi"/>
          <w:i/>
          <w:iCs/>
        </w:rPr>
        <w:t>Wawasan Al-Quran Tafsir Maudhu'i atas Pelbagai Persoalan Umat</w:t>
      </w:r>
      <w:r w:rsidRPr="00B3518C">
        <w:rPr>
          <w:rFonts w:asciiTheme="majorBidi" w:hAnsiTheme="majorBidi" w:cstheme="majorBidi"/>
        </w:rPr>
        <w:t>,</w:t>
      </w:r>
      <w:r>
        <w:rPr>
          <w:rFonts w:asciiTheme="majorBidi" w:hAnsiTheme="majorBidi" w:cstheme="majorBidi"/>
        </w:rPr>
        <w:t xml:space="preserve"> ( Bandung, Mizan, 1996 ) h. 483</w:t>
      </w:r>
    </w:p>
  </w:footnote>
  <w:footnote w:id="630">
    <w:p w:rsidR="00343B61" w:rsidRDefault="00343B61" w:rsidP="00343B61">
      <w:pPr>
        <w:pStyle w:val="FootnoteText"/>
        <w:ind w:firstLine="720"/>
        <w:jc w:val="both"/>
      </w:pPr>
      <w:r>
        <w:rPr>
          <w:rStyle w:val="FootnoteReference"/>
        </w:rPr>
        <w:footnoteRef/>
      </w:r>
      <w:r>
        <w:t xml:space="preserve"> </w:t>
      </w:r>
      <w:r w:rsidRPr="00B3518C">
        <w:rPr>
          <w:rFonts w:asciiTheme="majorBidi" w:hAnsiTheme="majorBidi" w:cstheme="majorBidi"/>
        </w:rPr>
        <w:t xml:space="preserve">Lihat. Quraish Shihab, </w:t>
      </w:r>
      <w:r w:rsidRPr="00B3518C">
        <w:rPr>
          <w:rFonts w:asciiTheme="majorBidi" w:hAnsiTheme="majorBidi" w:cstheme="majorBidi"/>
          <w:i/>
          <w:iCs/>
        </w:rPr>
        <w:t>Wawasan Al-Quran Tafsir Maudhu'i atas Pelbagai Persoalan Umat</w:t>
      </w:r>
      <w:r w:rsidRPr="00B3518C">
        <w:rPr>
          <w:rFonts w:asciiTheme="majorBidi" w:hAnsiTheme="majorBidi" w:cstheme="majorBidi"/>
        </w:rPr>
        <w:t>,</w:t>
      </w:r>
      <w:r>
        <w:rPr>
          <w:rFonts w:asciiTheme="majorBidi" w:hAnsiTheme="majorBidi" w:cstheme="majorBidi"/>
        </w:rPr>
        <w:t xml:space="preserve"> ( Bandung, Mizan, 1996 ) h. 483</w:t>
      </w:r>
    </w:p>
  </w:footnote>
  <w:footnote w:id="631">
    <w:p w:rsidR="00343B61" w:rsidRPr="00E3032D" w:rsidRDefault="00343B61" w:rsidP="00343B61">
      <w:pPr>
        <w:pStyle w:val="FootnoteText"/>
        <w:ind w:firstLine="720"/>
        <w:jc w:val="both"/>
        <w:rPr>
          <w:rFonts w:asciiTheme="majorBidi" w:hAnsiTheme="majorBidi" w:cstheme="majorBidi"/>
        </w:rPr>
      </w:pPr>
      <w:r w:rsidRPr="00E3032D">
        <w:rPr>
          <w:rStyle w:val="FootnoteReference"/>
          <w:rFonts w:asciiTheme="majorBidi" w:hAnsiTheme="majorBidi" w:cstheme="majorBidi"/>
        </w:rPr>
        <w:footnoteRef/>
      </w:r>
      <w:r w:rsidRPr="00E3032D">
        <w:rPr>
          <w:rFonts w:asciiTheme="majorBidi" w:hAnsiTheme="majorBidi" w:cstheme="majorBidi"/>
        </w:rPr>
        <w:t xml:space="preserve"> Muhammad Rasyid </w:t>
      </w:r>
      <w:r>
        <w:rPr>
          <w:rFonts w:asciiTheme="majorBidi" w:hAnsiTheme="majorBidi" w:cstheme="majorBidi"/>
        </w:rPr>
        <w:t xml:space="preserve">bin Ali </w:t>
      </w:r>
      <w:r w:rsidRPr="00E3032D">
        <w:rPr>
          <w:rFonts w:asciiTheme="majorBidi" w:hAnsiTheme="majorBidi" w:cstheme="majorBidi"/>
        </w:rPr>
        <w:t xml:space="preserve">Ridho, </w:t>
      </w:r>
      <w:r w:rsidRPr="00D87A7D">
        <w:rPr>
          <w:rFonts w:asciiTheme="majorBidi" w:hAnsiTheme="majorBidi" w:cstheme="majorBidi"/>
          <w:i/>
          <w:iCs/>
        </w:rPr>
        <w:t>Tafs</w:t>
      </w:r>
      <w:r w:rsidRPr="00452369">
        <w:rPr>
          <w:rFonts w:asciiTheme="majorBidi" w:hAnsiTheme="majorBidi" w:cstheme="majorBidi"/>
          <w:i/>
          <w:iCs/>
        </w:rPr>
        <w:t>ī</w:t>
      </w:r>
      <w:r w:rsidRPr="00D87A7D">
        <w:rPr>
          <w:rFonts w:asciiTheme="majorBidi" w:hAnsiTheme="majorBidi" w:cstheme="majorBidi"/>
          <w:i/>
          <w:iCs/>
        </w:rPr>
        <w:t>r</w:t>
      </w:r>
      <w:r w:rsidRPr="00E3032D">
        <w:rPr>
          <w:rFonts w:asciiTheme="majorBidi" w:hAnsiTheme="majorBidi" w:cstheme="majorBidi"/>
          <w:i/>
          <w:iCs/>
        </w:rPr>
        <w:t xml:space="preserve"> al-Man</w:t>
      </w:r>
      <w:r w:rsidRPr="001E454B">
        <w:rPr>
          <w:rFonts w:asciiTheme="majorBidi" w:hAnsiTheme="majorBidi" w:cstheme="majorBidi"/>
          <w:i/>
          <w:iCs/>
        </w:rPr>
        <w:t>ā</w:t>
      </w:r>
      <w:r w:rsidRPr="00E3032D">
        <w:rPr>
          <w:rFonts w:asciiTheme="majorBidi" w:hAnsiTheme="majorBidi" w:cstheme="majorBidi"/>
          <w:i/>
          <w:iCs/>
        </w:rPr>
        <w:t>r</w:t>
      </w:r>
      <w:r w:rsidRPr="00E3032D">
        <w:rPr>
          <w:rFonts w:asciiTheme="majorBidi" w:hAnsiTheme="majorBidi" w:cstheme="majorBidi"/>
        </w:rPr>
        <w:t>, ( Mesir: Al-Hai’ah al-Mishriyah al-‘Ammah Lil Kitab, 1990), Jilid VI, h. 160</w:t>
      </w:r>
    </w:p>
  </w:footnote>
  <w:footnote w:id="632">
    <w:p w:rsidR="00343B61" w:rsidRPr="001A1BB2" w:rsidRDefault="00343B61" w:rsidP="00343B61">
      <w:pPr>
        <w:pStyle w:val="FootnoteText"/>
        <w:ind w:firstLine="720"/>
        <w:jc w:val="both"/>
        <w:rPr>
          <w:rFonts w:asciiTheme="majorBidi" w:hAnsiTheme="majorBidi" w:cstheme="majorBidi"/>
        </w:rPr>
      </w:pPr>
      <w:r w:rsidRPr="001A1BB2">
        <w:rPr>
          <w:rStyle w:val="FootnoteReference"/>
          <w:rFonts w:asciiTheme="majorBidi" w:hAnsiTheme="majorBidi" w:cstheme="majorBidi"/>
        </w:rPr>
        <w:footnoteRef/>
      </w:r>
      <w:r w:rsidRPr="001A1BB2">
        <w:rPr>
          <w:rFonts w:asciiTheme="majorBidi" w:hAnsiTheme="majorBidi" w:cstheme="majorBidi"/>
        </w:rPr>
        <w:t xml:space="preserve"> </w:t>
      </w:r>
      <w:r>
        <w:rPr>
          <w:rFonts w:asciiTheme="majorBidi" w:hAnsiTheme="majorBidi" w:cstheme="majorBidi"/>
        </w:rPr>
        <w:t xml:space="preserve">Muhammad al-Qasimi, </w:t>
      </w:r>
      <w:r w:rsidRPr="001A1BB2">
        <w:rPr>
          <w:rFonts w:asciiTheme="majorBidi" w:hAnsiTheme="majorBidi" w:cstheme="majorBidi"/>
          <w:i/>
          <w:iCs/>
        </w:rPr>
        <w:t>Mab</w:t>
      </w:r>
      <w:r w:rsidRPr="001E454B">
        <w:rPr>
          <w:rFonts w:asciiTheme="majorBidi" w:hAnsiTheme="majorBidi" w:cstheme="majorBidi"/>
          <w:i/>
          <w:iCs/>
        </w:rPr>
        <w:t>ā</w:t>
      </w:r>
      <w:r w:rsidRPr="001A1BB2">
        <w:rPr>
          <w:rFonts w:asciiTheme="majorBidi" w:hAnsiTheme="majorBidi" w:cstheme="majorBidi"/>
          <w:i/>
          <w:iCs/>
        </w:rPr>
        <w:t>his At-Takw</w:t>
      </w:r>
      <w:r w:rsidRPr="00452369">
        <w:rPr>
          <w:rFonts w:asciiTheme="majorBidi" w:hAnsiTheme="majorBidi" w:cstheme="majorBidi"/>
          <w:i/>
          <w:iCs/>
        </w:rPr>
        <w:t>ī</w:t>
      </w:r>
      <w:r w:rsidRPr="001A1BB2">
        <w:rPr>
          <w:rFonts w:asciiTheme="majorBidi" w:hAnsiTheme="majorBidi" w:cstheme="majorBidi"/>
          <w:i/>
          <w:iCs/>
        </w:rPr>
        <w:t>l</w:t>
      </w:r>
      <w:r w:rsidRPr="001A1BB2">
        <w:rPr>
          <w:rFonts w:asciiTheme="majorBidi" w:hAnsiTheme="majorBidi" w:cstheme="majorBidi"/>
        </w:rPr>
        <w:t xml:space="preserve">, </w:t>
      </w:r>
      <w:r>
        <w:rPr>
          <w:rFonts w:asciiTheme="majorBidi" w:hAnsiTheme="majorBidi" w:cstheme="majorBidi"/>
        </w:rPr>
        <w:t xml:space="preserve">( Damascus: Dar al-Fikr, 2001), </w:t>
      </w:r>
      <w:r w:rsidRPr="001A1BB2">
        <w:rPr>
          <w:rFonts w:asciiTheme="majorBidi" w:hAnsiTheme="majorBidi" w:cstheme="majorBidi"/>
        </w:rPr>
        <w:t>Jilid XVII, h. 6201</w:t>
      </w:r>
    </w:p>
  </w:footnote>
  <w:footnote w:id="633">
    <w:p w:rsidR="00343B61" w:rsidRPr="008935D6" w:rsidRDefault="00343B61" w:rsidP="00343B61">
      <w:pPr>
        <w:pStyle w:val="FootnoteText"/>
        <w:ind w:firstLine="720"/>
        <w:jc w:val="both"/>
        <w:rPr>
          <w:rFonts w:asciiTheme="majorBidi" w:hAnsiTheme="majorBidi" w:cstheme="majorBidi"/>
        </w:rPr>
      </w:pPr>
      <w:r w:rsidRPr="008935D6">
        <w:rPr>
          <w:rStyle w:val="FootnoteReference"/>
          <w:rFonts w:asciiTheme="majorBidi" w:hAnsiTheme="majorBidi" w:cstheme="majorBidi"/>
        </w:rPr>
        <w:footnoteRef/>
      </w:r>
      <w:r w:rsidRPr="008935D6">
        <w:rPr>
          <w:rFonts w:asciiTheme="majorBidi" w:hAnsiTheme="majorBidi" w:cstheme="majorBidi"/>
        </w:rPr>
        <w:t xml:space="preserve"> Mahmud Syaltut, </w:t>
      </w:r>
      <w:r w:rsidRPr="008935D6">
        <w:rPr>
          <w:rFonts w:asciiTheme="majorBidi" w:hAnsiTheme="majorBidi" w:cstheme="majorBidi"/>
          <w:i/>
          <w:iCs/>
        </w:rPr>
        <w:t>Min Taujih</w:t>
      </w:r>
      <w:r w:rsidRPr="001E454B">
        <w:rPr>
          <w:rFonts w:asciiTheme="majorBidi" w:hAnsiTheme="majorBidi" w:cstheme="majorBidi"/>
          <w:i/>
          <w:iCs/>
        </w:rPr>
        <w:t>ā</w:t>
      </w:r>
      <w:r w:rsidRPr="008935D6">
        <w:rPr>
          <w:rFonts w:asciiTheme="majorBidi" w:hAnsiTheme="majorBidi" w:cstheme="majorBidi"/>
          <w:i/>
          <w:iCs/>
        </w:rPr>
        <w:t>t Al-Isl</w:t>
      </w:r>
      <w:r w:rsidRPr="001E454B">
        <w:rPr>
          <w:rFonts w:asciiTheme="majorBidi" w:hAnsiTheme="majorBidi" w:cstheme="majorBidi"/>
          <w:i/>
          <w:iCs/>
        </w:rPr>
        <w:t>ā</w:t>
      </w:r>
      <w:r w:rsidRPr="008935D6">
        <w:rPr>
          <w:rFonts w:asciiTheme="majorBidi" w:hAnsiTheme="majorBidi" w:cstheme="majorBidi"/>
          <w:i/>
          <w:iCs/>
        </w:rPr>
        <w:t>m</w:t>
      </w:r>
      <w:r w:rsidRPr="008935D6">
        <w:rPr>
          <w:rFonts w:asciiTheme="majorBidi" w:hAnsiTheme="majorBidi" w:cstheme="majorBidi"/>
        </w:rPr>
        <w:t xml:space="preserve">, (Kairo: al-Idarah al-Amah, 1959), </w:t>
      </w:r>
      <w:r>
        <w:rPr>
          <w:rFonts w:asciiTheme="majorBidi" w:hAnsiTheme="majorBidi" w:cstheme="majorBidi"/>
        </w:rPr>
        <w:t xml:space="preserve">h. </w:t>
      </w:r>
      <w:r w:rsidRPr="008935D6">
        <w:rPr>
          <w:rFonts w:asciiTheme="majorBidi" w:hAnsiTheme="majorBidi" w:cstheme="majorBidi"/>
        </w:rPr>
        <w:t>253.</w:t>
      </w:r>
    </w:p>
  </w:footnote>
  <w:footnote w:id="634">
    <w:p w:rsidR="00343B61" w:rsidRPr="00C40C90" w:rsidRDefault="00343B61" w:rsidP="00343B61">
      <w:pPr>
        <w:autoSpaceDE w:val="0"/>
        <w:autoSpaceDN w:val="0"/>
        <w:adjustRightInd w:val="0"/>
        <w:spacing w:after="0" w:line="240" w:lineRule="auto"/>
        <w:ind w:firstLine="720"/>
        <w:jc w:val="both"/>
        <w:rPr>
          <w:rFonts w:asciiTheme="majorBidi" w:hAnsiTheme="majorBidi" w:cstheme="majorBidi"/>
          <w:sz w:val="19"/>
          <w:szCs w:val="19"/>
        </w:rPr>
      </w:pPr>
      <w:r w:rsidRPr="00C40C90">
        <w:rPr>
          <w:rStyle w:val="FootnoteReference"/>
          <w:rFonts w:asciiTheme="majorBidi" w:hAnsiTheme="majorBidi" w:cstheme="majorBidi"/>
        </w:rPr>
        <w:footnoteRef/>
      </w:r>
      <w:r w:rsidRPr="00C40C90">
        <w:rPr>
          <w:rFonts w:asciiTheme="majorBidi" w:hAnsiTheme="majorBidi" w:cstheme="majorBidi"/>
        </w:rPr>
        <w:t xml:space="preserve"> Lihat. </w:t>
      </w:r>
      <w:r w:rsidRPr="00C40C90">
        <w:rPr>
          <w:rFonts w:asciiTheme="majorBidi" w:hAnsiTheme="majorBidi" w:cstheme="majorBidi"/>
          <w:sz w:val="19"/>
          <w:szCs w:val="19"/>
        </w:rPr>
        <w:t xml:space="preserve">Maulana Muhammad Ali, </w:t>
      </w:r>
      <w:r w:rsidRPr="00C40C90">
        <w:rPr>
          <w:rFonts w:asciiTheme="majorBidi" w:hAnsiTheme="majorBidi" w:cstheme="majorBidi"/>
          <w:i/>
          <w:iCs/>
          <w:sz w:val="19"/>
          <w:szCs w:val="19"/>
        </w:rPr>
        <w:t xml:space="preserve">Qur’an Suci: Teks Arab Tarjamah dan Tafsir </w:t>
      </w:r>
      <w:r w:rsidRPr="00C40C90">
        <w:rPr>
          <w:rFonts w:asciiTheme="majorBidi" w:hAnsiTheme="majorBidi" w:cstheme="majorBidi"/>
          <w:sz w:val="19"/>
          <w:szCs w:val="19"/>
        </w:rPr>
        <w:t>( Jakarta : Dar</w:t>
      </w:r>
      <w:r>
        <w:rPr>
          <w:rFonts w:asciiTheme="majorBidi" w:hAnsiTheme="majorBidi" w:cstheme="majorBidi"/>
          <w:sz w:val="19"/>
          <w:szCs w:val="19"/>
        </w:rPr>
        <w:t xml:space="preserve"> </w:t>
      </w:r>
      <w:r w:rsidRPr="00C40C90">
        <w:rPr>
          <w:rFonts w:asciiTheme="majorBidi" w:hAnsiTheme="majorBidi" w:cstheme="majorBidi"/>
          <w:sz w:val="19"/>
          <w:szCs w:val="19"/>
        </w:rPr>
        <w:t>al-Kutub al-Islamiyah, 1993), 119.</w:t>
      </w:r>
    </w:p>
  </w:footnote>
  <w:footnote w:id="635">
    <w:p w:rsidR="00343B61" w:rsidRPr="00FF6692" w:rsidRDefault="00343B61" w:rsidP="00343B61">
      <w:pPr>
        <w:pStyle w:val="FootnoteText"/>
        <w:ind w:firstLine="720"/>
        <w:jc w:val="both"/>
      </w:pPr>
      <w:r w:rsidRPr="00C40C90">
        <w:rPr>
          <w:rStyle w:val="FootnoteReference"/>
          <w:rFonts w:asciiTheme="majorBidi" w:hAnsiTheme="majorBidi" w:cstheme="majorBidi"/>
        </w:rPr>
        <w:footnoteRef/>
      </w:r>
      <w:r w:rsidRPr="00C40C90">
        <w:rPr>
          <w:rFonts w:asciiTheme="majorBidi" w:hAnsiTheme="majorBidi" w:cstheme="majorBidi"/>
        </w:rPr>
        <w:t xml:space="preserve"> Lihat. Muhammad Rasyid bin Ali Ridho, </w:t>
      </w:r>
      <w:r w:rsidRPr="00D87A7D">
        <w:rPr>
          <w:rFonts w:asciiTheme="majorBidi" w:hAnsiTheme="majorBidi" w:cstheme="majorBidi"/>
          <w:i/>
          <w:iCs/>
        </w:rPr>
        <w:t>Tafs</w:t>
      </w:r>
      <w:r w:rsidRPr="00452369">
        <w:rPr>
          <w:rFonts w:asciiTheme="majorBidi" w:hAnsiTheme="majorBidi" w:cstheme="majorBidi"/>
          <w:i/>
          <w:iCs/>
        </w:rPr>
        <w:t>ī</w:t>
      </w:r>
      <w:r w:rsidRPr="00D87A7D">
        <w:rPr>
          <w:rFonts w:asciiTheme="majorBidi" w:hAnsiTheme="majorBidi" w:cstheme="majorBidi"/>
          <w:i/>
          <w:iCs/>
        </w:rPr>
        <w:t>r</w:t>
      </w:r>
      <w:r w:rsidRPr="00C40C90">
        <w:rPr>
          <w:rFonts w:asciiTheme="majorBidi" w:hAnsiTheme="majorBidi" w:cstheme="majorBidi"/>
          <w:i/>
          <w:iCs/>
        </w:rPr>
        <w:t xml:space="preserve"> al-Man</w:t>
      </w:r>
      <w:r w:rsidRPr="001E454B">
        <w:rPr>
          <w:rFonts w:asciiTheme="majorBidi" w:hAnsiTheme="majorBidi" w:cstheme="majorBidi"/>
          <w:i/>
          <w:iCs/>
        </w:rPr>
        <w:t>ā</w:t>
      </w:r>
      <w:r w:rsidRPr="00C40C90">
        <w:rPr>
          <w:rFonts w:asciiTheme="majorBidi" w:hAnsiTheme="majorBidi" w:cstheme="majorBidi"/>
          <w:i/>
          <w:iCs/>
        </w:rPr>
        <w:t>r</w:t>
      </w:r>
      <w:r w:rsidRPr="00C40C90">
        <w:rPr>
          <w:rFonts w:asciiTheme="majorBidi" w:hAnsiTheme="majorBidi" w:cstheme="majorBidi"/>
        </w:rPr>
        <w:t xml:space="preserve">, ( Mesir: Al-Hai’ah al-Mishriyah al-‘Ammah Lil Kitab, 1990), Jilid II, h. </w:t>
      </w:r>
      <w:r>
        <w:rPr>
          <w:rFonts w:asciiTheme="majorBidi" w:hAnsiTheme="majorBidi" w:cstheme="majorBidi"/>
        </w:rPr>
        <w:t>351</w:t>
      </w:r>
    </w:p>
  </w:footnote>
  <w:footnote w:id="636">
    <w:p w:rsidR="00343B61" w:rsidRPr="00C40C90" w:rsidRDefault="00343B61" w:rsidP="00343B61">
      <w:pPr>
        <w:pStyle w:val="FootnoteText"/>
        <w:ind w:firstLine="720"/>
        <w:jc w:val="both"/>
        <w:rPr>
          <w:rFonts w:asciiTheme="majorBidi" w:hAnsiTheme="majorBidi" w:cstheme="majorBidi"/>
        </w:rPr>
      </w:pPr>
      <w:r w:rsidRPr="00C40C90">
        <w:rPr>
          <w:rStyle w:val="FootnoteReference"/>
          <w:rFonts w:asciiTheme="majorBidi" w:hAnsiTheme="majorBidi" w:cstheme="majorBidi"/>
        </w:rPr>
        <w:footnoteRef/>
      </w:r>
      <w:r w:rsidRPr="00C40C90">
        <w:rPr>
          <w:rFonts w:asciiTheme="majorBidi" w:hAnsiTheme="majorBidi" w:cstheme="majorBidi"/>
        </w:rPr>
        <w:t xml:space="preserve"> Lihat. Muhammad Rasyid bin Ali Ridho, </w:t>
      </w:r>
      <w:r w:rsidRPr="00D87A7D">
        <w:rPr>
          <w:rFonts w:asciiTheme="majorBidi" w:hAnsiTheme="majorBidi" w:cstheme="majorBidi"/>
          <w:i/>
          <w:iCs/>
        </w:rPr>
        <w:t>Tafs</w:t>
      </w:r>
      <w:r w:rsidRPr="00452369">
        <w:rPr>
          <w:rFonts w:asciiTheme="majorBidi" w:hAnsiTheme="majorBidi" w:cstheme="majorBidi"/>
          <w:i/>
          <w:iCs/>
        </w:rPr>
        <w:t>ī</w:t>
      </w:r>
      <w:r w:rsidRPr="00D87A7D">
        <w:rPr>
          <w:rFonts w:asciiTheme="majorBidi" w:hAnsiTheme="majorBidi" w:cstheme="majorBidi"/>
          <w:i/>
          <w:iCs/>
        </w:rPr>
        <w:t>r</w:t>
      </w:r>
      <w:r w:rsidRPr="00C40C90">
        <w:rPr>
          <w:rFonts w:asciiTheme="majorBidi" w:hAnsiTheme="majorBidi" w:cstheme="majorBidi"/>
          <w:i/>
          <w:iCs/>
        </w:rPr>
        <w:t xml:space="preserve"> al-Man</w:t>
      </w:r>
      <w:r w:rsidRPr="001E454B">
        <w:rPr>
          <w:rFonts w:asciiTheme="majorBidi" w:hAnsiTheme="majorBidi" w:cstheme="majorBidi"/>
          <w:i/>
          <w:iCs/>
        </w:rPr>
        <w:t>ā</w:t>
      </w:r>
      <w:r w:rsidRPr="00C40C90">
        <w:rPr>
          <w:rFonts w:asciiTheme="majorBidi" w:hAnsiTheme="majorBidi" w:cstheme="majorBidi"/>
          <w:i/>
          <w:iCs/>
        </w:rPr>
        <w:t>r</w:t>
      </w:r>
      <w:r w:rsidRPr="00C40C90">
        <w:rPr>
          <w:rFonts w:asciiTheme="majorBidi" w:hAnsiTheme="majorBidi" w:cstheme="majorBidi"/>
        </w:rPr>
        <w:t>, ( Mesir: Al-Hai’ah al-Mishriyah al-‘Ammah Lil Kitab, 1990), Jilid VI, h. 193.</w:t>
      </w:r>
    </w:p>
  </w:footnote>
  <w:footnote w:id="637">
    <w:p w:rsidR="00343B61" w:rsidRPr="00C40C90"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C40C90">
        <w:rPr>
          <w:rStyle w:val="FootnoteReference"/>
          <w:rFonts w:asciiTheme="majorBidi" w:hAnsiTheme="majorBidi" w:cstheme="majorBidi"/>
          <w:sz w:val="20"/>
          <w:szCs w:val="20"/>
        </w:rPr>
        <w:footnoteRef/>
      </w:r>
      <w:r w:rsidRPr="00C40C90">
        <w:rPr>
          <w:rFonts w:asciiTheme="majorBidi" w:hAnsiTheme="majorBidi" w:cstheme="majorBidi"/>
          <w:sz w:val="20"/>
          <w:szCs w:val="20"/>
        </w:rPr>
        <w:t xml:space="preserve"> Lihat. Maulana Muhammad Ali, </w:t>
      </w:r>
      <w:r w:rsidRPr="00C40C90">
        <w:rPr>
          <w:rFonts w:asciiTheme="majorBidi" w:hAnsiTheme="majorBidi" w:cstheme="majorBidi"/>
          <w:i/>
          <w:iCs/>
          <w:sz w:val="20"/>
          <w:szCs w:val="20"/>
        </w:rPr>
        <w:t xml:space="preserve">Qur’an Suci: Teks Arab Tarjamah dan Tafsir </w:t>
      </w:r>
      <w:r w:rsidRPr="00C40C90">
        <w:rPr>
          <w:rFonts w:asciiTheme="majorBidi" w:hAnsiTheme="majorBidi" w:cstheme="majorBidi"/>
          <w:sz w:val="20"/>
          <w:szCs w:val="20"/>
        </w:rPr>
        <w:t>( Jakarta : Dar al-Kutub al-Islamiyah, 1993), 119.</w:t>
      </w:r>
    </w:p>
  </w:footnote>
  <w:footnote w:id="638">
    <w:p w:rsidR="00343B61" w:rsidRPr="00FF6692" w:rsidRDefault="00343B61" w:rsidP="00343B61">
      <w:pPr>
        <w:pStyle w:val="FootnoteText"/>
        <w:ind w:firstLine="720"/>
        <w:jc w:val="both"/>
        <w:rPr>
          <w:rFonts w:asciiTheme="majorBidi" w:hAnsiTheme="majorBidi" w:cstheme="majorBidi"/>
        </w:rPr>
      </w:pPr>
      <w:r w:rsidRPr="00FF6692">
        <w:rPr>
          <w:rStyle w:val="FootnoteReference"/>
          <w:rFonts w:asciiTheme="majorBidi" w:hAnsiTheme="majorBidi" w:cstheme="majorBidi"/>
        </w:rPr>
        <w:footnoteRef/>
      </w:r>
      <w:r w:rsidRPr="00FF6692">
        <w:rPr>
          <w:rFonts w:asciiTheme="majorBidi" w:hAnsiTheme="majorBidi" w:cstheme="majorBidi"/>
        </w:rPr>
        <w:t xml:space="preserve"> Lihat. </w:t>
      </w:r>
      <w:r>
        <w:rPr>
          <w:rFonts w:asciiTheme="majorBidi" w:hAnsiTheme="majorBidi" w:cstheme="majorBidi"/>
        </w:rPr>
        <w:t>M.A.</w:t>
      </w:r>
      <w:r w:rsidRPr="00FF6692">
        <w:rPr>
          <w:rFonts w:asciiTheme="majorBidi" w:hAnsiTheme="majorBidi" w:cstheme="majorBidi"/>
        </w:rPr>
        <w:t xml:space="preserve">Sahal Mahfudh, dkk, </w:t>
      </w:r>
      <w:r w:rsidRPr="007160A2">
        <w:rPr>
          <w:rFonts w:asciiTheme="majorBidi" w:hAnsiTheme="majorBidi" w:cstheme="majorBidi"/>
          <w:i/>
          <w:iCs/>
        </w:rPr>
        <w:t>Himpunan Keputusan Musyawarah Nasional</w:t>
      </w:r>
      <w:r>
        <w:rPr>
          <w:rFonts w:asciiTheme="majorBidi" w:hAnsiTheme="majorBidi" w:cstheme="majorBidi"/>
        </w:rPr>
        <w:t xml:space="preserve"> </w:t>
      </w:r>
      <w:r w:rsidRPr="00FF6692">
        <w:rPr>
          <w:rFonts w:asciiTheme="majorBidi" w:hAnsiTheme="majorBidi" w:cstheme="majorBidi"/>
          <w:i/>
          <w:iCs/>
        </w:rPr>
        <w:t>VII Majelis Ulama Indonesia</w:t>
      </w:r>
      <w:r w:rsidRPr="00FF6692">
        <w:rPr>
          <w:rFonts w:asciiTheme="majorBidi" w:hAnsiTheme="majorBidi" w:cstheme="majorBidi"/>
        </w:rPr>
        <w:t>, ( Jakarta: Majelis Ulama Indonesia, 2005), h. 43</w:t>
      </w:r>
    </w:p>
  </w:footnote>
  <w:footnote w:id="639">
    <w:p w:rsidR="00343B61" w:rsidRDefault="00343B61" w:rsidP="00343B61">
      <w:pPr>
        <w:pStyle w:val="FootnoteText"/>
        <w:ind w:firstLine="720"/>
        <w:jc w:val="both"/>
      </w:pPr>
      <w:r w:rsidRPr="00FF6692">
        <w:rPr>
          <w:rStyle w:val="FootnoteReference"/>
        </w:rPr>
        <w:footnoteRef/>
      </w:r>
      <w:r w:rsidRPr="00FF6692">
        <w:t xml:space="preserve"> </w:t>
      </w:r>
      <w:r w:rsidRPr="00FF6692">
        <w:rPr>
          <w:rFonts w:asciiTheme="majorBidi" w:hAnsiTheme="majorBidi" w:cstheme="majorBidi"/>
        </w:rPr>
        <w:t xml:space="preserve">Lihat. </w:t>
      </w:r>
      <w:r>
        <w:rPr>
          <w:rFonts w:asciiTheme="majorBidi" w:hAnsiTheme="majorBidi" w:cstheme="majorBidi"/>
        </w:rPr>
        <w:t xml:space="preserve">M.A </w:t>
      </w:r>
      <w:r w:rsidRPr="00FF6692">
        <w:rPr>
          <w:rFonts w:asciiTheme="majorBidi" w:hAnsiTheme="majorBidi" w:cstheme="majorBidi"/>
        </w:rPr>
        <w:t xml:space="preserve">Sahal Mahfudh, dkk, </w:t>
      </w:r>
      <w:r w:rsidRPr="00FF6692">
        <w:rPr>
          <w:rFonts w:asciiTheme="majorBidi" w:hAnsiTheme="majorBidi" w:cstheme="majorBidi"/>
          <w:i/>
          <w:iCs/>
        </w:rPr>
        <w:t>Fatwa Munas VII Majelis Ulama Indonesia</w:t>
      </w:r>
      <w:r w:rsidRPr="00FF6692">
        <w:rPr>
          <w:rFonts w:asciiTheme="majorBidi" w:hAnsiTheme="majorBidi" w:cstheme="majorBidi"/>
        </w:rPr>
        <w:t>, ( Jakarta: Majelis Ulama Indonesia, 2005), h. 37</w:t>
      </w:r>
    </w:p>
  </w:footnote>
  <w:footnote w:id="640">
    <w:p w:rsidR="00343B61" w:rsidRPr="000F1D30" w:rsidRDefault="00343B61" w:rsidP="00343B61">
      <w:pPr>
        <w:pStyle w:val="FootnoteText"/>
        <w:ind w:firstLine="720"/>
        <w:jc w:val="both"/>
        <w:rPr>
          <w:rFonts w:asciiTheme="majorBidi" w:hAnsiTheme="majorBidi" w:cstheme="majorBidi"/>
        </w:rPr>
      </w:pPr>
      <w:r w:rsidRPr="000F1D30">
        <w:rPr>
          <w:rStyle w:val="FootnoteReference"/>
          <w:rFonts w:asciiTheme="majorBidi" w:hAnsiTheme="majorBidi" w:cstheme="majorBidi"/>
        </w:rPr>
        <w:footnoteRef/>
      </w:r>
      <w:r w:rsidRPr="000F1D30">
        <w:rPr>
          <w:rFonts w:asciiTheme="majorBidi" w:hAnsiTheme="majorBidi" w:cstheme="majorBidi"/>
        </w:rPr>
        <w:t xml:space="preserve"> Dalam MUNAS II MUI yang berlangung pada tanggal 11-17 Rajab 1400 bertepatan Tanggal 26 Mei </w:t>
      </w:r>
      <w:r>
        <w:rPr>
          <w:rFonts w:asciiTheme="majorBidi" w:hAnsiTheme="majorBidi" w:cstheme="majorBidi"/>
        </w:rPr>
        <w:t>s/d</w:t>
      </w:r>
      <w:r w:rsidRPr="000F1D30">
        <w:rPr>
          <w:rFonts w:asciiTheme="majorBidi" w:hAnsiTheme="majorBidi" w:cstheme="majorBidi"/>
        </w:rPr>
        <w:t xml:space="preserve"> 1 Juni M, MUI mengeluarkan fatwa tentang Perkawinan Campur yaitu: 1). Perkawinan wanita Muslimah dengan laki-laki non Muslim adalah haram hukumnya. 2) Seorang la</w:t>
      </w:r>
      <w:r>
        <w:rPr>
          <w:rFonts w:asciiTheme="majorBidi" w:hAnsiTheme="majorBidi" w:cstheme="majorBidi"/>
        </w:rPr>
        <w:t>ki-laki Muslim diharamkan mengaw</w:t>
      </w:r>
      <w:r w:rsidRPr="000F1D30">
        <w:rPr>
          <w:rFonts w:asciiTheme="majorBidi" w:hAnsiTheme="majorBidi" w:cstheme="majorBidi"/>
        </w:rPr>
        <w:t xml:space="preserve">ini wanita bukan Muslim. Tentang perkawinan antara laki-laki Muslim dengan wanita </w:t>
      </w:r>
      <w:r w:rsidRPr="008E0787">
        <w:rPr>
          <w:rFonts w:asciiTheme="majorBidi" w:hAnsiTheme="majorBidi" w:cstheme="majorBidi"/>
          <w:i/>
          <w:iCs/>
        </w:rPr>
        <w:t>Ahlu kitab</w:t>
      </w:r>
      <w:r w:rsidRPr="000F1D30">
        <w:rPr>
          <w:rFonts w:asciiTheme="majorBidi" w:hAnsiTheme="majorBidi" w:cstheme="majorBidi"/>
        </w:rPr>
        <w:t xml:space="preserve"> terdapat perbedaan pendapat. Setelah mempertimbangkan bahwa mafsadatnya lebih besar daripada maslahatnya, Majelis Ulama Indonesia memfatwakan perkawinan tersebut hukumnya haram.</w:t>
      </w:r>
      <w:r>
        <w:rPr>
          <w:rFonts w:asciiTheme="majorBidi" w:hAnsiTheme="majorBidi" w:cstheme="majorBidi"/>
        </w:rPr>
        <w:t xml:space="preserve"> Dalil yang dibuat MUI sebagai landasan fatwa ini sama dengan dalil pada fatwa Nikah Beda Agama, kecuali dua hadis yaitu:” </w:t>
      </w:r>
      <w:r w:rsidRPr="00410312">
        <w:rPr>
          <w:rFonts w:asciiTheme="majorBidi" w:hAnsiTheme="majorBidi" w:cstheme="majorBidi"/>
          <w:i/>
          <w:iCs/>
        </w:rPr>
        <w:t>Barang siapa telah kawin, ia telah memelihara setengah bagian dari ima</w:t>
      </w:r>
      <w:r>
        <w:rPr>
          <w:rFonts w:asciiTheme="majorBidi" w:hAnsiTheme="majorBidi" w:cstheme="majorBidi"/>
          <w:i/>
          <w:iCs/>
        </w:rPr>
        <w:t>n</w:t>
      </w:r>
      <w:r w:rsidRPr="00410312">
        <w:rPr>
          <w:rFonts w:asciiTheme="majorBidi" w:hAnsiTheme="majorBidi" w:cstheme="majorBidi"/>
          <w:i/>
          <w:iCs/>
        </w:rPr>
        <w:t>nya, karena itu, hendaklah ia takwa kepada Allah dalam bahagian yang</w:t>
      </w:r>
      <w:r>
        <w:rPr>
          <w:rFonts w:asciiTheme="majorBidi" w:hAnsiTheme="majorBidi" w:cstheme="majorBidi"/>
        </w:rPr>
        <w:t xml:space="preserve"> </w:t>
      </w:r>
      <w:r w:rsidRPr="00164526">
        <w:rPr>
          <w:rFonts w:asciiTheme="majorBidi" w:hAnsiTheme="majorBidi" w:cstheme="majorBidi"/>
          <w:i/>
          <w:iCs/>
        </w:rPr>
        <w:t>lain</w:t>
      </w:r>
      <w:r>
        <w:rPr>
          <w:rFonts w:asciiTheme="majorBidi" w:hAnsiTheme="majorBidi" w:cstheme="majorBidi"/>
        </w:rPr>
        <w:t xml:space="preserve">” ( HR. Bukhari) dan hadis: “ </w:t>
      </w:r>
      <w:r w:rsidRPr="00410312">
        <w:rPr>
          <w:rFonts w:asciiTheme="majorBidi" w:hAnsiTheme="majorBidi" w:cstheme="majorBidi"/>
          <w:i/>
          <w:iCs/>
        </w:rPr>
        <w:t>Tiap-tiap anak dilahirkan dalam keadaan suci sehingga ia me</w:t>
      </w:r>
      <w:r>
        <w:rPr>
          <w:rFonts w:asciiTheme="majorBidi" w:hAnsiTheme="majorBidi" w:cstheme="majorBidi"/>
          <w:i/>
          <w:iCs/>
        </w:rPr>
        <w:t xml:space="preserve">nyatakan oleh lidahnya sendiri, </w:t>
      </w:r>
      <w:r w:rsidRPr="00410312">
        <w:rPr>
          <w:rFonts w:asciiTheme="majorBidi" w:hAnsiTheme="majorBidi" w:cstheme="majorBidi"/>
          <w:i/>
          <w:iCs/>
        </w:rPr>
        <w:t>maka ibu bapaknya yang menjadikannya ( beragama) Yahudi, Nasrani atau Majusi</w:t>
      </w:r>
      <w:r>
        <w:rPr>
          <w:rFonts w:asciiTheme="majorBidi" w:hAnsiTheme="majorBidi" w:cstheme="majorBidi"/>
        </w:rPr>
        <w:t xml:space="preserve">”. Fatwa ini ditandatangani oleh Prof. Dr. Buya Hamka sebagai Ketua dan Drs. H Kafrawi sebagai Sekretaris. Lihat. Ma’ruf Amin, dkk, </w:t>
      </w:r>
      <w:r w:rsidRPr="00164526">
        <w:rPr>
          <w:rFonts w:asciiTheme="majorBidi" w:hAnsiTheme="majorBidi" w:cstheme="majorBidi"/>
          <w:i/>
          <w:iCs/>
        </w:rPr>
        <w:t>Himpunan Fatwa Majelis Ulama Indonesia sejak 1975</w:t>
      </w:r>
      <w:r>
        <w:rPr>
          <w:rFonts w:asciiTheme="majorBidi" w:hAnsiTheme="majorBidi" w:cstheme="majorBidi"/>
        </w:rPr>
        <w:t>, ( Jakarta: Erlangga, 2011), h. 43-45</w:t>
      </w:r>
    </w:p>
  </w:footnote>
  <w:footnote w:id="641">
    <w:p w:rsidR="00343B61" w:rsidRDefault="00343B61" w:rsidP="00343B61">
      <w:pPr>
        <w:pStyle w:val="FootnoteText"/>
        <w:ind w:firstLine="720"/>
        <w:jc w:val="both"/>
      </w:pPr>
      <w:r>
        <w:rPr>
          <w:rStyle w:val="FootnoteReference"/>
        </w:rPr>
        <w:footnoteRef/>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 xml:space="preserve"> 115</w:t>
      </w:r>
    </w:p>
  </w:footnote>
  <w:footnote w:id="642">
    <w:p w:rsidR="00343B61" w:rsidRDefault="00343B61" w:rsidP="00343B61">
      <w:pPr>
        <w:pStyle w:val="FootnoteText"/>
        <w:ind w:firstLine="720"/>
        <w:jc w:val="both"/>
      </w:pPr>
      <w:r>
        <w:rPr>
          <w:rStyle w:val="FootnoteReference"/>
        </w:rPr>
        <w:footnoteRef/>
      </w:r>
      <w:r>
        <w:t xml:space="preserve"> </w:t>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644</w:t>
      </w:r>
    </w:p>
  </w:footnote>
  <w:footnote w:id="643">
    <w:p w:rsidR="00343B61" w:rsidRDefault="00343B61" w:rsidP="00343B61">
      <w:pPr>
        <w:pStyle w:val="FootnoteText"/>
        <w:ind w:firstLine="720"/>
        <w:jc w:val="both"/>
      </w:pPr>
      <w:r>
        <w:rPr>
          <w:rStyle w:val="FootnoteReference"/>
        </w:rPr>
        <w:footnoteRef/>
      </w:r>
      <w:r>
        <w:t xml:space="preserve"> </w:t>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951</w:t>
      </w:r>
    </w:p>
  </w:footnote>
  <w:footnote w:id="644">
    <w:p w:rsidR="00343B61" w:rsidRDefault="00343B61" w:rsidP="00343B61">
      <w:pPr>
        <w:pStyle w:val="FootnoteText"/>
        <w:ind w:firstLine="720"/>
        <w:jc w:val="both"/>
      </w:pPr>
      <w:r>
        <w:rPr>
          <w:rStyle w:val="FootnoteReference"/>
        </w:rPr>
        <w:footnoteRef/>
      </w:r>
      <w:r>
        <w:t xml:space="preserve"> </w:t>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 xml:space="preserve"> 158</w:t>
      </w:r>
    </w:p>
  </w:footnote>
  <w:footnote w:id="645">
    <w:p w:rsidR="00343B61" w:rsidRDefault="00343B61" w:rsidP="00343B61">
      <w:pPr>
        <w:pStyle w:val="FootnoteText"/>
        <w:ind w:firstLine="720"/>
        <w:jc w:val="both"/>
      </w:pPr>
      <w:r>
        <w:rPr>
          <w:rStyle w:val="FootnoteReference"/>
        </w:rPr>
        <w:footnoteRef/>
      </w:r>
      <w:r>
        <w:t xml:space="preserve"> </w:t>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 xml:space="preserve"> 54</w:t>
      </w:r>
    </w:p>
  </w:footnote>
  <w:footnote w:id="646">
    <w:p w:rsidR="00343B61" w:rsidRDefault="00343B61" w:rsidP="00343B61">
      <w:pPr>
        <w:pStyle w:val="FootnoteText"/>
        <w:ind w:firstLine="720"/>
        <w:jc w:val="both"/>
      </w:pPr>
      <w:r>
        <w:rPr>
          <w:rStyle w:val="FootnoteReference"/>
        </w:rPr>
        <w:footnoteRef/>
      </w:r>
      <w:r>
        <w:t xml:space="preserve"> </w:t>
      </w:r>
      <w:r w:rsidRPr="00CC64B2">
        <w:rPr>
          <w:rFonts w:asciiTheme="majorBidi" w:hAnsiTheme="majorBidi" w:cstheme="majorBidi"/>
        </w:rPr>
        <w:t xml:space="preserve">Lihat. Depag RI, </w:t>
      </w:r>
      <w:r w:rsidRPr="00CC64B2">
        <w:rPr>
          <w:rFonts w:asciiTheme="majorBidi" w:hAnsiTheme="majorBidi" w:cstheme="majorBidi"/>
          <w:i/>
          <w:iCs/>
        </w:rPr>
        <w:t>Al-Qur’an dan Terjamahannya</w:t>
      </w:r>
      <w:r w:rsidRPr="00CC64B2">
        <w:rPr>
          <w:rFonts w:asciiTheme="majorBidi" w:hAnsiTheme="majorBidi" w:cstheme="majorBidi"/>
        </w:rPr>
        <w:t>, (Medinah al-Munawwarah: Mujamma’ al-Malik Fahd Li al-Thiba’ah Mush-haf al-Syarif, 1418</w:t>
      </w:r>
      <w:r>
        <w:rPr>
          <w:rFonts w:asciiTheme="majorBidi" w:hAnsiTheme="majorBidi" w:cstheme="majorBidi"/>
        </w:rPr>
        <w:t xml:space="preserve"> H </w:t>
      </w:r>
      <w:r w:rsidRPr="00CC64B2">
        <w:rPr>
          <w:rFonts w:asciiTheme="majorBidi" w:hAnsiTheme="majorBidi" w:cstheme="majorBidi"/>
        </w:rPr>
        <w:t>) h.</w:t>
      </w:r>
      <w:r>
        <w:rPr>
          <w:rFonts w:asciiTheme="majorBidi" w:hAnsiTheme="majorBidi" w:cstheme="majorBidi"/>
        </w:rPr>
        <w:t xml:space="preserve"> 924</w:t>
      </w:r>
    </w:p>
  </w:footnote>
  <w:footnote w:id="647">
    <w:p w:rsidR="00343B61" w:rsidRPr="00EA38F5" w:rsidRDefault="00343B61" w:rsidP="00343B61">
      <w:pPr>
        <w:pStyle w:val="FootnoteText"/>
        <w:ind w:firstLine="720"/>
        <w:jc w:val="both"/>
        <w:rPr>
          <w:rFonts w:asciiTheme="majorBidi" w:hAnsiTheme="majorBidi" w:cstheme="majorBidi"/>
        </w:rPr>
      </w:pPr>
      <w:r w:rsidRPr="00EA38F5">
        <w:rPr>
          <w:rStyle w:val="FootnoteReference"/>
          <w:rFonts w:asciiTheme="majorBidi" w:hAnsiTheme="majorBidi" w:cstheme="majorBidi"/>
        </w:rPr>
        <w:footnoteRef/>
      </w:r>
      <w:r w:rsidRPr="00EA38F5">
        <w:rPr>
          <w:rFonts w:asciiTheme="majorBidi" w:hAnsiTheme="majorBidi" w:cstheme="majorBidi"/>
        </w:rPr>
        <w:t xml:space="preserve"> Lihat. Depag RI, </w:t>
      </w:r>
      <w:r w:rsidRPr="00EA38F5">
        <w:rPr>
          <w:rFonts w:asciiTheme="majorBidi" w:hAnsiTheme="majorBidi" w:cstheme="majorBidi"/>
          <w:i/>
          <w:iCs/>
        </w:rPr>
        <w:t>Al-Qur’an dan Terjamahannya</w:t>
      </w:r>
      <w:r w:rsidRPr="00EA38F5">
        <w:rPr>
          <w:rFonts w:asciiTheme="majorBidi" w:hAnsiTheme="majorBidi" w:cstheme="majorBidi"/>
        </w:rPr>
        <w:t>, (Medinah al-Munawwarah: Mujamma’ al-Malik Fahd Li al-Thiba’ah Mush-haf al-Syarif, 1418 H ) h.</w:t>
      </w:r>
      <w:r>
        <w:rPr>
          <w:rFonts w:asciiTheme="majorBidi" w:hAnsiTheme="majorBidi" w:cstheme="majorBidi"/>
        </w:rPr>
        <w:t xml:space="preserve"> 121</w:t>
      </w:r>
    </w:p>
  </w:footnote>
  <w:footnote w:id="648">
    <w:p w:rsidR="00343B61" w:rsidRPr="00EA38F5" w:rsidRDefault="00343B61" w:rsidP="00343B61">
      <w:pPr>
        <w:pStyle w:val="FootnoteText"/>
        <w:ind w:firstLine="720"/>
        <w:jc w:val="both"/>
        <w:rPr>
          <w:rFonts w:asciiTheme="majorBidi" w:hAnsiTheme="majorBidi" w:cstheme="majorBidi"/>
        </w:rPr>
      </w:pPr>
      <w:r w:rsidRPr="00EA38F5">
        <w:rPr>
          <w:rStyle w:val="FootnoteReference"/>
          <w:rFonts w:asciiTheme="majorBidi" w:hAnsiTheme="majorBidi" w:cstheme="majorBidi"/>
        </w:rPr>
        <w:footnoteRef/>
      </w:r>
      <w:r w:rsidRPr="00EA38F5">
        <w:rPr>
          <w:rFonts w:asciiTheme="majorBidi" w:hAnsiTheme="majorBidi" w:cstheme="majorBidi"/>
        </w:rPr>
        <w:t xml:space="preserve"> Lihat. 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EA38F5">
        <w:rPr>
          <w:rFonts w:asciiTheme="majorBidi" w:hAnsiTheme="majorBidi" w:cstheme="majorBidi"/>
        </w:rPr>
        <w:t xml:space="preserve">, ( Bairut: Dar Al-Thuq Al-Najah, cet, I, 1422 ), h. vii. h.7. lihat juga Muslim Ibn Hajjaj </w:t>
      </w:r>
      <w:r w:rsidRPr="00972F6C">
        <w:rPr>
          <w:rFonts w:asciiTheme="majorBidi" w:hAnsiTheme="majorBidi" w:cstheme="majorBidi"/>
        </w:rPr>
        <w:t xml:space="preserve">Al-Qusyairi, </w:t>
      </w:r>
      <w:r w:rsidRPr="00972F6C">
        <w:rPr>
          <w:rFonts w:asciiTheme="majorBidi" w:hAnsiTheme="majorBidi" w:cstheme="majorBidi"/>
          <w:i/>
          <w:iCs/>
        </w:rPr>
        <w:t>Al-Jami’ Al-Shohīh Al-Musammā Bi Shohīh Muslim</w:t>
      </w:r>
      <w:r>
        <w:rPr>
          <w:rFonts w:asciiTheme="majorBidi" w:hAnsiTheme="majorBidi" w:cstheme="majorBidi"/>
        </w:rPr>
        <w:t>,</w:t>
      </w:r>
      <w:r w:rsidRPr="00EA38F5">
        <w:rPr>
          <w:rFonts w:asciiTheme="majorBidi" w:hAnsiTheme="majorBidi" w:cstheme="majorBidi"/>
        </w:rPr>
        <w:t>( Bairut: Dar Al-Jail, t.th), Jilid. IV, h. 135</w:t>
      </w:r>
    </w:p>
  </w:footnote>
  <w:footnote w:id="649">
    <w:p w:rsidR="00343B61" w:rsidRDefault="00343B61" w:rsidP="00343B61">
      <w:pPr>
        <w:pStyle w:val="FootnoteText"/>
        <w:ind w:firstLine="720"/>
        <w:jc w:val="both"/>
      </w:pPr>
      <w:r w:rsidRPr="00EA38F5">
        <w:rPr>
          <w:rStyle w:val="FootnoteReference"/>
          <w:rFonts w:asciiTheme="majorBidi" w:hAnsiTheme="majorBidi" w:cstheme="majorBidi"/>
        </w:rPr>
        <w:footnoteRef/>
      </w:r>
      <w:r w:rsidRPr="00EA38F5">
        <w:rPr>
          <w:rFonts w:asciiTheme="majorBidi" w:hAnsiTheme="majorBidi" w:cstheme="majorBidi"/>
        </w:rPr>
        <w:t xml:space="preserve"> </w:t>
      </w:r>
      <w:r w:rsidRPr="00EA38F5">
        <w:rPr>
          <w:rFonts w:asciiTheme="majorBidi" w:eastAsiaTheme="minorHAnsi" w:hAnsiTheme="majorBidi" w:cstheme="majorBidi"/>
          <w:color w:val="000000"/>
        </w:rPr>
        <w:t xml:space="preserve">Lihat. Zain al-‘Abidin Ibn Ibrahim Ibn Nujaim, </w:t>
      </w:r>
      <w:r w:rsidRPr="004666EA">
        <w:rPr>
          <w:rFonts w:asciiTheme="majorBidi" w:hAnsiTheme="majorBidi" w:cstheme="majorBidi"/>
          <w:i/>
          <w:iCs/>
          <w:color w:val="000000"/>
        </w:rPr>
        <w:t>al-Asyab</w:t>
      </w:r>
      <w:r w:rsidRPr="00D54068">
        <w:rPr>
          <w:rFonts w:asciiTheme="majorBidi" w:hAnsiTheme="majorBidi" w:cstheme="majorBidi"/>
          <w:i/>
          <w:iCs/>
        </w:rPr>
        <w:t>ā</w:t>
      </w:r>
      <w:r w:rsidRPr="004666EA">
        <w:rPr>
          <w:rFonts w:asciiTheme="majorBidi" w:hAnsiTheme="majorBidi" w:cstheme="majorBidi"/>
          <w:i/>
          <w:iCs/>
          <w:color w:val="000000"/>
        </w:rPr>
        <w:t>h wa al-Nazh</w:t>
      </w:r>
      <w:r w:rsidRPr="00D54068">
        <w:rPr>
          <w:rFonts w:asciiTheme="majorBidi" w:hAnsiTheme="majorBidi" w:cstheme="majorBidi"/>
          <w:i/>
          <w:iCs/>
        </w:rPr>
        <w:t>ā</w:t>
      </w:r>
      <w:r w:rsidRPr="004666EA">
        <w:rPr>
          <w:rFonts w:asciiTheme="majorBidi" w:hAnsiTheme="majorBidi" w:cstheme="majorBidi"/>
          <w:i/>
          <w:iCs/>
          <w:color w:val="000000"/>
        </w:rPr>
        <w:t>’ir</w:t>
      </w:r>
      <w:r w:rsidRPr="00EA38F5">
        <w:rPr>
          <w:rFonts w:asciiTheme="majorBidi" w:eastAsiaTheme="minorHAnsi" w:hAnsiTheme="majorBidi" w:cstheme="majorBidi"/>
          <w:color w:val="000000"/>
        </w:rPr>
        <w:t>, ( Bairut: Dar al-Kutub al-‘Ilmiyah, 1980 ), h. 113</w:t>
      </w:r>
    </w:p>
  </w:footnote>
  <w:footnote w:id="650">
    <w:p w:rsidR="00343B61" w:rsidRDefault="00343B61" w:rsidP="00343B61">
      <w:pPr>
        <w:pStyle w:val="FootnoteText"/>
        <w:ind w:firstLine="720"/>
        <w:jc w:val="both"/>
      </w:pPr>
      <w:r>
        <w:rPr>
          <w:rStyle w:val="FootnoteReference"/>
        </w:rPr>
        <w:footnoteRef/>
      </w:r>
      <w:r>
        <w:t xml:space="preserve"> </w:t>
      </w:r>
      <w:r w:rsidRPr="00FE6295">
        <w:rPr>
          <w:rFonts w:asciiTheme="majorBidi" w:hAnsiTheme="majorBidi" w:cstheme="majorBidi"/>
        </w:rPr>
        <w:t xml:space="preserve">Lihat. M. A. Sahal Mahfudh, </w:t>
      </w:r>
      <w:r w:rsidRPr="00FE6295">
        <w:rPr>
          <w:rFonts w:asciiTheme="majorBidi" w:hAnsiTheme="majorBidi" w:cstheme="majorBidi"/>
          <w:i/>
          <w:iCs/>
        </w:rPr>
        <w:t xml:space="preserve">Himpunan Keputusan Musyawarah Nasional </w:t>
      </w:r>
      <w:r>
        <w:rPr>
          <w:rFonts w:asciiTheme="majorBidi" w:hAnsiTheme="majorBidi" w:cstheme="majorBidi"/>
          <w:i/>
          <w:iCs/>
        </w:rPr>
        <w:t xml:space="preserve">VII </w:t>
      </w:r>
      <w:r w:rsidRPr="00FE6295">
        <w:rPr>
          <w:rFonts w:asciiTheme="majorBidi" w:hAnsiTheme="majorBidi" w:cstheme="majorBidi"/>
          <w:i/>
          <w:iCs/>
        </w:rPr>
        <w:t>Majelis Ulama Indonesia Tahun 2005</w:t>
      </w:r>
      <w:r>
        <w:rPr>
          <w:rFonts w:asciiTheme="majorBidi" w:hAnsiTheme="majorBidi" w:cstheme="majorBidi"/>
        </w:rPr>
        <w:t>, ( Jakarta: Sekr</w:t>
      </w:r>
      <w:r w:rsidRPr="00FE6295">
        <w:rPr>
          <w:rFonts w:asciiTheme="majorBidi" w:hAnsiTheme="majorBidi" w:cstheme="majorBidi"/>
        </w:rPr>
        <w:t>e</w:t>
      </w:r>
      <w:r>
        <w:rPr>
          <w:rFonts w:asciiTheme="majorBidi" w:hAnsiTheme="majorBidi" w:cstheme="majorBidi"/>
        </w:rPr>
        <w:t>ta</w:t>
      </w:r>
      <w:r w:rsidRPr="00FE6295">
        <w:rPr>
          <w:rFonts w:asciiTheme="majorBidi" w:hAnsiTheme="majorBidi" w:cstheme="majorBidi"/>
        </w:rPr>
        <w:t>riat Majelis Ulama Indonesia, 2005), h.</w:t>
      </w:r>
      <w:r>
        <w:rPr>
          <w:rFonts w:asciiTheme="majorBidi" w:hAnsiTheme="majorBidi" w:cstheme="majorBidi"/>
        </w:rPr>
        <w:t xml:space="preserve"> 44</w:t>
      </w:r>
    </w:p>
  </w:footnote>
  <w:footnote w:id="651">
    <w:p w:rsidR="00343B61" w:rsidRDefault="00343B61" w:rsidP="00343B61">
      <w:pPr>
        <w:pStyle w:val="FootnoteText"/>
        <w:ind w:firstLine="720"/>
        <w:jc w:val="both"/>
      </w:pPr>
      <w:r>
        <w:rPr>
          <w:rStyle w:val="FootnoteReference"/>
        </w:rPr>
        <w:footnoteRef/>
      </w:r>
      <w:r>
        <w:t xml:space="preserve"> </w:t>
      </w:r>
      <w:r w:rsidRPr="00EA5B61">
        <w:rPr>
          <w:rFonts w:asciiTheme="majorBidi" w:hAnsiTheme="majorBidi" w:cstheme="majorBidi"/>
        </w:rPr>
        <w:t xml:space="preserve">Wawancara dengan Ketua MUI </w:t>
      </w:r>
      <w:r>
        <w:rPr>
          <w:rFonts w:asciiTheme="majorBidi" w:hAnsiTheme="majorBidi" w:cstheme="majorBidi"/>
        </w:rPr>
        <w:t xml:space="preserve">KH </w:t>
      </w:r>
      <w:r w:rsidRPr="00EA5B61">
        <w:rPr>
          <w:rFonts w:asciiTheme="majorBidi" w:hAnsiTheme="majorBidi" w:cstheme="majorBidi"/>
        </w:rPr>
        <w:t>Ma’ruf Amin di Hotel Horizon Bengkulu pada tanggal 21 Mei 2016, bertepatan pengukuhan Pengurus Wilayah MUI Provinsi Bengkulu.</w:t>
      </w:r>
    </w:p>
  </w:footnote>
  <w:footnote w:id="652">
    <w:p w:rsidR="00343B61" w:rsidRPr="00C06096" w:rsidRDefault="00343B61" w:rsidP="00343B61">
      <w:pPr>
        <w:pStyle w:val="FootnoteText"/>
        <w:ind w:firstLine="720"/>
        <w:jc w:val="both"/>
        <w:rPr>
          <w:rFonts w:asciiTheme="majorBidi" w:hAnsiTheme="majorBidi" w:cstheme="majorBidi"/>
        </w:rPr>
      </w:pPr>
      <w:r w:rsidRPr="00C06096">
        <w:rPr>
          <w:rStyle w:val="FootnoteReference"/>
          <w:rFonts w:asciiTheme="majorBidi" w:hAnsiTheme="majorBidi" w:cstheme="majorBidi"/>
        </w:rPr>
        <w:footnoteRef/>
      </w:r>
      <w:r w:rsidRPr="00C06096">
        <w:rPr>
          <w:rFonts w:asciiTheme="majorBidi" w:hAnsiTheme="majorBidi" w:cstheme="majorBidi"/>
        </w:rPr>
        <w:t xml:space="preserve"> Lihat. Quraish Shihab, </w:t>
      </w:r>
      <w:r w:rsidRPr="00C06096">
        <w:rPr>
          <w:rFonts w:asciiTheme="majorBidi" w:hAnsiTheme="majorBidi" w:cstheme="majorBidi"/>
          <w:i/>
          <w:iCs/>
        </w:rPr>
        <w:t>Wawasan Al-Quran Tafsir Maudhu'i atas Pelbagai Persoalan Umat</w:t>
      </w:r>
      <w:r w:rsidRPr="00C06096">
        <w:rPr>
          <w:rFonts w:asciiTheme="majorBidi" w:hAnsiTheme="majorBidi" w:cstheme="majorBidi"/>
        </w:rPr>
        <w:t>, ( Bandung, Mizan, 1996 ) h. 488</w:t>
      </w:r>
    </w:p>
  </w:footnote>
  <w:footnote w:id="653">
    <w:p w:rsidR="00343B61" w:rsidRPr="00C06096" w:rsidRDefault="00343B61" w:rsidP="00343B61">
      <w:pPr>
        <w:autoSpaceDE w:val="0"/>
        <w:autoSpaceDN w:val="0"/>
        <w:adjustRightInd w:val="0"/>
        <w:spacing w:after="0" w:line="240" w:lineRule="auto"/>
        <w:ind w:firstLine="720"/>
        <w:jc w:val="both"/>
        <w:rPr>
          <w:rFonts w:ascii="TimesNewRomanPS-ItalicMT" w:hAnsi="TimesNewRomanPS-ItalicMT" w:cs="TimesNewRomanPS-ItalicMT"/>
          <w:i/>
          <w:iCs/>
          <w:sz w:val="20"/>
          <w:szCs w:val="20"/>
        </w:rPr>
      </w:pPr>
      <w:r w:rsidRPr="00C06096">
        <w:rPr>
          <w:rStyle w:val="FootnoteReference"/>
          <w:rFonts w:asciiTheme="majorBidi" w:hAnsiTheme="majorBidi" w:cstheme="majorBidi"/>
        </w:rPr>
        <w:footnoteRef/>
      </w:r>
      <w:r w:rsidRPr="00C06096">
        <w:rPr>
          <w:rFonts w:asciiTheme="majorBidi" w:hAnsiTheme="majorBidi" w:cstheme="majorBidi"/>
        </w:rPr>
        <w:t xml:space="preserve"> Lihat. </w:t>
      </w:r>
      <w:r w:rsidRPr="00C06096">
        <w:rPr>
          <w:rFonts w:asciiTheme="majorBidi" w:hAnsiTheme="majorBidi" w:cstheme="majorBidi"/>
          <w:sz w:val="20"/>
          <w:szCs w:val="20"/>
        </w:rPr>
        <w:t xml:space="preserve">Mohammad Daud Ali, </w:t>
      </w:r>
      <w:r w:rsidRPr="00C06096">
        <w:rPr>
          <w:rFonts w:asciiTheme="majorBidi" w:hAnsiTheme="majorBidi" w:cstheme="majorBidi"/>
          <w:i/>
          <w:iCs/>
          <w:sz w:val="20"/>
          <w:szCs w:val="20"/>
        </w:rPr>
        <w:t>Hukum Islam dan Peradilan Agama</w:t>
      </w:r>
      <w:r w:rsidRPr="00C06096">
        <w:rPr>
          <w:rFonts w:asciiTheme="majorBidi" w:hAnsiTheme="majorBidi" w:cstheme="majorBidi"/>
          <w:sz w:val="20"/>
          <w:szCs w:val="20"/>
        </w:rPr>
        <w:t>, (Jakarta : Rajawali Press, 1997), h. 67</w:t>
      </w:r>
    </w:p>
  </w:footnote>
  <w:footnote w:id="654">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w:t>
      </w:r>
      <w:r w:rsidRPr="00854AF4">
        <w:rPr>
          <w:rFonts w:asciiTheme="majorBidi" w:hAnsiTheme="majorBidi" w:cstheme="majorBidi"/>
          <w:i/>
          <w:iCs/>
        </w:rPr>
        <w:t>Keputusan Ijtima’ Ulama Komisi Fatwa Se-Indonesia Kedua Tahun 2006</w:t>
      </w:r>
      <w:r w:rsidRPr="00854AF4">
        <w:rPr>
          <w:rFonts w:asciiTheme="majorBidi" w:hAnsiTheme="majorBidi" w:cstheme="majorBidi"/>
        </w:rPr>
        <w:t>, ( Jakarta: Sekretrais MUI), h. 766</w:t>
      </w:r>
    </w:p>
  </w:footnote>
  <w:footnote w:id="655">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Ma’ruf Amin dkk,</w:t>
      </w:r>
      <w:r w:rsidRPr="00854AF4">
        <w:rPr>
          <w:rFonts w:asciiTheme="majorBidi" w:hAnsiTheme="majorBidi" w:cstheme="majorBidi"/>
          <w:i/>
          <w:iCs/>
        </w:rPr>
        <w:t>Himpunan Fatwa Majelis Ulama Indonesia Sejak 1975</w:t>
      </w:r>
      <w:r w:rsidRPr="00854AF4">
        <w:rPr>
          <w:rFonts w:asciiTheme="majorBidi" w:hAnsiTheme="majorBidi" w:cstheme="majorBidi"/>
        </w:rPr>
        <w:t>, ( Jakarta: Erlangga, 2011),  h. 850</w:t>
      </w:r>
    </w:p>
  </w:footnote>
  <w:footnote w:id="656">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Mahmud Yunus, </w:t>
      </w:r>
      <w:r w:rsidRPr="00854AF4">
        <w:rPr>
          <w:rFonts w:asciiTheme="majorBidi" w:hAnsiTheme="majorBidi" w:cstheme="majorBidi"/>
          <w:i/>
          <w:iCs/>
        </w:rPr>
        <w:t>Kamus Arab Indonesia</w:t>
      </w:r>
      <w:r w:rsidRPr="00854AF4">
        <w:rPr>
          <w:rFonts w:asciiTheme="majorBidi" w:hAnsiTheme="majorBidi" w:cstheme="majorBidi"/>
        </w:rPr>
        <w:t>, (  Jakarta: Hidakarya Agung, t.th.  1972 ) h. 167</w:t>
      </w:r>
    </w:p>
  </w:footnote>
  <w:footnote w:id="657">
    <w:p w:rsidR="00343B61" w:rsidRPr="00854AF4" w:rsidRDefault="00343B61" w:rsidP="00343B61">
      <w:pPr>
        <w:spacing w:after="0" w:line="240" w:lineRule="auto"/>
        <w:ind w:firstLine="720"/>
        <w:jc w:val="both"/>
        <w:rPr>
          <w:rFonts w:asciiTheme="majorBidi" w:hAnsiTheme="majorBidi" w:cstheme="majorBidi"/>
          <w:sz w:val="20"/>
          <w:szCs w:val="20"/>
        </w:rPr>
      </w:pPr>
      <w:r w:rsidRPr="00854AF4">
        <w:rPr>
          <w:rStyle w:val="FootnoteReference"/>
          <w:rFonts w:asciiTheme="majorBidi" w:hAnsiTheme="majorBidi" w:cstheme="majorBidi"/>
          <w:sz w:val="20"/>
          <w:szCs w:val="20"/>
        </w:rPr>
        <w:footnoteRef/>
      </w:r>
      <w:r w:rsidRPr="00854AF4">
        <w:rPr>
          <w:rFonts w:asciiTheme="majorBidi" w:hAnsiTheme="majorBidi" w:cstheme="majorBidi"/>
          <w:sz w:val="20"/>
          <w:szCs w:val="20"/>
        </w:rPr>
        <w:t xml:space="preserve"> </w:t>
      </w:r>
      <w:r>
        <w:rPr>
          <w:rFonts w:asciiTheme="majorBidi" w:hAnsiTheme="majorBidi" w:cstheme="majorBidi"/>
          <w:sz w:val="20"/>
          <w:szCs w:val="20"/>
        </w:rPr>
        <w:t xml:space="preserve">Lihat. </w:t>
      </w:r>
      <w:r w:rsidRPr="00854AF4">
        <w:rPr>
          <w:rFonts w:asciiTheme="majorBidi" w:hAnsiTheme="majorBidi" w:cstheme="majorBidi"/>
          <w:color w:val="000000" w:themeColor="text1"/>
          <w:sz w:val="20"/>
          <w:szCs w:val="20"/>
        </w:rPr>
        <w:t xml:space="preserve">Sarnubi Shom, </w:t>
      </w:r>
      <w:r w:rsidRPr="00854AF4">
        <w:rPr>
          <w:rFonts w:asciiTheme="majorBidi" w:hAnsiTheme="majorBidi" w:cstheme="majorBidi"/>
          <w:i/>
          <w:iCs/>
          <w:color w:val="000000" w:themeColor="text1"/>
          <w:sz w:val="20"/>
          <w:szCs w:val="20"/>
          <w:lang w:val="fi-FI"/>
        </w:rPr>
        <w:t>Nikah Sirri</w:t>
      </w:r>
      <w:r w:rsidRPr="00854AF4">
        <w:rPr>
          <w:rFonts w:asciiTheme="majorBidi" w:hAnsiTheme="majorBidi" w:cstheme="majorBidi"/>
          <w:color w:val="000000" w:themeColor="text1"/>
          <w:sz w:val="20"/>
          <w:szCs w:val="20"/>
        </w:rPr>
        <w:t xml:space="preserve"> </w:t>
      </w:r>
      <w:r w:rsidRPr="0029474D">
        <w:rPr>
          <w:rFonts w:asciiTheme="majorBidi" w:hAnsiTheme="majorBidi" w:cstheme="majorBidi"/>
          <w:i/>
          <w:iCs/>
          <w:color w:val="000000" w:themeColor="text1"/>
          <w:sz w:val="20"/>
          <w:szCs w:val="20"/>
          <w:lang w:val="fi-FI"/>
        </w:rPr>
        <w:t>Merugikan Pihak Perempuan, Menguntungkan Laki-Laki</w:t>
      </w:r>
      <w:r w:rsidRPr="00854AF4">
        <w:rPr>
          <w:rFonts w:asciiTheme="majorBidi" w:hAnsiTheme="majorBidi" w:cstheme="majorBidi"/>
          <w:color w:val="000000" w:themeColor="text1"/>
          <w:sz w:val="20"/>
          <w:szCs w:val="20"/>
          <w:lang w:val="fi-FI"/>
        </w:rPr>
        <w:t>, (</w:t>
      </w:r>
      <w:hyperlink r:id="rId6" w:history="1">
        <w:r w:rsidRPr="00854AF4">
          <w:rPr>
            <w:rStyle w:val="Hyperlink"/>
            <w:rFonts w:asciiTheme="majorBidi" w:hAnsiTheme="majorBidi" w:cstheme="majorBidi"/>
            <w:color w:val="000000" w:themeColor="text1"/>
            <w:sz w:val="20"/>
            <w:szCs w:val="20"/>
            <w:u w:val="none"/>
            <w:lang w:val="fi-FI"/>
          </w:rPr>
          <w:t>http://syarnubi.wordpress.com</w:t>
        </w:r>
      </w:hyperlink>
      <w:r w:rsidRPr="00854AF4">
        <w:rPr>
          <w:rFonts w:asciiTheme="majorBidi" w:hAnsiTheme="majorBidi" w:cstheme="majorBidi"/>
          <w:color w:val="000000" w:themeColor="text1"/>
          <w:sz w:val="20"/>
          <w:szCs w:val="20"/>
          <w:lang w:val="fi-FI"/>
        </w:rPr>
        <w:t>) diakses pada tanggal 07 Desember 2008</w:t>
      </w:r>
      <w:r w:rsidRPr="00854AF4">
        <w:rPr>
          <w:rFonts w:asciiTheme="majorBidi" w:hAnsiTheme="majorBidi" w:cstheme="majorBidi"/>
          <w:sz w:val="20"/>
          <w:szCs w:val="20"/>
          <w:lang w:val="fi-FI"/>
        </w:rPr>
        <w:t xml:space="preserve"> </w:t>
      </w:r>
    </w:p>
  </w:footnote>
  <w:footnote w:id="658">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Pr>
          <w:rFonts w:asciiTheme="majorBidi" w:hAnsiTheme="majorBidi" w:cstheme="majorBidi"/>
        </w:rPr>
        <w:t xml:space="preserve">Lihat. </w:t>
      </w:r>
      <w:r w:rsidRPr="00854AF4">
        <w:rPr>
          <w:rFonts w:asciiTheme="majorBidi" w:hAnsiTheme="majorBidi" w:cstheme="majorBidi"/>
        </w:rPr>
        <w:t xml:space="preserve">Abul Hasan al-tusuli al-masyhur bi ibni Arfah, </w:t>
      </w:r>
      <w:r w:rsidRPr="00854AF4">
        <w:rPr>
          <w:rFonts w:asciiTheme="majorBidi" w:hAnsiTheme="majorBidi" w:cstheme="majorBidi"/>
          <w:i/>
          <w:iCs/>
        </w:rPr>
        <w:t>Al-Bahjah Fi Syarh al-Tuhfah</w:t>
      </w:r>
      <w:r w:rsidRPr="00854AF4">
        <w:rPr>
          <w:rFonts w:asciiTheme="majorBidi" w:hAnsiTheme="majorBidi" w:cstheme="majorBidi"/>
        </w:rPr>
        <w:t xml:space="preserve">, ( Bairut: Dar Kutub Ilmiyah, 1998), jilid, 1, h 431. </w:t>
      </w:r>
    </w:p>
  </w:footnote>
  <w:footnote w:id="659">
    <w:p w:rsidR="00343B61" w:rsidRPr="0004066E" w:rsidRDefault="00343B61" w:rsidP="00343B61">
      <w:pPr>
        <w:pStyle w:val="FootnoteText"/>
        <w:ind w:firstLine="720"/>
        <w:jc w:val="both"/>
        <w:rPr>
          <w:rFonts w:asciiTheme="majorBidi" w:hAnsiTheme="majorBidi" w:cstheme="majorBidi"/>
        </w:rPr>
      </w:pPr>
      <w:r w:rsidRPr="0004066E">
        <w:rPr>
          <w:rStyle w:val="FootnoteReference"/>
          <w:rFonts w:asciiTheme="majorBidi" w:hAnsiTheme="majorBidi" w:cstheme="majorBidi"/>
        </w:rPr>
        <w:footnoteRef/>
      </w:r>
      <w:r w:rsidRPr="0004066E">
        <w:rPr>
          <w:rFonts w:asciiTheme="majorBidi" w:hAnsiTheme="majorBidi" w:cstheme="majorBidi"/>
        </w:rPr>
        <w:t xml:space="preserve"> </w:t>
      </w:r>
      <w:r>
        <w:rPr>
          <w:rFonts w:asciiTheme="majorBidi" w:hAnsiTheme="majorBidi" w:cstheme="majorBidi"/>
        </w:rPr>
        <w:t xml:space="preserve">Lihat. </w:t>
      </w:r>
      <w:r w:rsidRPr="0004066E">
        <w:rPr>
          <w:rFonts w:asciiTheme="majorBidi" w:hAnsiTheme="majorBidi" w:cstheme="majorBidi"/>
        </w:rPr>
        <w:t xml:space="preserve">Satria Effdendi M Zein, </w:t>
      </w:r>
      <w:r w:rsidRPr="0004066E">
        <w:rPr>
          <w:rFonts w:asciiTheme="majorBidi" w:hAnsiTheme="majorBidi" w:cstheme="majorBidi"/>
          <w:i/>
          <w:iCs/>
        </w:rPr>
        <w:t>Problematika Hukum Keluarga Islam Kontemporer, Analisis Yurisprudensi dengan pendekatan Ushuliyah</w:t>
      </w:r>
      <w:r w:rsidRPr="0004066E">
        <w:rPr>
          <w:rFonts w:asciiTheme="majorBidi" w:hAnsiTheme="majorBidi" w:cstheme="majorBidi"/>
        </w:rPr>
        <w:t>, ( Jakarta: Prenada Media, 2004), h. 33</w:t>
      </w:r>
    </w:p>
  </w:footnote>
  <w:footnote w:id="660">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Depag RI, </w:t>
      </w:r>
      <w:r w:rsidRPr="00854AF4">
        <w:rPr>
          <w:rFonts w:asciiTheme="majorBidi" w:hAnsiTheme="majorBidi" w:cstheme="majorBidi"/>
          <w:i/>
          <w:iCs/>
        </w:rPr>
        <w:t>Al-Qur’an dan Terjamahannya</w:t>
      </w:r>
      <w:r w:rsidRPr="00854AF4">
        <w:rPr>
          <w:rFonts w:asciiTheme="majorBidi" w:hAnsiTheme="majorBidi" w:cstheme="majorBidi"/>
        </w:rPr>
        <w:t>, (Medinah al-Munawwarah: Mujamma’ al-Malik Fahd Li al-Thiba’ah Mush-haf al-Syarif, 1418 H ) h.</w:t>
      </w:r>
      <w:r>
        <w:rPr>
          <w:rFonts w:asciiTheme="majorBidi" w:hAnsiTheme="majorBidi" w:cstheme="majorBidi"/>
        </w:rPr>
        <w:t xml:space="preserve"> 70</w:t>
      </w:r>
    </w:p>
  </w:footnote>
  <w:footnote w:id="661">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Depag RI, </w:t>
      </w:r>
      <w:r w:rsidRPr="00854AF4">
        <w:rPr>
          <w:rFonts w:asciiTheme="majorBidi" w:hAnsiTheme="majorBidi" w:cstheme="majorBidi"/>
          <w:i/>
          <w:iCs/>
        </w:rPr>
        <w:t>Al-Qur’an dan Terjamahannya</w:t>
      </w:r>
      <w:r w:rsidRPr="00854AF4">
        <w:rPr>
          <w:rFonts w:asciiTheme="majorBidi" w:hAnsiTheme="majorBidi" w:cstheme="majorBidi"/>
        </w:rPr>
        <w:t>, (Medinah al-Munawwarah: Mujamma’ al-Malik Fahd Li al-Thiba’ah Mush-haf al-Syarif, 1418 H ) h.</w:t>
      </w:r>
      <w:r>
        <w:rPr>
          <w:rFonts w:asciiTheme="majorBidi" w:hAnsiTheme="majorBidi" w:cstheme="majorBidi"/>
        </w:rPr>
        <w:t xml:space="preserve"> 120</w:t>
      </w:r>
    </w:p>
  </w:footnote>
  <w:footnote w:id="662">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lang w:val="fi-FI"/>
        </w:rPr>
        <w:t xml:space="preserve">Lihat. </w:t>
      </w:r>
      <w:r w:rsidRPr="00854AF4">
        <w:rPr>
          <w:rFonts w:asciiTheme="majorBidi" w:hAnsiTheme="majorBidi" w:cstheme="majorBidi"/>
          <w:lang w:val="fi-FI"/>
        </w:rPr>
        <w:t xml:space="preserve">Muhammad Al-Qazwainy, </w:t>
      </w:r>
      <w:r w:rsidRPr="00854AF4">
        <w:rPr>
          <w:rFonts w:asciiTheme="majorBidi" w:hAnsiTheme="majorBidi" w:cstheme="majorBidi"/>
          <w:i/>
          <w:iCs/>
          <w:lang w:val="fi-FI"/>
        </w:rPr>
        <w:t>Sunan Ibnu M</w:t>
      </w:r>
      <w:r w:rsidRPr="0051521E">
        <w:rPr>
          <w:rFonts w:asciiTheme="majorBidi" w:hAnsiTheme="majorBidi" w:cstheme="majorBidi"/>
          <w:i/>
          <w:iCs/>
          <w:spacing w:val="1"/>
        </w:rPr>
        <w:t>ā</w:t>
      </w:r>
      <w:r w:rsidRPr="00854AF4">
        <w:rPr>
          <w:rFonts w:asciiTheme="majorBidi" w:hAnsiTheme="majorBidi" w:cstheme="majorBidi"/>
          <w:i/>
          <w:iCs/>
          <w:lang w:val="fi-FI"/>
        </w:rPr>
        <w:t>jah</w:t>
      </w:r>
      <w:r w:rsidRPr="00854AF4">
        <w:rPr>
          <w:rFonts w:asciiTheme="majorBidi" w:hAnsiTheme="majorBidi" w:cstheme="majorBidi"/>
          <w:lang w:val="fi-FI"/>
        </w:rPr>
        <w:t xml:space="preserve">, ( Bairut: Dar Al-Fikr, t.th), Jilid. </w:t>
      </w:r>
      <w:r w:rsidRPr="00854AF4">
        <w:rPr>
          <w:rFonts w:asciiTheme="majorBidi" w:hAnsiTheme="majorBidi" w:cstheme="majorBidi"/>
        </w:rPr>
        <w:t>1 h.611</w:t>
      </w:r>
    </w:p>
  </w:footnote>
  <w:footnote w:id="663">
    <w:p w:rsidR="00343B61" w:rsidRDefault="00343B61" w:rsidP="00343B61">
      <w:pPr>
        <w:pStyle w:val="FootnoteText"/>
        <w:ind w:firstLine="720"/>
        <w:jc w:val="both"/>
        <w:rPr>
          <w:rtl/>
        </w:rPr>
      </w:pPr>
      <w:r>
        <w:rPr>
          <w:rStyle w:val="FootnoteReference"/>
        </w:rPr>
        <w:footnoteRef/>
      </w:r>
      <w:r>
        <w:t xml:space="preserve"> </w:t>
      </w:r>
      <w:r>
        <w:rPr>
          <w:rFonts w:asciiTheme="majorBidi" w:hAnsiTheme="majorBidi" w:cstheme="majorBidi"/>
        </w:rPr>
        <w:t xml:space="preserve">Lihat. </w:t>
      </w:r>
      <w:r w:rsidRPr="00854AF4">
        <w:rPr>
          <w:rFonts w:asciiTheme="majorBidi" w:hAnsiTheme="majorBidi" w:cstheme="majorBidi"/>
        </w:rPr>
        <w:t xml:space="preserve">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854AF4">
        <w:rPr>
          <w:rFonts w:asciiTheme="majorBidi" w:hAnsiTheme="majorBidi" w:cstheme="majorBidi"/>
        </w:rPr>
        <w:t>, ( Bairut: Dar Al-Thuq Al-Najah, cet, I, 1422, ) Jilid 3, h. 53</w:t>
      </w:r>
    </w:p>
  </w:footnote>
  <w:footnote w:id="664">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Pr>
          <w:rFonts w:asciiTheme="majorBidi" w:hAnsiTheme="majorBidi" w:cstheme="majorBidi"/>
        </w:rPr>
        <w:t xml:space="preserve">Lihat. </w:t>
      </w:r>
      <w:r w:rsidRPr="00854AF4">
        <w:rPr>
          <w:rFonts w:asciiTheme="majorBidi" w:hAnsiTheme="majorBidi" w:cstheme="majorBidi"/>
        </w:rPr>
        <w:t xml:space="preserve">Muhammad Al-Mudarris, </w:t>
      </w:r>
      <w:r w:rsidRPr="00D546A2">
        <w:rPr>
          <w:rFonts w:asciiTheme="majorBidi" w:hAnsiTheme="majorBidi" w:cstheme="majorBidi"/>
          <w:i/>
          <w:iCs/>
        </w:rPr>
        <w:t>Us</w:t>
      </w:r>
      <w:r>
        <w:rPr>
          <w:rFonts w:asciiTheme="majorBidi" w:hAnsiTheme="majorBidi" w:cstheme="majorBidi"/>
          <w:i/>
          <w:iCs/>
        </w:rPr>
        <w:t>h</w:t>
      </w:r>
      <w:r w:rsidRPr="0056354E">
        <w:rPr>
          <w:rFonts w:asciiTheme="majorBidi" w:hAnsiTheme="majorBidi" w:cstheme="majorBidi"/>
          <w:i/>
          <w:iCs/>
        </w:rPr>
        <w:t>ū</w:t>
      </w:r>
      <w:r w:rsidRPr="00D546A2">
        <w:rPr>
          <w:rFonts w:asciiTheme="majorBidi" w:hAnsiTheme="majorBidi" w:cstheme="majorBidi"/>
          <w:i/>
          <w:iCs/>
        </w:rPr>
        <w:t>l</w:t>
      </w:r>
      <w:r w:rsidRPr="00854AF4">
        <w:rPr>
          <w:rFonts w:asciiTheme="majorBidi" w:hAnsiTheme="majorBidi" w:cstheme="majorBidi"/>
          <w:i/>
          <w:iCs/>
        </w:rPr>
        <w:t xml:space="preserve"> Fiqh Wal Qaw</w:t>
      </w:r>
      <w:r w:rsidRPr="0051521E">
        <w:rPr>
          <w:rFonts w:asciiTheme="majorBidi" w:hAnsiTheme="majorBidi" w:cstheme="majorBidi"/>
          <w:i/>
          <w:iCs/>
          <w:spacing w:val="1"/>
        </w:rPr>
        <w:t>ā</w:t>
      </w:r>
      <w:r w:rsidRPr="00854AF4">
        <w:rPr>
          <w:rFonts w:asciiTheme="majorBidi" w:hAnsiTheme="majorBidi" w:cstheme="majorBidi"/>
          <w:i/>
          <w:iCs/>
        </w:rPr>
        <w:t>id Fiqhiyah</w:t>
      </w:r>
      <w:r w:rsidRPr="00854AF4">
        <w:rPr>
          <w:rFonts w:asciiTheme="majorBidi" w:hAnsiTheme="majorBidi" w:cstheme="majorBidi"/>
        </w:rPr>
        <w:t xml:space="preserve">, ( </w:t>
      </w:r>
      <w:r>
        <w:rPr>
          <w:rFonts w:asciiTheme="majorBidi" w:hAnsiTheme="majorBidi" w:cstheme="majorBidi"/>
        </w:rPr>
        <w:t xml:space="preserve">t.t: </w:t>
      </w:r>
      <w:r w:rsidRPr="00854AF4">
        <w:rPr>
          <w:rFonts w:asciiTheme="majorBidi" w:hAnsiTheme="majorBidi" w:cstheme="majorBidi"/>
        </w:rPr>
        <w:t xml:space="preserve">Maktabah Syamilah, t,th), h. 13 </w:t>
      </w:r>
    </w:p>
  </w:footnote>
  <w:footnote w:id="665">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Pr>
          <w:rFonts w:asciiTheme="majorBidi" w:hAnsiTheme="majorBidi" w:cstheme="majorBidi"/>
        </w:rPr>
        <w:t xml:space="preserve">Lihat. </w:t>
      </w:r>
      <w:r w:rsidRPr="00854AF4">
        <w:rPr>
          <w:rFonts w:asciiTheme="majorBidi" w:hAnsiTheme="majorBidi" w:cstheme="majorBidi"/>
        </w:rPr>
        <w:t>Ibnu Qoyyim Al-Jauzi, ‘</w:t>
      </w:r>
      <w:r w:rsidRPr="00CB0722">
        <w:rPr>
          <w:rFonts w:asciiTheme="majorBidi" w:hAnsiTheme="majorBidi" w:cstheme="majorBidi"/>
          <w:i/>
          <w:iCs/>
        </w:rPr>
        <w:t>Il</w:t>
      </w:r>
      <w:r w:rsidRPr="00AC6C5F">
        <w:rPr>
          <w:rFonts w:asciiTheme="majorBidi" w:hAnsiTheme="majorBidi" w:cstheme="majorBidi"/>
          <w:i/>
          <w:iCs/>
        </w:rPr>
        <w:t>ā</w:t>
      </w:r>
      <w:r w:rsidRPr="00CB0722">
        <w:rPr>
          <w:rFonts w:asciiTheme="majorBidi" w:hAnsiTheme="majorBidi" w:cstheme="majorBidi"/>
          <w:i/>
          <w:iCs/>
        </w:rPr>
        <w:t>m al-Muwaqq</w:t>
      </w:r>
      <w:r w:rsidRPr="00601A46">
        <w:rPr>
          <w:rFonts w:asciiTheme="majorBidi" w:hAnsiTheme="majorBidi" w:cstheme="majorBidi"/>
          <w:i/>
          <w:iCs/>
        </w:rPr>
        <w:t>ī</w:t>
      </w:r>
      <w:r w:rsidRPr="00CB0722">
        <w:rPr>
          <w:rFonts w:asciiTheme="majorBidi" w:hAnsiTheme="majorBidi" w:cstheme="majorBidi"/>
          <w:i/>
          <w:iCs/>
        </w:rPr>
        <w:t>n ‘an Rabb al-‘Alam</w:t>
      </w:r>
      <w:r w:rsidRPr="00601A46">
        <w:rPr>
          <w:rFonts w:asciiTheme="majorBidi" w:hAnsiTheme="majorBidi" w:cstheme="majorBidi"/>
          <w:i/>
          <w:iCs/>
        </w:rPr>
        <w:t>ī</w:t>
      </w:r>
      <w:r w:rsidRPr="00CB0722">
        <w:rPr>
          <w:rFonts w:asciiTheme="majorBidi" w:hAnsiTheme="majorBidi" w:cstheme="majorBidi"/>
          <w:i/>
          <w:iCs/>
        </w:rPr>
        <w:t>n</w:t>
      </w:r>
      <w:r w:rsidRPr="00854AF4">
        <w:rPr>
          <w:rFonts w:asciiTheme="majorBidi" w:hAnsiTheme="majorBidi" w:cstheme="majorBidi"/>
        </w:rPr>
        <w:t>, ( Maktabah Syamilah ) Jilid 3, h. 203</w:t>
      </w:r>
    </w:p>
  </w:footnote>
  <w:footnote w:id="666">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Depag RI, </w:t>
      </w:r>
      <w:r w:rsidRPr="00854AF4">
        <w:rPr>
          <w:rFonts w:asciiTheme="majorBidi" w:hAnsiTheme="majorBidi" w:cstheme="majorBidi"/>
          <w:i/>
          <w:iCs/>
        </w:rPr>
        <w:t>Al-Qur’an dan Terjamahannya</w:t>
      </w:r>
      <w:r w:rsidRPr="00854AF4">
        <w:rPr>
          <w:rFonts w:asciiTheme="majorBidi" w:hAnsiTheme="majorBidi" w:cstheme="majorBidi"/>
        </w:rPr>
        <w:t>, (Medinah al-Munawwarah: Mujamma’ al-Malik Fahd Li al-Thiba’ah Mush-haf al-Syarif, 1418 H ) h.</w:t>
      </w:r>
      <w:r>
        <w:rPr>
          <w:rFonts w:asciiTheme="majorBidi" w:hAnsiTheme="majorBidi" w:cstheme="majorBidi"/>
        </w:rPr>
        <w:t xml:space="preserve"> 128</w:t>
      </w:r>
    </w:p>
  </w:footnote>
  <w:footnote w:id="667">
    <w:p w:rsidR="00343B61" w:rsidRPr="00854AF4" w:rsidRDefault="00343B61" w:rsidP="00343B61">
      <w:pPr>
        <w:pStyle w:val="FootnoteText"/>
        <w:ind w:firstLine="720"/>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sidRPr="00854AF4">
        <w:rPr>
          <w:rFonts w:asciiTheme="majorBidi" w:hAnsiTheme="majorBidi" w:cstheme="majorBidi"/>
          <w:i/>
          <w:iCs/>
        </w:rPr>
        <w:t>UU Nomor 1 Tahun 1974</w:t>
      </w:r>
      <w:r w:rsidRPr="00854AF4">
        <w:rPr>
          <w:rFonts w:asciiTheme="majorBidi" w:hAnsiTheme="majorBidi" w:cstheme="majorBidi"/>
        </w:rPr>
        <w:t xml:space="preserve"> (Pustaka: yayasan Peduli Anak Negeri (YPAN), h. 2</w:t>
      </w:r>
    </w:p>
  </w:footnote>
  <w:footnote w:id="668">
    <w:p w:rsidR="00343B61" w:rsidRPr="004A19F9" w:rsidRDefault="00343B61" w:rsidP="00343B61">
      <w:pPr>
        <w:spacing w:after="0" w:line="240" w:lineRule="auto"/>
        <w:ind w:firstLine="720"/>
        <w:jc w:val="both"/>
        <w:rPr>
          <w:rFonts w:asciiTheme="majorBidi" w:hAnsiTheme="majorBidi" w:cstheme="majorBidi"/>
          <w:sz w:val="20"/>
          <w:szCs w:val="20"/>
          <w:lang w:val="fi-FI"/>
        </w:rPr>
      </w:pPr>
      <w:r w:rsidRPr="00854AF4">
        <w:rPr>
          <w:rStyle w:val="FootnoteReference"/>
          <w:rFonts w:asciiTheme="majorBidi" w:hAnsiTheme="majorBidi" w:cstheme="majorBidi"/>
          <w:sz w:val="20"/>
          <w:szCs w:val="20"/>
        </w:rPr>
        <w:footnoteRef/>
      </w:r>
      <w:r w:rsidRPr="00854AF4">
        <w:rPr>
          <w:rFonts w:asciiTheme="majorBidi" w:hAnsiTheme="majorBidi" w:cstheme="majorBidi"/>
          <w:sz w:val="20"/>
          <w:szCs w:val="20"/>
        </w:rPr>
        <w:t xml:space="preserve"> </w:t>
      </w:r>
      <w:r w:rsidRPr="00854AF4">
        <w:rPr>
          <w:rFonts w:asciiTheme="majorBidi" w:hAnsiTheme="majorBidi" w:cstheme="majorBidi"/>
          <w:sz w:val="20"/>
          <w:szCs w:val="20"/>
          <w:lang w:val="sv-SE"/>
        </w:rPr>
        <w:t xml:space="preserve">Departemen Agama, </w:t>
      </w:r>
      <w:r w:rsidRPr="00854AF4">
        <w:rPr>
          <w:rFonts w:asciiTheme="majorBidi" w:hAnsiTheme="majorBidi" w:cstheme="majorBidi"/>
          <w:i/>
          <w:iCs/>
          <w:sz w:val="20"/>
          <w:szCs w:val="20"/>
          <w:lang w:val="sv-SE"/>
        </w:rPr>
        <w:t>Himpunan Peraturan Perundang-undangan Perkawinan.</w:t>
      </w:r>
      <w:r w:rsidRPr="00854AF4">
        <w:rPr>
          <w:rFonts w:asciiTheme="majorBidi" w:hAnsiTheme="majorBidi" w:cstheme="majorBidi"/>
          <w:sz w:val="20"/>
          <w:szCs w:val="20"/>
          <w:lang w:val="fi-FI"/>
        </w:rPr>
        <w:t xml:space="preserve"> ( Jakarta : Dirjen Bimas Islam dan Penyelenggaraan Haji, 2001), h.30 </w:t>
      </w:r>
    </w:p>
  </w:footnote>
  <w:footnote w:id="669">
    <w:p w:rsidR="00343B61" w:rsidRPr="004A19F9" w:rsidRDefault="00343B61" w:rsidP="00343B61">
      <w:pPr>
        <w:pStyle w:val="FootnoteText"/>
        <w:ind w:firstLine="720"/>
        <w:rPr>
          <w:rFonts w:asciiTheme="majorBidi" w:hAnsiTheme="majorBidi" w:cstheme="majorBidi"/>
          <w:lang w:val="fi-FI"/>
        </w:rPr>
      </w:pPr>
      <w:r w:rsidRPr="00854AF4">
        <w:rPr>
          <w:rStyle w:val="FootnoteReference"/>
          <w:rFonts w:asciiTheme="majorBidi" w:hAnsiTheme="majorBidi" w:cstheme="majorBidi"/>
        </w:rPr>
        <w:footnoteRef/>
      </w:r>
      <w:r w:rsidRPr="004A19F9">
        <w:rPr>
          <w:rFonts w:asciiTheme="majorBidi" w:hAnsiTheme="majorBidi" w:cstheme="majorBidi"/>
          <w:lang w:val="fi-FI"/>
        </w:rPr>
        <w:t xml:space="preserve"> Lihat. Fuad Muzakkar Siregar, </w:t>
      </w:r>
      <w:r w:rsidRPr="004A19F9">
        <w:rPr>
          <w:rFonts w:asciiTheme="majorBidi" w:hAnsiTheme="majorBidi" w:cstheme="majorBidi"/>
          <w:i/>
          <w:iCs/>
          <w:lang w:val="fi-FI"/>
        </w:rPr>
        <w:t>Nikah Sirri Menurut Hukum Agama dan Hukum Positif</w:t>
      </w:r>
      <w:r w:rsidRPr="004A19F9">
        <w:rPr>
          <w:rFonts w:asciiTheme="majorBidi" w:hAnsiTheme="majorBidi" w:cstheme="majorBidi"/>
          <w:lang w:val="fi-FI"/>
        </w:rPr>
        <w:t>, Makalah, tidak diterbitkan. h. 7</w:t>
      </w:r>
    </w:p>
  </w:footnote>
  <w:footnote w:id="670">
    <w:p w:rsidR="00343B61" w:rsidRPr="00854AF4" w:rsidRDefault="00343B61" w:rsidP="00343B61">
      <w:pPr>
        <w:pStyle w:val="FootnoteText"/>
        <w:ind w:firstLine="720"/>
        <w:rPr>
          <w:rFonts w:asciiTheme="majorBidi" w:hAnsiTheme="majorBidi" w:cstheme="majorBidi"/>
          <w:lang w:val="fi-F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sidRPr="00854AF4">
        <w:rPr>
          <w:rFonts w:asciiTheme="majorBidi" w:hAnsiTheme="majorBidi" w:cstheme="majorBidi"/>
          <w:lang w:val="sv-SE"/>
        </w:rPr>
        <w:t xml:space="preserve">Departemen Agama, </w:t>
      </w:r>
      <w:r w:rsidRPr="00854AF4">
        <w:rPr>
          <w:rFonts w:asciiTheme="majorBidi" w:hAnsiTheme="majorBidi" w:cstheme="majorBidi"/>
          <w:i/>
          <w:iCs/>
          <w:lang w:val="sv-SE"/>
        </w:rPr>
        <w:t>Himpunan Peraturan Perundang-undangan Perkawinan.</w:t>
      </w:r>
      <w:r w:rsidRPr="00854AF4">
        <w:rPr>
          <w:rFonts w:asciiTheme="majorBidi" w:hAnsiTheme="majorBidi" w:cstheme="majorBidi"/>
          <w:lang w:val="fi-FI"/>
        </w:rPr>
        <w:t xml:space="preserve"> ( Jakarta : Dirjen Bimas Islam dan Penyelenggaraan Haji, 2001), h.91</w:t>
      </w:r>
    </w:p>
  </w:footnote>
  <w:footnote w:id="671">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Ma’ruf Amin dkk,</w:t>
      </w:r>
      <w:r>
        <w:rPr>
          <w:rFonts w:asciiTheme="majorBidi" w:hAnsiTheme="majorBidi" w:cstheme="majorBidi"/>
        </w:rPr>
        <w:t xml:space="preserve"> </w:t>
      </w:r>
      <w:r w:rsidRPr="00854AF4">
        <w:rPr>
          <w:rFonts w:asciiTheme="majorBidi" w:hAnsiTheme="majorBidi" w:cstheme="majorBidi"/>
          <w:i/>
          <w:iCs/>
        </w:rPr>
        <w:t>Himpunan Fatwa Majelis Ulama Indonesia Sejak 1975</w:t>
      </w:r>
      <w:r w:rsidRPr="00854AF4">
        <w:rPr>
          <w:rFonts w:asciiTheme="majorBidi" w:hAnsiTheme="majorBidi" w:cstheme="majorBidi"/>
        </w:rPr>
        <w:t>, ( Jakarta: Erlangga, 2011),  h. xviii-xix</w:t>
      </w:r>
    </w:p>
  </w:footnote>
  <w:footnote w:id="672">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Fatwa Nikah Di bawah Tangan ini dua kali dikeluar MUI putusan Fatwanya, pertama Tahun 2006, kedua Tahun 2008. Bedanya pada tahun 2006 putusan fatwa poin nomor satu menjadi poin nomor dua pada tahun 2008, dan putusan Poin nomor dua menjadi nomor satu. Kemudian ada penyempurnaan dalil, dimana pada kutiban fatwa tahun 2006 tidak dicantumkan ayat dan hadis secara keseluruhan. Pada fatwa tahun 2008 dicantumkan ayat dan hadis secara sempurna, dan pada tahun 2008 ada dalil dari </w:t>
      </w:r>
      <w:r w:rsidRPr="00854AF4">
        <w:rPr>
          <w:rFonts w:asciiTheme="majorBidi" w:hAnsiTheme="majorBidi" w:cstheme="majorBidi"/>
          <w:i/>
          <w:iCs/>
        </w:rPr>
        <w:t>Kaidah fiqhiyah</w:t>
      </w:r>
      <w:r w:rsidRPr="00854AF4">
        <w:rPr>
          <w:rFonts w:asciiTheme="majorBidi" w:hAnsiTheme="majorBidi" w:cstheme="majorBidi"/>
        </w:rPr>
        <w:t xml:space="preserve"> yang tidak dicantumkan pada fatwa 2006. </w:t>
      </w:r>
    </w:p>
  </w:footnote>
  <w:footnote w:id="673">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Ma’ruf Amin dkk,</w:t>
      </w:r>
      <w:r w:rsidRPr="00854AF4">
        <w:rPr>
          <w:rFonts w:asciiTheme="majorBidi" w:hAnsiTheme="majorBidi" w:cstheme="majorBidi"/>
          <w:i/>
          <w:iCs/>
        </w:rPr>
        <w:t>Himpunan Fatwa Majelis Ulama Indonesia Sejak 1975</w:t>
      </w:r>
      <w:r w:rsidRPr="00854AF4">
        <w:rPr>
          <w:rFonts w:asciiTheme="majorBidi" w:hAnsiTheme="majorBidi" w:cstheme="majorBidi"/>
        </w:rPr>
        <w:t>, ( Jakarta: Erlangga, 2011),  h. 531</w:t>
      </w:r>
    </w:p>
  </w:footnote>
  <w:footnote w:id="674">
    <w:p w:rsidR="00343B61" w:rsidRPr="00854AF4" w:rsidRDefault="00343B61" w:rsidP="00343B61">
      <w:pPr>
        <w:pStyle w:val="NormalWeb"/>
        <w:spacing w:before="0" w:beforeAutospacing="0" w:after="0" w:afterAutospacing="0"/>
        <w:ind w:firstLine="720"/>
        <w:jc w:val="both"/>
        <w:rPr>
          <w:rFonts w:asciiTheme="majorBidi" w:hAnsiTheme="majorBidi" w:cstheme="majorBidi"/>
          <w:color w:val="000000"/>
          <w:sz w:val="20"/>
          <w:szCs w:val="20"/>
        </w:rPr>
      </w:pPr>
      <w:r w:rsidRPr="00854AF4">
        <w:rPr>
          <w:rStyle w:val="FootnoteReference"/>
          <w:rFonts w:asciiTheme="majorBidi" w:hAnsiTheme="majorBidi" w:cstheme="majorBidi"/>
          <w:sz w:val="20"/>
          <w:szCs w:val="20"/>
        </w:rPr>
        <w:footnoteRef/>
      </w:r>
      <w:r w:rsidRPr="00854AF4">
        <w:rPr>
          <w:rFonts w:asciiTheme="majorBidi" w:hAnsiTheme="majorBidi" w:cstheme="majorBidi"/>
          <w:sz w:val="20"/>
          <w:szCs w:val="20"/>
        </w:rPr>
        <w:t xml:space="preserve"> </w:t>
      </w:r>
      <w:r w:rsidRPr="00854AF4">
        <w:rPr>
          <w:rFonts w:asciiTheme="majorBidi" w:hAnsiTheme="majorBidi" w:cstheme="majorBidi"/>
          <w:color w:val="000000"/>
          <w:sz w:val="20"/>
          <w:szCs w:val="20"/>
          <w:lang w:val="en-US" w:eastAsia="en-US"/>
        </w:rPr>
        <w:t>Pasal 2 UU Nomor 1 Tahun 1974 yaitu ;</w:t>
      </w:r>
      <w:r w:rsidRPr="00854AF4">
        <w:rPr>
          <w:rFonts w:asciiTheme="majorBidi" w:hAnsiTheme="majorBidi" w:cstheme="majorBidi"/>
          <w:color w:val="000000"/>
          <w:sz w:val="20"/>
          <w:szCs w:val="20"/>
        </w:rPr>
        <w:t xml:space="preserve">(1) Perkawinan adalah sah apabila dilakukan menurut hukum masing-masing agama dan kepercayaannya itu.(2) Tiap-tiap perkawinan dicatat menurut peraturan perundang-undangan yang berlaku. Bunyi </w:t>
      </w:r>
      <w:r w:rsidRPr="00854AF4">
        <w:rPr>
          <w:rFonts w:asciiTheme="majorBidi" w:hAnsiTheme="majorBidi" w:cstheme="majorBidi"/>
          <w:sz w:val="20"/>
          <w:szCs w:val="20"/>
        </w:rPr>
        <w:t>Pasal 100 KHI adalah: Anak yang lahir di luar perkawinan hanya mempunyai hubungan nasab dengan ibunya dan</w:t>
      </w:r>
      <w:r w:rsidRPr="00854AF4">
        <w:rPr>
          <w:rFonts w:asciiTheme="majorBidi" w:hAnsiTheme="majorBidi" w:cstheme="majorBidi"/>
          <w:color w:val="000000"/>
          <w:sz w:val="20"/>
          <w:szCs w:val="20"/>
        </w:rPr>
        <w:t xml:space="preserve"> </w:t>
      </w:r>
      <w:r w:rsidRPr="00854AF4">
        <w:rPr>
          <w:rFonts w:asciiTheme="majorBidi" w:hAnsiTheme="majorBidi" w:cstheme="majorBidi"/>
          <w:sz w:val="20"/>
          <w:szCs w:val="20"/>
        </w:rPr>
        <w:t>keluarga ibunya.( Lihat UU Nomor 1 Tahun 1974 (Pustaka: yayasan Peduli Anak Negeri (YPAN), h. 2. Lihat Juga. Kompilasi Hukum Islam, h. 14)</w:t>
      </w:r>
    </w:p>
  </w:footnote>
  <w:footnote w:id="675">
    <w:p w:rsidR="00343B61" w:rsidRDefault="00343B61" w:rsidP="00343B61">
      <w:pPr>
        <w:pStyle w:val="FootnoteText"/>
        <w:ind w:firstLine="720"/>
        <w:jc w:val="both"/>
      </w:pPr>
      <w:r>
        <w:rPr>
          <w:rStyle w:val="FootnoteReference"/>
        </w:rPr>
        <w:footnoteRef/>
      </w:r>
      <w:r>
        <w:t xml:space="preserve"> </w:t>
      </w:r>
      <w:r w:rsidRPr="00854AF4">
        <w:rPr>
          <w:rFonts w:asciiTheme="majorBidi" w:hAnsiTheme="majorBidi" w:cstheme="majorBidi"/>
        </w:rPr>
        <w:t xml:space="preserve">Lihat. Depag RI, </w:t>
      </w:r>
      <w:r w:rsidRPr="00854AF4">
        <w:rPr>
          <w:rFonts w:asciiTheme="majorBidi" w:hAnsiTheme="majorBidi" w:cstheme="majorBidi"/>
          <w:i/>
          <w:iCs/>
        </w:rPr>
        <w:t>Al-Qur’an dan Terjamahannya</w:t>
      </w:r>
      <w:r w:rsidRPr="00854AF4">
        <w:rPr>
          <w:rFonts w:asciiTheme="majorBidi" w:hAnsiTheme="majorBidi" w:cstheme="majorBidi"/>
        </w:rPr>
        <w:t>, (Medinah al-Munawwarah: Mujamma’ al-Malik Fahd Li al-Thiba’ah Mush-haf al-Syarif, 1418 H ) h.</w:t>
      </w:r>
      <w:r>
        <w:rPr>
          <w:rFonts w:asciiTheme="majorBidi" w:hAnsiTheme="majorBidi" w:cstheme="majorBidi"/>
        </w:rPr>
        <w:t xml:space="preserve"> 644</w:t>
      </w:r>
    </w:p>
  </w:footnote>
  <w:footnote w:id="676">
    <w:p w:rsidR="00343B61" w:rsidRDefault="00343B61" w:rsidP="00343B61">
      <w:pPr>
        <w:pStyle w:val="FootnoteText"/>
        <w:ind w:firstLine="720"/>
        <w:jc w:val="both"/>
      </w:pPr>
      <w:r>
        <w:rPr>
          <w:rStyle w:val="FootnoteReference"/>
        </w:rPr>
        <w:footnoteRef/>
      </w:r>
      <w:r>
        <w:t xml:space="preserve"> </w:t>
      </w:r>
      <w:r w:rsidRPr="00854AF4">
        <w:rPr>
          <w:rFonts w:asciiTheme="majorBidi" w:hAnsiTheme="majorBidi" w:cstheme="majorBidi"/>
        </w:rPr>
        <w:t xml:space="preserve">Lihat. Depag RI, </w:t>
      </w:r>
      <w:r w:rsidRPr="00854AF4">
        <w:rPr>
          <w:rFonts w:asciiTheme="majorBidi" w:hAnsiTheme="majorBidi" w:cstheme="majorBidi"/>
          <w:i/>
          <w:iCs/>
        </w:rPr>
        <w:t>Al-Qur’an dan Terjamahannya</w:t>
      </w:r>
      <w:r w:rsidRPr="00854AF4">
        <w:rPr>
          <w:rFonts w:asciiTheme="majorBidi" w:hAnsiTheme="majorBidi" w:cstheme="majorBidi"/>
        </w:rPr>
        <w:t>, (Medinah al-Munawwarah: Mujamma’ al-Malik Fahd Li al-Thiba’ah Mush-haf al-Syarif, 1418 H ) h.</w:t>
      </w:r>
      <w:r>
        <w:rPr>
          <w:rFonts w:asciiTheme="majorBidi" w:hAnsiTheme="majorBidi" w:cstheme="majorBidi"/>
        </w:rPr>
        <w:t xml:space="preserve"> 128</w:t>
      </w:r>
    </w:p>
  </w:footnote>
  <w:footnote w:id="677">
    <w:p w:rsidR="00343B61" w:rsidRPr="00854AF4"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854AF4">
        <w:rPr>
          <w:rStyle w:val="FootnoteReference"/>
          <w:rFonts w:asciiTheme="majorBidi" w:hAnsiTheme="majorBidi" w:cstheme="majorBidi"/>
          <w:sz w:val="20"/>
          <w:szCs w:val="20"/>
        </w:rPr>
        <w:footnoteRef/>
      </w:r>
      <w:r w:rsidRPr="00854AF4">
        <w:rPr>
          <w:rFonts w:asciiTheme="majorBidi" w:hAnsiTheme="majorBidi" w:cstheme="majorBidi"/>
          <w:sz w:val="20"/>
          <w:szCs w:val="20"/>
        </w:rPr>
        <w:t xml:space="preserve"> Lihat. </w:t>
      </w:r>
      <w:r w:rsidRPr="00854AF4">
        <w:rPr>
          <w:rFonts w:asciiTheme="majorBidi" w:eastAsiaTheme="minorHAnsi" w:hAnsiTheme="majorBidi" w:cstheme="majorBidi"/>
          <w:color w:val="000000"/>
          <w:sz w:val="20"/>
          <w:szCs w:val="20"/>
        </w:rPr>
        <w:t xml:space="preserve">Abu Bakar Ahmad bin al-Husein al-Baihaqi, </w:t>
      </w:r>
      <w:r w:rsidRPr="00854AF4">
        <w:rPr>
          <w:rFonts w:asciiTheme="majorBidi" w:eastAsiaTheme="minorHAnsi" w:hAnsiTheme="majorBidi" w:cstheme="majorBidi"/>
          <w:i/>
          <w:iCs/>
          <w:color w:val="000000"/>
          <w:sz w:val="20"/>
          <w:szCs w:val="20"/>
        </w:rPr>
        <w:t>Syu’b al-Iman</w:t>
      </w:r>
      <w:r w:rsidRPr="00854AF4">
        <w:rPr>
          <w:rFonts w:asciiTheme="majorBidi" w:eastAsiaTheme="minorHAnsi" w:hAnsiTheme="majorBidi" w:cstheme="majorBidi"/>
          <w:color w:val="000000"/>
          <w:sz w:val="20"/>
          <w:szCs w:val="20"/>
        </w:rPr>
        <w:t>, ( Bairut: Dar al-Kutub al ‘ilmiyah, 1410), Jilid 6, h. 66.</w:t>
      </w:r>
    </w:p>
  </w:footnote>
  <w:footnote w:id="678">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854AF4">
        <w:rPr>
          <w:rFonts w:asciiTheme="majorBidi" w:hAnsiTheme="majorBidi" w:cstheme="majorBidi"/>
        </w:rPr>
        <w:t xml:space="preserve">, ( Bairut: Dar Al-Thuq Al-Najah, cet, I, 1422 ), Jilid. vii. h.7. lihat juga Muslim Ibn Hajjaj </w:t>
      </w:r>
      <w:r w:rsidRPr="00972F6C">
        <w:rPr>
          <w:rFonts w:asciiTheme="majorBidi" w:hAnsiTheme="majorBidi" w:cstheme="majorBidi"/>
        </w:rPr>
        <w:t xml:space="preserve">Al-Qusyairi, </w:t>
      </w:r>
      <w:r w:rsidRPr="00972F6C">
        <w:rPr>
          <w:rFonts w:asciiTheme="majorBidi" w:hAnsiTheme="majorBidi" w:cstheme="majorBidi"/>
          <w:i/>
          <w:iCs/>
        </w:rPr>
        <w:t>Al-Jami’ Al- Shohīh Al-Musammā Bi Shohīh Muslim</w:t>
      </w:r>
      <w:r w:rsidRPr="00854AF4">
        <w:rPr>
          <w:rFonts w:asciiTheme="majorBidi" w:hAnsiTheme="majorBidi" w:cstheme="majorBidi"/>
          <w:i/>
          <w:iCs/>
        </w:rPr>
        <w:t>,</w:t>
      </w:r>
      <w:r w:rsidRPr="00854AF4">
        <w:rPr>
          <w:rFonts w:asciiTheme="majorBidi" w:hAnsiTheme="majorBidi" w:cstheme="majorBidi"/>
        </w:rPr>
        <w:t>( Bairut: Dar Al-Jail, t.th), Jilid. IV, h. 135</w:t>
      </w:r>
    </w:p>
  </w:footnote>
  <w:footnote w:id="679">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854AF4">
        <w:rPr>
          <w:rFonts w:asciiTheme="majorBidi" w:hAnsiTheme="majorBidi" w:cstheme="majorBidi"/>
        </w:rPr>
        <w:t>, ( Bairut: Dar Al-Thuq Al-Najah, cet, I, 1422 ), Jilid. iii. h.53</w:t>
      </w:r>
    </w:p>
  </w:footnote>
  <w:footnote w:id="680">
    <w:p w:rsidR="00343B61" w:rsidRPr="00854AF4" w:rsidRDefault="00343B61" w:rsidP="00343B61">
      <w:pPr>
        <w:autoSpaceDE w:val="0"/>
        <w:autoSpaceDN w:val="0"/>
        <w:adjustRightInd w:val="0"/>
        <w:spacing w:after="0"/>
        <w:ind w:firstLine="720"/>
        <w:jc w:val="both"/>
        <w:rPr>
          <w:rFonts w:asciiTheme="majorBidi" w:hAnsiTheme="majorBidi" w:cstheme="majorBidi"/>
          <w:sz w:val="20"/>
          <w:szCs w:val="20"/>
          <w:rtl/>
        </w:rPr>
      </w:pPr>
      <w:r w:rsidRPr="00854AF4">
        <w:rPr>
          <w:rStyle w:val="FootnoteReference"/>
          <w:rFonts w:asciiTheme="majorBidi" w:hAnsiTheme="majorBidi" w:cstheme="majorBidi"/>
          <w:sz w:val="20"/>
          <w:szCs w:val="20"/>
        </w:rPr>
        <w:footnoteRef/>
      </w:r>
      <w:r w:rsidRPr="00854AF4">
        <w:rPr>
          <w:rFonts w:asciiTheme="majorBidi" w:hAnsiTheme="majorBidi" w:cstheme="majorBidi"/>
          <w:sz w:val="20"/>
          <w:szCs w:val="20"/>
        </w:rPr>
        <w:t xml:space="preserve"> Lihat. Muhammad Ibn Hibban Al-Tamimi, </w:t>
      </w:r>
      <w:r w:rsidRPr="00D12D05">
        <w:rPr>
          <w:rFonts w:asciiTheme="majorBidi" w:hAnsiTheme="majorBidi" w:cstheme="majorBidi"/>
          <w:i/>
          <w:iCs/>
          <w:sz w:val="20"/>
          <w:szCs w:val="20"/>
        </w:rPr>
        <w:t>Shohīh</w:t>
      </w:r>
      <w:r w:rsidRPr="00854AF4">
        <w:rPr>
          <w:rFonts w:asciiTheme="majorBidi" w:hAnsiTheme="majorBidi" w:cstheme="majorBidi"/>
          <w:i/>
          <w:iCs/>
          <w:sz w:val="20"/>
          <w:szCs w:val="20"/>
        </w:rPr>
        <w:t xml:space="preserve"> Ibn Hibb</w:t>
      </w:r>
      <w:r w:rsidRPr="008A5DF9">
        <w:rPr>
          <w:rFonts w:asciiTheme="majorBidi" w:hAnsiTheme="majorBidi" w:cstheme="majorBidi"/>
          <w:i/>
          <w:iCs/>
          <w:sz w:val="20"/>
          <w:szCs w:val="20"/>
        </w:rPr>
        <w:t>ā</w:t>
      </w:r>
      <w:r w:rsidRPr="00854AF4">
        <w:rPr>
          <w:rFonts w:asciiTheme="majorBidi" w:hAnsiTheme="majorBidi" w:cstheme="majorBidi"/>
          <w:i/>
          <w:iCs/>
          <w:sz w:val="20"/>
          <w:szCs w:val="20"/>
        </w:rPr>
        <w:t>n</w:t>
      </w:r>
      <w:r w:rsidRPr="00854AF4">
        <w:rPr>
          <w:rFonts w:asciiTheme="majorBidi" w:hAnsiTheme="majorBidi" w:cstheme="majorBidi"/>
          <w:sz w:val="20"/>
          <w:szCs w:val="20"/>
        </w:rPr>
        <w:t xml:space="preserve">, ( Bairut: Muassasah Al-Risalah, 1993), jilid vii, h. 288. Lihat. Juga </w:t>
      </w:r>
      <w:r w:rsidRPr="00854AF4">
        <w:rPr>
          <w:rFonts w:asciiTheme="majorBidi" w:eastAsiaTheme="minorHAnsi" w:hAnsiTheme="majorBidi" w:cstheme="majorBidi"/>
          <w:color w:val="000000"/>
          <w:sz w:val="20"/>
          <w:szCs w:val="20"/>
        </w:rPr>
        <w:t xml:space="preserve">Abu Bakar Ahmad bin al-Husein </w:t>
      </w:r>
      <w:r w:rsidRPr="00584D8E">
        <w:rPr>
          <w:rFonts w:asciiTheme="majorBidi" w:hAnsiTheme="majorBidi" w:cstheme="majorBidi"/>
          <w:color w:val="000000"/>
          <w:sz w:val="20"/>
          <w:szCs w:val="20"/>
        </w:rPr>
        <w:t>Al-Baihaq</w:t>
      </w:r>
      <w:r w:rsidRPr="00914108">
        <w:rPr>
          <w:rFonts w:asciiTheme="majorBidi" w:hAnsiTheme="majorBidi" w:cstheme="majorBidi"/>
          <w:sz w:val="20"/>
          <w:szCs w:val="20"/>
        </w:rPr>
        <w:t>ī</w:t>
      </w:r>
      <w:r w:rsidRPr="00584D8E">
        <w:rPr>
          <w:rFonts w:asciiTheme="majorBidi" w:hAnsiTheme="majorBidi" w:cstheme="majorBidi"/>
          <w:color w:val="000000"/>
          <w:sz w:val="20"/>
          <w:szCs w:val="20"/>
        </w:rPr>
        <w:t>, Al</w:t>
      </w:r>
      <w:r w:rsidRPr="000E0B02">
        <w:rPr>
          <w:rFonts w:asciiTheme="majorBidi" w:hAnsiTheme="majorBidi" w:cstheme="majorBidi"/>
          <w:i/>
          <w:iCs/>
          <w:color w:val="000000"/>
          <w:sz w:val="20"/>
          <w:szCs w:val="20"/>
        </w:rPr>
        <w:t xml:space="preserve">-Sunan </w:t>
      </w:r>
      <w:r w:rsidRPr="00F54144">
        <w:rPr>
          <w:rFonts w:asciiTheme="majorBidi" w:hAnsiTheme="majorBidi" w:cstheme="majorBidi"/>
          <w:i/>
          <w:iCs/>
          <w:color w:val="000000"/>
          <w:sz w:val="20"/>
          <w:szCs w:val="20"/>
        </w:rPr>
        <w:t>Al-Kubr</w:t>
      </w:r>
      <w:r w:rsidRPr="00455983">
        <w:rPr>
          <w:rFonts w:asciiTheme="majorBidi" w:hAnsiTheme="majorBidi" w:cstheme="majorBidi"/>
          <w:i/>
          <w:iCs/>
          <w:sz w:val="20"/>
          <w:szCs w:val="20"/>
        </w:rPr>
        <w:t>ā</w:t>
      </w:r>
      <w:r w:rsidRPr="00854AF4">
        <w:rPr>
          <w:rFonts w:asciiTheme="majorBidi" w:eastAsiaTheme="minorHAnsi" w:hAnsiTheme="majorBidi" w:cstheme="majorBidi"/>
          <w:i/>
          <w:iCs/>
          <w:color w:val="000000"/>
          <w:sz w:val="20"/>
          <w:szCs w:val="20"/>
        </w:rPr>
        <w:t xml:space="preserve">, </w:t>
      </w:r>
      <w:r w:rsidRPr="00854AF4">
        <w:rPr>
          <w:rFonts w:asciiTheme="majorBidi" w:eastAsiaTheme="minorHAnsi" w:hAnsiTheme="majorBidi" w:cstheme="majorBidi"/>
          <w:color w:val="000000"/>
          <w:sz w:val="20"/>
          <w:szCs w:val="20"/>
        </w:rPr>
        <w:t xml:space="preserve">( India: Majelis Dairah al-Ma’arif, 1344 H), jilid II, h. 146. Lihat juga </w:t>
      </w:r>
      <w:r w:rsidRPr="00854AF4">
        <w:rPr>
          <w:rFonts w:asciiTheme="majorBidi" w:hAnsiTheme="majorBidi" w:cstheme="majorBidi"/>
          <w:sz w:val="20"/>
          <w:szCs w:val="20"/>
        </w:rPr>
        <w:t xml:space="preserve">Ahamd bin Hanbal Abu Abdullah al-Syaibani, </w:t>
      </w:r>
      <w:r w:rsidRPr="00854AF4">
        <w:rPr>
          <w:rFonts w:asciiTheme="majorBidi" w:hAnsiTheme="majorBidi" w:cstheme="majorBidi"/>
          <w:i/>
          <w:iCs/>
          <w:sz w:val="20"/>
          <w:szCs w:val="20"/>
        </w:rPr>
        <w:t>Musnad Ahmad bin Hanbal</w:t>
      </w:r>
      <w:r w:rsidRPr="00854AF4">
        <w:rPr>
          <w:rFonts w:asciiTheme="majorBidi" w:hAnsiTheme="majorBidi" w:cstheme="majorBidi"/>
          <w:sz w:val="20"/>
          <w:szCs w:val="20"/>
        </w:rPr>
        <w:t>, ( Kairo: Muassasah al-Qurthubah, t.th), Jilid IV, h, 6</w:t>
      </w:r>
    </w:p>
  </w:footnote>
  <w:footnote w:id="681">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sidRPr="00854AF4">
        <w:rPr>
          <w:rFonts w:asciiTheme="majorBidi" w:eastAsiaTheme="minorHAnsi" w:hAnsiTheme="majorBidi" w:cstheme="majorBidi"/>
          <w:color w:val="000000"/>
        </w:rPr>
        <w:t xml:space="preserve">Lihat. Zain al-‘Abidin Ibn Ibrahim Ibn Nujaim, </w:t>
      </w:r>
      <w:r w:rsidRPr="004666EA">
        <w:rPr>
          <w:rFonts w:asciiTheme="majorBidi" w:hAnsiTheme="majorBidi" w:cstheme="majorBidi"/>
          <w:i/>
          <w:iCs/>
          <w:color w:val="000000"/>
        </w:rPr>
        <w:t>al-Asyab</w:t>
      </w:r>
      <w:r w:rsidRPr="00D54068">
        <w:rPr>
          <w:rFonts w:asciiTheme="majorBidi" w:hAnsiTheme="majorBidi" w:cstheme="majorBidi"/>
          <w:i/>
          <w:iCs/>
        </w:rPr>
        <w:t>ā</w:t>
      </w:r>
      <w:r w:rsidRPr="004666EA">
        <w:rPr>
          <w:rFonts w:asciiTheme="majorBidi" w:hAnsiTheme="majorBidi" w:cstheme="majorBidi"/>
          <w:i/>
          <w:iCs/>
          <w:color w:val="000000"/>
        </w:rPr>
        <w:t>h wa al-Nazh</w:t>
      </w:r>
      <w:r w:rsidRPr="00D54068">
        <w:rPr>
          <w:rFonts w:asciiTheme="majorBidi" w:hAnsiTheme="majorBidi" w:cstheme="majorBidi"/>
          <w:i/>
          <w:iCs/>
        </w:rPr>
        <w:t>ā</w:t>
      </w:r>
      <w:r w:rsidRPr="004666EA">
        <w:rPr>
          <w:rFonts w:asciiTheme="majorBidi" w:hAnsiTheme="majorBidi" w:cstheme="majorBidi"/>
          <w:i/>
          <w:iCs/>
          <w:color w:val="000000"/>
        </w:rPr>
        <w:t>’ir</w:t>
      </w:r>
      <w:r w:rsidRPr="00854AF4">
        <w:rPr>
          <w:rFonts w:asciiTheme="majorBidi" w:eastAsiaTheme="minorHAnsi" w:hAnsiTheme="majorBidi" w:cstheme="majorBidi"/>
          <w:color w:val="000000"/>
        </w:rPr>
        <w:t>, ( Bairut: Dar al-Kutub al-‘Ilmiyah, 1980 ), h. 113</w:t>
      </w:r>
    </w:p>
  </w:footnote>
  <w:footnote w:id="682">
    <w:p w:rsidR="00343B61" w:rsidRPr="00854AF4" w:rsidRDefault="00343B61" w:rsidP="00343B61">
      <w:pPr>
        <w:pStyle w:val="FootnoteText"/>
        <w:ind w:firstLine="720"/>
        <w:jc w:val="both"/>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w:t>
      </w:r>
      <w:r w:rsidRPr="00854AF4">
        <w:rPr>
          <w:rFonts w:asciiTheme="majorBidi" w:hAnsiTheme="majorBidi" w:cstheme="majorBidi"/>
          <w:i/>
          <w:iCs/>
        </w:rPr>
        <w:t>Nikah dibawah Tangan,</w:t>
      </w:r>
      <w:r w:rsidRPr="00854AF4">
        <w:rPr>
          <w:rFonts w:asciiTheme="majorBidi" w:hAnsiTheme="majorBidi" w:cstheme="majorBidi"/>
        </w:rPr>
        <w:t xml:space="preserve"> </w:t>
      </w:r>
      <w:hyperlink r:id="rId7" w:history="1">
        <w:r w:rsidRPr="00854AF4">
          <w:rPr>
            <w:rStyle w:val="Hyperlink"/>
            <w:rFonts w:asciiTheme="majorBidi" w:hAnsiTheme="majorBidi" w:cstheme="majorBidi"/>
            <w:color w:val="auto"/>
            <w:u w:val="none"/>
          </w:rPr>
          <w:t>http://makalah-harian.blogspot.com/2012/05/diakses</w:t>
        </w:r>
      </w:hyperlink>
      <w:r w:rsidRPr="00854AF4">
        <w:rPr>
          <w:rFonts w:asciiTheme="majorBidi" w:hAnsiTheme="majorBidi" w:cstheme="majorBidi"/>
        </w:rPr>
        <w:t xml:space="preserve"> tanggal 5 mei 2012</w:t>
      </w:r>
    </w:p>
  </w:footnote>
  <w:footnote w:id="683">
    <w:p w:rsidR="00343B61" w:rsidRPr="00431D9D" w:rsidRDefault="00343B61" w:rsidP="00343B61">
      <w:pPr>
        <w:pStyle w:val="FootnoteText"/>
        <w:ind w:firstLine="720"/>
        <w:rPr>
          <w:rFonts w:asciiTheme="majorBidi" w:hAnsiTheme="majorBidi" w:cstheme="majorBidi"/>
        </w:rPr>
      </w:pPr>
      <w:r w:rsidRPr="00854AF4">
        <w:rPr>
          <w:rStyle w:val="FootnoteReference"/>
          <w:rFonts w:asciiTheme="majorBidi" w:hAnsiTheme="majorBidi" w:cstheme="majorBidi"/>
        </w:rPr>
        <w:footnoteRef/>
      </w:r>
      <w:r w:rsidRPr="00854AF4">
        <w:rPr>
          <w:rFonts w:asciiTheme="majorBidi" w:hAnsiTheme="majorBidi" w:cstheme="majorBidi"/>
        </w:rPr>
        <w:t xml:space="preserve">  Lihat bunyi Pasal 42 dan pasal 43 UU Perkawinan, pasal 100 KHI.</w:t>
      </w:r>
    </w:p>
  </w:footnote>
  <w:footnote w:id="684">
    <w:p w:rsidR="00343B61" w:rsidRDefault="00343B61" w:rsidP="00343B61">
      <w:pPr>
        <w:pStyle w:val="FootnoteText"/>
        <w:ind w:firstLine="720"/>
        <w:jc w:val="both"/>
      </w:pPr>
      <w:r>
        <w:rPr>
          <w:rStyle w:val="FootnoteReference"/>
        </w:rPr>
        <w:footnoteRef/>
      </w:r>
      <w:r>
        <w:t xml:space="preserve"> </w:t>
      </w:r>
      <w:r w:rsidRPr="00050448">
        <w:rPr>
          <w:rFonts w:asciiTheme="majorBidi" w:hAnsiTheme="majorBidi" w:cstheme="majorBidi"/>
        </w:rPr>
        <w:t xml:space="preserve">Lihat. Muhammad al-Khathib al-Syarbaini, </w:t>
      </w:r>
      <w:r w:rsidRPr="00050448">
        <w:rPr>
          <w:rFonts w:asciiTheme="majorBidi" w:hAnsiTheme="majorBidi" w:cstheme="majorBidi"/>
          <w:i/>
          <w:iCs/>
        </w:rPr>
        <w:t>Mughni al-Muhtaj ila Ma’rifati Ma’ani Al</w:t>
      </w:r>
      <w:r>
        <w:rPr>
          <w:rFonts w:asciiTheme="majorBidi" w:hAnsiTheme="majorBidi" w:cstheme="majorBidi"/>
          <w:i/>
          <w:iCs/>
        </w:rPr>
        <w:t>f</w:t>
      </w:r>
      <w:r w:rsidRPr="00050448">
        <w:rPr>
          <w:rFonts w:asciiTheme="majorBidi" w:hAnsiTheme="majorBidi" w:cstheme="majorBidi"/>
          <w:i/>
          <w:iCs/>
        </w:rPr>
        <w:t>azh al-Minhaj,</w:t>
      </w:r>
      <w:r w:rsidRPr="00050448">
        <w:rPr>
          <w:rFonts w:asciiTheme="majorBidi" w:hAnsiTheme="majorBidi" w:cstheme="majorBidi"/>
        </w:rPr>
        <w:t xml:space="preserve"> ( Bairut: Dar al-Fikr, t.th), jilid, III, h. 279</w:t>
      </w:r>
    </w:p>
  </w:footnote>
  <w:footnote w:id="685">
    <w:p w:rsidR="00343B61" w:rsidRPr="00D4653F" w:rsidRDefault="00343B61" w:rsidP="00343B61">
      <w:pPr>
        <w:pStyle w:val="FootnoteText"/>
        <w:ind w:firstLine="720"/>
        <w:jc w:val="both"/>
        <w:rPr>
          <w:rFonts w:asciiTheme="majorBidi" w:hAnsiTheme="majorBidi" w:cstheme="majorBidi"/>
        </w:rPr>
      </w:pPr>
      <w:r w:rsidRPr="00D4653F">
        <w:rPr>
          <w:rStyle w:val="FootnoteReference"/>
          <w:rFonts w:asciiTheme="majorBidi" w:hAnsiTheme="majorBidi" w:cstheme="majorBidi"/>
        </w:rPr>
        <w:footnoteRef/>
      </w:r>
      <w:r w:rsidRPr="00D4653F">
        <w:rPr>
          <w:rFonts w:asciiTheme="majorBidi" w:hAnsiTheme="majorBidi" w:cstheme="majorBidi"/>
        </w:rPr>
        <w:t xml:space="preserve"> Lihat. Zain al-Din bin Nujaim al-Hanafi, </w:t>
      </w:r>
      <w:r w:rsidRPr="00D4653F">
        <w:rPr>
          <w:rFonts w:asciiTheme="majorBidi" w:hAnsiTheme="majorBidi" w:cstheme="majorBidi"/>
          <w:i/>
          <w:iCs/>
        </w:rPr>
        <w:t>Al-Bahr al-Raiq Syarh Kanz al-Daqaiq</w:t>
      </w:r>
      <w:r w:rsidRPr="00D4653F">
        <w:rPr>
          <w:rFonts w:asciiTheme="majorBidi" w:hAnsiTheme="majorBidi" w:cstheme="majorBidi"/>
        </w:rPr>
        <w:t xml:space="preserve">, (Bairut: Dar al-Makrifah, t.th), Jilid III, h. 352 </w:t>
      </w:r>
    </w:p>
  </w:footnote>
  <w:footnote w:id="686">
    <w:p w:rsidR="00343B61" w:rsidRPr="0063236C" w:rsidRDefault="00343B61" w:rsidP="00343B61">
      <w:pPr>
        <w:pStyle w:val="FootnoteText"/>
        <w:ind w:firstLine="720"/>
        <w:jc w:val="both"/>
        <w:rPr>
          <w:rFonts w:asciiTheme="majorBidi" w:hAnsiTheme="majorBidi" w:cstheme="majorBidi"/>
          <w:rtl/>
        </w:rPr>
      </w:pPr>
      <w:r w:rsidRPr="0063236C">
        <w:rPr>
          <w:rStyle w:val="FootnoteReference"/>
        </w:rPr>
        <w:footnoteRef/>
      </w:r>
      <w:r w:rsidRPr="0063236C">
        <w:t xml:space="preserve"> </w:t>
      </w:r>
      <w:r w:rsidRPr="0063236C">
        <w:rPr>
          <w:rFonts w:asciiTheme="majorBidi" w:hAnsiTheme="majorBidi" w:cstheme="majorBidi"/>
        </w:rPr>
        <w:t xml:space="preserve">Lihat. Wizarah al-Auqaf Kuwait, </w:t>
      </w:r>
      <w:r w:rsidRPr="0063236C">
        <w:rPr>
          <w:rFonts w:asciiTheme="majorBidi" w:hAnsiTheme="majorBidi" w:cstheme="majorBidi"/>
          <w:i/>
          <w:iCs/>
        </w:rPr>
        <w:t>al-Mausu’ah al-Fiqhiyah al-Kuwatiyah</w:t>
      </w:r>
      <w:r w:rsidRPr="0063236C">
        <w:rPr>
          <w:rFonts w:asciiTheme="majorBidi" w:hAnsiTheme="majorBidi" w:cstheme="majorBidi"/>
        </w:rPr>
        <w:t>, ( Mesir: Dar al shofwah, 1427), jilid 29, h. 190</w:t>
      </w:r>
    </w:p>
  </w:footnote>
  <w:footnote w:id="687">
    <w:p w:rsidR="00343B61" w:rsidRPr="00CA01EF" w:rsidRDefault="00343B61" w:rsidP="00343B61">
      <w:pPr>
        <w:pStyle w:val="ListParagraph"/>
        <w:tabs>
          <w:tab w:val="left" w:pos="1800"/>
        </w:tabs>
        <w:spacing w:after="0" w:line="240" w:lineRule="auto"/>
        <w:ind w:left="0" w:firstLine="720"/>
        <w:jc w:val="both"/>
        <w:rPr>
          <w:rFonts w:asciiTheme="majorBidi" w:hAnsiTheme="majorBidi" w:cstheme="majorBidi"/>
          <w:color w:val="000000"/>
          <w:sz w:val="24"/>
          <w:szCs w:val="24"/>
          <w:rtl/>
        </w:rPr>
      </w:pPr>
      <w:r w:rsidRPr="00A45260">
        <w:rPr>
          <w:rStyle w:val="FootnoteReference"/>
          <w:rFonts w:asciiTheme="majorBidi" w:hAnsiTheme="majorBidi" w:cstheme="majorBidi"/>
        </w:rPr>
        <w:footnoteRef/>
      </w:r>
      <w:r w:rsidRPr="00A45260">
        <w:rPr>
          <w:rFonts w:asciiTheme="majorBidi" w:hAnsiTheme="majorBidi" w:cstheme="majorBidi"/>
        </w:rPr>
        <w:t xml:space="preserve"> </w:t>
      </w:r>
      <w:r w:rsidRPr="00CA01EF">
        <w:rPr>
          <w:rFonts w:asciiTheme="majorBidi" w:hAnsiTheme="majorBidi" w:cstheme="majorBidi"/>
          <w:color w:val="000000"/>
          <w:sz w:val="20"/>
          <w:szCs w:val="20"/>
        </w:rPr>
        <w:t xml:space="preserve">Maksud mengurangi ikatan perkawinan adalah berkurangnya hak talak bagi suami yang mengakibatkan berkurangnya jumlah talak yang menjadi hak suami dari tiga menjadi dua, dari dua menjadi satu, dan dari satu menjadi hilang hak talak itu, yaitu terjadi dalam talak raj’i. </w:t>
      </w:r>
      <w:r w:rsidRPr="00CA01EF">
        <w:rPr>
          <w:rFonts w:asciiTheme="majorBidi" w:hAnsiTheme="majorBidi" w:cstheme="majorBidi"/>
          <w:sz w:val="20"/>
          <w:szCs w:val="20"/>
        </w:rPr>
        <w:t xml:space="preserve">Lihat. Abd Rahman Al-Jaziri, </w:t>
      </w:r>
      <w:r w:rsidRPr="00CA01EF">
        <w:rPr>
          <w:rFonts w:asciiTheme="majorBidi" w:hAnsiTheme="majorBidi" w:cstheme="majorBidi"/>
          <w:i/>
          <w:iCs/>
          <w:sz w:val="20"/>
          <w:szCs w:val="20"/>
        </w:rPr>
        <w:t>Al-Fiqh ‘ala al-Madzhab al-‘Arba’ah</w:t>
      </w:r>
      <w:r w:rsidRPr="00CA01EF">
        <w:rPr>
          <w:rFonts w:asciiTheme="majorBidi" w:hAnsiTheme="majorBidi" w:cstheme="majorBidi"/>
          <w:sz w:val="20"/>
          <w:szCs w:val="20"/>
        </w:rPr>
        <w:t>, ( Bairut: Dar al-fikr, 2002), Jilid. IV, h. 138</w:t>
      </w:r>
    </w:p>
  </w:footnote>
  <w:footnote w:id="688">
    <w:p w:rsidR="00343B61" w:rsidRDefault="00343B61" w:rsidP="00343B61">
      <w:pPr>
        <w:pStyle w:val="FootnoteText"/>
        <w:ind w:firstLine="720"/>
        <w:jc w:val="both"/>
        <w:rPr>
          <w:rtl/>
        </w:rPr>
      </w:pPr>
      <w:r>
        <w:rPr>
          <w:rStyle w:val="FootnoteReference"/>
        </w:rPr>
        <w:footnoteRef/>
      </w:r>
      <w:r>
        <w:t xml:space="preserve"> </w:t>
      </w:r>
      <w:r>
        <w:rPr>
          <w:rFonts w:asciiTheme="majorBidi" w:hAnsiTheme="majorBidi" w:cstheme="majorBidi"/>
        </w:rPr>
        <w:t xml:space="preserve">Lihat. </w:t>
      </w:r>
      <w:r w:rsidRPr="00F25397">
        <w:rPr>
          <w:rFonts w:asciiTheme="majorBidi" w:hAnsiTheme="majorBidi" w:cstheme="majorBidi"/>
        </w:rPr>
        <w:t xml:space="preserve">Wahbah al-Zuhaily, </w:t>
      </w:r>
      <w:r w:rsidRPr="00F25397">
        <w:rPr>
          <w:rFonts w:asciiTheme="majorBidi" w:hAnsiTheme="majorBidi" w:cstheme="majorBidi"/>
          <w:i/>
          <w:iCs/>
        </w:rPr>
        <w:t>Fiqh al-Islami wa Adillatuhu</w:t>
      </w:r>
      <w:r w:rsidRPr="00F25397">
        <w:rPr>
          <w:rFonts w:asciiTheme="majorBidi" w:hAnsiTheme="majorBidi" w:cstheme="majorBidi"/>
        </w:rPr>
        <w:t xml:space="preserve">, ( Damascus: Dar Al-Fikr, </w:t>
      </w:r>
      <w:r>
        <w:rPr>
          <w:rFonts w:asciiTheme="majorBidi" w:hAnsiTheme="majorBidi" w:cstheme="majorBidi"/>
        </w:rPr>
        <w:t>2007</w:t>
      </w:r>
      <w:r w:rsidRPr="00F25397">
        <w:rPr>
          <w:rFonts w:asciiTheme="majorBidi" w:hAnsiTheme="majorBidi" w:cstheme="majorBidi"/>
        </w:rPr>
        <w:t>), Jilid IX, h. 334</w:t>
      </w:r>
    </w:p>
  </w:footnote>
  <w:footnote w:id="689">
    <w:p w:rsidR="00343B61" w:rsidRPr="00AC429D" w:rsidRDefault="00343B61" w:rsidP="00343B61">
      <w:pPr>
        <w:pStyle w:val="FootnoteText"/>
        <w:ind w:firstLine="720"/>
        <w:jc w:val="both"/>
        <w:rPr>
          <w:rFonts w:asciiTheme="majorBidi" w:hAnsiTheme="majorBidi" w:cstheme="majorBidi"/>
        </w:rPr>
      </w:pPr>
      <w:r w:rsidRPr="00AC429D">
        <w:rPr>
          <w:rStyle w:val="FootnoteReference"/>
          <w:rFonts w:asciiTheme="majorBidi" w:hAnsiTheme="majorBidi" w:cstheme="majorBidi"/>
        </w:rPr>
        <w:footnoteRef/>
      </w:r>
      <w:r w:rsidRPr="00AC429D">
        <w:rPr>
          <w:rFonts w:asciiTheme="majorBidi" w:hAnsiTheme="majorBidi" w:cstheme="majorBidi"/>
        </w:rPr>
        <w:t xml:space="preserve"> Lihat. Wahbah al-Zuhaily, </w:t>
      </w:r>
      <w:r w:rsidRPr="00AC429D">
        <w:rPr>
          <w:rFonts w:asciiTheme="majorBidi" w:hAnsiTheme="majorBidi" w:cstheme="majorBidi"/>
          <w:i/>
          <w:iCs/>
        </w:rPr>
        <w:t>Fiqh al-Islami wa Adillatuhu</w:t>
      </w:r>
      <w:r w:rsidRPr="00AC429D">
        <w:rPr>
          <w:rFonts w:asciiTheme="majorBidi" w:hAnsiTheme="majorBidi" w:cstheme="majorBidi"/>
        </w:rPr>
        <w:t>, ( Damascus: Dar Al-Fikr, 2007), Jilid IX, h. 334</w:t>
      </w:r>
    </w:p>
  </w:footnote>
  <w:footnote w:id="690">
    <w:p w:rsidR="00343B61" w:rsidRPr="00AC429D"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AC429D">
        <w:rPr>
          <w:rStyle w:val="FootnoteReference"/>
          <w:rFonts w:asciiTheme="majorBidi" w:hAnsiTheme="majorBidi" w:cstheme="majorBidi"/>
          <w:sz w:val="20"/>
          <w:szCs w:val="20"/>
        </w:rPr>
        <w:footnoteRef/>
      </w:r>
      <w:r w:rsidRPr="00AC429D">
        <w:rPr>
          <w:rFonts w:asciiTheme="majorBidi" w:hAnsiTheme="majorBidi" w:cstheme="majorBidi"/>
          <w:sz w:val="20"/>
          <w:szCs w:val="20"/>
        </w:rPr>
        <w:t xml:space="preserve"> Departemen Agama RI, </w:t>
      </w:r>
      <w:r w:rsidRPr="00AC429D">
        <w:rPr>
          <w:rFonts w:asciiTheme="majorBidi" w:hAnsiTheme="majorBidi" w:cstheme="majorBidi"/>
          <w:i/>
          <w:iCs/>
          <w:sz w:val="20"/>
          <w:szCs w:val="20"/>
        </w:rPr>
        <w:t>Ensiklopedia Islam di Indonesia</w:t>
      </w:r>
      <w:r w:rsidRPr="00AC429D">
        <w:rPr>
          <w:rFonts w:asciiTheme="majorBidi" w:hAnsiTheme="majorBidi" w:cstheme="majorBidi"/>
          <w:sz w:val="20"/>
          <w:szCs w:val="20"/>
        </w:rPr>
        <w:t>, ( Jakarta: Direktorat Jendral Pembinaan Kelembagaan Agama Islam Proyek Peningkatan Prasarana dan Sarana Perguruan Tinggi Agama/ IAIN, 1992/1993), h. 1182.</w:t>
      </w:r>
    </w:p>
  </w:footnote>
  <w:footnote w:id="691">
    <w:p w:rsidR="00343B61" w:rsidRPr="00AC429D" w:rsidRDefault="00343B61" w:rsidP="00343B61">
      <w:pPr>
        <w:pStyle w:val="FootnoteText"/>
        <w:ind w:firstLine="720"/>
        <w:jc w:val="both"/>
        <w:rPr>
          <w:rFonts w:ascii="Arial" w:hAnsi="Arial"/>
          <w:sz w:val="19"/>
          <w:szCs w:val="19"/>
        </w:rPr>
      </w:pPr>
      <w:r w:rsidRPr="00AC429D">
        <w:rPr>
          <w:rStyle w:val="FootnoteReference"/>
          <w:rFonts w:asciiTheme="majorBidi" w:hAnsiTheme="majorBidi" w:cstheme="majorBidi"/>
        </w:rPr>
        <w:footnoteRef/>
      </w:r>
      <w:r w:rsidRPr="00AC429D">
        <w:rPr>
          <w:rFonts w:asciiTheme="majorBidi" w:hAnsiTheme="majorBidi" w:cstheme="majorBidi"/>
        </w:rPr>
        <w:t xml:space="preserve"> Pasal 129 KHI berbunyi: “Seorang suami yang akan menjatuhkan talak kepada isterinya mengajukan permohonan baik lisan maupun tertulis kepada Pengadilan Agama yang mewilayahi tempat tinggal isteri disertai dengan alasan serta meminta agar diadakan sidang untuk keperluan itu.” Pasal 130 KHI berbunyi: Pengadilan Agama dapat mengabulkan atau menolak permohonan tersebut, dan terhadap keputusan tersebut dapat diminta upaya hukum banding dan kasasi. Pasal 131 KHI berbunyi:  1. Pengadilan agama yang bersangkutan mempelajari permohonan dimaksud pasal 129 dan dalam waktu selambat-lambatnya tiga puluh hari memanggil pemohon dan isterinya untuk meminta penjelasan tentang segala sesuatu yang berhubungan dengan maksud menjatuhkan talak. 2. Setelah Pengadilan Agama tidak berhasil menashati kedua belah pihak danternyata cukup alas an untuk menjatuhkan talak serta yang bersangkutan tidak mungkin lagihidup rukun dalamrumah tangga, pengadilan Agama menjatuhkan keputusannya tentang izin bagi suami untuk mengikrarkan talak. 3. Setelah keputusannya mempunyai kekeutan hukum tetap suami mengikrarkan talaknya disepan sidang Pengadilan Agama, dihadiri oleh isteri atau kuasanya. 4. Bila suami tidak mengucapkan ikrar talak dalam tempo 6 (enam) bulah terhitung sejak putusan Pengadilan Agama tentang izin ikrar talak baginya mempunyai kekuatanhukum yang tetap maka hak suami untuk mengikrarkan talak gugur dan ikatan perkawinan yant tetap utuh. 5. Setelah sidang penyaksian ikrar talak Pengadilan Agama membuat penetapan tentang terjadinya Talak rangkap empat yang merupakan bjukti perceraian baki bekas suami dan isteri. Helai pertama beserta surat ikrar talak dikirimkan kepada Pegawai Pencatat Nikah yang mewilayahi tempat tinggal suami untuk diadakan pencatatan, helai kedua dan ketiga masingmasing diberikan kepada suami isteri dan helai keempat disimpan oleh Pengadilan Agama</w:t>
      </w:r>
      <w:r>
        <w:rPr>
          <w:rFonts w:asciiTheme="majorBidi" w:hAnsiTheme="majorBidi" w:cstheme="majorBidi"/>
        </w:rPr>
        <w:t xml:space="preserve">. </w:t>
      </w:r>
    </w:p>
  </w:footnote>
  <w:footnote w:id="692">
    <w:p w:rsidR="00343B61" w:rsidRDefault="00343B61" w:rsidP="00343B61">
      <w:pPr>
        <w:pStyle w:val="FootnoteText"/>
        <w:ind w:firstLine="720"/>
        <w:jc w:val="both"/>
      </w:pPr>
      <w:r>
        <w:rPr>
          <w:rStyle w:val="FootnoteReference"/>
        </w:rPr>
        <w:footnoteRef/>
      </w:r>
      <w:r>
        <w:t xml:space="preserve"> </w:t>
      </w:r>
      <w:r w:rsidRPr="00001E1D">
        <w:rPr>
          <w:rFonts w:asciiTheme="majorBidi" w:hAnsiTheme="majorBidi" w:cstheme="majorBidi"/>
        </w:rPr>
        <w:t xml:space="preserve">Lihat. Abd. Rahman Ghazaly, </w:t>
      </w:r>
      <w:r w:rsidRPr="00001E1D">
        <w:rPr>
          <w:rFonts w:asciiTheme="majorBidi" w:hAnsiTheme="majorBidi" w:cstheme="majorBidi"/>
          <w:i/>
          <w:iCs/>
        </w:rPr>
        <w:t>Fiqih Munakahat</w:t>
      </w:r>
      <w:r w:rsidRPr="00001E1D">
        <w:rPr>
          <w:rFonts w:asciiTheme="majorBidi" w:hAnsiTheme="majorBidi" w:cstheme="majorBidi"/>
        </w:rPr>
        <w:t>, ( Jakarta: Kencana, 2006), h. 192.</w:t>
      </w:r>
    </w:p>
  </w:footnote>
  <w:footnote w:id="693">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55</w:t>
      </w:r>
    </w:p>
  </w:footnote>
  <w:footnote w:id="694">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945</w:t>
      </w:r>
    </w:p>
  </w:footnote>
  <w:footnote w:id="695">
    <w:p w:rsidR="00343B61" w:rsidRPr="0026097F" w:rsidRDefault="00343B61" w:rsidP="00343B61">
      <w:pPr>
        <w:pStyle w:val="FootnoteText"/>
        <w:ind w:firstLine="720"/>
        <w:jc w:val="both"/>
        <w:rPr>
          <w:rFonts w:asciiTheme="majorBidi" w:hAnsiTheme="majorBidi" w:cstheme="majorBidi"/>
        </w:rPr>
      </w:pPr>
      <w:r w:rsidRPr="0026097F">
        <w:rPr>
          <w:rStyle w:val="FootnoteReference"/>
          <w:rFonts w:asciiTheme="majorBidi" w:hAnsiTheme="majorBidi" w:cstheme="majorBidi"/>
        </w:rPr>
        <w:footnoteRef/>
      </w:r>
      <w:r w:rsidRPr="0026097F">
        <w:rPr>
          <w:rFonts w:asciiTheme="majorBidi" w:hAnsiTheme="majorBidi" w:cstheme="majorBidi"/>
        </w:rPr>
        <w:t xml:space="preserve"> Lihat. </w:t>
      </w:r>
      <w:r w:rsidRPr="0026097F">
        <w:rPr>
          <w:rFonts w:asciiTheme="majorBidi" w:eastAsiaTheme="minorHAnsi" w:hAnsiTheme="majorBidi" w:cstheme="majorBidi"/>
          <w:color w:val="000000"/>
        </w:rPr>
        <w:t xml:space="preserve">Abu Bakar Ahmad bin al-Husein </w:t>
      </w:r>
      <w:r w:rsidRPr="00F54144">
        <w:rPr>
          <w:rFonts w:asciiTheme="majorBidi" w:hAnsiTheme="majorBidi" w:cstheme="majorBidi"/>
          <w:color w:val="000000"/>
        </w:rPr>
        <w:t xml:space="preserve">Al-Baihaqi, </w:t>
      </w:r>
      <w:r w:rsidRPr="00F54144">
        <w:rPr>
          <w:rFonts w:asciiTheme="majorBidi" w:hAnsiTheme="majorBidi" w:cstheme="majorBidi"/>
          <w:i/>
          <w:iCs/>
          <w:color w:val="000000"/>
        </w:rPr>
        <w:t>Al-Sunan Al-Kubr</w:t>
      </w:r>
      <w:r w:rsidRPr="00455983">
        <w:rPr>
          <w:rFonts w:asciiTheme="majorBidi" w:hAnsiTheme="majorBidi" w:cstheme="majorBidi"/>
          <w:i/>
          <w:iCs/>
        </w:rPr>
        <w:t>ā</w:t>
      </w:r>
      <w:r w:rsidRPr="00F54144">
        <w:rPr>
          <w:rFonts w:asciiTheme="majorBidi" w:hAnsiTheme="majorBidi" w:cstheme="majorBidi"/>
          <w:color w:val="000000"/>
        </w:rPr>
        <w:t>,</w:t>
      </w:r>
      <w:r w:rsidRPr="0026097F">
        <w:rPr>
          <w:rFonts w:asciiTheme="majorBidi" w:eastAsiaTheme="minorHAnsi" w:hAnsiTheme="majorBidi" w:cstheme="majorBidi"/>
          <w:color w:val="000000"/>
        </w:rPr>
        <w:t xml:space="preserve">( India: Majelis Dairah al-Ma’arif, 1344 H), jilid VII, h. 322 Lihat juga. Sulaiman Ibn al-Asy’ats al-Sijistani, </w:t>
      </w:r>
      <w:r w:rsidRPr="0026097F">
        <w:rPr>
          <w:rFonts w:asciiTheme="majorBidi" w:eastAsiaTheme="minorHAnsi" w:hAnsiTheme="majorBidi" w:cstheme="majorBidi"/>
          <w:i/>
          <w:iCs/>
          <w:color w:val="000000"/>
        </w:rPr>
        <w:t>Sunan Abu Daud</w:t>
      </w:r>
      <w:r w:rsidRPr="0026097F">
        <w:rPr>
          <w:rFonts w:asciiTheme="majorBidi" w:eastAsiaTheme="minorHAnsi" w:hAnsiTheme="majorBidi" w:cstheme="majorBidi"/>
          <w:color w:val="000000"/>
        </w:rPr>
        <w:t>, ( Bairut: Dak al-Kitab al-Arabi, t.t.h), Jilid II, h. 220</w:t>
      </w:r>
    </w:p>
  </w:footnote>
  <w:footnote w:id="696">
    <w:p w:rsidR="00343B61" w:rsidRPr="0026097F" w:rsidRDefault="00343B61" w:rsidP="00343B61">
      <w:pPr>
        <w:pStyle w:val="FootnoteText"/>
        <w:ind w:firstLine="720"/>
        <w:jc w:val="both"/>
        <w:rPr>
          <w:rFonts w:asciiTheme="majorBidi" w:hAnsiTheme="majorBidi" w:cstheme="majorBidi"/>
        </w:rPr>
      </w:pPr>
      <w:r w:rsidRPr="0026097F">
        <w:rPr>
          <w:rStyle w:val="FootnoteReference"/>
          <w:rFonts w:asciiTheme="majorBidi" w:hAnsiTheme="majorBidi" w:cstheme="majorBidi"/>
        </w:rPr>
        <w:footnoteRef/>
      </w:r>
      <w:r w:rsidRPr="0026097F">
        <w:rPr>
          <w:rFonts w:asciiTheme="majorBidi" w:hAnsiTheme="majorBidi" w:cstheme="majorBidi"/>
        </w:rPr>
        <w:t xml:space="preserve"> Lihat. Majdu al-Din Abu al-Sa’adat al-Mubar</w:t>
      </w:r>
      <w:r>
        <w:rPr>
          <w:rFonts w:asciiTheme="majorBidi" w:hAnsiTheme="majorBidi" w:cstheme="majorBidi"/>
        </w:rPr>
        <w:t>a</w:t>
      </w:r>
      <w:r w:rsidRPr="0026097F">
        <w:rPr>
          <w:rFonts w:asciiTheme="majorBidi" w:hAnsiTheme="majorBidi" w:cstheme="majorBidi"/>
        </w:rPr>
        <w:t xml:space="preserve">k bin Muhammad al-Jazari ibn al-Atsir, </w:t>
      </w:r>
      <w:r w:rsidRPr="0026097F">
        <w:rPr>
          <w:rFonts w:asciiTheme="majorBidi" w:hAnsiTheme="majorBidi" w:cstheme="majorBidi"/>
          <w:i/>
          <w:iCs/>
        </w:rPr>
        <w:t>Jami’ al-Ushul fi Ahadits al-Rasul</w:t>
      </w:r>
      <w:r w:rsidRPr="0026097F">
        <w:rPr>
          <w:rFonts w:asciiTheme="majorBidi" w:hAnsiTheme="majorBidi" w:cstheme="majorBidi"/>
        </w:rPr>
        <w:t>, ( Damascus: Dar al-Fikr, 1982), Jilid XII, h. 98</w:t>
      </w:r>
    </w:p>
  </w:footnote>
  <w:footnote w:id="697">
    <w:p w:rsidR="00343B61" w:rsidRPr="00AC429D"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26097F">
        <w:rPr>
          <w:rStyle w:val="FootnoteReference"/>
          <w:rFonts w:asciiTheme="majorBidi" w:hAnsiTheme="majorBidi" w:cstheme="majorBidi"/>
          <w:sz w:val="20"/>
          <w:szCs w:val="20"/>
        </w:rPr>
        <w:footnoteRef/>
      </w:r>
      <w:r w:rsidRPr="0026097F">
        <w:rPr>
          <w:rFonts w:asciiTheme="majorBidi" w:hAnsiTheme="majorBidi" w:cstheme="majorBidi"/>
          <w:sz w:val="20"/>
          <w:szCs w:val="20"/>
        </w:rPr>
        <w:t xml:space="preserve"> Lihat. Ahamd bin Muhammad Al-Zarq</w:t>
      </w:r>
      <w:r w:rsidRPr="000B1266">
        <w:rPr>
          <w:rFonts w:asciiTheme="majorBidi" w:hAnsiTheme="majorBidi" w:cstheme="majorBidi"/>
          <w:spacing w:val="1"/>
          <w:sz w:val="20"/>
          <w:szCs w:val="20"/>
        </w:rPr>
        <w:t>ā</w:t>
      </w:r>
      <w:r w:rsidRPr="0026097F">
        <w:rPr>
          <w:rFonts w:asciiTheme="majorBidi" w:hAnsiTheme="majorBidi" w:cstheme="majorBidi"/>
          <w:sz w:val="20"/>
          <w:szCs w:val="20"/>
        </w:rPr>
        <w:t xml:space="preserve">, </w:t>
      </w:r>
      <w:r w:rsidRPr="0026097F">
        <w:rPr>
          <w:rFonts w:asciiTheme="majorBidi" w:hAnsiTheme="majorBidi" w:cstheme="majorBidi"/>
          <w:i/>
          <w:iCs/>
          <w:sz w:val="20"/>
          <w:szCs w:val="20"/>
        </w:rPr>
        <w:t>Syarah al-Qaw</w:t>
      </w:r>
      <w:r w:rsidRPr="0051521E">
        <w:rPr>
          <w:rFonts w:asciiTheme="majorBidi" w:hAnsiTheme="majorBidi" w:cstheme="majorBidi"/>
          <w:i/>
          <w:iCs/>
          <w:spacing w:val="1"/>
          <w:sz w:val="20"/>
          <w:szCs w:val="20"/>
        </w:rPr>
        <w:t>ā</w:t>
      </w:r>
      <w:r w:rsidRPr="0026097F">
        <w:rPr>
          <w:rFonts w:asciiTheme="majorBidi" w:hAnsiTheme="majorBidi" w:cstheme="majorBidi"/>
          <w:i/>
          <w:iCs/>
          <w:sz w:val="20"/>
          <w:szCs w:val="20"/>
        </w:rPr>
        <w:t>id al-Fiqhiyah</w:t>
      </w:r>
      <w:r w:rsidRPr="0026097F">
        <w:rPr>
          <w:rFonts w:asciiTheme="majorBidi" w:hAnsiTheme="majorBidi" w:cstheme="majorBidi"/>
          <w:sz w:val="20"/>
          <w:szCs w:val="20"/>
        </w:rPr>
        <w:t>, ( Damascus Dar al-Qalam, 1989), jilid I , h. 203</w:t>
      </w:r>
    </w:p>
  </w:footnote>
  <w:footnote w:id="698">
    <w:p w:rsidR="00343B61" w:rsidRPr="0096041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960417">
        <w:rPr>
          <w:rStyle w:val="FootnoteReference"/>
          <w:rFonts w:asciiTheme="majorBidi" w:hAnsiTheme="majorBidi" w:cstheme="majorBidi"/>
        </w:rPr>
        <w:footnoteRef/>
      </w:r>
      <w:r w:rsidRPr="00960417">
        <w:rPr>
          <w:rFonts w:asciiTheme="majorBidi" w:hAnsiTheme="majorBidi" w:cstheme="majorBidi"/>
        </w:rPr>
        <w:t xml:space="preserve"> </w:t>
      </w:r>
      <w:r w:rsidRPr="00960417">
        <w:rPr>
          <w:rFonts w:asciiTheme="majorBidi" w:hAnsiTheme="majorBidi" w:cstheme="majorBidi"/>
          <w:sz w:val="20"/>
          <w:szCs w:val="20"/>
        </w:rPr>
        <w:t xml:space="preserve">Lihat. Wahbah al-Zuhaily, </w:t>
      </w:r>
      <w:r w:rsidRPr="00960417">
        <w:rPr>
          <w:rFonts w:asciiTheme="majorBidi" w:hAnsiTheme="majorBidi" w:cstheme="majorBidi"/>
          <w:i/>
          <w:iCs/>
          <w:sz w:val="20"/>
          <w:szCs w:val="20"/>
        </w:rPr>
        <w:t>Al-Zaw</w:t>
      </w:r>
      <w:r w:rsidRPr="0051521E">
        <w:rPr>
          <w:rFonts w:asciiTheme="majorBidi" w:hAnsiTheme="majorBidi" w:cstheme="majorBidi"/>
          <w:i/>
          <w:iCs/>
          <w:spacing w:val="1"/>
          <w:sz w:val="20"/>
          <w:szCs w:val="20"/>
        </w:rPr>
        <w:t>ā</w:t>
      </w:r>
      <w:r w:rsidRPr="00960417">
        <w:rPr>
          <w:rFonts w:asciiTheme="majorBidi" w:hAnsiTheme="majorBidi" w:cstheme="majorBidi"/>
          <w:i/>
          <w:iCs/>
          <w:sz w:val="20"/>
          <w:szCs w:val="20"/>
        </w:rPr>
        <w:t>j Wa al-Thal</w:t>
      </w:r>
      <w:r w:rsidRPr="0051521E">
        <w:rPr>
          <w:rFonts w:asciiTheme="majorBidi" w:hAnsiTheme="majorBidi" w:cstheme="majorBidi"/>
          <w:i/>
          <w:iCs/>
          <w:spacing w:val="1"/>
          <w:sz w:val="20"/>
          <w:szCs w:val="20"/>
        </w:rPr>
        <w:t>ā</w:t>
      </w:r>
      <w:r w:rsidRPr="00960417">
        <w:rPr>
          <w:rFonts w:asciiTheme="majorBidi" w:hAnsiTheme="majorBidi" w:cstheme="majorBidi"/>
          <w:i/>
          <w:iCs/>
          <w:sz w:val="20"/>
          <w:szCs w:val="20"/>
        </w:rPr>
        <w:t>q</w:t>
      </w:r>
      <w:r w:rsidRPr="00960417">
        <w:rPr>
          <w:rFonts w:asciiTheme="majorBidi" w:hAnsiTheme="majorBidi" w:cstheme="majorBidi"/>
          <w:sz w:val="20"/>
          <w:szCs w:val="20"/>
        </w:rPr>
        <w:t>, (Tripoli: Kulliyah al-Dakwah al-Islamiyah, 1998), h. 139</w:t>
      </w:r>
      <w:r w:rsidRPr="00960417">
        <w:rPr>
          <w:rFonts w:asciiTheme="majorBidi" w:hAnsiTheme="majorBidi" w:cstheme="majorBidi"/>
        </w:rPr>
        <w:t xml:space="preserve">. </w:t>
      </w:r>
      <w:r w:rsidRPr="00960417">
        <w:rPr>
          <w:rFonts w:asciiTheme="majorBidi" w:hAnsiTheme="majorBidi" w:cstheme="majorBidi"/>
          <w:sz w:val="20"/>
          <w:szCs w:val="20"/>
        </w:rPr>
        <w:t>Lihat</w:t>
      </w:r>
      <w:r w:rsidRPr="00960417">
        <w:rPr>
          <w:rFonts w:asciiTheme="majorBidi" w:hAnsiTheme="majorBidi" w:cstheme="majorBidi"/>
        </w:rPr>
        <w:t xml:space="preserve"> juga. </w:t>
      </w:r>
      <w:r w:rsidRPr="00960417">
        <w:rPr>
          <w:rFonts w:asciiTheme="majorBidi" w:hAnsiTheme="majorBidi" w:cstheme="majorBidi"/>
          <w:sz w:val="20"/>
          <w:szCs w:val="20"/>
        </w:rPr>
        <w:t xml:space="preserve">Muhammad Syaifuddin, dkk, </w:t>
      </w:r>
      <w:r w:rsidRPr="00960417">
        <w:rPr>
          <w:rFonts w:asciiTheme="majorBidi" w:hAnsiTheme="majorBidi" w:cstheme="majorBidi"/>
          <w:i/>
          <w:iCs/>
          <w:sz w:val="20"/>
          <w:szCs w:val="20"/>
        </w:rPr>
        <w:t>Hukum Perceraian</w:t>
      </w:r>
      <w:r>
        <w:rPr>
          <w:rFonts w:asciiTheme="majorBidi" w:hAnsiTheme="majorBidi" w:cstheme="majorBidi"/>
          <w:sz w:val="20"/>
          <w:szCs w:val="20"/>
        </w:rPr>
        <w:t xml:space="preserve">, </w:t>
      </w:r>
      <w:r w:rsidRPr="00960417">
        <w:rPr>
          <w:rFonts w:asciiTheme="majorBidi" w:hAnsiTheme="majorBidi" w:cstheme="majorBidi"/>
          <w:sz w:val="20"/>
          <w:szCs w:val="20"/>
        </w:rPr>
        <w:t xml:space="preserve">( Jakarta: Sinar Grafika, 2013), </w:t>
      </w:r>
      <w:r w:rsidRPr="00960417">
        <w:rPr>
          <w:rFonts w:asciiTheme="majorBidi" w:hAnsiTheme="majorBidi" w:cstheme="majorBidi"/>
        </w:rPr>
        <w:t>h. 118.</w:t>
      </w:r>
    </w:p>
  </w:footnote>
  <w:footnote w:id="699">
    <w:p w:rsidR="00343B61" w:rsidRPr="00681F0D" w:rsidRDefault="00343B61" w:rsidP="00343B61">
      <w:pPr>
        <w:pStyle w:val="ListParagraph"/>
        <w:spacing w:after="0" w:line="240" w:lineRule="auto"/>
        <w:ind w:left="0" w:firstLine="720"/>
        <w:jc w:val="both"/>
        <w:rPr>
          <w:rFonts w:asciiTheme="majorBidi" w:hAnsiTheme="majorBidi" w:cstheme="majorBidi"/>
          <w:sz w:val="20"/>
          <w:szCs w:val="20"/>
        </w:rPr>
      </w:pPr>
      <w:r w:rsidRPr="00681F0D">
        <w:rPr>
          <w:rStyle w:val="FootnoteReference"/>
          <w:rFonts w:asciiTheme="majorBidi" w:hAnsiTheme="majorBidi" w:cstheme="majorBidi"/>
          <w:sz w:val="20"/>
          <w:szCs w:val="20"/>
        </w:rPr>
        <w:footnoteRef/>
      </w:r>
      <w:r w:rsidRPr="00681F0D">
        <w:rPr>
          <w:rFonts w:asciiTheme="majorBidi" w:hAnsiTheme="majorBidi" w:cstheme="majorBidi"/>
          <w:sz w:val="20"/>
          <w:szCs w:val="20"/>
        </w:rPr>
        <w:t xml:space="preserve"> Lihat. Sā’iḥ ‘Ali Husein, </w:t>
      </w:r>
      <w:r w:rsidRPr="00681F0D">
        <w:rPr>
          <w:rFonts w:asciiTheme="majorBidi" w:hAnsiTheme="majorBidi" w:cstheme="majorBidi"/>
          <w:i/>
          <w:iCs/>
          <w:sz w:val="20"/>
          <w:szCs w:val="20"/>
        </w:rPr>
        <w:t>Munjid al-Du’</w:t>
      </w:r>
      <w:r w:rsidRPr="0051521E">
        <w:rPr>
          <w:rFonts w:asciiTheme="majorBidi" w:hAnsiTheme="majorBidi" w:cstheme="majorBidi"/>
          <w:i/>
          <w:iCs/>
          <w:spacing w:val="1"/>
          <w:sz w:val="20"/>
          <w:szCs w:val="20"/>
        </w:rPr>
        <w:t>ā</w:t>
      </w:r>
      <w:r w:rsidRPr="00681F0D">
        <w:rPr>
          <w:rFonts w:asciiTheme="majorBidi" w:hAnsiTheme="majorBidi" w:cstheme="majorBidi"/>
          <w:i/>
          <w:iCs/>
          <w:sz w:val="20"/>
          <w:szCs w:val="20"/>
        </w:rPr>
        <w:t>t fi al-Fiqh al-Isl</w:t>
      </w:r>
      <w:r w:rsidRPr="0051521E">
        <w:rPr>
          <w:rFonts w:asciiTheme="majorBidi" w:hAnsiTheme="majorBidi" w:cstheme="majorBidi"/>
          <w:i/>
          <w:iCs/>
          <w:spacing w:val="1"/>
          <w:sz w:val="20"/>
          <w:szCs w:val="20"/>
        </w:rPr>
        <w:t>ā</w:t>
      </w:r>
      <w:r w:rsidRPr="00681F0D">
        <w:rPr>
          <w:rFonts w:asciiTheme="majorBidi" w:hAnsiTheme="majorBidi" w:cstheme="majorBidi"/>
          <w:i/>
          <w:iCs/>
          <w:sz w:val="20"/>
          <w:szCs w:val="20"/>
        </w:rPr>
        <w:t>mi al-Muq</w:t>
      </w:r>
      <w:r w:rsidRPr="0051521E">
        <w:rPr>
          <w:rFonts w:asciiTheme="majorBidi" w:hAnsiTheme="majorBidi" w:cstheme="majorBidi"/>
          <w:i/>
          <w:iCs/>
          <w:spacing w:val="1"/>
          <w:sz w:val="20"/>
          <w:szCs w:val="20"/>
        </w:rPr>
        <w:t>ā</w:t>
      </w:r>
      <w:r w:rsidRPr="00681F0D">
        <w:rPr>
          <w:rFonts w:asciiTheme="majorBidi" w:hAnsiTheme="majorBidi" w:cstheme="majorBidi"/>
          <w:i/>
          <w:iCs/>
          <w:sz w:val="20"/>
          <w:szCs w:val="20"/>
        </w:rPr>
        <w:t>ron Qismu al-Ahw</w:t>
      </w:r>
      <w:r w:rsidRPr="0051521E">
        <w:rPr>
          <w:rFonts w:asciiTheme="majorBidi" w:hAnsiTheme="majorBidi" w:cstheme="majorBidi"/>
          <w:i/>
          <w:iCs/>
          <w:spacing w:val="1"/>
          <w:sz w:val="20"/>
          <w:szCs w:val="20"/>
        </w:rPr>
        <w:t>ā</w:t>
      </w:r>
      <w:r w:rsidRPr="00681F0D">
        <w:rPr>
          <w:rFonts w:asciiTheme="majorBidi" w:hAnsiTheme="majorBidi" w:cstheme="majorBidi"/>
          <w:i/>
          <w:iCs/>
          <w:sz w:val="20"/>
          <w:szCs w:val="20"/>
        </w:rPr>
        <w:t>l al-Syakhshiah</w:t>
      </w:r>
      <w:r w:rsidRPr="00681F0D">
        <w:rPr>
          <w:rFonts w:asciiTheme="majorBidi" w:hAnsiTheme="majorBidi" w:cstheme="majorBidi"/>
          <w:sz w:val="20"/>
          <w:szCs w:val="20"/>
        </w:rPr>
        <w:t>, ( Tripoli: Kulliah al-Dakwah al-Islamiyah, 1429 H), h. 276</w:t>
      </w:r>
    </w:p>
  </w:footnote>
  <w:footnote w:id="700">
    <w:p w:rsidR="00343B61" w:rsidRDefault="00343B61" w:rsidP="00343B61">
      <w:pPr>
        <w:pStyle w:val="FootnoteText"/>
        <w:ind w:firstLine="720"/>
        <w:jc w:val="both"/>
      </w:pPr>
      <w:r>
        <w:rPr>
          <w:rStyle w:val="FootnoteReference"/>
        </w:rPr>
        <w:footnoteRef/>
      </w:r>
      <w:r>
        <w:t xml:space="preserve"> </w:t>
      </w:r>
      <w:r w:rsidRPr="00291D89">
        <w:rPr>
          <w:rFonts w:asciiTheme="majorBidi" w:hAnsiTheme="majorBidi" w:cstheme="majorBidi"/>
        </w:rPr>
        <w:t xml:space="preserve">Lihat. Wahbah al-Zuhaily, </w:t>
      </w:r>
      <w:r w:rsidRPr="00960417">
        <w:rPr>
          <w:rFonts w:asciiTheme="majorBidi" w:hAnsiTheme="majorBidi" w:cstheme="majorBidi"/>
          <w:i/>
          <w:iCs/>
        </w:rPr>
        <w:t>Al-Zaw</w:t>
      </w:r>
      <w:r w:rsidRPr="0051521E">
        <w:rPr>
          <w:rFonts w:asciiTheme="majorBidi" w:hAnsiTheme="majorBidi" w:cstheme="majorBidi"/>
          <w:i/>
          <w:iCs/>
          <w:spacing w:val="1"/>
        </w:rPr>
        <w:t>ā</w:t>
      </w:r>
      <w:r w:rsidRPr="00960417">
        <w:rPr>
          <w:rFonts w:asciiTheme="majorBidi" w:hAnsiTheme="majorBidi" w:cstheme="majorBidi"/>
          <w:i/>
          <w:iCs/>
        </w:rPr>
        <w:t>j Wa al-Thal</w:t>
      </w:r>
      <w:r w:rsidRPr="0051521E">
        <w:rPr>
          <w:rFonts w:asciiTheme="majorBidi" w:hAnsiTheme="majorBidi" w:cstheme="majorBidi"/>
          <w:i/>
          <w:iCs/>
          <w:spacing w:val="1"/>
        </w:rPr>
        <w:t>ā</w:t>
      </w:r>
      <w:r w:rsidRPr="00960417">
        <w:rPr>
          <w:rFonts w:asciiTheme="majorBidi" w:hAnsiTheme="majorBidi" w:cstheme="majorBidi"/>
          <w:i/>
          <w:iCs/>
        </w:rPr>
        <w:t>q</w:t>
      </w:r>
      <w:r>
        <w:rPr>
          <w:rFonts w:asciiTheme="majorBidi" w:hAnsiTheme="majorBidi" w:cstheme="majorBidi"/>
        </w:rPr>
        <w:t>, (Tripoli: Kulliyah al-Dakwah al-Islamiyah, 1998), h. 141-142</w:t>
      </w:r>
    </w:p>
  </w:footnote>
  <w:footnote w:id="701">
    <w:p w:rsidR="00343B61" w:rsidRDefault="00343B61" w:rsidP="00343B61">
      <w:pPr>
        <w:pStyle w:val="FootnoteText"/>
        <w:ind w:firstLine="720"/>
        <w:jc w:val="both"/>
      </w:pPr>
      <w:r>
        <w:rPr>
          <w:rStyle w:val="FootnoteReference"/>
        </w:rPr>
        <w:footnoteRef/>
      </w:r>
      <w:r w:rsidRPr="00100FC7">
        <w:rPr>
          <w:rFonts w:asciiTheme="majorBidi" w:hAnsiTheme="majorBidi" w:cstheme="majorBidi"/>
        </w:rPr>
        <w:t xml:space="preserve">Lihat. Muhammad al-Fudhail bin Muhammad al-Syabihi, </w:t>
      </w:r>
      <w:r w:rsidRPr="00100FC7">
        <w:rPr>
          <w:rFonts w:asciiTheme="majorBidi" w:hAnsiTheme="majorBidi" w:cstheme="majorBidi"/>
          <w:i/>
          <w:iCs/>
        </w:rPr>
        <w:t xml:space="preserve">Al-Fajr Sath’i ‘ala Shohih al-Jami’ </w:t>
      </w:r>
      <w:r w:rsidRPr="00100FC7">
        <w:rPr>
          <w:rFonts w:asciiTheme="majorBidi" w:hAnsiTheme="majorBidi" w:cstheme="majorBidi"/>
        </w:rPr>
        <w:t>( Maroco: Maktabah Syamilah, t.th), jilid III, h. 317</w:t>
      </w:r>
    </w:p>
  </w:footnote>
  <w:footnote w:id="702">
    <w:p w:rsidR="00343B61" w:rsidRPr="00C36A91" w:rsidRDefault="00343B61" w:rsidP="00343B61">
      <w:pPr>
        <w:autoSpaceDE w:val="0"/>
        <w:autoSpaceDN w:val="0"/>
        <w:adjustRightInd w:val="0"/>
        <w:spacing w:after="0" w:line="240" w:lineRule="auto"/>
        <w:ind w:left="17" w:firstLine="703"/>
        <w:jc w:val="both"/>
        <w:rPr>
          <w:rFonts w:asciiTheme="majorBidi" w:hAnsiTheme="majorBidi" w:cstheme="majorBidi"/>
          <w:sz w:val="20"/>
          <w:szCs w:val="20"/>
        </w:rPr>
      </w:pPr>
      <w:r w:rsidRPr="0024630C">
        <w:rPr>
          <w:rStyle w:val="FootnoteReference"/>
          <w:sz w:val="20"/>
          <w:szCs w:val="20"/>
        </w:rPr>
        <w:footnoteRef/>
      </w:r>
      <w:r w:rsidRPr="0024630C">
        <w:rPr>
          <w:sz w:val="20"/>
          <w:szCs w:val="20"/>
        </w:rPr>
        <w:t xml:space="preserve"> </w:t>
      </w:r>
      <w:r w:rsidRPr="0024630C">
        <w:rPr>
          <w:rFonts w:asciiTheme="majorBidi" w:hAnsiTheme="majorBidi" w:cstheme="majorBidi"/>
          <w:sz w:val="20"/>
          <w:szCs w:val="20"/>
        </w:rPr>
        <w:t xml:space="preserve">Lihat. Abu Bakar Abdullah bin Muhammad bin Abi Syaibah, </w:t>
      </w:r>
      <w:r w:rsidRPr="0024630C">
        <w:rPr>
          <w:rFonts w:asciiTheme="majorBidi" w:hAnsiTheme="majorBidi" w:cstheme="majorBidi"/>
          <w:i/>
          <w:iCs/>
          <w:sz w:val="20"/>
          <w:szCs w:val="20"/>
        </w:rPr>
        <w:t>al-Mushannaf fi al-Ah</w:t>
      </w:r>
      <w:r w:rsidRPr="0051521E">
        <w:rPr>
          <w:rFonts w:asciiTheme="majorBidi" w:hAnsiTheme="majorBidi" w:cstheme="majorBidi"/>
          <w:i/>
          <w:iCs/>
          <w:spacing w:val="1"/>
          <w:sz w:val="20"/>
          <w:szCs w:val="20"/>
        </w:rPr>
        <w:t>ā</w:t>
      </w:r>
      <w:r w:rsidRPr="0024630C">
        <w:rPr>
          <w:rFonts w:asciiTheme="majorBidi" w:hAnsiTheme="majorBidi" w:cstheme="majorBidi"/>
          <w:i/>
          <w:iCs/>
          <w:sz w:val="20"/>
          <w:szCs w:val="20"/>
        </w:rPr>
        <w:t>dits wa al-Ats</w:t>
      </w:r>
      <w:r w:rsidRPr="0051521E">
        <w:rPr>
          <w:rFonts w:asciiTheme="majorBidi" w:hAnsiTheme="majorBidi" w:cstheme="majorBidi"/>
          <w:i/>
          <w:iCs/>
          <w:spacing w:val="1"/>
          <w:sz w:val="20"/>
          <w:szCs w:val="20"/>
        </w:rPr>
        <w:t>ā</w:t>
      </w:r>
      <w:r w:rsidRPr="0024630C">
        <w:rPr>
          <w:rFonts w:asciiTheme="majorBidi" w:hAnsiTheme="majorBidi" w:cstheme="majorBidi"/>
          <w:i/>
          <w:iCs/>
          <w:sz w:val="20"/>
          <w:szCs w:val="20"/>
        </w:rPr>
        <w:t>r</w:t>
      </w:r>
      <w:r w:rsidRPr="0024630C">
        <w:rPr>
          <w:rFonts w:asciiTheme="majorBidi" w:hAnsiTheme="majorBidi" w:cstheme="majorBidi"/>
          <w:sz w:val="20"/>
          <w:szCs w:val="20"/>
        </w:rPr>
        <w:t>, ( Riyadh: Maktabah al-Rusyd: 1409), Jilid IV, h. 63</w:t>
      </w:r>
    </w:p>
  </w:footnote>
  <w:footnote w:id="703">
    <w:p w:rsidR="00343B61" w:rsidRDefault="00343B61" w:rsidP="00343B61">
      <w:pPr>
        <w:pStyle w:val="FootnoteText"/>
        <w:ind w:firstLine="720"/>
        <w:jc w:val="both"/>
      </w:pPr>
      <w:r>
        <w:rPr>
          <w:rStyle w:val="FootnoteReference"/>
        </w:rPr>
        <w:footnoteRef/>
      </w:r>
      <w:r>
        <w:t xml:space="preserve"> </w:t>
      </w:r>
      <w:r w:rsidRPr="00291D89">
        <w:rPr>
          <w:rFonts w:asciiTheme="majorBidi" w:hAnsiTheme="majorBidi" w:cstheme="majorBidi"/>
        </w:rPr>
        <w:t xml:space="preserve">Lihat. Wahbah al-Zuhaily, </w:t>
      </w:r>
      <w:r w:rsidRPr="00960417">
        <w:rPr>
          <w:rFonts w:asciiTheme="majorBidi" w:hAnsiTheme="majorBidi" w:cstheme="majorBidi"/>
          <w:i/>
          <w:iCs/>
        </w:rPr>
        <w:t>Al-Zaw</w:t>
      </w:r>
      <w:r w:rsidRPr="0051521E">
        <w:rPr>
          <w:rFonts w:asciiTheme="majorBidi" w:hAnsiTheme="majorBidi" w:cstheme="majorBidi"/>
          <w:i/>
          <w:iCs/>
          <w:spacing w:val="1"/>
        </w:rPr>
        <w:t>ā</w:t>
      </w:r>
      <w:r w:rsidRPr="00960417">
        <w:rPr>
          <w:rFonts w:asciiTheme="majorBidi" w:hAnsiTheme="majorBidi" w:cstheme="majorBidi"/>
          <w:i/>
          <w:iCs/>
        </w:rPr>
        <w:t>j Wa al-Thal</w:t>
      </w:r>
      <w:r w:rsidRPr="0051521E">
        <w:rPr>
          <w:rFonts w:asciiTheme="majorBidi" w:hAnsiTheme="majorBidi" w:cstheme="majorBidi"/>
          <w:i/>
          <w:iCs/>
          <w:spacing w:val="1"/>
        </w:rPr>
        <w:t>ā</w:t>
      </w:r>
      <w:r w:rsidRPr="00960417">
        <w:rPr>
          <w:rFonts w:asciiTheme="majorBidi" w:hAnsiTheme="majorBidi" w:cstheme="majorBidi"/>
          <w:i/>
          <w:iCs/>
        </w:rPr>
        <w:t>q</w:t>
      </w:r>
      <w:r>
        <w:rPr>
          <w:rFonts w:asciiTheme="majorBidi" w:hAnsiTheme="majorBidi" w:cstheme="majorBidi"/>
        </w:rPr>
        <w:t>, (Tripoli: Kulliyah al-Dakwah al-Islamiyah, 1998), h. 143</w:t>
      </w:r>
    </w:p>
  </w:footnote>
  <w:footnote w:id="704">
    <w:p w:rsidR="00343B61" w:rsidRPr="00E26633" w:rsidRDefault="00343B61" w:rsidP="00343B61">
      <w:pPr>
        <w:pStyle w:val="ListParagraph"/>
        <w:spacing w:after="0" w:line="240" w:lineRule="auto"/>
        <w:ind w:left="0" w:firstLine="720"/>
        <w:jc w:val="both"/>
        <w:rPr>
          <w:rFonts w:asciiTheme="majorBidi" w:hAnsiTheme="majorBidi" w:cstheme="majorBidi"/>
          <w:sz w:val="20"/>
          <w:szCs w:val="20"/>
        </w:rPr>
      </w:pPr>
      <w:r>
        <w:rPr>
          <w:rStyle w:val="FootnoteReference"/>
        </w:rPr>
        <w:footnoteRef/>
      </w:r>
      <w:r>
        <w:t xml:space="preserve"> </w:t>
      </w:r>
      <w:r w:rsidRPr="00262030">
        <w:rPr>
          <w:rFonts w:asciiTheme="majorBidi" w:hAnsiTheme="majorBidi" w:cstheme="majorBidi"/>
          <w:sz w:val="20"/>
          <w:szCs w:val="20"/>
        </w:rPr>
        <w:t xml:space="preserve">Lihat. Abdullah Bin Qudamah </w:t>
      </w:r>
      <w:r w:rsidRPr="000B1266">
        <w:rPr>
          <w:rFonts w:asciiTheme="majorBidi" w:hAnsiTheme="majorBidi" w:cstheme="majorBidi"/>
          <w:sz w:val="20"/>
          <w:szCs w:val="20"/>
          <w:lang w:val="fi-FI"/>
        </w:rPr>
        <w:t xml:space="preserve">al-Maqdisī, </w:t>
      </w:r>
      <w:r w:rsidRPr="000B1266">
        <w:rPr>
          <w:rFonts w:asciiTheme="majorBidi" w:hAnsiTheme="majorBidi" w:cstheme="majorBidi"/>
          <w:i/>
          <w:iCs/>
          <w:sz w:val="20"/>
          <w:szCs w:val="20"/>
          <w:lang w:val="fi-FI"/>
        </w:rPr>
        <w:t>Al-K</w:t>
      </w:r>
      <w:r w:rsidRPr="000B1266">
        <w:rPr>
          <w:rFonts w:asciiTheme="majorBidi" w:hAnsiTheme="majorBidi" w:cstheme="majorBidi"/>
          <w:i/>
          <w:iCs/>
          <w:spacing w:val="1"/>
          <w:sz w:val="20"/>
          <w:szCs w:val="20"/>
          <w:lang w:val="fi-FI"/>
        </w:rPr>
        <w:t>ā</w:t>
      </w:r>
      <w:r w:rsidRPr="000B1266">
        <w:rPr>
          <w:rFonts w:asciiTheme="majorBidi" w:hAnsiTheme="majorBidi" w:cstheme="majorBidi"/>
          <w:i/>
          <w:iCs/>
          <w:sz w:val="20"/>
          <w:szCs w:val="20"/>
          <w:lang w:val="fi-FI"/>
        </w:rPr>
        <w:t>fī Fī Fiqh Im</w:t>
      </w:r>
      <w:r w:rsidRPr="000B1266">
        <w:rPr>
          <w:rFonts w:asciiTheme="majorBidi" w:hAnsiTheme="majorBidi" w:cstheme="majorBidi"/>
          <w:i/>
          <w:iCs/>
          <w:spacing w:val="1"/>
          <w:sz w:val="20"/>
          <w:szCs w:val="20"/>
          <w:lang w:val="fi-FI"/>
        </w:rPr>
        <w:t>ā</w:t>
      </w:r>
      <w:r w:rsidRPr="000B1266">
        <w:rPr>
          <w:rFonts w:asciiTheme="majorBidi" w:hAnsiTheme="majorBidi" w:cstheme="majorBidi"/>
          <w:i/>
          <w:iCs/>
          <w:sz w:val="20"/>
          <w:szCs w:val="20"/>
          <w:lang w:val="fi-FI"/>
        </w:rPr>
        <w:t>m Ahmad bin Hanbal</w:t>
      </w:r>
      <w:r w:rsidRPr="00262030">
        <w:rPr>
          <w:rFonts w:asciiTheme="majorBidi" w:hAnsiTheme="majorBidi" w:cstheme="majorBidi"/>
          <w:i/>
          <w:iCs/>
          <w:sz w:val="20"/>
          <w:szCs w:val="20"/>
        </w:rPr>
        <w:t>,</w:t>
      </w:r>
      <w:r w:rsidRPr="00262030">
        <w:rPr>
          <w:rFonts w:asciiTheme="majorBidi" w:hAnsiTheme="majorBidi" w:cstheme="majorBidi"/>
          <w:sz w:val="20"/>
          <w:szCs w:val="20"/>
        </w:rPr>
        <w:t xml:space="preserve"> ( t.t: Maktabah Syabkah al-Badar, 2006), Jilid </w:t>
      </w:r>
      <w:r>
        <w:rPr>
          <w:rFonts w:asciiTheme="majorBidi" w:hAnsiTheme="majorBidi" w:cstheme="majorBidi"/>
          <w:sz w:val="20"/>
          <w:szCs w:val="20"/>
        </w:rPr>
        <w:t>III, h. 13</w:t>
      </w:r>
    </w:p>
  </w:footnote>
  <w:footnote w:id="705">
    <w:p w:rsidR="00343B61" w:rsidRPr="00E26633" w:rsidRDefault="00343B61" w:rsidP="00343B61">
      <w:pPr>
        <w:pStyle w:val="FootnoteText"/>
        <w:ind w:firstLine="720"/>
        <w:jc w:val="both"/>
        <w:rPr>
          <w:rFonts w:asciiTheme="majorBidi" w:hAnsiTheme="majorBidi" w:cstheme="majorBidi"/>
        </w:rPr>
      </w:pPr>
      <w:r w:rsidRPr="00C164E5">
        <w:rPr>
          <w:rStyle w:val="FootnoteReference"/>
          <w:rFonts w:asciiTheme="majorBidi" w:hAnsiTheme="majorBidi" w:cstheme="majorBidi"/>
        </w:rPr>
        <w:footnoteRef/>
      </w:r>
      <w:r w:rsidRPr="00C164E5">
        <w:rPr>
          <w:rFonts w:asciiTheme="majorBidi" w:hAnsiTheme="majorBidi" w:cstheme="majorBidi"/>
        </w:rPr>
        <w:t xml:space="preserve"> 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C164E5">
        <w:rPr>
          <w:rFonts w:asciiTheme="majorBidi" w:hAnsiTheme="majorBidi" w:cstheme="majorBidi"/>
        </w:rPr>
        <w:t xml:space="preserve">, ( Bairut: Dar Al-Thuq Al-Najah, cet, I, 1422 ), Jilid XIII, h. 270. Sementara dalam Riwayat Baihaqi dan Ibnu Majah ada tambahan” wa ma Ukrihu ‘alaih” dan sesuatu yang dipaksa”. Lihat. </w:t>
      </w:r>
      <w:r w:rsidRPr="00C164E5">
        <w:rPr>
          <w:rFonts w:asciiTheme="majorBidi" w:eastAsiaTheme="minorHAnsi" w:hAnsiTheme="majorBidi" w:cstheme="majorBidi"/>
          <w:color w:val="000000"/>
        </w:rPr>
        <w:t xml:space="preserve">Abu Bakar Ahmad bin al-Husein al-Baihaqi, </w:t>
      </w:r>
      <w:r w:rsidRPr="00C164E5">
        <w:rPr>
          <w:rFonts w:asciiTheme="majorBidi" w:eastAsiaTheme="minorHAnsi" w:hAnsiTheme="majorBidi" w:cstheme="majorBidi"/>
          <w:i/>
          <w:iCs/>
          <w:color w:val="000000"/>
        </w:rPr>
        <w:t xml:space="preserve">Al-Sunan al-Kubra, </w:t>
      </w:r>
      <w:r w:rsidRPr="00C164E5">
        <w:rPr>
          <w:rFonts w:asciiTheme="majorBidi" w:eastAsiaTheme="minorHAnsi" w:hAnsiTheme="majorBidi" w:cstheme="majorBidi"/>
          <w:color w:val="000000"/>
        </w:rPr>
        <w:t xml:space="preserve">( India: Majelis Dairah al-Ma’arif, 1344 H), jilid X, h. 61. Lihat juga </w:t>
      </w:r>
      <w:r w:rsidRPr="00C164E5">
        <w:rPr>
          <w:rFonts w:asciiTheme="majorBidi" w:hAnsiTheme="majorBidi" w:cstheme="majorBidi"/>
        </w:rPr>
        <w:t xml:space="preserve">Muhammad Ibn Yazin Al-Qazwainy, </w:t>
      </w:r>
      <w:r w:rsidRPr="00C164E5">
        <w:rPr>
          <w:rFonts w:asciiTheme="majorBidi" w:hAnsiTheme="majorBidi" w:cstheme="majorBidi"/>
          <w:i/>
          <w:iCs/>
        </w:rPr>
        <w:t xml:space="preserve">Sunan Ibnu </w:t>
      </w:r>
      <w:r w:rsidRPr="00854AF4">
        <w:rPr>
          <w:rFonts w:asciiTheme="majorBidi" w:hAnsiTheme="majorBidi" w:cstheme="majorBidi"/>
          <w:i/>
          <w:iCs/>
          <w:lang w:val="fi-FI"/>
        </w:rPr>
        <w:t>M</w:t>
      </w:r>
      <w:r w:rsidRPr="0051521E">
        <w:rPr>
          <w:rFonts w:asciiTheme="majorBidi" w:hAnsiTheme="majorBidi" w:cstheme="majorBidi"/>
          <w:i/>
          <w:iCs/>
          <w:spacing w:val="1"/>
        </w:rPr>
        <w:t>ā</w:t>
      </w:r>
      <w:r w:rsidRPr="00854AF4">
        <w:rPr>
          <w:rFonts w:asciiTheme="majorBidi" w:hAnsiTheme="majorBidi" w:cstheme="majorBidi"/>
          <w:i/>
          <w:iCs/>
          <w:lang w:val="fi-FI"/>
        </w:rPr>
        <w:t>jah</w:t>
      </w:r>
      <w:r w:rsidRPr="00C164E5">
        <w:rPr>
          <w:rFonts w:asciiTheme="majorBidi" w:hAnsiTheme="majorBidi" w:cstheme="majorBidi"/>
        </w:rPr>
        <w:t>, ( Bairut: Dar Al-Fikr, t.th), Jilid I, h. 658.</w:t>
      </w:r>
    </w:p>
  </w:footnote>
  <w:footnote w:id="706">
    <w:p w:rsidR="00343B61" w:rsidRPr="00C33689" w:rsidRDefault="00343B61" w:rsidP="00343B61">
      <w:pPr>
        <w:spacing w:after="0"/>
        <w:ind w:firstLine="720"/>
        <w:jc w:val="both"/>
        <w:rPr>
          <w:rFonts w:asciiTheme="majorBidi" w:hAnsiTheme="majorBidi" w:cstheme="majorBidi"/>
          <w:i/>
          <w:iCs/>
          <w:sz w:val="20"/>
          <w:szCs w:val="20"/>
        </w:rPr>
      </w:pPr>
      <w:r w:rsidRPr="00A93D9C">
        <w:rPr>
          <w:rStyle w:val="FootnoteReference"/>
          <w:rFonts w:asciiTheme="majorBidi" w:hAnsiTheme="majorBidi" w:cstheme="majorBidi"/>
          <w:sz w:val="20"/>
          <w:szCs w:val="20"/>
        </w:rPr>
        <w:footnoteRef/>
      </w:r>
      <w:r w:rsidRPr="00A93D9C">
        <w:rPr>
          <w:rFonts w:asciiTheme="majorBidi" w:hAnsiTheme="majorBidi" w:cstheme="majorBidi"/>
          <w:sz w:val="20"/>
          <w:szCs w:val="20"/>
        </w:rPr>
        <w:t xml:space="preserve"> lihat. Sayyid Abi Bakar Al-Manshur bi al-Sayyid al-Bikri, </w:t>
      </w:r>
      <w:r w:rsidRPr="0039178E">
        <w:rPr>
          <w:rFonts w:asciiTheme="majorBidi" w:hAnsiTheme="majorBidi" w:cstheme="majorBidi"/>
          <w:i/>
          <w:iCs/>
          <w:sz w:val="20"/>
          <w:szCs w:val="20"/>
        </w:rPr>
        <w:t>I‘ānatu al-Thālibīn</w:t>
      </w:r>
      <w:r w:rsidRPr="00C33689">
        <w:rPr>
          <w:rFonts w:asciiTheme="majorBidi" w:hAnsiTheme="majorBidi" w:cstheme="majorBidi"/>
          <w:sz w:val="20"/>
          <w:szCs w:val="20"/>
        </w:rPr>
        <w:t xml:space="preserve">, (Bairut: Dar al-Fikr, 1993), Jilid IV, h. 11-12. </w:t>
      </w:r>
    </w:p>
  </w:footnote>
  <w:footnote w:id="707">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945</w:t>
      </w:r>
    </w:p>
  </w:footnote>
  <w:footnote w:id="708">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144</w:t>
      </w:r>
    </w:p>
  </w:footnote>
  <w:footnote w:id="709">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55</w:t>
      </w:r>
    </w:p>
  </w:footnote>
  <w:footnote w:id="710">
    <w:p w:rsidR="00343B61" w:rsidRDefault="00343B61" w:rsidP="00343B61">
      <w:pPr>
        <w:pStyle w:val="ListParagraph"/>
        <w:spacing w:after="0" w:line="240" w:lineRule="auto"/>
        <w:ind w:left="0" w:firstLine="720"/>
        <w:jc w:val="both"/>
      </w:pPr>
      <w:r>
        <w:rPr>
          <w:rStyle w:val="FootnoteReference"/>
        </w:rPr>
        <w:footnoteRef/>
      </w:r>
      <w:r>
        <w:t xml:space="preserve"> </w:t>
      </w:r>
      <w:r w:rsidRPr="00E660FC">
        <w:rPr>
          <w:rFonts w:asciiTheme="majorBidi" w:hAnsiTheme="majorBidi" w:cstheme="majorBidi"/>
          <w:sz w:val="20"/>
          <w:szCs w:val="20"/>
        </w:rPr>
        <w:t>Ibnu Qudamah</w:t>
      </w:r>
      <w:r>
        <w:rPr>
          <w:rFonts w:asciiTheme="majorBidi" w:hAnsiTheme="majorBidi" w:cstheme="majorBidi"/>
          <w:sz w:val="20"/>
          <w:szCs w:val="20"/>
        </w:rPr>
        <w:t xml:space="preserve"> Al-Maqdisi</w:t>
      </w:r>
      <w:r w:rsidRPr="00E660FC">
        <w:rPr>
          <w:rFonts w:asciiTheme="majorBidi" w:hAnsiTheme="majorBidi" w:cstheme="majorBidi"/>
          <w:sz w:val="20"/>
          <w:szCs w:val="20"/>
        </w:rPr>
        <w:t xml:space="preserve"> menyebutkan:</w:t>
      </w:r>
    </w:p>
    <w:p w:rsidR="00343B61" w:rsidRPr="00FB45C4" w:rsidRDefault="00343B61" w:rsidP="00343B61">
      <w:pPr>
        <w:bidi/>
        <w:spacing w:after="0" w:line="240" w:lineRule="auto"/>
        <w:rPr>
          <w:rFonts w:ascii="Arial" w:hAnsi="Arial" w:cs="Traditional Arabic"/>
          <w:i/>
          <w:iCs/>
          <w:sz w:val="24"/>
          <w:szCs w:val="24"/>
        </w:rPr>
      </w:pPr>
      <w:r w:rsidRPr="00FB45C4">
        <w:rPr>
          <w:rFonts w:ascii="Arial" w:hAnsi="Arial" w:cs="Traditional Arabic"/>
          <w:color w:val="000000"/>
          <w:sz w:val="24"/>
          <w:szCs w:val="24"/>
          <w:rtl/>
        </w:rPr>
        <w:t>فالصريح : لفظ الطلاق وما تصرف منه لأنه موضوع له على الخصوص</w:t>
      </w:r>
      <w:r w:rsidRPr="00FB45C4">
        <w:rPr>
          <w:rFonts w:ascii="Arial" w:hAnsi="Arial" w:cs="Traditional Arabic" w:hint="cs"/>
          <w:color w:val="000000"/>
          <w:sz w:val="24"/>
          <w:szCs w:val="24"/>
          <w:rtl/>
        </w:rPr>
        <w:t>، ..</w:t>
      </w:r>
      <w:r w:rsidRPr="00FB45C4">
        <w:rPr>
          <w:rFonts w:ascii="Arial" w:hAnsi="Arial" w:cs="Traditional Arabic" w:hint="cs"/>
          <w:i/>
          <w:iCs/>
          <w:sz w:val="24"/>
          <w:szCs w:val="24"/>
          <w:rtl/>
        </w:rPr>
        <w:t xml:space="preserve"> </w:t>
      </w:r>
      <w:r w:rsidRPr="00FB45C4">
        <w:rPr>
          <w:rFonts w:ascii="Arial" w:hAnsi="Arial" w:cs="Traditional Arabic"/>
          <w:color w:val="000000"/>
          <w:sz w:val="24"/>
          <w:szCs w:val="24"/>
          <w:rtl/>
        </w:rPr>
        <w:t>وفي لفظ الفراق والسراح</w:t>
      </w:r>
      <w:r w:rsidRPr="00FB45C4">
        <w:rPr>
          <w:rFonts w:ascii="Arial" w:hAnsi="Arial" w:cs="Traditional Arabic" w:hint="cs"/>
          <w:i/>
          <w:iCs/>
          <w:sz w:val="24"/>
          <w:szCs w:val="24"/>
          <w:rtl/>
        </w:rPr>
        <w:t xml:space="preserve"> </w:t>
      </w:r>
      <w:r w:rsidRPr="00FB45C4">
        <w:rPr>
          <w:rFonts w:ascii="Arial" w:hAnsi="Arial" w:cs="Traditional Arabic"/>
          <w:color w:val="000000"/>
          <w:sz w:val="24"/>
          <w:szCs w:val="24"/>
          <w:rtl/>
        </w:rPr>
        <w:t>وجهان :أحدهما : هو صريح اختاره الخرقي لأنه ورد في القرآن فهو كلفظ الطلاق</w:t>
      </w:r>
      <w:r w:rsidRPr="00FB45C4">
        <w:rPr>
          <w:rFonts w:ascii="Arial" w:hAnsi="Arial" w:cs="Traditional Arabic" w:hint="cs"/>
          <w:color w:val="000000"/>
          <w:sz w:val="24"/>
          <w:szCs w:val="24"/>
          <w:rtl/>
        </w:rPr>
        <w:t xml:space="preserve"> </w:t>
      </w:r>
      <w:r w:rsidRPr="00FB45C4">
        <w:rPr>
          <w:rFonts w:ascii="Arial" w:hAnsi="Arial" w:cs="Traditional Arabic"/>
          <w:color w:val="000000"/>
          <w:sz w:val="24"/>
          <w:szCs w:val="24"/>
          <w:rtl/>
        </w:rPr>
        <w:t>والثاني : ليس بصريح اختاره ابن حامد لأنه موضوع لغيره يكثر استعماله في غير الطلاق</w:t>
      </w:r>
    </w:p>
    <w:p w:rsidR="00343B61" w:rsidRPr="00B428F0" w:rsidRDefault="00343B61" w:rsidP="00343B61">
      <w:pPr>
        <w:pStyle w:val="ListParagraph"/>
        <w:spacing w:after="0" w:line="240" w:lineRule="auto"/>
        <w:ind w:left="0" w:firstLine="720"/>
        <w:jc w:val="both"/>
        <w:rPr>
          <w:rFonts w:asciiTheme="majorBidi" w:hAnsiTheme="majorBidi" w:cstheme="majorBidi"/>
          <w:sz w:val="20"/>
          <w:szCs w:val="20"/>
        </w:rPr>
      </w:pPr>
      <w:r>
        <w:rPr>
          <w:rFonts w:asciiTheme="majorBidi" w:hAnsiTheme="majorBidi" w:cstheme="majorBidi"/>
          <w:sz w:val="20"/>
          <w:szCs w:val="20"/>
        </w:rPr>
        <w:t>Lihat. Abdullah b</w:t>
      </w:r>
      <w:r w:rsidRPr="00262030">
        <w:rPr>
          <w:rFonts w:asciiTheme="majorBidi" w:hAnsiTheme="majorBidi" w:cstheme="majorBidi"/>
          <w:sz w:val="20"/>
          <w:szCs w:val="20"/>
        </w:rPr>
        <w:t xml:space="preserve">in Qudamah </w:t>
      </w:r>
      <w:r w:rsidRPr="000B1266">
        <w:rPr>
          <w:rFonts w:asciiTheme="majorBidi" w:hAnsiTheme="majorBidi" w:cstheme="majorBidi"/>
          <w:sz w:val="20"/>
          <w:szCs w:val="20"/>
          <w:lang w:val="fi-FI"/>
        </w:rPr>
        <w:t xml:space="preserve">al-Maqdisī, </w:t>
      </w:r>
      <w:r w:rsidRPr="000B1266">
        <w:rPr>
          <w:rFonts w:asciiTheme="majorBidi" w:hAnsiTheme="majorBidi" w:cstheme="majorBidi"/>
          <w:i/>
          <w:iCs/>
          <w:sz w:val="20"/>
          <w:szCs w:val="20"/>
          <w:lang w:val="fi-FI"/>
        </w:rPr>
        <w:t>Al-K</w:t>
      </w:r>
      <w:r w:rsidRPr="000B1266">
        <w:rPr>
          <w:rFonts w:asciiTheme="majorBidi" w:hAnsiTheme="majorBidi" w:cstheme="majorBidi"/>
          <w:i/>
          <w:iCs/>
          <w:spacing w:val="1"/>
          <w:sz w:val="20"/>
          <w:szCs w:val="20"/>
          <w:lang w:val="fi-FI"/>
        </w:rPr>
        <w:t>ā</w:t>
      </w:r>
      <w:r w:rsidRPr="000B1266">
        <w:rPr>
          <w:rFonts w:asciiTheme="majorBidi" w:hAnsiTheme="majorBidi" w:cstheme="majorBidi"/>
          <w:i/>
          <w:iCs/>
          <w:sz w:val="20"/>
          <w:szCs w:val="20"/>
          <w:lang w:val="fi-FI"/>
        </w:rPr>
        <w:t xml:space="preserve">fī </w:t>
      </w:r>
      <w:r>
        <w:rPr>
          <w:rFonts w:asciiTheme="majorBidi" w:hAnsiTheme="majorBidi" w:cstheme="majorBidi"/>
          <w:i/>
          <w:iCs/>
          <w:sz w:val="20"/>
          <w:szCs w:val="20"/>
          <w:lang w:val="fi-FI"/>
        </w:rPr>
        <w:t xml:space="preserve"> </w:t>
      </w:r>
      <w:r w:rsidRPr="000B1266">
        <w:rPr>
          <w:rFonts w:asciiTheme="majorBidi" w:hAnsiTheme="majorBidi" w:cstheme="majorBidi"/>
          <w:i/>
          <w:iCs/>
          <w:sz w:val="20"/>
          <w:szCs w:val="20"/>
          <w:lang w:val="fi-FI"/>
        </w:rPr>
        <w:t>Fī Fiqh Im</w:t>
      </w:r>
      <w:r w:rsidRPr="000B1266">
        <w:rPr>
          <w:rFonts w:asciiTheme="majorBidi" w:hAnsiTheme="majorBidi" w:cstheme="majorBidi"/>
          <w:i/>
          <w:iCs/>
          <w:spacing w:val="1"/>
          <w:sz w:val="20"/>
          <w:szCs w:val="20"/>
          <w:lang w:val="fi-FI"/>
        </w:rPr>
        <w:t>ā</w:t>
      </w:r>
      <w:r w:rsidRPr="000B1266">
        <w:rPr>
          <w:rFonts w:asciiTheme="majorBidi" w:hAnsiTheme="majorBidi" w:cstheme="majorBidi"/>
          <w:i/>
          <w:iCs/>
          <w:sz w:val="20"/>
          <w:szCs w:val="20"/>
          <w:lang w:val="fi-FI"/>
        </w:rPr>
        <w:t>m Ahmad bin Hanbal</w:t>
      </w:r>
      <w:r w:rsidRPr="00262030">
        <w:rPr>
          <w:rFonts w:asciiTheme="majorBidi" w:hAnsiTheme="majorBidi" w:cstheme="majorBidi"/>
          <w:i/>
          <w:iCs/>
          <w:sz w:val="20"/>
          <w:szCs w:val="20"/>
        </w:rPr>
        <w:t>,</w:t>
      </w:r>
      <w:r w:rsidRPr="00262030">
        <w:rPr>
          <w:rFonts w:asciiTheme="majorBidi" w:hAnsiTheme="majorBidi" w:cstheme="majorBidi"/>
          <w:sz w:val="20"/>
          <w:szCs w:val="20"/>
        </w:rPr>
        <w:t xml:space="preserve"> ( t.t: Maktabah Syabkah al-Badar, 2006), Jilid </w:t>
      </w:r>
      <w:r>
        <w:rPr>
          <w:rFonts w:asciiTheme="majorBidi" w:hAnsiTheme="majorBidi" w:cstheme="majorBidi"/>
          <w:sz w:val="20"/>
          <w:szCs w:val="20"/>
        </w:rPr>
        <w:t>V,</w:t>
      </w:r>
      <w:r w:rsidRPr="00262030">
        <w:rPr>
          <w:rFonts w:asciiTheme="majorBidi" w:hAnsiTheme="majorBidi" w:cstheme="majorBidi"/>
          <w:sz w:val="20"/>
          <w:szCs w:val="20"/>
        </w:rPr>
        <w:t xml:space="preserve"> h. 148</w:t>
      </w:r>
    </w:p>
  </w:footnote>
  <w:footnote w:id="711">
    <w:p w:rsidR="00343B61" w:rsidRDefault="00343B61" w:rsidP="00343B61">
      <w:pPr>
        <w:pStyle w:val="FootnoteText"/>
        <w:ind w:firstLine="720"/>
        <w:jc w:val="both"/>
      </w:pPr>
      <w:r>
        <w:rPr>
          <w:rStyle w:val="FootnoteReference"/>
        </w:rPr>
        <w:footnoteRef/>
      </w:r>
      <w:r>
        <w:t xml:space="preserve"> </w:t>
      </w:r>
      <w:r w:rsidRPr="00A93D9C">
        <w:rPr>
          <w:rFonts w:asciiTheme="majorBidi" w:hAnsiTheme="majorBidi" w:cstheme="majorBidi"/>
        </w:rPr>
        <w:t>Lihat</w:t>
      </w:r>
      <w:r>
        <w:rPr>
          <w:rFonts w:asciiTheme="majorBidi" w:hAnsiTheme="majorBidi" w:cstheme="majorBidi"/>
        </w:rPr>
        <w:t xml:space="preserve">. </w:t>
      </w:r>
      <w:r w:rsidRPr="00A93D9C">
        <w:rPr>
          <w:rFonts w:asciiTheme="majorBidi" w:hAnsiTheme="majorBidi" w:cstheme="majorBidi"/>
        </w:rPr>
        <w:t>Sā’iḥ ‘</w:t>
      </w:r>
      <w:r w:rsidRPr="000B1266">
        <w:rPr>
          <w:rFonts w:asciiTheme="majorBidi" w:hAnsiTheme="majorBidi" w:cstheme="majorBidi"/>
          <w:lang w:val="fi-FI"/>
        </w:rPr>
        <w:t xml:space="preserve">Ali Husein, </w:t>
      </w:r>
      <w:r w:rsidRPr="000B1266">
        <w:rPr>
          <w:rFonts w:asciiTheme="majorBidi" w:hAnsiTheme="majorBidi" w:cstheme="majorBidi"/>
          <w:i/>
          <w:iCs/>
          <w:lang w:val="fi-FI"/>
        </w:rPr>
        <w:t>Munjid al-Du’</w:t>
      </w:r>
      <w:r w:rsidRPr="000B1266">
        <w:rPr>
          <w:rFonts w:asciiTheme="majorBidi" w:hAnsiTheme="majorBidi" w:cstheme="majorBidi"/>
          <w:i/>
          <w:iCs/>
          <w:spacing w:val="1"/>
          <w:lang w:val="fi-FI"/>
        </w:rPr>
        <w:t>ā</w:t>
      </w:r>
      <w:r w:rsidRPr="000B1266">
        <w:rPr>
          <w:rFonts w:asciiTheme="majorBidi" w:hAnsiTheme="majorBidi" w:cstheme="majorBidi"/>
          <w:i/>
          <w:iCs/>
          <w:lang w:val="fi-FI"/>
        </w:rPr>
        <w:t>t fi al-Fiqh al-Isl</w:t>
      </w:r>
      <w:r w:rsidRPr="000B1266">
        <w:rPr>
          <w:rFonts w:asciiTheme="majorBidi" w:hAnsiTheme="majorBidi" w:cstheme="majorBidi"/>
          <w:i/>
          <w:iCs/>
          <w:spacing w:val="1"/>
          <w:lang w:val="fi-FI"/>
        </w:rPr>
        <w:t>ā</w:t>
      </w:r>
      <w:r w:rsidRPr="000B1266">
        <w:rPr>
          <w:rFonts w:asciiTheme="majorBidi" w:hAnsiTheme="majorBidi" w:cstheme="majorBidi"/>
          <w:i/>
          <w:iCs/>
          <w:lang w:val="fi-FI"/>
        </w:rPr>
        <w:t>mi al-Muq</w:t>
      </w:r>
      <w:r w:rsidRPr="000B1266">
        <w:rPr>
          <w:rFonts w:asciiTheme="majorBidi" w:hAnsiTheme="majorBidi" w:cstheme="majorBidi"/>
          <w:i/>
          <w:iCs/>
          <w:spacing w:val="1"/>
          <w:lang w:val="fi-FI"/>
        </w:rPr>
        <w:t>ā</w:t>
      </w:r>
      <w:r w:rsidRPr="000B1266">
        <w:rPr>
          <w:rFonts w:asciiTheme="majorBidi" w:hAnsiTheme="majorBidi" w:cstheme="majorBidi"/>
          <w:i/>
          <w:iCs/>
          <w:lang w:val="fi-FI"/>
        </w:rPr>
        <w:t>ron Qismu al-Ahw</w:t>
      </w:r>
      <w:r w:rsidRPr="000B1266">
        <w:rPr>
          <w:rFonts w:asciiTheme="majorBidi" w:hAnsiTheme="majorBidi" w:cstheme="majorBidi"/>
          <w:i/>
          <w:iCs/>
          <w:spacing w:val="1"/>
          <w:lang w:val="fi-FI"/>
        </w:rPr>
        <w:t>ā</w:t>
      </w:r>
      <w:r w:rsidRPr="000B1266">
        <w:rPr>
          <w:rFonts w:asciiTheme="majorBidi" w:hAnsiTheme="majorBidi" w:cstheme="majorBidi"/>
          <w:i/>
          <w:iCs/>
          <w:lang w:val="fi-FI"/>
        </w:rPr>
        <w:t>l al-Syakhshiah</w:t>
      </w:r>
      <w:r w:rsidRPr="00A93D9C">
        <w:rPr>
          <w:rFonts w:asciiTheme="majorBidi" w:hAnsiTheme="majorBidi" w:cstheme="majorBidi"/>
        </w:rPr>
        <w:t>, ( Tripoli: Kulliah al-Dakwah al-Islamiyah, 1429 H), h. 251</w:t>
      </w:r>
    </w:p>
  </w:footnote>
  <w:footnote w:id="712">
    <w:p w:rsidR="00343B61" w:rsidRPr="00166EBD" w:rsidRDefault="00343B61" w:rsidP="00343B61">
      <w:pPr>
        <w:pStyle w:val="FootnoteText"/>
        <w:ind w:firstLine="720"/>
        <w:jc w:val="both"/>
        <w:rPr>
          <w:rFonts w:asciiTheme="majorBidi" w:hAnsiTheme="majorBidi" w:cstheme="majorBidi"/>
        </w:rPr>
      </w:pPr>
      <w:r w:rsidRPr="00166EBD">
        <w:rPr>
          <w:rStyle w:val="FootnoteReference"/>
          <w:rFonts w:asciiTheme="majorBidi" w:hAnsiTheme="majorBidi" w:cstheme="majorBidi"/>
        </w:rPr>
        <w:footnoteRef/>
      </w:r>
      <w:r w:rsidRPr="00166EBD">
        <w:rPr>
          <w:rFonts w:asciiTheme="majorBidi" w:hAnsiTheme="majorBidi" w:cstheme="majorBidi"/>
        </w:rPr>
        <w:t xml:space="preserve"> Lihat. Wahbah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Pr>
          <w:rFonts w:asciiTheme="majorBidi" w:hAnsiTheme="majorBidi" w:cstheme="majorBidi"/>
        </w:rPr>
        <w:t>,</w:t>
      </w:r>
      <w:r w:rsidRPr="00166EBD">
        <w:rPr>
          <w:rFonts w:asciiTheme="majorBidi" w:hAnsiTheme="majorBidi" w:cstheme="majorBidi"/>
        </w:rPr>
        <w:t>( Damascus: Dar al-Fkr, 2007), jilid IX, h, 6886</w:t>
      </w:r>
    </w:p>
  </w:footnote>
  <w:footnote w:id="713">
    <w:p w:rsidR="00343B61" w:rsidRPr="001F4B5D" w:rsidRDefault="00343B61" w:rsidP="00343B61">
      <w:pPr>
        <w:pStyle w:val="FootnoteText"/>
        <w:ind w:firstLine="720"/>
        <w:jc w:val="both"/>
        <w:rPr>
          <w:rFonts w:asciiTheme="majorBidi" w:hAnsiTheme="majorBidi" w:cstheme="majorBidi"/>
        </w:rPr>
      </w:pPr>
      <w:r w:rsidRPr="001F4B5D">
        <w:rPr>
          <w:rStyle w:val="FootnoteReference"/>
          <w:rFonts w:asciiTheme="majorBidi" w:hAnsiTheme="majorBidi" w:cstheme="majorBidi"/>
        </w:rPr>
        <w:footnoteRef/>
      </w:r>
      <w:r w:rsidRPr="001F4B5D">
        <w:rPr>
          <w:rFonts w:asciiTheme="majorBidi" w:hAnsiTheme="majorBidi" w:cstheme="majorBidi"/>
        </w:rPr>
        <w:t xml:space="preserve"> Lihat.Sulaiman bin Daud al-Jarud, </w:t>
      </w:r>
      <w:r w:rsidRPr="001F4B5D">
        <w:rPr>
          <w:rFonts w:asciiTheme="majorBidi" w:hAnsiTheme="majorBidi" w:cstheme="majorBidi"/>
          <w:i/>
          <w:iCs/>
        </w:rPr>
        <w:t>Musnad Abi Daud al-Thay</w:t>
      </w:r>
      <w:r w:rsidRPr="000B1266">
        <w:rPr>
          <w:rFonts w:asciiTheme="majorBidi" w:hAnsiTheme="majorBidi" w:cstheme="majorBidi"/>
          <w:i/>
          <w:iCs/>
          <w:spacing w:val="1"/>
          <w:lang w:val="fi-FI"/>
        </w:rPr>
        <w:t>ā</w:t>
      </w:r>
      <w:r w:rsidRPr="001F4B5D">
        <w:rPr>
          <w:rFonts w:asciiTheme="majorBidi" w:hAnsiTheme="majorBidi" w:cstheme="majorBidi"/>
          <w:i/>
          <w:iCs/>
        </w:rPr>
        <w:t>lisi</w:t>
      </w:r>
      <w:r w:rsidRPr="001F4B5D">
        <w:rPr>
          <w:rFonts w:asciiTheme="majorBidi" w:hAnsiTheme="majorBidi" w:cstheme="majorBidi"/>
        </w:rPr>
        <w:t>, ( Medinah: Markaz al-Buhuts al-Islamiyah, 1999), Jilid III,  h. 17</w:t>
      </w:r>
    </w:p>
  </w:footnote>
  <w:footnote w:id="714">
    <w:p w:rsidR="00343B61" w:rsidRPr="00A807AC" w:rsidRDefault="00343B61" w:rsidP="00343B61">
      <w:pPr>
        <w:pStyle w:val="FootnoteText"/>
        <w:ind w:firstLine="720"/>
        <w:jc w:val="both"/>
        <w:rPr>
          <w:rFonts w:asciiTheme="majorBidi" w:hAnsiTheme="majorBidi" w:cstheme="majorBidi"/>
        </w:rPr>
      </w:pPr>
      <w:r w:rsidRPr="00A807AC">
        <w:rPr>
          <w:rStyle w:val="FootnoteReference"/>
          <w:rFonts w:asciiTheme="majorBidi" w:hAnsiTheme="majorBidi" w:cstheme="majorBidi"/>
        </w:rPr>
        <w:footnoteRef/>
      </w:r>
      <w:r>
        <w:rPr>
          <w:rFonts w:asciiTheme="majorBidi" w:hAnsiTheme="majorBidi" w:cstheme="majorBidi"/>
        </w:rPr>
        <w:t xml:space="preserve"> </w:t>
      </w:r>
      <w:r w:rsidRPr="00A807AC">
        <w:rPr>
          <w:rFonts w:asciiTheme="majorBidi" w:hAnsiTheme="majorBidi" w:cstheme="majorBidi"/>
        </w:rPr>
        <w:t xml:space="preserve">Lihat. Amir Syarifuddin, </w:t>
      </w:r>
      <w:r w:rsidRPr="00A807AC">
        <w:rPr>
          <w:rFonts w:asciiTheme="majorBidi" w:hAnsiTheme="majorBidi" w:cstheme="majorBidi"/>
          <w:i/>
          <w:iCs/>
        </w:rPr>
        <w:t>Hukum Perkawninan Islam di Indonesia Anatara Fiqh Munakahat dan Undang-Undang Perkawinan</w:t>
      </w:r>
      <w:r w:rsidRPr="00A807AC">
        <w:rPr>
          <w:rFonts w:asciiTheme="majorBidi" w:hAnsiTheme="majorBidi" w:cstheme="majorBidi"/>
        </w:rPr>
        <w:t>, ( Jakarta: PrenadaMedia group, 2006), h. 214-215</w:t>
      </w:r>
    </w:p>
  </w:footnote>
  <w:footnote w:id="715">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Wahbah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sidRPr="00166EBD">
        <w:rPr>
          <w:rFonts w:asciiTheme="majorBidi" w:hAnsiTheme="majorBidi" w:cstheme="majorBidi"/>
        </w:rPr>
        <w:t xml:space="preserve">, ( Damascus: Dar </w:t>
      </w:r>
      <w:r>
        <w:rPr>
          <w:rFonts w:asciiTheme="majorBidi" w:hAnsiTheme="majorBidi" w:cstheme="majorBidi"/>
        </w:rPr>
        <w:t>al-Fkr, 2007), jilid IX, h, 6936</w:t>
      </w:r>
    </w:p>
  </w:footnote>
  <w:footnote w:id="716">
    <w:p w:rsidR="00343B61" w:rsidRPr="002A4ABE" w:rsidRDefault="00343B61" w:rsidP="00343B61">
      <w:pPr>
        <w:pStyle w:val="FootnoteText"/>
        <w:ind w:firstLine="720"/>
        <w:jc w:val="both"/>
        <w:rPr>
          <w:rFonts w:asciiTheme="majorBidi" w:hAnsiTheme="majorBidi" w:cstheme="majorBidi"/>
        </w:rPr>
      </w:pPr>
      <w:r w:rsidRPr="002A4ABE">
        <w:rPr>
          <w:rStyle w:val="FootnoteReference"/>
          <w:rFonts w:asciiTheme="majorBidi" w:hAnsiTheme="majorBidi" w:cstheme="majorBidi"/>
        </w:rPr>
        <w:footnoteRef/>
      </w:r>
      <w:r>
        <w:rPr>
          <w:rFonts w:asciiTheme="majorBidi" w:hAnsiTheme="majorBidi" w:cstheme="majorBidi"/>
        </w:rPr>
        <w:t xml:space="preserve"> </w:t>
      </w:r>
      <w:r w:rsidRPr="002A4ABE">
        <w:rPr>
          <w:rFonts w:asciiTheme="majorBidi" w:hAnsiTheme="majorBidi" w:cstheme="majorBidi"/>
        </w:rPr>
        <w:t xml:space="preserve">lebih </w:t>
      </w:r>
      <w:r>
        <w:rPr>
          <w:rFonts w:asciiTheme="majorBidi" w:hAnsiTheme="majorBidi" w:cstheme="majorBidi"/>
        </w:rPr>
        <w:t>lanjut al-Khathib menuliskan, seandianya suami menulis surat kepada istrinya” Kalau surat ini sampai kepadamu, maka kamu saya ceraikan.” Maka apabila surat itu hilang, atau dihapus oleh suami isinya, maka talak tidak jatuh. Lihat.</w:t>
      </w:r>
      <w:r w:rsidRPr="002A4ABE">
        <w:rPr>
          <w:rFonts w:asciiTheme="majorBidi" w:hAnsiTheme="majorBidi" w:cstheme="majorBidi"/>
        </w:rPr>
        <w:t xml:space="preserve"> Muhammad al-Khathib al-Syarbaini, </w:t>
      </w:r>
      <w:r w:rsidRPr="002A4ABE">
        <w:rPr>
          <w:rFonts w:asciiTheme="majorBidi" w:hAnsiTheme="majorBidi" w:cstheme="majorBidi"/>
          <w:i/>
          <w:iCs/>
        </w:rPr>
        <w:t>Mughni al-Muht</w:t>
      </w:r>
      <w:r w:rsidRPr="00AC6C5F">
        <w:rPr>
          <w:rFonts w:asciiTheme="majorBidi" w:hAnsiTheme="majorBidi" w:cstheme="majorBidi"/>
          <w:i/>
          <w:iCs/>
        </w:rPr>
        <w:t>ā</w:t>
      </w:r>
      <w:r w:rsidRPr="002A4ABE">
        <w:rPr>
          <w:rFonts w:asciiTheme="majorBidi" w:hAnsiTheme="majorBidi" w:cstheme="majorBidi"/>
          <w:i/>
          <w:iCs/>
        </w:rPr>
        <w:t>j ila Ma’rifah Ma’ani al-Fazh al-Minh</w:t>
      </w:r>
      <w:r w:rsidRPr="00AC6C5F">
        <w:rPr>
          <w:rFonts w:asciiTheme="majorBidi" w:hAnsiTheme="majorBidi" w:cstheme="majorBidi"/>
          <w:i/>
          <w:iCs/>
        </w:rPr>
        <w:t>ā</w:t>
      </w:r>
      <w:r w:rsidRPr="002A4ABE">
        <w:rPr>
          <w:rFonts w:asciiTheme="majorBidi" w:hAnsiTheme="majorBidi" w:cstheme="majorBidi"/>
          <w:i/>
          <w:iCs/>
        </w:rPr>
        <w:t>j</w:t>
      </w:r>
      <w:r w:rsidRPr="002A4ABE">
        <w:rPr>
          <w:rFonts w:asciiTheme="majorBidi" w:hAnsiTheme="majorBidi" w:cstheme="majorBidi"/>
        </w:rPr>
        <w:t>, ( T.t: Dar al-Fikr,  t.th), Jilid III, h. 284</w:t>
      </w:r>
      <w:r>
        <w:rPr>
          <w:rFonts w:asciiTheme="majorBidi" w:hAnsiTheme="majorBidi" w:cstheme="majorBidi"/>
        </w:rPr>
        <w:t>-285</w:t>
      </w:r>
    </w:p>
  </w:footnote>
  <w:footnote w:id="717">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Pr>
          <w:rFonts w:asciiTheme="majorBidi" w:hAnsiTheme="majorBidi" w:cstheme="majorBidi"/>
        </w:rPr>
        <w:t>, (</w:t>
      </w:r>
      <w:r w:rsidRPr="004666EA">
        <w:rPr>
          <w:rFonts w:asciiTheme="majorBidi" w:hAnsiTheme="majorBidi" w:cstheme="majorBidi"/>
        </w:rPr>
        <w:t>Medinah al-Munawwarah: Mujamma’ al-Malik Fahd Li al-Thiba’ah M</w:t>
      </w:r>
      <w:r>
        <w:rPr>
          <w:rFonts w:asciiTheme="majorBidi" w:hAnsiTheme="majorBidi" w:cstheme="majorBidi"/>
        </w:rPr>
        <w:t>ush-haf al-Syarif, 1418), h. 58</w:t>
      </w:r>
    </w:p>
  </w:footnote>
  <w:footnote w:id="718">
    <w:p w:rsidR="00343B61" w:rsidRDefault="00343B61" w:rsidP="00343B61">
      <w:pPr>
        <w:pStyle w:val="FootnoteText"/>
        <w:ind w:firstLine="720"/>
        <w:jc w:val="both"/>
        <w:rPr>
          <w:rtl/>
        </w:rPr>
      </w:pPr>
      <w:r>
        <w:rPr>
          <w:rStyle w:val="FootnoteReference"/>
        </w:rPr>
        <w:footnoteRef/>
      </w:r>
      <w:r>
        <w:t xml:space="preserve"> </w:t>
      </w:r>
      <w:r w:rsidRPr="00C36F1F">
        <w:rPr>
          <w:rFonts w:asciiTheme="majorBidi" w:hAnsiTheme="majorBidi" w:cstheme="majorBidi"/>
        </w:rPr>
        <w:t>Lihat</w:t>
      </w:r>
      <w:r>
        <w:rPr>
          <w:rFonts w:asciiTheme="majorBidi" w:hAnsiTheme="majorBidi" w:cstheme="majorBidi"/>
        </w:rPr>
        <w:t>.</w:t>
      </w:r>
      <w:r w:rsidRPr="00C36F1F">
        <w:rPr>
          <w:rFonts w:asciiTheme="majorBidi" w:hAnsiTheme="majorBidi" w:cstheme="majorBidi"/>
        </w:rPr>
        <w:t xml:space="preserve"> Abu Abdullah Muhammad bin Umar bin al-Hasan</w:t>
      </w:r>
      <w:r>
        <w:rPr>
          <w:rFonts w:asciiTheme="majorBidi" w:hAnsiTheme="majorBidi" w:cstheme="majorBidi"/>
        </w:rPr>
        <w:t xml:space="preserve"> </w:t>
      </w:r>
      <w:r w:rsidRPr="00C36F1F">
        <w:rPr>
          <w:rFonts w:asciiTheme="majorBidi" w:hAnsiTheme="majorBidi" w:cstheme="majorBidi"/>
        </w:rPr>
        <w:t xml:space="preserve">al-Razi, </w:t>
      </w:r>
      <w:r w:rsidRPr="00C36F1F">
        <w:rPr>
          <w:rFonts w:asciiTheme="majorBidi" w:hAnsiTheme="majorBidi" w:cstheme="majorBidi"/>
          <w:i/>
          <w:iCs/>
        </w:rPr>
        <w:t>Maf</w:t>
      </w:r>
      <w:r w:rsidRPr="00AC6C5F">
        <w:rPr>
          <w:rFonts w:asciiTheme="majorBidi" w:hAnsiTheme="majorBidi" w:cstheme="majorBidi"/>
          <w:i/>
          <w:iCs/>
        </w:rPr>
        <w:t>ā</w:t>
      </w:r>
      <w:r w:rsidRPr="00C36F1F">
        <w:rPr>
          <w:rFonts w:asciiTheme="majorBidi" w:hAnsiTheme="majorBidi" w:cstheme="majorBidi"/>
          <w:i/>
          <w:iCs/>
        </w:rPr>
        <w:t>tih al-Ghaib</w:t>
      </w:r>
      <w:r w:rsidRPr="00C36F1F">
        <w:rPr>
          <w:rFonts w:asciiTheme="majorBidi" w:hAnsiTheme="majorBidi" w:cstheme="majorBidi"/>
        </w:rPr>
        <w:t>, ( Bairut: Dar Ihya Turats al-‘Arabi), Jilid X, h. 562</w:t>
      </w:r>
    </w:p>
  </w:footnote>
  <w:footnote w:id="719">
    <w:p w:rsidR="00343B61" w:rsidRDefault="00343B61" w:rsidP="00343B61">
      <w:pPr>
        <w:pStyle w:val="FootnoteText"/>
        <w:ind w:firstLine="720"/>
        <w:jc w:val="both"/>
      </w:pPr>
      <w:r>
        <w:rPr>
          <w:rStyle w:val="FootnoteReference"/>
        </w:rPr>
        <w:footnoteRef/>
      </w:r>
      <w:r>
        <w:t xml:space="preserve"> </w:t>
      </w:r>
      <w:r w:rsidRPr="00A807AC">
        <w:rPr>
          <w:rFonts w:asciiTheme="majorBidi" w:hAnsiTheme="majorBidi" w:cstheme="majorBidi"/>
        </w:rPr>
        <w:t xml:space="preserve">Lihat. Amir Syarifuddin, </w:t>
      </w:r>
      <w:r w:rsidRPr="00A807AC">
        <w:rPr>
          <w:rFonts w:asciiTheme="majorBidi" w:hAnsiTheme="majorBidi" w:cstheme="majorBidi"/>
          <w:i/>
          <w:iCs/>
        </w:rPr>
        <w:t>Hukum Perkawninan Islam di Indonesia Anatara Fiqh Munakahat dan Undang-Undang Perkawinan</w:t>
      </w:r>
      <w:r w:rsidRPr="00A807AC">
        <w:rPr>
          <w:rFonts w:asciiTheme="majorBidi" w:hAnsiTheme="majorBidi" w:cstheme="majorBidi"/>
        </w:rPr>
        <w:t>, ( Jakarta: PrenadaMedia group, 2006), h. 217</w:t>
      </w:r>
    </w:p>
  </w:footnote>
  <w:footnote w:id="720">
    <w:p w:rsidR="00343B61" w:rsidRPr="00EF6872" w:rsidRDefault="00343B61" w:rsidP="00343B61">
      <w:pPr>
        <w:pStyle w:val="FootnoteText"/>
        <w:ind w:firstLine="720"/>
        <w:jc w:val="both"/>
        <w:rPr>
          <w:rFonts w:asciiTheme="majorBidi" w:hAnsiTheme="majorBidi" w:cstheme="majorBidi"/>
        </w:rPr>
      </w:pPr>
      <w:r w:rsidRPr="00EF6872">
        <w:rPr>
          <w:rStyle w:val="FootnoteReference"/>
          <w:rFonts w:asciiTheme="majorBidi" w:hAnsiTheme="majorBidi" w:cstheme="majorBidi"/>
        </w:rPr>
        <w:footnoteRef/>
      </w:r>
      <w:r w:rsidRPr="00EF6872">
        <w:rPr>
          <w:rFonts w:asciiTheme="majorBidi" w:hAnsiTheme="majorBidi" w:cstheme="majorBidi"/>
        </w:rPr>
        <w:t xml:space="preserve"> </w:t>
      </w:r>
      <w:r>
        <w:rPr>
          <w:rFonts w:asciiTheme="majorBidi" w:hAnsiTheme="majorBidi" w:cstheme="majorBidi"/>
        </w:rPr>
        <w:t xml:space="preserve">Lihat. </w:t>
      </w:r>
      <w:r w:rsidRPr="00EF6872">
        <w:rPr>
          <w:rFonts w:asciiTheme="majorBidi" w:hAnsiTheme="majorBidi" w:cstheme="majorBidi"/>
        </w:rPr>
        <w:t xml:space="preserve">Sayid Sabiq, </w:t>
      </w:r>
      <w:r w:rsidRPr="00EF6872">
        <w:rPr>
          <w:rFonts w:asciiTheme="majorBidi" w:hAnsiTheme="majorBidi" w:cstheme="majorBidi"/>
          <w:i/>
          <w:iCs/>
        </w:rPr>
        <w:t>Fiqh Sunnah</w:t>
      </w:r>
      <w:r w:rsidRPr="00EF6872">
        <w:rPr>
          <w:rFonts w:asciiTheme="majorBidi" w:hAnsiTheme="majorBidi" w:cstheme="majorBidi"/>
        </w:rPr>
        <w:t>, ( Bairut: Dar al-Fikr, 1977), Jilid II, h. 220-221</w:t>
      </w:r>
    </w:p>
  </w:footnote>
  <w:footnote w:id="721">
    <w:p w:rsidR="00343B61" w:rsidRPr="005F4B79"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5F4B79">
        <w:rPr>
          <w:rStyle w:val="FootnoteReference"/>
          <w:rFonts w:asciiTheme="majorBidi" w:hAnsiTheme="majorBidi" w:cstheme="majorBidi"/>
          <w:sz w:val="20"/>
          <w:szCs w:val="20"/>
        </w:rPr>
        <w:footnoteRef/>
      </w:r>
      <w:r w:rsidRPr="005F4B79">
        <w:rPr>
          <w:rFonts w:asciiTheme="majorBidi" w:hAnsiTheme="majorBidi" w:cstheme="majorBidi"/>
          <w:sz w:val="20"/>
          <w:szCs w:val="20"/>
        </w:rPr>
        <w:t xml:space="preserve"> Lihat. Ichwan Syam, dkk, </w:t>
      </w:r>
      <w:r w:rsidRPr="005F4B79">
        <w:rPr>
          <w:rFonts w:asciiTheme="majorBidi" w:hAnsiTheme="majorBidi" w:cstheme="majorBidi"/>
          <w:i/>
          <w:iCs/>
          <w:sz w:val="20"/>
          <w:szCs w:val="20"/>
        </w:rPr>
        <w:t>Himpunan Keputusan Ijtima Ulama Komisa Fatwa MUI se-Indonesia IV Tahun 2012 di Ponpes Cipasung, Tasikmalaya</w:t>
      </w:r>
      <w:r w:rsidRPr="005F4B79">
        <w:rPr>
          <w:rFonts w:asciiTheme="majorBidi" w:hAnsiTheme="majorBidi" w:cstheme="majorBidi"/>
          <w:sz w:val="20"/>
          <w:szCs w:val="20"/>
        </w:rPr>
        <w:t>, ( Jakarta: Majelis Ulama Indonesia, 2012), h. 46</w:t>
      </w:r>
    </w:p>
  </w:footnote>
  <w:footnote w:id="722">
    <w:p w:rsidR="00343B61" w:rsidRDefault="00343B61" w:rsidP="00343B61">
      <w:pPr>
        <w:pStyle w:val="FootnoteText"/>
        <w:ind w:firstLine="720"/>
      </w:pPr>
      <w:r>
        <w:rPr>
          <w:rStyle w:val="FootnoteReference"/>
        </w:rPr>
        <w:footnoteRef/>
      </w:r>
      <w:r>
        <w:t xml:space="preserve"> </w:t>
      </w:r>
      <w:r w:rsidRPr="005F4B79">
        <w:rPr>
          <w:rFonts w:asciiTheme="majorBidi" w:hAnsiTheme="majorBidi" w:cstheme="majorBidi"/>
        </w:rPr>
        <w:t xml:space="preserve">Lihat. Ichwan Syam, dkk, </w:t>
      </w:r>
      <w:r w:rsidRPr="005F4B79">
        <w:rPr>
          <w:rFonts w:asciiTheme="majorBidi" w:hAnsiTheme="majorBidi" w:cstheme="majorBidi"/>
          <w:i/>
          <w:iCs/>
        </w:rPr>
        <w:t>Himpunan Keputusan Ijtima Ulama Komisa Fatwa MUI se-Indonesia IV Tahun 2012 di Ponpes Cipasung, Tasikmalaya</w:t>
      </w:r>
      <w:r w:rsidRPr="005F4B79">
        <w:rPr>
          <w:rFonts w:asciiTheme="majorBidi" w:hAnsiTheme="majorBidi" w:cstheme="majorBidi"/>
        </w:rPr>
        <w:t>, ( Jakarta: Majelis Ulama Indonesia, 2012), h. 46</w:t>
      </w:r>
    </w:p>
  </w:footnote>
  <w:footnote w:id="723">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945</w:t>
      </w:r>
    </w:p>
  </w:footnote>
  <w:footnote w:id="724">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945</w:t>
      </w:r>
    </w:p>
  </w:footnote>
  <w:footnote w:id="725">
    <w:p w:rsidR="00343B61" w:rsidRDefault="00343B61" w:rsidP="00343B61">
      <w:pPr>
        <w:pStyle w:val="FootnoteText"/>
        <w:ind w:firstLine="720"/>
        <w:jc w:val="both"/>
      </w:pPr>
      <w:r>
        <w:rPr>
          <w:rStyle w:val="FootnoteReference"/>
        </w:rPr>
        <w:footnoteRef/>
      </w:r>
      <w:r>
        <w:t xml:space="preserve"> </w:t>
      </w:r>
      <w:r>
        <w:rPr>
          <w:rFonts w:asciiTheme="majorBidi" w:hAnsiTheme="majorBidi" w:cstheme="majorBidi"/>
        </w:rPr>
        <w:t xml:space="preserve">Lihat. </w:t>
      </w:r>
      <w:r w:rsidRPr="004666EA">
        <w:rPr>
          <w:rFonts w:asciiTheme="majorBidi" w:hAnsiTheme="majorBidi" w:cstheme="majorBidi"/>
        </w:rPr>
        <w:t xml:space="preserve">Depag RI, </w:t>
      </w:r>
      <w:r w:rsidRPr="004666EA">
        <w:rPr>
          <w:rFonts w:asciiTheme="majorBidi" w:hAnsiTheme="majorBidi" w:cstheme="majorBidi"/>
          <w:i/>
          <w:iCs/>
        </w:rPr>
        <w:t>Al-Quran dan Terjamahannya</w:t>
      </w:r>
      <w:r w:rsidRPr="004666EA">
        <w:rPr>
          <w:rFonts w:asciiTheme="majorBidi" w:hAnsiTheme="majorBidi" w:cstheme="majorBidi"/>
        </w:rPr>
        <w:t>, ( Medinah al-Munawwarah: Mujamma’ al-Malik Fahd Li al-Thiba’ah M</w:t>
      </w:r>
      <w:r>
        <w:rPr>
          <w:rFonts w:asciiTheme="majorBidi" w:hAnsiTheme="majorBidi" w:cstheme="majorBidi"/>
        </w:rPr>
        <w:t>ush-haf al-Syarif, 1418), h. 58</w:t>
      </w:r>
    </w:p>
  </w:footnote>
  <w:footnote w:id="726">
    <w:p w:rsidR="00343B61" w:rsidRPr="00EB1208" w:rsidRDefault="00343B61" w:rsidP="00343B61">
      <w:pPr>
        <w:pStyle w:val="FootnoteText"/>
        <w:ind w:firstLine="720"/>
        <w:jc w:val="both"/>
        <w:rPr>
          <w:rFonts w:asciiTheme="majorBidi" w:hAnsiTheme="majorBidi" w:cstheme="majorBidi"/>
        </w:rPr>
      </w:pPr>
      <w:r w:rsidRPr="00EB1208">
        <w:rPr>
          <w:rStyle w:val="FootnoteReference"/>
          <w:rFonts w:asciiTheme="majorBidi" w:hAnsiTheme="majorBidi" w:cstheme="majorBidi"/>
        </w:rPr>
        <w:footnoteRef/>
      </w:r>
      <w:r w:rsidRPr="00EB1208">
        <w:rPr>
          <w:rFonts w:asciiTheme="majorBidi" w:hAnsiTheme="majorBidi" w:cstheme="majorBidi"/>
        </w:rPr>
        <w:t xml:space="preserve"> Lihat. Muhammab Ibn ‘Isa Al-Turmudzi, </w:t>
      </w:r>
      <w:r w:rsidRPr="00EB1208">
        <w:rPr>
          <w:rFonts w:asciiTheme="majorBidi" w:hAnsiTheme="majorBidi" w:cstheme="majorBidi"/>
          <w:i/>
          <w:iCs/>
        </w:rPr>
        <w:t>Al-J</w:t>
      </w:r>
      <w:r w:rsidRPr="00AC6C5F">
        <w:rPr>
          <w:rFonts w:asciiTheme="majorBidi" w:hAnsiTheme="majorBidi" w:cstheme="majorBidi"/>
          <w:i/>
          <w:iCs/>
        </w:rPr>
        <w:t>ā</w:t>
      </w:r>
      <w:r w:rsidRPr="00EB1208">
        <w:rPr>
          <w:rFonts w:asciiTheme="majorBidi" w:hAnsiTheme="majorBidi" w:cstheme="majorBidi"/>
          <w:i/>
          <w:iCs/>
        </w:rPr>
        <w:t>mi’Al-Shoheh Sunan Turmudzi</w:t>
      </w:r>
      <w:r w:rsidRPr="00EB1208">
        <w:rPr>
          <w:rFonts w:asciiTheme="majorBidi" w:hAnsiTheme="majorBidi" w:cstheme="majorBidi"/>
        </w:rPr>
        <w:t xml:space="preserve">, ( Bairut: Dar Al-Ihya Al-Turats Al-Arabi, t.th), Jilid III, h. 490. Lihat juga Muhammad Ibn Yazin Al-Qazwainy, </w:t>
      </w:r>
      <w:r w:rsidRPr="00EB1208">
        <w:rPr>
          <w:rFonts w:asciiTheme="majorBidi" w:hAnsiTheme="majorBidi" w:cstheme="majorBidi"/>
          <w:i/>
          <w:iCs/>
        </w:rPr>
        <w:t>Sunan Ibnu Majah</w:t>
      </w:r>
      <w:r w:rsidRPr="00EB1208">
        <w:rPr>
          <w:rFonts w:asciiTheme="majorBidi" w:hAnsiTheme="majorBidi" w:cstheme="majorBidi"/>
        </w:rPr>
        <w:t>, ( Bairut: Dar Al-Fikr, t.th), Jilid II, h. 225</w:t>
      </w:r>
    </w:p>
  </w:footnote>
  <w:footnote w:id="727">
    <w:p w:rsidR="00343B61" w:rsidRPr="00EB1208"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EB1208">
        <w:rPr>
          <w:rStyle w:val="FootnoteReference"/>
          <w:rFonts w:asciiTheme="majorBidi" w:hAnsiTheme="majorBidi" w:cstheme="majorBidi"/>
          <w:sz w:val="20"/>
          <w:szCs w:val="20"/>
        </w:rPr>
        <w:footnoteRef/>
      </w:r>
      <w:r w:rsidRPr="00EB1208">
        <w:rPr>
          <w:rFonts w:asciiTheme="majorBidi" w:hAnsiTheme="majorBidi" w:cstheme="majorBidi"/>
          <w:sz w:val="20"/>
          <w:szCs w:val="20"/>
        </w:rPr>
        <w:t xml:space="preserve"> Lihat. </w:t>
      </w:r>
      <w:r w:rsidRPr="00EB1208">
        <w:rPr>
          <w:rFonts w:asciiTheme="majorBidi" w:eastAsiaTheme="minorHAnsi" w:hAnsiTheme="majorBidi" w:cstheme="majorBidi"/>
          <w:color w:val="000000"/>
          <w:sz w:val="20"/>
          <w:szCs w:val="20"/>
        </w:rPr>
        <w:t xml:space="preserve">Abu Bakar Ahmad bin al-Husein al-Baihaqi, </w:t>
      </w:r>
      <w:r w:rsidRPr="00EB1208">
        <w:rPr>
          <w:rFonts w:asciiTheme="majorBidi" w:eastAsiaTheme="minorHAnsi" w:hAnsiTheme="majorBidi" w:cstheme="majorBidi"/>
          <w:i/>
          <w:iCs/>
          <w:color w:val="000000"/>
          <w:sz w:val="20"/>
          <w:szCs w:val="20"/>
        </w:rPr>
        <w:t>Syu’b al-Im</w:t>
      </w:r>
      <w:r w:rsidRPr="00AC6C5F">
        <w:rPr>
          <w:rFonts w:asciiTheme="majorBidi" w:hAnsiTheme="majorBidi" w:cstheme="majorBidi"/>
          <w:i/>
          <w:iCs/>
          <w:sz w:val="20"/>
          <w:szCs w:val="20"/>
        </w:rPr>
        <w:t>ā</w:t>
      </w:r>
      <w:r w:rsidRPr="00EB1208">
        <w:rPr>
          <w:rFonts w:asciiTheme="majorBidi" w:eastAsiaTheme="minorHAnsi" w:hAnsiTheme="majorBidi" w:cstheme="majorBidi"/>
          <w:i/>
          <w:iCs/>
          <w:color w:val="000000"/>
          <w:sz w:val="20"/>
          <w:szCs w:val="20"/>
        </w:rPr>
        <w:t>n</w:t>
      </w:r>
      <w:r w:rsidRPr="00EB1208">
        <w:rPr>
          <w:rFonts w:asciiTheme="majorBidi" w:eastAsiaTheme="minorHAnsi" w:hAnsiTheme="majorBidi" w:cstheme="majorBidi"/>
          <w:color w:val="000000"/>
          <w:sz w:val="20"/>
          <w:szCs w:val="20"/>
        </w:rPr>
        <w:t>, ( Bairut: Dar al-Kutub al ‘ilmiyah, 1410), Jilid 6, h. 66.</w:t>
      </w:r>
    </w:p>
  </w:footnote>
  <w:footnote w:id="728">
    <w:p w:rsidR="00343B61" w:rsidRPr="007A1BC7" w:rsidRDefault="00343B61" w:rsidP="00343B61">
      <w:pPr>
        <w:pStyle w:val="FootnoteText"/>
        <w:ind w:firstLine="720"/>
        <w:rPr>
          <w:rFonts w:asciiTheme="majorBidi" w:hAnsiTheme="majorBidi" w:cstheme="majorBidi"/>
          <w:rtl/>
        </w:rPr>
      </w:pPr>
      <w:r w:rsidRPr="007A1BC7">
        <w:rPr>
          <w:rStyle w:val="FootnoteReference"/>
          <w:rFonts w:asciiTheme="majorBidi" w:hAnsiTheme="majorBidi" w:cstheme="majorBidi"/>
        </w:rPr>
        <w:footnoteRef/>
      </w:r>
      <w:r w:rsidRPr="007A1BC7">
        <w:rPr>
          <w:rFonts w:asciiTheme="majorBidi" w:hAnsiTheme="majorBidi" w:cstheme="majorBidi"/>
        </w:rPr>
        <w:t xml:space="preserve"> Lihat. Taqiu al-Din abu Al-Baqa Muhamad bin Ahmad al-Najjar, </w:t>
      </w:r>
      <w:r w:rsidRPr="007A1BC7">
        <w:rPr>
          <w:rFonts w:asciiTheme="majorBidi" w:hAnsiTheme="majorBidi" w:cstheme="majorBidi"/>
          <w:i/>
          <w:iCs/>
        </w:rPr>
        <w:t>Syarh Al-Kaukab al-Munir</w:t>
      </w:r>
      <w:r w:rsidRPr="007A1BC7">
        <w:rPr>
          <w:rFonts w:asciiTheme="majorBidi" w:hAnsiTheme="majorBidi" w:cstheme="majorBidi"/>
        </w:rPr>
        <w:t>, ( t.t: Maktabah al-‘Abikan, 1997), Jilid IV, h. 442</w:t>
      </w:r>
    </w:p>
  </w:footnote>
  <w:footnote w:id="729">
    <w:p w:rsidR="00343B61" w:rsidRPr="00791090" w:rsidRDefault="00343B61" w:rsidP="00343B61">
      <w:pPr>
        <w:spacing w:after="0" w:line="240" w:lineRule="auto"/>
        <w:ind w:firstLine="720"/>
        <w:jc w:val="both"/>
        <w:rPr>
          <w:rFonts w:asciiTheme="majorBidi" w:eastAsiaTheme="minorHAnsi" w:hAnsiTheme="majorBidi" w:cstheme="majorBidi"/>
          <w:color w:val="000000"/>
          <w:sz w:val="20"/>
          <w:szCs w:val="20"/>
          <w:rtl/>
        </w:rPr>
      </w:pPr>
      <w:r w:rsidRPr="00791090">
        <w:rPr>
          <w:rStyle w:val="FootnoteReference"/>
          <w:rFonts w:asciiTheme="majorBidi" w:hAnsiTheme="majorBidi" w:cstheme="majorBidi"/>
        </w:rPr>
        <w:footnoteRef/>
      </w:r>
      <w:r w:rsidRPr="00791090">
        <w:rPr>
          <w:rFonts w:asciiTheme="majorBidi" w:hAnsiTheme="majorBidi" w:cstheme="majorBidi"/>
        </w:rPr>
        <w:t xml:space="preserve"> Lihat. </w:t>
      </w:r>
      <w:r w:rsidRPr="00791090">
        <w:rPr>
          <w:rFonts w:asciiTheme="majorBidi" w:eastAsiaTheme="minorHAnsi" w:hAnsiTheme="majorBidi" w:cstheme="majorBidi"/>
          <w:color w:val="000000"/>
          <w:sz w:val="20"/>
          <w:szCs w:val="20"/>
        </w:rPr>
        <w:t xml:space="preserve">Abd al-Rahman Bin Abi Bakar al-Suyuthi, </w:t>
      </w:r>
      <w:r w:rsidRPr="004666EA">
        <w:rPr>
          <w:rFonts w:asciiTheme="majorBidi" w:hAnsiTheme="majorBidi" w:cstheme="majorBidi"/>
          <w:i/>
          <w:iCs/>
          <w:color w:val="000000"/>
          <w:sz w:val="20"/>
          <w:szCs w:val="20"/>
        </w:rPr>
        <w:t>al-Asyab</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h wa al-Nazh</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’ir</w:t>
      </w:r>
      <w:r w:rsidRPr="00791090">
        <w:rPr>
          <w:rFonts w:asciiTheme="majorBidi" w:eastAsiaTheme="minorHAnsi" w:hAnsiTheme="majorBidi" w:cstheme="majorBidi"/>
          <w:i/>
          <w:iCs/>
          <w:color w:val="000000"/>
          <w:sz w:val="20"/>
          <w:szCs w:val="20"/>
        </w:rPr>
        <w:t xml:space="preserve">, </w:t>
      </w:r>
      <w:r w:rsidRPr="00791090">
        <w:rPr>
          <w:rFonts w:asciiTheme="majorBidi" w:eastAsiaTheme="minorHAnsi" w:hAnsiTheme="majorBidi" w:cstheme="majorBidi"/>
          <w:color w:val="000000"/>
          <w:sz w:val="20"/>
          <w:szCs w:val="20"/>
        </w:rPr>
        <w:t>( Bairut: Dar al-Kutub al-‘Ilmiyah, 1403 ), jilid II, h. 189</w:t>
      </w:r>
    </w:p>
  </w:footnote>
  <w:footnote w:id="730">
    <w:p w:rsidR="00343B61" w:rsidRPr="004666EA" w:rsidRDefault="00343B61" w:rsidP="00343B61">
      <w:pPr>
        <w:spacing w:after="0" w:line="240" w:lineRule="auto"/>
        <w:ind w:firstLine="720"/>
        <w:jc w:val="both"/>
        <w:rPr>
          <w:rFonts w:asciiTheme="majorBidi" w:eastAsiaTheme="minorHAnsi" w:hAnsiTheme="majorBidi" w:cstheme="majorBidi"/>
          <w:color w:val="000000"/>
          <w:sz w:val="20"/>
          <w:szCs w:val="20"/>
        </w:rPr>
      </w:pPr>
      <w:r w:rsidRPr="004666EA">
        <w:rPr>
          <w:rStyle w:val="FootnoteReference"/>
          <w:rFonts w:asciiTheme="majorBidi" w:hAnsiTheme="majorBidi" w:cstheme="majorBidi"/>
          <w:sz w:val="20"/>
          <w:szCs w:val="20"/>
        </w:rPr>
        <w:footnoteRef/>
      </w:r>
      <w:r w:rsidRPr="004666EA">
        <w:rPr>
          <w:rFonts w:asciiTheme="majorBidi" w:hAnsiTheme="majorBidi" w:cstheme="majorBidi"/>
          <w:sz w:val="20"/>
          <w:szCs w:val="20"/>
        </w:rPr>
        <w:t xml:space="preserve"> </w:t>
      </w:r>
      <w:r w:rsidRPr="004666EA">
        <w:rPr>
          <w:rFonts w:asciiTheme="majorBidi" w:eastAsiaTheme="minorHAnsi" w:hAnsiTheme="majorBidi" w:cstheme="majorBidi"/>
          <w:color w:val="000000"/>
          <w:sz w:val="20"/>
          <w:szCs w:val="20"/>
        </w:rPr>
        <w:t xml:space="preserve">Lihat. Zain al-‘Abidin Ibn Ibrahim Ibn Nujaim, </w:t>
      </w:r>
      <w:r w:rsidRPr="004666EA">
        <w:rPr>
          <w:rFonts w:asciiTheme="majorBidi" w:hAnsiTheme="majorBidi" w:cstheme="majorBidi"/>
          <w:i/>
          <w:iCs/>
          <w:color w:val="000000"/>
          <w:sz w:val="20"/>
          <w:szCs w:val="20"/>
        </w:rPr>
        <w:t>al-Asyab</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h wa al-Nazh</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’ir</w:t>
      </w:r>
      <w:r w:rsidRPr="004666EA">
        <w:rPr>
          <w:rFonts w:asciiTheme="majorBidi" w:eastAsiaTheme="minorHAnsi" w:hAnsiTheme="majorBidi" w:cstheme="majorBidi"/>
          <w:color w:val="000000"/>
          <w:sz w:val="20"/>
          <w:szCs w:val="20"/>
        </w:rPr>
        <w:t xml:space="preserve">, ( Bairut: Dar al-Kutub al-‘Ilmiyah, 1980 ), h. 123. Lihat juga. Abd al-Rahman Bin Abi Bakar al-Suyuthi, </w:t>
      </w:r>
      <w:r w:rsidRPr="004666EA">
        <w:rPr>
          <w:rFonts w:asciiTheme="majorBidi" w:eastAsiaTheme="minorHAnsi" w:hAnsiTheme="majorBidi" w:cstheme="majorBidi"/>
          <w:i/>
          <w:iCs/>
          <w:color w:val="000000"/>
          <w:sz w:val="20"/>
          <w:szCs w:val="20"/>
        </w:rPr>
        <w:t xml:space="preserve">al-Asyabah wa al-Nazha’ir, </w:t>
      </w:r>
      <w:r w:rsidRPr="004666EA">
        <w:rPr>
          <w:rFonts w:asciiTheme="majorBidi" w:eastAsiaTheme="minorHAnsi" w:hAnsiTheme="majorBidi" w:cstheme="majorBidi"/>
          <w:color w:val="000000"/>
          <w:sz w:val="20"/>
          <w:szCs w:val="20"/>
        </w:rPr>
        <w:t>( Bairut: Dar al-Kutub al-‘Ilmiyah, 1403 ), h. 121</w:t>
      </w:r>
    </w:p>
  </w:footnote>
  <w:footnote w:id="731">
    <w:p w:rsidR="00343B61" w:rsidRDefault="00343B61" w:rsidP="00343B61">
      <w:pPr>
        <w:pStyle w:val="FootnoteText"/>
        <w:ind w:firstLine="720"/>
        <w:jc w:val="both"/>
        <w:rPr>
          <w:rtl/>
        </w:rPr>
      </w:pPr>
      <w:r>
        <w:rPr>
          <w:rStyle w:val="FootnoteReference"/>
        </w:rPr>
        <w:footnoteRef/>
      </w:r>
      <w:r>
        <w:t xml:space="preserve"> </w:t>
      </w:r>
      <w:r w:rsidRPr="00FB1EB4">
        <w:rPr>
          <w:rFonts w:asciiTheme="majorBidi" w:hAnsiTheme="majorBidi" w:cstheme="majorBidi"/>
        </w:rPr>
        <w:t xml:space="preserve">Lihat. Zakariya bin Ghulam Qadir al-Bakistani, </w:t>
      </w:r>
      <w:r w:rsidRPr="004666EA">
        <w:rPr>
          <w:rFonts w:asciiTheme="majorBidi" w:hAnsiTheme="majorBidi" w:cstheme="majorBidi"/>
          <w:i/>
          <w:iCs/>
          <w:color w:val="000000"/>
        </w:rPr>
        <w:t>Ush</w:t>
      </w:r>
      <w:r w:rsidRPr="00A447A5">
        <w:rPr>
          <w:rFonts w:asciiTheme="majorBidi" w:hAnsiTheme="majorBidi" w:cstheme="majorBidi"/>
          <w:i/>
          <w:iCs/>
        </w:rPr>
        <w:t>ū</w:t>
      </w:r>
      <w:r w:rsidRPr="004666EA">
        <w:rPr>
          <w:rFonts w:asciiTheme="majorBidi" w:hAnsiTheme="majorBidi" w:cstheme="majorBidi"/>
          <w:i/>
          <w:iCs/>
          <w:color w:val="000000"/>
        </w:rPr>
        <w:t>l al-Fiqh ‘Ala Manhaj Ahl al-Had</w:t>
      </w:r>
      <w:r w:rsidRPr="00D12D05">
        <w:rPr>
          <w:rFonts w:asciiTheme="majorBidi" w:hAnsiTheme="majorBidi" w:cstheme="majorBidi"/>
          <w:i/>
          <w:iCs/>
        </w:rPr>
        <w:t>ī</w:t>
      </w:r>
      <w:r w:rsidRPr="004666EA">
        <w:rPr>
          <w:rFonts w:asciiTheme="majorBidi" w:hAnsiTheme="majorBidi" w:cstheme="majorBidi"/>
          <w:i/>
          <w:iCs/>
          <w:color w:val="000000"/>
        </w:rPr>
        <w:t>s</w:t>
      </w:r>
      <w:r w:rsidRPr="004666EA">
        <w:rPr>
          <w:rFonts w:asciiTheme="majorBidi" w:hAnsiTheme="majorBidi" w:cstheme="majorBidi"/>
          <w:color w:val="000000"/>
        </w:rPr>
        <w:t>,</w:t>
      </w:r>
      <w:r w:rsidRPr="00FB1EB4">
        <w:rPr>
          <w:rFonts w:asciiTheme="majorBidi" w:hAnsiTheme="majorBidi" w:cstheme="majorBidi"/>
        </w:rPr>
        <w:t xml:space="preserve"> ( Islamabad: Dar al-Kharraz, 2002), h. 129</w:t>
      </w:r>
    </w:p>
  </w:footnote>
  <w:footnote w:id="732">
    <w:p w:rsidR="00343B61" w:rsidRPr="0070022B" w:rsidRDefault="00343B61" w:rsidP="00343B61">
      <w:pPr>
        <w:autoSpaceDE w:val="0"/>
        <w:autoSpaceDN w:val="0"/>
        <w:adjustRightInd w:val="0"/>
        <w:spacing w:after="0" w:line="240" w:lineRule="auto"/>
        <w:ind w:firstLine="720"/>
        <w:jc w:val="both"/>
        <w:rPr>
          <w:rFonts w:ascii="Times New Roman" w:hAnsi="Times New Roman" w:cs="Times New Roman"/>
          <w:sz w:val="20"/>
          <w:szCs w:val="24"/>
        </w:rPr>
      </w:pPr>
      <w:r w:rsidRPr="00EB1208">
        <w:rPr>
          <w:rStyle w:val="FootnoteReference"/>
          <w:sz w:val="20"/>
          <w:szCs w:val="20"/>
        </w:rPr>
        <w:footnoteRef/>
      </w:r>
      <w:r w:rsidRPr="00EB1208">
        <w:rPr>
          <w:sz w:val="20"/>
          <w:szCs w:val="20"/>
        </w:rPr>
        <w:t xml:space="preserve"> </w:t>
      </w:r>
      <w:r w:rsidRPr="00EB1208">
        <w:rPr>
          <w:rFonts w:asciiTheme="majorBidi" w:eastAsiaTheme="minorHAnsi" w:hAnsiTheme="majorBidi" w:cstheme="majorBidi"/>
          <w:color w:val="000000"/>
          <w:sz w:val="20"/>
          <w:szCs w:val="20"/>
        </w:rPr>
        <w:t xml:space="preserve">Lihat. Abd al-Rahman Bin Abi Bakar al-Suyuthi, </w:t>
      </w:r>
      <w:r w:rsidRPr="004666EA">
        <w:rPr>
          <w:rFonts w:asciiTheme="majorBidi" w:hAnsiTheme="majorBidi" w:cstheme="majorBidi"/>
          <w:i/>
          <w:iCs/>
          <w:color w:val="000000"/>
          <w:sz w:val="20"/>
          <w:szCs w:val="20"/>
        </w:rPr>
        <w:t>al-Asyab</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h wa al-Nazh</w:t>
      </w:r>
      <w:r w:rsidRPr="00D54068">
        <w:rPr>
          <w:rFonts w:asciiTheme="majorBidi" w:hAnsiTheme="majorBidi" w:cstheme="majorBidi"/>
          <w:i/>
          <w:iCs/>
          <w:sz w:val="20"/>
          <w:szCs w:val="20"/>
        </w:rPr>
        <w:t>ā</w:t>
      </w:r>
      <w:r w:rsidRPr="004666EA">
        <w:rPr>
          <w:rFonts w:asciiTheme="majorBidi" w:hAnsiTheme="majorBidi" w:cstheme="majorBidi"/>
          <w:i/>
          <w:iCs/>
          <w:color w:val="000000"/>
          <w:sz w:val="20"/>
          <w:szCs w:val="20"/>
        </w:rPr>
        <w:t>’ir</w:t>
      </w:r>
      <w:r w:rsidRPr="00EB1208">
        <w:rPr>
          <w:rFonts w:asciiTheme="majorBidi" w:eastAsiaTheme="minorHAnsi" w:hAnsiTheme="majorBidi" w:cstheme="majorBidi"/>
          <w:i/>
          <w:iCs/>
          <w:color w:val="000000"/>
          <w:sz w:val="20"/>
          <w:szCs w:val="20"/>
        </w:rPr>
        <w:t xml:space="preserve">, </w:t>
      </w:r>
      <w:r w:rsidRPr="00EB1208">
        <w:rPr>
          <w:rFonts w:asciiTheme="majorBidi" w:eastAsiaTheme="minorHAnsi" w:hAnsiTheme="majorBidi" w:cstheme="majorBidi"/>
          <w:color w:val="000000"/>
          <w:sz w:val="20"/>
          <w:szCs w:val="20"/>
        </w:rPr>
        <w:t>( Bairut: Dar al-K</w:t>
      </w:r>
      <w:r>
        <w:rPr>
          <w:rFonts w:asciiTheme="majorBidi" w:eastAsiaTheme="minorHAnsi" w:hAnsiTheme="majorBidi" w:cstheme="majorBidi"/>
          <w:color w:val="000000"/>
        </w:rPr>
        <w:t xml:space="preserve">utub al-‘Ilmiyah, 1403 ), h. 44. Lihat juga. </w:t>
      </w:r>
      <w:r>
        <w:rPr>
          <w:rFonts w:ascii="Times New Roman" w:hAnsi="Times New Roman" w:cs="Times New Roman"/>
          <w:sz w:val="20"/>
          <w:szCs w:val="24"/>
        </w:rPr>
        <w:t xml:space="preserve">Muhammad bin Bihadir bin Abdullah al-Zarkasyi, </w:t>
      </w:r>
      <w:r w:rsidRPr="00EB1208">
        <w:rPr>
          <w:rFonts w:ascii="Times New Roman" w:hAnsi="Times New Roman" w:cs="Times New Roman"/>
          <w:i/>
          <w:iCs/>
          <w:sz w:val="20"/>
          <w:szCs w:val="24"/>
        </w:rPr>
        <w:t>al-Mantsur fi al-Qawa’id</w:t>
      </w:r>
      <w:r>
        <w:rPr>
          <w:rFonts w:ascii="Times New Roman" w:hAnsi="Times New Roman" w:cs="Times New Roman"/>
          <w:i/>
          <w:iCs/>
          <w:sz w:val="20"/>
          <w:szCs w:val="24"/>
        </w:rPr>
        <w:t xml:space="preserve"> </w:t>
      </w:r>
      <w:r>
        <w:rPr>
          <w:rFonts w:ascii="Times New Roman" w:hAnsi="Times New Roman" w:cs="Times New Roman"/>
          <w:sz w:val="20"/>
          <w:szCs w:val="24"/>
        </w:rPr>
        <w:t>( Kuwait: Wizarah al-Auqaf wa al-Syu’un al-Islmaiyah, 1405), Jilid III, h. 312</w:t>
      </w:r>
    </w:p>
  </w:footnote>
  <w:footnote w:id="733">
    <w:p w:rsidR="00343B61" w:rsidRPr="006E48C0" w:rsidRDefault="00343B61" w:rsidP="00343B61">
      <w:pPr>
        <w:pStyle w:val="FootnoteText"/>
        <w:ind w:firstLine="720"/>
        <w:jc w:val="both"/>
        <w:rPr>
          <w:rFonts w:asciiTheme="majorBidi" w:hAnsiTheme="majorBidi" w:cstheme="majorBidi"/>
        </w:rPr>
      </w:pPr>
      <w:r w:rsidRPr="006E48C0">
        <w:rPr>
          <w:rStyle w:val="FootnoteReference"/>
          <w:rFonts w:asciiTheme="majorBidi" w:hAnsiTheme="majorBidi" w:cstheme="majorBidi"/>
        </w:rPr>
        <w:footnoteRef/>
      </w:r>
      <w:r w:rsidRPr="006E48C0">
        <w:rPr>
          <w:rFonts w:asciiTheme="majorBidi" w:hAnsiTheme="majorBidi" w:cstheme="majorBidi"/>
        </w:rPr>
        <w:t xml:space="preserve"> Lihat Ibrahim Musthofa, dkk, </w:t>
      </w:r>
      <w:r w:rsidRPr="006E48C0">
        <w:rPr>
          <w:rFonts w:asciiTheme="majorBidi" w:hAnsiTheme="majorBidi" w:cstheme="majorBidi"/>
          <w:i/>
          <w:iCs/>
        </w:rPr>
        <w:t>Mu’jam Al- Wasidh</w:t>
      </w:r>
      <w:r w:rsidRPr="006E48C0">
        <w:rPr>
          <w:rFonts w:asciiTheme="majorBidi" w:hAnsiTheme="majorBidi" w:cstheme="majorBidi"/>
        </w:rPr>
        <w:t>, ( t.t: Dar al-Dakwah, t.th), Jilid II, h.1024</w:t>
      </w:r>
    </w:p>
  </w:footnote>
  <w:footnote w:id="734">
    <w:p w:rsidR="00343B61" w:rsidRPr="006E48C0" w:rsidRDefault="00343B61" w:rsidP="00343B61">
      <w:pPr>
        <w:pStyle w:val="FootnoteText"/>
        <w:ind w:firstLine="720"/>
        <w:jc w:val="both"/>
        <w:rPr>
          <w:rFonts w:asciiTheme="majorBidi" w:hAnsiTheme="majorBidi" w:cstheme="majorBidi"/>
        </w:rPr>
      </w:pPr>
      <w:r w:rsidRPr="006E48C0">
        <w:rPr>
          <w:rStyle w:val="FootnoteReference"/>
          <w:rFonts w:asciiTheme="majorBidi" w:hAnsiTheme="majorBidi" w:cstheme="majorBidi"/>
        </w:rPr>
        <w:footnoteRef/>
      </w:r>
      <w:r w:rsidRPr="006E48C0">
        <w:rPr>
          <w:rFonts w:asciiTheme="majorBidi" w:hAnsiTheme="majorBidi" w:cstheme="majorBidi"/>
        </w:rPr>
        <w:t xml:space="preserve"> Lihat. Depag RI, </w:t>
      </w:r>
      <w:r w:rsidRPr="006E48C0">
        <w:rPr>
          <w:rFonts w:asciiTheme="majorBidi" w:hAnsiTheme="majorBidi" w:cstheme="majorBidi"/>
          <w:i/>
          <w:iCs/>
        </w:rPr>
        <w:t>Al-Qur’an dan Terjamahannya</w:t>
      </w:r>
      <w:r w:rsidRPr="006E48C0">
        <w:rPr>
          <w:rFonts w:asciiTheme="majorBidi" w:hAnsiTheme="majorBidi" w:cstheme="majorBidi"/>
        </w:rPr>
        <w:t>, (Medinah al-Munawwarah: Mujamma’ al-Malik Fahd Li al-Thiba’ah Mush-haf al-Syarif, 1418 H ) h. 108</w:t>
      </w:r>
    </w:p>
  </w:footnote>
  <w:footnote w:id="735">
    <w:p w:rsidR="00343B61" w:rsidRPr="008B6469" w:rsidRDefault="00343B61" w:rsidP="00343B61">
      <w:pPr>
        <w:autoSpaceDE w:val="0"/>
        <w:autoSpaceDN w:val="0"/>
        <w:adjustRightInd w:val="0"/>
        <w:spacing w:after="0" w:line="240" w:lineRule="auto"/>
        <w:ind w:firstLine="720"/>
        <w:jc w:val="both"/>
        <w:rPr>
          <w:rFonts w:ascii="MyriadPro-It" w:hAnsi="MyriadPro-It" w:cs="MyriadPro-It"/>
          <w:sz w:val="20"/>
          <w:szCs w:val="20"/>
        </w:rPr>
      </w:pPr>
      <w:r w:rsidRPr="006E48C0">
        <w:rPr>
          <w:rStyle w:val="FootnoteReference"/>
          <w:rFonts w:asciiTheme="majorBidi" w:hAnsiTheme="majorBidi" w:cstheme="majorBidi"/>
        </w:rPr>
        <w:footnoteRef/>
      </w:r>
      <w:r w:rsidRPr="006E48C0">
        <w:rPr>
          <w:rFonts w:asciiTheme="majorBidi" w:hAnsiTheme="majorBidi" w:cstheme="majorBidi"/>
        </w:rPr>
        <w:t xml:space="preserve"> Lihat. </w:t>
      </w:r>
      <w:r w:rsidRPr="006E48C0">
        <w:rPr>
          <w:rFonts w:asciiTheme="majorBidi" w:hAnsiTheme="majorBidi" w:cstheme="majorBidi"/>
          <w:sz w:val="20"/>
          <w:szCs w:val="20"/>
        </w:rPr>
        <w:t xml:space="preserve">M. Ali Ash Shabuni, </w:t>
      </w:r>
      <w:r w:rsidRPr="006E48C0">
        <w:rPr>
          <w:rFonts w:asciiTheme="majorBidi" w:hAnsiTheme="majorBidi" w:cstheme="majorBidi"/>
          <w:i/>
          <w:iCs/>
          <w:sz w:val="20"/>
          <w:szCs w:val="20"/>
        </w:rPr>
        <w:t>A1-Mawaris fi Syariat al-Islamiyyah `ala Dhau'i Kitabi wa al- Sunah</w:t>
      </w:r>
      <w:r w:rsidRPr="006E48C0">
        <w:rPr>
          <w:rFonts w:asciiTheme="majorBidi" w:hAnsiTheme="majorBidi" w:cstheme="majorBidi"/>
          <w:sz w:val="20"/>
          <w:szCs w:val="20"/>
        </w:rPr>
        <w:t>, (Arab Saudi: Dar al Qalam, 1979), h. 30</w:t>
      </w:r>
    </w:p>
  </w:footnote>
  <w:footnote w:id="736">
    <w:p w:rsidR="00343B61" w:rsidRPr="00CC04A0" w:rsidRDefault="00343B61" w:rsidP="00343B61">
      <w:pPr>
        <w:pStyle w:val="FootnoteText"/>
        <w:ind w:firstLine="720"/>
        <w:jc w:val="both"/>
        <w:rPr>
          <w:rFonts w:asciiTheme="majorBidi" w:hAnsiTheme="majorBidi" w:cstheme="majorBidi"/>
        </w:rPr>
      </w:pPr>
      <w:r w:rsidRPr="00CC04A0">
        <w:rPr>
          <w:rStyle w:val="FootnoteReference"/>
          <w:rFonts w:asciiTheme="majorBidi" w:hAnsiTheme="majorBidi" w:cstheme="majorBidi"/>
        </w:rPr>
        <w:footnoteRef/>
      </w:r>
      <w:r>
        <w:rPr>
          <w:rFonts w:asciiTheme="majorBidi" w:hAnsiTheme="majorBidi" w:cstheme="majorBidi"/>
        </w:rPr>
        <w:t xml:space="preserve">Lihat. </w:t>
      </w:r>
      <w:r w:rsidRPr="00CC04A0">
        <w:rPr>
          <w:rFonts w:asciiTheme="majorBidi" w:hAnsiTheme="majorBidi" w:cstheme="majorBidi"/>
        </w:rPr>
        <w:t xml:space="preserve">Amir Syarifuddin, </w:t>
      </w:r>
      <w:r w:rsidRPr="00CC04A0">
        <w:rPr>
          <w:rFonts w:asciiTheme="majorBidi" w:hAnsiTheme="majorBidi" w:cstheme="majorBidi"/>
          <w:i/>
          <w:iCs/>
        </w:rPr>
        <w:t>Pelaksanaan Hukum Kewrisan Islam Dalam Lingkungan Minangkanbau</w:t>
      </w:r>
      <w:r w:rsidRPr="00CC04A0">
        <w:rPr>
          <w:rFonts w:asciiTheme="majorBidi" w:hAnsiTheme="majorBidi" w:cstheme="majorBidi"/>
        </w:rPr>
        <w:t>, (Jakarta: Gunung Agung, 1984), h. 18</w:t>
      </w:r>
    </w:p>
  </w:footnote>
  <w:footnote w:id="737">
    <w:p w:rsidR="00343B61" w:rsidRPr="00CC04A0" w:rsidRDefault="00343B61" w:rsidP="00343B61">
      <w:pPr>
        <w:pStyle w:val="FootnoteText"/>
        <w:ind w:firstLine="720"/>
        <w:jc w:val="both"/>
        <w:rPr>
          <w:rFonts w:asciiTheme="majorBidi" w:hAnsiTheme="majorBidi" w:cstheme="majorBidi"/>
        </w:rPr>
      </w:pPr>
      <w:r w:rsidRPr="00CC04A0">
        <w:rPr>
          <w:rStyle w:val="FootnoteReference"/>
          <w:rFonts w:asciiTheme="majorBidi" w:hAnsiTheme="majorBidi" w:cstheme="majorBidi"/>
        </w:rPr>
        <w:footnoteRef/>
      </w:r>
      <w:r w:rsidRPr="00CC04A0">
        <w:rPr>
          <w:rFonts w:asciiTheme="majorBidi" w:hAnsiTheme="majorBidi" w:cstheme="majorBidi"/>
        </w:rPr>
        <w:t xml:space="preserve"> Sayyid Sabiq</w:t>
      </w:r>
      <w:r w:rsidRPr="00CC04A0">
        <w:rPr>
          <w:rFonts w:asciiTheme="majorBidi" w:hAnsiTheme="majorBidi" w:cstheme="majorBidi"/>
          <w:i/>
          <w:iCs/>
        </w:rPr>
        <w:t>, Fiqh as Sunnah</w:t>
      </w:r>
      <w:r w:rsidRPr="00CC04A0">
        <w:rPr>
          <w:rFonts w:asciiTheme="majorBidi" w:hAnsiTheme="majorBidi" w:cstheme="majorBidi"/>
        </w:rPr>
        <w:t xml:space="preserve">, ( Semarang: Toha Putra: 1980), </w:t>
      </w:r>
      <w:r>
        <w:rPr>
          <w:rFonts w:asciiTheme="majorBidi" w:hAnsiTheme="majorBidi" w:cstheme="majorBidi"/>
        </w:rPr>
        <w:t xml:space="preserve">Jilid III, </w:t>
      </w:r>
      <w:r w:rsidRPr="00CC04A0">
        <w:rPr>
          <w:rFonts w:asciiTheme="majorBidi" w:hAnsiTheme="majorBidi" w:cstheme="majorBidi"/>
        </w:rPr>
        <w:t>h. 426</w:t>
      </w:r>
    </w:p>
  </w:footnote>
  <w:footnote w:id="738">
    <w:p w:rsidR="00343B61" w:rsidRPr="00CC04A0" w:rsidRDefault="00343B61" w:rsidP="00343B61">
      <w:pPr>
        <w:pStyle w:val="FootnoteText"/>
        <w:ind w:firstLine="720"/>
        <w:jc w:val="both"/>
        <w:rPr>
          <w:rFonts w:asciiTheme="majorBidi" w:hAnsiTheme="majorBidi" w:cstheme="majorBidi"/>
        </w:rPr>
      </w:pPr>
      <w:r w:rsidRPr="00CC04A0">
        <w:rPr>
          <w:rStyle w:val="FootnoteReference"/>
          <w:rFonts w:asciiTheme="majorBidi" w:hAnsiTheme="majorBidi" w:cstheme="majorBidi"/>
        </w:rPr>
        <w:footnoteRef/>
      </w:r>
      <w:r w:rsidRPr="00CC04A0">
        <w:rPr>
          <w:rFonts w:asciiTheme="majorBidi" w:hAnsiTheme="majorBidi" w:cstheme="majorBidi"/>
        </w:rPr>
        <w:t xml:space="preserve"> Tirkah secara lughawi </w:t>
      </w:r>
      <w:r>
        <w:rPr>
          <w:rFonts w:asciiTheme="majorBidi" w:hAnsiTheme="majorBidi" w:cstheme="majorBidi"/>
        </w:rPr>
        <w:t xml:space="preserve">berarti harta peninggalan orang meninggal. ( Lihat. Sa’di Abi Jaib, </w:t>
      </w:r>
      <w:r w:rsidRPr="00035C75">
        <w:rPr>
          <w:rFonts w:asciiTheme="majorBidi" w:hAnsiTheme="majorBidi" w:cstheme="majorBidi"/>
          <w:i/>
          <w:iCs/>
        </w:rPr>
        <w:t>Al-Qamus al-Fiqhi</w:t>
      </w:r>
      <w:r>
        <w:rPr>
          <w:rFonts w:asciiTheme="majorBidi" w:hAnsiTheme="majorBidi" w:cstheme="majorBidi"/>
        </w:rPr>
        <w:t>, ( Damascus: Dar al-Fikr, 1988), h. 49</w:t>
      </w:r>
    </w:p>
  </w:footnote>
  <w:footnote w:id="739">
    <w:p w:rsidR="00343B61" w:rsidRPr="00CC04A0" w:rsidRDefault="00343B61" w:rsidP="00343B61">
      <w:pPr>
        <w:pStyle w:val="FootnoteText"/>
        <w:ind w:firstLine="720"/>
        <w:jc w:val="both"/>
        <w:rPr>
          <w:rFonts w:asciiTheme="majorBidi" w:hAnsiTheme="majorBidi" w:cstheme="majorBidi"/>
        </w:rPr>
      </w:pPr>
      <w:r w:rsidRPr="00CC04A0">
        <w:rPr>
          <w:rStyle w:val="FootnoteReference"/>
          <w:rFonts w:asciiTheme="majorBidi" w:hAnsiTheme="majorBidi" w:cstheme="majorBidi"/>
        </w:rPr>
        <w:footnoteRef/>
      </w:r>
      <w:r w:rsidRPr="00CC04A0">
        <w:rPr>
          <w:rFonts w:asciiTheme="majorBidi" w:hAnsiTheme="majorBidi" w:cstheme="majorBidi"/>
        </w:rPr>
        <w:t xml:space="preserve"> </w:t>
      </w:r>
      <w:r w:rsidRPr="006E48C0">
        <w:rPr>
          <w:rFonts w:asciiTheme="majorBidi" w:hAnsiTheme="majorBidi" w:cstheme="majorBidi"/>
        </w:rPr>
        <w:t xml:space="preserve">Lihat. M. Ali Ash Shabuni, </w:t>
      </w:r>
      <w:r w:rsidRPr="006E48C0">
        <w:rPr>
          <w:rFonts w:asciiTheme="majorBidi" w:hAnsiTheme="majorBidi" w:cstheme="majorBidi"/>
          <w:i/>
          <w:iCs/>
        </w:rPr>
        <w:t>A1-Mawaris fi Syariat al-Islamiyyah `ala Dhau'i Kitabi wa al- Sunah</w:t>
      </w:r>
      <w:r w:rsidRPr="006E48C0">
        <w:rPr>
          <w:rFonts w:asciiTheme="majorBidi" w:hAnsiTheme="majorBidi" w:cstheme="majorBidi"/>
        </w:rPr>
        <w:t>, (Arab S</w:t>
      </w:r>
      <w:r>
        <w:rPr>
          <w:rFonts w:asciiTheme="majorBidi" w:hAnsiTheme="majorBidi" w:cstheme="majorBidi"/>
        </w:rPr>
        <w:t>audi: Dar al Qalam, 1979), h. 37</w:t>
      </w:r>
    </w:p>
  </w:footnote>
  <w:footnote w:id="740">
    <w:p w:rsidR="00343B61" w:rsidRDefault="00343B61" w:rsidP="00343B61">
      <w:pPr>
        <w:pStyle w:val="FootnoteText"/>
        <w:ind w:firstLine="720"/>
        <w:jc w:val="both"/>
      </w:pPr>
      <w:r w:rsidRPr="00CC04A0">
        <w:rPr>
          <w:rStyle w:val="FootnoteReference"/>
          <w:rFonts w:asciiTheme="majorBidi" w:hAnsiTheme="majorBidi" w:cstheme="majorBidi"/>
        </w:rPr>
        <w:footnoteRef/>
      </w:r>
      <w:r w:rsidRPr="00CC04A0">
        <w:rPr>
          <w:rFonts w:asciiTheme="majorBidi" w:hAnsiTheme="majorBidi" w:cstheme="majorBidi"/>
        </w:rPr>
        <w:t xml:space="preserve"> </w:t>
      </w:r>
      <w:r>
        <w:rPr>
          <w:rFonts w:asciiTheme="majorBidi" w:hAnsiTheme="majorBidi" w:cstheme="majorBidi"/>
        </w:rPr>
        <w:t xml:space="preserve">Lihat. </w:t>
      </w:r>
      <w:r w:rsidRPr="00CC04A0">
        <w:rPr>
          <w:rFonts w:asciiTheme="majorBidi" w:hAnsiTheme="majorBidi" w:cstheme="majorBidi"/>
        </w:rPr>
        <w:t xml:space="preserve">M, Abu Zahrah, </w:t>
      </w:r>
      <w:r w:rsidRPr="00CC04A0">
        <w:rPr>
          <w:rFonts w:asciiTheme="majorBidi" w:hAnsiTheme="majorBidi" w:cstheme="majorBidi"/>
          <w:i/>
          <w:iCs/>
        </w:rPr>
        <w:t>Al Tirkh wa al Mirats</w:t>
      </w:r>
      <w:r w:rsidRPr="00CC04A0">
        <w:rPr>
          <w:rFonts w:asciiTheme="majorBidi" w:hAnsiTheme="majorBidi" w:cstheme="majorBidi"/>
        </w:rPr>
        <w:t>, (Cairo'. Dar Al Filer, 1975), h. 150</w:t>
      </w:r>
    </w:p>
  </w:footnote>
  <w:footnote w:id="741">
    <w:p w:rsidR="00343B61" w:rsidRPr="00A044FD" w:rsidRDefault="00343B61" w:rsidP="00343B61">
      <w:pPr>
        <w:pStyle w:val="FootnoteText"/>
        <w:ind w:firstLine="720"/>
        <w:jc w:val="both"/>
        <w:rPr>
          <w:rFonts w:asciiTheme="majorBidi" w:hAnsiTheme="majorBidi" w:cstheme="majorBidi"/>
        </w:rPr>
      </w:pPr>
      <w:r w:rsidRPr="00A044FD">
        <w:rPr>
          <w:rStyle w:val="FootnoteReference"/>
          <w:rFonts w:asciiTheme="majorBidi" w:hAnsiTheme="majorBidi" w:cstheme="majorBidi"/>
        </w:rPr>
        <w:footnoteRef/>
      </w:r>
      <w:r w:rsidRPr="00A044FD">
        <w:rPr>
          <w:rFonts w:asciiTheme="majorBidi" w:hAnsiTheme="majorBidi" w:cstheme="majorBidi"/>
        </w:rPr>
        <w:t xml:space="preserve"> Seorang Budak tidak berhak mendapat waris karena bukan ahli untuk memiliki harta, semua yang dimiliknya adalah milik tuannya. A</w:t>
      </w:r>
      <w:r>
        <w:rPr>
          <w:rFonts w:asciiTheme="majorBidi" w:hAnsiTheme="majorBidi" w:cstheme="majorBidi"/>
        </w:rPr>
        <w:t>dap</w:t>
      </w:r>
      <w:r w:rsidRPr="00A044FD">
        <w:rPr>
          <w:rFonts w:asciiTheme="majorBidi" w:hAnsiTheme="majorBidi" w:cstheme="majorBidi"/>
        </w:rPr>
        <w:t>un membunuh</w:t>
      </w:r>
      <w:r>
        <w:rPr>
          <w:rFonts w:asciiTheme="majorBidi" w:hAnsiTheme="majorBidi" w:cstheme="majorBidi"/>
        </w:rPr>
        <w:t xml:space="preserve"> dan berbeda Agama</w:t>
      </w:r>
      <w:r w:rsidRPr="00A044FD">
        <w:rPr>
          <w:rFonts w:asciiTheme="majorBidi" w:hAnsiTheme="majorBidi" w:cstheme="majorBidi"/>
        </w:rPr>
        <w:t xml:space="preserve"> sebagai penghalang mendapat waris karena sabda Nabi Saw:” Bagi Yang Membunuh tidak mendapat harta warisan” HR. Ibn Majah) dan karena Hadis Nabis:” Tidaklah seorang kafir mendapat warsi dari seorang Muslim. ( HR. Muttafaqun ‘alaih) ) Lihat. Muhamad Basyir al-Mufasi, </w:t>
      </w:r>
      <w:r w:rsidRPr="00A044FD">
        <w:rPr>
          <w:rFonts w:asciiTheme="majorBidi" w:hAnsiTheme="majorBidi" w:cstheme="majorBidi"/>
          <w:i/>
          <w:iCs/>
        </w:rPr>
        <w:t>Al-Jami’ al-Hadits Fi ilm Al-Faraidh Wa al-Mirats</w:t>
      </w:r>
      <w:r w:rsidRPr="00A044FD">
        <w:rPr>
          <w:rFonts w:asciiTheme="majorBidi" w:hAnsiTheme="majorBidi" w:cstheme="majorBidi"/>
        </w:rPr>
        <w:t>, ( Damascus : Dar al-Majdi, 1997), h. 62-65</w:t>
      </w:r>
    </w:p>
  </w:footnote>
  <w:footnote w:id="742">
    <w:p w:rsidR="00343B61" w:rsidRPr="006515C8" w:rsidRDefault="00343B61" w:rsidP="00343B61">
      <w:pPr>
        <w:autoSpaceDE w:val="0"/>
        <w:autoSpaceDN w:val="0"/>
        <w:adjustRightInd w:val="0"/>
        <w:spacing w:after="0" w:line="240" w:lineRule="auto"/>
        <w:ind w:firstLine="720"/>
        <w:jc w:val="both"/>
        <w:rPr>
          <w:rFonts w:ascii="MyriadPro-Regular" w:hAnsi="MyriadPro-Regular" w:cs="MyriadPro-Regular"/>
          <w:sz w:val="16"/>
          <w:szCs w:val="16"/>
        </w:rPr>
      </w:pPr>
      <w:r>
        <w:rPr>
          <w:rStyle w:val="FootnoteReference"/>
        </w:rPr>
        <w:footnoteRef/>
      </w:r>
      <w:r>
        <w:t xml:space="preserve"> </w:t>
      </w:r>
      <w:r w:rsidRPr="006515C8">
        <w:rPr>
          <w:rFonts w:asciiTheme="majorBidi" w:hAnsiTheme="majorBidi" w:cstheme="majorBidi"/>
          <w:sz w:val="20"/>
          <w:szCs w:val="20"/>
        </w:rPr>
        <w:t xml:space="preserve">Wahbah </w:t>
      </w:r>
      <w:r w:rsidRPr="00DB2BD4">
        <w:rPr>
          <w:rFonts w:asciiTheme="majorBidi" w:hAnsiTheme="majorBidi" w:cstheme="majorBidi"/>
        </w:rPr>
        <w:t>Al-Zuhail</w:t>
      </w:r>
      <w:r w:rsidRPr="00914108">
        <w:rPr>
          <w:rFonts w:asciiTheme="majorBidi" w:hAnsiTheme="majorBidi" w:cstheme="majorBidi"/>
          <w:sz w:val="20"/>
          <w:szCs w:val="20"/>
        </w:rPr>
        <w:t>ī</w:t>
      </w:r>
      <w:r>
        <w:rPr>
          <w:rFonts w:asciiTheme="majorBidi" w:hAnsiTheme="majorBidi" w:cstheme="majorBidi"/>
          <w:sz w:val="20"/>
          <w:szCs w:val="20"/>
        </w:rPr>
        <w:t xml:space="preserve">, </w:t>
      </w:r>
      <w:r w:rsidRPr="00B7150C">
        <w:rPr>
          <w:rFonts w:asciiTheme="majorBidi" w:hAnsiTheme="majorBidi" w:cstheme="majorBidi"/>
          <w:i/>
          <w:iCs/>
        </w:rPr>
        <w:t>Al-Fiqh Isl</w:t>
      </w:r>
      <w:r w:rsidRPr="00AC6C5F">
        <w:rPr>
          <w:rFonts w:asciiTheme="majorBidi" w:hAnsiTheme="majorBidi" w:cstheme="majorBidi"/>
          <w:i/>
          <w:iCs/>
          <w:sz w:val="20"/>
          <w:szCs w:val="20"/>
        </w:rPr>
        <w:t>ā</w:t>
      </w:r>
      <w:r w:rsidRPr="00B7150C">
        <w:rPr>
          <w:rFonts w:asciiTheme="majorBidi" w:hAnsiTheme="majorBidi" w:cstheme="majorBidi"/>
          <w:i/>
          <w:iCs/>
        </w:rPr>
        <w:t>m</w:t>
      </w:r>
      <w:r w:rsidRPr="00401B91">
        <w:rPr>
          <w:rFonts w:asciiTheme="majorBidi" w:hAnsiTheme="majorBidi" w:cstheme="majorBidi"/>
          <w:i/>
          <w:iCs/>
          <w:sz w:val="20"/>
          <w:szCs w:val="20"/>
        </w:rPr>
        <w:t>ī</w:t>
      </w:r>
      <w:r w:rsidRPr="00B7150C">
        <w:rPr>
          <w:rFonts w:asciiTheme="majorBidi" w:hAnsiTheme="majorBidi" w:cstheme="majorBidi"/>
          <w:i/>
          <w:iCs/>
        </w:rPr>
        <w:t xml:space="preserve"> Wa Adillatuh</w:t>
      </w:r>
      <w:r w:rsidRPr="0056354E">
        <w:rPr>
          <w:rFonts w:asciiTheme="majorBidi" w:hAnsiTheme="majorBidi" w:cstheme="majorBidi"/>
          <w:i/>
          <w:iCs/>
          <w:sz w:val="20"/>
          <w:szCs w:val="20"/>
        </w:rPr>
        <w:t>ū</w:t>
      </w:r>
      <w:r w:rsidRPr="006515C8">
        <w:rPr>
          <w:rFonts w:asciiTheme="majorBidi" w:hAnsiTheme="majorBidi" w:cstheme="majorBidi"/>
          <w:sz w:val="20"/>
          <w:szCs w:val="20"/>
        </w:rPr>
        <w:t>, ctk. II (Beirut: Dar al-Fikr, 1985),</w:t>
      </w:r>
      <w:r>
        <w:rPr>
          <w:rFonts w:asciiTheme="majorBidi" w:hAnsiTheme="majorBidi" w:cstheme="majorBidi"/>
          <w:sz w:val="20"/>
          <w:szCs w:val="20"/>
        </w:rPr>
        <w:t xml:space="preserve"> Jilid.</w:t>
      </w:r>
      <w:r w:rsidRPr="006515C8">
        <w:rPr>
          <w:rFonts w:asciiTheme="majorBidi" w:hAnsiTheme="majorBidi" w:cstheme="majorBidi"/>
          <w:sz w:val="20"/>
          <w:szCs w:val="20"/>
        </w:rPr>
        <w:t xml:space="preserve"> VIII</w:t>
      </w:r>
      <w:r>
        <w:rPr>
          <w:rFonts w:asciiTheme="majorBidi" w:hAnsiTheme="majorBidi" w:cstheme="majorBidi"/>
          <w:sz w:val="20"/>
          <w:szCs w:val="20"/>
        </w:rPr>
        <w:t>, h.</w:t>
      </w:r>
      <w:r w:rsidRPr="006515C8">
        <w:rPr>
          <w:rFonts w:asciiTheme="majorBidi" w:hAnsiTheme="majorBidi" w:cstheme="majorBidi"/>
          <w:sz w:val="20"/>
          <w:szCs w:val="20"/>
        </w:rPr>
        <w:t xml:space="preserve"> 258.</w:t>
      </w:r>
    </w:p>
  </w:footnote>
  <w:footnote w:id="743">
    <w:p w:rsidR="00343B61" w:rsidRPr="008F534B" w:rsidRDefault="00343B61" w:rsidP="00343B61">
      <w:pPr>
        <w:autoSpaceDE w:val="0"/>
        <w:autoSpaceDN w:val="0"/>
        <w:adjustRightInd w:val="0"/>
        <w:spacing w:after="0"/>
        <w:ind w:firstLine="720"/>
        <w:jc w:val="both"/>
        <w:rPr>
          <w:rFonts w:asciiTheme="majorBidi" w:eastAsiaTheme="minorHAnsi" w:hAnsiTheme="majorBidi" w:cstheme="majorBidi"/>
          <w:color w:val="000000"/>
          <w:sz w:val="20"/>
          <w:szCs w:val="20"/>
          <w:rtl/>
        </w:rPr>
      </w:pPr>
      <w:r w:rsidRPr="008F534B">
        <w:rPr>
          <w:rStyle w:val="FootnoteReference"/>
          <w:rFonts w:asciiTheme="majorBidi" w:hAnsiTheme="majorBidi" w:cstheme="majorBidi"/>
          <w:sz w:val="20"/>
          <w:szCs w:val="20"/>
        </w:rPr>
        <w:footnoteRef/>
      </w:r>
      <w:r w:rsidRPr="008F534B">
        <w:rPr>
          <w:rFonts w:asciiTheme="majorBidi" w:hAnsiTheme="majorBidi" w:cstheme="majorBidi"/>
          <w:sz w:val="20"/>
          <w:szCs w:val="20"/>
        </w:rPr>
        <w:t xml:space="preserve"> Lihat. </w:t>
      </w:r>
      <w:r w:rsidRPr="008F534B">
        <w:rPr>
          <w:rFonts w:asciiTheme="majorBidi" w:eastAsiaTheme="minorHAnsi" w:hAnsiTheme="majorBidi" w:cstheme="majorBidi"/>
          <w:color w:val="000000"/>
          <w:sz w:val="20"/>
          <w:szCs w:val="20"/>
        </w:rPr>
        <w:t xml:space="preserve">Abu Bakar Ahmad bin al-Husein </w:t>
      </w:r>
      <w:r w:rsidRPr="00584D8E">
        <w:rPr>
          <w:rFonts w:asciiTheme="majorBidi" w:hAnsiTheme="majorBidi" w:cstheme="majorBidi"/>
          <w:color w:val="000000"/>
          <w:sz w:val="20"/>
          <w:szCs w:val="20"/>
        </w:rPr>
        <w:t>Al-Baihaq</w:t>
      </w:r>
      <w:r w:rsidRPr="00914108">
        <w:rPr>
          <w:rFonts w:asciiTheme="majorBidi" w:hAnsiTheme="majorBidi" w:cstheme="majorBidi"/>
          <w:sz w:val="20"/>
          <w:szCs w:val="20"/>
        </w:rPr>
        <w:t>ī</w:t>
      </w:r>
      <w:r w:rsidRPr="00584D8E">
        <w:rPr>
          <w:rFonts w:asciiTheme="majorBidi" w:hAnsiTheme="majorBidi" w:cstheme="majorBidi"/>
          <w:color w:val="000000"/>
          <w:sz w:val="20"/>
          <w:szCs w:val="20"/>
        </w:rPr>
        <w:t>, Al</w:t>
      </w:r>
      <w:r w:rsidRPr="000E0B02">
        <w:rPr>
          <w:rFonts w:asciiTheme="majorBidi" w:hAnsiTheme="majorBidi" w:cstheme="majorBidi"/>
          <w:i/>
          <w:iCs/>
          <w:color w:val="000000"/>
          <w:sz w:val="20"/>
          <w:szCs w:val="20"/>
        </w:rPr>
        <w:t xml:space="preserve">-Sunan </w:t>
      </w:r>
      <w:r w:rsidRPr="00F54144">
        <w:rPr>
          <w:rFonts w:asciiTheme="majorBidi" w:hAnsiTheme="majorBidi" w:cstheme="majorBidi"/>
          <w:i/>
          <w:iCs/>
          <w:color w:val="000000"/>
          <w:sz w:val="20"/>
          <w:szCs w:val="20"/>
        </w:rPr>
        <w:t>Al-Kubr</w:t>
      </w:r>
      <w:r w:rsidRPr="00455983">
        <w:rPr>
          <w:rFonts w:asciiTheme="majorBidi" w:hAnsiTheme="majorBidi" w:cstheme="majorBidi"/>
          <w:i/>
          <w:iCs/>
          <w:sz w:val="20"/>
          <w:szCs w:val="20"/>
        </w:rPr>
        <w:t>ā</w:t>
      </w:r>
      <w:r w:rsidRPr="008F534B">
        <w:rPr>
          <w:rFonts w:asciiTheme="majorBidi" w:eastAsiaTheme="minorHAnsi" w:hAnsiTheme="majorBidi" w:cstheme="majorBidi"/>
          <w:color w:val="000000"/>
          <w:sz w:val="20"/>
          <w:szCs w:val="20"/>
        </w:rPr>
        <w:t xml:space="preserve">, ( India: Majelis Dairatul Ma’arif, 1344), Jilid 6, h. 220. Lihat juga. </w:t>
      </w:r>
      <w:r w:rsidRPr="008F534B">
        <w:rPr>
          <w:rFonts w:asciiTheme="majorBidi" w:hAnsiTheme="majorBidi" w:cstheme="majorBidi"/>
          <w:sz w:val="20"/>
          <w:szCs w:val="20"/>
        </w:rPr>
        <w:t xml:space="preserve">Muhammad Ibn Yazin Al-Qazwainy, </w:t>
      </w:r>
      <w:r w:rsidRPr="008F534B">
        <w:rPr>
          <w:rFonts w:asciiTheme="majorBidi" w:hAnsiTheme="majorBidi" w:cstheme="majorBidi"/>
          <w:i/>
          <w:iCs/>
          <w:sz w:val="20"/>
          <w:szCs w:val="20"/>
        </w:rPr>
        <w:t>Sunan Ibnu Majah</w:t>
      </w:r>
      <w:r w:rsidRPr="008F534B">
        <w:rPr>
          <w:rFonts w:asciiTheme="majorBidi" w:hAnsiTheme="majorBidi" w:cstheme="majorBidi"/>
          <w:sz w:val="20"/>
          <w:szCs w:val="20"/>
        </w:rPr>
        <w:t xml:space="preserve">, ( Bairut: Dar Al-Fikr, t.th), Jilid II, h. 884.  Lihat juga. Ali bin Umar Abu al-Husein al-Daruquthuni, </w:t>
      </w:r>
      <w:r w:rsidRPr="008F534B">
        <w:rPr>
          <w:rFonts w:asciiTheme="majorBidi" w:hAnsiTheme="majorBidi" w:cstheme="majorBidi"/>
          <w:i/>
          <w:iCs/>
          <w:sz w:val="20"/>
          <w:szCs w:val="20"/>
        </w:rPr>
        <w:t>Sunan al-Daruquthuni</w:t>
      </w:r>
      <w:r w:rsidRPr="008F534B">
        <w:rPr>
          <w:rFonts w:asciiTheme="majorBidi" w:hAnsiTheme="majorBidi" w:cstheme="majorBidi"/>
          <w:sz w:val="20"/>
          <w:szCs w:val="20"/>
        </w:rPr>
        <w:t>, ( Bairut: Dar al-Ma’rifah, 1966), Jilid 4,  h. 95</w:t>
      </w:r>
    </w:p>
  </w:footnote>
  <w:footnote w:id="744">
    <w:p w:rsidR="00343B61" w:rsidRDefault="00343B61" w:rsidP="00343B61">
      <w:pPr>
        <w:pStyle w:val="FootnoteText"/>
        <w:ind w:firstLine="720"/>
        <w:jc w:val="both"/>
      </w:pPr>
      <w:r w:rsidRPr="008F534B">
        <w:rPr>
          <w:rStyle w:val="FootnoteReference"/>
          <w:rFonts w:asciiTheme="majorBidi" w:hAnsiTheme="majorBidi" w:cstheme="majorBidi"/>
        </w:rPr>
        <w:footnoteRef/>
      </w:r>
      <w:r>
        <w:rPr>
          <w:rFonts w:asciiTheme="majorBidi" w:hAnsiTheme="majorBidi" w:cstheme="majorBidi"/>
        </w:rPr>
        <w:t xml:space="preserve"> Lihat. Wahbah </w:t>
      </w:r>
      <w:r w:rsidRPr="008F534B">
        <w:rPr>
          <w:rFonts w:asciiTheme="majorBidi" w:hAnsiTheme="majorBidi" w:cstheme="majorBidi"/>
        </w:rPr>
        <w:t xml:space="preserve">,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sidRPr="008F534B">
        <w:rPr>
          <w:rFonts w:asciiTheme="majorBidi" w:hAnsiTheme="majorBidi" w:cstheme="majorBidi"/>
        </w:rPr>
        <w:t>, ctk. II (Beirut: Dar al-Fikr, 1985), Jilid. VIII, h. 260</w:t>
      </w:r>
    </w:p>
  </w:footnote>
  <w:footnote w:id="745">
    <w:p w:rsidR="00343B61" w:rsidRPr="00462C94" w:rsidRDefault="00343B61" w:rsidP="00343B61">
      <w:pPr>
        <w:pStyle w:val="FootnoteText"/>
        <w:ind w:firstLine="720"/>
        <w:rPr>
          <w:rFonts w:asciiTheme="majorBidi" w:hAnsiTheme="majorBidi" w:cstheme="majorBidi"/>
        </w:rPr>
      </w:pPr>
      <w:r w:rsidRPr="00462C94">
        <w:rPr>
          <w:rStyle w:val="FootnoteReference"/>
          <w:rFonts w:asciiTheme="majorBidi" w:hAnsiTheme="majorBidi" w:cstheme="majorBidi"/>
        </w:rPr>
        <w:footnoteRef/>
      </w:r>
      <w:r w:rsidRPr="00462C94">
        <w:rPr>
          <w:rFonts w:asciiTheme="majorBidi" w:hAnsiTheme="majorBidi" w:cstheme="majorBidi"/>
        </w:rPr>
        <w:t xml:space="preserve">Lihat.  Wahbah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sidRPr="00462C94">
        <w:rPr>
          <w:rFonts w:asciiTheme="majorBidi" w:hAnsiTheme="majorBidi" w:cstheme="majorBidi"/>
        </w:rPr>
        <w:t>, ctk. II (Beirut: Dar al-Fikr, 1985), Jilid. VIII, h. 262</w:t>
      </w:r>
    </w:p>
  </w:footnote>
  <w:footnote w:id="746">
    <w:p w:rsidR="00343B61" w:rsidRDefault="00343B61" w:rsidP="00343B61">
      <w:pPr>
        <w:pStyle w:val="FootnoteText"/>
        <w:ind w:firstLine="720"/>
      </w:pPr>
      <w:r w:rsidRPr="00462C94">
        <w:rPr>
          <w:rStyle w:val="FootnoteReference"/>
          <w:rFonts w:asciiTheme="majorBidi" w:hAnsiTheme="majorBidi" w:cstheme="majorBidi"/>
        </w:rPr>
        <w:footnoteRef/>
      </w:r>
      <w:r w:rsidRPr="00462C94">
        <w:rPr>
          <w:rFonts w:asciiTheme="majorBidi" w:hAnsiTheme="majorBidi" w:cstheme="majorBidi"/>
        </w:rPr>
        <w:t xml:space="preserve"> Lihat. Wahbah </w:t>
      </w:r>
      <w:r w:rsidRPr="00DB2BD4">
        <w:rPr>
          <w:rFonts w:asciiTheme="majorBidi" w:hAnsiTheme="majorBidi" w:cstheme="majorBidi"/>
        </w:rPr>
        <w:t>Al-Zuhail</w:t>
      </w:r>
      <w:r w:rsidRPr="00914108">
        <w:rPr>
          <w:rFonts w:asciiTheme="majorBidi" w:hAnsiTheme="majorBidi" w:cstheme="majorBidi"/>
        </w:rPr>
        <w:t>ī</w:t>
      </w:r>
      <w:r>
        <w:rPr>
          <w:rFonts w:asciiTheme="majorBidi" w:hAnsiTheme="majorBidi" w:cstheme="majorBidi"/>
        </w:rPr>
        <w:t xml:space="preserve">, </w:t>
      </w:r>
      <w:r w:rsidRPr="00B7150C">
        <w:rPr>
          <w:rFonts w:asciiTheme="majorBidi" w:hAnsiTheme="majorBidi" w:cstheme="majorBidi"/>
          <w:i/>
          <w:iCs/>
        </w:rPr>
        <w:t>Al-Fiqh Isl</w:t>
      </w:r>
      <w:r w:rsidRPr="00AC6C5F">
        <w:rPr>
          <w:rFonts w:asciiTheme="majorBidi" w:hAnsiTheme="majorBidi" w:cstheme="majorBidi"/>
          <w:i/>
          <w:iCs/>
        </w:rPr>
        <w:t>ā</w:t>
      </w:r>
      <w:r w:rsidRPr="00B7150C">
        <w:rPr>
          <w:rFonts w:asciiTheme="majorBidi" w:hAnsiTheme="majorBidi" w:cstheme="majorBidi"/>
          <w:i/>
          <w:iCs/>
        </w:rPr>
        <w:t>m</w:t>
      </w:r>
      <w:r w:rsidRPr="00401B91">
        <w:rPr>
          <w:rFonts w:asciiTheme="majorBidi" w:hAnsiTheme="majorBidi" w:cstheme="majorBidi"/>
          <w:i/>
          <w:iCs/>
        </w:rPr>
        <w:t>ī</w:t>
      </w:r>
      <w:r w:rsidRPr="00B7150C">
        <w:rPr>
          <w:rFonts w:asciiTheme="majorBidi" w:hAnsiTheme="majorBidi" w:cstheme="majorBidi"/>
          <w:i/>
          <w:iCs/>
        </w:rPr>
        <w:t xml:space="preserve"> Wa Adillatuh</w:t>
      </w:r>
      <w:r w:rsidRPr="0056354E">
        <w:rPr>
          <w:rFonts w:asciiTheme="majorBidi" w:hAnsiTheme="majorBidi" w:cstheme="majorBidi"/>
          <w:i/>
          <w:iCs/>
        </w:rPr>
        <w:t>ū</w:t>
      </w:r>
      <w:r w:rsidRPr="00462C94">
        <w:rPr>
          <w:rFonts w:asciiTheme="majorBidi" w:hAnsiTheme="majorBidi" w:cstheme="majorBidi"/>
        </w:rPr>
        <w:t>, ctk. II (Beirut: Dar al-Fikr, 1985), Jilid. VIII, h. 263</w:t>
      </w:r>
    </w:p>
  </w:footnote>
  <w:footnote w:id="747">
    <w:p w:rsidR="00343B61" w:rsidRPr="00A2249B" w:rsidRDefault="00343B61" w:rsidP="00343B61">
      <w:pPr>
        <w:pStyle w:val="FootnoteText"/>
        <w:ind w:firstLine="720"/>
        <w:jc w:val="both"/>
        <w:rPr>
          <w:rFonts w:asciiTheme="majorBidi" w:hAnsiTheme="majorBidi" w:cstheme="majorBidi"/>
          <w:rtl/>
        </w:rPr>
      </w:pPr>
      <w:r w:rsidRPr="00A2249B">
        <w:rPr>
          <w:rStyle w:val="FootnoteReference"/>
          <w:rFonts w:asciiTheme="majorBidi" w:hAnsiTheme="majorBidi" w:cstheme="majorBidi"/>
        </w:rPr>
        <w:footnoteRef/>
      </w:r>
      <w:r w:rsidRPr="00A2249B">
        <w:rPr>
          <w:rFonts w:asciiTheme="majorBidi" w:hAnsiTheme="majorBidi" w:cstheme="majorBidi"/>
        </w:rPr>
        <w:t xml:space="preserve"> Lihat. Muhammad ibn Ismail Al-Bukhāri</w:t>
      </w:r>
      <w:r w:rsidRPr="00A2249B">
        <w:rPr>
          <w:rFonts w:asciiTheme="majorBidi" w:hAnsiTheme="majorBidi" w:cstheme="majorBidi"/>
          <w:i/>
          <w:iCs/>
        </w:rPr>
        <w:t>, Al-Jāmi</w:t>
      </w:r>
      <w:r w:rsidRPr="00A2249B">
        <w:rPr>
          <w:rFonts w:asciiTheme="majorBidi" w:hAnsiTheme="majorBidi" w:cstheme="majorBidi"/>
        </w:rPr>
        <w:t>‘</w:t>
      </w:r>
      <w:r w:rsidRPr="00A2249B">
        <w:rPr>
          <w:rFonts w:asciiTheme="majorBidi" w:hAnsiTheme="majorBidi" w:cstheme="majorBidi"/>
          <w:i/>
          <w:iCs/>
        </w:rPr>
        <w:t>Al-Musnad Al-Shohīh</w:t>
      </w:r>
      <w:r w:rsidRPr="00A2249B">
        <w:rPr>
          <w:rFonts w:asciiTheme="majorBidi" w:hAnsiTheme="majorBidi" w:cstheme="majorBidi"/>
        </w:rPr>
        <w:t xml:space="preserve">, ( Bairut: Dar Al-Thuq Al-Najah, cet, I, 1422 ), h. viii. h.156. lihat juga Muslim Ibn Hajjaj Al-Qusyairi, Al-Qusyairi, </w:t>
      </w:r>
      <w:r w:rsidRPr="00A2249B">
        <w:rPr>
          <w:rFonts w:asciiTheme="majorBidi" w:hAnsiTheme="majorBidi" w:cstheme="majorBidi"/>
          <w:i/>
          <w:iCs/>
        </w:rPr>
        <w:t>Al-Jami’ Al- Shohīh Al-Musammā Bi Shohīh Muslim,</w:t>
      </w:r>
      <w:r w:rsidRPr="00A2249B">
        <w:rPr>
          <w:rFonts w:asciiTheme="majorBidi" w:hAnsiTheme="majorBidi" w:cstheme="majorBidi"/>
        </w:rPr>
        <w:t>( Bairut: Dar Al-Jail, t.th), Jilid. V, h. 59</w:t>
      </w:r>
    </w:p>
  </w:footnote>
  <w:footnote w:id="748">
    <w:p w:rsidR="00343B61" w:rsidRDefault="00343B61" w:rsidP="00343B61">
      <w:pPr>
        <w:pStyle w:val="FootnoteText"/>
        <w:ind w:firstLine="720"/>
        <w:jc w:val="both"/>
      </w:pPr>
      <w:r>
        <w:rPr>
          <w:rStyle w:val="FootnoteReference"/>
        </w:rPr>
        <w:footnoteRef/>
      </w:r>
      <w:r>
        <w:t xml:space="preserve"> </w:t>
      </w:r>
      <w:r w:rsidRPr="00FE6295">
        <w:rPr>
          <w:rFonts w:asciiTheme="majorBidi" w:hAnsiTheme="majorBidi" w:cstheme="majorBidi"/>
        </w:rPr>
        <w:t xml:space="preserve">Lihat. M. A. Sahal Mahfudh, </w:t>
      </w:r>
      <w:r w:rsidRPr="00FE6295">
        <w:rPr>
          <w:rFonts w:asciiTheme="majorBidi" w:hAnsiTheme="majorBidi" w:cstheme="majorBidi"/>
          <w:i/>
          <w:iCs/>
        </w:rPr>
        <w:t>Himpunan Keputusan Musyawarah Nasional Majelis Ulama Indonesia Tahun 2005</w:t>
      </w:r>
      <w:r>
        <w:rPr>
          <w:rFonts w:asciiTheme="majorBidi" w:hAnsiTheme="majorBidi" w:cstheme="majorBidi"/>
        </w:rPr>
        <w:t>, ( Jakarta: Sekr</w:t>
      </w:r>
      <w:r w:rsidRPr="00FE6295">
        <w:rPr>
          <w:rFonts w:asciiTheme="majorBidi" w:hAnsiTheme="majorBidi" w:cstheme="majorBidi"/>
        </w:rPr>
        <w:t>e</w:t>
      </w:r>
      <w:r>
        <w:rPr>
          <w:rFonts w:asciiTheme="majorBidi" w:hAnsiTheme="majorBidi" w:cstheme="majorBidi"/>
        </w:rPr>
        <w:t>ta</w:t>
      </w:r>
      <w:r w:rsidRPr="00FE6295">
        <w:rPr>
          <w:rFonts w:asciiTheme="majorBidi" w:hAnsiTheme="majorBidi" w:cstheme="majorBidi"/>
        </w:rPr>
        <w:t>riat Majelis Ulama Indonesia, 2005), h. 148</w:t>
      </w:r>
    </w:p>
  </w:footnote>
  <w:footnote w:id="749">
    <w:p w:rsidR="00343B61" w:rsidRPr="00A24386" w:rsidRDefault="00343B61" w:rsidP="00343B61">
      <w:pPr>
        <w:pStyle w:val="FootnoteText"/>
        <w:ind w:firstLine="720"/>
        <w:jc w:val="both"/>
        <w:rPr>
          <w:rFonts w:asciiTheme="majorBidi" w:hAnsiTheme="majorBidi" w:cstheme="majorBidi"/>
        </w:rPr>
      </w:pPr>
      <w:r w:rsidRPr="00A24386">
        <w:rPr>
          <w:rStyle w:val="FootnoteReference"/>
          <w:rFonts w:asciiTheme="majorBidi" w:hAnsiTheme="majorBidi" w:cstheme="majorBidi"/>
        </w:rPr>
        <w:footnoteRef/>
      </w:r>
      <w:r w:rsidRPr="00A24386">
        <w:rPr>
          <w:rFonts w:asciiTheme="majorBidi" w:hAnsiTheme="majorBidi" w:cstheme="majorBidi"/>
        </w:rPr>
        <w:t xml:space="preserve"> Lihat. Ma’ruf Amin dkk, Himpunan Fatwa MUI Sejak 1975, ( Jakarta: Erlangga, 2011) h. 483</w:t>
      </w:r>
    </w:p>
  </w:footnote>
  <w:footnote w:id="750">
    <w:p w:rsidR="00343B61" w:rsidRDefault="00343B61" w:rsidP="00343B61">
      <w:pPr>
        <w:pStyle w:val="FootnoteText"/>
        <w:ind w:firstLine="720"/>
        <w:jc w:val="both"/>
      </w:pPr>
      <w:r>
        <w:rPr>
          <w:rStyle w:val="FootnoteReference"/>
        </w:rPr>
        <w:footnoteRef/>
      </w:r>
      <w:r>
        <w:t xml:space="preserve"> </w:t>
      </w:r>
      <w:r w:rsidRPr="00FE6295">
        <w:rPr>
          <w:rFonts w:asciiTheme="majorBidi" w:hAnsiTheme="majorBidi" w:cstheme="majorBidi"/>
        </w:rPr>
        <w:t xml:space="preserve">Lihat. M. A. Sahal Mahfudh, </w:t>
      </w:r>
      <w:r w:rsidRPr="00FE6295">
        <w:rPr>
          <w:rFonts w:asciiTheme="majorBidi" w:hAnsiTheme="majorBidi" w:cstheme="majorBidi"/>
          <w:i/>
          <w:iCs/>
        </w:rPr>
        <w:t xml:space="preserve">Himpunan Keputusan Musyawarah Nasional </w:t>
      </w:r>
      <w:r>
        <w:rPr>
          <w:rFonts w:asciiTheme="majorBidi" w:hAnsiTheme="majorBidi" w:cstheme="majorBidi"/>
          <w:i/>
          <w:iCs/>
        </w:rPr>
        <w:t xml:space="preserve">VII </w:t>
      </w:r>
      <w:r w:rsidRPr="00FE6295">
        <w:rPr>
          <w:rFonts w:asciiTheme="majorBidi" w:hAnsiTheme="majorBidi" w:cstheme="majorBidi"/>
          <w:i/>
          <w:iCs/>
        </w:rPr>
        <w:t>Majelis Ulama Indonesia Tahun 2005</w:t>
      </w:r>
      <w:r>
        <w:rPr>
          <w:rFonts w:asciiTheme="majorBidi" w:hAnsiTheme="majorBidi" w:cstheme="majorBidi"/>
        </w:rPr>
        <w:t>, ( Jakarta: Sekr</w:t>
      </w:r>
      <w:r w:rsidRPr="00FE6295">
        <w:rPr>
          <w:rFonts w:asciiTheme="majorBidi" w:hAnsiTheme="majorBidi" w:cstheme="majorBidi"/>
        </w:rPr>
        <w:t>e</w:t>
      </w:r>
      <w:r>
        <w:rPr>
          <w:rFonts w:asciiTheme="majorBidi" w:hAnsiTheme="majorBidi" w:cstheme="majorBidi"/>
        </w:rPr>
        <w:t>ta</w:t>
      </w:r>
      <w:r w:rsidRPr="00FE6295">
        <w:rPr>
          <w:rFonts w:asciiTheme="majorBidi" w:hAnsiTheme="majorBidi" w:cstheme="majorBidi"/>
        </w:rPr>
        <w:t>riat Majelis Ulama Indonesia, 2005), h.</w:t>
      </w:r>
      <w:r>
        <w:rPr>
          <w:rFonts w:asciiTheme="majorBidi" w:hAnsiTheme="majorBidi" w:cstheme="majorBidi"/>
        </w:rPr>
        <w:t xml:space="preserve"> 144</w:t>
      </w:r>
    </w:p>
  </w:footnote>
  <w:footnote w:id="751">
    <w:p w:rsidR="00343B61" w:rsidRDefault="00343B61" w:rsidP="00343B61">
      <w:pPr>
        <w:pStyle w:val="FootnoteText"/>
        <w:ind w:firstLine="720"/>
        <w:jc w:val="both"/>
      </w:pPr>
      <w:r>
        <w:rPr>
          <w:rStyle w:val="FootnoteReference"/>
        </w:rPr>
        <w:footnoteRef/>
      </w:r>
      <w:r>
        <w:t xml:space="preserve"> </w:t>
      </w:r>
      <w:r w:rsidRPr="00A24609">
        <w:rPr>
          <w:rFonts w:asciiTheme="majorBidi" w:hAnsiTheme="majorBidi" w:cstheme="majorBidi"/>
        </w:rPr>
        <w:t xml:space="preserve">Lihat.Depag RI, </w:t>
      </w:r>
      <w:r w:rsidRPr="00A24609">
        <w:rPr>
          <w:rFonts w:asciiTheme="majorBidi" w:hAnsiTheme="majorBidi" w:cstheme="majorBidi"/>
          <w:i/>
          <w:iCs/>
        </w:rPr>
        <w:t>Al-Qur’an dan Terjamahannya</w:t>
      </w:r>
      <w:r w:rsidRPr="00A24609">
        <w:rPr>
          <w:rFonts w:asciiTheme="majorBidi" w:hAnsiTheme="majorBidi" w:cstheme="majorBidi"/>
        </w:rPr>
        <w:t>, (Medinah al-Munawwarah: Mujamma’ al-Malik Fahd Li al-Thiba’ah Mush-haf al-Syarif, 1418 H ) h.</w:t>
      </w:r>
      <w:r>
        <w:rPr>
          <w:rFonts w:asciiTheme="majorBidi" w:hAnsiTheme="majorBidi" w:cstheme="majorBidi"/>
        </w:rPr>
        <w:t xml:space="preserve"> 117</w:t>
      </w:r>
    </w:p>
  </w:footnote>
  <w:footnote w:id="752">
    <w:p w:rsidR="00343B61" w:rsidRDefault="00343B61" w:rsidP="00343B61">
      <w:pPr>
        <w:pStyle w:val="FootnoteText"/>
        <w:ind w:firstLine="720"/>
        <w:jc w:val="both"/>
      </w:pPr>
      <w:r>
        <w:rPr>
          <w:rStyle w:val="FootnoteReference"/>
        </w:rPr>
        <w:footnoteRef/>
      </w:r>
      <w:r>
        <w:t xml:space="preserve"> </w:t>
      </w:r>
      <w:r w:rsidRPr="00A24609">
        <w:rPr>
          <w:rFonts w:asciiTheme="majorBidi" w:hAnsiTheme="majorBidi" w:cstheme="majorBidi"/>
        </w:rPr>
        <w:t xml:space="preserve">Lihat.Depag RI, </w:t>
      </w:r>
      <w:r w:rsidRPr="00A24609">
        <w:rPr>
          <w:rFonts w:asciiTheme="majorBidi" w:hAnsiTheme="majorBidi" w:cstheme="majorBidi"/>
          <w:i/>
          <w:iCs/>
        </w:rPr>
        <w:t>Al-Qur’an dan Terjamahannya</w:t>
      </w:r>
      <w:r w:rsidRPr="00A24609">
        <w:rPr>
          <w:rFonts w:asciiTheme="majorBidi" w:hAnsiTheme="majorBidi" w:cstheme="majorBidi"/>
        </w:rPr>
        <w:t>, (Medinah al-Munawwarah: Mujamma’ al-Malik Fahd Li al-Thiba’ah Mush-haf al-Syarif, 1418 H ) h.</w:t>
      </w:r>
      <w:r>
        <w:rPr>
          <w:rFonts w:asciiTheme="majorBidi" w:hAnsiTheme="majorBidi" w:cstheme="majorBidi"/>
        </w:rPr>
        <w:t xml:space="preserve"> 146</w:t>
      </w:r>
    </w:p>
  </w:footnote>
  <w:footnote w:id="753">
    <w:p w:rsidR="00343B61" w:rsidRPr="00087693" w:rsidRDefault="00343B61" w:rsidP="00343B61">
      <w:pPr>
        <w:pStyle w:val="FootnoteText"/>
        <w:ind w:firstLine="720"/>
        <w:jc w:val="both"/>
        <w:rPr>
          <w:rtl/>
        </w:rPr>
      </w:pPr>
      <w:r w:rsidRPr="00087693">
        <w:rPr>
          <w:rStyle w:val="FootnoteReference"/>
        </w:rPr>
        <w:footnoteRef/>
      </w:r>
      <w:r w:rsidRPr="00087693">
        <w:t xml:space="preserve"> </w:t>
      </w:r>
      <w:r w:rsidRPr="00087693">
        <w:rPr>
          <w:rFonts w:asciiTheme="majorBidi" w:hAnsiTheme="majorBidi" w:cstheme="majorBidi"/>
        </w:rPr>
        <w:t xml:space="preserve">Lihat. Muhammad ibn Ismail Al-Bukhori, </w:t>
      </w:r>
      <w:r w:rsidRPr="00087693">
        <w:rPr>
          <w:rFonts w:asciiTheme="majorBidi" w:hAnsiTheme="majorBidi" w:cstheme="majorBidi"/>
          <w:i/>
          <w:iCs/>
        </w:rPr>
        <w:t>Al-Jami’ Al-Musnad Al-Shoheh</w:t>
      </w:r>
      <w:r w:rsidRPr="00087693">
        <w:rPr>
          <w:rFonts w:asciiTheme="majorBidi" w:hAnsiTheme="majorBidi" w:cstheme="majorBidi"/>
        </w:rPr>
        <w:t xml:space="preserve">, ( Bairut: Dar Al-Thuq Al-Najah, cet, I, 1422 ), h. viii. h.156. lihat juga Muslim Ibn Hajjaj Al-Qusyairi, </w:t>
      </w:r>
      <w:r w:rsidRPr="00087693">
        <w:rPr>
          <w:rFonts w:asciiTheme="majorBidi" w:hAnsiTheme="majorBidi" w:cstheme="majorBidi"/>
          <w:i/>
          <w:iCs/>
        </w:rPr>
        <w:t>Al-Jami’ Al-Shoheh Al-Musamma Bi Shoheh Muslim,</w:t>
      </w:r>
      <w:r w:rsidRPr="00087693">
        <w:rPr>
          <w:rFonts w:asciiTheme="majorBidi" w:hAnsiTheme="majorBidi" w:cstheme="majorBidi"/>
        </w:rPr>
        <w:t>( Bairut: Dar Al-Jail, t.th), Jilid. V, h. 59</w:t>
      </w:r>
    </w:p>
  </w:footnote>
  <w:footnote w:id="754">
    <w:p w:rsidR="00343B61" w:rsidRPr="0084475E" w:rsidRDefault="00343B61" w:rsidP="00343B61">
      <w:pPr>
        <w:autoSpaceDE w:val="0"/>
        <w:autoSpaceDN w:val="0"/>
        <w:adjustRightInd w:val="0"/>
        <w:ind w:firstLine="720"/>
        <w:jc w:val="both"/>
        <w:rPr>
          <w:rFonts w:asciiTheme="majorBidi" w:hAnsiTheme="majorBidi" w:cstheme="majorBidi"/>
          <w:sz w:val="20"/>
          <w:szCs w:val="20"/>
        </w:rPr>
      </w:pPr>
      <w:r w:rsidRPr="0084475E">
        <w:rPr>
          <w:rStyle w:val="FootnoteReference"/>
          <w:rFonts w:asciiTheme="majorBidi" w:hAnsiTheme="majorBidi" w:cstheme="majorBidi"/>
          <w:sz w:val="20"/>
          <w:szCs w:val="20"/>
        </w:rPr>
        <w:footnoteRef/>
      </w:r>
      <w:r w:rsidRPr="0084475E">
        <w:rPr>
          <w:rFonts w:asciiTheme="majorBidi" w:hAnsiTheme="majorBidi" w:cstheme="majorBidi"/>
          <w:sz w:val="20"/>
          <w:szCs w:val="20"/>
        </w:rPr>
        <w:t xml:space="preserve"> Lihat. Muhammab Ibn ‘Isa Al-Turmudzi, </w:t>
      </w:r>
      <w:r w:rsidRPr="0084475E">
        <w:rPr>
          <w:rFonts w:asciiTheme="majorBidi" w:hAnsiTheme="majorBidi" w:cstheme="majorBidi"/>
          <w:i/>
          <w:iCs/>
          <w:sz w:val="20"/>
          <w:szCs w:val="20"/>
        </w:rPr>
        <w:t>Al-Jami’Al-Shoheh Sunan Turmudzi</w:t>
      </w:r>
      <w:r w:rsidRPr="0084475E">
        <w:rPr>
          <w:rFonts w:asciiTheme="majorBidi" w:hAnsiTheme="majorBidi" w:cstheme="majorBidi"/>
          <w:sz w:val="20"/>
          <w:szCs w:val="20"/>
        </w:rPr>
        <w:t xml:space="preserve">, ( Bairut: Dar Al-Ihya Al-Turats Al-Arabi, t.th), Jilid iv, h. 424. Lihat juga Ahamd bin Hanbal Abu Abdullah al-Syaibani, </w:t>
      </w:r>
      <w:r w:rsidRPr="0084475E">
        <w:rPr>
          <w:rFonts w:asciiTheme="majorBidi" w:hAnsiTheme="majorBidi" w:cstheme="majorBidi"/>
          <w:i/>
          <w:iCs/>
          <w:sz w:val="20"/>
          <w:szCs w:val="20"/>
        </w:rPr>
        <w:t>Musnad Ahmad bin Hanbal</w:t>
      </w:r>
      <w:r w:rsidRPr="0084475E">
        <w:rPr>
          <w:rFonts w:asciiTheme="majorBidi" w:hAnsiTheme="majorBidi" w:cstheme="majorBidi"/>
          <w:sz w:val="20"/>
          <w:szCs w:val="20"/>
        </w:rPr>
        <w:t>, ( Kairo: Muassasah al-Risalah, 1999 ), Jilid xi, h. 443</w:t>
      </w:r>
    </w:p>
    <w:p w:rsidR="00343B61" w:rsidRDefault="00343B61" w:rsidP="00343B61">
      <w:pPr>
        <w:pStyle w:val="FootnoteText"/>
        <w:spacing w:line="360" w:lineRule="auto"/>
        <w:ind w:firstLine="720"/>
        <w:jc w:val="both"/>
        <w:rPr>
          <w:rFonts w:asciiTheme="majorBidi" w:hAnsiTheme="majorBidi" w:cstheme="majorBidi"/>
          <w:sz w:val="22"/>
          <w:szCs w:val="22"/>
        </w:rPr>
      </w:pPr>
    </w:p>
    <w:p w:rsidR="00343B61" w:rsidRDefault="00343B61" w:rsidP="00343B61">
      <w:pPr>
        <w:pStyle w:val="FootnoteText"/>
        <w:rPr>
          <w:rtl/>
        </w:rPr>
      </w:pPr>
    </w:p>
  </w:footnote>
  <w:footnote w:id="755">
    <w:p w:rsidR="00343B61" w:rsidRPr="00F525B7" w:rsidRDefault="00343B61" w:rsidP="00343B61">
      <w:pPr>
        <w:pStyle w:val="FootnoteText"/>
        <w:ind w:firstLine="720"/>
        <w:jc w:val="both"/>
        <w:rPr>
          <w:rFonts w:asciiTheme="majorBidi" w:hAnsiTheme="majorBidi" w:cstheme="majorBidi"/>
        </w:rPr>
      </w:pPr>
      <w:r w:rsidRPr="00F525B7">
        <w:rPr>
          <w:rStyle w:val="FootnoteReference"/>
          <w:rFonts w:asciiTheme="majorBidi" w:hAnsiTheme="majorBidi" w:cstheme="majorBidi"/>
        </w:rPr>
        <w:footnoteRef/>
      </w:r>
      <w:r w:rsidRPr="00F525B7">
        <w:rPr>
          <w:rFonts w:asciiTheme="majorBidi" w:hAnsiTheme="majorBidi" w:cstheme="majorBidi"/>
        </w:rPr>
        <w:t xml:space="preserve">Kata” </w:t>
      </w:r>
      <w:r w:rsidRPr="00F525B7">
        <w:rPr>
          <w:rFonts w:asciiTheme="majorBidi" w:hAnsiTheme="majorBidi" w:cstheme="majorBidi"/>
          <w:lang w:val="sv-SE"/>
        </w:rPr>
        <w:t xml:space="preserve">anak yang lahir diluar perkawinan” sebagian masyarakat memahami sebagai anak hasil perzinahan, dan sebagian yang lain memahami anak yang lahir dari perkwaninan yang tidak tercatat sebagaiman diatur dalam Undang-Undang No 1 Tahun 1974 tentang Perkawinan Pasal  </w:t>
      </w:r>
      <w:r w:rsidRPr="00F525B7">
        <w:rPr>
          <w:rFonts w:asciiTheme="majorBidi" w:hAnsiTheme="majorBidi" w:cstheme="majorBidi"/>
        </w:rPr>
        <w:t>Pasal 2 ayat 2.</w:t>
      </w:r>
    </w:p>
  </w:footnote>
  <w:footnote w:id="756">
    <w:p w:rsidR="00343B61" w:rsidRPr="00F525B7" w:rsidRDefault="00343B61" w:rsidP="00343B61">
      <w:pPr>
        <w:pStyle w:val="FootnoteText"/>
        <w:ind w:firstLine="720"/>
        <w:jc w:val="both"/>
        <w:rPr>
          <w:rFonts w:asciiTheme="majorBidi" w:hAnsiTheme="majorBidi" w:cstheme="majorBidi"/>
        </w:rPr>
      </w:pPr>
      <w:r w:rsidRPr="00F525B7">
        <w:rPr>
          <w:rStyle w:val="FootnoteReference"/>
          <w:rFonts w:asciiTheme="majorBidi" w:hAnsiTheme="majorBidi" w:cstheme="majorBidi"/>
        </w:rPr>
        <w:footnoteRef/>
      </w:r>
      <w:r w:rsidRPr="00F525B7">
        <w:rPr>
          <w:rFonts w:asciiTheme="majorBidi" w:hAnsiTheme="majorBidi" w:cstheme="majorBidi"/>
        </w:rPr>
        <w:t xml:space="preserve"> 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 Jakarta: Komisi Fatwa Majelis Ulama Indonesia, 2012), h. 1</w:t>
      </w:r>
    </w:p>
  </w:footnote>
  <w:footnote w:id="757">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9</w:t>
      </w:r>
    </w:p>
  </w:footnote>
  <w:footnote w:id="758">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1</w:t>
      </w:r>
    </w:p>
  </w:footnote>
  <w:footnote w:id="759">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10</w:t>
      </w:r>
    </w:p>
  </w:footnote>
  <w:footnote w:id="760">
    <w:p w:rsidR="00343B61" w:rsidRDefault="00343B61" w:rsidP="00343B61">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Mujamma’ al-Malik Fahd Li al-Thiba’ah </w:t>
      </w:r>
      <w:r>
        <w:rPr>
          <w:rFonts w:asciiTheme="majorBidi" w:hAnsiTheme="majorBidi" w:cstheme="majorBidi"/>
        </w:rPr>
        <w:t>Mushhaf al-Syarif, 1418) h. 217</w:t>
      </w:r>
    </w:p>
  </w:footnote>
  <w:footnote w:id="761">
    <w:p w:rsidR="00343B61" w:rsidRPr="007A4115" w:rsidRDefault="00343B61" w:rsidP="00343B61">
      <w:pPr>
        <w:pStyle w:val="FootnoteText"/>
        <w:ind w:firstLine="720"/>
        <w:jc w:val="both"/>
      </w:pPr>
      <w:r w:rsidRPr="007A4115">
        <w:rPr>
          <w:rStyle w:val="FootnoteReference"/>
        </w:rPr>
        <w:footnoteRef/>
      </w:r>
      <w:r w:rsidRPr="007A4115">
        <w:t xml:space="preserve"> </w:t>
      </w:r>
      <w:r w:rsidRPr="007A4115">
        <w:rPr>
          <w:rFonts w:asciiTheme="majorBidi" w:hAnsiTheme="majorBidi" w:cstheme="majorBidi"/>
        </w:rPr>
        <w:t>Lihat.</w:t>
      </w:r>
      <w:r w:rsidRPr="007A4115">
        <w:t xml:space="preserve"> </w:t>
      </w:r>
      <w:r w:rsidRPr="007A4115">
        <w:rPr>
          <w:rFonts w:asciiTheme="majorBidi" w:hAnsiTheme="majorBidi" w:cstheme="majorBidi"/>
        </w:rPr>
        <w:t xml:space="preserve">Depag RI, </w:t>
      </w:r>
      <w:r w:rsidRPr="007A4115">
        <w:rPr>
          <w:rFonts w:asciiTheme="majorBidi" w:hAnsiTheme="majorBidi" w:cstheme="majorBidi"/>
          <w:i/>
          <w:iCs/>
        </w:rPr>
        <w:t>Al-Qur’an dan Terjamahannya</w:t>
      </w:r>
      <w:r w:rsidRPr="007A4115">
        <w:rPr>
          <w:rFonts w:asciiTheme="majorBidi" w:hAnsiTheme="majorBidi" w:cstheme="majorBidi"/>
        </w:rPr>
        <w:t>, (Medinah al-Munawwarah: Mujamma’ al-Malik Fahd Li al-Thiba’ah Mushhaf al-Syarif, 1418) h. 746</w:t>
      </w:r>
    </w:p>
  </w:footnote>
  <w:footnote w:id="762">
    <w:p w:rsidR="00343B61" w:rsidRPr="00A020CA" w:rsidRDefault="00343B61" w:rsidP="00343B61">
      <w:pPr>
        <w:pStyle w:val="FootnoteText"/>
        <w:ind w:firstLine="720"/>
        <w:jc w:val="both"/>
        <w:rPr>
          <w:rFonts w:asciiTheme="majorBidi" w:hAnsiTheme="majorBidi" w:cstheme="majorBidi"/>
        </w:rPr>
      </w:pPr>
      <w:r w:rsidRPr="007A4115">
        <w:rPr>
          <w:rStyle w:val="FootnoteReference"/>
        </w:rPr>
        <w:footnoteRef/>
      </w:r>
      <w:r w:rsidRPr="007A4115">
        <w:rPr>
          <w:rFonts w:asciiTheme="majorBidi" w:hAnsiTheme="majorBidi" w:cstheme="majorBidi"/>
        </w:rPr>
        <w:t xml:space="preserve">Lihat. Muhammad ibn Ismail </w:t>
      </w:r>
      <w:r w:rsidRPr="00A2249B">
        <w:rPr>
          <w:rFonts w:asciiTheme="majorBidi" w:hAnsiTheme="majorBidi" w:cstheme="majorBidi"/>
        </w:rPr>
        <w:t>Al-Bukhāri</w:t>
      </w:r>
      <w:r w:rsidRPr="00A2249B">
        <w:rPr>
          <w:rFonts w:asciiTheme="majorBidi" w:hAnsiTheme="majorBidi" w:cstheme="majorBidi"/>
          <w:i/>
          <w:iCs/>
        </w:rPr>
        <w:t>, Al-Jāmi</w:t>
      </w:r>
      <w:r w:rsidRPr="00A2249B">
        <w:rPr>
          <w:rFonts w:asciiTheme="majorBidi" w:hAnsiTheme="majorBidi" w:cstheme="majorBidi"/>
        </w:rPr>
        <w:t>‘</w:t>
      </w:r>
      <w:r w:rsidRPr="00A2249B">
        <w:rPr>
          <w:rFonts w:asciiTheme="majorBidi" w:hAnsiTheme="majorBidi" w:cstheme="majorBidi"/>
          <w:i/>
          <w:iCs/>
        </w:rPr>
        <w:t>Al-Musnad Al-Shohīh</w:t>
      </w:r>
      <w:r w:rsidRPr="007A4115">
        <w:rPr>
          <w:rFonts w:asciiTheme="majorBidi" w:hAnsiTheme="majorBidi" w:cstheme="majorBidi"/>
        </w:rPr>
        <w:t>, ( Bairut: Dar Al-Thuq Al-Najah, cet, I, 1422 ), Jilid II, h. 100.</w:t>
      </w:r>
      <w:r w:rsidRPr="007A4115">
        <w:t xml:space="preserve"> Lihat Juga </w:t>
      </w:r>
      <w:r w:rsidRPr="007A4115">
        <w:rPr>
          <w:rFonts w:asciiTheme="majorBidi" w:hAnsiTheme="majorBidi" w:cstheme="majorBidi"/>
        </w:rPr>
        <w:t xml:space="preserve">Muslim Ibn Hajjaj </w:t>
      </w:r>
      <w:r w:rsidRPr="00972F6C">
        <w:rPr>
          <w:rFonts w:asciiTheme="majorBidi" w:hAnsiTheme="majorBidi" w:cstheme="majorBidi"/>
        </w:rPr>
        <w:t xml:space="preserve">Al-Qusyairi, </w:t>
      </w:r>
      <w:r w:rsidRPr="00972F6C">
        <w:rPr>
          <w:rFonts w:asciiTheme="majorBidi" w:hAnsiTheme="majorBidi" w:cstheme="majorBidi"/>
          <w:i/>
          <w:iCs/>
        </w:rPr>
        <w:t>Al-Jami’ Al- Shohīh Al-Musammā Bi Shohīh Muslim</w:t>
      </w:r>
      <w:r w:rsidRPr="007A4115">
        <w:rPr>
          <w:rFonts w:asciiTheme="majorBidi" w:hAnsiTheme="majorBidi" w:cstheme="majorBidi"/>
          <w:i/>
          <w:iCs/>
        </w:rPr>
        <w:t>,</w:t>
      </w:r>
      <w:r w:rsidRPr="007A4115">
        <w:rPr>
          <w:rFonts w:asciiTheme="majorBidi" w:hAnsiTheme="majorBidi" w:cstheme="majorBidi"/>
        </w:rPr>
        <w:t>( Bairut: Dar Al</w:t>
      </w:r>
      <w:r>
        <w:rPr>
          <w:rFonts w:asciiTheme="majorBidi" w:hAnsiTheme="majorBidi" w:cstheme="majorBidi"/>
        </w:rPr>
        <w:t>-Jail, t.th), Jilid viii, h. 52</w:t>
      </w:r>
    </w:p>
  </w:footnote>
  <w:footnote w:id="763">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10</w:t>
      </w:r>
    </w:p>
  </w:footnote>
  <w:footnote w:id="764">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10</w:t>
      </w:r>
    </w:p>
  </w:footnote>
  <w:footnote w:id="765">
    <w:p w:rsidR="00343B61" w:rsidRDefault="00343B61" w:rsidP="00343B61">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Mujamma’ al-Malik Fahd Li al-Thiba’ah </w:t>
      </w:r>
      <w:r>
        <w:rPr>
          <w:rFonts w:asciiTheme="majorBidi" w:hAnsiTheme="majorBidi" w:cstheme="majorBidi"/>
        </w:rPr>
        <w:t>Mushhaf al-Syarif, 1418) h. 429</w:t>
      </w:r>
    </w:p>
  </w:footnote>
  <w:footnote w:id="766">
    <w:p w:rsidR="00343B61" w:rsidRPr="00512286" w:rsidRDefault="00343B61" w:rsidP="00343B61">
      <w:pPr>
        <w:pStyle w:val="FootnoteText"/>
        <w:ind w:firstLine="720"/>
        <w:jc w:val="both"/>
      </w:pPr>
      <w:r w:rsidRPr="00512286">
        <w:rPr>
          <w:rStyle w:val="FootnoteReference"/>
        </w:rPr>
        <w:footnoteRef/>
      </w:r>
      <w:r w:rsidRPr="00512286">
        <w:t xml:space="preserve"> </w:t>
      </w:r>
      <w:r w:rsidRPr="00512286">
        <w:rPr>
          <w:rFonts w:asciiTheme="majorBidi" w:hAnsiTheme="majorBidi" w:cstheme="majorBidi"/>
        </w:rPr>
        <w:t>Lihat.</w:t>
      </w:r>
      <w:r w:rsidRPr="00512286">
        <w:t xml:space="preserve"> </w:t>
      </w:r>
      <w:r w:rsidRPr="00512286">
        <w:rPr>
          <w:rFonts w:asciiTheme="majorBidi" w:hAnsiTheme="majorBidi" w:cstheme="majorBidi"/>
        </w:rPr>
        <w:t xml:space="preserve">Depag RI, </w:t>
      </w:r>
      <w:r w:rsidRPr="00512286">
        <w:rPr>
          <w:rFonts w:asciiTheme="majorBidi" w:hAnsiTheme="majorBidi" w:cstheme="majorBidi"/>
          <w:i/>
          <w:iCs/>
        </w:rPr>
        <w:t>Al-Qur’an dan Terjamahannya</w:t>
      </w:r>
      <w:r w:rsidRPr="00512286">
        <w:rPr>
          <w:rFonts w:asciiTheme="majorBidi" w:hAnsiTheme="majorBidi" w:cstheme="majorBidi"/>
        </w:rPr>
        <w:t>, (Medinah al-Munawwarah: Mujamma’ al-Malik Fahd Li al-Thiba’ah Mushhaf al-Syarif, 1418) h. 569</w:t>
      </w:r>
    </w:p>
  </w:footnote>
  <w:footnote w:id="767">
    <w:p w:rsidR="00343B61" w:rsidRPr="0052701C"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512286">
        <w:rPr>
          <w:rStyle w:val="FootnoteReference"/>
          <w:sz w:val="20"/>
          <w:szCs w:val="20"/>
        </w:rPr>
        <w:footnoteRef/>
      </w:r>
      <w:r w:rsidRPr="00512286">
        <w:rPr>
          <w:sz w:val="20"/>
          <w:szCs w:val="20"/>
        </w:rPr>
        <w:t xml:space="preserve"> Lihat. </w:t>
      </w:r>
      <w:r w:rsidRPr="00512286">
        <w:rPr>
          <w:rFonts w:asciiTheme="majorBidi" w:hAnsiTheme="majorBidi" w:cstheme="majorBidi"/>
          <w:sz w:val="20"/>
          <w:szCs w:val="20"/>
        </w:rPr>
        <w:t xml:space="preserve">Muhammad Ibn Yazin Al-Qazwainy, </w:t>
      </w:r>
      <w:r w:rsidRPr="00512286">
        <w:rPr>
          <w:rFonts w:asciiTheme="majorBidi" w:hAnsiTheme="majorBidi" w:cstheme="majorBidi"/>
          <w:i/>
          <w:iCs/>
          <w:sz w:val="20"/>
          <w:szCs w:val="20"/>
        </w:rPr>
        <w:t>Sunan Ibnu Majah</w:t>
      </w:r>
      <w:r w:rsidRPr="00512286">
        <w:rPr>
          <w:rFonts w:asciiTheme="majorBidi" w:hAnsiTheme="majorBidi" w:cstheme="majorBidi"/>
          <w:sz w:val="20"/>
          <w:szCs w:val="20"/>
        </w:rPr>
        <w:t xml:space="preserve">, ( Bairut: Dar Al-Fikr, t.th), Jilid II, h. 204. Ahamd bin Hanbal Abu Abdullah al-Syaibani, </w:t>
      </w:r>
      <w:r w:rsidRPr="00512286">
        <w:rPr>
          <w:rFonts w:asciiTheme="majorBidi" w:hAnsiTheme="majorBidi" w:cstheme="majorBidi"/>
          <w:i/>
          <w:iCs/>
          <w:sz w:val="20"/>
          <w:szCs w:val="20"/>
        </w:rPr>
        <w:t>Musnad Ahmad bin Hanbal</w:t>
      </w:r>
      <w:r w:rsidRPr="00512286">
        <w:rPr>
          <w:rFonts w:asciiTheme="majorBidi" w:hAnsiTheme="majorBidi" w:cstheme="majorBidi"/>
          <w:sz w:val="20"/>
          <w:szCs w:val="20"/>
        </w:rPr>
        <w:t>, ( Kairo: Muassasah al-Qurthubah, t.th), Jilid ix, h. 199</w:t>
      </w:r>
    </w:p>
  </w:footnote>
  <w:footnote w:id="768">
    <w:p w:rsidR="00343B61" w:rsidRPr="00A74403" w:rsidRDefault="00343B61" w:rsidP="00343B61">
      <w:pPr>
        <w:pStyle w:val="FootnoteText"/>
        <w:ind w:firstLine="720"/>
        <w:jc w:val="both"/>
        <w:rPr>
          <w:rFonts w:asciiTheme="majorBidi" w:hAnsiTheme="majorBidi" w:cstheme="majorBidi"/>
        </w:rPr>
      </w:pPr>
      <w:r w:rsidRPr="00A74403">
        <w:rPr>
          <w:rStyle w:val="FootnoteReference"/>
          <w:rFonts w:asciiTheme="majorBidi" w:hAnsiTheme="majorBidi" w:cstheme="majorBidi"/>
        </w:rPr>
        <w:footnoteRef/>
      </w:r>
      <w:r w:rsidRPr="00A74403">
        <w:rPr>
          <w:rFonts w:asciiTheme="majorBidi" w:hAnsiTheme="majorBidi" w:cstheme="majorBidi"/>
        </w:rPr>
        <w:t xml:space="preserve"> Lihat. Amiur Nurudin dan Azhari Akmal Taligan, </w:t>
      </w:r>
      <w:r w:rsidRPr="00A74403">
        <w:rPr>
          <w:rFonts w:asciiTheme="majorBidi" w:hAnsiTheme="majorBidi" w:cstheme="majorBidi"/>
          <w:i/>
          <w:iCs/>
        </w:rPr>
        <w:t>Hukum Perdata Islam di Indonesia,</w:t>
      </w:r>
      <w:r w:rsidRPr="00A74403">
        <w:rPr>
          <w:rFonts w:asciiTheme="majorBidi" w:hAnsiTheme="majorBidi" w:cstheme="majorBidi"/>
        </w:rPr>
        <w:t xml:space="preserve">(Jakarta: Preneda Media, 2004), h. 278  </w:t>
      </w:r>
    </w:p>
  </w:footnote>
  <w:footnote w:id="769">
    <w:p w:rsidR="00343B61" w:rsidRDefault="00343B61" w:rsidP="00343B61">
      <w:pPr>
        <w:pStyle w:val="FootnoteText"/>
        <w:ind w:firstLine="720"/>
        <w:jc w:val="both"/>
      </w:pPr>
      <w:r>
        <w:rPr>
          <w:rStyle w:val="FootnoteReference"/>
        </w:rPr>
        <w:footnoteRef/>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9</w:t>
      </w:r>
    </w:p>
  </w:footnote>
  <w:footnote w:id="770">
    <w:p w:rsidR="00343B61" w:rsidRDefault="00343B61" w:rsidP="00343B61">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Mujamma’ al-Malik Fahd Li al-Thiba’ah </w:t>
      </w:r>
      <w:r>
        <w:rPr>
          <w:rFonts w:asciiTheme="majorBidi" w:hAnsiTheme="majorBidi" w:cstheme="majorBidi"/>
        </w:rPr>
        <w:t>Mushhaf al-Syarif, 1418) h. 567</w:t>
      </w:r>
    </w:p>
  </w:footnote>
  <w:footnote w:id="771">
    <w:p w:rsidR="00343B61" w:rsidRDefault="00343B61" w:rsidP="00343B61">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Mujamma’ al-Malik Fahd Li al-Thiba’ah </w:t>
      </w:r>
      <w:r>
        <w:rPr>
          <w:rFonts w:asciiTheme="majorBidi" w:hAnsiTheme="majorBidi" w:cstheme="majorBidi"/>
        </w:rPr>
        <w:t>Mushhaf al-Syarif, 1418) h. 666-667</w:t>
      </w:r>
    </w:p>
  </w:footnote>
  <w:footnote w:id="772">
    <w:p w:rsidR="00343B61" w:rsidRDefault="00343B61" w:rsidP="00343B61">
      <w:pPr>
        <w:pStyle w:val="FootnoteText"/>
        <w:ind w:firstLine="720"/>
        <w:jc w:val="both"/>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w:t>
      </w:r>
      <w:r>
        <w:rPr>
          <w:rFonts w:asciiTheme="majorBidi" w:hAnsiTheme="majorBidi" w:cstheme="majorBidi"/>
          <w:i/>
          <w:iCs/>
        </w:rPr>
        <w:t>’</w:t>
      </w:r>
      <w:r w:rsidRPr="0000215D">
        <w:rPr>
          <w:rFonts w:asciiTheme="majorBidi" w:hAnsiTheme="majorBidi" w:cstheme="majorBidi"/>
          <w:i/>
          <w:iCs/>
        </w:rPr>
        <w:t>an dan Terjamahannya</w:t>
      </w:r>
      <w:r>
        <w:rPr>
          <w:rFonts w:asciiTheme="majorBidi" w:hAnsiTheme="majorBidi" w:cstheme="majorBidi"/>
        </w:rPr>
        <w:t xml:space="preserve">, (Medinah </w:t>
      </w:r>
      <w:r w:rsidRPr="0000215D">
        <w:rPr>
          <w:rFonts w:asciiTheme="majorBidi" w:hAnsiTheme="majorBidi" w:cstheme="majorBidi"/>
        </w:rPr>
        <w:t xml:space="preserve">al-Munawwarah: Mujamma’ al-Malik Fahd Li al-Thiba’ah </w:t>
      </w:r>
      <w:r>
        <w:rPr>
          <w:rFonts w:asciiTheme="majorBidi" w:hAnsiTheme="majorBidi" w:cstheme="majorBidi"/>
        </w:rPr>
        <w:t>Mushhaf al-Syarif, 1418) h. 120</w:t>
      </w:r>
    </w:p>
  </w:footnote>
  <w:footnote w:id="773">
    <w:p w:rsidR="00343B61" w:rsidRPr="00C400E9" w:rsidRDefault="00343B61" w:rsidP="00343B61">
      <w:pPr>
        <w:pStyle w:val="FootnoteText"/>
        <w:ind w:firstLine="720"/>
        <w:jc w:val="both"/>
        <w:rPr>
          <w:rFonts w:asciiTheme="majorBidi" w:hAnsiTheme="majorBidi" w:cstheme="majorBidi"/>
        </w:rPr>
      </w:pPr>
      <w:r w:rsidRPr="00C400E9">
        <w:rPr>
          <w:rStyle w:val="FootnoteReference"/>
          <w:rFonts w:asciiTheme="majorBidi" w:hAnsiTheme="majorBidi" w:cstheme="majorBidi"/>
        </w:rPr>
        <w:footnoteRef/>
      </w:r>
      <w:r w:rsidRPr="00C400E9">
        <w:rPr>
          <w:rFonts w:asciiTheme="majorBidi" w:hAnsiTheme="majorBidi" w:cstheme="majorBidi"/>
        </w:rPr>
        <w:t xml:space="preserve"> Lihat. Muhammad ibn Ismail Al-Bukhāri</w:t>
      </w:r>
      <w:r w:rsidRPr="00C400E9">
        <w:rPr>
          <w:rFonts w:asciiTheme="majorBidi" w:hAnsiTheme="majorBidi" w:cstheme="majorBidi"/>
          <w:i/>
          <w:iCs/>
        </w:rPr>
        <w:t>, Al-Jāmi</w:t>
      </w:r>
      <w:r w:rsidRPr="00C400E9">
        <w:rPr>
          <w:rFonts w:asciiTheme="majorBidi" w:hAnsiTheme="majorBidi" w:cstheme="majorBidi"/>
        </w:rPr>
        <w:t>‘</w:t>
      </w:r>
      <w:r w:rsidRPr="00C400E9">
        <w:rPr>
          <w:rFonts w:asciiTheme="majorBidi" w:hAnsiTheme="majorBidi" w:cstheme="majorBidi"/>
          <w:i/>
          <w:iCs/>
        </w:rPr>
        <w:t>Al-Musnad Al-Shohīh</w:t>
      </w:r>
      <w:r w:rsidRPr="00C400E9">
        <w:rPr>
          <w:rFonts w:asciiTheme="majorBidi" w:hAnsiTheme="majorBidi" w:cstheme="majorBidi"/>
        </w:rPr>
        <w:t xml:space="preserve">, ( Bairut: Dar Al-Thuq Al-Najah, cet, I, 1422 ), Jilid II, h. 465. Lihat Juga Muslim Ibn Hajjaj Al-Qusyairi, </w:t>
      </w:r>
      <w:r w:rsidRPr="00C400E9">
        <w:rPr>
          <w:rFonts w:asciiTheme="majorBidi" w:hAnsiTheme="majorBidi" w:cstheme="majorBidi"/>
          <w:i/>
          <w:iCs/>
        </w:rPr>
        <w:t>Al-Jami’ Al- Shohīh Al-Musammā Bi Shohīh Muslim,</w:t>
      </w:r>
      <w:r w:rsidRPr="00C400E9">
        <w:rPr>
          <w:rFonts w:asciiTheme="majorBidi" w:hAnsiTheme="majorBidi" w:cstheme="majorBidi"/>
        </w:rPr>
        <w:t>( Bairut: Dar Al-Jail, t.th), Jilid iv, h. 171</w:t>
      </w:r>
    </w:p>
  </w:footnote>
  <w:footnote w:id="774">
    <w:p w:rsidR="00343B61" w:rsidRPr="00E802AA" w:rsidRDefault="00343B61" w:rsidP="00343B61">
      <w:pPr>
        <w:autoSpaceDE w:val="0"/>
        <w:autoSpaceDN w:val="0"/>
        <w:adjustRightInd w:val="0"/>
        <w:spacing w:after="0" w:line="240" w:lineRule="auto"/>
        <w:ind w:firstLine="720"/>
        <w:jc w:val="both"/>
        <w:rPr>
          <w:rFonts w:asciiTheme="majorBidi" w:eastAsiaTheme="minorHAnsi" w:hAnsiTheme="majorBidi" w:cstheme="majorBidi"/>
          <w:color w:val="000000"/>
          <w:sz w:val="20"/>
          <w:szCs w:val="20"/>
        </w:rPr>
      </w:pPr>
      <w:r w:rsidRPr="00C400E9">
        <w:rPr>
          <w:rStyle w:val="FootnoteReference"/>
          <w:rFonts w:asciiTheme="majorBidi" w:hAnsiTheme="majorBidi" w:cstheme="majorBidi"/>
          <w:sz w:val="20"/>
          <w:szCs w:val="20"/>
        </w:rPr>
        <w:footnoteRef/>
      </w:r>
      <w:r w:rsidRPr="00C400E9">
        <w:rPr>
          <w:rFonts w:asciiTheme="majorBidi" w:hAnsiTheme="majorBidi" w:cstheme="majorBidi"/>
          <w:sz w:val="20"/>
          <w:szCs w:val="20"/>
        </w:rPr>
        <w:t xml:space="preserve"> </w:t>
      </w:r>
      <w:r w:rsidRPr="00C400E9">
        <w:rPr>
          <w:rFonts w:asciiTheme="majorBidi" w:eastAsiaTheme="minorHAnsi" w:hAnsiTheme="majorBidi" w:cstheme="majorBidi"/>
          <w:color w:val="000000"/>
          <w:sz w:val="20"/>
          <w:szCs w:val="20"/>
        </w:rPr>
        <w:t xml:space="preserve">Lihat. Sulaiman Ibn al-Asy’ats al-Sijistani, </w:t>
      </w:r>
      <w:r w:rsidRPr="00C400E9">
        <w:rPr>
          <w:rFonts w:asciiTheme="majorBidi" w:eastAsiaTheme="minorHAnsi" w:hAnsiTheme="majorBidi" w:cstheme="majorBidi"/>
          <w:i/>
          <w:iCs/>
          <w:color w:val="000000"/>
          <w:sz w:val="20"/>
          <w:szCs w:val="20"/>
        </w:rPr>
        <w:t>Sunan Abu Daud</w:t>
      </w:r>
      <w:r w:rsidRPr="00C400E9">
        <w:rPr>
          <w:rFonts w:asciiTheme="majorBidi" w:eastAsiaTheme="minorHAnsi" w:hAnsiTheme="majorBidi" w:cstheme="majorBidi"/>
          <w:color w:val="000000"/>
          <w:sz w:val="20"/>
          <w:szCs w:val="20"/>
        </w:rPr>
        <w:t>, ( Bairut: Dak al-Kitab al-Arabi, t.t.h), Jilid II, h. 250</w:t>
      </w:r>
    </w:p>
  </w:footnote>
  <w:footnote w:id="775">
    <w:p w:rsidR="00343B61" w:rsidRPr="00E802AA" w:rsidRDefault="00343B61" w:rsidP="00343B61">
      <w:pPr>
        <w:pStyle w:val="FootnoteText"/>
        <w:ind w:firstLine="720"/>
        <w:jc w:val="both"/>
        <w:rPr>
          <w:rFonts w:asciiTheme="majorBidi" w:hAnsiTheme="majorBidi" w:cstheme="majorBidi"/>
        </w:rPr>
      </w:pPr>
      <w:r w:rsidRPr="00E802AA">
        <w:rPr>
          <w:rStyle w:val="FootnoteReference"/>
          <w:rFonts w:asciiTheme="majorBidi" w:hAnsiTheme="majorBidi" w:cstheme="majorBidi"/>
        </w:rPr>
        <w:footnoteRef/>
      </w:r>
      <w:r w:rsidRPr="00E802AA">
        <w:rPr>
          <w:rFonts w:asciiTheme="majorBidi" w:hAnsiTheme="majorBidi" w:cstheme="majorBidi"/>
        </w:rPr>
        <w:t xml:space="preserve"> Lihat. Muhammab Ibn ‘Isa Al-Turmudzi, </w:t>
      </w:r>
      <w:r w:rsidRPr="00E802AA">
        <w:rPr>
          <w:rFonts w:asciiTheme="majorBidi" w:hAnsiTheme="majorBidi" w:cstheme="majorBidi"/>
          <w:i/>
          <w:iCs/>
        </w:rPr>
        <w:t>Al-Jami’Al-Shoheh Sunan Turmudzi</w:t>
      </w:r>
      <w:r w:rsidRPr="00E802AA">
        <w:rPr>
          <w:rFonts w:asciiTheme="majorBidi" w:hAnsiTheme="majorBidi" w:cstheme="majorBidi"/>
        </w:rPr>
        <w:t>, ( Bairut: Dar Al-Ihya Al-Turats Al-Arabi, t.th), Jilid iv, h. 428</w:t>
      </w:r>
    </w:p>
    <w:p w:rsidR="00343B61" w:rsidRDefault="00343B61" w:rsidP="00343B61">
      <w:pPr>
        <w:pStyle w:val="FootnoteText"/>
        <w:ind w:firstLine="720"/>
      </w:pPr>
    </w:p>
  </w:footnote>
  <w:footnote w:id="776">
    <w:p w:rsidR="00343B61" w:rsidRPr="005162E7" w:rsidRDefault="00343B61" w:rsidP="00343B61">
      <w:pPr>
        <w:autoSpaceDE w:val="0"/>
        <w:autoSpaceDN w:val="0"/>
        <w:adjustRightInd w:val="0"/>
        <w:spacing w:after="0"/>
        <w:ind w:firstLine="720"/>
        <w:jc w:val="both"/>
        <w:rPr>
          <w:rFonts w:asciiTheme="majorBidi" w:hAnsiTheme="majorBidi" w:cstheme="majorBidi"/>
          <w:sz w:val="20"/>
          <w:szCs w:val="20"/>
        </w:rPr>
      </w:pPr>
      <w:r w:rsidRPr="005162E7">
        <w:rPr>
          <w:rStyle w:val="FootnoteReference"/>
          <w:rFonts w:asciiTheme="majorBidi" w:hAnsiTheme="majorBidi" w:cstheme="majorBidi"/>
          <w:sz w:val="20"/>
          <w:szCs w:val="20"/>
        </w:rPr>
        <w:footnoteRef/>
      </w:r>
      <w:r w:rsidRPr="005162E7">
        <w:rPr>
          <w:rFonts w:asciiTheme="majorBidi" w:hAnsiTheme="majorBidi" w:cstheme="majorBidi"/>
          <w:sz w:val="20"/>
          <w:szCs w:val="20"/>
        </w:rPr>
        <w:t xml:space="preserve"> Lihat. Abdullah bin Ahmad bin Qudamah, </w:t>
      </w:r>
      <w:r w:rsidRPr="005162E7">
        <w:rPr>
          <w:rFonts w:asciiTheme="majorBidi" w:hAnsiTheme="majorBidi" w:cstheme="majorBidi"/>
          <w:i/>
          <w:iCs/>
          <w:sz w:val="20"/>
          <w:szCs w:val="20"/>
        </w:rPr>
        <w:t>Al-Mughni Fi Fiqh al-Imam Ahmad Al-Syaibani</w:t>
      </w:r>
      <w:r w:rsidRPr="005162E7">
        <w:rPr>
          <w:rFonts w:asciiTheme="majorBidi" w:hAnsiTheme="majorBidi" w:cstheme="majorBidi"/>
          <w:sz w:val="20"/>
          <w:szCs w:val="20"/>
        </w:rPr>
        <w:t xml:space="preserve">, ( Bairut: Dar Al-Fikr, 1405), Jilid vii, h. 130 </w:t>
      </w:r>
    </w:p>
  </w:footnote>
  <w:footnote w:id="777">
    <w:p w:rsidR="00343B61" w:rsidRPr="005162E7" w:rsidRDefault="00343B61" w:rsidP="00343B61">
      <w:pPr>
        <w:pStyle w:val="FootnoteText"/>
        <w:ind w:firstLine="720"/>
        <w:jc w:val="both"/>
        <w:rPr>
          <w:rFonts w:asciiTheme="majorBidi" w:hAnsiTheme="majorBidi" w:cstheme="majorBidi"/>
        </w:rPr>
      </w:pPr>
      <w:r w:rsidRPr="005162E7">
        <w:rPr>
          <w:rStyle w:val="FootnoteReference"/>
          <w:rFonts w:asciiTheme="majorBidi" w:hAnsiTheme="majorBidi" w:cstheme="majorBidi"/>
        </w:rPr>
        <w:footnoteRef/>
      </w:r>
      <w:r w:rsidRPr="005162E7">
        <w:rPr>
          <w:rFonts w:asciiTheme="majorBidi" w:hAnsiTheme="majorBidi" w:cstheme="majorBidi"/>
        </w:rPr>
        <w:t xml:space="preserve"> Lihat. ‘Ali bin Naif al-Sahud, </w:t>
      </w:r>
      <w:r w:rsidRPr="005162E7">
        <w:rPr>
          <w:rFonts w:asciiTheme="majorBidi" w:hAnsiTheme="majorBidi" w:cstheme="majorBidi"/>
          <w:i/>
          <w:iCs/>
        </w:rPr>
        <w:t>Khulashah fi Ahkam Ijtihad</w:t>
      </w:r>
      <w:r w:rsidRPr="005162E7">
        <w:rPr>
          <w:rFonts w:asciiTheme="majorBidi" w:hAnsiTheme="majorBidi" w:cstheme="majorBidi"/>
        </w:rPr>
        <w:t>, ( Maktabah Syamilah, t.th), h. 183</w:t>
      </w:r>
    </w:p>
  </w:footnote>
  <w:footnote w:id="778">
    <w:p w:rsidR="00343B61" w:rsidRDefault="00343B61" w:rsidP="00343B61">
      <w:pPr>
        <w:pStyle w:val="FootnoteText"/>
        <w:ind w:firstLine="720"/>
        <w:jc w:val="both"/>
        <w:rPr>
          <w:rtl/>
        </w:rPr>
      </w:pPr>
      <w:r>
        <w:rPr>
          <w:rStyle w:val="FootnoteReference"/>
        </w:rPr>
        <w:footnoteRef/>
      </w:r>
      <w:r>
        <w:t xml:space="preserve"> </w:t>
      </w:r>
      <w:r w:rsidRPr="00EA38F5">
        <w:rPr>
          <w:rFonts w:asciiTheme="majorBidi" w:eastAsiaTheme="minorHAnsi" w:hAnsiTheme="majorBidi" w:cstheme="majorBidi"/>
          <w:color w:val="000000"/>
        </w:rPr>
        <w:t xml:space="preserve">Lihat. Zain al-‘Abidin Ibn Ibrahim Ibn Nujaim, </w:t>
      </w:r>
      <w:r w:rsidRPr="004666EA">
        <w:rPr>
          <w:rFonts w:asciiTheme="majorBidi" w:hAnsiTheme="majorBidi" w:cstheme="majorBidi"/>
          <w:i/>
          <w:iCs/>
          <w:color w:val="000000"/>
        </w:rPr>
        <w:t>al-Asyab</w:t>
      </w:r>
      <w:r w:rsidRPr="00D54068">
        <w:rPr>
          <w:rFonts w:asciiTheme="majorBidi" w:hAnsiTheme="majorBidi" w:cstheme="majorBidi"/>
          <w:i/>
          <w:iCs/>
        </w:rPr>
        <w:t>ā</w:t>
      </w:r>
      <w:r w:rsidRPr="004666EA">
        <w:rPr>
          <w:rFonts w:asciiTheme="majorBidi" w:hAnsiTheme="majorBidi" w:cstheme="majorBidi"/>
          <w:i/>
          <w:iCs/>
          <w:color w:val="000000"/>
        </w:rPr>
        <w:t>h wa al-Nazh</w:t>
      </w:r>
      <w:r w:rsidRPr="00D54068">
        <w:rPr>
          <w:rFonts w:asciiTheme="majorBidi" w:hAnsiTheme="majorBidi" w:cstheme="majorBidi"/>
          <w:i/>
          <w:iCs/>
        </w:rPr>
        <w:t>ā</w:t>
      </w:r>
      <w:r w:rsidRPr="004666EA">
        <w:rPr>
          <w:rFonts w:asciiTheme="majorBidi" w:hAnsiTheme="majorBidi" w:cstheme="majorBidi"/>
          <w:i/>
          <w:iCs/>
          <w:color w:val="000000"/>
        </w:rPr>
        <w:t>’ir</w:t>
      </w:r>
      <w:r w:rsidRPr="00EA38F5">
        <w:rPr>
          <w:rFonts w:asciiTheme="majorBidi" w:eastAsiaTheme="minorHAnsi" w:hAnsiTheme="majorBidi" w:cstheme="majorBidi"/>
          <w:color w:val="000000"/>
        </w:rPr>
        <w:t>, ( Bairut: Dar al-Kutub al-‘Ilmiyah, 1980 ), h. 113</w:t>
      </w:r>
    </w:p>
  </w:footnote>
  <w:footnote w:id="779">
    <w:p w:rsidR="00343B61" w:rsidRDefault="00343B61" w:rsidP="00343B61">
      <w:pPr>
        <w:pStyle w:val="FootnoteText"/>
        <w:ind w:firstLine="720"/>
        <w:jc w:val="both"/>
        <w:rPr>
          <w:rtl/>
        </w:rPr>
      </w:pPr>
      <w:r>
        <w:rPr>
          <w:rStyle w:val="FootnoteReference"/>
        </w:rPr>
        <w:footnoteRef/>
      </w:r>
      <w:r>
        <w:t xml:space="preserve"> </w:t>
      </w:r>
      <w:r w:rsidRPr="004666EA">
        <w:rPr>
          <w:rFonts w:asciiTheme="majorBidi" w:eastAsiaTheme="minorHAnsi" w:hAnsiTheme="majorBidi" w:cstheme="majorBidi"/>
          <w:color w:val="000000"/>
        </w:rPr>
        <w:t xml:space="preserve">Lihat. Zain al-‘Abidin Ibn Ibrahim Ibn Nujaim, </w:t>
      </w:r>
      <w:r w:rsidRPr="004666EA">
        <w:rPr>
          <w:rFonts w:asciiTheme="majorBidi" w:hAnsiTheme="majorBidi" w:cstheme="majorBidi"/>
          <w:i/>
          <w:iCs/>
          <w:color w:val="000000"/>
        </w:rPr>
        <w:t>al-Asyab</w:t>
      </w:r>
      <w:r w:rsidRPr="00D54068">
        <w:rPr>
          <w:rFonts w:asciiTheme="majorBidi" w:hAnsiTheme="majorBidi" w:cstheme="majorBidi"/>
          <w:i/>
          <w:iCs/>
        </w:rPr>
        <w:t>ā</w:t>
      </w:r>
      <w:r w:rsidRPr="004666EA">
        <w:rPr>
          <w:rFonts w:asciiTheme="majorBidi" w:hAnsiTheme="majorBidi" w:cstheme="majorBidi"/>
          <w:i/>
          <w:iCs/>
          <w:color w:val="000000"/>
        </w:rPr>
        <w:t>h wa al-Nazh</w:t>
      </w:r>
      <w:r w:rsidRPr="00D54068">
        <w:rPr>
          <w:rFonts w:asciiTheme="majorBidi" w:hAnsiTheme="majorBidi" w:cstheme="majorBidi"/>
          <w:i/>
          <w:iCs/>
        </w:rPr>
        <w:t>ā</w:t>
      </w:r>
      <w:r w:rsidRPr="004666EA">
        <w:rPr>
          <w:rFonts w:asciiTheme="majorBidi" w:hAnsiTheme="majorBidi" w:cstheme="majorBidi"/>
          <w:i/>
          <w:iCs/>
          <w:color w:val="000000"/>
        </w:rPr>
        <w:t>’ir</w:t>
      </w:r>
      <w:r w:rsidRPr="004666EA">
        <w:rPr>
          <w:rFonts w:asciiTheme="majorBidi" w:eastAsiaTheme="minorHAnsi" w:hAnsiTheme="majorBidi" w:cstheme="majorBidi"/>
          <w:color w:val="000000"/>
        </w:rPr>
        <w:t xml:space="preserve">, ( Bairut: Dar al-Kutub al-‘Ilmiyah, 1980 ), h. 123. Lihat juga. Abd al-Rahman Bin Abi Bakar al-Suyuthi, </w:t>
      </w:r>
      <w:r w:rsidRPr="004666EA">
        <w:rPr>
          <w:rFonts w:asciiTheme="majorBidi" w:hAnsiTheme="majorBidi" w:cstheme="majorBidi"/>
          <w:i/>
          <w:iCs/>
          <w:color w:val="000000"/>
        </w:rPr>
        <w:t>al-Asyab</w:t>
      </w:r>
      <w:r w:rsidRPr="00D54068">
        <w:rPr>
          <w:rFonts w:asciiTheme="majorBidi" w:hAnsiTheme="majorBidi" w:cstheme="majorBidi"/>
          <w:i/>
          <w:iCs/>
        </w:rPr>
        <w:t>ā</w:t>
      </w:r>
      <w:r w:rsidRPr="004666EA">
        <w:rPr>
          <w:rFonts w:asciiTheme="majorBidi" w:hAnsiTheme="majorBidi" w:cstheme="majorBidi"/>
          <w:i/>
          <w:iCs/>
          <w:color w:val="000000"/>
        </w:rPr>
        <w:t>h wa al-Nazh</w:t>
      </w:r>
      <w:r w:rsidRPr="00D54068">
        <w:rPr>
          <w:rFonts w:asciiTheme="majorBidi" w:hAnsiTheme="majorBidi" w:cstheme="majorBidi"/>
          <w:i/>
          <w:iCs/>
        </w:rPr>
        <w:t>ā</w:t>
      </w:r>
      <w:r w:rsidRPr="004666EA">
        <w:rPr>
          <w:rFonts w:asciiTheme="majorBidi" w:hAnsiTheme="majorBidi" w:cstheme="majorBidi"/>
          <w:i/>
          <w:iCs/>
          <w:color w:val="000000"/>
        </w:rPr>
        <w:t>’ir</w:t>
      </w:r>
      <w:r w:rsidRPr="004666EA">
        <w:rPr>
          <w:rFonts w:asciiTheme="majorBidi" w:eastAsiaTheme="minorHAnsi" w:hAnsiTheme="majorBidi" w:cstheme="majorBidi"/>
          <w:i/>
          <w:iCs/>
          <w:color w:val="000000"/>
        </w:rPr>
        <w:t xml:space="preserve">, </w:t>
      </w:r>
      <w:r w:rsidRPr="004666EA">
        <w:rPr>
          <w:rFonts w:asciiTheme="majorBidi" w:eastAsiaTheme="minorHAnsi" w:hAnsiTheme="majorBidi" w:cstheme="majorBidi"/>
          <w:color w:val="000000"/>
        </w:rPr>
        <w:t>( Bairut: Dar al-Kutub al-‘Ilmiyah, 1403 ), h. 121</w:t>
      </w:r>
    </w:p>
  </w:footnote>
  <w:footnote w:id="780">
    <w:p w:rsidR="00343B61" w:rsidRPr="00C400E9" w:rsidRDefault="00343B61" w:rsidP="00343B61">
      <w:pPr>
        <w:spacing w:after="0"/>
        <w:ind w:firstLine="720"/>
        <w:rPr>
          <w:rFonts w:asciiTheme="majorBidi" w:hAnsiTheme="majorBidi" w:cstheme="majorBidi"/>
          <w:i/>
          <w:iCs/>
          <w:sz w:val="20"/>
          <w:szCs w:val="20"/>
          <w:rtl/>
        </w:rPr>
      </w:pPr>
      <w:r w:rsidRPr="00C400E9">
        <w:rPr>
          <w:rStyle w:val="FootnoteReference"/>
          <w:rFonts w:asciiTheme="majorBidi" w:hAnsiTheme="majorBidi" w:cstheme="majorBidi"/>
          <w:sz w:val="20"/>
          <w:szCs w:val="20"/>
        </w:rPr>
        <w:footnoteRef/>
      </w:r>
      <w:r w:rsidRPr="00C400E9">
        <w:rPr>
          <w:rFonts w:asciiTheme="majorBidi" w:hAnsiTheme="majorBidi" w:cstheme="majorBidi"/>
          <w:sz w:val="20"/>
          <w:szCs w:val="20"/>
        </w:rPr>
        <w:t xml:space="preserve"> Abi Bakar Ibn Sayyid Muhhamad Syatha al-Dimyathi, </w:t>
      </w:r>
      <w:r w:rsidRPr="00C400E9">
        <w:rPr>
          <w:rFonts w:asciiTheme="majorBidi" w:hAnsiTheme="majorBidi" w:cstheme="majorBidi"/>
          <w:i/>
          <w:iCs/>
          <w:sz w:val="20"/>
          <w:szCs w:val="20"/>
        </w:rPr>
        <w:t>I‘ānatu al-Thālibīn ‘ala hilli alfaz Fath Mu’in</w:t>
      </w:r>
      <w:r w:rsidRPr="00C400E9">
        <w:rPr>
          <w:rFonts w:asciiTheme="majorBidi" w:hAnsiTheme="majorBidi" w:cstheme="majorBidi"/>
          <w:sz w:val="20"/>
          <w:szCs w:val="20"/>
        </w:rPr>
        <w:t>,( Bairut: Dar al-Fikr, t.t), Jilid II, h. 128</w:t>
      </w:r>
    </w:p>
  </w:footnote>
  <w:footnote w:id="781">
    <w:p w:rsidR="00343B61" w:rsidRPr="00687298" w:rsidRDefault="00343B61" w:rsidP="00343B61">
      <w:pPr>
        <w:pStyle w:val="FootnoteText"/>
        <w:spacing w:line="276" w:lineRule="auto"/>
        <w:ind w:left="180" w:firstLine="540"/>
        <w:jc w:val="both"/>
        <w:rPr>
          <w:rFonts w:asciiTheme="majorBidi" w:hAnsiTheme="majorBidi" w:cstheme="majorBidi"/>
          <w:rtl/>
        </w:rPr>
      </w:pPr>
      <w:r w:rsidRPr="005D3751">
        <w:rPr>
          <w:rStyle w:val="FootnoteReference"/>
        </w:rPr>
        <w:footnoteRef/>
      </w:r>
      <w:r w:rsidRPr="005D3751">
        <w:t xml:space="preserve"> </w:t>
      </w:r>
      <w:r w:rsidRPr="005D3751">
        <w:rPr>
          <w:rFonts w:asciiTheme="majorBidi" w:hAnsiTheme="majorBidi" w:cstheme="majorBidi"/>
        </w:rPr>
        <w:t>Ibn Hazm</w:t>
      </w:r>
      <w:r w:rsidRPr="005D3751">
        <w:rPr>
          <w:rFonts w:asciiTheme="majorBidi" w:hAnsiTheme="majorBidi" w:cstheme="majorBidi"/>
          <w:i/>
          <w:iCs/>
        </w:rPr>
        <w:t>,</w:t>
      </w:r>
      <w:r w:rsidRPr="005D3751">
        <w:rPr>
          <w:rFonts w:asciiTheme="majorBidi" w:hAnsiTheme="majorBidi" w:cstheme="majorBidi"/>
        </w:rPr>
        <w:t>Abu Muhammad Ali bin Ahmad,</w:t>
      </w:r>
      <w:r w:rsidRPr="005D3751">
        <w:rPr>
          <w:rFonts w:asciiTheme="majorBidi" w:hAnsiTheme="majorBidi" w:cstheme="majorBidi"/>
          <w:i/>
          <w:iCs/>
        </w:rPr>
        <w:t xml:space="preserve"> al-Muhall</w:t>
      </w:r>
      <w:r w:rsidRPr="000B1266">
        <w:rPr>
          <w:rFonts w:asciiTheme="majorBidi" w:hAnsiTheme="majorBidi" w:cstheme="majorBidi"/>
          <w:i/>
          <w:iCs/>
          <w:spacing w:val="1"/>
          <w:lang w:val="fi-FI"/>
        </w:rPr>
        <w:t>ā</w:t>
      </w:r>
      <w:r w:rsidRPr="005D3751">
        <w:rPr>
          <w:rFonts w:asciiTheme="majorBidi" w:hAnsiTheme="majorBidi" w:cstheme="majorBidi"/>
          <w:i/>
          <w:iCs/>
        </w:rPr>
        <w:t xml:space="preserve"> bi al-Ats</w:t>
      </w:r>
      <w:r w:rsidRPr="000B1266">
        <w:rPr>
          <w:rFonts w:asciiTheme="majorBidi" w:hAnsiTheme="majorBidi" w:cstheme="majorBidi"/>
          <w:i/>
          <w:iCs/>
          <w:spacing w:val="1"/>
          <w:lang w:val="fi-FI"/>
        </w:rPr>
        <w:t>ā</w:t>
      </w:r>
      <w:r w:rsidRPr="005D3751">
        <w:rPr>
          <w:rFonts w:asciiTheme="majorBidi" w:hAnsiTheme="majorBidi" w:cstheme="majorBidi"/>
          <w:i/>
          <w:iCs/>
        </w:rPr>
        <w:t>r</w:t>
      </w:r>
      <w:r w:rsidRPr="005D3751">
        <w:rPr>
          <w:rFonts w:asciiTheme="majorBidi" w:hAnsiTheme="majorBidi" w:cstheme="majorBidi"/>
        </w:rPr>
        <w:t>, ( Bairut: Dar al-</w:t>
      </w:r>
      <w:r w:rsidRPr="00687298">
        <w:rPr>
          <w:rFonts w:asciiTheme="majorBidi" w:hAnsiTheme="majorBidi" w:cstheme="majorBidi"/>
        </w:rPr>
        <w:t>Kutub al-‘Ilmiyah, tth.), jilid X, h. 323</w:t>
      </w:r>
    </w:p>
  </w:footnote>
  <w:footnote w:id="782">
    <w:p w:rsidR="00343B61" w:rsidRPr="00687298" w:rsidRDefault="00343B61" w:rsidP="00343B61">
      <w:pPr>
        <w:spacing w:after="0"/>
        <w:ind w:firstLine="720"/>
        <w:jc w:val="both"/>
        <w:rPr>
          <w:rFonts w:asciiTheme="majorBidi" w:hAnsiTheme="majorBidi" w:cstheme="majorBidi"/>
          <w:i/>
          <w:iCs/>
          <w:sz w:val="20"/>
          <w:szCs w:val="20"/>
          <w:rtl/>
        </w:rPr>
      </w:pPr>
      <w:r w:rsidRPr="00687298">
        <w:rPr>
          <w:rStyle w:val="FootnoteReference"/>
          <w:rFonts w:asciiTheme="majorBidi" w:hAnsiTheme="majorBidi" w:cstheme="majorBidi"/>
          <w:sz w:val="20"/>
          <w:szCs w:val="20"/>
        </w:rPr>
        <w:footnoteRef/>
      </w:r>
      <w:r w:rsidRPr="00687298">
        <w:rPr>
          <w:rFonts w:asciiTheme="majorBidi" w:hAnsiTheme="majorBidi" w:cstheme="majorBidi"/>
          <w:sz w:val="20"/>
          <w:szCs w:val="20"/>
        </w:rPr>
        <w:t xml:space="preserve"> </w:t>
      </w:r>
      <w:r w:rsidRPr="00687298">
        <w:rPr>
          <w:rFonts w:asciiTheme="majorBidi" w:hAnsiTheme="majorBidi" w:cstheme="majorBidi"/>
          <w:sz w:val="20"/>
          <w:szCs w:val="20"/>
          <w:lang w:val="sv-SE"/>
        </w:rPr>
        <w:t>Zainuddin Ibn Nujaim Al-Hanafi,</w:t>
      </w:r>
      <w:r w:rsidRPr="00687298">
        <w:rPr>
          <w:rFonts w:asciiTheme="majorBidi" w:hAnsiTheme="majorBidi" w:cstheme="majorBidi"/>
          <w:i/>
          <w:iCs/>
          <w:sz w:val="20"/>
          <w:szCs w:val="20"/>
        </w:rPr>
        <w:t xml:space="preserve"> al-Bahr al-Rāiq Syarh Kanz ad-Dāqaiq </w:t>
      </w:r>
      <w:r w:rsidRPr="00687298">
        <w:rPr>
          <w:rFonts w:asciiTheme="majorBidi" w:hAnsiTheme="majorBidi" w:cstheme="majorBidi"/>
          <w:sz w:val="20"/>
          <w:szCs w:val="20"/>
          <w:lang w:val="sv-SE"/>
        </w:rPr>
        <w:t>, ( Bairul: Dar Al-Makrifah, t.th), Jilid VIII, h. 574</w:t>
      </w:r>
    </w:p>
  </w:footnote>
  <w:footnote w:id="783">
    <w:p w:rsidR="00343B61" w:rsidRPr="00687298" w:rsidRDefault="00343B61" w:rsidP="00343B61">
      <w:pPr>
        <w:spacing w:after="0"/>
        <w:ind w:firstLine="720"/>
        <w:jc w:val="both"/>
        <w:rPr>
          <w:rFonts w:ascii="Times New Roman" w:hAnsi="Times New Roman" w:cs="Times New Roman"/>
          <w:i/>
          <w:iCs/>
          <w:sz w:val="20"/>
          <w:szCs w:val="20"/>
          <w:rtl/>
        </w:rPr>
      </w:pPr>
      <w:r w:rsidRPr="005D3751">
        <w:rPr>
          <w:rStyle w:val="FootnoteReference"/>
        </w:rPr>
        <w:footnoteRef/>
      </w:r>
      <w:r w:rsidRPr="005D3751">
        <w:t xml:space="preserve"> </w:t>
      </w:r>
      <w:r w:rsidRPr="005D3751">
        <w:rPr>
          <w:rFonts w:asciiTheme="majorBidi" w:hAnsiTheme="majorBidi" w:cstheme="majorBidi"/>
          <w:color w:val="000000" w:themeColor="text1"/>
        </w:rPr>
        <w:t xml:space="preserve">Ibn Abidin, </w:t>
      </w:r>
      <w:r w:rsidRPr="005D3751">
        <w:rPr>
          <w:rFonts w:asciiTheme="majorBidi" w:hAnsiTheme="majorBidi" w:cstheme="majorBidi"/>
          <w:i/>
          <w:iCs/>
          <w:color w:val="000000" w:themeColor="text1"/>
        </w:rPr>
        <w:t xml:space="preserve">Hasyiah </w:t>
      </w:r>
      <w:r w:rsidRPr="00ED1B28">
        <w:rPr>
          <w:rFonts w:ascii="Times New Roman" w:hAnsi="Times New Roman" w:cs="Times New Roman"/>
          <w:i/>
          <w:iCs/>
          <w:sz w:val="20"/>
          <w:szCs w:val="20"/>
        </w:rPr>
        <w:t>Radd al-Muht</w:t>
      </w:r>
      <w:r w:rsidRPr="00ED1B28">
        <w:rPr>
          <w:rFonts w:asciiTheme="majorBidi" w:hAnsiTheme="majorBidi" w:cstheme="majorBidi"/>
          <w:i/>
          <w:iCs/>
          <w:sz w:val="20"/>
          <w:szCs w:val="20"/>
        </w:rPr>
        <w:t>ā</w:t>
      </w:r>
      <w:r w:rsidRPr="00ED1B28">
        <w:rPr>
          <w:rFonts w:ascii="Times New Roman" w:hAnsi="Times New Roman" w:cs="Times New Roman"/>
          <w:i/>
          <w:iCs/>
          <w:sz w:val="20"/>
          <w:szCs w:val="20"/>
        </w:rPr>
        <w:t>r ‘ala al-Durar al-Mukht</w:t>
      </w:r>
      <w:r w:rsidRPr="00ED1B28">
        <w:rPr>
          <w:rFonts w:asciiTheme="majorBidi" w:hAnsiTheme="majorBidi" w:cstheme="majorBidi"/>
          <w:i/>
          <w:iCs/>
          <w:sz w:val="20"/>
          <w:szCs w:val="20"/>
        </w:rPr>
        <w:t>ā</w:t>
      </w:r>
      <w:r>
        <w:rPr>
          <w:rFonts w:ascii="Times New Roman" w:hAnsi="Times New Roman" w:cs="Times New Roman"/>
          <w:i/>
          <w:iCs/>
          <w:sz w:val="20"/>
          <w:szCs w:val="20"/>
        </w:rPr>
        <w:t>r,</w:t>
      </w:r>
      <w:r w:rsidRPr="005D3751">
        <w:rPr>
          <w:rFonts w:asciiTheme="majorBidi" w:hAnsiTheme="majorBidi" w:cstheme="majorBidi"/>
          <w:color w:val="000000" w:themeColor="text1"/>
        </w:rPr>
        <w:t xml:space="preserve"> (Beirut, Dar Al-Fikr, 1421 H/ 2000M )</w:t>
      </w:r>
      <w:r>
        <w:rPr>
          <w:rFonts w:asciiTheme="majorBidi" w:hAnsiTheme="majorBidi" w:cstheme="majorBidi"/>
          <w:color w:val="000000" w:themeColor="text1"/>
        </w:rPr>
        <w:t>, Jilid VI, h. 799</w:t>
      </w:r>
    </w:p>
  </w:footnote>
  <w:footnote w:id="784">
    <w:p w:rsidR="00343B61" w:rsidRPr="00061882" w:rsidRDefault="00343B61" w:rsidP="00343B61">
      <w:pPr>
        <w:pStyle w:val="FootnoteText"/>
        <w:spacing w:line="276" w:lineRule="auto"/>
        <w:ind w:left="180" w:firstLine="540"/>
        <w:jc w:val="both"/>
        <w:rPr>
          <w:rFonts w:asciiTheme="majorBidi" w:hAnsiTheme="majorBidi" w:cstheme="majorBidi"/>
        </w:rPr>
      </w:pPr>
      <w:r w:rsidRPr="00061882">
        <w:rPr>
          <w:rStyle w:val="FootnoteReference"/>
        </w:rPr>
        <w:footnoteRef/>
      </w:r>
      <w:r w:rsidRPr="00061882">
        <w:t xml:space="preserve"> </w:t>
      </w:r>
      <w:r w:rsidRPr="00061882">
        <w:rPr>
          <w:rFonts w:asciiTheme="majorBidi" w:hAnsiTheme="majorBidi" w:cstheme="majorBidi"/>
        </w:rPr>
        <w:t xml:space="preserve">Ibn Taimiyah, Taqi al Din Abu al-Abbas, </w:t>
      </w:r>
      <w:r w:rsidRPr="00061882">
        <w:rPr>
          <w:rFonts w:asciiTheme="majorBidi" w:hAnsiTheme="majorBidi" w:cstheme="majorBidi"/>
          <w:i/>
          <w:iCs/>
        </w:rPr>
        <w:t>Majmu’ al-Fatawa</w:t>
      </w:r>
      <w:r w:rsidRPr="00061882">
        <w:rPr>
          <w:rFonts w:asciiTheme="majorBidi" w:hAnsiTheme="majorBidi" w:cstheme="majorBidi"/>
        </w:rPr>
        <w:t>, ( Bairut: Dar al-‘Arabiyah, t.tp), Jilid VIII, h. 276</w:t>
      </w:r>
    </w:p>
    <w:p w:rsidR="00343B61" w:rsidRDefault="00343B61" w:rsidP="00343B61">
      <w:pPr>
        <w:pStyle w:val="FootnoteText"/>
        <w:rPr>
          <w:rtl/>
        </w:rPr>
      </w:pPr>
    </w:p>
  </w:footnote>
  <w:footnote w:id="785">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xml:space="preserve">, ( Jakarta: Komisi Fatwa Majelis Ulama Indonesia, 2012), h. </w:t>
      </w:r>
      <w:r>
        <w:rPr>
          <w:rFonts w:asciiTheme="majorBidi" w:hAnsiTheme="majorBidi" w:cstheme="majorBidi"/>
          <w:color w:val="000000"/>
          <w:lang w:val="sv-SE"/>
        </w:rPr>
        <w:t>10</w:t>
      </w:r>
    </w:p>
  </w:footnote>
  <w:footnote w:id="786">
    <w:p w:rsidR="00343B61" w:rsidRPr="00E32859" w:rsidRDefault="00343B61" w:rsidP="00343B61">
      <w:pPr>
        <w:pStyle w:val="FootnoteText"/>
        <w:ind w:firstLine="720"/>
        <w:jc w:val="both"/>
        <w:rPr>
          <w:rFonts w:asciiTheme="majorBidi" w:hAnsiTheme="majorBidi" w:cstheme="majorBidi"/>
        </w:rPr>
      </w:pPr>
      <w:r w:rsidRPr="00E32859">
        <w:rPr>
          <w:rStyle w:val="FootnoteReference"/>
          <w:rFonts w:asciiTheme="majorBidi" w:hAnsiTheme="majorBidi" w:cstheme="majorBidi"/>
        </w:rPr>
        <w:footnoteRef/>
      </w:r>
      <w:r w:rsidRPr="00E32859">
        <w:rPr>
          <w:rFonts w:asciiTheme="majorBidi" w:hAnsiTheme="majorBidi" w:cstheme="majorBidi"/>
        </w:rPr>
        <w:t xml:space="preserve"> Lihat. MUI, </w:t>
      </w:r>
      <w:r w:rsidRPr="00E32859">
        <w:rPr>
          <w:rFonts w:asciiTheme="majorBidi" w:hAnsiTheme="majorBidi" w:cstheme="majorBidi"/>
          <w:i/>
          <w:iCs/>
        </w:rPr>
        <w:t>Himpunan Keputusan Ijtima’ Ulama Komisi Fatwa Se-Indonesia Ke V Tahun 2015 di Ponpes At-Tauhidiyah</w:t>
      </w:r>
      <w:r w:rsidRPr="00E32859">
        <w:rPr>
          <w:rFonts w:asciiTheme="majorBidi" w:hAnsiTheme="majorBidi" w:cstheme="majorBidi"/>
        </w:rPr>
        <w:t>, ( Jakarta: Majelis Ulama Indonesia, 2015), h. 50</w:t>
      </w:r>
    </w:p>
  </w:footnote>
  <w:footnote w:id="787">
    <w:p w:rsidR="00343B61" w:rsidRPr="00E32859" w:rsidRDefault="00343B61" w:rsidP="00343B61">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E32859">
        <w:rPr>
          <w:rStyle w:val="FootnoteReference"/>
          <w:rFonts w:asciiTheme="majorBidi" w:hAnsiTheme="majorBidi" w:cstheme="majorBidi"/>
          <w:sz w:val="20"/>
          <w:szCs w:val="20"/>
        </w:rPr>
        <w:footnoteRef/>
      </w:r>
      <w:r w:rsidRPr="00E32859">
        <w:rPr>
          <w:rFonts w:asciiTheme="majorBidi" w:hAnsiTheme="majorBidi" w:cstheme="majorBidi"/>
          <w:sz w:val="20"/>
          <w:szCs w:val="20"/>
        </w:rPr>
        <w:t xml:space="preserve"> </w:t>
      </w:r>
      <w:r w:rsidRPr="00E32859">
        <w:rPr>
          <w:rFonts w:asciiTheme="majorBidi" w:eastAsiaTheme="minorHAnsi" w:hAnsiTheme="majorBidi" w:cstheme="majorBidi"/>
          <w:sz w:val="20"/>
          <w:szCs w:val="20"/>
        </w:rPr>
        <w:t xml:space="preserve">Wahbah </w:t>
      </w:r>
      <w:r w:rsidRPr="00DB2BD4">
        <w:rPr>
          <w:rFonts w:asciiTheme="majorBidi" w:hAnsiTheme="majorBidi" w:cstheme="majorBidi"/>
        </w:rPr>
        <w:t>Al-Zuhail</w:t>
      </w:r>
      <w:r w:rsidRPr="00914108">
        <w:rPr>
          <w:rFonts w:asciiTheme="majorBidi" w:hAnsiTheme="majorBidi" w:cstheme="majorBidi"/>
          <w:sz w:val="20"/>
          <w:szCs w:val="20"/>
        </w:rPr>
        <w:t>ī</w:t>
      </w:r>
      <w:r>
        <w:rPr>
          <w:rFonts w:asciiTheme="majorBidi" w:hAnsiTheme="majorBidi" w:cstheme="majorBidi"/>
          <w:sz w:val="20"/>
          <w:szCs w:val="20"/>
        </w:rPr>
        <w:t xml:space="preserve">, </w:t>
      </w:r>
      <w:r w:rsidRPr="00B7150C">
        <w:rPr>
          <w:rFonts w:asciiTheme="majorBidi" w:hAnsiTheme="majorBidi" w:cstheme="majorBidi"/>
          <w:i/>
          <w:iCs/>
        </w:rPr>
        <w:t>Al-Fiqh Isl</w:t>
      </w:r>
      <w:r w:rsidRPr="00AC6C5F">
        <w:rPr>
          <w:rFonts w:asciiTheme="majorBidi" w:hAnsiTheme="majorBidi" w:cstheme="majorBidi"/>
          <w:i/>
          <w:iCs/>
          <w:sz w:val="20"/>
          <w:szCs w:val="20"/>
        </w:rPr>
        <w:t>ā</w:t>
      </w:r>
      <w:r w:rsidRPr="00B7150C">
        <w:rPr>
          <w:rFonts w:asciiTheme="majorBidi" w:hAnsiTheme="majorBidi" w:cstheme="majorBidi"/>
          <w:i/>
          <w:iCs/>
        </w:rPr>
        <w:t>m</w:t>
      </w:r>
      <w:r w:rsidRPr="00401B91">
        <w:rPr>
          <w:rFonts w:asciiTheme="majorBidi" w:hAnsiTheme="majorBidi" w:cstheme="majorBidi"/>
          <w:i/>
          <w:iCs/>
          <w:sz w:val="20"/>
          <w:szCs w:val="20"/>
        </w:rPr>
        <w:t>ī</w:t>
      </w:r>
      <w:r w:rsidRPr="00B7150C">
        <w:rPr>
          <w:rFonts w:asciiTheme="majorBidi" w:hAnsiTheme="majorBidi" w:cstheme="majorBidi"/>
          <w:i/>
          <w:iCs/>
        </w:rPr>
        <w:t xml:space="preserve"> Wa Adillatuh</w:t>
      </w:r>
      <w:r w:rsidRPr="0056354E">
        <w:rPr>
          <w:rFonts w:asciiTheme="majorBidi" w:hAnsiTheme="majorBidi" w:cstheme="majorBidi"/>
          <w:i/>
          <w:iCs/>
          <w:sz w:val="20"/>
          <w:szCs w:val="20"/>
        </w:rPr>
        <w:t>ū</w:t>
      </w:r>
      <w:r w:rsidRPr="00E32859">
        <w:rPr>
          <w:rFonts w:asciiTheme="majorBidi" w:eastAsiaTheme="minorHAnsi" w:hAnsiTheme="majorBidi" w:cstheme="majorBidi"/>
          <w:i/>
          <w:iCs/>
          <w:sz w:val="20"/>
          <w:szCs w:val="20"/>
        </w:rPr>
        <w:t xml:space="preserve">, </w:t>
      </w:r>
      <w:r w:rsidRPr="00E32859">
        <w:rPr>
          <w:rFonts w:asciiTheme="majorBidi" w:eastAsiaTheme="minorHAnsi" w:hAnsiTheme="majorBidi" w:cstheme="majorBidi"/>
          <w:sz w:val="20"/>
          <w:szCs w:val="20"/>
        </w:rPr>
        <w:t>(Beirut: Dar El-Fikr,</w:t>
      </w:r>
      <w:r>
        <w:rPr>
          <w:rFonts w:asciiTheme="majorBidi" w:eastAsiaTheme="minorHAnsi" w:hAnsiTheme="majorBidi" w:cstheme="majorBidi"/>
          <w:sz w:val="20"/>
          <w:szCs w:val="20"/>
        </w:rPr>
        <w:t xml:space="preserve"> </w:t>
      </w:r>
      <w:r w:rsidRPr="00E32859">
        <w:rPr>
          <w:rFonts w:asciiTheme="majorBidi" w:hAnsiTheme="majorBidi" w:cstheme="majorBidi"/>
          <w:sz w:val="20"/>
          <w:szCs w:val="20"/>
        </w:rPr>
        <w:t>1997), h. 7306.</w:t>
      </w:r>
    </w:p>
  </w:footnote>
  <w:footnote w:id="788">
    <w:p w:rsidR="00343B61" w:rsidRPr="00E32859" w:rsidRDefault="00343B61" w:rsidP="00343B61">
      <w:pPr>
        <w:pStyle w:val="FootnoteText"/>
        <w:ind w:firstLine="720"/>
        <w:jc w:val="both"/>
        <w:rPr>
          <w:rFonts w:asciiTheme="majorBidi" w:hAnsiTheme="majorBidi" w:cstheme="majorBidi"/>
        </w:rPr>
      </w:pPr>
      <w:r w:rsidRPr="00E32859">
        <w:rPr>
          <w:rStyle w:val="FootnoteReference"/>
          <w:rFonts w:asciiTheme="majorBidi" w:hAnsiTheme="majorBidi" w:cstheme="majorBidi"/>
        </w:rPr>
        <w:footnoteRef/>
      </w:r>
      <w:r w:rsidRPr="00E32859">
        <w:rPr>
          <w:rFonts w:asciiTheme="majorBidi" w:hAnsiTheme="majorBidi" w:cstheme="majorBidi"/>
        </w:rPr>
        <w:t xml:space="preserve"> Andi Syamsu Alam, Muhammad Fauzan, Hukum Pengankatan Anak</w:t>
      </w:r>
      <w:r>
        <w:rPr>
          <w:rFonts w:asciiTheme="majorBidi" w:hAnsiTheme="majorBidi" w:cstheme="majorBidi"/>
        </w:rPr>
        <w:t xml:space="preserve"> </w:t>
      </w:r>
      <w:r w:rsidRPr="00E32859">
        <w:rPr>
          <w:rFonts w:asciiTheme="majorBidi" w:hAnsiTheme="majorBidi" w:cstheme="majorBidi"/>
        </w:rPr>
        <w:t>Perspektif Islam, (Jakarta: KENCANA PREDANA MEDIA, 2008), h. 132.</w:t>
      </w:r>
    </w:p>
  </w:footnote>
  <w:footnote w:id="789">
    <w:p w:rsidR="00343B61" w:rsidRPr="00E32859" w:rsidRDefault="00343B61" w:rsidP="00343B61">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E32859">
        <w:rPr>
          <w:rStyle w:val="FootnoteReference"/>
          <w:rFonts w:asciiTheme="majorBidi" w:hAnsiTheme="majorBidi" w:cstheme="majorBidi"/>
          <w:sz w:val="20"/>
          <w:szCs w:val="20"/>
        </w:rPr>
        <w:footnoteRef/>
      </w:r>
      <w:r w:rsidRPr="00E32859">
        <w:rPr>
          <w:rFonts w:asciiTheme="majorBidi" w:hAnsiTheme="majorBidi" w:cstheme="majorBidi"/>
          <w:sz w:val="20"/>
          <w:szCs w:val="20"/>
        </w:rPr>
        <w:t xml:space="preserve"> </w:t>
      </w:r>
      <w:r w:rsidRPr="00E32859">
        <w:rPr>
          <w:rFonts w:asciiTheme="majorBidi" w:eastAsiaTheme="minorHAnsi" w:hAnsiTheme="majorBidi" w:cstheme="majorBidi"/>
          <w:sz w:val="20"/>
          <w:szCs w:val="20"/>
        </w:rPr>
        <w:t xml:space="preserve">Mahfuz Ibn Ahmad, </w:t>
      </w:r>
      <w:r>
        <w:rPr>
          <w:rFonts w:asciiTheme="majorBidi" w:eastAsiaTheme="minorHAnsi" w:hAnsiTheme="majorBidi" w:cstheme="majorBidi"/>
          <w:i/>
          <w:iCs/>
          <w:sz w:val="20"/>
          <w:szCs w:val="20"/>
        </w:rPr>
        <w:t>Al-hida</w:t>
      </w:r>
      <w:r w:rsidRPr="00E32859">
        <w:rPr>
          <w:rFonts w:asciiTheme="majorBidi" w:eastAsiaTheme="minorHAnsi" w:hAnsiTheme="majorBidi" w:cstheme="majorBidi"/>
          <w:i/>
          <w:iCs/>
          <w:sz w:val="20"/>
          <w:szCs w:val="20"/>
        </w:rPr>
        <w:t xml:space="preserve">yah ‘Ala Mazhab al-Imam Ahmad, </w:t>
      </w:r>
      <w:r w:rsidRPr="00E32859">
        <w:rPr>
          <w:rFonts w:asciiTheme="majorBidi" w:eastAsiaTheme="minorHAnsi" w:hAnsiTheme="majorBidi" w:cstheme="majorBidi"/>
          <w:sz w:val="20"/>
          <w:szCs w:val="20"/>
        </w:rPr>
        <w:t>(Ttp:</w:t>
      </w:r>
      <w:r>
        <w:rPr>
          <w:rFonts w:asciiTheme="majorBidi" w:eastAsiaTheme="minorHAnsi" w:hAnsiTheme="majorBidi" w:cstheme="majorBidi"/>
          <w:sz w:val="20"/>
          <w:szCs w:val="20"/>
        </w:rPr>
        <w:t xml:space="preserve"> </w:t>
      </w:r>
      <w:r w:rsidRPr="00E32859">
        <w:rPr>
          <w:rFonts w:asciiTheme="majorBidi" w:hAnsiTheme="majorBidi" w:cstheme="majorBidi"/>
          <w:sz w:val="20"/>
          <w:szCs w:val="20"/>
        </w:rPr>
        <w:t>Muassasah Gharas li An-nasyr Wa At-tauzi’, 2004), Jilid 1, h. 500.</w:t>
      </w:r>
    </w:p>
  </w:footnote>
  <w:footnote w:id="790">
    <w:p w:rsidR="00343B61" w:rsidRPr="00E32859" w:rsidRDefault="00343B61" w:rsidP="00343B61">
      <w:pPr>
        <w:autoSpaceDE w:val="0"/>
        <w:autoSpaceDN w:val="0"/>
        <w:adjustRightInd w:val="0"/>
        <w:spacing w:after="0" w:line="240" w:lineRule="auto"/>
        <w:ind w:firstLine="720"/>
        <w:jc w:val="both"/>
        <w:rPr>
          <w:rFonts w:asciiTheme="majorBidi" w:eastAsiaTheme="minorHAnsi" w:hAnsiTheme="majorBidi" w:cstheme="majorBidi"/>
          <w:sz w:val="20"/>
          <w:szCs w:val="20"/>
        </w:rPr>
      </w:pPr>
      <w:r w:rsidRPr="00E32859">
        <w:rPr>
          <w:rStyle w:val="FootnoteReference"/>
          <w:rFonts w:asciiTheme="majorBidi" w:hAnsiTheme="majorBidi" w:cstheme="majorBidi"/>
          <w:sz w:val="20"/>
          <w:szCs w:val="20"/>
        </w:rPr>
        <w:footnoteRef/>
      </w:r>
      <w:r w:rsidRPr="00E32859">
        <w:rPr>
          <w:rFonts w:asciiTheme="majorBidi" w:hAnsiTheme="majorBidi" w:cstheme="majorBidi"/>
          <w:sz w:val="20"/>
          <w:szCs w:val="20"/>
        </w:rPr>
        <w:t xml:space="preserve"> </w:t>
      </w:r>
      <w:r w:rsidRPr="00E32859">
        <w:rPr>
          <w:rFonts w:asciiTheme="majorBidi" w:eastAsiaTheme="minorHAnsi" w:hAnsiTheme="majorBidi" w:cstheme="majorBidi"/>
          <w:sz w:val="20"/>
          <w:szCs w:val="20"/>
        </w:rPr>
        <w:t xml:space="preserve">Abdurrahman Ibn Ibrahim, </w:t>
      </w:r>
      <w:r w:rsidRPr="00E32859">
        <w:rPr>
          <w:rFonts w:asciiTheme="majorBidi" w:eastAsiaTheme="minorHAnsi" w:hAnsiTheme="majorBidi" w:cstheme="majorBidi"/>
          <w:i/>
          <w:iCs/>
          <w:sz w:val="20"/>
          <w:szCs w:val="20"/>
        </w:rPr>
        <w:t xml:space="preserve">Al-iddah Syarh ‘Umdah,, </w:t>
      </w:r>
      <w:r w:rsidRPr="00E32859">
        <w:rPr>
          <w:rFonts w:asciiTheme="majorBidi" w:eastAsiaTheme="minorHAnsi" w:hAnsiTheme="majorBidi" w:cstheme="majorBidi"/>
          <w:sz w:val="20"/>
          <w:szCs w:val="20"/>
        </w:rPr>
        <w:t>(Beirut: Dar El-</w:t>
      </w:r>
      <w:r>
        <w:rPr>
          <w:rFonts w:asciiTheme="majorBidi" w:eastAsiaTheme="minorHAnsi" w:hAnsiTheme="majorBidi" w:cstheme="majorBidi"/>
          <w:sz w:val="20"/>
          <w:szCs w:val="20"/>
        </w:rPr>
        <w:t xml:space="preserve"> </w:t>
      </w:r>
      <w:r w:rsidRPr="00E32859">
        <w:rPr>
          <w:rFonts w:asciiTheme="majorBidi" w:hAnsiTheme="majorBidi" w:cstheme="majorBidi"/>
          <w:sz w:val="20"/>
          <w:szCs w:val="20"/>
        </w:rPr>
        <w:t>Hadits, 2003), Jilid 1</w:t>
      </w:r>
      <w:r w:rsidRPr="00E32859">
        <w:rPr>
          <w:rFonts w:asciiTheme="majorBidi" w:hAnsiTheme="majorBidi" w:cstheme="majorBidi"/>
          <w:i/>
          <w:iCs/>
          <w:sz w:val="20"/>
          <w:szCs w:val="20"/>
        </w:rPr>
        <w:t xml:space="preserve">, </w:t>
      </w:r>
      <w:r w:rsidRPr="00E32859">
        <w:rPr>
          <w:rFonts w:asciiTheme="majorBidi" w:hAnsiTheme="majorBidi" w:cstheme="majorBidi"/>
          <w:sz w:val="20"/>
          <w:szCs w:val="20"/>
        </w:rPr>
        <w:t>h. 479.</w:t>
      </w:r>
    </w:p>
  </w:footnote>
  <w:footnote w:id="791">
    <w:p w:rsidR="00343B61" w:rsidRPr="00E32859" w:rsidRDefault="00343B61" w:rsidP="00343B61">
      <w:pPr>
        <w:pStyle w:val="FootnoteText"/>
        <w:ind w:firstLine="720"/>
        <w:jc w:val="both"/>
        <w:rPr>
          <w:rFonts w:asciiTheme="majorBidi" w:hAnsiTheme="majorBidi" w:cstheme="majorBidi"/>
        </w:rPr>
      </w:pPr>
      <w:r w:rsidRPr="00E32859">
        <w:rPr>
          <w:rStyle w:val="FootnoteReference"/>
          <w:rFonts w:asciiTheme="majorBidi" w:hAnsiTheme="majorBidi" w:cstheme="majorBidi"/>
        </w:rPr>
        <w:footnoteRef/>
      </w:r>
      <w:r w:rsidRPr="00E32859">
        <w:rPr>
          <w:rFonts w:asciiTheme="majorBidi" w:hAnsiTheme="majorBidi" w:cstheme="majorBidi"/>
        </w:rPr>
        <w:t xml:space="preserve"> Lihat. MUI, </w:t>
      </w:r>
      <w:r w:rsidRPr="00E32859">
        <w:rPr>
          <w:rFonts w:asciiTheme="majorBidi" w:hAnsiTheme="majorBidi" w:cstheme="majorBidi"/>
          <w:i/>
          <w:iCs/>
        </w:rPr>
        <w:t>Himpunan Keputusan Ijtima’ Ulama Komisi Fatwa Se-Indonesia Ke V Tahun 2015 di Ponpes At-Tauhidiyah</w:t>
      </w:r>
      <w:r w:rsidRPr="00E32859">
        <w:rPr>
          <w:rFonts w:asciiTheme="majorBidi" w:hAnsiTheme="majorBidi" w:cstheme="majorBidi"/>
        </w:rPr>
        <w:t>, ( Jakarta: Majelis Ulama Indonesia, 2015), h. 50-51</w:t>
      </w:r>
    </w:p>
  </w:footnote>
  <w:footnote w:id="792">
    <w:p w:rsidR="00343B61" w:rsidRDefault="00343B61" w:rsidP="00343B61">
      <w:pPr>
        <w:pStyle w:val="FootnoteText"/>
        <w:ind w:firstLine="720"/>
        <w:jc w:val="both"/>
      </w:pPr>
      <w:r w:rsidRPr="00E32859">
        <w:rPr>
          <w:rStyle w:val="FootnoteReference"/>
          <w:rFonts w:asciiTheme="majorBidi" w:hAnsiTheme="majorBidi" w:cstheme="majorBidi"/>
        </w:rPr>
        <w:footnoteRef/>
      </w:r>
      <w:r w:rsidRPr="00E32859">
        <w:rPr>
          <w:rFonts w:asciiTheme="majorBidi" w:hAnsiTheme="majorBidi" w:cstheme="majorBidi"/>
        </w:rPr>
        <w:t xml:space="preserve"> Lihat. MUI, </w:t>
      </w:r>
      <w:r w:rsidRPr="00E32859">
        <w:rPr>
          <w:rFonts w:asciiTheme="majorBidi" w:hAnsiTheme="majorBidi" w:cstheme="majorBidi"/>
          <w:i/>
          <w:iCs/>
        </w:rPr>
        <w:t>Himpunan Keputusan Ijtima’ Ulama Komisi Fatwa Se-Indonesia Ke V Tahun 2015 di Ponpes At-Tauhidiyah</w:t>
      </w:r>
      <w:r w:rsidRPr="00E32859">
        <w:rPr>
          <w:rFonts w:asciiTheme="majorBidi" w:hAnsiTheme="majorBidi" w:cstheme="majorBidi"/>
        </w:rPr>
        <w:t>, ( Jakarta: Majelis Ulama Indonesia, 2015), h. 53</w:t>
      </w:r>
    </w:p>
  </w:footnote>
  <w:footnote w:id="793">
    <w:p w:rsidR="00343B61" w:rsidRPr="00DA39D0" w:rsidRDefault="00343B61" w:rsidP="00343B61">
      <w:pPr>
        <w:autoSpaceDE w:val="0"/>
        <w:autoSpaceDN w:val="0"/>
        <w:adjustRightInd w:val="0"/>
        <w:spacing w:after="0"/>
        <w:ind w:firstLine="720"/>
        <w:jc w:val="both"/>
        <w:rPr>
          <w:rFonts w:asciiTheme="majorBidi" w:hAnsiTheme="majorBidi" w:cstheme="majorBidi"/>
          <w:sz w:val="20"/>
          <w:szCs w:val="20"/>
        </w:rPr>
      </w:pPr>
      <w:r w:rsidRPr="00DA39D0">
        <w:rPr>
          <w:rStyle w:val="FootnoteReference"/>
          <w:sz w:val="20"/>
          <w:szCs w:val="20"/>
        </w:rPr>
        <w:footnoteRef/>
      </w:r>
      <w:r w:rsidRPr="00DA39D0">
        <w:rPr>
          <w:sz w:val="20"/>
          <w:szCs w:val="20"/>
        </w:rPr>
        <w:t xml:space="preserve"> </w:t>
      </w:r>
      <w:r w:rsidRPr="00DA39D0">
        <w:rPr>
          <w:rFonts w:asciiTheme="majorBidi" w:hAnsiTheme="majorBidi" w:cstheme="majorBidi"/>
          <w:sz w:val="20"/>
          <w:szCs w:val="20"/>
        </w:rPr>
        <w:t xml:space="preserve">Lihat. Depag RI, </w:t>
      </w:r>
      <w:r w:rsidRPr="00DA39D0">
        <w:rPr>
          <w:rFonts w:asciiTheme="majorBidi" w:hAnsiTheme="majorBidi" w:cstheme="majorBidi"/>
          <w:i/>
          <w:iCs/>
          <w:sz w:val="20"/>
          <w:szCs w:val="20"/>
        </w:rPr>
        <w:t>Al-Quran dan Terjamahannya</w:t>
      </w:r>
      <w:r w:rsidRPr="00DA39D0">
        <w:rPr>
          <w:rFonts w:asciiTheme="majorBidi" w:hAnsiTheme="majorBidi" w:cstheme="majorBidi"/>
          <w:sz w:val="20"/>
          <w:szCs w:val="20"/>
        </w:rPr>
        <w:t>, ( Medinah al-Munawwarah: Mujamma’ al-Malik Fahd Li al-Thiba’ah Mush-haf al-Syarif, 1418), h. 57</w:t>
      </w:r>
    </w:p>
  </w:footnote>
  <w:footnote w:id="794">
    <w:p w:rsidR="00343B61" w:rsidRPr="00DA39D0" w:rsidRDefault="00343B61" w:rsidP="00343B61">
      <w:pPr>
        <w:autoSpaceDE w:val="0"/>
        <w:autoSpaceDN w:val="0"/>
        <w:adjustRightInd w:val="0"/>
        <w:spacing w:after="0"/>
        <w:ind w:firstLine="720"/>
        <w:jc w:val="both"/>
        <w:rPr>
          <w:rFonts w:asciiTheme="majorBidi" w:hAnsiTheme="majorBidi" w:cstheme="majorBidi"/>
          <w:sz w:val="20"/>
          <w:szCs w:val="20"/>
        </w:rPr>
      </w:pPr>
      <w:r w:rsidRPr="00DA39D0">
        <w:rPr>
          <w:rStyle w:val="FootnoteReference"/>
          <w:sz w:val="20"/>
          <w:szCs w:val="20"/>
        </w:rPr>
        <w:footnoteRef/>
      </w:r>
      <w:r w:rsidRPr="00DA39D0">
        <w:rPr>
          <w:sz w:val="20"/>
          <w:szCs w:val="20"/>
        </w:rPr>
        <w:t xml:space="preserve"> </w:t>
      </w:r>
      <w:r w:rsidRPr="00DA39D0">
        <w:rPr>
          <w:rFonts w:asciiTheme="majorBidi" w:hAnsiTheme="majorBidi" w:cstheme="majorBidi"/>
          <w:sz w:val="20"/>
          <w:szCs w:val="20"/>
        </w:rPr>
        <w:t xml:space="preserve">Lihat. Depag RI, </w:t>
      </w:r>
      <w:r w:rsidRPr="00DA39D0">
        <w:rPr>
          <w:rFonts w:asciiTheme="majorBidi" w:hAnsiTheme="majorBidi" w:cstheme="majorBidi"/>
          <w:i/>
          <w:iCs/>
          <w:sz w:val="20"/>
          <w:szCs w:val="20"/>
        </w:rPr>
        <w:t>Al-Quran dan Terjamahannya</w:t>
      </w:r>
      <w:r w:rsidRPr="00DA39D0">
        <w:rPr>
          <w:rFonts w:asciiTheme="majorBidi" w:hAnsiTheme="majorBidi" w:cstheme="majorBidi"/>
          <w:sz w:val="20"/>
          <w:szCs w:val="20"/>
        </w:rPr>
        <w:t>, ( Medinah al-Munawwarah: Mujamma’ al-Malik Fahd Li al-Thiba’ah Mush-haf al-Syarif, 1418), h. 951</w:t>
      </w:r>
    </w:p>
  </w:footnote>
  <w:footnote w:id="795">
    <w:p w:rsidR="00343B61" w:rsidRPr="00DA39D0" w:rsidRDefault="00343B61" w:rsidP="00343B61">
      <w:pPr>
        <w:autoSpaceDE w:val="0"/>
        <w:autoSpaceDN w:val="0"/>
        <w:adjustRightInd w:val="0"/>
        <w:spacing w:after="0"/>
        <w:ind w:firstLine="720"/>
        <w:jc w:val="both"/>
        <w:rPr>
          <w:rFonts w:asciiTheme="majorBidi" w:hAnsiTheme="majorBidi" w:cstheme="majorBidi"/>
          <w:sz w:val="20"/>
          <w:szCs w:val="20"/>
        </w:rPr>
      </w:pPr>
      <w:r w:rsidRPr="00DA39D0">
        <w:rPr>
          <w:rStyle w:val="FootnoteReference"/>
          <w:sz w:val="20"/>
          <w:szCs w:val="20"/>
        </w:rPr>
        <w:footnoteRef/>
      </w:r>
      <w:r w:rsidRPr="00DA39D0">
        <w:rPr>
          <w:sz w:val="20"/>
          <w:szCs w:val="20"/>
        </w:rPr>
        <w:t xml:space="preserve"> </w:t>
      </w:r>
      <w:r w:rsidRPr="00DA39D0">
        <w:rPr>
          <w:rFonts w:asciiTheme="majorBidi" w:hAnsiTheme="majorBidi" w:cstheme="majorBidi"/>
          <w:sz w:val="20"/>
          <w:szCs w:val="20"/>
        </w:rPr>
        <w:t xml:space="preserve">Lihat. Depag RI, </w:t>
      </w:r>
      <w:r w:rsidRPr="00DA39D0">
        <w:rPr>
          <w:rFonts w:asciiTheme="majorBidi" w:hAnsiTheme="majorBidi" w:cstheme="majorBidi"/>
          <w:i/>
          <w:iCs/>
          <w:sz w:val="20"/>
          <w:szCs w:val="20"/>
        </w:rPr>
        <w:t>Al-Quran dan Terjamahannya</w:t>
      </w:r>
      <w:r w:rsidRPr="00DA39D0">
        <w:rPr>
          <w:rFonts w:asciiTheme="majorBidi" w:hAnsiTheme="majorBidi" w:cstheme="majorBidi"/>
          <w:sz w:val="20"/>
          <w:szCs w:val="20"/>
        </w:rPr>
        <w:t>, ( Medinah al-Munawwarah: Mujamma’ al-Malik Fahd Li al-Thiba’ah Mush-haf al-Syarif, 1418), h. 146</w:t>
      </w:r>
    </w:p>
  </w:footnote>
  <w:footnote w:id="796">
    <w:p w:rsidR="00343B61" w:rsidRDefault="00343B61" w:rsidP="00343B61">
      <w:pPr>
        <w:pStyle w:val="FootnoteText"/>
        <w:ind w:firstLine="720"/>
        <w:jc w:val="both"/>
      </w:pPr>
      <w:r w:rsidRPr="00DA39D0">
        <w:rPr>
          <w:rStyle w:val="FootnoteReference"/>
        </w:rPr>
        <w:footnoteRef/>
      </w:r>
      <w:r w:rsidRPr="00DA39D0">
        <w:t xml:space="preserve"> </w:t>
      </w:r>
      <w:r w:rsidRPr="00DA39D0">
        <w:rPr>
          <w:rFonts w:asciiTheme="majorBidi" w:hAnsiTheme="majorBidi" w:cstheme="majorBidi"/>
        </w:rPr>
        <w:t xml:space="preserve">Lihat. MUI, </w:t>
      </w:r>
      <w:r w:rsidRPr="00DA39D0">
        <w:rPr>
          <w:rFonts w:asciiTheme="majorBidi" w:hAnsiTheme="majorBidi" w:cstheme="majorBidi"/>
          <w:i/>
          <w:iCs/>
        </w:rPr>
        <w:t>Himpunan Keputusan Ijtima’ Ulama Komisi Fatwa Se-Indonesia Ke V Tahun 2015 di Ponpes At-Tauhidiyah</w:t>
      </w:r>
      <w:r w:rsidRPr="00DA39D0">
        <w:rPr>
          <w:rFonts w:asciiTheme="majorBidi" w:hAnsiTheme="majorBidi" w:cstheme="majorBidi"/>
        </w:rPr>
        <w:t>, ( Jakarta: Majelis Ulama Indonesia, 2015), h. 51</w:t>
      </w:r>
    </w:p>
  </w:footnote>
  <w:footnote w:id="797">
    <w:p w:rsidR="00343B61" w:rsidRPr="006E72EE" w:rsidRDefault="00343B61" w:rsidP="00343B61">
      <w:pPr>
        <w:autoSpaceDE w:val="0"/>
        <w:autoSpaceDN w:val="0"/>
        <w:adjustRightInd w:val="0"/>
        <w:spacing w:after="0" w:line="240" w:lineRule="auto"/>
        <w:ind w:firstLine="720"/>
        <w:jc w:val="both"/>
        <w:rPr>
          <w:rFonts w:asciiTheme="majorBidi" w:hAnsiTheme="majorBidi" w:cstheme="majorBidi"/>
          <w:sz w:val="20"/>
          <w:szCs w:val="20"/>
          <w:rtl/>
        </w:rPr>
      </w:pPr>
      <w:r w:rsidRPr="006E72EE">
        <w:rPr>
          <w:rStyle w:val="FootnoteReference"/>
          <w:rFonts w:asciiTheme="majorBidi" w:hAnsiTheme="majorBidi" w:cstheme="majorBidi"/>
          <w:sz w:val="20"/>
          <w:szCs w:val="20"/>
        </w:rPr>
        <w:footnoteRef/>
      </w:r>
      <w:r w:rsidRPr="006E72EE">
        <w:rPr>
          <w:rFonts w:asciiTheme="majorBidi" w:hAnsiTheme="majorBidi" w:cstheme="majorBidi"/>
          <w:sz w:val="20"/>
          <w:szCs w:val="20"/>
        </w:rPr>
        <w:t xml:space="preserve"> </w:t>
      </w:r>
      <w:r w:rsidRPr="006E72EE">
        <w:rPr>
          <w:rFonts w:asciiTheme="majorBidi" w:eastAsiaTheme="minorHAnsi" w:hAnsiTheme="majorBidi" w:cstheme="majorBidi"/>
          <w:color w:val="000000"/>
          <w:sz w:val="20"/>
          <w:szCs w:val="20"/>
        </w:rPr>
        <w:t>Lihat.</w:t>
      </w:r>
      <w:r w:rsidRPr="006E72EE">
        <w:rPr>
          <w:rFonts w:asciiTheme="majorBidi" w:hAnsiTheme="majorBidi" w:cstheme="majorBidi"/>
          <w:sz w:val="20"/>
          <w:szCs w:val="20"/>
        </w:rPr>
        <w:t xml:space="preserve"> Ahamd bin Hanbal Abu Abdullah al-Syaibani, </w:t>
      </w:r>
      <w:r w:rsidRPr="006E72EE">
        <w:rPr>
          <w:rFonts w:asciiTheme="majorBidi" w:hAnsiTheme="majorBidi" w:cstheme="majorBidi"/>
          <w:i/>
          <w:iCs/>
          <w:sz w:val="20"/>
          <w:szCs w:val="20"/>
        </w:rPr>
        <w:t>Musnad Ahmad bin Hanbal</w:t>
      </w:r>
      <w:r w:rsidRPr="006E72EE">
        <w:rPr>
          <w:rFonts w:asciiTheme="majorBidi" w:hAnsiTheme="majorBidi" w:cstheme="majorBidi"/>
          <w:sz w:val="20"/>
          <w:szCs w:val="20"/>
        </w:rPr>
        <w:t xml:space="preserve">, ( Kairo: Muassasah al-Qurthubah, t.th), Jilid II, h. 207.  </w:t>
      </w:r>
      <w:r w:rsidRPr="006E72EE">
        <w:rPr>
          <w:rFonts w:asciiTheme="majorBidi" w:eastAsiaTheme="minorHAnsi" w:hAnsiTheme="majorBidi" w:cstheme="majorBidi"/>
          <w:color w:val="000000"/>
          <w:sz w:val="20"/>
          <w:szCs w:val="20"/>
        </w:rPr>
        <w:t>Lihat juga. Sulaiman Ibn al-Asy’ats al-Sijistani</w:t>
      </w:r>
      <w:r w:rsidRPr="00E84944">
        <w:rPr>
          <w:rFonts w:asciiTheme="majorBidi" w:hAnsiTheme="majorBidi" w:cstheme="majorBidi"/>
          <w:i/>
          <w:iCs/>
          <w:sz w:val="20"/>
          <w:szCs w:val="20"/>
        </w:rPr>
        <w:t xml:space="preserve"> </w:t>
      </w:r>
      <w:r w:rsidRPr="004666EA">
        <w:rPr>
          <w:rFonts w:asciiTheme="majorBidi" w:hAnsiTheme="majorBidi" w:cstheme="majorBidi"/>
          <w:i/>
          <w:iCs/>
          <w:sz w:val="20"/>
          <w:szCs w:val="20"/>
        </w:rPr>
        <w:t>Sunan Ab</w:t>
      </w:r>
      <w:r w:rsidRPr="0056354E">
        <w:rPr>
          <w:rFonts w:asciiTheme="majorBidi" w:hAnsiTheme="majorBidi" w:cstheme="majorBidi"/>
          <w:i/>
          <w:iCs/>
          <w:sz w:val="20"/>
          <w:szCs w:val="20"/>
        </w:rPr>
        <w:t>ū</w:t>
      </w:r>
      <w:r w:rsidRPr="004666EA">
        <w:rPr>
          <w:rFonts w:asciiTheme="majorBidi" w:hAnsiTheme="majorBidi" w:cstheme="majorBidi"/>
          <w:i/>
          <w:iCs/>
          <w:sz w:val="20"/>
          <w:szCs w:val="20"/>
        </w:rPr>
        <w:t xml:space="preserve"> Daud</w:t>
      </w:r>
      <w:r w:rsidRPr="006E72EE">
        <w:rPr>
          <w:rFonts w:asciiTheme="majorBidi" w:eastAsiaTheme="minorHAnsi" w:hAnsiTheme="majorBidi" w:cstheme="majorBidi"/>
          <w:color w:val="000000"/>
          <w:sz w:val="20"/>
          <w:szCs w:val="20"/>
        </w:rPr>
        <w:t xml:space="preserve">, ( Bairut: Dar al-Kitab al-Arabi, t.t.h), Jilid </w:t>
      </w:r>
      <w:r w:rsidRPr="006E72EE">
        <w:rPr>
          <w:rFonts w:asciiTheme="majorBidi" w:hAnsiTheme="majorBidi" w:cstheme="majorBidi"/>
          <w:color w:val="000000"/>
          <w:sz w:val="20"/>
          <w:szCs w:val="20"/>
        </w:rPr>
        <w:t>II</w:t>
      </w:r>
      <w:r w:rsidRPr="006E72EE">
        <w:rPr>
          <w:rFonts w:asciiTheme="majorBidi" w:eastAsiaTheme="minorHAnsi" w:hAnsiTheme="majorBidi" w:cstheme="majorBidi"/>
          <w:color w:val="000000"/>
          <w:sz w:val="20"/>
          <w:szCs w:val="20"/>
        </w:rPr>
        <w:t>, h.</w:t>
      </w:r>
      <w:r w:rsidRPr="006E72EE">
        <w:rPr>
          <w:rFonts w:asciiTheme="majorBidi" w:hAnsiTheme="majorBidi" w:cstheme="majorBidi"/>
          <w:color w:val="000000"/>
          <w:sz w:val="20"/>
          <w:szCs w:val="20"/>
        </w:rPr>
        <w:t xml:space="preserve">251. lihat juga </w:t>
      </w:r>
      <w:r w:rsidRPr="006E72EE">
        <w:rPr>
          <w:rFonts w:asciiTheme="majorBidi" w:hAnsiTheme="majorBidi" w:cstheme="majorBidi"/>
          <w:sz w:val="20"/>
          <w:szCs w:val="20"/>
        </w:rPr>
        <w:t xml:space="preserve">Abu Abdullah Al-Hakim al-Naisabur, </w:t>
      </w:r>
      <w:r w:rsidRPr="006E72EE">
        <w:rPr>
          <w:rFonts w:asciiTheme="majorBidi" w:hAnsiTheme="majorBidi" w:cstheme="majorBidi"/>
          <w:i/>
          <w:iCs/>
          <w:sz w:val="20"/>
          <w:szCs w:val="20"/>
        </w:rPr>
        <w:t>Al-Mustadroak ‘ala Ash-</w:t>
      </w:r>
      <w:r w:rsidRPr="00E84944">
        <w:rPr>
          <w:rFonts w:asciiTheme="majorBidi" w:hAnsiTheme="majorBidi" w:cstheme="majorBidi"/>
          <w:i/>
          <w:iCs/>
          <w:sz w:val="20"/>
          <w:szCs w:val="20"/>
        </w:rPr>
        <w:t xml:space="preserve"> </w:t>
      </w:r>
      <w:r>
        <w:rPr>
          <w:rFonts w:asciiTheme="majorBidi" w:hAnsiTheme="majorBidi" w:cstheme="majorBidi"/>
          <w:i/>
          <w:iCs/>
          <w:sz w:val="20"/>
          <w:szCs w:val="20"/>
        </w:rPr>
        <w:t>Shohī</w:t>
      </w:r>
      <w:r w:rsidRPr="006E72EE">
        <w:rPr>
          <w:rFonts w:asciiTheme="majorBidi" w:hAnsiTheme="majorBidi" w:cstheme="majorBidi"/>
          <w:i/>
          <w:iCs/>
          <w:sz w:val="20"/>
          <w:szCs w:val="20"/>
        </w:rPr>
        <w:t>haen</w:t>
      </w:r>
      <w:r w:rsidRPr="006E72EE">
        <w:rPr>
          <w:rFonts w:asciiTheme="majorBidi" w:hAnsiTheme="majorBidi" w:cstheme="majorBidi"/>
          <w:sz w:val="20"/>
          <w:szCs w:val="20"/>
        </w:rPr>
        <w:t>, ( Bairut: Dar Al-Ma’rifah, t.t), Jilid II, h, 207</w:t>
      </w:r>
    </w:p>
  </w:footnote>
  <w:footnote w:id="798">
    <w:p w:rsidR="00343B61" w:rsidRPr="003F1D03" w:rsidRDefault="00343B61" w:rsidP="00343B61">
      <w:pPr>
        <w:spacing w:after="0" w:line="240" w:lineRule="auto"/>
        <w:ind w:firstLine="720"/>
        <w:jc w:val="both"/>
        <w:rPr>
          <w:rFonts w:asciiTheme="majorBidi" w:eastAsiaTheme="minorHAnsi" w:hAnsiTheme="majorBidi" w:cstheme="majorBidi"/>
          <w:sz w:val="20"/>
          <w:szCs w:val="20"/>
          <w:rtl/>
        </w:rPr>
      </w:pPr>
      <w:r w:rsidRPr="006E72EE">
        <w:rPr>
          <w:rStyle w:val="FootnoteReference"/>
          <w:rFonts w:asciiTheme="majorBidi" w:hAnsiTheme="majorBidi" w:cstheme="majorBidi"/>
          <w:sz w:val="20"/>
          <w:szCs w:val="20"/>
        </w:rPr>
        <w:footnoteRef/>
      </w:r>
      <w:r w:rsidRPr="006E72EE">
        <w:rPr>
          <w:rFonts w:asciiTheme="majorBidi" w:hAnsiTheme="majorBidi" w:cstheme="majorBidi"/>
          <w:sz w:val="20"/>
          <w:szCs w:val="20"/>
        </w:rPr>
        <w:t xml:space="preserve">  </w:t>
      </w:r>
      <w:r w:rsidRPr="006E72EE">
        <w:rPr>
          <w:rFonts w:asciiTheme="majorBidi" w:eastAsiaTheme="minorHAnsi" w:hAnsiTheme="majorBidi" w:cstheme="majorBidi"/>
          <w:color w:val="000000"/>
          <w:sz w:val="20"/>
          <w:szCs w:val="20"/>
        </w:rPr>
        <w:t xml:space="preserve">Lihat . Sulaiman Ibn al-Asy’ats al-Sijistani, </w:t>
      </w:r>
      <w:r w:rsidRPr="0008777F">
        <w:rPr>
          <w:rFonts w:asciiTheme="majorBidi" w:hAnsiTheme="majorBidi" w:cstheme="majorBidi"/>
          <w:i/>
          <w:iCs/>
        </w:rPr>
        <w:t>Sunan Ab</w:t>
      </w:r>
      <w:r w:rsidRPr="0056354E">
        <w:rPr>
          <w:rFonts w:asciiTheme="majorBidi" w:hAnsiTheme="majorBidi" w:cstheme="majorBidi"/>
          <w:i/>
          <w:iCs/>
          <w:sz w:val="20"/>
          <w:szCs w:val="20"/>
        </w:rPr>
        <w:t>ū</w:t>
      </w:r>
      <w:r w:rsidRPr="0008777F">
        <w:rPr>
          <w:rFonts w:asciiTheme="majorBidi" w:hAnsiTheme="majorBidi" w:cstheme="majorBidi"/>
          <w:i/>
          <w:iCs/>
        </w:rPr>
        <w:t xml:space="preserve"> Daud</w:t>
      </w:r>
      <w:r w:rsidRPr="006E72EE">
        <w:rPr>
          <w:rFonts w:asciiTheme="majorBidi" w:eastAsiaTheme="minorHAnsi" w:hAnsiTheme="majorBidi" w:cstheme="majorBidi"/>
          <w:color w:val="000000"/>
          <w:sz w:val="20"/>
          <w:szCs w:val="20"/>
        </w:rPr>
        <w:t xml:space="preserve">, ( Bairut: Dar al-Kitab al-Arabi, t.t.h), Jilid </w:t>
      </w:r>
      <w:r w:rsidRPr="006E72EE">
        <w:rPr>
          <w:rFonts w:asciiTheme="majorBidi" w:hAnsiTheme="majorBidi" w:cstheme="majorBidi"/>
          <w:color w:val="000000"/>
          <w:sz w:val="20"/>
          <w:szCs w:val="20"/>
        </w:rPr>
        <w:t>II</w:t>
      </w:r>
      <w:r w:rsidRPr="006E72EE">
        <w:rPr>
          <w:rFonts w:asciiTheme="majorBidi" w:eastAsiaTheme="minorHAnsi" w:hAnsiTheme="majorBidi" w:cstheme="majorBidi"/>
          <w:color w:val="000000"/>
          <w:sz w:val="20"/>
          <w:szCs w:val="20"/>
        </w:rPr>
        <w:t>, h.</w:t>
      </w:r>
      <w:r w:rsidRPr="006E72EE">
        <w:rPr>
          <w:rFonts w:asciiTheme="majorBidi" w:hAnsiTheme="majorBidi" w:cstheme="majorBidi"/>
          <w:color w:val="000000"/>
          <w:sz w:val="20"/>
          <w:szCs w:val="20"/>
        </w:rPr>
        <w:t xml:space="preserve">251. lihat juga </w:t>
      </w:r>
      <w:r w:rsidRPr="006E72EE">
        <w:rPr>
          <w:rFonts w:asciiTheme="majorBidi" w:eastAsiaTheme="minorHAnsi" w:hAnsiTheme="majorBidi" w:cstheme="majorBidi"/>
          <w:color w:val="000000"/>
          <w:sz w:val="20"/>
          <w:szCs w:val="20"/>
        </w:rPr>
        <w:t xml:space="preserve">Abu Bakar Ahmad bin al-Husein al-Baihaqi, </w:t>
      </w:r>
      <w:r w:rsidRPr="006E72EE">
        <w:rPr>
          <w:rFonts w:asciiTheme="majorBidi" w:eastAsiaTheme="minorHAnsi" w:hAnsiTheme="majorBidi" w:cstheme="majorBidi"/>
          <w:i/>
          <w:iCs/>
          <w:color w:val="000000"/>
          <w:sz w:val="20"/>
          <w:szCs w:val="20"/>
        </w:rPr>
        <w:t xml:space="preserve">Al-Sunan al-Kubra, </w:t>
      </w:r>
      <w:r w:rsidRPr="006E72EE">
        <w:rPr>
          <w:rFonts w:asciiTheme="majorBidi" w:eastAsiaTheme="minorHAnsi" w:hAnsiTheme="majorBidi" w:cstheme="majorBidi"/>
          <w:color w:val="000000"/>
          <w:sz w:val="20"/>
          <w:szCs w:val="20"/>
        </w:rPr>
        <w:t xml:space="preserve">( India: Majelis Dairah al-Ma’arif, 1344 H), jilid </w:t>
      </w:r>
      <w:r w:rsidRPr="006E72EE">
        <w:rPr>
          <w:rFonts w:asciiTheme="majorBidi" w:hAnsiTheme="majorBidi" w:cstheme="majorBidi"/>
          <w:color w:val="000000"/>
          <w:sz w:val="20"/>
          <w:szCs w:val="20"/>
        </w:rPr>
        <w:t xml:space="preserve">VIII, h. 3. Lihat juga. </w:t>
      </w:r>
      <w:r w:rsidRPr="006E72EE">
        <w:rPr>
          <w:rFonts w:asciiTheme="majorBidi" w:eastAsiaTheme="minorHAnsi" w:hAnsiTheme="majorBidi" w:cstheme="majorBidi"/>
          <w:sz w:val="20"/>
          <w:szCs w:val="20"/>
        </w:rPr>
        <w:t>Ala’ Al-Din ‘Ali bin Husam al-Din al-Hindi</w:t>
      </w:r>
      <w:r w:rsidRPr="006E72EE">
        <w:rPr>
          <w:rFonts w:asciiTheme="majorBidi" w:eastAsiaTheme="minorHAnsi" w:hAnsiTheme="majorBidi" w:cstheme="majorBidi"/>
          <w:i/>
          <w:iCs/>
          <w:sz w:val="20"/>
          <w:szCs w:val="20"/>
        </w:rPr>
        <w:t>, Kanz Al-‘Umm</w:t>
      </w:r>
      <w:r w:rsidRPr="00E84944">
        <w:rPr>
          <w:rFonts w:asciiTheme="majorBidi" w:hAnsiTheme="majorBidi" w:cstheme="majorBidi"/>
          <w:i/>
          <w:iCs/>
          <w:sz w:val="20"/>
          <w:szCs w:val="20"/>
        </w:rPr>
        <w:t>ā</w:t>
      </w:r>
      <w:r w:rsidRPr="006E72EE">
        <w:rPr>
          <w:rFonts w:asciiTheme="majorBidi" w:eastAsiaTheme="minorHAnsi" w:hAnsiTheme="majorBidi" w:cstheme="majorBidi"/>
          <w:i/>
          <w:iCs/>
          <w:sz w:val="20"/>
          <w:szCs w:val="20"/>
        </w:rPr>
        <w:t>l Fi Sunan al-Aqw</w:t>
      </w:r>
      <w:r w:rsidRPr="00E84944">
        <w:rPr>
          <w:rFonts w:asciiTheme="majorBidi" w:hAnsiTheme="majorBidi" w:cstheme="majorBidi"/>
          <w:i/>
          <w:iCs/>
          <w:sz w:val="20"/>
          <w:szCs w:val="20"/>
        </w:rPr>
        <w:t>ā</w:t>
      </w:r>
      <w:r w:rsidRPr="006E72EE">
        <w:rPr>
          <w:rFonts w:asciiTheme="majorBidi" w:eastAsiaTheme="minorHAnsi" w:hAnsiTheme="majorBidi" w:cstheme="majorBidi"/>
          <w:i/>
          <w:iCs/>
          <w:sz w:val="20"/>
          <w:szCs w:val="20"/>
        </w:rPr>
        <w:t>l wa Al-Af’</w:t>
      </w:r>
      <w:r w:rsidRPr="00E84944">
        <w:rPr>
          <w:rFonts w:asciiTheme="majorBidi" w:hAnsiTheme="majorBidi" w:cstheme="majorBidi"/>
          <w:i/>
          <w:iCs/>
          <w:sz w:val="20"/>
          <w:szCs w:val="20"/>
        </w:rPr>
        <w:t>ā</w:t>
      </w:r>
      <w:r w:rsidRPr="006E72EE">
        <w:rPr>
          <w:rFonts w:asciiTheme="majorBidi" w:eastAsiaTheme="minorHAnsi" w:hAnsiTheme="majorBidi" w:cstheme="majorBidi"/>
          <w:i/>
          <w:iCs/>
          <w:sz w:val="20"/>
          <w:szCs w:val="20"/>
        </w:rPr>
        <w:t>l</w:t>
      </w:r>
      <w:r w:rsidRPr="006E72EE">
        <w:rPr>
          <w:rFonts w:asciiTheme="majorBidi" w:eastAsiaTheme="minorHAnsi" w:hAnsiTheme="majorBidi" w:cstheme="majorBidi"/>
          <w:sz w:val="20"/>
          <w:szCs w:val="20"/>
        </w:rPr>
        <w:t>, ( Bairut: Muassasah Al-Risalah, 1981), Jilid V, h. 824</w:t>
      </w:r>
    </w:p>
  </w:footnote>
  <w:footnote w:id="799">
    <w:p w:rsidR="00343B61" w:rsidRPr="00951BCB" w:rsidRDefault="00343B61" w:rsidP="00343B61">
      <w:pPr>
        <w:pStyle w:val="FootnoteText"/>
        <w:ind w:firstLine="720"/>
        <w:jc w:val="both"/>
        <w:rPr>
          <w:rFonts w:asciiTheme="majorBidi" w:hAnsiTheme="majorBidi" w:cstheme="majorBidi"/>
          <w:rtl/>
        </w:rPr>
      </w:pPr>
      <w:r w:rsidRPr="00951BCB">
        <w:rPr>
          <w:rStyle w:val="FootnoteReference"/>
          <w:rFonts w:asciiTheme="majorBidi" w:hAnsiTheme="majorBidi" w:cstheme="majorBidi"/>
        </w:rPr>
        <w:footnoteRef/>
      </w:r>
      <w:r w:rsidRPr="00951BCB">
        <w:rPr>
          <w:rFonts w:asciiTheme="majorBidi" w:hAnsiTheme="majorBidi" w:cstheme="majorBidi"/>
        </w:rPr>
        <w:t xml:space="preserve"> Lihat. Muhammad ibn Ismail </w:t>
      </w:r>
      <w:r w:rsidRPr="00D12D05">
        <w:rPr>
          <w:rFonts w:asciiTheme="majorBidi" w:hAnsiTheme="majorBidi" w:cstheme="majorBidi"/>
        </w:rPr>
        <w:t>Al-Bukhāri</w:t>
      </w:r>
      <w:r w:rsidRPr="00D12D05">
        <w:rPr>
          <w:rFonts w:asciiTheme="majorBidi" w:hAnsiTheme="majorBidi" w:cstheme="majorBidi"/>
          <w:i/>
          <w:iCs/>
        </w:rPr>
        <w:t>, Al-Jāmi</w:t>
      </w:r>
      <w:r w:rsidRPr="00D12D05">
        <w:t>‘</w:t>
      </w:r>
      <w:r w:rsidRPr="00D12D05">
        <w:rPr>
          <w:rFonts w:asciiTheme="majorBidi" w:hAnsiTheme="majorBidi" w:cstheme="majorBidi"/>
          <w:i/>
          <w:iCs/>
        </w:rPr>
        <w:t>Al-Musnad Al-Shohīh</w:t>
      </w:r>
      <w:r w:rsidRPr="00951BCB">
        <w:rPr>
          <w:rFonts w:asciiTheme="majorBidi" w:hAnsiTheme="majorBidi" w:cstheme="majorBidi"/>
        </w:rPr>
        <w:t xml:space="preserve">, ( Bairut: Dar Al-Thuq Al-Najah, cet, I, 1422 ), Jilid II, h. 100. Lihat Juga Muslim Ibn Hajjaj Al-Qusyairi, </w:t>
      </w:r>
      <w:r w:rsidRPr="00972F6C">
        <w:rPr>
          <w:rFonts w:asciiTheme="majorBidi" w:hAnsiTheme="majorBidi" w:cstheme="majorBidi"/>
        </w:rPr>
        <w:t xml:space="preserve">Al-Qusyairi, </w:t>
      </w:r>
      <w:r w:rsidRPr="00972F6C">
        <w:rPr>
          <w:rFonts w:asciiTheme="majorBidi" w:hAnsiTheme="majorBidi" w:cstheme="majorBidi"/>
          <w:i/>
          <w:iCs/>
        </w:rPr>
        <w:t>Al-Jami’ Al- Shohīh Al-Musammā Bi Shohīh Muslim</w:t>
      </w:r>
      <w:r w:rsidRPr="00951BCB">
        <w:rPr>
          <w:rFonts w:asciiTheme="majorBidi" w:hAnsiTheme="majorBidi" w:cstheme="majorBidi"/>
          <w:i/>
          <w:iCs/>
        </w:rPr>
        <w:t>,</w:t>
      </w:r>
      <w:r w:rsidRPr="00951BCB">
        <w:rPr>
          <w:rFonts w:asciiTheme="majorBidi" w:hAnsiTheme="majorBidi" w:cstheme="majorBidi"/>
        </w:rPr>
        <w:t>( Bairut: Dar Al-Jail, t.th), Jilid viii, h. 52</w:t>
      </w:r>
    </w:p>
  </w:footnote>
  <w:footnote w:id="800">
    <w:p w:rsidR="00343B61" w:rsidRDefault="00343B61" w:rsidP="00343B61">
      <w:pPr>
        <w:pStyle w:val="FootnoteText"/>
        <w:ind w:firstLine="720"/>
        <w:jc w:val="both"/>
        <w:rPr>
          <w:rtl/>
        </w:rPr>
      </w:pPr>
      <w:r w:rsidRPr="00951BCB">
        <w:rPr>
          <w:rStyle w:val="FootnoteReference"/>
          <w:rFonts w:asciiTheme="majorBidi" w:hAnsiTheme="majorBidi" w:cstheme="majorBidi"/>
        </w:rPr>
        <w:footnoteRef/>
      </w:r>
      <w:r w:rsidRPr="00951BCB">
        <w:rPr>
          <w:rFonts w:asciiTheme="majorBidi" w:hAnsiTheme="majorBidi" w:cstheme="majorBidi"/>
        </w:rPr>
        <w:t xml:space="preserve"> </w:t>
      </w:r>
      <w:r w:rsidRPr="00951BCB">
        <w:rPr>
          <w:rFonts w:asciiTheme="majorBidi" w:hAnsiTheme="majorBidi" w:cstheme="majorBidi"/>
          <w:color w:val="000000"/>
        </w:rPr>
        <w:t xml:space="preserve">Lihat juga. Sulaiman Ibn al-Asy’ats al-Sijistani, </w:t>
      </w:r>
      <w:r w:rsidRPr="00951BCB">
        <w:rPr>
          <w:rFonts w:asciiTheme="majorBidi" w:hAnsiTheme="majorBidi" w:cstheme="majorBidi"/>
          <w:i/>
          <w:iCs/>
          <w:color w:val="000000"/>
        </w:rPr>
        <w:t>Sunan Abu Daud</w:t>
      </w:r>
      <w:r w:rsidRPr="00951BCB">
        <w:rPr>
          <w:rFonts w:asciiTheme="majorBidi" w:hAnsiTheme="majorBidi" w:cstheme="majorBidi"/>
          <w:color w:val="000000"/>
        </w:rPr>
        <w:t>, ( Bairut: Dar al-Kitab al-Arabi, t.t.h), Jilid II, h.240</w:t>
      </w:r>
    </w:p>
  </w:footnote>
  <w:footnote w:id="801">
    <w:p w:rsidR="00343B61" w:rsidRPr="00F80577" w:rsidRDefault="00343B61" w:rsidP="00343B61">
      <w:pPr>
        <w:pStyle w:val="FootnoteText"/>
        <w:ind w:firstLine="720"/>
        <w:jc w:val="both"/>
        <w:rPr>
          <w:rFonts w:ascii="Times New Roman" w:hAnsi="Times New Roman" w:cs="Times New Roman"/>
        </w:rPr>
      </w:pPr>
      <w:r w:rsidRPr="00F80577">
        <w:rPr>
          <w:rStyle w:val="FootnoteReference"/>
          <w:rFonts w:ascii="Times New Roman" w:hAnsi="Times New Roman" w:cs="Times New Roman"/>
        </w:rPr>
        <w:footnoteRef/>
      </w:r>
      <w:r w:rsidRPr="00F80577">
        <w:rPr>
          <w:rFonts w:ascii="Times New Roman" w:hAnsi="Times New Roman" w:cs="Times New Roman"/>
        </w:rPr>
        <w:t xml:space="preserve"> Lihat. Bagir Manan, </w:t>
      </w:r>
      <w:r w:rsidRPr="00F80577">
        <w:rPr>
          <w:rFonts w:ascii="Times New Roman" w:hAnsi="Times New Roman" w:cs="Times New Roman"/>
          <w:i/>
        </w:rPr>
        <w:t>Konvensi Ketatanegaraan</w:t>
      </w:r>
      <w:r w:rsidRPr="00F80577">
        <w:rPr>
          <w:rFonts w:ascii="Times New Roman" w:hAnsi="Times New Roman" w:cs="Times New Roman"/>
        </w:rPr>
        <w:t>, ( Bandung: Armico, 1987), h. 50</w:t>
      </w:r>
    </w:p>
  </w:footnote>
  <w:footnote w:id="802">
    <w:p w:rsidR="00343B61" w:rsidRPr="008815F6" w:rsidRDefault="00343B61" w:rsidP="00343B61">
      <w:pPr>
        <w:pStyle w:val="FootnoteText"/>
        <w:ind w:firstLine="720"/>
        <w:jc w:val="both"/>
        <w:rPr>
          <w:rFonts w:asciiTheme="majorBidi" w:hAnsiTheme="majorBidi" w:cstheme="majorBidi"/>
        </w:rPr>
      </w:pPr>
      <w:r w:rsidRPr="008815F6">
        <w:rPr>
          <w:rStyle w:val="FootnoteReference"/>
          <w:rFonts w:asciiTheme="majorBidi" w:hAnsiTheme="majorBidi" w:cstheme="majorBidi"/>
        </w:rPr>
        <w:footnoteRef/>
      </w:r>
      <w:r w:rsidRPr="008815F6">
        <w:rPr>
          <w:rFonts w:asciiTheme="majorBidi" w:hAnsiTheme="majorBidi" w:cstheme="majorBidi"/>
        </w:rPr>
        <w:t xml:space="preserve">Lihat Imam Syaukani, </w:t>
      </w:r>
      <w:r w:rsidRPr="008815F6">
        <w:rPr>
          <w:rFonts w:asciiTheme="majorBidi" w:hAnsiTheme="majorBidi" w:cstheme="majorBidi"/>
          <w:i/>
          <w:iCs/>
        </w:rPr>
        <w:t>Rekonstruksi Epistemologi Hukum Islam Indonesia dan Relevansinya Bagi Pembanginan Hukum Nasional</w:t>
      </w:r>
      <w:r w:rsidRPr="008815F6">
        <w:rPr>
          <w:rFonts w:asciiTheme="majorBidi" w:hAnsiTheme="majorBidi" w:cstheme="majorBidi"/>
        </w:rPr>
        <w:t>,( Jakarta: Raja Grapindo Persada, 2006), h. 21-22</w:t>
      </w:r>
    </w:p>
  </w:footnote>
  <w:footnote w:id="803">
    <w:p w:rsidR="00343B61" w:rsidRPr="008815F6" w:rsidRDefault="00343B61" w:rsidP="00343B61">
      <w:pPr>
        <w:pStyle w:val="FootnoteText"/>
        <w:ind w:firstLine="720"/>
        <w:jc w:val="both"/>
        <w:rPr>
          <w:rFonts w:asciiTheme="majorBidi" w:hAnsiTheme="majorBidi" w:cstheme="majorBidi"/>
        </w:rPr>
      </w:pPr>
      <w:r w:rsidRPr="008815F6">
        <w:rPr>
          <w:rStyle w:val="FootnoteReference"/>
          <w:rFonts w:asciiTheme="majorBidi" w:hAnsiTheme="majorBidi" w:cstheme="majorBidi"/>
        </w:rPr>
        <w:footnoteRef/>
      </w:r>
      <w:r w:rsidRPr="008815F6">
        <w:rPr>
          <w:rFonts w:asciiTheme="majorBidi" w:hAnsiTheme="majorBidi" w:cstheme="majorBidi"/>
        </w:rPr>
        <w:t xml:space="preserve"> Lihat Hasbi Ash-Shiddieqy, </w:t>
      </w:r>
      <w:r w:rsidRPr="008815F6">
        <w:rPr>
          <w:rFonts w:asciiTheme="majorBidi" w:hAnsiTheme="majorBidi" w:cstheme="majorBidi"/>
          <w:i/>
          <w:iCs/>
        </w:rPr>
        <w:t>Beberapa Permasalahan Hukum; Para Ulama dan Menetapkan Hukum</w:t>
      </w:r>
      <w:r w:rsidRPr="008815F6">
        <w:rPr>
          <w:rFonts w:asciiTheme="majorBidi" w:hAnsiTheme="majorBidi" w:cstheme="majorBidi"/>
        </w:rPr>
        <w:t>, ( Yogyakarta: IAIN Sunan Kalijaga, t.th), h. 38</w:t>
      </w:r>
    </w:p>
  </w:footnote>
  <w:footnote w:id="804">
    <w:p w:rsidR="00343B61" w:rsidRPr="008815F6" w:rsidRDefault="00343B61" w:rsidP="00343B61">
      <w:pPr>
        <w:pStyle w:val="FootnoteText"/>
        <w:ind w:firstLine="720"/>
        <w:jc w:val="both"/>
        <w:rPr>
          <w:rFonts w:asciiTheme="majorBidi" w:hAnsiTheme="majorBidi" w:cstheme="majorBidi"/>
        </w:rPr>
      </w:pPr>
      <w:r w:rsidRPr="008815F6">
        <w:rPr>
          <w:rStyle w:val="FootnoteReference"/>
        </w:rPr>
        <w:footnoteRef/>
      </w:r>
      <w:r w:rsidRPr="008815F6">
        <w:t xml:space="preserve"> </w:t>
      </w:r>
      <w:r w:rsidRPr="008815F6">
        <w:rPr>
          <w:rFonts w:asciiTheme="majorBidi" w:hAnsiTheme="majorBidi" w:cstheme="majorBidi"/>
        </w:rPr>
        <w:t xml:space="preserve">Lihat Tahir Mahmood, </w:t>
      </w:r>
      <w:r w:rsidRPr="008815F6">
        <w:rPr>
          <w:rFonts w:asciiTheme="majorBidi" w:hAnsiTheme="majorBidi" w:cstheme="majorBidi"/>
          <w:i/>
          <w:iCs/>
        </w:rPr>
        <w:t>Family Law Reform in the Muslim World</w:t>
      </w:r>
      <w:r w:rsidRPr="008815F6">
        <w:rPr>
          <w:rFonts w:asciiTheme="majorBidi" w:hAnsiTheme="majorBidi" w:cstheme="majorBidi"/>
        </w:rPr>
        <w:t xml:space="preserve"> (New Delhi: Tripathi, 1972,  h. 12.</w:t>
      </w:r>
    </w:p>
  </w:footnote>
  <w:footnote w:id="805">
    <w:p w:rsidR="00343B61" w:rsidRPr="00E710F2" w:rsidRDefault="00343B61" w:rsidP="00343B61">
      <w:pPr>
        <w:pStyle w:val="FootnoteText"/>
        <w:ind w:firstLine="720"/>
        <w:jc w:val="both"/>
        <w:rPr>
          <w:rFonts w:asciiTheme="majorBidi" w:hAnsiTheme="majorBidi" w:cstheme="majorBidi"/>
        </w:rPr>
      </w:pPr>
      <w:r w:rsidRPr="008815F6">
        <w:rPr>
          <w:rStyle w:val="FootnoteReference"/>
          <w:rFonts w:asciiTheme="majorBidi" w:hAnsiTheme="majorBidi" w:cstheme="majorBidi"/>
        </w:rPr>
        <w:footnoteRef/>
      </w:r>
      <w:r w:rsidRPr="008815F6">
        <w:rPr>
          <w:rFonts w:asciiTheme="majorBidi" w:hAnsiTheme="majorBidi" w:cstheme="majorBidi"/>
        </w:rPr>
        <w:t xml:space="preserve"> Lihat. Abdul Wahhab Khallaf, </w:t>
      </w:r>
      <w:r w:rsidRPr="008815F6">
        <w:rPr>
          <w:rFonts w:asciiTheme="majorBidi" w:hAnsiTheme="majorBidi" w:cstheme="majorBidi"/>
          <w:i/>
          <w:iCs/>
        </w:rPr>
        <w:t>Al-Siyasah Al-Syar’iyah</w:t>
      </w:r>
      <w:r w:rsidRPr="008815F6">
        <w:rPr>
          <w:rFonts w:asciiTheme="majorBidi" w:hAnsiTheme="majorBidi" w:cstheme="majorBidi"/>
        </w:rPr>
        <w:t>, ( Cairo: Dar al-Anshar, 1977), h. 5</w:t>
      </w:r>
      <w:r w:rsidRPr="00E710F2">
        <w:rPr>
          <w:rFonts w:asciiTheme="majorBidi" w:hAnsiTheme="majorBidi" w:cstheme="majorBidi"/>
        </w:rPr>
        <w:t xml:space="preserve"> </w:t>
      </w:r>
    </w:p>
  </w:footnote>
  <w:footnote w:id="806">
    <w:p w:rsidR="00343B61" w:rsidRPr="002960E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2960E5">
        <w:rPr>
          <w:rStyle w:val="FootnoteReference"/>
          <w:rFonts w:asciiTheme="majorBidi" w:hAnsiTheme="majorBidi" w:cstheme="majorBidi"/>
          <w:sz w:val="20"/>
          <w:szCs w:val="20"/>
        </w:rPr>
        <w:footnoteRef/>
      </w:r>
      <w:r w:rsidRPr="002960E5">
        <w:rPr>
          <w:rFonts w:asciiTheme="majorBidi" w:hAnsiTheme="majorBidi" w:cstheme="majorBidi"/>
          <w:sz w:val="20"/>
          <w:szCs w:val="20"/>
        </w:rPr>
        <w:t xml:space="preserve"> Secara etimologis </w:t>
      </w:r>
      <w:r w:rsidRPr="002960E5">
        <w:rPr>
          <w:rFonts w:asciiTheme="majorBidi" w:hAnsiTheme="majorBidi" w:cstheme="majorBidi"/>
          <w:i/>
          <w:iCs/>
          <w:sz w:val="20"/>
          <w:szCs w:val="20"/>
        </w:rPr>
        <w:t xml:space="preserve">fikih </w:t>
      </w:r>
      <w:r w:rsidRPr="002960E5">
        <w:rPr>
          <w:rFonts w:asciiTheme="majorBidi" w:hAnsiTheme="majorBidi" w:cstheme="majorBidi"/>
          <w:sz w:val="20"/>
          <w:szCs w:val="20"/>
        </w:rPr>
        <w:t xml:space="preserve">berarti paham yang mendalam. Sedangkan menurut Hasbi Ash- Shiddiqy, fikih adalah ilmu syari'at. Al-Amidi mendefenisikan fikih sebagai ilmu tentang seperangkat hukum-hukum syara' yang bersifat furu'iyyah yang didapat melalui penalaran atau </w:t>
      </w:r>
      <w:r w:rsidRPr="002960E5">
        <w:rPr>
          <w:rFonts w:asciiTheme="majorBidi" w:hAnsiTheme="majorBidi" w:cstheme="majorBidi"/>
          <w:i/>
          <w:iCs/>
          <w:sz w:val="20"/>
          <w:szCs w:val="20"/>
        </w:rPr>
        <w:t xml:space="preserve">istidlal.Dalam </w:t>
      </w:r>
      <w:r w:rsidRPr="002960E5">
        <w:rPr>
          <w:rFonts w:asciiTheme="majorBidi" w:hAnsiTheme="majorBidi" w:cstheme="majorBidi"/>
          <w:sz w:val="20"/>
          <w:szCs w:val="20"/>
        </w:rPr>
        <w:t xml:space="preserve">banyakhal, fikih selalu diidentikkan dengan hukum Islam. Pengidentikkan ini telah melahirkan suatu kekeliruan dalam penerapannya. Dikatakan demikian karena pada dasarnya kedua istilah ini memiliki makna yang berbeda, fikih hanyalah salah satu bagian dari hukum Islam. Oleh Abd. Wahab Khallaf, fikih adalah pengetahuan tentang hukum-hukum syari'ah Islam mengenai perbuatan manusia yang diambil dari dalildalil yang detail. Sedangkan dalam proses perkembangannya fikih lebih dikesankan sebagai produk pemikiran manusia. Dalam istilah lain, fikih merupakan hasil interpretasi manusia dari dalil-dalil hokum qath'iy yang tidak interpretatif. Lihat, M. Hahya Harahap, </w:t>
      </w:r>
      <w:r w:rsidRPr="002960E5">
        <w:rPr>
          <w:rFonts w:asciiTheme="majorBidi" w:hAnsiTheme="majorBidi" w:cstheme="majorBidi"/>
          <w:i/>
          <w:iCs/>
          <w:sz w:val="20"/>
          <w:szCs w:val="20"/>
        </w:rPr>
        <w:t>Informasi Materi Kompilasi Hukum Islam :</w:t>
      </w:r>
      <w:r w:rsidRPr="002960E5">
        <w:rPr>
          <w:rFonts w:asciiTheme="majorBidi" w:hAnsiTheme="majorBidi" w:cstheme="majorBidi"/>
          <w:sz w:val="20"/>
          <w:szCs w:val="20"/>
        </w:rPr>
        <w:t xml:space="preserve"> </w:t>
      </w:r>
      <w:r w:rsidRPr="002960E5">
        <w:rPr>
          <w:rFonts w:asciiTheme="majorBidi" w:hAnsiTheme="majorBidi" w:cstheme="majorBidi"/>
          <w:i/>
          <w:iCs/>
          <w:sz w:val="20"/>
          <w:szCs w:val="20"/>
        </w:rPr>
        <w:t xml:space="preserve">Mempositifkan Abstraksi Hukum Islam, </w:t>
      </w:r>
      <w:r w:rsidRPr="002960E5">
        <w:rPr>
          <w:rFonts w:asciiTheme="majorBidi" w:hAnsiTheme="majorBidi" w:cstheme="majorBidi"/>
          <w:sz w:val="20"/>
          <w:szCs w:val="20"/>
        </w:rPr>
        <w:t xml:space="preserve">dalam Cik Hasan Bisri (Peny.), </w:t>
      </w:r>
      <w:r w:rsidRPr="002960E5">
        <w:rPr>
          <w:rFonts w:asciiTheme="majorBidi" w:hAnsiTheme="majorBidi" w:cstheme="majorBidi"/>
          <w:i/>
          <w:iCs/>
          <w:sz w:val="20"/>
          <w:szCs w:val="20"/>
        </w:rPr>
        <w:t xml:space="preserve">Kompilasi Hukum Islam danPeradilan Agama dalam Sistem Hukum Nasional </w:t>
      </w:r>
      <w:r w:rsidRPr="002960E5">
        <w:rPr>
          <w:rFonts w:asciiTheme="majorBidi" w:hAnsiTheme="majorBidi" w:cstheme="majorBidi"/>
          <w:sz w:val="20"/>
          <w:szCs w:val="20"/>
        </w:rPr>
        <w:t xml:space="preserve">(Cet. II; Jakarta : Logos Wacana Ilmu, 1999), h. 21 dan 23. Lihat pula, Ahmad Hanafi, </w:t>
      </w:r>
      <w:r w:rsidRPr="002960E5">
        <w:rPr>
          <w:rFonts w:asciiTheme="majorBidi" w:hAnsiTheme="majorBidi" w:cstheme="majorBidi"/>
          <w:i/>
          <w:iCs/>
          <w:sz w:val="20"/>
          <w:szCs w:val="20"/>
        </w:rPr>
        <w:t xml:space="preserve">Sejarah dan Pengantar Hukum Islam </w:t>
      </w:r>
      <w:r w:rsidRPr="002960E5">
        <w:rPr>
          <w:rFonts w:asciiTheme="majorBidi" w:hAnsiTheme="majorBidi" w:cstheme="majorBidi"/>
          <w:sz w:val="20"/>
          <w:szCs w:val="20"/>
        </w:rPr>
        <w:t>(Cet. IV; Jakarta : Bulan Bintang, 1986), h. 9</w:t>
      </w:r>
    </w:p>
  </w:footnote>
  <w:footnote w:id="807">
    <w:p w:rsidR="00343B61" w:rsidRPr="002960E5" w:rsidRDefault="00343B61" w:rsidP="00343B61">
      <w:pPr>
        <w:pStyle w:val="FootnoteText"/>
        <w:ind w:firstLine="720"/>
        <w:jc w:val="both"/>
        <w:rPr>
          <w:rFonts w:asciiTheme="majorBidi" w:hAnsiTheme="majorBidi" w:cstheme="majorBidi"/>
        </w:rPr>
      </w:pPr>
      <w:r w:rsidRPr="002960E5">
        <w:rPr>
          <w:rStyle w:val="FootnoteReference"/>
          <w:rFonts w:asciiTheme="majorBidi" w:hAnsiTheme="majorBidi" w:cstheme="majorBidi"/>
        </w:rPr>
        <w:footnoteRef/>
      </w:r>
      <w:r w:rsidRPr="002960E5">
        <w:rPr>
          <w:rFonts w:asciiTheme="majorBidi" w:hAnsiTheme="majorBidi" w:cstheme="majorBidi"/>
        </w:rPr>
        <w:t xml:space="preserve"> Lihat, Ali Yafie, </w:t>
      </w:r>
      <w:r w:rsidRPr="002960E5">
        <w:rPr>
          <w:rFonts w:asciiTheme="majorBidi" w:hAnsiTheme="majorBidi" w:cstheme="majorBidi"/>
          <w:i/>
          <w:iCs/>
        </w:rPr>
        <w:t xml:space="preserve">Fikih Sosial </w:t>
      </w:r>
      <w:r w:rsidRPr="002960E5">
        <w:rPr>
          <w:rFonts w:asciiTheme="majorBidi" w:hAnsiTheme="majorBidi" w:cstheme="majorBidi"/>
        </w:rPr>
        <w:t>(Cet. I; Jakarta: Logos Wacana Ilmu, 1994), h. 132</w:t>
      </w:r>
    </w:p>
  </w:footnote>
  <w:footnote w:id="808">
    <w:p w:rsidR="00343B61" w:rsidRPr="002960E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2960E5">
        <w:rPr>
          <w:rStyle w:val="FootnoteReference"/>
          <w:rFonts w:asciiTheme="majorBidi" w:hAnsiTheme="majorBidi" w:cstheme="majorBidi"/>
        </w:rPr>
        <w:footnoteRef/>
      </w:r>
      <w:r w:rsidRPr="002960E5">
        <w:rPr>
          <w:rFonts w:asciiTheme="majorBidi" w:hAnsiTheme="majorBidi" w:cstheme="majorBidi"/>
        </w:rPr>
        <w:t xml:space="preserve"> </w:t>
      </w:r>
      <w:r w:rsidRPr="002960E5">
        <w:rPr>
          <w:rFonts w:asciiTheme="majorBidi" w:hAnsiTheme="majorBidi" w:cstheme="majorBidi"/>
          <w:sz w:val="20"/>
          <w:szCs w:val="20"/>
        </w:rPr>
        <w:t xml:space="preserve">Lihat. Marzuki Wahid dan Rumadi, </w:t>
      </w:r>
      <w:r w:rsidRPr="002960E5">
        <w:rPr>
          <w:rFonts w:asciiTheme="majorBidi" w:hAnsiTheme="majorBidi" w:cstheme="majorBidi"/>
          <w:i/>
          <w:iCs/>
          <w:sz w:val="20"/>
          <w:szCs w:val="20"/>
        </w:rPr>
        <w:t xml:space="preserve">Fikih Mazhab Negara </w:t>
      </w:r>
      <w:r w:rsidRPr="002960E5">
        <w:rPr>
          <w:rFonts w:asciiTheme="majorBidi" w:hAnsiTheme="majorBidi" w:cstheme="majorBidi"/>
          <w:sz w:val="20"/>
          <w:szCs w:val="20"/>
        </w:rPr>
        <w:t>(Get. I; Yogyakarta : LKIS 2001), h. 129</w:t>
      </w:r>
    </w:p>
  </w:footnote>
  <w:footnote w:id="809">
    <w:p w:rsidR="00343B61" w:rsidRPr="002960E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2960E5">
        <w:rPr>
          <w:rStyle w:val="FootnoteReference"/>
          <w:rFonts w:asciiTheme="majorBidi" w:hAnsiTheme="majorBidi" w:cstheme="majorBidi"/>
        </w:rPr>
        <w:footnoteRef/>
      </w:r>
      <w:r w:rsidRPr="002960E5">
        <w:rPr>
          <w:rFonts w:asciiTheme="majorBidi" w:hAnsiTheme="majorBidi" w:cstheme="majorBidi"/>
        </w:rPr>
        <w:t xml:space="preserve"> </w:t>
      </w:r>
      <w:r w:rsidRPr="002960E5">
        <w:rPr>
          <w:rFonts w:asciiTheme="majorBidi" w:hAnsiTheme="majorBidi" w:cstheme="majorBidi"/>
          <w:sz w:val="20"/>
          <w:szCs w:val="20"/>
        </w:rPr>
        <w:t xml:space="preserve">Lihat Hasbi Ash-Shiddiqhi, </w:t>
      </w:r>
      <w:r w:rsidRPr="002960E5">
        <w:rPr>
          <w:rFonts w:asciiTheme="majorBidi" w:hAnsiTheme="majorBidi" w:cstheme="majorBidi"/>
          <w:i/>
          <w:iCs/>
          <w:sz w:val="20"/>
          <w:szCs w:val="20"/>
        </w:rPr>
        <w:t xml:space="preserve">Syariat Islam Menjawab Tantangan zaman </w:t>
      </w:r>
      <w:r w:rsidRPr="002960E5">
        <w:rPr>
          <w:rFonts w:asciiTheme="majorBidi" w:hAnsiTheme="majorBidi" w:cstheme="majorBidi"/>
          <w:sz w:val="20"/>
          <w:szCs w:val="20"/>
        </w:rPr>
        <w:t>( Jakarta : Bulan Bintang, 1966) h. 41-42</w:t>
      </w:r>
    </w:p>
  </w:footnote>
  <w:footnote w:id="810">
    <w:p w:rsidR="00343B61" w:rsidRPr="002960E5" w:rsidRDefault="00343B61" w:rsidP="00343B61">
      <w:pPr>
        <w:pStyle w:val="FootnoteText"/>
        <w:ind w:firstLine="720"/>
        <w:jc w:val="both"/>
        <w:rPr>
          <w:rFonts w:asciiTheme="majorBidi" w:hAnsiTheme="majorBidi" w:cstheme="majorBidi"/>
        </w:rPr>
      </w:pPr>
      <w:r w:rsidRPr="002960E5">
        <w:rPr>
          <w:rStyle w:val="FootnoteReference"/>
          <w:rFonts w:asciiTheme="majorBidi" w:hAnsiTheme="majorBidi" w:cstheme="majorBidi"/>
        </w:rPr>
        <w:footnoteRef/>
      </w:r>
      <w:r w:rsidRPr="002960E5">
        <w:rPr>
          <w:rFonts w:asciiTheme="majorBidi" w:hAnsiTheme="majorBidi" w:cstheme="majorBidi"/>
        </w:rPr>
        <w:t xml:space="preserve"> Lihat. Marzuki Wahid dan Rumadi, </w:t>
      </w:r>
      <w:r w:rsidRPr="002960E5">
        <w:rPr>
          <w:rFonts w:asciiTheme="majorBidi" w:hAnsiTheme="majorBidi" w:cstheme="majorBidi"/>
          <w:i/>
          <w:iCs/>
        </w:rPr>
        <w:t xml:space="preserve">Fikih Mazhab Negara </w:t>
      </w:r>
      <w:r w:rsidRPr="002960E5">
        <w:rPr>
          <w:rFonts w:asciiTheme="majorBidi" w:hAnsiTheme="majorBidi" w:cstheme="majorBidi"/>
        </w:rPr>
        <w:t>(Get. I; Yogyakarta : LKIS 2001), h. 130-131</w:t>
      </w:r>
    </w:p>
  </w:footnote>
  <w:footnote w:id="811">
    <w:p w:rsidR="00343B61" w:rsidRPr="007C6B55" w:rsidRDefault="00343B61" w:rsidP="00343B61">
      <w:pPr>
        <w:pStyle w:val="FootnoteText"/>
        <w:ind w:firstLine="720"/>
        <w:jc w:val="both"/>
        <w:rPr>
          <w:rFonts w:asciiTheme="majorBidi" w:hAnsiTheme="majorBidi" w:cstheme="majorBidi"/>
        </w:rPr>
      </w:pPr>
      <w:r w:rsidRPr="007C6B55">
        <w:rPr>
          <w:rStyle w:val="FootnoteReference"/>
          <w:rFonts w:asciiTheme="majorBidi" w:hAnsiTheme="majorBidi" w:cstheme="majorBidi"/>
        </w:rPr>
        <w:footnoteRef/>
      </w:r>
      <w:r w:rsidRPr="007C6B55">
        <w:rPr>
          <w:rFonts w:asciiTheme="majorBidi" w:hAnsiTheme="majorBidi" w:cstheme="majorBidi"/>
        </w:rPr>
        <w:t xml:space="preserve"> Lihat Asni Azrai, </w:t>
      </w:r>
      <w:r w:rsidRPr="007C6B55">
        <w:rPr>
          <w:rFonts w:asciiTheme="majorBidi" w:hAnsiTheme="majorBidi" w:cstheme="majorBidi"/>
          <w:i/>
          <w:iCs/>
        </w:rPr>
        <w:t>Tinjauan Epistemologis Pembaruan Hukum Islam Indonesia Mengenai Kedudukan Perempuan</w:t>
      </w:r>
      <w:r w:rsidRPr="007C6B55">
        <w:rPr>
          <w:rFonts w:asciiTheme="majorBidi" w:hAnsiTheme="majorBidi" w:cstheme="majorBidi"/>
        </w:rPr>
        <w:t xml:space="preserve"> (Analisis Metode Integratif-Holistik dan Paradigma Teo Antroposentris), makalah disampaikan pada Annual Internasional Confernce an Islamic Studies ( AICIS XII), h. 525</w:t>
      </w:r>
    </w:p>
  </w:footnote>
  <w:footnote w:id="812">
    <w:p w:rsidR="00343B61" w:rsidRPr="007C6B55"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7C6B55">
        <w:rPr>
          <w:rStyle w:val="FootnoteReference"/>
          <w:rFonts w:asciiTheme="majorBidi" w:hAnsiTheme="majorBidi" w:cstheme="majorBidi"/>
          <w:sz w:val="20"/>
          <w:szCs w:val="20"/>
        </w:rPr>
        <w:footnoteRef/>
      </w:r>
      <w:r w:rsidRPr="007C6B55">
        <w:rPr>
          <w:rFonts w:asciiTheme="majorBidi" w:hAnsiTheme="majorBidi" w:cstheme="majorBidi"/>
          <w:sz w:val="20"/>
          <w:szCs w:val="20"/>
        </w:rPr>
        <w:t xml:space="preserve"> </w:t>
      </w:r>
      <w:r w:rsidRPr="007C6B55">
        <w:rPr>
          <w:rFonts w:asciiTheme="majorBidi" w:hAnsiTheme="majorBidi" w:cstheme="majorBidi"/>
        </w:rPr>
        <w:t>Lihat</w:t>
      </w:r>
      <w:r w:rsidRPr="007C6B55">
        <w:rPr>
          <w:rFonts w:asciiTheme="majorBidi" w:hAnsiTheme="majorBidi" w:cstheme="majorBidi"/>
          <w:sz w:val="20"/>
          <w:szCs w:val="20"/>
        </w:rPr>
        <w:t xml:space="preserve"> Ibnu al-Qayyim Al-Jauziyah, </w:t>
      </w:r>
      <w:r w:rsidRPr="007C6B55">
        <w:rPr>
          <w:rFonts w:asciiTheme="majorBidi" w:hAnsiTheme="majorBidi" w:cstheme="majorBidi"/>
          <w:i/>
          <w:iCs/>
          <w:sz w:val="20"/>
          <w:szCs w:val="20"/>
        </w:rPr>
        <w:t>I’lam al-Muwaqqi’in ‘an Rabb al-‘Alamin</w:t>
      </w:r>
      <w:r>
        <w:rPr>
          <w:rFonts w:asciiTheme="majorBidi" w:hAnsiTheme="majorBidi" w:cstheme="majorBidi"/>
          <w:sz w:val="20"/>
          <w:szCs w:val="20"/>
        </w:rPr>
        <w:t>, (</w:t>
      </w:r>
      <w:r w:rsidRPr="007C6B55">
        <w:rPr>
          <w:rFonts w:asciiTheme="majorBidi" w:hAnsiTheme="majorBidi" w:cstheme="majorBidi"/>
          <w:sz w:val="20"/>
          <w:szCs w:val="20"/>
        </w:rPr>
        <w:t xml:space="preserve">Beirut: Dar al-Kutub al-‘Ilmiyyah, 1993M-1414H), </w:t>
      </w:r>
      <w:r>
        <w:rPr>
          <w:rFonts w:asciiTheme="majorBidi" w:hAnsiTheme="majorBidi" w:cstheme="majorBidi"/>
          <w:sz w:val="20"/>
          <w:szCs w:val="20"/>
        </w:rPr>
        <w:t xml:space="preserve">Juz III, </w:t>
      </w:r>
      <w:r w:rsidRPr="007C6B55">
        <w:rPr>
          <w:rFonts w:asciiTheme="majorBidi" w:hAnsiTheme="majorBidi" w:cstheme="majorBidi"/>
          <w:sz w:val="20"/>
          <w:szCs w:val="20"/>
        </w:rPr>
        <w:t>h. 11.</w:t>
      </w:r>
    </w:p>
  </w:footnote>
  <w:footnote w:id="813">
    <w:p w:rsidR="00343B61" w:rsidRPr="007C6B55" w:rsidRDefault="00343B61" w:rsidP="00343B61">
      <w:pPr>
        <w:pStyle w:val="FootnoteText"/>
        <w:ind w:firstLine="720"/>
        <w:jc w:val="both"/>
        <w:rPr>
          <w:rFonts w:asciiTheme="majorBidi" w:hAnsiTheme="majorBidi" w:cstheme="majorBidi"/>
        </w:rPr>
      </w:pPr>
      <w:r w:rsidRPr="007C6B55">
        <w:rPr>
          <w:rStyle w:val="FootnoteReference"/>
          <w:rFonts w:asciiTheme="majorBidi" w:hAnsiTheme="majorBidi" w:cstheme="majorBidi"/>
        </w:rPr>
        <w:footnoteRef/>
      </w:r>
      <w:r w:rsidRPr="007C6B55">
        <w:rPr>
          <w:rFonts w:asciiTheme="majorBidi" w:hAnsiTheme="majorBidi" w:cstheme="majorBidi"/>
        </w:rPr>
        <w:t xml:space="preserve"> Lihat Ibnu al-Qayyim Al-Jauziyah, </w:t>
      </w:r>
      <w:r w:rsidRPr="007C6B55">
        <w:rPr>
          <w:rFonts w:asciiTheme="majorBidi" w:hAnsiTheme="majorBidi" w:cstheme="majorBidi"/>
          <w:i/>
          <w:iCs/>
        </w:rPr>
        <w:t>I’lam al-Muwaqqi’in ‘an Rabb al-‘Alamin</w:t>
      </w:r>
      <w:r>
        <w:rPr>
          <w:rFonts w:asciiTheme="majorBidi" w:hAnsiTheme="majorBidi" w:cstheme="majorBidi"/>
        </w:rPr>
        <w:t xml:space="preserve">, </w:t>
      </w:r>
      <w:r w:rsidRPr="007C6B55">
        <w:rPr>
          <w:rFonts w:asciiTheme="majorBidi" w:hAnsiTheme="majorBidi" w:cstheme="majorBidi"/>
        </w:rPr>
        <w:t>(Cet. II; Beirut: Dar al-Kutub al-‘Ilmiyyah, 1993M-1414H),</w:t>
      </w:r>
      <w:r>
        <w:rPr>
          <w:rFonts w:asciiTheme="majorBidi" w:hAnsiTheme="majorBidi" w:cstheme="majorBidi"/>
        </w:rPr>
        <w:t xml:space="preserve"> Juz III, </w:t>
      </w:r>
      <w:r w:rsidRPr="007C6B55">
        <w:rPr>
          <w:rFonts w:asciiTheme="majorBidi" w:hAnsiTheme="majorBidi" w:cstheme="majorBidi"/>
        </w:rPr>
        <w:t xml:space="preserve"> h. 11.</w:t>
      </w:r>
    </w:p>
  </w:footnote>
  <w:footnote w:id="814">
    <w:p w:rsidR="00343B61" w:rsidRPr="00B6427A"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B6427A">
        <w:rPr>
          <w:rStyle w:val="FootnoteReference"/>
          <w:rFonts w:asciiTheme="majorBidi" w:hAnsiTheme="majorBidi" w:cstheme="majorBidi"/>
          <w:sz w:val="20"/>
          <w:szCs w:val="20"/>
        </w:rPr>
        <w:footnoteRef/>
      </w:r>
      <w:r w:rsidRPr="00B6427A">
        <w:rPr>
          <w:rFonts w:asciiTheme="majorBidi" w:hAnsiTheme="majorBidi" w:cstheme="majorBidi"/>
          <w:sz w:val="20"/>
          <w:szCs w:val="20"/>
        </w:rPr>
        <w:t xml:space="preserve"> Lihat. Muhammad Daud Ali, </w:t>
      </w:r>
      <w:r w:rsidRPr="00B6427A">
        <w:rPr>
          <w:rFonts w:asciiTheme="majorBidi" w:hAnsiTheme="majorBidi" w:cstheme="majorBidi"/>
          <w:i/>
          <w:iCs/>
          <w:sz w:val="20"/>
          <w:szCs w:val="20"/>
        </w:rPr>
        <w:t xml:space="preserve">Hukum Islam dan Peradilan Agama Kumpulan Tulisan </w:t>
      </w:r>
      <w:r w:rsidRPr="00B6427A">
        <w:rPr>
          <w:rFonts w:asciiTheme="majorBidi" w:hAnsiTheme="majorBidi" w:cstheme="majorBidi"/>
          <w:sz w:val="20"/>
          <w:szCs w:val="20"/>
        </w:rPr>
        <w:t>(Get. I: Jakarta: raja Grafmdo Persada. 199"). h. 358</w:t>
      </w:r>
    </w:p>
  </w:footnote>
  <w:footnote w:id="815">
    <w:p w:rsidR="00343B61" w:rsidRPr="00B6427A" w:rsidRDefault="00343B61" w:rsidP="00343B61">
      <w:pPr>
        <w:pStyle w:val="FootnoteText"/>
        <w:ind w:firstLine="720"/>
        <w:jc w:val="both"/>
        <w:rPr>
          <w:rFonts w:asciiTheme="majorBidi" w:hAnsiTheme="majorBidi" w:cstheme="majorBidi"/>
        </w:rPr>
      </w:pPr>
      <w:r w:rsidRPr="00B6427A">
        <w:rPr>
          <w:rStyle w:val="FootnoteReference"/>
          <w:rFonts w:asciiTheme="majorBidi" w:hAnsiTheme="majorBidi" w:cstheme="majorBidi"/>
        </w:rPr>
        <w:footnoteRef/>
      </w:r>
      <w:r w:rsidRPr="00B6427A">
        <w:rPr>
          <w:rFonts w:asciiTheme="majorBidi" w:hAnsiTheme="majorBidi" w:cstheme="majorBidi"/>
        </w:rPr>
        <w:t xml:space="preserve"> Lihat. Muhammad Daud Ali, </w:t>
      </w:r>
      <w:r w:rsidRPr="00B6427A">
        <w:rPr>
          <w:rFonts w:asciiTheme="majorBidi" w:hAnsiTheme="majorBidi" w:cstheme="majorBidi"/>
          <w:i/>
          <w:iCs/>
        </w:rPr>
        <w:t xml:space="preserve">Hukum Islam dan Peradilan Agama Kumpulan Tulisan </w:t>
      </w:r>
      <w:r w:rsidRPr="00B6427A">
        <w:rPr>
          <w:rFonts w:asciiTheme="majorBidi" w:hAnsiTheme="majorBidi" w:cstheme="majorBidi"/>
        </w:rPr>
        <w:t>(Get. I: Jakarta: raja Grafmdo Persada. 199"). h. 360</w:t>
      </w:r>
    </w:p>
  </w:footnote>
  <w:footnote w:id="816">
    <w:p w:rsidR="00343B61" w:rsidRPr="00B6427A" w:rsidRDefault="00343B61" w:rsidP="00343B61">
      <w:pPr>
        <w:pStyle w:val="FootnoteText"/>
        <w:ind w:firstLine="720"/>
        <w:jc w:val="both"/>
        <w:rPr>
          <w:rFonts w:asciiTheme="majorBidi" w:hAnsiTheme="majorBidi" w:cstheme="majorBidi"/>
        </w:rPr>
      </w:pPr>
      <w:r w:rsidRPr="00B6427A">
        <w:rPr>
          <w:rStyle w:val="FootnoteReference"/>
          <w:rFonts w:asciiTheme="majorBidi" w:hAnsiTheme="majorBidi" w:cstheme="majorBidi"/>
        </w:rPr>
        <w:footnoteRef/>
      </w:r>
      <w:r w:rsidRPr="00B6427A">
        <w:rPr>
          <w:rFonts w:asciiTheme="majorBidi" w:hAnsiTheme="majorBidi" w:cstheme="majorBidi"/>
        </w:rPr>
        <w:t xml:space="preserve"> lihat, Muhammad Atho Mudzhar, </w:t>
      </w:r>
      <w:r>
        <w:rPr>
          <w:rFonts w:asciiTheme="majorBidi" w:hAnsiTheme="majorBidi" w:cstheme="majorBidi"/>
          <w:i/>
          <w:iCs/>
          <w:lang w:val="sv-SE"/>
        </w:rPr>
        <w:t>fatwa</w:t>
      </w:r>
      <w:r w:rsidRPr="00B6427A">
        <w:rPr>
          <w:rFonts w:asciiTheme="majorBidi" w:hAnsiTheme="majorBidi" w:cstheme="majorBidi"/>
          <w:i/>
          <w:iCs/>
          <w:lang w:val="sv-SE"/>
        </w:rPr>
        <w:t>s of the Indonesian Ulama: A Study of Isla</w:t>
      </w:r>
      <w:r>
        <w:rPr>
          <w:rFonts w:asciiTheme="majorBidi" w:hAnsiTheme="majorBidi" w:cstheme="majorBidi"/>
          <w:i/>
          <w:iCs/>
          <w:lang w:val="sv-SE"/>
        </w:rPr>
        <w:t>m</w:t>
      </w:r>
      <w:r w:rsidRPr="00B6427A">
        <w:rPr>
          <w:rFonts w:asciiTheme="majorBidi" w:hAnsiTheme="majorBidi" w:cstheme="majorBidi"/>
          <w:i/>
          <w:iCs/>
          <w:lang w:val="sv-SE"/>
        </w:rPr>
        <w:t>ic Legal Thoug</w:t>
      </w:r>
      <w:r>
        <w:rPr>
          <w:rFonts w:asciiTheme="majorBidi" w:hAnsiTheme="majorBidi" w:cstheme="majorBidi"/>
          <w:i/>
          <w:iCs/>
          <w:lang w:val="sv-SE"/>
        </w:rPr>
        <w:t>h</w:t>
      </w:r>
      <w:r w:rsidRPr="00B6427A">
        <w:rPr>
          <w:rFonts w:asciiTheme="majorBidi" w:hAnsiTheme="majorBidi" w:cstheme="majorBidi"/>
          <w:i/>
          <w:iCs/>
          <w:lang w:val="sv-SE"/>
        </w:rPr>
        <w:t>t in Indonesia 1975-1988,</w:t>
      </w:r>
      <w:r w:rsidRPr="00B6427A">
        <w:rPr>
          <w:rFonts w:asciiTheme="majorBidi" w:hAnsiTheme="majorBidi" w:cstheme="majorBidi"/>
          <w:lang w:val="sv-SE"/>
        </w:rPr>
        <w:t>( Jakarta:INIS, 1993), edisi dwibahasa,</w:t>
      </w:r>
      <w:r w:rsidRPr="00B6427A">
        <w:rPr>
          <w:rFonts w:asciiTheme="majorBidi" w:hAnsiTheme="majorBidi" w:cstheme="majorBidi"/>
          <w:i/>
          <w:iCs/>
        </w:rPr>
        <w:t xml:space="preserve"> </w:t>
      </w:r>
      <w:r w:rsidRPr="00B6427A">
        <w:rPr>
          <w:rFonts w:asciiTheme="majorBidi" w:hAnsiTheme="majorBidi" w:cstheme="majorBidi"/>
        </w:rPr>
        <w:t>h. 3</w:t>
      </w:r>
    </w:p>
  </w:footnote>
  <w:footnote w:id="817">
    <w:p w:rsidR="00343B61" w:rsidRPr="003546CD" w:rsidRDefault="00343B61" w:rsidP="00343B61">
      <w:pPr>
        <w:pStyle w:val="FootnoteText"/>
        <w:ind w:firstLine="720"/>
        <w:jc w:val="both"/>
        <w:rPr>
          <w:rFonts w:asciiTheme="majorBidi" w:hAnsiTheme="majorBidi" w:cstheme="majorBidi"/>
        </w:rPr>
      </w:pPr>
      <w:r w:rsidRPr="003546CD">
        <w:rPr>
          <w:rStyle w:val="FootnoteReference"/>
          <w:rFonts w:asciiTheme="majorBidi" w:hAnsiTheme="majorBidi" w:cstheme="majorBidi"/>
        </w:rPr>
        <w:footnoteRef/>
      </w:r>
      <w:r w:rsidRPr="003546CD">
        <w:rPr>
          <w:rFonts w:asciiTheme="majorBidi" w:hAnsiTheme="majorBidi" w:cstheme="majorBidi"/>
        </w:rPr>
        <w:t xml:space="preserve"> </w:t>
      </w:r>
      <w:r w:rsidRPr="00B6427A">
        <w:rPr>
          <w:rFonts w:asciiTheme="majorBidi" w:hAnsiTheme="majorBidi" w:cstheme="majorBidi"/>
        </w:rPr>
        <w:t xml:space="preserve">lihat, Muhammad Atho Mudzhar, </w:t>
      </w:r>
      <w:r>
        <w:rPr>
          <w:rFonts w:asciiTheme="majorBidi" w:hAnsiTheme="majorBidi" w:cstheme="majorBidi"/>
          <w:i/>
          <w:iCs/>
          <w:lang w:val="sv-SE"/>
        </w:rPr>
        <w:t>fatwa</w:t>
      </w:r>
      <w:r w:rsidRPr="00B6427A">
        <w:rPr>
          <w:rFonts w:asciiTheme="majorBidi" w:hAnsiTheme="majorBidi" w:cstheme="majorBidi"/>
          <w:i/>
          <w:iCs/>
          <w:lang w:val="sv-SE"/>
        </w:rPr>
        <w:t>s of the Indonesian Ulama: A Study of Isla</w:t>
      </w:r>
      <w:r>
        <w:rPr>
          <w:rFonts w:asciiTheme="majorBidi" w:hAnsiTheme="majorBidi" w:cstheme="majorBidi"/>
          <w:i/>
          <w:iCs/>
          <w:lang w:val="sv-SE"/>
        </w:rPr>
        <w:t>m</w:t>
      </w:r>
      <w:r w:rsidRPr="00B6427A">
        <w:rPr>
          <w:rFonts w:asciiTheme="majorBidi" w:hAnsiTheme="majorBidi" w:cstheme="majorBidi"/>
          <w:i/>
          <w:iCs/>
          <w:lang w:val="sv-SE"/>
        </w:rPr>
        <w:t>ic Legal Thoug</w:t>
      </w:r>
      <w:r>
        <w:rPr>
          <w:rFonts w:asciiTheme="majorBidi" w:hAnsiTheme="majorBidi" w:cstheme="majorBidi"/>
          <w:i/>
          <w:iCs/>
          <w:lang w:val="sv-SE"/>
        </w:rPr>
        <w:t>h</w:t>
      </w:r>
      <w:r w:rsidRPr="00B6427A">
        <w:rPr>
          <w:rFonts w:asciiTheme="majorBidi" w:hAnsiTheme="majorBidi" w:cstheme="majorBidi"/>
          <w:i/>
          <w:iCs/>
          <w:lang w:val="sv-SE"/>
        </w:rPr>
        <w:t>t in Indonesia 1975-1988,</w:t>
      </w:r>
      <w:r w:rsidRPr="00B6427A">
        <w:rPr>
          <w:rFonts w:asciiTheme="majorBidi" w:hAnsiTheme="majorBidi" w:cstheme="majorBidi"/>
          <w:lang w:val="sv-SE"/>
        </w:rPr>
        <w:t>( Jakarta:INIS, 1993), edisi dwibahasa,</w:t>
      </w:r>
      <w:r w:rsidRPr="00B6427A">
        <w:rPr>
          <w:rFonts w:asciiTheme="majorBidi" w:hAnsiTheme="majorBidi" w:cstheme="majorBidi"/>
          <w:i/>
          <w:iCs/>
        </w:rPr>
        <w:t xml:space="preserve"> </w:t>
      </w:r>
      <w:r w:rsidRPr="00B6427A">
        <w:rPr>
          <w:rFonts w:asciiTheme="majorBidi" w:hAnsiTheme="majorBidi" w:cstheme="majorBidi"/>
        </w:rPr>
        <w:t>h. 3</w:t>
      </w:r>
    </w:p>
  </w:footnote>
  <w:footnote w:id="818">
    <w:p w:rsidR="00343B61" w:rsidRPr="00435CEA" w:rsidRDefault="00343B61" w:rsidP="00343B61">
      <w:pPr>
        <w:autoSpaceDE w:val="0"/>
        <w:autoSpaceDN w:val="0"/>
        <w:adjustRightInd w:val="0"/>
        <w:spacing w:after="0" w:line="240" w:lineRule="auto"/>
        <w:ind w:firstLine="720"/>
        <w:jc w:val="both"/>
        <w:rPr>
          <w:sz w:val="20"/>
          <w:szCs w:val="20"/>
        </w:rPr>
      </w:pPr>
      <w:r w:rsidRPr="003546CD">
        <w:rPr>
          <w:rStyle w:val="FootnoteReference"/>
          <w:rFonts w:asciiTheme="majorBidi" w:hAnsiTheme="majorBidi" w:cstheme="majorBidi"/>
          <w:sz w:val="20"/>
          <w:szCs w:val="20"/>
        </w:rPr>
        <w:footnoteRef/>
      </w:r>
      <w:r w:rsidRPr="003546CD">
        <w:rPr>
          <w:rFonts w:asciiTheme="majorBidi" w:hAnsiTheme="majorBidi" w:cstheme="majorBidi"/>
          <w:sz w:val="20"/>
          <w:szCs w:val="20"/>
        </w:rPr>
        <w:t xml:space="preserve"> Selain itu, fatwa dapat pula dilakukan oleh pengadilan dalam lingkungan peradilan Agama sebelum berlakunya Undang-Undang No. 7 tahun 1989, khususnya di bidang kewarisan, hibah, wasiat, harta bersama dan kedudukan anak.</w:t>
      </w:r>
    </w:p>
  </w:footnote>
  <w:footnote w:id="819">
    <w:p w:rsidR="00343B61" w:rsidRPr="00435CEA" w:rsidRDefault="00343B61" w:rsidP="00343B61">
      <w:pPr>
        <w:pStyle w:val="FootnoteText"/>
        <w:ind w:firstLine="720"/>
        <w:jc w:val="both"/>
        <w:rPr>
          <w:rFonts w:asciiTheme="majorBidi" w:hAnsiTheme="majorBidi" w:cstheme="majorBidi"/>
        </w:rPr>
      </w:pPr>
      <w:r w:rsidRPr="00435CEA">
        <w:rPr>
          <w:rStyle w:val="FootnoteReference"/>
          <w:rFonts w:asciiTheme="majorBidi" w:hAnsiTheme="majorBidi" w:cstheme="majorBidi"/>
        </w:rPr>
        <w:footnoteRef/>
      </w:r>
      <w:r w:rsidRPr="00435CEA">
        <w:rPr>
          <w:rFonts w:asciiTheme="majorBidi" w:hAnsiTheme="majorBidi" w:cstheme="majorBidi"/>
        </w:rPr>
        <w:t xml:space="preserve"> Lihat, Cik hasan Bisri, </w:t>
      </w:r>
      <w:r w:rsidRPr="00435CEA">
        <w:rPr>
          <w:rFonts w:asciiTheme="majorBidi" w:hAnsiTheme="majorBidi" w:cstheme="majorBidi"/>
          <w:i/>
          <w:iCs/>
        </w:rPr>
        <w:t>Aspek-Aspek Sosiol</w:t>
      </w:r>
      <w:r>
        <w:rPr>
          <w:rFonts w:asciiTheme="majorBidi" w:hAnsiTheme="majorBidi" w:cstheme="majorBidi"/>
          <w:i/>
          <w:iCs/>
        </w:rPr>
        <w:t xml:space="preserve">ogis  </w:t>
      </w:r>
      <w:r w:rsidRPr="00B01954">
        <w:rPr>
          <w:rFonts w:asciiTheme="majorBidi" w:hAnsiTheme="majorBidi" w:cstheme="majorBidi"/>
        </w:rPr>
        <w:t>(</w:t>
      </w:r>
      <w:r>
        <w:rPr>
          <w:rFonts w:asciiTheme="majorBidi" w:hAnsiTheme="majorBidi" w:cstheme="majorBidi"/>
        </w:rPr>
        <w:t xml:space="preserve"> Yogjakarta: LKIS, 2000), h.</w:t>
      </w:r>
      <w:r w:rsidRPr="00435CEA">
        <w:rPr>
          <w:rFonts w:asciiTheme="majorBidi" w:hAnsiTheme="majorBidi" w:cstheme="majorBidi"/>
        </w:rPr>
        <w:t xml:space="preserve"> 130-131</w:t>
      </w:r>
    </w:p>
  </w:footnote>
  <w:footnote w:id="820">
    <w:p w:rsidR="00343B61" w:rsidRPr="00497221" w:rsidRDefault="00343B61" w:rsidP="00343B61">
      <w:pPr>
        <w:pStyle w:val="FootnoteText"/>
        <w:ind w:firstLine="720"/>
        <w:jc w:val="both"/>
        <w:rPr>
          <w:rFonts w:ascii="Times New Roman" w:hAnsi="Times New Roman" w:cs="Times New Roman"/>
        </w:rPr>
      </w:pPr>
      <w:r w:rsidRPr="00497221">
        <w:rPr>
          <w:rStyle w:val="FootnoteReference"/>
          <w:rFonts w:ascii="Times New Roman" w:hAnsi="Times New Roman" w:cs="Times New Roman"/>
        </w:rPr>
        <w:footnoteRef/>
      </w:r>
      <w:r w:rsidRPr="00497221">
        <w:rPr>
          <w:rFonts w:ascii="Times New Roman" w:hAnsi="Times New Roman" w:cs="Times New Roman"/>
        </w:rPr>
        <w:t xml:space="preserve"> Lihat. Bagir Manan, </w:t>
      </w:r>
      <w:r w:rsidRPr="00497221">
        <w:rPr>
          <w:rFonts w:ascii="Times New Roman" w:hAnsi="Times New Roman" w:cs="Times New Roman"/>
          <w:i/>
        </w:rPr>
        <w:t>Konvensi Ketatanegaraan</w:t>
      </w:r>
      <w:r w:rsidRPr="00497221">
        <w:rPr>
          <w:rFonts w:ascii="Times New Roman" w:hAnsi="Times New Roman" w:cs="Times New Roman"/>
        </w:rPr>
        <w:t>, ( Bandung: Armico, 1987), h. 19</w:t>
      </w:r>
    </w:p>
  </w:footnote>
  <w:footnote w:id="821">
    <w:p w:rsidR="00343B61" w:rsidRDefault="00343B61" w:rsidP="00343B61">
      <w:pPr>
        <w:pStyle w:val="FootnoteText"/>
        <w:ind w:firstLine="720"/>
        <w:jc w:val="both"/>
      </w:pPr>
      <w:r w:rsidRPr="00497221">
        <w:rPr>
          <w:rStyle w:val="FootnoteReference"/>
          <w:rFonts w:ascii="Times New Roman" w:hAnsi="Times New Roman" w:cs="Times New Roman"/>
        </w:rPr>
        <w:footnoteRef/>
      </w:r>
      <w:r w:rsidRPr="00497221">
        <w:rPr>
          <w:rFonts w:ascii="Times New Roman" w:hAnsi="Times New Roman" w:cs="Times New Roman"/>
        </w:rPr>
        <w:t xml:space="preserve"> </w:t>
      </w:r>
      <w:r>
        <w:rPr>
          <w:rFonts w:ascii="Times New Roman" w:hAnsi="Times New Roman" w:cs="Times New Roman"/>
        </w:rPr>
        <w:t>Lihat. E. Utrecht dan Moh Sa</w:t>
      </w:r>
      <w:r w:rsidRPr="00497221">
        <w:rPr>
          <w:rFonts w:ascii="Times New Roman" w:hAnsi="Times New Roman" w:cs="Times New Roman"/>
        </w:rPr>
        <w:t>l</w:t>
      </w:r>
      <w:r>
        <w:rPr>
          <w:rFonts w:ascii="Times New Roman" w:hAnsi="Times New Roman" w:cs="Times New Roman"/>
        </w:rPr>
        <w:t>e</w:t>
      </w:r>
      <w:r w:rsidRPr="00497221">
        <w:rPr>
          <w:rFonts w:ascii="Times New Roman" w:hAnsi="Times New Roman" w:cs="Times New Roman"/>
        </w:rPr>
        <w:t xml:space="preserve">h Djindang, </w:t>
      </w:r>
      <w:r w:rsidRPr="00DB102C">
        <w:rPr>
          <w:rFonts w:ascii="Times New Roman" w:hAnsi="Times New Roman" w:cs="Times New Roman"/>
          <w:i/>
          <w:iCs/>
        </w:rPr>
        <w:t>Pengantar dalam Hukum Indonesia</w:t>
      </w:r>
      <w:r w:rsidRPr="00497221">
        <w:rPr>
          <w:rFonts w:ascii="Times New Roman" w:hAnsi="Times New Roman" w:cs="Times New Roman"/>
        </w:rPr>
        <w:t>, ( Jakarta: Sinar Harapan, 1989), h. 85</w:t>
      </w:r>
      <w:r>
        <w:t xml:space="preserve"> </w:t>
      </w:r>
    </w:p>
  </w:footnote>
  <w:footnote w:id="822">
    <w:p w:rsidR="00343B61" w:rsidRPr="00CE7074" w:rsidRDefault="00343B61" w:rsidP="00343B61">
      <w:pPr>
        <w:pStyle w:val="FootnoteText"/>
        <w:ind w:firstLine="720"/>
        <w:jc w:val="both"/>
        <w:rPr>
          <w:rFonts w:ascii="Times New Roman" w:hAnsi="Times New Roman" w:cs="Times New Roman"/>
        </w:rPr>
      </w:pPr>
      <w:r w:rsidRPr="00CE7074">
        <w:rPr>
          <w:rStyle w:val="FootnoteReference"/>
          <w:rFonts w:ascii="Times New Roman" w:hAnsi="Times New Roman" w:cs="Times New Roman"/>
        </w:rPr>
        <w:footnoteRef/>
      </w:r>
      <w:r w:rsidRPr="00CE7074">
        <w:rPr>
          <w:rFonts w:ascii="Times New Roman" w:hAnsi="Times New Roman" w:cs="Times New Roman"/>
        </w:rPr>
        <w:t xml:space="preserve"> </w:t>
      </w:r>
      <w:r>
        <w:rPr>
          <w:rFonts w:ascii="Times New Roman" w:hAnsi="Times New Roman" w:cs="Times New Roman"/>
        </w:rPr>
        <w:t xml:space="preserve">Lihat. </w:t>
      </w:r>
      <w:r w:rsidRPr="00CE7074">
        <w:rPr>
          <w:rFonts w:ascii="Times New Roman" w:hAnsi="Times New Roman" w:cs="Times New Roman"/>
        </w:rPr>
        <w:t xml:space="preserve">Departemen Agama, </w:t>
      </w:r>
      <w:r w:rsidRPr="00EA430D">
        <w:rPr>
          <w:rFonts w:ascii="Times New Roman" w:hAnsi="Times New Roman" w:cs="Times New Roman"/>
          <w:i/>
        </w:rPr>
        <w:t>Kompilasi Hukum Islam di Indonesia</w:t>
      </w:r>
      <w:r w:rsidRPr="00CE7074">
        <w:rPr>
          <w:rFonts w:ascii="Times New Roman" w:hAnsi="Times New Roman" w:cs="Times New Roman"/>
        </w:rPr>
        <w:t xml:space="preserve">, </w:t>
      </w:r>
      <w:r>
        <w:rPr>
          <w:rFonts w:ascii="Times New Roman" w:hAnsi="Times New Roman" w:cs="Times New Roman"/>
        </w:rPr>
        <w:t>h</w:t>
      </w:r>
      <w:r w:rsidRPr="00CE7074">
        <w:rPr>
          <w:rFonts w:ascii="Times New Roman" w:hAnsi="Times New Roman" w:cs="Times New Roman"/>
        </w:rPr>
        <w:t>. 131</w:t>
      </w:r>
    </w:p>
  </w:footnote>
  <w:footnote w:id="823">
    <w:p w:rsidR="00343B61" w:rsidRPr="00DF4537" w:rsidRDefault="00343B61" w:rsidP="00343B61">
      <w:pPr>
        <w:spacing w:after="0" w:line="240" w:lineRule="auto"/>
        <w:ind w:firstLine="720"/>
        <w:jc w:val="both"/>
        <w:rPr>
          <w:rFonts w:ascii="Times New Roman" w:hAnsi="Times New Roman" w:cs="Times New Roman"/>
          <w:sz w:val="20"/>
          <w:szCs w:val="20"/>
        </w:rPr>
      </w:pPr>
      <w:r w:rsidRPr="00DF4537">
        <w:rPr>
          <w:rStyle w:val="FootnoteReference"/>
          <w:rFonts w:ascii="Times New Roman" w:hAnsi="Times New Roman" w:cs="Times New Roman"/>
          <w:sz w:val="20"/>
          <w:szCs w:val="20"/>
        </w:rPr>
        <w:footnoteRef/>
      </w:r>
      <w:r w:rsidRPr="00DF4537">
        <w:rPr>
          <w:rFonts w:ascii="Times New Roman" w:hAnsi="Times New Roman" w:cs="Times New Roman"/>
          <w:sz w:val="20"/>
          <w:szCs w:val="20"/>
        </w:rPr>
        <w:t xml:space="preserve"> Wahiduddin Adams,  </w:t>
      </w:r>
      <w:r w:rsidRPr="008D11C2">
        <w:rPr>
          <w:rFonts w:ascii="Times New Roman" w:hAnsi="Times New Roman" w:cs="Times New Roman"/>
          <w:i/>
          <w:iCs/>
          <w:sz w:val="20"/>
          <w:szCs w:val="20"/>
        </w:rPr>
        <w:t>Fatwa MUI Dalam Perspektif Hukum dan Perundang-Undangan</w:t>
      </w:r>
      <w:r w:rsidRPr="00DF4537">
        <w:rPr>
          <w:rFonts w:ascii="Times New Roman" w:hAnsi="Times New Roman" w:cs="Times New Roman"/>
          <w:sz w:val="20"/>
          <w:szCs w:val="20"/>
        </w:rPr>
        <w:t xml:space="preserve">, dalam : </w:t>
      </w:r>
      <w:r w:rsidRPr="00DF4537">
        <w:rPr>
          <w:rFonts w:ascii="Times New Roman" w:hAnsi="Times New Roman" w:cs="Times New Roman"/>
          <w:i/>
          <w:iCs/>
          <w:sz w:val="20"/>
          <w:szCs w:val="20"/>
        </w:rPr>
        <w:t>Fatwa Majelis Ulama Indonsia dalam Perspektif Hukum dan Perundang-Undangan</w:t>
      </w:r>
      <w:r>
        <w:rPr>
          <w:rFonts w:ascii="Times New Roman" w:hAnsi="Times New Roman" w:cs="Times New Roman"/>
          <w:sz w:val="20"/>
          <w:szCs w:val="20"/>
        </w:rPr>
        <w:t>, (</w:t>
      </w:r>
      <w:r w:rsidRPr="00DF4537">
        <w:rPr>
          <w:rFonts w:ascii="Times New Roman" w:hAnsi="Times New Roman" w:cs="Times New Roman"/>
          <w:sz w:val="20"/>
          <w:szCs w:val="20"/>
        </w:rPr>
        <w:t>Jakarta: Badan Litbang da Diklat Kementerian Agama RI, 2012), h. 6-7</w:t>
      </w:r>
    </w:p>
  </w:footnote>
  <w:footnote w:id="824">
    <w:p w:rsidR="00343B61" w:rsidRDefault="00343B61" w:rsidP="00343B61">
      <w:pPr>
        <w:pStyle w:val="FootnoteText"/>
        <w:ind w:firstLine="720"/>
        <w:jc w:val="both"/>
      </w:pPr>
      <w:r>
        <w:rPr>
          <w:rStyle w:val="FootnoteReference"/>
        </w:rPr>
        <w:footnoteRef/>
      </w:r>
      <w:r>
        <w:t xml:space="preserve"> </w:t>
      </w:r>
      <w:r w:rsidRPr="00355F12">
        <w:rPr>
          <w:rFonts w:ascii="Times New Roman" w:hAnsi="Times New Roman" w:cs="Times New Roman"/>
        </w:rPr>
        <w:t xml:space="preserve">Lihat. Ma’ruf Amin, dkk, </w:t>
      </w:r>
      <w:r w:rsidRPr="00355F12">
        <w:rPr>
          <w:rFonts w:ascii="Times New Roman" w:hAnsi="Times New Roman" w:cs="Times New Roman"/>
          <w:i/>
        </w:rPr>
        <w:t>Fatwa Majelis Ulama Indonesia Dalam Sorotan</w:t>
      </w:r>
      <w:r w:rsidRPr="00355F12">
        <w:rPr>
          <w:rFonts w:ascii="Times New Roman" w:hAnsi="Times New Roman" w:cs="Times New Roman"/>
        </w:rPr>
        <w:t>, ( Jakarta: Sekretariat Majel</w:t>
      </w:r>
      <w:r>
        <w:rPr>
          <w:rFonts w:ascii="Times New Roman" w:hAnsi="Times New Roman" w:cs="Times New Roman"/>
        </w:rPr>
        <w:t>is Ulama Indonesia, 2011), h. 345</w:t>
      </w:r>
    </w:p>
  </w:footnote>
  <w:footnote w:id="825">
    <w:p w:rsidR="00343B61" w:rsidRDefault="00343B61" w:rsidP="00343B61">
      <w:pPr>
        <w:pStyle w:val="FootnoteText"/>
        <w:ind w:firstLine="720"/>
        <w:jc w:val="both"/>
      </w:pPr>
      <w:r>
        <w:rPr>
          <w:rStyle w:val="FootnoteReference"/>
        </w:rPr>
        <w:footnoteRef/>
      </w:r>
      <w:r>
        <w:t xml:space="preserve"> </w:t>
      </w:r>
      <w:r w:rsidRPr="00DF4537">
        <w:rPr>
          <w:rFonts w:ascii="Times New Roman" w:hAnsi="Times New Roman" w:cs="Times New Roman"/>
        </w:rPr>
        <w:t xml:space="preserve">Wahiduddin Adams,  </w:t>
      </w:r>
      <w:r w:rsidRPr="008D11C2">
        <w:rPr>
          <w:rFonts w:ascii="Times New Roman" w:hAnsi="Times New Roman" w:cs="Times New Roman"/>
          <w:i/>
          <w:iCs/>
        </w:rPr>
        <w:t>Fatwa MUI Dalam Perspektif Hukum dan Perundang-Undangan</w:t>
      </w:r>
      <w:r w:rsidRPr="00DF4537">
        <w:rPr>
          <w:rFonts w:ascii="Times New Roman" w:hAnsi="Times New Roman" w:cs="Times New Roman"/>
        </w:rPr>
        <w:t>,</w:t>
      </w:r>
      <w:r>
        <w:rPr>
          <w:rFonts w:ascii="Times New Roman" w:hAnsi="Times New Roman" w:cs="Times New Roman"/>
        </w:rPr>
        <w:t xml:space="preserve"> h. 9</w:t>
      </w:r>
    </w:p>
  </w:footnote>
  <w:footnote w:id="826">
    <w:p w:rsidR="00343B61" w:rsidRDefault="00343B61" w:rsidP="00343B61">
      <w:pPr>
        <w:pStyle w:val="FootnoteText"/>
        <w:ind w:firstLine="720"/>
        <w:jc w:val="both"/>
      </w:pPr>
      <w:r w:rsidRPr="00B64C87">
        <w:rPr>
          <w:rStyle w:val="FootnoteReference"/>
          <w:rFonts w:ascii="Times New Roman" w:hAnsi="Times New Roman" w:cs="Times New Roman"/>
        </w:rPr>
        <w:footnoteRef/>
      </w:r>
      <w:r w:rsidRPr="00B64C87">
        <w:rPr>
          <w:rFonts w:ascii="Times New Roman" w:hAnsi="Times New Roman" w:cs="Times New Roman"/>
        </w:rPr>
        <w:t xml:space="preserve">Asni, </w:t>
      </w:r>
      <w:r w:rsidRPr="00B64C87">
        <w:rPr>
          <w:rFonts w:ascii="Times New Roman" w:hAnsi="Times New Roman" w:cs="Times New Roman"/>
          <w:i/>
          <w:iCs/>
        </w:rPr>
        <w:t>Pembaruan Hukum Islam Di Indonesia, Telaah Epestemologis Kedudukan Perempuan dalam Hukum Keluarga</w:t>
      </w:r>
      <w:r w:rsidRPr="00B64C87">
        <w:rPr>
          <w:rFonts w:ascii="Times New Roman" w:hAnsi="Times New Roman" w:cs="Times New Roman"/>
        </w:rPr>
        <w:t>,</w:t>
      </w:r>
      <w:r>
        <w:rPr>
          <w:rFonts w:ascii="Times New Roman" w:hAnsi="Times New Roman" w:cs="Times New Roman"/>
        </w:rPr>
        <w:t xml:space="preserve">( Jakarta: Kementerian Agama Republik Indonesia Direktorat Jenderal Pendidikan Islam, 2012), </w:t>
      </w:r>
      <w:r w:rsidRPr="00B64C87">
        <w:rPr>
          <w:rFonts w:ascii="Times New Roman" w:hAnsi="Times New Roman" w:cs="Times New Roman"/>
        </w:rPr>
        <w:t xml:space="preserve"> h. 226</w:t>
      </w:r>
    </w:p>
  </w:footnote>
  <w:footnote w:id="827">
    <w:p w:rsidR="00343B61" w:rsidRPr="00E45902" w:rsidRDefault="00343B61" w:rsidP="00343B61">
      <w:pPr>
        <w:pStyle w:val="Default"/>
        <w:ind w:firstLine="720"/>
        <w:jc w:val="both"/>
        <w:rPr>
          <w:rFonts w:ascii="Times New Roman" w:hAnsi="Times New Roman" w:cs="Times New Roman"/>
          <w:sz w:val="20"/>
          <w:szCs w:val="20"/>
        </w:rPr>
      </w:pPr>
      <w:r w:rsidRPr="00E45902">
        <w:rPr>
          <w:rStyle w:val="FootnoteReference"/>
          <w:rFonts w:ascii="Times New Roman" w:hAnsi="Times New Roman" w:cs="Times New Roman"/>
          <w:sz w:val="20"/>
          <w:szCs w:val="20"/>
        </w:rPr>
        <w:footnoteRef/>
      </w:r>
      <w:r w:rsidRPr="00E45902">
        <w:rPr>
          <w:rFonts w:ascii="Times New Roman" w:hAnsi="Times New Roman" w:cs="Times New Roman"/>
          <w:sz w:val="20"/>
          <w:szCs w:val="20"/>
        </w:rPr>
        <w:t xml:space="preserve"> Moh. Mukri, </w:t>
      </w:r>
      <w:r w:rsidRPr="00E45902">
        <w:rPr>
          <w:rFonts w:ascii="Times New Roman" w:hAnsi="Times New Roman" w:cs="Times New Roman"/>
          <w:i/>
          <w:iCs/>
          <w:sz w:val="20"/>
          <w:szCs w:val="20"/>
        </w:rPr>
        <w:t xml:space="preserve">Dinamika pemikiran fikih Mazhab Indonesia </w:t>
      </w:r>
      <w:r w:rsidRPr="00E45902">
        <w:rPr>
          <w:rFonts w:ascii="Times New Roman" w:hAnsi="Times New Roman" w:cs="Times New Roman"/>
          <w:b/>
          <w:bCs/>
          <w:i/>
          <w:iCs/>
          <w:sz w:val="20"/>
          <w:szCs w:val="20"/>
        </w:rPr>
        <w:t>(</w:t>
      </w:r>
      <w:r w:rsidRPr="00E45902">
        <w:rPr>
          <w:rFonts w:ascii="Times New Roman" w:hAnsi="Times New Roman" w:cs="Times New Roman"/>
          <w:i/>
          <w:iCs/>
          <w:sz w:val="20"/>
          <w:szCs w:val="20"/>
        </w:rPr>
        <w:t>Perspektif Sejarah Sosial)</w:t>
      </w:r>
      <w:r w:rsidRPr="00E45902">
        <w:rPr>
          <w:rFonts w:ascii="Times New Roman" w:hAnsi="Times New Roman" w:cs="Times New Roman"/>
          <w:b/>
          <w:bCs/>
          <w:i/>
          <w:iCs/>
          <w:sz w:val="20"/>
          <w:szCs w:val="20"/>
        </w:rPr>
        <w:t>,</w:t>
      </w:r>
      <w:r w:rsidRPr="00E45902">
        <w:rPr>
          <w:rFonts w:ascii="Times New Roman" w:hAnsi="Times New Roman" w:cs="Times New Roman"/>
          <w:b/>
          <w:bCs/>
          <w:sz w:val="20"/>
          <w:szCs w:val="20"/>
        </w:rPr>
        <w:t xml:space="preserve"> </w:t>
      </w:r>
      <w:r w:rsidRPr="00E45902">
        <w:rPr>
          <w:rFonts w:ascii="Times New Roman" w:hAnsi="Times New Roman" w:cs="Times New Roman"/>
          <w:i/>
          <w:iCs/>
          <w:sz w:val="20"/>
          <w:szCs w:val="20"/>
        </w:rPr>
        <w:t>Analisis</w:t>
      </w:r>
      <w:r w:rsidRPr="00E45902">
        <w:rPr>
          <w:rFonts w:ascii="Times New Roman" w:hAnsi="Times New Roman" w:cs="Times New Roman"/>
          <w:sz w:val="20"/>
          <w:szCs w:val="20"/>
        </w:rPr>
        <w:t>, Volume XI, Nomor 2, Desember 2011, h. 189</w:t>
      </w:r>
    </w:p>
  </w:footnote>
  <w:footnote w:id="828">
    <w:p w:rsidR="00343B61" w:rsidRDefault="00343B61" w:rsidP="00343B61">
      <w:pPr>
        <w:pStyle w:val="FootnoteText"/>
        <w:ind w:firstLine="720"/>
        <w:jc w:val="both"/>
      </w:pPr>
      <w:r>
        <w:rPr>
          <w:rStyle w:val="FootnoteReference"/>
        </w:rPr>
        <w:footnoteRef/>
      </w:r>
      <w:r>
        <w:t xml:space="preserve"> </w:t>
      </w:r>
      <w:r w:rsidRPr="00E45902">
        <w:rPr>
          <w:rFonts w:ascii="Times New Roman" w:hAnsi="Times New Roman" w:cs="Times New Roman"/>
        </w:rPr>
        <w:t xml:space="preserve"> Moh. Mukri, </w:t>
      </w:r>
      <w:r w:rsidRPr="00E45902">
        <w:rPr>
          <w:rFonts w:ascii="Times New Roman" w:hAnsi="Times New Roman" w:cs="Times New Roman"/>
          <w:i/>
          <w:iCs/>
        </w:rPr>
        <w:t xml:space="preserve">Dinamika pemikiran fikih Mazhab Indonesia </w:t>
      </w:r>
      <w:r w:rsidRPr="00E45902">
        <w:rPr>
          <w:rFonts w:ascii="Times New Roman" w:hAnsi="Times New Roman" w:cs="Times New Roman"/>
          <w:b/>
          <w:bCs/>
          <w:i/>
          <w:iCs/>
        </w:rPr>
        <w:t>(</w:t>
      </w:r>
      <w:r w:rsidRPr="00E45902">
        <w:rPr>
          <w:rFonts w:ascii="Times New Roman" w:hAnsi="Times New Roman" w:cs="Times New Roman"/>
          <w:i/>
          <w:iCs/>
        </w:rPr>
        <w:t>Perspektif Sejarah Sosial)</w:t>
      </w:r>
      <w:r w:rsidRPr="00E45902">
        <w:rPr>
          <w:rFonts w:ascii="Times New Roman" w:hAnsi="Times New Roman" w:cs="Times New Roman"/>
          <w:b/>
          <w:bCs/>
          <w:i/>
          <w:iCs/>
        </w:rPr>
        <w:t>,</w:t>
      </w:r>
      <w:r w:rsidRPr="00E45902">
        <w:rPr>
          <w:rFonts w:ascii="Times New Roman" w:hAnsi="Times New Roman" w:cs="Times New Roman"/>
          <w:b/>
          <w:bCs/>
        </w:rPr>
        <w:t xml:space="preserve"> </w:t>
      </w:r>
      <w:r w:rsidRPr="00E45902">
        <w:rPr>
          <w:rFonts w:ascii="Times New Roman" w:hAnsi="Times New Roman" w:cs="Times New Roman"/>
          <w:i/>
          <w:iCs/>
        </w:rPr>
        <w:t>Analisis</w:t>
      </w:r>
      <w:r w:rsidRPr="00E45902">
        <w:rPr>
          <w:rFonts w:ascii="Times New Roman" w:hAnsi="Times New Roman" w:cs="Times New Roman"/>
        </w:rPr>
        <w:t>, Volume XI</w:t>
      </w:r>
      <w:r>
        <w:rPr>
          <w:rFonts w:ascii="Times New Roman" w:hAnsi="Times New Roman" w:cs="Times New Roman"/>
        </w:rPr>
        <w:t>, Nomor 2, Desember 2011, h. 190</w:t>
      </w:r>
    </w:p>
  </w:footnote>
  <w:footnote w:id="829">
    <w:p w:rsidR="00343B61" w:rsidRDefault="00343B61" w:rsidP="00343B61">
      <w:pPr>
        <w:pStyle w:val="FootnoteText"/>
        <w:ind w:firstLine="720"/>
        <w:jc w:val="both"/>
      </w:pPr>
      <w:r>
        <w:rPr>
          <w:rStyle w:val="FootnoteReference"/>
        </w:rPr>
        <w:footnoteRef/>
      </w:r>
      <w:r>
        <w:t xml:space="preserve"> </w:t>
      </w:r>
      <w:r w:rsidRPr="00EB1F39">
        <w:rPr>
          <w:rFonts w:ascii="Times New Roman" w:hAnsi="Times New Roman" w:cs="Times New Roman"/>
        </w:rPr>
        <w:t xml:space="preserve">Lihat. </w:t>
      </w:r>
      <w:r w:rsidRPr="00EB1F39">
        <w:rPr>
          <w:rFonts w:ascii="Times New Roman" w:hAnsi="Times New Roman" w:cs="Times New Roman"/>
          <w:bCs/>
        </w:rPr>
        <w:t>Al Makin,</w:t>
      </w:r>
      <w:r w:rsidRPr="00EB1F39">
        <w:rPr>
          <w:rFonts w:ascii="Times New Roman" w:hAnsi="Times New Roman" w:cs="Times New Roman"/>
        </w:rPr>
        <w:t xml:space="preserve"> Keulamaan, Kebangsaan, dan Kekinian: Catatan Kiprah Sosial Politik MUI, dalam: </w:t>
      </w:r>
      <w:r>
        <w:rPr>
          <w:rFonts w:ascii="Times New Roman" w:hAnsi="Times New Roman" w:cs="Times New Roman"/>
          <w:i/>
        </w:rPr>
        <w:t>Fatwa Majelis Ulama Indonesia (</w:t>
      </w:r>
      <w:r w:rsidRPr="00EB1F39">
        <w:rPr>
          <w:rFonts w:ascii="Times New Roman" w:hAnsi="Times New Roman" w:cs="Times New Roman"/>
          <w:i/>
        </w:rPr>
        <w:t>MUI) dalam Pespektif Hukum dan Undang-Undang</w:t>
      </w:r>
      <w:r w:rsidRPr="00EB1F39">
        <w:rPr>
          <w:rFonts w:ascii="Times New Roman" w:hAnsi="Times New Roman" w:cs="Times New Roman"/>
        </w:rPr>
        <w:t>, ( Jakarta: Badan Litbang dan diklat Kementerian Agama RI Tahun 2012, h. 67</w:t>
      </w:r>
    </w:p>
  </w:footnote>
  <w:footnote w:id="830">
    <w:p w:rsidR="00343B61" w:rsidRPr="00731D7F"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731D7F">
        <w:rPr>
          <w:rStyle w:val="FootnoteReference"/>
          <w:rFonts w:ascii="Times New Roman" w:hAnsi="Times New Roman" w:cs="Times New Roman"/>
          <w:sz w:val="20"/>
          <w:szCs w:val="20"/>
        </w:rPr>
        <w:footnoteRef/>
      </w:r>
      <w:r w:rsidRPr="00731D7F">
        <w:rPr>
          <w:rFonts w:ascii="Times New Roman" w:hAnsi="Times New Roman" w:cs="Times New Roman"/>
          <w:sz w:val="20"/>
          <w:szCs w:val="20"/>
        </w:rPr>
        <w:t xml:space="preserve"> Lihat Abdullah Ahmed An-Na'im, </w:t>
      </w:r>
      <w:r w:rsidRPr="00EA430D">
        <w:rPr>
          <w:rFonts w:ascii="Times New Roman" w:hAnsi="Times New Roman" w:cs="Times New Roman"/>
          <w:i/>
          <w:sz w:val="20"/>
          <w:szCs w:val="20"/>
        </w:rPr>
        <w:t>Dekonstruksi Syariah</w:t>
      </w:r>
      <w:r>
        <w:rPr>
          <w:rFonts w:ascii="Times New Roman" w:hAnsi="Times New Roman" w:cs="Times New Roman"/>
          <w:sz w:val="20"/>
          <w:szCs w:val="20"/>
        </w:rPr>
        <w:t>, pent</w:t>
      </w:r>
      <w:r w:rsidRPr="00731D7F">
        <w:rPr>
          <w:rFonts w:ascii="Times New Roman" w:hAnsi="Times New Roman" w:cs="Times New Roman"/>
          <w:sz w:val="20"/>
          <w:szCs w:val="20"/>
        </w:rPr>
        <w:t>rj. Ahmad Suaedy dan</w:t>
      </w:r>
      <w:r>
        <w:rPr>
          <w:rFonts w:ascii="Times New Roman" w:hAnsi="Times New Roman" w:cs="Times New Roman"/>
          <w:sz w:val="20"/>
          <w:szCs w:val="20"/>
        </w:rPr>
        <w:t xml:space="preserve"> </w:t>
      </w:r>
      <w:r w:rsidRPr="00731D7F">
        <w:rPr>
          <w:rFonts w:ascii="Times New Roman" w:hAnsi="Times New Roman" w:cs="Times New Roman"/>
          <w:sz w:val="20"/>
          <w:szCs w:val="20"/>
        </w:rPr>
        <w:t>Amiruddin Arran</w:t>
      </w:r>
      <w:r>
        <w:rPr>
          <w:rFonts w:ascii="Times New Roman" w:hAnsi="Times New Roman" w:cs="Times New Roman"/>
          <w:sz w:val="20"/>
          <w:szCs w:val="20"/>
        </w:rPr>
        <w:t>i (Yogvakarta : LKIS, 1994), h</w:t>
      </w:r>
      <w:r w:rsidRPr="00731D7F">
        <w:rPr>
          <w:rFonts w:ascii="Times New Roman" w:hAnsi="Times New Roman" w:cs="Times New Roman"/>
          <w:sz w:val="20"/>
          <w:szCs w:val="20"/>
        </w:rPr>
        <w:t>. x-ix-xxiii.</w:t>
      </w:r>
    </w:p>
  </w:footnote>
  <w:footnote w:id="831">
    <w:p w:rsidR="00343B61" w:rsidRPr="00EA430D" w:rsidRDefault="00343B61" w:rsidP="00343B61">
      <w:pPr>
        <w:pStyle w:val="FootnoteText"/>
        <w:ind w:firstLine="720"/>
        <w:jc w:val="both"/>
        <w:rPr>
          <w:rFonts w:ascii="Times New Roman" w:hAnsi="Times New Roman" w:cs="Times New Roman"/>
        </w:rPr>
      </w:pPr>
      <w:r w:rsidRPr="00EA430D">
        <w:rPr>
          <w:rStyle w:val="FootnoteReference"/>
          <w:rFonts w:ascii="Times New Roman" w:hAnsi="Times New Roman" w:cs="Times New Roman"/>
        </w:rPr>
        <w:footnoteRef/>
      </w:r>
      <w:r w:rsidRPr="00EA430D">
        <w:rPr>
          <w:rFonts w:ascii="Times New Roman" w:hAnsi="Times New Roman" w:cs="Times New Roman"/>
        </w:rPr>
        <w:t xml:space="preserve"> M.A. Sahal Mahfudh, </w:t>
      </w:r>
      <w:r w:rsidRPr="00EA430D">
        <w:rPr>
          <w:rFonts w:ascii="Times New Roman" w:hAnsi="Times New Roman" w:cs="Times New Roman"/>
          <w:i/>
        </w:rPr>
        <w:t>Nuansa Fiqih Sosial</w:t>
      </w:r>
      <w:r w:rsidRPr="00EA430D">
        <w:rPr>
          <w:rFonts w:ascii="Times New Roman" w:hAnsi="Times New Roman" w:cs="Times New Roman"/>
        </w:rPr>
        <w:t xml:space="preserve">, </w:t>
      </w:r>
      <w:r>
        <w:rPr>
          <w:rFonts w:ascii="Times New Roman" w:hAnsi="Times New Roman" w:cs="Times New Roman"/>
        </w:rPr>
        <w:t>(Yogvakarta: LKiS, 1994), h</w:t>
      </w:r>
      <w:r w:rsidRPr="00EA430D">
        <w:rPr>
          <w:rFonts w:ascii="Times New Roman" w:hAnsi="Times New Roman" w:cs="Times New Roman"/>
        </w:rPr>
        <w:t>. 30-31.</w:t>
      </w:r>
    </w:p>
  </w:footnote>
  <w:footnote w:id="832">
    <w:p w:rsidR="00343B61" w:rsidRDefault="00343B61" w:rsidP="00343B61">
      <w:pPr>
        <w:autoSpaceDE w:val="0"/>
        <w:autoSpaceDN w:val="0"/>
        <w:adjustRightInd w:val="0"/>
        <w:spacing w:after="0" w:line="240" w:lineRule="auto"/>
        <w:ind w:firstLine="72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M. Atho Mudzhar, </w:t>
      </w:r>
      <w:r>
        <w:rPr>
          <w:rFonts w:ascii="Times New Roman" w:hAnsi="Times New Roman"/>
          <w:i/>
          <w:sz w:val="20"/>
          <w:szCs w:val="20"/>
        </w:rPr>
        <w:t>Fatwa-Fatwa Majelis Ulama Indonesia: Sebuah Studi Tentang Pemikiran Hukum Islam Indonesia 1975-1988</w:t>
      </w:r>
      <w:r>
        <w:rPr>
          <w:rFonts w:ascii="Times New Roman" w:hAnsi="Times New Roman"/>
          <w:sz w:val="20"/>
          <w:szCs w:val="20"/>
        </w:rPr>
        <w:t>, (Jakarta: INIS, 1993), h. 63.</w:t>
      </w:r>
    </w:p>
  </w:footnote>
  <w:footnote w:id="833">
    <w:p w:rsidR="00343B61" w:rsidRDefault="00343B61" w:rsidP="00343B61">
      <w:pPr>
        <w:autoSpaceDE w:val="0"/>
        <w:autoSpaceDN w:val="0"/>
        <w:adjustRightInd w:val="0"/>
        <w:spacing w:after="0" w:line="240" w:lineRule="auto"/>
        <w:ind w:firstLine="72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Lihat Siti Musdah Mulia, "</w:t>
      </w:r>
      <w:r>
        <w:rPr>
          <w:rFonts w:ascii="Times New Roman" w:hAnsi="Times New Roman"/>
          <w:i/>
          <w:sz w:val="20"/>
          <w:szCs w:val="20"/>
        </w:rPr>
        <w:t>Fatwa Majelis Ulama Indonesia</w:t>
      </w:r>
      <w:r>
        <w:rPr>
          <w:rFonts w:ascii="Times New Roman" w:hAnsi="Times New Roman"/>
          <w:sz w:val="20"/>
          <w:szCs w:val="20"/>
        </w:rPr>
        <w:t xml:space="preserve">", dalam Jauhar, Jurnal Pemikiran Islam Kontekstual, (Jakarta: Program Pascasarjana Universitas Islam Negeri Jakarta, 2003), Volume 4, No. 2, Desember 2003, h. 183 - 205. Sebabagaimanad di kutip oleh. Ma’ruf Amin, dkk, </w:t>
      </w:r>
      <w:r>
        <w:rPr>
          <w:rFonts w:ascii="Times New Roman" w:hAnsi="Times New Roman"/>
          <w:i/>
          <w:sz w:val="20"/>
          <w:szCs w:val="20"/>
        </w:rPr>
        <w:t>Fatwa Majelis Ulama Indonesia Dalam Sorotan</w:t>
      </w:r>
      <w:r>
        <w:rPr>
          <w:rFonts w:ascii="Times New Roman" w:hAnsi="Times New Roman"/>
          <w:sz w:val="20"/>
          <w:szCs w:val="20"/>
        </w:rPr>
        <w:t>, ( Jakarta: Sekretariat Majelis Ulama Indonesia, 2011), h. 122</w:t>
      </w:r>
      <w:r>
        <w:rPr>
          <w:sz w:val="20"/>
          <w:szCs w:val="20"/>
        </w:rPr>
        <w:t xml:space="preserve"> </w:t>
      </w:r>
      <w:r>
        <w:rPr>
          <w:rFonts w:ascii="Times New Roman" w:hAnsi="Times New Roman"/>
          <w:sz w:val="20"/>
          <w:szCs w:val="20"/>
        </w:rPr>
        <w:t xml:space="preserve">Dengan merujuk pada laporan investigasi ICRP dalam Majalah Majemuk, Edisi ke-3, Mei 2003, Jakarta, Musda menjelaskan bahwa salah satu bukti konkret bagaimana fatwa MUI menjadi acuan bertindak bagi masyarakat dan pemerintah dalam kehidupan berbangsa dan bernegara adalah kasus aliran Ahmadiyah. </w:t>
      </w:r>
    </w:p>
  </w:footnote>
  <w:footnote w:id="834">
    <w:p w:rsidR="00343B61" w:rsidRPr="00BA43B3" w:rsidRDefault="00343B61" w:rsidP="00343B61">
      <w:pPr>
        <w:autoSpaceDE w:val="0"/>
        <w:autoSpaceDN w:val="0"/>
        <w:adjustRightInd w:val="0"/>
        <w:spacing w:after="0" w:line="240" w:lineRule="auto"/>
        <w:ind w:firstLine="720"/>
        <w:jc w:val="both"/>
        <w:rPr>
          <w:rFonts w:ascii="Times New Roman" w:hAnsi="Times New Roman"/>
          <w:sz w:val="20"/>
          <w:szCs w:val="20"/>
        </w:rPr>
      </w:pPr>
      <w:r w:rsidRPr="00BA43B3">
        <w:rPr>
          <w:rStyle w:val="FootnoteReference"/>
          <w:rFonts w:ascii="Times New Roman" w:hAnsi="Times New Roman"/>
          <w:sz w:val="20"/>
          <w:szCs w:val="20"/>
        </w:rPr>
        <w:footnoteRef/>
      </w:r>
      <w:r w:rsidRPr="00BA43B3">
        <w:rPr>
          <w:rFonts w:ascii="Times New Roman" w:hAnsi="Times New Roman"/>
          <w:sz w:val="20"/>
          <w:szCs w:val="20"/>
        </w:rPr>
        <w:t xml:space="preserve"> Lihat. M. Asrorun Niam, </w:t>
      </w:r>
      <w:r w:rsidRPr="003827E3">
        <w:rPr>
          <w:rFonts w:ascii="Times New Roman" w:hAnsi="Times New Roman"/>
          <w:i/>
          <w:sz w:val="20"/>
          <w:szCs w:val="20"/>
        </w:rPr>
        <w:t>Sadd al-Dzari'ah dan Aplikasinya dalam Fatwa Majelis Ulama Indonesia</w:t>
      </w:r>
      <w:r w:rsidRPr="00BA43B3">
        <w:rPr>
          <w:rFonts w:ascii="Times New Roman" w:hAnsi="Times New Roman"/>
          <w:sz w:val="20"/>
          <w:szCs w:val="20"/>
        </w:rPr>
        <w:t xml:space="preserve">" (Disertasi: UIN Syarif </w:t>
      </w:r>
      <w:r>
        <w:rPr>
          <w:rFonts w:ascii="Times New Roman" w:hAnsi="Times New Roman"/>
          <w:sz w:val="20"/>
          <w:szCs w:val="20"/>
        </w:rPr>
        <w:t>Hidayatullah Jakarta, 2008), h. 55</w:t>
      </w:r>
    </w:p>
  </w:footnote>
  <w:footnote w:id="835">
    <w:p w:rsidR="00343B61" w:rsidRPr="00C053CA" w:rsidRDefault="00343B61" w:rsidP="00343B61">
      <w:pPr>
        <w:pStyle w:val="FootnoteText"/>
        <w:ind w:firstLine="720"/>
        <w:jc w:val="both"/>
      </w:pPr>
      <w:r>
        <w:rPr>
          <w:rStyle w:val="FootnoteReference"/>
        </w:rPr>
        <w:footnoteRef/>
      </w:r>
      <w:r>
        <w:t xml:space="preserve"> </w:t>
      </w:r>
      <w:r w:rsidRPr="00C053CA">
        <w:rPr>
          <w:rFonts w:ascii="Times New Roman" w:hAnsi="Times New Roman"/>
          <w:bCs/>
        </w:rPr>
        <w:t xml:space="preserve">Lihat. Qomarul Huda, </w:t>
      </w:r>
      <w:r w:rsidRPr="00C053CA">
        <w:rPr>
          <w:rFonts w:ascii="Times New Roman" w:hAnsi="Times New Roman"/>
          <w:bCs/>
          <w:i/>
        </w:rPr>
        <w:t>Otoritas Fatwa Dalam Konteks Masyarakat Demokratis</w:t>
      </w:r>
      <w:r w:rsidRPr="00C053CA">
        <w:rPr>
          <w:rFonts w:ascii="Times New Roman" w:hAnsi="Times New Roman"/>
          <w:bCs/>
        </w:rPr>
        <w:t xml:space="preserve"> (</w:t>
      </w:r>
      <w:r w:rsidRPr="00C053CA">
        <w:rPr>
          <w:rFonts w:ascii="Times New Roman" w:hAnsi="Times New Roman"/>
          <w:bCs/>
          <w:i/>
        </w:rPr>
        <w:t>Sebuah Tinjauan Terhadap Fatwa MUI</w:t>
      </w:r>
      <w:r w:rsidRPr="00C053CA">
        <w:rPr>
          <w:rFonts w:ascii="Times New Roman" w:hAnsi="Times New Roman"/>
          <w:i/>
        </w:rPr>
        <w:t xml:space="preserve"> </w:t>
      </w:r>
      <w:r w:rsidRPr="00C053CA">
        <w:rPr>
          <w:rFonts w:ascii="Times New Roman" w:hAnsi="Times New Roman"/>
          <w:bCs/>
          <w:i/>
        </w:rPr>
        <w:t>Pasca Orde Baru</w:t>
      </w:r>
      <w:r w:rsidRPr="00C053CA">
        <w:rPr>
          <w:rFonts w:ascii="Times New Roman" w:hAnsi="Times New Roman"/>
          <w:bCs/>
        </w:rPr>
        <w:t xml:space="preserve">), </w:t>
      </w:r>
      <w:r w:rsidRPr="00C053CA">
        <w:rPr>
          <w:rFonts w:ascii="Times New Roman" w:hAnsi="Times New Roman"/>
        </w:rPr>
        <w:t xml:space="preserve">dalam : </w:t>
      </w:r>
      <w:r w:rsidRPr="00C053CA">
        <w:rPr>
          <w:rFonts w:ascii="Times New Roman" w:hAnsi="Times New Roman"/>
          <w:i/>
          <w:iCs/>
        </w:rPr>
        <w:t>Fatwa Majelis Ulama Indonsia dalam Perspektif Hukum dan Perundang-Undangan</w:t>
      </w:r>
      <w:r w:rsidRPr="00C053CA">
        <w:rPr>
          <w:rFonts w:ascii="Times New Roman" w:hAnsi="Times New Roman"/>
        </w:rPr>
        <w:t xml:space="preserve">, ( Jakarta: Badan Litbang da Diklat Kementerian Agama </w:t>
      </w:r>
      <w:r>
        <w:rPr>
          <w:rFonts w:ascii="Times New Roman" w:hAnsi="Times New Roman"/>
        </w:rPr>
        <w:t>RI, 2012), h. 152</w:t>
      </w:r>
    </w:p>
  </w:footnote>
  <w:footnote w:id="836">
    <w:p w:rsidR="00343B61" w:rsidRPr="0057345B" w:rsidRDefault="00343B61" w:rsidP="00343B61">
      <w:pPr>
        <w:autoSpaceDE w:val="0"/>
        <w:autoSpaceDN w:val="0"/>
        <w:adjustRightInd w:val="0"/>
        <w:spacing w:after="0" w:line="240" w:lineRule="auto"/>
        <w:ind w:firstLine="720"/>
        <w:jc w:val="both"/>
        <w:rPr>
          <w:rFonts w:ascii="Times New Roman" w:hAnsi="Times New Roman"/>
          <w:sz w:val="20"/>
          <w:szCs w:val="20"/>
        </w:rPr>
      </w:pPr>
      <w:r w:rsidRPr="0057345B">
        <w:rPr>
          <w:rStyle w:val="FootnoteReference"/>
          <w:rFonts w:ascii="Times New Roman" w:hAnsi="Times New Roman"/>
          <w:sz w:val="20"/>
          <w:szCs w:val="20"/>
        </w:rPr>
        <w:footnoteRef/>
      </w:r>
      <w:r w:rsidRPr="0057345B">
        <w:rPr>
          <w:rFonts w:ascii="Times New Roman" w:hAnsi="Times New Roman"/>
          <w:sz w:val="20"/>
          <w:szCs w:val="20"/>
        </w:rPr>
        <w:t xml:space="preserve"> </w:t>
      </w:r>
      <w:r>
        <w:rPr>
          <w:rFonts w:ascii="Times New Roman" w:hAnsi="Times New Roman"/>
          <w:sz w:val="20"/>
          <w:szCs w:val="20"/>
        </w:rPr>
        <w:t xml:space="preserve">Lihat. </w:t>
      </w:r>
      <w:r w:rsidRPr="0057345B">
        <w:rPr>
          <w:rFonts w:ascii="Times New Roman" w:hAnsi="Times New Roman"/>
          <w:sz w:val="20"/>
          <w:szCs w:val="20"/>
        </w:rPr>
        <w:t>Mujiburrahman, “</w:t>
      </w:r>
      <w:r w:rsidRPr="0057345B">
        <w:rPr>
          <w:rFonts w:ascii="Times New Roman" w:hAnsi="Times New Roman"/>
          <w:i/>
          <w:sz w:val="20"/>
          <w:szCs w:val="20"/>
        </w:rPr>
        <w:t>Analisis Wacana Dalam Kajian Agama</w:t>
      </w:r>
      <w:r w:rsidRPr="0057345B">
        <w:rPr>
          <w:rFonts w:ascii="Times New Roman" w:hAnsi="Times New Roman"/>
          <w:sz w:val="20"/>
          <w:szCs w:val="20"/>
        </w:rPr>
        <w:t>”, dalam bukunya</w:t>
      </w:r>
      <w:r>
        <w:rPr>
          <w:rFonts w:ascii="Times New Roman" w:hAnsi="Times New Roman"/>
          <w:sz w:val="20"/>
          <w:szCs w:val="20"/>
        </w:rPr>
        <w:t xml:space="preserve"> </w:t>
      </w:r>
      <w:r w:rsidRPr="0057345B">
        <w:rPr>
          <w:rFonts w:ascii="Times New Roman" w:hAnsi="Times New Roman"/>
          <w:i/>
          <w:sz w:val="20"/>
          <w:szCs w:val="20"/>
        </w:rPr>
        <w:t>Mengindonesiakan Islam: Representasi dan Ideologi</w:t>
      </w:r>
      <w:r w:rsidRPr="0057345B">
        <w:rPr>
          <w:rFonts w:ascii="Times New Roman" w:hAnsi="Times New Roman"/>
          <w:sz w:val="20"/>
          <w:szCs w:val="20"/>
        </w:rPr>
        <w:t>, (Yogyakart</w:t>
      </w:r>
      <w:r>
        <w:rPr>
          <w:rFonts w:ascii="Times New Roman" w:hAnsi="Times New Roman"/>
          <w:sz w:val="20"/>
          <w:szCs w:val="20"/>
        </w:rPr>
        <w:t xml:space="preserve">a: Pustaka Pelajar, 2008), h. </w:t>
      </w:r>
      <w:r w:rsidRPr="0057345B">
        <w:rPr>
          <w:rFonts w:ascii="Times New Roman" w:hAnsi="Times New Roman"/>
          <w:sz w:val="20"/>
          <w:szCs w:val="20"/>
        </w:rPr>
        <w:t>29.</w:t>
      </w:r>
    </w:p>
  </w:footnote>
  <w:footnote w:id="837">
    <w:p w:rsidR="00343B61" w:rsidRPr="000A7ADD" w:rsidRDefault="00343B61" w:rsidP="00343B61">
      <w:pPr>
        <w:autoSpaceDE w:val="0"/>
        <w:autoSpaceDN w:val="0"/>
        <w:adjustRightInd w:val="0"/>
        <w:spacing w:after="0" w:line="240" w:lineRule="auto"/>
        <w:ind w:firstLine="720"/>
        <w:jc w:val="both"/>
        <w:rPr>
          <w:rFonts w:ascii="Z@R72D2.tmp" w:hAnsi="Z@R72D2.tmp" w:cs="Z@R72D2.tmp"/>
        </w:rPr>
      </w:pPr>
      <w:r w:rsidRPr="00482638">
        <w:rPr>
          <w:rStyle w:val="FootnoteReference"/>
          <w:rFonts w:asciiTheme="majorBidi" w:hAnsiTheme="majorBidi" w:cstheme="majorBidi"/>
          <w:sz w:val="20"/>
          <w:szCs w:val="20"/>
        </w:rPr>
        <w:footnoteRef/>
      </w:r>
      <w:r w:rsidRPr="00482638">
        <w:rPr>
          <w:rFonts w:asciiTheme="majorBidi" w:hAnsiTheme="majorBidi" w:cstheme="majorBidi"/>
          <w:sz w:val="20"/>
          <w:szCs w:val="20"/>
        </w:rPr>
        <w:t xml:space="preserve"> </w:t>
      </w:r>
      <w:r>
        <w:rPr>
          <w:rFonts w:asciiTheme="majorBidi" w:hAnsiTheme="majorBidi" w:cstheme="majorBidi"/>
          <w:sz w:val="20"/>
          <w:szCs w:val="20"/>
        </w:rPr>
        <w:t>Lihat.</w:t>
      </w:r>
      <w:r w:rsidRPr="000A7ADD">
        <w:rPr>
          <w:rFonts w:asciiTheme="majorBidi" w:hAnsiTheme="majorBidi" w:cstheme="majorBidi"/>
          <w:sz w:val="20"/>
          <w:szCs w:val="20"/>
        </w:rPr>
        <w:t xml:space="preserve">Asrorun Ni’am Sholeh, </w:t>
      </w:r>
      <w:r w:rsidRPr="000A7ADD">
        <w:rPr>
          <w:rFonts w:asciiTheme="majorBidi" w:hAnsiTheme="majorBidi" w:cstheme="majorBidi"/>
          <w:i/>
          <w:iCs/>
          <w:sz w:val="20"/>
          <w:szCs w:val="20"/>
        </w:rPr>
        <w:t>Sadd add-Dzari’ah dan Aplikasinya dalam Fatwa Majelis Ulama Indonesia,</w:t>
      </w:r>
      <w:r w:rsidRPr="000A7ADD">
        <w:rPr>
          <w:rFonts w:asciiTheme="majorBidi" w:hAnsiTheme="majorBidi" w:cstheme="majorBidi"/>
          <w:sz w:val="20"/>
          <w:szCs w:val="20"/>
        </w:rPr>
        <w:t xml:space="preserve"> </w:t>
      </w:r>
      <w:r w:rsidRPr="000A7ADD">
        <w:rPr>
          <w:rFonts w:asciiTheme="majorBidi" w:hAnsiTheme="majorBidi" w:cstheme="majorBidi"/>
          <w:i/>
          <w:iCs/>
          <w:sz w:val="20"/>
          <w:szCs w:val="20"/>
        </w:rPr>
        <w:t>ibid</w:t>
      </w:r>
      <w:r w:rsidRPr="000A7ADD">
        <w:rPr>
          <w:rFonts w:asciiTheme="majorBidi" w:hAnsiTheme="majorBidi" w:cstheme="majorBidi"/>
          <w:sz w:val="20"/>
          <w:szCs w:val="20"/>
        </w:rPr>
        <w:t>, h.84-85</w:t>
      </w:r>
    </w:p>
  </w:footnote>
  <w:footnote w:id="838">
    <w:p w:rsidR="00343B61" w:rsidRPr="00891B53" w:rsidRDefault="00343B61" w:rsidP="00343B61">
      <w:pPr>
        <w:autoSpaceDE w:val="0"/>
        <w:autoSpaceDN w:val="0"/>
        <w:adjustRightInd w:val="0"/>
        <w:spacing w:after="0" w:line="240" w:lineRule="auto"/>
        <w:ind w:firstLine="720"/>
        <w:jc w:val="both"/>
        <w:rPr>
          <w:rFonts w:ascii="Z@R72D2.tmp" w:hAnsi="Z@R72D2.tmp" w:cs="Z@R72D2.tmp"/>
          <w:sz w:val="19"/>
          <w:szCs w:val="19"/>
        </w:rPr>
      </w:pPr>
      <w:r>
        <w:rPr>
          <w:rStyle w:val="FootnoteReference"/>
        </w:rPr>
        <w:footnoteRef/>
      </w:r>
      <w:r>
        <w:t xml:space="preserve"> </w:t>
      </w:r>
      <w:r>
        <w:rPr>
          <w:rFonts w:ascii="Z@R72D2.tmp" w:hAnsi="Z@R72D2.tmp" w:cs="Z@R72D2.tmp"/>
          <w:sz w:val="19"/>
          <w:szCs w:val="19"/>
        </w:rPr>
        <w:t xml:space="preserve">Mengenai hal ini, dapat dilihat hasil </w:t>
      </w:r>
      <w:r>
        <w:rPr>
          <w:rFonts w:ascii="Z@R72D6.tmp,Italic" w:hAnsi="Z@R72D6.tmp,Italic" w:cs="Z@R72D6.tmp,Italic"/>
          <w:i/>
          <w:iCs/>
          <w:sz w:val="19"/>
          <w:szCs w:val="19"/>
        </w:rPr>
        <w:t xml:space="preserve">survey </w:t>
      </w:r>
      <w:r>
        <w:rPr>
          <w:rFonts w:ascii="Z@R72D2.tmp" w:hAnsi="Z@R72D2.tmp" w:cs="Z@R72D2.tmp"/>
          <w:sz w:val="19"/>
          <w:szCs w:val="19"/>
        </w:rPr>
        <w:t xml:space="preserve">Litbang Media Indonesia terkait dengan tingkat penerimaan dan keterpengaruhan masyarakat, yang dipublkasikan pada 19 Desember 2003; Hasil </w:t>
      </w:r>
      <w:r>
        <w:rPr>
          <w:rFonts w:ascii="Z@R72D6.tmp,Italic" w:hAnsi="Z@R72D6.tmp,Italic" w:cs="Z@R72D6.tmp,Italic"/>
          <w:i/>
          <w:iCs/>
          <w:sz w:val="19"/>
          <w:szCs w:val="19"/>
        </w:rPr>
        <w:t xml:space="preserve">survey </w:t>
      </w:r>
      <w:r>
        <w:rPr>
          <w:rFonts w:ascii="Z@R72D2.tmp" w:hAnsi="Z@R72D2.tmp" w:cs="Z@R72D2.tmp"/>
          <w:sz w:val="19"/>
          <w:szCs w:val="19"/>
        </w:rPr>
        <w:t>tersebut menjelaskan bahwa sebanyak 54,58 % responden merasa mantap untuk mengikuti fatwa MUI.</w:t>
      </w:r>
    </w:p>
  </w:footnote>
  <w:footnote w:id="839">
    <w:p w:rsidR="00343B61" w:rsidRPr="00497221"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497221">
        <w:rPr>
          <w:rStyle w:val="FootnoteReference"/>
          <w:rFonts w:ascii="Times New Roman" w:hAnsi="Times New Roman" w:cs="Times New Roman"/>
          <w:sz w:val="20"/>
          <w:szCs w:val="20"/>
        </w:rPr>
        <w:footnoteRef/>
      </w:r>
      <w:r w:rsidRPr="00497221">
        <w:rPr>
          <w:rFonts w:ascii="Times New Roman" w:hAnsi="Times New Roman" w:cs="Times New Roman"/>
          <w:sz w:val="20"/>
          <w:szCs w:val="20"/>
        </w:rPr>
        <w:t xml:space="preserve">  J. N. D. Anderson, </w:t>
      </w:r>
      <w:r w:rsidRPr="00497221">
        <w:rPr>
          <w:rFonts w:ascii="Times New Roman" w:hAnsi="Times New Roman" w:cs="Times New Roman"/>
          <w:i/>
          <w:iCs/>
          <w:sz w:val="20"/>
          <w:szCs w:val="20"/>
        </w:rPr>
        <w:t>Islamic Law in the Modern World</w:t>
      </w:r>
      <w:r w:rsidRPr="00497221">
        <w:rPr>
          <w:rFonts w:ascii="Times New Roman" w:hAnsi="Times New Roman" w:cs="Times New Roman"/>
          <w:sz w:val="20"/>
          <w:szCs w:val="20"/>
        </w:rPr>
        <w:t>, ( New York: University Press, 1959),  h. 81-86</w:t>
      </w:r>
    </w:p>
  </w:footnote>
  <w:footnote w:id="840">
    <w:p w:rsidR="00343B61" w:rsidRPr="00497221"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497221">
        <w:rPr>
          <w:rStyle w:val="FootnoteReference"/>
          <w:rFonts w:ascii="Times New Roman" w:hAnsi="Times New Roman" w:cs="Times New Roman"/>
          <w:sz w:val="20"/>
          <w:szCs w:val="20"/>
        </w:rPr>
        <w:footnoteRef/>
      </w:r>
      <w:r w:rsidRPr="00497221">
        <w:rPr>
          <w:rFonts w:ascii="Times New Roman" w:hAnsi="Times New Roman" w:cs="Times New Roman"/>
          <w:sz w:val="20"/>
          <w:szCs w:val="20"/>
        </w:rPr>
        <w:t xml:space="preserve"> Deliar Noer, </w:t>
      </w:r>
      <w:r w:rsidRPr="00497221">
        <w:rPr>
          <w:rFonts w:ascii="Times New Roman" w:hAnsi="Times New Roman" w:cs="Times New Roman"/>
          <w:i/>
          <w:iCs/>
          <w:sz w:val="20"/>
          <w:szCs w:val="20"/>
        </w:rPr>
        <w:t>Gerakan Modern Islam di Indonesia 1900-1942</w:t>
      </w:r>
      <w:r w:rsidRPr="00497221">
        <w:rPr>
          <w:rFonts w:ascii="Times New Roman" w:hAnsi="Times New Roman" w:cs="Times New Roman"/>
          <w:sz w:val="20"/>
          <w:szCs w:val="20"/>
        </w:rPr>
        <w:t>, ( Jakarta: PT. Pustaka LP3ES Indonesia, 1995), h.  9.</w:t>
      </w:r>
    </w:p>
  </w:footnote>
  <w:footnote w:id="841">
    <w:p w:rsidR="00343B61" w:rsidRPr="00355F12" w:rsidRDefault="00343B61" w:rsidP="00343B61">
      <w:pPr>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EB1F39">
        <w:rPr>
          <w:rFonts w:ascii="Times New Roman" w:hAnsi="Times New Roman" w:cs="Times New Roman"/>
        </w:rPr>
        <w:t xml:space="preserve">Lihat. </w:t>
      </w:r>
      <w:r w:rsidRPr="00EB1F39">
        <w:rPr>
          <w:rFonts w:ascii="Times New Roman" w:hAnsi="Times New Roman" w:cs="Times New Roman"/>
          <w:bCs/>
          <w:sz w:val="20"/>
          <w:szCs w:val="20"/>
        </w:rPr>
        <w:t>Al Makin,</w:t>
      </w:r>
      <w:r w:rsidRPr="00EB1F39">
        <w:rPr>
          <w:rFonts w:ascii="Times New Roman" w:hAnsi="Times New Roman" w:cs="Times New Roman"/>
          <w:sz w:val="20"/>
          <w:szCs w:val="20"/>
        </w:rPr>
        <w:t xml:space="preserve"> Keulamaan, Kebangsaan, dan Kekinian: Catatan Kiprah Sosial Politik MUI, dalam: </w:t>
      </w:r>
      <w:r w:rsidRPr="00EB1F39">
        <w:rPr>
          <w:rFonts w:ascii="Times New Roman" w:hAnsi="Times New Roman" w:cs="Times New Roman"/>
          <w:i/>
          <w:sz w:val="20"/>
          <w:szCs w:val="20"/>
        </w:rPr>
        <w:t>Fatwa Majelis Ulama Indonesia  ( MUI) dalam Pespektif Hukum dan Undang-Undang</w:t>
      </w:r>
      <w:r w:rsidRPr="00EB1F39">
        <w:rPr>
          <w:rFonts w:ascii="Times New Roman" w:hAnsi="Times New Roman" w:cs="Times New Roman"/>
          <w:sz w:val="20"/>
          <w:szCs w:val="20"/>
        </w:rPr>
        <w:t>, ( Jakarta: Badan Litbang dan diklat Kementerian Agama RI Tahun 2012, h. 67</w:t>
      </w:r>
    </w:p>
  </w:footnote>
  <w:footnote w:id="842">
    <w:p w:rsidR="00343B61" w:rsidRPr="00F71448" w:rsidRDefault="00343B61" w:rsidP="00343B61">
      <w:pPr>
        <w:pStyle w:val="FootnoteText"/>
        <w:ind w:firstLine="720"/>
        <w:jc w:val="both"/>
        <w:rPr>
          <w:rFonts w:ascii="Times New Roman" w:hAnsi="Times New Roman" w:cs="Times New Roman"/>
        </w:rPr>
      </w:pPr>
      <w:r>
        <w:rPr>
          <w:rStyle w:val="FootnoteReference"/>
        </w:rPr>
        <w:footnoteRef/>
      </w:r>
      <w:r>
        <w:t xml:space="preserve"> </w:t>
      </w:r>
      <w:r w:rsidRPr="008B2A4F">
        <w:rPr>
          <w:rFonts w:ascii="Times New Roman" w:hAnsi="Times New Roman" w:cs="Times New Roman"/>
        </w:rPr>
        <w:t xml:space="preserve">Lihat. Rifyal Ka’bah, </w:t>
      </w:r>
      <w:r w:rsidRPr="008B2A4F">
        <w:rPr>
          <w:rFonts w:ascii="Times New Roman" w:hAnsi="Times New Roman" w:cs="Times New Roman"/>
          <w:i/>
        </w:rPr>
        <w:t>Hukum Islam di Indonesia</w:t>
      </w:r>
      <w:r w:rsidRPr="008B2A4F">
        <w:rPr>
          <w:rFonts w:ascii="Times New Roman" w:hAnsi="Times New Roman" w:cs="Times New Roman"/>
        </w:rPr>
        <w:t>,</w:t>
      </w:r>
      <w:r>
        <w:rPr>
          <w:rFonts w:ascii="Times New Roman" w:hAnsi="Times New Roman" w:cs="Times New Roman"/>
        </w:rPr>
        <w:t xml:space="preserve"> ( Jakarta: Universitas Yarsi, 1999),</w:t>
      </w:r>
      <w:r w:rsidRPr="008B2A4F">
        <w:rPr>
          <w:rFonts w:ascii="Times New Roman" w:hAnsi="Times New Roman" w:cs="Times New Roman"/>
        </w:rPr>
        <w:t xml:space="preserve"> </w:t>
      </w:r>
      <w:r>
        <w:rPr>
          <w:rFonts w:ascii="Times New Roman" w:hAnsi="Times New Roman" w:cs="Times New Roman"/>
        </w:rPr>
        <w:t xml:space="preserve">h. 60 </w:t>
      </w:r>
    </w:p>
  </w:footnote>
  <w:footnote w:id="843">
    <w:p w:rsidR="00343B61" w:rsidRPr="008B2A4F" w:rsidRDefault="00343B61" w:rsidP="00343B61">
      <w:pPr>
        <w:pStyle w:val="FootnoteText"/>
        <w:ind w:firstLine="720"/>
        <w:jc w:val="both"/>
        <w:rPr>
          <w:rFonts w:ascii="Times New Roman" w:hAnsi="Times New Roman" w:cs="Times New Roman"/>
        </w:rPr>
      </w:pPr>
      <w:r w:rsidRPr="008B2A4F">
        <w:rPr>
          <w:rStyle w:val="FootnoteReference"/>
          <w:rFonts w:ascii="Times New Roman" w:hAnsi="Times New Roman" w:cs="Times New Roman"/>
        </w:rPr>
        <w:footnoteRef/>
      </w:r>
      <w:r>
        <w:rPr>
          <w:rFonts w:ascii="Times New Roman" w:hAnsi="Times New Roman" w:cs="Times New Roman"/>
        </w:rPr>
        <w:t xml:space="preserve"> Lihat. </w:t>
      </w:r>
      <w:r w:rsidRPr="008B2A4F">
        <w:rPr>
          <w:rFonts w:ascii="Times New Roman" w:hAnsi="Times New Roman" w:cs="Times New Roman"/>
        </w:rPr>
        <w:t xml:space="preserve">Rifyal Ka’bah, </w:t>
      </w:r>
      <w:r w:rsidRPr="008B2A4F">
        <w:rPr>
          <w:rFonts w:ascii="Times New Roman" w:hAnsi="Times New Roman" w:cs="Times New Roman"/>
          <w:i/>
        </w:rPr>
        <w:t>Hukum Islam di Indonesia</w:t>
      </w:r>
      <w:r w:rsidRPr="008B2A4F">
        <w:rPr>
          <w:rFonts w:ascii="Times New Roman" w:hAnsi="Times New Roman" w:cs="Times New Roman"/>
        </w:rPr>
        <w:t>,</w:t>
      </w:r>
      <w:r>
        <w:rPr>
          <w:rFonts w:ascii="Times New Roman" w:hAnsi="Times New Roman" w:cs="Times New Roman"/>
        </w:rPr>
        <w:t>( Jakarta: Universitas Yarsi, 1999),</w:t>
      </w:r>
      <w:r w:rsidRPr="008B2A4F">
        <w:rPr>
          <w:rFonts w:ascii="Times New Roman" w:hAnsi="Times New Roman" w:cs="Times New Roman"/>
        </w:rPr>
        <w:t xml:space="preserve"> </w:t>
      </w:r>
      <w:r>
        <w:rPr>
          <w:rFonts w:ascii="Times New Roman" w:hAnsi="Times New Roman" w:cs="Times New Roman"/>
        </w:rPr>
        <w:t xml:space="preserve">h. </w:t>
      </w:r>
      <w:r w:rsidRPr="008B2A4F">
        <w:rPr>
          <w:rFonts w:ascii="Times New Roman" w:hAnsi="Times New Roman" w:cs="Times New Roman"/>
        </w:rPr>
        <w:t xml:space="preserve"> 61</w:t>
      </w:r>
    </w:p>
  </w:footnote>
  <w:footnote w:id="844">
    <w:p w:rsidR="00343B61" w:rsidRDefault="00343B61" w:rsidP="00343B61">
      <w:pPr>
        <w:pStyle w:val="FootnoteText"/>
        <w:ind w:firstLine="720"/>
        <w:jc w:val="both"/>
      </w:pPr>
      <w:r>
        <w:rPr>
          <w:rStyle w:val="FootnoteReference"/>
        </w:rPr>
        <w:footnoteRef/>
      </w:r>
      <w:r>
        <w:t xml:space="preserve"> </w:t>
      </w:r>
      <w:r w:rsidRPr="00355F12">
        <w:rPr>
          <w:rFonts w:ascii="Times New Roman" w:hAnsi="Times New Roman" w:cs="Times New Roman"/>
        </w:rPr>
        <w:t xml:space="preserve">Lihat. Ma’ruf Amin, dkk, </w:t>
      </w:r>
      <w:r w:rsidRPr="00355F12">
        <w:rPr>
          <w:rFonts w:ascii="Times New Roman" w:hAnsi="Times New Roman" w:cs="Times New Roman"/>
          <w:i/>
        </w:rPr>
        <w:t>Fatwa Majelis Ulama Indonesia Dalam Sorotan</w:t>
      </w:r>
      <w:r w:rsidRPr="00355F12">
        <w:rPr>
          <w:rFonts w:ascii="Times New Roman" w:hAnsi="Times New Roman" w:cs="Times New Roman"/>
        </w:rPr>
        <w:t>, ( Jakarta: Sekretariat Majel</w:t>
      </w:r>
      <w:r>
        <w:rPr>
          <w:rFonts w:ascii="Times New Roman" w:hAnsi="Times New Roman" w:cs="Times New Roman"/>
        </w:rPr>
        <w:t>is Ulama Indonesia, 2011), h. 344</w:t>
      </w:r>
    </w:p>
  </w:footnote>
  <w:footnote w:id="845">
    <w:p w:rsidR="00343B61" w:rsidRPr="00B934A1" w:rsidRDefault="00343B61" w:rsidP="00343B61">
      <w:pPr>
        <w:pStyle w:val="FootnoteText"/>
        <w:ind w:firstLine="720"/>
        <w:jc w:val="both"/>
        <w:rPr>
          <w:rFonts w:asciiTheme="majorBidi" w:hAnsiTheme="majorBidi" w:cstheme="majorBidi"/>
        </w:rPr>
      </w:pPr>
      <w:r w:rsidRPr="00B934A1">
        <w:rPr>
          <w:rStyle w:val="FootnoteReference"/>
          <w:rFonts w:asciiTheme="majorBidi" w:hAnsiTheme="majorBidi" w:cstheme="majorBidi"/>
        </w:rPr>
        <w:footnoteRef/>
      </w:r>
      <w:r w:rsidRPr="00B934A1">
        <w:rPr>
          <w:rFonts w:asciiTheme="majorBidi" w:hAnsiTheme="majorBidi" w:cstheme="majorBidi"/>
        </w:rPr>
        <w:t xml:space="preserve"> Lihat H.S. Prodjokusuma dkk, </w:t>
      </w:r>
      <w:r w:rsidRPr="00B934A1">
        <w:rPr>
          <w:rFonts w:asciiTheme="majorBidi" w:hAnsiTheme="majorBidi" w:cstheme="majorBidi"/>
          <w:i/>
        </w:rPr>
        <w:t>20 Tahun Majelis Ulama Indonesia</w:t>
      </w:r>
      <w:r w:rsidRPr="00B934A1">
        <w:rPr>
          <w:rFonts w:asciiTheme="majorBidi" w:hAnsiTheme="majorBidi" w:cstheme="majorBidi"/>
        </w:rPr>
        <w:t xml:space="preserve">, </w:t>
      </w:r>
      <w:r w:rsidRPr="00B934A1">
        <w:rPr>
          <w:rFonts w:asciiTheme="majorBidi" w:hAnsiTheme="majorBidi" w:cstheme="majorBidi"/>
          <w:i/>
          <w:iCs/>
        </w:rPr>
        <w:t>ibid</w:t>
      </w:r>
      <w:r w:rsidRPr="00B934A1">
        <w:rPr>
          <w:rFonts w:asciiTheme="majorBidi" w:hAnsiTheme="majorBidi" w:cstheme="majorBidi"/>
        </w:rPr>
        <w:t>, h. 28</w:t>
      </w:r>
    </w:p>
  </w:footnote>
  <w:footnote w:id="846">
    <w:p w:rsidR="00343B61" w:rsidRPr="00715F11" w:rsidRDefault="00343B61" w:rsidP="00343B61">
      <w:pPr>
        <w:pStyle w:val="FootnoteText"/>
        <w:ind w:firstLine="720"/>
        <w:jc w:val="both"/>
        <w:rPr>
          <w:rFonts w:asciiTheme="majorBidi" w:hAnsiTheme="majorBidi" w:cstheme="majorBidi"/>
        </w:rPr>
      </w:pPr>
      <w:r w:rsidRPr="00DD6D2D">
        <w:rPr>
          <w:rStyle w:val="FootnoteReference"/>
          <w:rFonts w:asciiTheme="majorBidi" w:hAnsiTheme="majorBidi" w:cstheme="majorBidi"/>
        </w:rPr>
        <w:footnoteRef/>
      </w:r>
      <w:r w:rsidRPr="00DD6D2D">
        <w:rPr>
          <w:rFonts w:asciiTheme="majorBidi" w:hAnsiTheme="majorBidi" w:cstheme="majorBidi"/>
        </w:rPr>
        <w:t xml:space="preserve"> </w:t>
      </w:r>
      <w:r w:rsidRPr="00BC12A7">
        <w:rPr>
          <w:rFonts w:asciiTheme="majorBidi" w:hAnsiTheme="majorBidi" w:cstheme="majorBidi"/>
        </w:rPr>
        <w:t>Lihat.</w:t>
      </w:r>
      <w:r>
        <w:t xml:space="preserve"> </w:t>
      </w:r>
      <w:r w:rsidRPr="00DD6D2D">
        <w:rPr>
          <w:rFonts w:asciiTheme="majorBidi" w:hAnsiTheme="majorBidi" w:cstheme="majorBidi"/>
        </w:rPr>
        <w:t xml:space="preserve">Muhammad Rasyid Ridha, </w:t>
      </w:r>
      <w:r w:rsidRPr="00DD6D2D">
        <w:rPr>
          <w:rFonts w:asciiTheme="majorBidi" w:hAnsiTheme="majorBidi" w:cstheme="majorBidi"/>
          <w:i/>
          <w:iCs/>
        </w:rPr>
        <w:t>Al-Khil</w:t>
      </w:r>
      <w:r w:rsidRPr="000B1266">
        <w:rPr>
          <w:rFonts w:asciiTheme="majorBidi" w:hAnsiTheme="majorBidi" w:cstheme="majorBidi"/>
          <w:i/>
          <w:iCs/>
          <w:spacing w:val="1"/>
          <w:lang w:val="fi-FI"/>
        </w:rPr>
        <w:t>ā</w:t>
      </w:r>
      <w:r w:rsidRPr="00DD6D2D">
        <w:rPr>
          <w:rFonts w:asciiTheme="majorBidi" w:hAnsiTheme="majorBidi" w:cstheme="majorBidi"/>
          <w:i/>
          <w:iCs/>
        </w:rPr>
        <w:t>fah</w:t>
      </w:r>
      <w:r w:rsidRPr="00DD6D2D">
        <w:rPr>
          <w:rFonts w:asciiTheme="majorBidi" w:hAnsiTheme="majorBidi" w:cstheme="majorBidi"/>
        </w:rPr>
        <w:t>, ( Kairo: Al-Zahra Lil ‘ilam al-Arabi, t.th), h. 22</w:t>
      </w:r>
    </w:p>
  </w:footnote>
  <w:footnote w:id="847">
    <w:p w:rsidR="00343B61" w:rsidRPr="0007311B" w:rsidRDefault="00343B61" w:rsidP="00343B61">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BC12A7">
        <w:rPr>
          <w:rFonts w:asciiTheme="majorBidi" w:hAnsiTheme="majorBidi" w:cstheme="majorBidi"/>
        </w:rPr>
        <w:t>Lihat.</w:t>
      </w:r>
      <w:r>
        <w:t xml:space="preserve"> </w:t>
      </w:r>
      <w:r w:rsidRPr="0007311B">
        <w:rPr>
          <w:rFonts w:asciiTheme="majorBidi" w:hAnsiTheme="majorBidi" w:cstheme="majorBidi"/>
        </w:rPr>
        <w:t>Abu Zakariya Yahya bi</w:t>
      </w:r>
      <w:r>
        <w:rPr>
          <w:rFonts w:asciiTheme="majorBidi" w:hAnsiTheme="majorBidi" w:cstheme="majorBidi"/>
        </w:rPr>
        <w:t>n Syaraf al-Nawaw</w:t>
      </w:r>
      <w:r w:rsidRPr="00914108">
        <w:rPr>
          <w:rFonts w:asciiTheme="majorBidi" w:hAnsiTheme="majorBidi" w:cstheme="majorBidi"/>
        </w:rPr>
        <w:t>ī</w:t>
      </w:r>
      <w:r>
        <w:rPr>
          <w:rFonts w:asciiTheme="majorBidi" w:hAnsiTheme="majorBidi" w:cstheme="majorBidi"/>
        </w:rPr>
        <w:t xml:space="preserve">, </w:t>
      </w:r>
      <w:r w:rsidRPr="0007311B">
        <w:rPr>
          <w:rFonts w:asciiTheme="majorBidi" w:hAnsiTheme="majorBidi" w:cstheme="majorBidi"/>
          <w:i/>
          <w:iCs/>
        </w:rPr>
        <w:t>Al-Minh</w:t>
      </w:r>
      <w:r w:rsidRPr="000B1266">
        <w:rPr>
          <w:rFonts w:asciiTheme="majorBidi" w:hAnsiTheme="majorBidi" w:cstheme="majorBidi"/>
          <w:i/>
          <w:iCs/>
          <w:spacing w:val="1"/>
          <w:lang w:val="fi-FI"/>
        </w:rPr>
        <w:t>ā</w:t>
      </w:r>
      <w:r w:rsidRPr="0007311B">
        <w:rPr>
          <w:rFonts w:asciiTheme="majorBidi" w:hAnsiTheme="majorBidi" w:cstheme="majorBidi"/>
          <w:i/>
          <w:iCs/>
        </w:rPr>
        <w:t xml:space="preserve">j Syarh </w:t>
      </w:r>
      <w:r w:rsidRPr="00D12D05">
        <w:rPr>
          <w:rFonts w:asciiTheme="majorBidi" w:hAnsiTheme="majorBidi" w:cstheme="majorBidi"/>
          <w:i/>
          <w:iCs/>
        </w:rPr>
        <w:t>Shohīh</w:t>
      </w:r>
      <w:r w:rsidRPr="0007311B">
        <w:rPr>
          <w:rFonts w:asciiTheme="majorBidi" w:hAnsiTheme="majorBidi" w:cstheme="majorBidi"/>
          <w:i/>
          <w:iCs/>
        </w:rPr>
        <w:t xml:space="preserve"> Muslim bin Hajj</w:t>
      </w:r>
      <w:r w:rsidRPr="000B1266">
        <w:rPr>
          <w:rFonts w:asciiTheme="majorBidi" w:hAnsiTheme="majorBidi" w:cstheme="majorBidi"/>
          <w:i/>
          <w:iCs/>
          <w:spacing w:val="1"/>
          <w:lang w:val="fi-FI"/>
        </w:rPr>
        <w:t>ā</w:t>
      </w:r>
      <w:r w:rsidRPr="0007311B">
        <w:rPr>
          <w:rFonts w:asciiTheme="majorBidi" w:hAnsiTheme="majorBidi" w:cstheme="majorBidi"/>
          <w:i/>
          <w:iCs/>
        </w:rPr>
        <w:t>j</w:t>
      </w:r>
      <w:r w:rsidRPr="0007311B">
        <w:rPr>
          <w:rFonts w:asciiTheme="majorBidi" w:hAnsiTheme="majorBidi" w:cstheme="majorBidi"/>
        </w:rPr>
        <w:t xml:space="preserve">, ( Bairut: </w:t>
      </w:r>
      <w:r>
        <w:rPr>
          <w:rFonts w:asciiTheme="majorBidi" w:hAnsiTheme="majorBidi" w:cstheme="majorBidi"/>
        </w:rPr>
        <w:t>Dār</w:t>
      </w:r>
      <w:r w:rsidRPr="0007311B">
        <w:rPr>
          <w:rFonts w:asciiTheme="majorBidi" w:hAnsiTheme="majorBidi" w:cstheme="majorBidi"/>
        </w:rPr>
        <w:t xml:space="preserve">Ihya Turats al-Arabi, 1392 H), cet II, jilid 12, h. 223  </w:t>
      </w:r>
    </w:p>
  </w:footnote>
  <w:footnote w:id="848">
    <w:p w:rsidR="00343B61" w:rsidRPr="00861563" w:rsidRDefault="00343B61" w:rsidP="00343B61">
      <w:pPr>
        <w:pStyle w:val="FootnoteText"/>
        <w:ind w:firstLine="720"/>
        <w:jc w:val="both"/>
        <w:rPr>
          <w:rFonts w:asciiTheme="majorBidi" w:hAnsiTheme="majorBidi" w:cstheme="majorBidi"/>
        </w:rPr>
      </w:pPr>
      <w:r w:rsidRPr="00AE0306">
        <w:rPr>
          <w:rStyle w:val="FootnoteReference"/>
          <w:rFonts w:asciiTheme="majorBidi" w:hAnsiTheme="majorBidi" w:cstheme="majorBidi"/>
        </w:rPr>
        <w:footnoteRef/>
      </w:r>
      <w:r w:rsidRPr="00AE0306">
        <w:rPr>
          <w:rFonts w:asciiTheme="majorBidi" w:hAnsiTheme="majorBidi" w:cstheme="majorBidi"/>
        </w:rPr>
        <w:t xml:space="preserve"> </w:t>
      </w:r>
      <w:r w:rsidRPr="00BC12A7">
        <w:rPr>
          <w:rFonts w:asciiTheme="majorBidi" w:hAnsiTheme="majorBidi" w:cstheme="majorBidi"/>
        </w:rPr>
        <w:t>Lihat.</w:t>
      </w:r>
      <w:r>
        <w:t xml:space="preserve"> </w:t>
      </w:r>
      <w:r w:rsidRPr="00AE0306">
        <w:rPr>
          <w:rFonts w:asciiTheme="majorBidi" w:hAnsiTheme="majorBidi" w:cstheme="majorBidi"/>
        </w:rPr>
        <w:t>Ahmad bin Muhammad Bin Al-Mahdi Al-Hasani Al-Fas</w:t>
      </w:r>
      <w:r w:rsidRPr="00914108">
        <w:rPr>
          <w:rFonts w:asciiTheme="majorBidi" w:hAnsiTheme="majorBidi" w:cstheme="majorBidi"/>
        </w:rPr>
        <w:t>ī</w:t>
      </w:r>
      <w:r w:rsidRPr="00AE0306">
        <w:rPr>
          <w:rFonts w:asciiTheme="majorBidi" w:hAnsiTheme="majorBidi" w:cstheme="majorBidi"/>
        </w:rPr>
        <w:t xml:space="preserve">, </w:t>
      </w:r>
      <w:r w:rsidRPr="00AE0306">
        <w:rPr>
          <w:rFonts w:asciiTheme="majorBidi" w:hAnsiTheme="majorBidi" w:cstheme="majorBidi"/>
          <w:i/>
          <w:iCs/>
        </w:rPr>
        <w:t>Al-Bahr Al-Mad</w:t>
      </w:r>
      <w:r w:rsidRPr="00D12D05">
        <w:rPr>
          <w:rFonts w:asciiTheme="majorBidi" w:hAnsiTheme="majorBidi" w:cstheme="majorBidi"/>
          <w:i/>
          <w:iCs/>
        </w:rPr>
        <w:t>ī</w:t>
      </w:r>
      <w:r w:rsidRPr="00AE0306">
        <w:rPr>
          <w:rFonts w:asciiTheme="majorBidi" w:hAnsiTheme="majorBidi" w:cstheme="majorBidi"/>
          <w:i/>
          <w:iCs/>
        </w:rPr>
        <w:t>d</w:t>
      </w:r>
      <w:r w:rsidRPr="00AE0306">
        <w:rPr>
          <w:rFonts w:asciiTheme="majorBidi" w:hAnsiTheme="majorBidi" w:cstheme="majorBidi"/>
        </w:rPr>
        <w:t xml:space="preserve">, ( Bairut: </w:t>
      </w:r>
      <w:r>
        <w:rPr>
          <w:rFonts w:asciiTheme="majorBidi" w:hAnsiTheme="majorBidi" w:cstheme="majorBidi"/>
        </w:rPr>
        <w:t xml:space="preserve">Dār </w:t>
      </w:r>
      <w:r w:rsidRPr="00AE0306">
        <w:rPr>
          <w:rFonts w:asciiTheme="majorBidi" w:hAnsiTheme="majorBidi" w:cstheme="majorBidi"/>
        </w:rPr>
        <w:t>Al-Kutub Al-Ilmiyah, 2002 M/ 1423 H), cet II, Juz  II. h. 85</w:t>
      </w:r>
    </w:p>
  </w:footnote>
  <w:footnote w:id="849">
    <w:p w:rsidR="00343B61" w:rsidRDefault="00343B61" w:rsidP="00343B61">
      <w:pPr>
        <w:pStyle w:val="FootnoteText"/>
        <w:ind w:firstLine="720"/>
      </w:pPr>
      <w:r>
        <w:rPr>
          <w:rStyle w:val="FootnoteReference"/>
        </w:rPr>
        <w:footnoteRef/>
      </w:r>
      <w:r>
        <w:t xml:space="preserve"> </w:t>
      </w:r>
      <w:r w:rsidRPr="00BC12A7">
        <w:rPr>
          <w:rFonts w:asciiTheme="majorBidi" w:hAnsiTheme="majorBidi" w:cstheme="majorBidi"/>
        </w:rPr>
        <w:t>Lihat.</w:t>
      </w:r>
      <w:r>
        <w:t xml:space="preserve"> </w:t>
      </w:r>
      <w:r w:rsidRPr="0000215D">
        <w:rPr>
          <w:rFonts w:asciiTheme="majorBidi" w:hAnsiTheme="majorBidi" w:cstheme="majorBidi"/>
        </w:rPr>
        <w:t xml:space="preserve">Depag RI, </w:t>
      </w:r>
      <w:r w:rsidRPr="0000215D">
        <w:rPr>
          <w:rFonts w:asciiTheme="majorBidi" w:hAnsiTheme="majorBidi" w:cstheme="majorBidi"/>
          <w:i/>
          <w:iCs/>
        </w:rPr>
        <w:t>Al-Quran dan Terjamahannya</w:t>
      </w:r>
      <w:r w:rsidRPr="0000215D">
        <w:rPr>
          <w:rFonts w:asciiTheme="majorBidi" w:hAnsiTheme="majorBidi" w:cstheme="majorBidi"/>
        </w:rPr>
        <w:t xml:space="preserve">, </w:t>
      </w:r>
      <w:r w:rsidRPr="005D1608">
        <w:rPr>
          <w:rFonts w:asciiTheme="majorBidi" w:hAnsiTheme="majorBidi" w:cstheme="majorBidi"/>
          <w:i/>
          <w:iCs/>
        </w:rPr>
        <w:t>Ibid</w:t>
      </w:r>
      <w:r>
        <w:rPr>
          <w:rFonts w:asciiTheme="majorBidi" w:hAnsiTheme="majorBidi" w:cstheme="majorBidi"/>
        </w:rPr>
        <w:t>,  h. 128</w:t>
      </w:r>
    </w:p>
  </w:footnote>
  <w:footnote w:id="850">
    <w:p w:rsidR="00343B61" w:rsidRPr="0007311B" w:rsidRDefault="00343B61" w:rsidP="00343B61">
      <w:pPr>
        <w:pStyle w:val="FootnoteText"/>
        <w:ind w:firstLine="720"/>
        <w:jc w:val="both"/>
        <w:rPr>
          <w:rFonts w:asciiTheme="majorBidi" w:hAnsiTheme="majorBidi" w:cstheme="majorBidi"/>
        </w:rPr>
      </w:pPr>
      <w:r w:rsidRPr="0007311B">
        <w:rPr>
          <w:rStyle w:val="FootnoteReference"/>
          <w:rFonts w:asciiTheme="majorBidi" w:hAnsiTheme="majorBidi" w:cstheme="majorBidi"/>
        </w:rPr>
        <w:footnoteRef/>
      </w:r>
      <w:r w:rsidRPr="0007311B">
        <w:rPr>
          <w:rFonts w:asciiTheme="majorBidi" w:hAnsiTheme="majorBidi" w:cstheme="majorBidi"/>
        </w:rPr>
        <w:t xml:space="preserve"> </w:t>
      </w:r>
      <w:r w:rsidRPr="00BC12A7">
        <w:rPr>
          <w:rFonts w:asciiTheme="majorBidi" w:hAnsiTheme="majorBidi" w:cstheme="majorBidi"/>
        </w:rPr>
        <w:t>Lihat.</w:t>
      </w:r>
      <w:r>
        <w:t xml:space="preserve"> </w:t>
      </w:r>
      <w:r w:rsidRPr="0007311B">
        <w:rPr>
          <w:rFonts w:asciiTheme="majorBidi" w:hAnsiTheme="majorBidi" w:cstheme="majorBidi"/>
        </w:rPr>
        <w:t xml:space="preserve">Imam </w:t>
      </w:r>
      <w:r w:rsidRPr="00B41525">
        <w:rPr>
          <w:rFonts w:asciiTheme="majorBidi" w:hAnsiTheme="majorBidi" w:cstheme="majorBidi"/>
        </w:rPr>
        <w:t xml:space="preserve">Al-Mawardi, </w:t>
      </w:r>
      <w:r w:rsidRPr="00B41525">
        <w:rPr>
          <w:rFonts w:asciiTheme="majorBidi" w:hAnsiTheme="majorBidi" w:cstheme="majorBidi"/>
          <w:i/>
          <w:iCs/>
        </w:rPr>
        <w:t>Al-Ahkām al-Sulthāniyyah</w:t>
      </w:r>
      <w:r w:rsidRPr="0007311B">
        <w:rPr>
          <w:rFonts w:asciiTheme="majorBidi" w:hAnsiTheme="majorBidi" w:cstheme="majorBidi"/>
          <w:i/>
          <w:iCs/>
        </w:rPr>
        <w:t xml:space="preserve">, </w:t>
      </w:r>
      <w:r>
        <w:rPr>
          <w:rFonts w:asciiTheme="majorBidi" w:hAnsiTheme="majorBidi" w:cstheme="majorBidi"/>
        </w:rPr>
        <w:t xml:space="preserve">(t.t: </w:t>
      </w:r>
      <w:r w:rsidRPr="0007311B">
        <w:rPr>
          <w:rFonts w:asciiTheme="majorBidi" w:hAnsiTheme="majorBidi" w:cstheme="majorBidi"/>
        </w:rPr>
        <w:t>Maktabah Syamilah</w:t>
      </w:r>
      <w:r>
        <w:rPr>
          <w:rFonts w:asciiTheme="majorBidi" w:hAnsiTheme="majorBidi" w:cstheme="majorBidi"/>
        </w:rPr>
        <w:t>, Versi 3</w:t>
      </w:r>
      <w:r w:rsidRPr="0007311B">
        <w:rPr>
          <w:rFonts w:asciiTheme="majorBidi" w:hAnsiTheme="majorBidi" w:cstheme="majorBidi"/>
        </w:rPr>
        <w:t>), h. 81</w:t>
      </w:r>
    </w:p>
  </w:footnote>
  <w:footnote w:id="851">
    <w:p w:rsidR="00343B61" w:rsidRPr="00E76F3E" w:rsidRDefault="00343B61" w:rsidP="00343B61">
      <w:pPr>
        <w:pStyle w:val="FootnoteText"/>
        <w:ind w:firstLine="720"/>
        <w:jc w:val="both"/>
        <w:rPr>
          <w:rFonts w:asciiTheme="majorBidi" w:hAnsiTheme="majorBidi" w:cstheme="majorBidi"/>
        </w:rPr>
      </w:pPr>
      <w:r>
        <w:rPr>
          <w:rStyle w:val="FootnoteReference"/>
        </w:rPr>
        <w:footnoteRef/>
      </w:r>
      <w:r>
        <w:t xml:space="preserve"> </w:t>
      </w:r>
      <w:r w:rsidRPr="003C34B3">
        <w:rPr>
          <w:rFonts w:asciiTheme="majorBidi" w:hAnsiTheme="majorBidi" w:cstheme="majorBidi"/>
        </w:rPr>
        <w:t>Lihat</w:t>
      </w:r>
      <w:r>
        <w:rPr>
          <w:rFonts w:asciiTheme="majorBidi" w:hAnsiTheme="majorBidi" w:cstheme="majorBidi"/>
        </w:rPr>
        <w:t xml:space="preserve">. </w:t>
      </w:r>
      <w:r w:rsidRPr="00E76F3E">
        <w:rPr>
          <w:rFonts w:asciiTheme="majorBidi" w:hAnsiTheme="majorBidi" w:cstheme="majorBidi"/>
          <w:lang w:val="sv-SE"/>
        </w:rPr>
        <w:t xml:space="preserve">M. Atho Mudzhar, Fatwa MUI Sebagai Obyek Kajian Hukum Islam Dan Sumber Sejarah Sosial, dalam: </w:t>
      </w:r>
      <w:r w:rsidRPr="00E76F3E">
        <w:rPr>
          <w:rFonts w:asciiTheme="majorBidi" w:hAnsiTheme="majorBidi" w:cstheme="majorBidi"/>
          <w:i/>
          <w:iCs/>
        </w:rPr>
        <w:t>Fatwa Majelis Ulama Indonsia dalam Perspektif Hukum dan Perundang-Undangan</w:t>
      </w:r>
      <w:r w:rsidRPr="00E76F3E">
        <w:rPr>
          <w:rFonts w:asciiTheme="majorBidi" w:hAnsiTheme="majorBidi" w:cstheme="majorBidi"/>
        </w:rPr>
        <w:t>, ( Jakarta: Badan Litbang da Diklat Kem</w:t>
      </w:r>
      <w:r>
        <w:rPr>
          <w:rFonts w:asciiTheme="majorBidi" w:hAnsiTheme="majorBidi" w:cstheme="majorBidi"/>
        </w:rPr>
        <w:t>enterian Agama RI, 2012), h. xxv</w:t>
      </w:r>
    </w:p>
  </w:footnote>
  <w:footnote w:id="852">
    <w:p w:rsidR="00343B61" w:rsidRDefault="00343B61" w:rsidP="00343B61">
      <w:pPr>
        <w:pStyle w:val="FootnoteText"/>
        <w:ind w:firstLine="720"/>
        <w:jc w:val="both"/>
      </w:pPr>
      <w:r>
        <w:rPr>
          <w:rStyle w:val="FootnoteReference"/>
        </w:rPr>
        <w:footnoteRef/>
      </w:r>
      <w:r>
        <w:t xml:space="preserve"> </w:t>
      </w:r>
      <w:r w:rsidRPr="003A659F">
        <w:rPr>
          <w:rFonts w:asciiTheme="majorBidi" w:hAnsiTheme="majorBidi" w:cstheme="majorBidi"/>
        </w:rPr>
        <w:t>Lihat. Ma’ruf Amin, dkk</w:t>
      </w:r>
      <w:r>
        <w:rPr>
          <w:rFonts w:asciiTheme="majorBidi" w:hAnsiTheme="majorBidi" w:cstheme="majorBidi"/>
        </w:rPr>
        <w:t>,</w:t>
      </w:r>
      <w:r w:rsidRPr="003A659F">
        <w:rPr>
          <w:rFonts w:asciiTheme="majorBidi" w:hAnsiTheme="majorBidi" w:cstheme="majorBidi"/>
        </w:rPr>
        <w:t xml:space="preserve"> </w:t>
      </w:r>
      <w:r w:rsidRPr="00D67616">
        <w:rPr>
          <w:rFonts w:asciiTheme="majorBidi" w:hAnsiTheme="majorBidi" w:cstheme="majorBidi"/>
          <w:i/>
          <w:iCs/>
        </w:rPr>
        <w:t>Himpunan Fatwa MUI Sejak 1975</w:t>
      </w:r>
      <w:r w:rsidRPr="003A659F">
        <w:rPr>
          <w:rFonts w:asciiTheme="majorBidi" w:hAnsiTheme="majorBidi" w:cstheme="majorBidi"/>
        </w:rPr>
        <w:t>, ( Jakarta: Erlangga, 2011), h. xii-xx.</w:t>
      </w:r>
    </w:p>
  </w:footnote>
  <w:footnote w:id="853">
    <w:p w:rsidR="00343B61" w:rsidRPr="00BC02F1" w:rsidRDefault="00343B61" w:rsidP="00343B61">
      <w:pPr>
        <w:pStyle w:val="FootnoteText"/>
        <w:ind w:firstLine="720"/>
        <w:jc w:val="both"/>
        <w:rPr>
          <w:rFonts w:asciiTheme="majorBidi" w:hAnsiTheme="majorBidi" w:cstheme="majorBidi"/>
        </w:rPr>
      </w:pPr>
      <w:r w:rsidRPr="00BC02F1">
        <w:rPr>
          <w:rStyle w:val="FootnoteReference"/>
          <w:rFonts w:asciiTheme="majorBidi" w:hAnsiTheme="majorBidi" w:cstheme="majorBidi"/>
        </w:rPr>
        <w:footnoteRef/>
      </w:r>
      <w:r w:rsidRPr="00BC02F1">
        <w:rPr>
          <w:rFonts w:asciiTheme="majorBidi" w:hAnsiTheme="majorBidi" w:cstheme="majorBidi"/>
        </w:rPr>
        <w:t xml:space="preserve"> </w:t>
      </w:r>
      <w:r w:rsidRPr="003C34B3">
        <w:rPr>
          <w:rFonts w:asciiTheme="majorBidi" w:hAnsiTheme="majorBidi" w:cstheme="majorBidi"/>
        </w:rPr>
        <w:t>Lihat</w:t>
      </w:r>
      <w:r>
        <w:rPr>
          <w:rFonts w:asciiTheme="majorBidi" w:hAnsiTheme="majorBidi" w:cstheme="majorBidi"/>
        </w:rPr>
        <w:t xml:space="preserve">. </w:t>
      </w:r>
      <w:r w:rsidRPr="00BC02F1">
        <w:rPr>
          <w:rFonts w:asciiTheme="majorBidi" w:hAnsiTheme="majorBidi" w:cstheme="majorBidi"/>
        </w:rPr>
        <w:t xml:space="preserve">Ma’ruf Amin, </w:t>
      </w:r>
      <w:r w:rsidRPr="00BC02F1">
        <w:rPr>
          <w:rFonts w:asciiTheme="majorBidi" w:hAnsiTheme="majorBidi" w:cstheme="majorBidi"/>
          <w:i/>
          <w:iCs/>
        </w:rPr>
        <w:t>Fatwa dan Perubahan Sosail</w:t>
      </w:r>
      <w:r w:rsidRPr="00BC02F1">
        <w:rPr>
          <w:rFonts w:asciiTheme="majorBidi" w:hAnsiTheme="majorBidi" w:cstheme="majorBidi"/>
        </w:rPr>
        <w:t xml:space="preserve">, dalam </w:t>
      </w:r>
      <w:r w:rsidRPr="00BC02F1">
        <w:rPr>
          <w:rFonts w:asciiTheme="majorBidi" w:hAnsiTheme="majorBidi" w:cstheme="majorBidi"/>
          <w:i/>
          <w:iCs/>
        </w:rPr>
        <w:t xml:space="preserve">Fatwa-fatwa masalah Pernikahan dan Keluarga, </w:t>
      </w:r>
      <w:r w:rsidRPr="00BC02F1">
        <w:rPr>
          <w:rFonts w:asciiTheme="majorBidi" w:hAnsiTheme="majorBidi" w:cstheme="majorBidi"/>
        </w:rPr>
        <w:t>( Jakarta: Elsas, 2008), h. xix</w:t>
      </w:r>
    </w:p>
  </w:footnote>
  <w:footnote w:id="854">
    <w:p w:rsidR="00343B61" w:rsidRPr="00BC02F1" w:rsidRDefault="00343B61" w:rsidP="00343B61">
      <w:pPr>
        <w:pStyle w:val="FootnoteText"/>
        <w:ind w:firstLine="720"/>
        <w:jc w:val="both"/>
        <w:rPr>
          <w:rFonts w:asciiTheme="majorBidi" w:hAnsiTheme="majorBidi" w:cstheme="majorBidi"/>
        </w:rPr>
      </w:pPr>
      <w:r w:rsidRPr="00BC02F1">
        <w:rPr>
          <w:rStyle w:val="FootnoteReference"/>
          <w:rFonts w:asciiTheme="majorBidi" w:hAnsiTheme="majorBidi" w:cstheme="majorBidi"/>
        </w:rPr>
        <w:footnoteRef/>
      </w:r>
      <w:r w:rsidRPr="00BC02F1">
        <w:rPr>
          <w:rFonts w:asciiTheme="majorBidi" w:hAnsiTheme="majorBidi" w:cstheme="majorBidi"/>
        </w:rPr>
        <w:t xml:space="preserve"> Lihat, J.N.D. Anderson, </w:t>
      </w:r>
      <w:r w:rsidRPr="00BC02F1">
        <w:rPr>
          <w:rFonts w:asciiTheme="majorBidi" w:hAnsiTheme="majorBidi" w:cstheme="majorBidi"/>
          <w:i/>
          <w:iCs/>
        </w:rPr>
        <w:t>Islamic Law in</w:t>
      </w:r>
      <w:r>
        <w:rPr>
          <w:rFonts w:asciiTheme="majorBidi" w:hAnsiTheme="majorBidi" w:cstheme="majorBidi"/>
          <w:i/>
          <w:iCs/>
        </w:rPr>
        <w:t xml:space="preserve"> the</w:t>
      </w:r>
      <w:r w:rsidRPr="00BC02F1">
        <w:rPr>
          <w:rFonts w:asciiTheme="majorBidi" w:hAnsiTheme="majorBidi" w:cstheme="majorBidi"/>
          <w:i/>
          <w:iCs/>
        </w:rPr>
        <w:t xml:space="preserve"> Modern World</w:t>
      </w:r>
      <w:r w:rsidRPr="00BC02F1">
        <w:rPr>
          <w:rFonts w:asciiTheme="majorBidi" w:hAnsiTheme="majorBidi" w:cstheme="majorBidi"/>
        </w:rPr>
        <w:t>, alih bahasa oleh Machnun Husain</w:t>
      </w:r>
      <w:r>
        <w:rPr>
          <w:rFonts w:asciiTheme="majorBidi" w:hAnsiTheme="majorBidi" w:cstheme="majorBidi"/>
        </w:rPr>
        <w:t xml:space="preserve"> </w:t>
      </w:r>
      <w:r w:rsidRPr="00BC02F1">
        <w:rPr>
          <w:rFonts w:asciiTheme="majorBidi" w:hAnsiTheme="majorBidi" w:cstheme="majorBidi"/>
        </w:rPr>
        <w:t>dengan judul : Hukum Islam di Dunia Modern (Get. I; Surabaya : Amar Press, 1991), h, 42</w:t>
      </w:r>
    </w:p>
  </w:footnote>
  <w:footnote w:id="855">
    <w:p w:rsidR="00343B61" w:rsidRPr="00BC02F1" w:rsidRDefault="00343B61" w:rsidP="00343B61">
      <w:pPr>
        <w:pStyle w:val="FootnoteText"/>
        <w:ind w:firstLine="720"/>
        <w:jc w:val="both"/>
        <w:rPr>
          <w:rFonts w:asciiTheme="majorBidi" w:hAnsiTheme="majorBidi" w:cstheme="majorBidi"/>
        </w:rPr>
      </w:pPr>
      <w:r w:rsidRPr="00BC02F1">
        <w:rPr>
          <w:rStyle w:val="FootnoteReference"/>
          <w:rFonts w:asciiTheme="majorBidi" w:hAnsiTheme="majorBidi" w:cstheme="majorBidi"/>
        </w:rPr>
        <w:footnoteRef/>
      </w:r>
      <w:r w:rsidRPr="00BC02F1">
        <w:rPr>
          <w:rFonts w:asciiTheme="majorBidi" w:hAnsiTheme="majorBidi" w:cstheme="majorBidi"/>
        </w:rPr>
        <w:t xml:space="preserve"> </w:t>
      </w:r>
      <w:r w:rsidRPr="003C34B3">
        <w:rPr>
          <w:rFonts w:asciiTheme="majorBidi" w:hAnsiTheme="majorBidi" w:cstheme="majorBidi"/>
        </w:rPr>
        <w:t>Lihat</w:t>
      </w:r>
      <w:r>
        <w:rPr>
          <w:rFonts w:asciiTheme="majorBidi" w:hAnsiTheme="majorBidi" w:cstheme="majorBidi"/>
        </w:rPr>
        <w:t xml:space="preserve">. </w:t>
      </w:r>
      <w:r w:rsidRPr="00BC02F1">
        <w:rPr>
          <w:rFonts w:asciiTheme="majorBidi" w:hAnsiTheme="majorBidi" w:cstheme="majorBidi"/>
        </w:rPr>
        <w:t xml:space="preserve">Ma’ruf Amin, </w:t>
      </w:r>
      <w:r w:rsidRPr="00BC02F1">
        <w:rPr>
          <w:rFonts w:asciiTheme="majorBidi" w:hAnsiTheme="majorBidi" w:cstheme="majorBidi"/>
          <w:i/>
          <w:iCs/>
        </w:rPr>
        <w:t>Fatwa dan Perubahan Sosail</w:t>
      </w:r>
      <w:r w:rsidRPr="00BC02F1">
        <w:rPr>
          <w:rFonts w:asciiTheme="majorBidi" w:hAnsiTheme="majorBidi" w:cstheme="majorBidi"/>
        </w:rPr>
        <w:t xml:space="preserve">, dalam </w:t>
      </w:r>
      <w:r w:rsidRPr="00BC02F1">
        <w:rPr>
          <w:rFonts w:asciiTheme="majorBidi" w:hAnsiTheme="majorBidi" w:cstheme="majorBidi"/>
          <w:i/>
          <w:iCs/>
        </w:rPr>
        <w:t xml:space="preserve">Fatwa-fatwa masalah Pernikahan dan Keluarga, </w:t>
      </w:r>
      <w:r w:rsidRPr="00BC02F1">
        <w:rPr>
          <w:rFonts w:asciiTheme="majorBidi" w:hAnsiTheme="majorBidi" w:cstheme="majorBidi"/>
        </w:rPr>
        <w:t>( Jakarta: Elsas, 2008), h. xviii</w:t>
      </w:r>
    </w:p>
  </w:footnote>
  <w:footnote w:id="856">
    <w:p w:rsidR="00343B61" w:rsidRPr="00BC02F1" w:rsidRDefault="00343B61" w:rsidP="00343B61">
      <w:pPr>
        <w:pStyle w:val="FootnoteText"/>
        <w:ind w:firstLine="720"/>
        <w:jc w:val="both"/>
        <w:rPr>
          <w:rFonts w:asciiTheme="majorBidi" w:hAnsiTheme="majorBidi" w:cstheme="majorBidi"/>
        </w:rPr>
      </w:pPr>
      <w:r w:rsidRPr="00BC02F1">
        <w:rPr>
          <w:rStyle w:val="FootnoteReference"/>
          <w:rFonts w:asciiTheme="majorBidi" w:hAnsiTheme="majorBidi" w:cstheme="majorBidi"/>
        </w:rPr>
        <w:footnoteRef/>
      </w:r>
      <w:r w:rsidRPr="00BC02F1">
        <w:rPr>
          <w:rFonts w:asciiTheme="majorBidi" w:hAnsiTheme="majorBidi" w:cstheme="majorBidi"/>
        </w:rPr>
        <w:t xml:space="preserve"> </w:t>
      </w:r>
      <w:r w:rsidRPr="003C34B3">
        <w:rPr>
          <w:rFonts w:asciiTheme="majorBidi" w:hAnsiTheme="majorBidi" w:cstheme="majorBidi"/>
        </w:rPr>
        <w:t>Lihat</w:t>
      </w:r>
      <w:r>
        <w:rPr>
          <w:rFonts w:asciiTheme="majorBidi" w:hAnsiTheme="majorBidi" w:cstheme="majorBidi"/>
        </w:rPr>
        <w:t xml:space="preserve">. </w:t>
      </w:r>
      <w:r w:rsidRPr="00BC02F1">
        <w:rPr>
          <w:rFonts w:asciiTheme="majorBidi" w:hAnsiTheme="majorBidi" w:cstheme="majorBidi"/>
        </w:rPr>
        <w:t xml:space="preserve">Asrarun Ni’am Sholeh, </w:t>
      </w:r>
      <w:r w:rsidRPr="00BC02F1">
        <w:rPr>
          <w:rFonts w:asciiTheme="majorBidi" w:hAnsiTheme="majorBidi" w:cstheme="majorBidi"/>
          <w:i/>
          <w:iCs/>
        </w:rPr>
        <w:t xml:space="preserve">Fatwa-fatwa masalah Pernikahan dan Keluarga, </w:t>
      </w:r>
      <w:r w:rsidRPr="00BC02F1">
        <w:rPr>
          <w:rFonts w:asciiTheme="majorBidi" w:hAnsiTheme="majorBidi" w:cstheme="majorBidi"/>
        </w:rPr>
        <w:t>( Jakarta: Elsas, 2008), h. v</w:t>
      </w:r>
    </w:p>
  </w:footnote>
  <w:footnote w:id="857">
    <w:p w:rsidR="00343B61" w:rsidRPr="00C21FC5" w:rsidRDefault="00343B61" w:rsidP="00343B61">
      <w:pPr>
        <w:pStyle w:val="FootnoteText"/>
        <w:ind w:firstLine="720"/>
        <w:jc w:val="both"/>
        <w:rPr>
          <w:rFonts w:asciiTheme="majorBidi" w:hAnsiTheme="majorBidi" w:cstheme="majorBidi"/>
        </w:rPr>
      </w:pPr>
      <w:r w:rsidRPr="00C21FC5">
        <w:rPr>
          <w:rStyle w:val="FootnoteReference"/>
          <w:rFonts w:asciiTheme="majorBidi" w:hAnsiTheme="majorBidi" w:cstheme="majorBidi"/>
        </w:rPr>
        <w:footnoteRef/>
      </w:r>
      <w:r w:rsidRPr="00C21FC5">
        <w:rPr>
          <w:rFonts w:asciiTheme="majorBidi" w:hAnsiTheme="majorBidi" w:cstheme="majorBidi"/>
        </w:rPr>
        <w:t xml:space="preserve"> Lihat. Mohammed Arkoum, </w:t>
      </w:r>
      <w:r>
        <w:rPr>
          <w:rFonts w:asciiTheme="majorBidi" w:hAnsiTheme="majorBidi" w:cstheme="majorBidi"/>
          <w:i/>
          <w:iCs/>
        </w:rPr>
        <w:t>Rethin</w:t>
      </w:r>
      <w:r w:rsidRPr="00C21FC5">
        <w:rPr>
          <w:rFonts w:asciiTheme="majorBidi" w:hAnsiTheme="majorBidi" w:cstheme="majorBidi"/>
          <w:i/>
          <w:iCs/>
        </w:rPr>
        <w:t>king Islam: Common Questions Uncommon Answers</w:t>
      </w:r>
      <w:r w:rsidRPr="00C21FC5">
        <w:rPr>
          <w:rFonts w:asciiTheme="majorBidi" w:hAnsiTheme="majorBidi" w:cstheme="majorBidi"/>
        </w:rPr>
        <w:t xml:space="preserve">, Translated and Edited by Robert D. Lee (Colorado and Oxford: Westview Press, 1994). H. 21  </w:t>
      </w:r>
    </w:p>
  </w:footnote>
  <w:footnote w:id="858">
    <w:p w:rsidR="00343B61" w:rsidRPr="00C21FC5" w:rsidRDefault="00343B61" w:rsidP="00343B61">
      <w:pPr>
        <w:pStyle w:val="FootnoteText"/>
        <w:ind w:firstLine="720"/>
        <w:jc w:val="both"/>
        <w:rPr>
          <w:rFonts w:asciiTheme="majorBidi" w:hAnsiTheme="majorBidi" w:cstheme="majorBidi"/>
        </w:rPr>
      </w:pPr>
      <w:r w:rsidRPr="00C21FC5">
        <w:rPr>
          <w:rStyle w:val="FootnoteReference"/>
          <w:rFonts w:asciiTheme="majorBidi" w:hAnsiTheme="majorBidi" w:cstheme="majorBidi"/>
        </w:rPr>
        <w:footnoteRef/>
      </w:r>
      <w:r w:rsidRPr="00C21FC5">
        <w:rPr>
          <w:rFonts w:asciiTheme="majorBidi" w:hAnsiTheme="majorBidi" w:cstheme="majorBidi"/>
        </w:rPr>
        <w:t xml:space="preserve"> Istilah lain adalah </w:t>
      </w:r>
      <w:r w:rsidRPr="00C21FC5">
        <w:rPr>
          <w:rFonts w:asciiTheme="majorBidi" w:hAnsiTheme="majorBidi" w:cstheme="majorBidi"/>
          <w:i/>
          <w:iCs/>
        </w:rPr>
        <w:t xml:space="preserve">tajdîd </w:t>
      </w:r>
      <w:r w:rsidRPr="00C21FC5">
        <w:rPr>
          <w:rFonts w:asciiTheme="majorBidi" w:hAnsiTheme="majorBidi" w:cstheme="majorBidi"/>
        </w:rPr>
        <w:t xml:space="preserve">atau </w:t>
      </w:r>
      <w:r w:rsidRPr="00C21FC5">
        <w:rPr>
          <w:rFonts w:asciiTheme="majorBidi" w:hAnsiTheme="majorBidi" w:cstheme="majorBidi"/>
          <w:i/>
          <w:iCs/>
        </w:rPr>
        <w:t>islah</w:t>
      </w:r>
      <w:r w:rsidRPr="00C21FC5">
        <w:rPr>
          <w:rFonts w:asciiTheme="majorBidi" w:hAnsiTheme="majorBidi" w:cstheme="majorBidi"/>
        </w:rPr>
        <w:t xml:space="preserve">. </w:t>
      </w:r>
      <w:r w:rsidRPr="00C21FC5">
        <w:rPr>
          <w:rFonts w:asciiTheme="majorBidi" w:hAnsiTheme="majorBidi" w:cstheme="majorBidi"/>
          <w:i/>
          <w:iCs/>
        </w:rPr>
        <w:t xml:space="preserve">Tajdid </w:t>
      </w:r>
      <w:r w:rsidRPr="00C21FC5">
        <w:rPr>
          <w:rFonts w:asciiTheme="majorBidi" w:hAnsiTheme="majorBidi" w:cstheme="majorBidi"/>
        </w:rPr>
        <w:t xml:space="preserve">biasanya diartikan “pembaharuan” dan islah di artikan “reformasi”. Secara bersamaan kedua kata tersebut merefleksikan sebuah tradisi yang berlanjut dari revitalisasi praktik dan kepercayaan Islam dalam komunitas-komunitas masyarakat muslim. Ia memberikan dasar bagi keyakinan bahwa gerakan-gerakan dari pembaharuan tetap merupakan bagian yang sah dari penjabaran wahyu Islam dalam sejarah. Lihat, John O. Voll “Renewal and Reform in Islamic History, Tajdid and Islah,” dalam John L. Esposito (ed.), </w:t>
      </w:r>
      <w:r w:rsidRPr="00C21FC5">
        <w:rPr>
          <w:rFonts w:asciiTheme="majorBidi" w:hAnsiTheme="majorBidi" w:cstheme="majorBidi"/>
          <w:i/>
          <w:iCs/>
        </w:rPr>
        <w:t xml:space="preserve">Voices of Resurgence Islam </w:t>
      </w:r>
      <w:r w:rsidRPr="00C21FC5">
        <w:rPr>
          <w:rFonts w:asciiTheme="majorBidi" w:hAnsiTheme="majorBidi" w:cstheme="majorBidi"/>
        </w:rPr>
        <w:t xml:space="preserve">(Oxford: Oxford University press, 1983), 32.  </w:t>
      </w:r>
    </w:p>
  </w:footnote>
  <w:footnote w:id="859">
    <w:p w:rsidR="00343B61" w:rsidRPr="00C21FC5" w:rsidRDefault="00343B61" w:rsidP="00343B61">
      <w:pPr>
        <w:pStyle w:val="FootnoteText"/>
        <w:ind w:firstLine="720"/>
        <w:jc w:val="both"/>
        <w:rPr>
          <w:rFonts w:asciiTheme="majorBidi" w:hAnsiTheme="majorBidi" w:cstheme="majorBidi"/>
        </w:rPr>
      </w:pPr>
      <w:r w:rsidRPr="00C21FC5">
        <w:rPr>
          <w:rStyle w:val="FootnoteReference"/>
          <w:rFonts w:asciiTheme="majorBidi" w:hAnsiTheme="majorBidi" w:cstheme="majorBidi"/>
        </w:rPr>
        <w:footnoteRef/>
      </w:r>
      <w:r w:rsidRPr="00C21FC5">
        <w:rPr>
          <w:rFonts w:asciiTheme="majorBidi" w:hAnsiTheme="majorBidi" w:cstheme="majorBidi"/>
        </w:rPr>
        <w:t xml:space="preserve"> Lihat. Howard M. Federspiel, </w:t>
      </w:r>
      <w:r w:rsidRPr="00C21FC5">
        <w:rPr>
          <w:rFonts w:asciiTheme="majorBidi" w:hAnsiTheme="majorBidi" w:cstheme="majorBidi"/>
          <w:i/>
          <w:iCs/>
        </w:rPr>
        <w:t>Persatuan Islam: Pembaharuan Islam Indonesia Abad XX</w:t>
      </w:r>
      <w:r w:rsidRPr="00C21FC5">
        <w:rPr>
          <w:rFonts w:asciiTheme="majorBidi" w:hAnsiTheme="majorBidi" w:cstheme="majorBidi"/>
        </w:rPr>
        <w:t>, terj. Yudian W. Asmin dan Affandi Mukhtar (Yogyakarta: Gadjah Mada University Press, 1996).  h. 13</w:t>
      </w:r>
    </w:p>
  </w:footnote>
  <w:footnote w:id="860">
    <w:p w:rsidR="00343B61" w:rsidRPr="005E1FBE" w:rsidRDefault="00343B61" w:rsidP="00343B61">
      <w:pPr>
        <w:pStyle w:val="FootnoteText"/>
        <w:ind w:firstLine="720"/>
        <w:jc w:val="both"/>
        <w:rPr>
          <w:rFonts w:asciiTheme="majorBidi" w:hAnsiTheme="majorBidi" w:cstheme="majorBidi"/>
        </w:rPr>
      </w:pPr>
      <w:r w:rsidRPr="005E1FBE">
        <w:rPr>
          <w:rStyle w:val="FootnoteReference"/>
          <w:rFonts w:asciiTheme="majorBidi" w:hAnsiTheme="majorBidi" w:cstheme="majorBidi"/>
        </w:rPr>
        <w:footnoteRef/>
      </w:r>
      <w:r w:rsidRPr="005E1FBE">
        <w:rPr>
          <w:rFonts w:asciiTheme="majorBidi" w:hAnsiTheme="majorBidi" w:cstheme="majorBidi"/>
        </w:rPr>
        <w:t xml:space="preserve"> Lihat. Ridwan Lubis dan Syahminan, Perspektif Pembaharuan Pemikiran Islam (Medan: Pustaka Widyasarana, 1994), 7-8.</w:t>
      </w:r>
    </w:p>
  </w:footnote>
  <w:footnote w:id="861">
    <w:p w:rsidR="00343B61" w:rsidRPr="00C21FC5" w:rsidRDefault="00343B61" w:rsidP="00343B61">
      <w:pPr>
        <w:pStyle w:val="FootnoteText"/>
        <w:ind w:firstLine="720"/>
        <w:jc w:val="both"/>
        <w:rPr>
          <w:rFonts w:asciiTheme="majorBidi" w:hAnsiTheme="majorBidi" w:cstheme="majorBidi"/>
        </w:rPr>
      </w:pPr>
      <w:r w:rsidRPr="00C21FC5">
        <w:rPr>
          <w:rStyle w:val="FootnoteReference"/>
          <w:rFonts w:asciiTheme="majorBidi" w:hAnsiTheme="majorBidi" w:cstheme="majorBidi"/>
        </w:rPr>
        <w:footnoteRef/>
      </w:r>
      <w:r w:rsidRPr="00C21FC5">
        <w:rPr>
          <w:rFonts w:asciiTheme="majorBidi" w:hAnsiTheme="majorBidi" w:cstheme="majorBidi"/>
        </w:rPr>
        <w:t xml:space="preserve"> Lihat. Harun Nasution dan Azyumardi Azra, </w:t>
      </w:r>
      <w:r w:rsidRPr="00C21FC5">
        <w:rPr>
          <w:rFonts w:asciiTheme="majorBidi" w:hAnsiTheme="majorBidi" w:cstheme="majorBidi"/>
          <w:i/>
          <w:iCs/>
        </w:rPr>
        <w:t xml:space="preserve">Perkembangan Modern dalam Islam </w:t>
      </w:r>
      <w:r w:rsidRPr="00C21FC5">
        <w:rPr>
          <w:rFonts w:asciiTheme="majorBidi" w:hAnsiTheme="majorBidi" w:cstheme="majorBidi"/>
        </w:rPr>
        <w:t xml:space="preserve">(Jakarta: Obor, 1985), h. 1.  </w:t>
      </w:r>
    </w:p>
  </w:footnote>
  <w:footnote w:id="862">
    <w:p w:rsidR="00343B61" w:rsidRPr="00C21FC5" w:rsidRDefault="00343B61" w:rsidP="00343B61">
      <w:pPr>
        <w:pStyle w:val="FootnoteText"/>
        <w:ind w:firstLine="720"/>
        <w:jc w:val="both"/>
        <w:rPr>
          <w:rFonts w:asciiTheme="majorBidi" w:hAnsiTheme="majorBidi" w:cstheme="majorBidi"/>
        </w:rPr>
      </w:pPr>
      <w:r w:rsidRPr="00C21FC5">
        <w:rPr>
          <w:rStyle w:val="FootnoteReference"/>
          <w:rFonts w:asciiTheme="majorBidi" w:hAnsiTheme="majorBidi" w:cstheme="majorBidi"/>
        </w:rPr>
        <w:footnoteRef/>
      </w:r>
      <w:r w:rsidRPr="00C21FC5">
        <w:rPr>
          <w:rFonts w:asciiTheme="majorBidi" w:hAnsiTheme="majorBidi" w:cstheme="majorBidi"/>
        </w:rPr>
        <w:t xml:space="preserve"> Lihat.  Abdul Aziz (ed.), G</w:t>
      </w:r>
      <w:r w:rsidRPr="00C21FC5">
        <w:rPr>
          <w:rFonts w:asciiTheme="majorBidi" w:hAnsiTheme="majorBidi" w:cstheme="majorBidi"/>
          <w:i/>
          <w:iCs/>
        </w:rPr>
        <w:t xml:space="preserve">erakan Kontemporer Islam di Indonesia </w:t>
      </w:r>
      <w:r w:rsidRPr="00C21FC5">
        <w:rPr>
          <w:rFonts w:asciiTheme="majorBidi" w:hAnsiTheme="majorBidi" w:cstheme="majorBidi"/>
        </w:rPr>
        <w:t xml:space="preserve">(Jakarta: Pustaka Firdaus, 1989), h. 1.  </w:t>
      </w:r>
    </w:p>
  </w:footnote>
  <w:footnote w:id="863">
    <w:p w:rsidR="00343B61" w:rsidRDefault="00343B61" w:rsidP="00343B61">
      <w:pPr>
        <w:pStyle w:val="FootnoteText"/>
        <w:ind w:firstLine="720"/>
        <w:jc w:val="both"/>
      </w:pPr>
      <w:r w:rsidRPr="00C21FC5">
        <w:rPr>
          <w:rStyle w:val="FootnoteReference"/>
          <w:rFonts w:asciiTheme="majorBidi" w:hAnsiTheme="majorBidi" w:cstheme="majorBidi"/>
        </w:rPr>
        <w:footnoteRef/>
      </w:r>
      <w:r w:rsidRPr="00C21FC5">
        <w:rPr>
          <w:rFonts w:asciiTheme="majorBidi" w:hAnsiTheme="majorBidi" w:cstheme="majorBidi"/>
        </w:rPr>
        <w:t xml:space="preserve"> Lihat. Iskandar Usman, </w:t>
      </w:r>
      <w:r w:rsidRPr="005E1FBE">
        <w:rPr>
          <w:rFonts w:asciiTheme="majorBidi" w:hAnsiTheme="majorBidi" w:cstheme="majorBidi"/>
          <w:i/>
          <w:iCs/>
        </w:rPr>
        <w:t>Istihsan dan Pembaharuan Hukum Islam</w:t>
      </w:r>
      <w:r w:rsidRPr="00C21FC5">
        <w:rPr>
          <w:rFonts w:asciiTheme="majorBidi" w:hAnsiTheme="majorBidi" w:cstheme="majorBidi"/>
        </w:rPr>
        <w:t xml:space="preserve"> (Jakarta: Rajawali dan LSIK, 1998), h. 111.</w:t>
      </w:r>
    </w:p>
  </w:footnote>
  <w:footnote w:id="864">
    <w:p w:rsidR="00343B61" w:rsidRPr="00151C70"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Ada enam karakteristik muslim progresif, yaitu ; (1) Melakukan ijtihad kontemporer dalam rangka menjawab permasalahan-permasalahan kontemporer ; (2) mereka mengadopsi, pandangan bahwa beberapa bidang hukum Islam tradisional memerlukan perubahan dan reformasi substansial dalam rangka menyesuaikan dengan kebutuhan masyarakat Muslim saat ini; (3) mengkombinasikan kesarjanaan Islam tradisional dengan pemikiran dan pendidikan Barat modern; (4) meyakini bahwa perubahan sosial, baik pada ranah intelektual, moral, hukum, ekonomi atau teknologi, harus direfleksikan dalam hukum Islam; (5) Tidak mengikatkan dirinya pada </w:t>
      </w:r>
      <w:r w:rsidRPr="00EF521A">
        <w:rPr>
          <w:rFonts w:ascii="Times New Roman" w:hAnsi="Times New Roman" w:cs="Times New Roman"/>
          <w:sz w:val="20"/>
          <w:szCs w:val="20"/>
        </w:rPr>
        <w:t xml:space="preserve">satu </w:t>
      </w:r>
      <w:r>
        <w:rPr>
          <w:rFonts w:ascii="Times New Roman" w:hAnsi="Times New Roman" w:cs="Times New Roman"/>
          <w:sz w:val="20"/>
          <w:szCs w:val="20"/>
        </w:rPr>
        <w:t xml:space="preserve">mazhab hukum dan teologi tertentu dalam pendekatan kajiannya; dan (6) mereka meletakkan titik tekan pemikirannya pada keadilan sosial, keadilan gender, HAM, dan relasi yang harmonis antara Muslim dan non-Muslim. Lihat Saeed, </w:t>
      </w:r>
      <w:r>
        <w:rPr>
          <w:rFonts w:ascii="Times New Roman" w:hAnsi="Times New Roman" w:cs="Times New Roman"/>
          <w:i/>
          <w:iCs/>
          <w:sz w:val="20"/>
          <w:szCs w:val="20"/>
        </w:rPr>
        <w:t>Islamic Thought</w:t>
      </w:r>
      <w:r>
        <w:rPr>
          <w:rFonts w:ascii="Times New Roman" w:hAnsi="Times New Roman" w:cs="Times New Roman"/>
          <w:sz w:val="20"/>
          <w:szCs w:val="20"/>
        </w:rPr>
        <w:t xml:space="preserve"> </w:t>
      </w:r>
      <w:r>
        <w:rPr>
          <w:rFonts w:ascii="Times New Roman" w:hAnsi="Times New Roman" w:cs="Times New Roman"/>
          <w:i/>
          <w:iCs/>
          <w:sz w:val="20"/>
          <w:szCs w:val="20"/>
        </w:rPr>
        <w:t>An</w:t>
      </w:r>
      <w:r>
        <w:rPr>
          <w:rFonts w:ascii="Times New Roman" w:hAnsi="Times New Roman" w:cs="Times New Roman"/>
          <w:i/>
          <w:iCs/>
        </w:rPr>
        <w:t xml:space="preserve"> </w:t>
      </w:r>
      <w:r w:rsidRPr="00EF521A">
        <w:rPr>
          <w:rFonts w:ascii="Times New Roman" w:hAnsi="Times New Roman" w:cs="Times New Roman"/>
          <w:i/>
          <w:iCs/>
          <w:sz w:val="20"/>
          <w:szCs w:val="20"/>
        </w:rPr>
        <w:t>Introduction</w:t>
      </w:r>
      <w:r>
        <w:rPr>
          <w:rFonts w:ascii="Times New Roman" w:hAnsi="Times New Roman" w:cs="Times New Roman"/>
          <w:i/>
          <w:iCs/>
          <w:sz w:val="20"/>
          <w:szCs w:val="20"/>
        </w:rPr>
        <w:t xml:space="preserve">, </w:t>
      </w:r>
      <w:r w:rsidRPr="00EF521A">
        <w:rPr>
          <w:rFonts w:ascii="Times New Roman" w:hAnsi="Times New Roman" w:cs="Times New Roman"/>
          <w:sz w:val="20"/>
          <w:szCs w:val="20"/>
        </w:rPr>
        <w:t>(</w:t>
      </w:r>
      <w:r w:rsidRPr="00EF521A">
        <w:rPr>
          <w:rFonts w:ascii="Times New Roman" w:hAnsi="Times New Roman" w:cs="Times New Roman"/>
          <w:i/>
          <w:iCs/>
          <w:sz w:val="20"/>
          <w:szCs w:val="20"/>
        </w:rPr>
        <w:t xml:space="preserve"> </w:t>
      </w:r>
      <w:r w:rsidRPr="00EF521A">
        <w:rPr>
          <w:rFonts w:ascii="Times New Roman" w:hAnsi="Times New Roman" w:cs="Times New Roman"/>
          <w:sz w:val="20"/>
          <w:szCs w:val="20"/>
        </w:rPr>
        <w:t>London and New York: Routledge, 2006</w:t>
      </w:r>
      <w:r>
        <w:rPr>
          <w:rFonts w:ascii="Times New Roman" w:hAnsi="Times New Roman" w:cs="Times New Roman"/>
          <w:sz w:val="20"/>
          <w:szCs w:val="20"/>
        </w:rPr>
        <w:t>), h</w:t>
      </w:r>
      <w:r w:rsidRPr="00EF521A">
        <w:rPr>
          <w:rFonts w:ascii="Times New Roman" w:hAnsi="Times New Roman" w:cs="Times New Roman"/>
          <w:sz w:val="20"/>
          <w:szCs w:val="20"/>
        </w:rPr>
        <w:t>. 150-151.</w:t>
      </w:r>
    </w:p>
  </w:footnote>
  <w:footnote w:id="865">
    <w:p w:rsidR="00343B61" w:rsidRPr="000D0028" w:rsidRDefault="00343B61" w:rsidP="00343B61">
      <w:pPr>
        <w:pStyle w:val="FootnoteText"/>
        <w:ind w:firstLine="720"/>
        <w:jc w:val="both"/>
        <w:rPr>
          <w:rFonts w:asciiTheme="majorBidi" w:hAnsiTheme="majorBidi" w:cstheme="majorBidi"/>
        </w:rPr>
      </w:pPr>
      <w:r w:rsidRPr="000D0028">
        <w:rPr>
          <w:rStyle w:val="FootnoteReference"/>
          <w:rFonts w:asciiTheme="majorBidi" w:hAnsiTheme="majorBidi" w:cstheme="majorBidi"/>
        </w:rPr>
        <w:footnoteRef/>
      </w:r>
      <w:r w:rsidRPr="000D0028">
        <w:rPr>
          <w:rFonts w:asciiTheme="majorBidi" w:hAnsiTheme="majorBidi" w:cstheme="majorBidi"/>
        </w:rPr>
        <w:t xml:space="preserve"> </w:t>
      </w:r>
      <w:r w:rsidRPr="003C34B3">
        <w:rPr>
          <w:rFonts w:asciiTheme="majorBidi" w:hAnsiTheme="majorBidi" w:cstheme="majorBidi"/>
        </w:rPr>
        <w:t>Lihat</w:t>
      </w:r>
      <w:r>
        <w:rPr>
          <w:rFonts w:asciiTheme="majorBidi" w:hAnsiTheme="majorBidi" w:cstheme="majorBidi"/>
        </w:rPr>
        <w:t xml:space="preserve">. </w:t>
      </w:r>
      <w:r w:rsidRPr="000D0028">
        <w:rPr>
          <w:rFonts w:asciiTheme="majorBidi" w:hAnsiTheme="majorBidi" w:cstheme="majorBidi"/>
        </w:rPr>
        <w:t xml:space="preserve">Amir Syarifuddin, </w:t>
      </w:r>
      <w:r w:rsidRPr="000D0028">
        <w:rPr>
          <w:rFonts w:asciiTheme="majorBidi" w:hAnsiTheme="majorBidi" w:cstheme="majorBidi"/>
          <w:i/>
          <w:iCs/>
        </w:rPr>
        <w:t xml:space="preserve">Usul Fiqh </w:t>
      </w:r>
      <w:r w:rsidRPr="000D0028">
        <w:rPr>
          <w:rFonts w:asciiTheme="majorBidi" w:hAnsiTheme="majorBidi" w:cstheme="majorBidi"/>
        </w:rPr>
        <w:t>(Jakarta: Logos Wacana Ilmu, 2001),Jilid. II, h. 254.</w:t>
      </w:r>
    </w:p>
  </w:footnote>
  <w:footnote w:id="866">
    <w:p w:rsidR="00343B61" w:rsidRPr="000D0028"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0D0028">
        <w:rPr>
          <w:rStyle w:val="FootnoteReference"/>
          <w:rFonts w:asciiTheme="majorBidi" w:hAnsiTheme="majorBidi" w:cstheme="majorBidi"/>
          <w:sz w:val="20"/>
          <w:szCs w:val="20"/>
        </w:rPr>
        <w:footnoteRef/>
      </w:r>
      <w:r w:rsidRPr="003C34B3">
        <w:rPr>
          <w:rFonts w:asciiTheme="majorBidi" w:hAnsiTheme="majorBidi" w:cstheme="majorBidi"/>
          <w:sz w:val="20"/>
          <w:szCs w:val="20"/>
        </w:rPr>
        <w:t>Lihat</w:t>
      </w:r>
      <w:r>
        <w:rPr>
          <w:rFonts w:asciiTheme="majorBidi" w:hAnsiTheme="majorBidi" w:cstheme="majorBidi"/>
          <w:sz w:val="20"/>
          <w:szCs w:val="20"/>
        </w:rPr>
        <w:t xml:space="preserve">. </w:t>
      </w:r>
      <w:r w:rsidRPr="000D0028">
        <w:rPr>
          <w:rFonts w:asciiTheme="majorBidi" w:hAnsiTheme="majorBidi" w:cstheme="majorBidi"/>
          <w:sz w:val="20"/>
          <w:szCs w:val="20"/>
        </w:rPr>
        <w:t>Nasrul Rusli</w:t>
      </w:r>
      <w:r w:rsidRPr="000D0028">
        <w:rPr>
          <w:rFonts w:asciiTheme="majorBidi" w:hAnsiTheme="majorBidi" w:cstheme="majorBidi"/>
          <w:i/>
          <w:iCs/>
          <w:sz w:val="20"/>
          <w:szCs w:val="20"/>
        </w:rPr>
        <w:t>, Konsep Ijtihad al-Syaukani</w:t>
      </w:r>
      <w:r>
        <w:rPr>
          <w:rFonts w:asciiTheme="majorBidi" w:hAnsiTheme="majorBidi" w:cstheme="majorBidi"/>
          <w:sz w:val="20"/>
          <w:szCs w:val="20"/>
        </w:rPr>
        <w:t>.(Jakarta:</w:t>
      </w:r>
      <w:r w:rsidRPr="000D0028">
        <w:rPr>
          <w:rFonts w:asciiTheme="majorBidi" w:hAnsiTheme="majorBidi" w:cstheme="majorBidi"/>
          <w:sz w:val="20"/>
          <w:szCs w:val="20"/>
        </w:rPr>
        <w:t>PT. Logos Wacana Ilmu,1999,) h. 172</w:t>
      </w:r>
    </w:p>
  </w:footnote>
  <w:footnote w:id="867">
    <w:p w:rsidR="00343B61" w:rsidRPr="004D3CA9"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0D0028">
        <w:rPr>
          <w:rStyle w:val="FootnoteReference"/>
          <w:rFonts w:asciiTheme="majorBidi" w:hAnsiTheme="majorBidi" w:cstheme="majorBidi"/>
          <w:sz w:val="20"/>
          <w:szCs w:val="20"/>
        </w:rPr>
        <w:footnoteRef/>
      </w:r>
      <w:r w:rsidRPr="000D0028">
        <w:rPr>
          <w:rFonts w:asciiTheme="majorBidi" w:hAnsiTheme="majorBidi" w:cstheme="majorBidi"/>
          <w:sz w:val="20"/>
          <w:szCs w:val="20"/>
        </w:rP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sidRPr="000D0028">
        <w:rPr>
          <w:rFonts w:asciiTheme="majorBidi" w:hAnsiTheme="majorBidi" w:cstheme="majorBidi"/>
          <w:sz w:val="20"/>
          <w:szCs w:val="20"/>
        </w:rPr>
        <w:t>Nasrul Rusli</w:t>
      </w:r>
      <w:r w:rsidRPr="000D0028">
        <w:rPr>
          <w:rFonts w:asciiTheme="majorBidi" w:hAnsiTheme="majorBidi" w:cstheme="majorBidi"/>
          <w:i/>
          <w:iCs/>
          <w:sz w:val="20"/>
          <w:szCs w:val="20"/>
        </w:rPr>
        <w:t>, Konsep Ijtihad al-Syaukani</w:t>
      </w:r>
      <w:r w:rsidRPr="000D0028">
        <w:rPr>
          <w:rFonts w:asciiTheme="majorBidi" w:hAnsiTheme="majorBidi" w:cstheme="majorBidi"/>
          <w:sz w:val="20"/>
          <w:szCs w:val="20"/>
        </w:rPr>
        <w:t>.(Cet. I. Jakarta: PT. Logos Wacana Ilmu,1999,) h.173</w:t>
      </w:r>
    </w:p>
  </w:footnote>
  <w:footnote w:id="868">
    <w:p w:rsidR="00343B61" w:rsidRPr="000D0028"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4D3CA9">
        <w:rPr>
          <w:rStyle w:val="FootnoteReference"/>
          <w:sz w:val="20"/>
          <w:szCs w:val="20"/>
        </w:rPr>
        <w:footnoteRef/>
      </w:r>
      <w:r w:rsidRPr="004D3CA9">
        <w:rPr>
          <w:sz w:val="20"/>
          <w:szCs w:val="20"/>
        </w:rP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sidRPr="004D3CA9">
        <w:rPr>
          <w:rFonts w:asciiTheme="majorBidi" w:hAnsiTheme="majorBidi" w:cstheme="majorBidi"/>
          <w:sz w:val="20"/>
          <w:szCs w:val="20"/>
        </w:rPr>
        <w:t xml:space="preserve">Muhammadong, </w:t>
      </w:r>
      <w:r w:rsidRPr="004D3CA9">
        <w:rPr>
          <w:rFonts w:asciiTheme="majorBidi" w:hAnsiTheme="majorBidi" w:cstheme="majorBidi"/>
          <w:i/>
          <w:iCs/>
          <w:sz w:val="20"/>
          <w:szCs w:val="20"/>
        </w:rPr>
        <w:t>Dinamika pembaharuan hukum islam di indonesia dan Tantangannya</w:t>
      </w:r>
      <w:r w:rsidRPr="004D3CA9">
        <w:rPr>
          <w:rFonts w:asciiTheme="majorBidi" w:hAnsiTheme="majorBidi" w:cstheme="majorBidi"/>
          <w:sz w:val="20"/>
          <w:szCs w:val="20"/>
        </w:rPr>
        <w:t xml:space="preserve">, dalam: Jurnal </w:t>
      </w:r>
      <w:r w:rsidRPr="004D3CA9">
        <w:rPr>
          <w:rFonts w:asciiTheme="majorBidi" w:hAnsiTheme="majorBidi" w:cstheme="majorBidi"/>
          <w:i/>
          <w:iCs/>
          <w:sz w:val="20"/>
          <w:szCs w:val="20"/>
        </w:rPr>
        <w:t>Sulesana</w:t>
      </w:r>
      <w:r w:rsidRPr="004D3CA9">
        <w:rPr>
          <w:rFonts w:asciiTheme="majorBidi" w:hAnsiTheme="majorBidi" w:cstheme="majorBidi"/>
          <w:sz w:val="20"/>
          <w:szCs w:val="20"/>
        </w:rPr>
        <w:t xml:space="preserve"> </w:t>
      </w:r>
      <w:r w:rsidRPr="004D3CA9">
        <w:rPr>
          <w:rFonts w:asciiTheme="majorBidi" w:hAnsiTheme="majorBidi" w:cstheme="majorBidi"/>
          <w:i/>
          <w:iCs/>
          <w:sz w:val="20"/>
          <w:szCs w:val="20"/>
        </w:rPr>
        <w:t xml:space="preserve">Volume 8 Nomor 2 Tahun 2013, </w:t>
      </w:r>
      <w:r w:rsidRPr="004D3CA9">
        <w:rPr>
          <w:rFonts w:asciiTheme="majorBidi" w:hAnsiTheme="majorBidi" w:cstheme="majorBidi"/>
          <w:sz w:val="20"/>
          <w:szCs w:val="20"/>
        </w:rPr>
        <w:t>h. 87</w:t>
      </w:r>
    </w:p>
  </w:footnote>
  <w:footnote w:id="869">
    <w:p w:rsidR="00343B61" w:rsidRPr="004D3CA9"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4D3CA9">
        <w:rPr>
          <w:rStyle w:val="FootnoteReference"/>
          <w:sz w:val="20"/>
          <w:szCs w:val="20"/>
        </w:rPr>
        <w:footnoteRef/>
      </w:r>
      <w:r w:rsidRPr="004D3CA9">
        <w:rPr>
          <w:sz w:val="20"/>
          <w:szCs w:val="20"/>
        </w:rP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sidRPr="004D3CA9">
        <w:rPr>
          <w:rFonts w:asciiTheme="majorBidi" w:hAnsiTheme="majorBidi" w:cstheme="majorBidi"/>
          <w:sz w:val="20"/>
          <w:szCs w:val="20"/>
        </w:rPr>
        <w:t xml:space="preserve">Muhammadong, </w:t>
      </w:r>
      <w:r w:rsidRPr="004D3CA9">
        <w:rPr>
          <w:rFonts w:asciiTheme="majorBidi" w:hAnsiTheme="majorBidi" w:cstheme="majorBidi"/>
          <w:i/>
          <w:iCs/>
          <w:sz w:val="20"/>
          <w:szCs w:val="20"/>
        </w:rPr>
        <w:t>Dinamika pembaharuan hukum islam di indonesia dan Tantangannya</w:t>
      </w:r>
      <w:r w:rsidRPr="004D3CA9">
        <w:rPr>
          <w:rFonts w:asciiTheme="majorBidi" w:hAnsiTheme="majorBidi" w:cstheme="majorBidi"/>
          <w:sz w:val="20"/>
          <w:szCs w:val="20"/>
        </w:rPr>
        <w:t xml:space="preserve">, dalam: Jurnal </w:t>
      </w:r>
      <w:r w:rsidRPr="004D3CA9">
        <w:rPr>
          <w:rFonts w:asciiTheme="majorBidi" w:hAnsiTheme="majorBidi" w:cstheme="majorBidi"/>
          <w:i/>
          <w:iCs/>
          <w:sz w:val="20"/>
          <w:szCs w:val="20"/>
        </w:rPr>
        <w:t>Sulesana</w:t>
      </w:r>
      <w:r w:rsidRPr="004D3CA9">
        <w:rPr>
          <w:rFonts w:asciiTheme="majorBidi" w:hAnsiTheme="majorBidi" w:cstheme="majorBidi"/>
          <w:sz w:val="20"/>
          <w:szCs w:val="20"/>
        </w:rPr>
        <w:t xml:space="preserve"> </w:t>
      </w:r>
      <w:r w:rsidRPr="004D3CA9">
        <w:rPr>
          <w:rFonts w:asciiTheme="majorBidi" w:hAnsiTheme="majorBidi" w:cstheme="majorBidi"/>
          <w:i/>
          <w:iCs/>
          <w:sz w:val="20"/>
          <w:szCs w:val="20"/>
        </w:rPr>
        <w:t xml:space="preserve">Volume 8 Nomor 2 Tahun 2013, </w:t>
      </w:r>
      <w:r w:rsidRPr="004D3CA9">
        <w:rPr>
          <w:rFonts w:asciiTheme="majorBidi" w:hAnsiTheme="majorBidi" w:cstheme="majorBidi"/>
          <w:sz w:val="20"/>
          <w:szCs w:val="20"/>
        </w:rPr>
        <w:t>h. 87</w:t>
      </w:r>
    </w:p>
    <w:p w:rsidR="00343B61" w:rsidRDefault="00343B61" w:rsidP="00343B61">
      <w:pPr>
        <w:pStyle w:val="FootnoteText"/>
      </w:pPr>
    </w:p>
  </w:footnote>
  <w:footnote w:id="870">
    <w:p w:rsidR="00343B61" w:rsidRPr="003460EE" w:rsidRDefault="00343B61" w:rsidP="00343B61">
      <w:pPr>
        <w:pStyle w:val="FootnoteText"/>
        <w:ind w:firstLine="720"/>
        <w:jc w:val="both"/>
        <w:rPr>
          <w:rFonts w:asciiTheme="majorBidi" w:hAnsiTheme="majorBidi" w:cstheme="majorBidi"/>
        </w:rPr>
      </w:pPr>
      <w:r w:rsidRPr="003460EE">
        <w:rPr>
          <w:rStyle w:val="FootnoteReference"/>
          <w:rFonts w:asciiTheme="majorBidi" w:hAnsiTheme="majorBidi" w:cstheme="majorBidi"/>
        </w:rPr>
        <w:footnoteRef/>
      </w:r>
      <w:r w:rsidRPr="003460EE">
        <w:rPr>
          <w:rFonts w:asciiTheme="majorBidi" w:hAnsiTheme="majorBidi" w:cstheme="majorBidi"/>
        </w:rPr>
        <w:t xml:space="preserve"> Lihat. M. Atho Muzhar</w:t>
      </w:r>
      <w:r w:rsidRPr="003460EE">
        <w:rPr>
          <w:rFonts w:asciiTheme="majorBidi" w:hAnsiTheme="majorBidi" w:cstheme="majorBidi"/>
          <w:i/>
          <w:iCs/>
        </w:rPr>
        <w:t>, Fawa-fatwa Majelis Ulama Indonesia</w:t>
      </w:r>
      <w:r w:rsidRPr="003460EE">
        <w:rPr>
          <w:rFonts w:asciiTheme="majorBidi" w:hAnsiTheme="majorBidi" w:cstheme="majorBidi"/>
        </w:rPr>
        <w:t xml:space="preserve">, </w:t>
      </w:r>
      <w:r w:rsidRPr="003460EE">
        <w:rPr>
          <w:rFonts w:asciiTheme="majorBidi" w:hAnsiTheme="majorBidi" w:cstheme="majorBidi"/>
          <w:i/>
          <w:iCs/>
          <w:lang w:val="sv-SE"/>
        </w:rPr>
        <w:t>,</w:t>
      </w:r>
      <w:r w:rsidRPr="003460EE">
        <w:rPr>
          <w:rFonts w:asciiTheme="majorBidi" w:hAnsiTheme="majorBidi" w:cstheme="majorBidi"/>
          <w:lang w:val="sv-SE"/>
        </w:rPr>
        <w:t>( Jakarta:INIS, 1993), h. 99</w:t>
      </w:r>
    </w:p>
  </w:footnote>
  <w:footnote w:id="871">
    <w:p w:rsidR="00343B61" w:rsidRDefault="00343B61" w:rsidP="00343B61">
      <w:pPr>
        <w:pStyle w:val="FootnoteText"/>
        <w:ind w:firstLine="720"/>
        <w:jc w:val="both"/>
      </w:pPr>
      <w:r>
        <w:rPr>
          <w:rStyle w:val="FootnoteReference"/>
        </w:rPr>
        <w:footnoteRef/>
      </w:r>
      <w:r>
        <w:t xml:space="preserve"> </w:t>
      </w:r>
      <w:r w:rsidRPr="002826DA">
        <w:rPr>
          <w:rFonts w:ascii="Times New Roman" w:hAnsi="Times New Roman" w:cs="Times New Roman"/>
        </w:rPr>
        <w:t>Lihat. Ma’ruf Amin dkk,</w:t>
      </w:r>
      <w:r>
        <w:rPr>
          <w:rFonts w:ascii="Times New Roman" w:hAnsi="Times New Roman" w:cs="Times New Roman"/>
        </w:rPr>
        <w:t xml:space="preserve"> </w:t>
      </w:r>
      <w:r w:rsidRPr="002826DA">
        <w:rPr>
          <w:rFonts w:ascii="Times New Roman" w:hAnsi="Times New Roman" w:cs="Times New Roman"/>
          <w:i/>
          <w:iCs/>
        </w:rPr>
        <w:t>Himpunan Fatwa Majelis Ulama Indonesia Sejak 1975</w:t>
      </w:r>
      <w:r w:rsidRPr="002826DA">
        <w:rPr>
          <w:rFonts w:ascii="Times New Roman" w:hAnsi="Times New Roman" w:cs="Times New Roman"/>
        </w:rPr>
        <w:t>, ( Jakarta: Erlangg</w:t>
      </w:r>
      <w:r>
        <w:rPr>
          <w:rFonts w:ascii="Times New Roman" w:hAnsi="Times New Roman" w:cs="Times New Roman"/>
        </w:rPr>
        <w:t>a, 2011),  h. 45</w:t>
      </w:r>
    </w:p>
  </w:footnote>
  <w:footnote w:id="872">
    <w:p w:rsidR="00343B61" w:rsidRPr="002826DA" w:rsidRDefault="00343B61" w:rsidP="00343B61">
      <w:pPr>
        <w:pStyle w:val="FootnoteText"/>
        <w:ind w:firstLine="720"/>
        <w:jc w:val="both"/>
        <w:rPr>
          <w:rFonts w:ascii="Times New Roman" w:hAnsi="Times New Roman" w:cs="Times New Roman"/>
        </w:rPr>
      </w:pPr>
      <w:r w:rsidRPr="002826DA">
        <w:rPr>
          <w:rStyle w:val="FootnoteReference"/>
          <w:rFonts w:ascii="Times New Roman" w:hAnsi="Times New Roman" w:cs="Times New Roman"/>
        </w:rPr>
        <w:footnoteRef/>
      </w:r>
      <w:r w:rsidRPr="002826DA">
        <w:rPr>
          <w:rFonts w:ascii="Times New Roman" w:hAnsi="Times New Roman" w:cs="Times New Roman"/>
        </w:rPr>
        <w:t xml:space="preserve"> Lihat. M.A.Sahal Mahfudh, dkk, </w:t>
      </w:r>
      <w:r w:rsidRPr="002826DA">
        <w:rPr>
          <w:rFonts w:ascii="Times New Roman" w:hAnsi="Times New Roman" w:cs="Times New Roman"/>
          <w:i/>
          <w:iCs/>
        </w:rPr>
        <w:t>Himpunan Keputusan Musyawarah Nasional</w:t>
      </w:r>
      <w:r w:rsidRPr="002826DA">
        <w:rPr>
          <w:rFonts w:ascii="Times New Roman" w:hAnsi="Times New Roman" w:cs="Times New Roman"/>
        </w:rPr>
        <w:t xml:space="preserve"> </w:t>
      </w:r>
      <w:r w:rsidRPr="002826DA">
        <w:rPr>
          <w:rFonts w:ascii="Times New Roman" w:hAnsi="Times New Roman" w:cs="Times New Roman"/>
          <w:i/>
          <w:iCs/>
        </w:rPr>
        <w:t>VII Majelis Ulama Indonesia</w:t>
      </w:r>
      <w:r w:rsidRPr="002826DA">
        <w:rPr>
          <w:rFonts w:ascii="Times New Roman" w:hAnsi="Times New Roman" w:cs="Times New Roman"/>
        </w:rPr>
        <w:t>, ( Jakarta: Majelis Ulama Indonesia, 2005), h. 43</w:t>
      </w:r>
    </w:p>
  </w:footnote>
  <w:footnote w:id="873">
    <w:p w:rsidR="00343B61" w:rsidRPr="00E04F20" w:rsidRDefault="00343B61" w:rsidP="00343B61">
      <w:pPr>
        <w:pStyle w:val="FootnoteText"/>
        <w:ind w:firstLine="720"/>
        <w:rPr>
          <w:rFonts w:asciiTheme="majorBidi" w:hAnsiTheme="majorBidi" w:cstheme="majorBidi"/>
        </w:rPr>
      </w:pPr>
      <w:r w:rsidRPr="00E04F20">
        <w:rPr>
          <w:rStyle w:val="FootnoteReference"/>
          <w:rFonts w:asciiTheme="majorBidi" w:hAnsiTheme="majorBidi" w:cstheme="majorBidi"/>
        </w:rPr>
        <w:footnoteRef/>
      </w:r>
      <w:r w:rsidRPr="00E04F20">
        <w:rPr>
          <w:rFonts w:asciiTheme="majorBidi" w:hAnsiTheme="majorBidi" w:cstheme="majorBidi"/>
        </w:rPr>
        <w:t xml:space="preserve"> Lihat Kompilasi Hukum Islam ( KHI) pasal 40</w:t>
      </w:r>
    </w:p>
  </w:footnote>
  <w:footnote w:id="874">
    <w:p w:rsidR="00343B61" w:rsidRPr="003D20EA" w:rsidRDefault="00343B61" w:rsidP="00343B61">
      <w:pPr>
        <w:pStyle w:val="FootnoteText"/>
        <w:ind w:firstLine="720"/>
        <w:rPr>
          <w:rFonts w:asciiTheme="majorBidi" w:hAnsiTheme="majorBidi" w:cstheme="majorBidi"/>
        </w:rPr>
      </w:pPr>
      <w:r w:rsidRPr="003D20EA">
        <w:rPr>
          <w:rStyle w:val="FootnoteReference"/>
          <w:rFonts w:asciiTheme="majorBidi" w:hAnsiTheme="majorBidi" w:cstheme="majorBidi"/>
        </w:rPr>
        <w:footnoteRef/>
      </w:r>
      <w:r w:rsidRPr="003D20EA">
        <w:rPr>
          <w:rFonts w:asciiTheme="majorBidi" w:hAnsiTheme="majorBidi" w:cstheme="majorBidi"/>
        </w:rPr>
        <w:t xml:space="preserve"> Lihat Kompilasi Hukum Islam (KHI) Pasal 44</w:t>
      </w:r>
    </w:p>
  </w:footnote>
  <w:footnote w:id="875">
    <w:p w:rsidR="00343B61" w:rsidRPr="0036267A" w:rsidRDefault="00343B61" w:rsidP="00343B61">
      <w:pPr>
        <w:pStyle w:val="FootnoteText"/>
        <w:ind w:firstLine="720"/>
        <w:jc w:val="both"/>
        <w:rPr>
          <w:rFonts w:asciiTheme="majorBidi" w:hAnsiTheme="majorBidi" w:cstheme="majorBidi"/>
        </w:rPr>
      </w:pPr>
      <w:r w:rsidRPr="0036267A">
        <w:rPr>
          <w:rStyle w:val="FootnoteReference"/>
          <w:rFonts w:asciiTheme="majorBidi" w:hAnsiTheme="majorBidi" w:cstheme="majorBidi"/>
        </w:rPr>
        <w:footnoteRef/>
      </w:r>
      <w:r w:rsidRPr="0036267A">
        <w:rPr>
          <w:rFonts w:asciiTheme="majorBidi" w:hAnsiTheme="majorBidi" w:cstheme="majorBidi"/>
        </w:rPr>
        <w:t xml:space="preserve"> </w:t>
      </w:r>
      <w:r w:rsidRPr="003C34B3">
        <w:rPr>
          <w:rFonts w:asciiTheme="majorBidi" w:hAnsiTheme="majorBidi" w:cstheme="majorBidi"/>
        </w:rPr>
        <w:t>Lihat</w:t>
      </w:r>
      <w:r>
        <w:rPr>
          <w:rFonts w:asciiTheme="majorBidi" w:hAnsiTheme="majorBidi" w:cstheme="majorBidi"/>
        </w:rPr>
        <w:t xml:space="preserve">. </w:t>
      </w:r>
      <w:r w:rsidRPr="0036267A">
        <w:rPr>
          <w:rFonts w:asciiTheme="majorBidi" w:hAnsiTheme="majorBidi" w:cstheme="majorBidi"/>
        </w:rPr>
        <w:t xml:space="preserve">Mufti AM, </w:t>
      </w:r>
      <w:r w:rsidRPr="0036267A">
        <w:rPr>
          <w:rFonts w:asciiTheme="majorBidi" w:hAnsiTheme="majorBidi" w:cstheme="majorBidi"/>
          <w:i/>
          <w:iCs/>
        </w:rPr>
        <w:t>Pembaharuan Hukum dalam Kompilasi Hukum Islam di Indonesia</w:t>
      </w:r>
      <w:r w:rsidRPr="0036267A">
        <w:rPr>
          <w:rFonts w:asciiTheme="majorBidi" w:hAnsiTheme="majorBidi" w:cstheme="majorBidi"/>
        </w:rPr>
        <w:t>, Makalah tidak di terbutkan, h. 13</w:t>
      </w:r>
    </w:p>
  </w:footnote>
  <w:footnote w:id="876">
    <w:p w:rsidR="00343B61" w:rsidRPr="002D386C" w:rsidRDefault="00343B61" w:rsidP="00343B61">
      <w:pPr>
        <w:pStyle w:val="FootnoteText"/>
        <w:ind w:firstLine="720"/>
        <w:jc w:val="both"/>
        <w:rPr>
          <w:rFonts w:asciiTheme="majorBidi" w:hAnsiTheme="majorBidi" w:cstheme="majorBidi"/>
        </w:rPr>
      </w:pPr>
      <w:r w:rsidRPr="002D386C">
        <w:rPr>
          <w:rStyle w:val="FootnoteReference"/>
          <w:rFonts w:asciiTheme="majorBidi" w:hAnsiTheme="majorBidi" w:cstheme="majorBidi"/>
        </w:rPr>
        <w:footnoteRef/>
      </w:r>
      <w:r w:rsidRPr="002D386C">
        <w:rPr>
          <w:rFonts w:asciiTheme="majorBidi" w:hAnsiTheme="majorBidi" w:cstheme="majorBidi"/>
        </w:rPr>
        <w:t xml:space="preserve"> </w:t>
      </w:r>
      <w:r w:rsidRPr="002D386C">
        <w:rPr>
          <w:rFonts w:asciiTheme="majorBidi" w:hAnsiTheme="majorBidi" w:cstheme="majorBidi"/>
          <w:sz w:val="19"/>
          <w:szCs w:val="19"/>
        </w:rPr>
        <w:t xml:space="preserve">Isnawati Rais, </w:t>
      </w:r>
      <w:r w:rsidRPr="002D386C">
        <w:rPr>
          <w:rFonts w:asciiTheme="majorBidi" w:eastAsia="TimesNewRoman,Italic" w:hAnsiTheme="majorBidi" w:cstheme="majorBidi"/>
          <w:i/>
          <w:iCs/>
          <w:sz w:val="19"/>
          <w:szCs w:val="19"/>
        </w:rPr>
        <w:t xml:space="preserve">Hukum Perkawinan dalam Islam </w:t>
      </w:r>
      <w:r w:rsidRPr="002D386C">
        <w:rPr>
          <w:rFonts w:asciiTheme="majorBidi" w:hAnsiTheme="majorBidi" w:cstheme="majorBidi"/>
          <w:sz w:val="19"/>
          <w:szCs w:val="19"/>
        </w:rPr>
        <w:t>(Cet. I</w:t>
      </w:r>
      <w:r>
        <w:rPr>
          <w:rFonts w:asciiTheme="majorBidi" w:hAnsiTheme="majorBidi" w:cstheme="majorBidi"/>
          <w:sz w:val="19"/>
          <w:szCs w:val="19"/>
        </w:rPr>
        <w:t>; Jakarta: Balitbang, 2006), h</w:t>
      </w:r>
      <w:r w:rsidRPr="002D386C">
        <w:rPr>
          <w:rFonts w:asciiTheme="majorBidi" w:hAnsiTheme="majorBidi" w:cstheme="majorBidi"/>
          <w:sz w:val="19"/>
          <w:szCs w:val="19"/>
        </w:rPr>
        <w:t>. 120</w:t>
      </w:r>
    </w:p>
  </w:footnote>
  <w:footnote w:id="877">
    <w:p w:rsidR="00343B61" w:rsidRDefault="00343B61" w:rsidP="00343B61">
      <w:pPr>
        <w:pStyle w:val="FootnoteText"/>
        <w:ind w:firstLine="720"/>
        <w:jc w:val="both"/>
      </w:pPr>
      <w:r>
        <w:rPr>
          <w:rStyle w:val="FootnoteReference"/>
        </w:rPr>
        <w:footnoteRef/>
      </w:r>
      <w:r>
        <w:t xml:space="preserve"> </w:t>
      </w:r>
      <w:r w:rsidRPr="002D386C">
        <w:rPr>
          <w:rFonts w:asciiTheme="majorBidi" w:hAnsiTheme="majorBidi" w:cstheme="majorBidi"/>
          <w:sz w:val="19"/>
          <w:szCs w:val="19"/>
        </w:rPr>
        <w:t xml:space="preserve">Abdullah Ahmad Qadiry, </w:t>
      </w:r>
      <w:r w:rsidRPr="002D386C">
        <w:rPr>
          <w:rFonts w:asciiTheme="majorBidi" w:eastAsia="TimesNewRoman,Italic" w:hAnsiTheme="majorBidi" w:cstheme="majorBidi"/>
          <w:i/>
          <w:iCs/>
          <w:sz w:val="19"/>
          <w:szCs w:val="19"/>
        </w:rPr>
        <w:t xml:space="preserve">Nikah Beda Agama Menurut Islam. </w:t>
      </w:r>
      <w:r w:rsidRPr="002D386C">
        <w:rPr>
          <w:rFonts w:asciiTheme="majorBidi" w:hAnsiTheme="majorBidi" w:cstheme="majorBidi"/>
          <w:sz w:val="19"/>
          <w:szCs w:val="19"/>
        </w:rPr>
        <w:t>Terjemahan dari Syaihu Asnawi (Cet. I; Yogy</w:t>
      </w:r>
      <w:r>
        <w:rPr>
          <w:rFonts w:asciiTheme="majorBidi" w:hAnsiTheme="majorBidi" w:cstheme="majorBidi"/>
          <w:sz w:val="19"/>
          <w:szCs w:val="19"/>
        </w:rPr>
        <w:t>akarta: Media Wacana, 2003), h</w:t>
      </w:r>
      <w:r w:rsidRPr="002D386C">
        <w:rPr>
          <w:rFonts w:asciiTheme="majorBidi" w:hAnsiTheme="majorBidi" w:cstheme="majorBidi"/>
          <w:sz w:val="19"/>
          <w:szCs w:val="19"/>
        </w:rPr>
        <w:t>. 128</w:t>
      </w:r>
    </w:p>
  </w:footnote>
  <w:footnote w:id="878">
    <w:p w:rsidR="00343B61" w:rsidRDefault="00343B61" w:rsidP="00343B61">
      <w:pPr>
        <w:pStyle w:val="FootnoteText"/>
        <w:ind w:firstLine="720"/>
        <w:jc w:val="both"/>
      </w:pPr>
      <w:r>
        <w:rPr>
          <w:rStyle w:val="FootnoteReference"/>
        </w:rPr>
        <w:footnoteRef/>
      </w:r>
      <w:r>
        <w:t xml:space="preserve"> </w:t>
      </w:r>
      <w:r w:rsidRPr="002826DA">
        <w:rPr>
          <w:rFonts w:ascii="Times New Roman" w:hAnsi="Times New Roman" w:cs="Times New Roman"/>
        </w:rPr>
        <w:t>Lihat. Ma’ruf Amin dkk,</w:t>
      </w:r>
      <w:r w:rsidRPr="002826DA">
        <w:rPr>
          <w:rFonts w:ascii="Times New Roman" w:hAnsi="Times New Roman" w:cs="Times New Roman"/>
          <w:i/>
          <w:iCs/>
        </w:rPr>
        <w:t>Himpunan Fatwa Majelis Ulama Indonesia Sejak 1975</w:t>
      </w:r>
      <w:r w:rsidRPr="002826DA">
        <w:rPr>
          <w:rFonts w:ascii="Times New Roman" w:hAnsi="Times New Roman" w:cs="Times New Roman"/>
        </w:rPr>
        <w:t>, ( J</w:t>
      </w:r>
      <w:r>
        <w:rPr>
          <w:rFonts w:ascii="Times New Roman" w:hAnsi="Times New Roman" w:cs="Times New Roman"/>
        </w:rPr>
        <w:t>akarta: Erlangga, 2011),  h. 534</w:t>
      </w:r>
    </w:p>
  </w:footnote>
  <w:footnote w:id="879">
    <w:p w:rsidR="00343B61" w:rsidRDefault="00343B61" w:rsidP="00343B61">
      <w:pPr>
        <w:pStyle w:val="FootnoteText"/>
        <w:ind w:firstLine="720"/>
        <w:jc w:val="both"/>
      </w:pPr>
      <w:r>
        <w:rPr>
          <w:rStyle w:val="FootnoteReference"/>
        </w:rPr>
        <w:footnoteRef/>
      </w:r>
      <w:r>
        <w:t xml:space="preserve"> </w:t>
      </w:r>
      <w:r w:rsidRPr="002826DA">
        <w:rPr>
          <w:rFonts w:ascii="Times New Roman" w:hAnsi="Times New Roman" w:cs="Times New Roman"/>
        </w:rPr>
        <w:t>Lihat. Ma’ruf Amin dkk,</w:t>
      </w:r>
      <w:r w:rsidRPr="002826DA">
        <w:rPr>
          <w:rFonts w:ascii="Times New Roman" w:hAnsi="Times New Roman" w:cs="Times New Roman"/>
          <w:i/>
          <w:iCs/>
        </w:rPr>
        <w:t>Himpunan Fatwa Majelis Ulama Indonesia Sejak 1975</w:t>
      </w:r>
      <w:r w:rsidRPr="002826DA">
        <w:rPr>
          <w:rFonts w:ascii="Times New Roman" w:hAnsi="Times New Roman" w:cs="Times New Roman"/>
        </w:rPr>
        <w:t>, ( Jakarta: Erlangga, 2011),  h. 531</w:t>
      </w:r>
    </w:p>
  </w:footnote>
  <w:footnote w:id="880">
    <w:p w:rsidR="00343B61" w:rsidRPr="008F5D32"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KHI pasal 7 ayat (1), </w:t>
      </w:r>
      <w:r>
        <w:rPr>
          <w:rFonts w:ascii="TimesNewRoman" w:hAnsi="Times New Roman" w:cs="TimesNewRoman" w:hint="cs"/>
          <w:sz w:val="20"/>
          <w:szCs w:val="20"/>
        </w:rPr>
        <w:t>“</w:t>
      </w:r>
      <w:r>
        <w:rPr>
          <w:rFonts w:ascii="Times New Roman" w:hAnsi="Times New Roman" w:cs="Times New Roman"/>
          <w:sz w:val="20"/>
          <w:szCs w:val="20"/>
        </w:rPr>
        <w:t>Perkawinan hanya dapat dibuktikan dengan Akta Nikah yang dibuat oleh Pegawai Pencatat Nikah</w:t>
      </w:r>
      <w:r>
        <w:rPr>
          <w:rFonts w:ascii="TimesNewRoman" w:hAnsi="Times New Roman" w:cs="TimesNewRoman" w:hint="cs"/>
          <w:sz w:val="20"/>
          <w:szCs w:val="20"/>
        </w:rPr>
        <w:t>”</w:t>
      </w:r>
      <w:r>
        <w:rPr>
          <w:rFonts w:ascii="Times New Roman" w:hAnsi="Times New Roman" w:cs="Times New Roman"/>
          <w:sz w:val="20"/>
          <w:szCs w:val="20"/>
        </w:rPr>
        <w:t>.</w:t>
      </w:r>
    </w:p>
  </w:footnote>
  <w:footnote w:id="881">
    <w:p w:rsidR="00343B61" w:rsidRPr="008F5D32"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KHI pasal 6 ayat (2), </w:t>
      </w:r>
      <w:r>
        <w:rPr>
          <w:rFonts w:ascii="TimesNewRoman" w:hAnsi="Times New Roman" w:cs="TimesNewRoman" w:hint="cs"/>
          <w:sz w:val="20"/>
          <w:szCs w:val="20"/>
        </w:rPr>
        <w:t>“</w:t>
      </w:r>
      <w:r>
        <w:rPr>
          <w:rFonts w:ascii="Times New Roman" w:hAnsi="Times New Roman" w:cs="Times New Roman"/>
          <w:sz w:val="20"/>
          <w:szCs w:val="20"/>
        </w:rPr>
        <w:t>Perkawinan yang dilakukan di luar pengawasan Pegawai Pencatat Nikah tidak mempunyai kekuatan hukum</w:t>
      </w:r>
      <w:r>
        <w:rPr>
          <w:rFonts w:ascii="TimesNewRoman" w:hAnsi="Times New Roman" w:cs="TimesNewRoman" w:hint="cs"/>
          <w:sz w:val="20"/>
          <w:szCs w:val="20"/>
        </w:rPr>
        <w:t>”</w:t>
      </w:r>
      <w:r>
        <w:rPr>
          <w:rFonts w:ascii="Times New Roman" w:hAnsi="Times New Roman" w:cs="Times New Roman"/>
          <w:sz w:val="20"/>
          <w:szCs w:val="20"/>
        </w:rPr>
        <w:t>.</w:t>
      </w:r>
    </w:p>
  </w:footnote>
  <w:footnote w:id="882">
    <w:p w:rsidR="00343B61" w:rsidRPr="003A3DE4" w:rsidRDefault="00343B61" w:rsidP="00343B61">
      <w:pPr>
        <w:pStyle w:val="FootnoteText"/>
        <w:ind w:firstLine="720"/>
        <w:rPr>
          <w:rFonts w:asciiTheme="majorBidi" w:hAnsiTheme="majorBidi" w:cstheme="majorBidi"/>
        </w:rPr>
      </w:pPr>
      <w:r w:rsidRPr="003A3DE4">
        <w:rPr>
          <w:rStyle w:val="FootnoteReference"/>
          <w:rFonts w:asciiTheme="majorBidi" w:hAnsiTheme="majorBidi" w:cstheme="majorBidi"/>
        </w:rPr>
        <w:footnoteRef/>
      </w:r>
      <w:r w:rsidRPr="003A3DE4">
        <w:rPr>
          <w:rFonts w:asciiTheme="majorBidi" w:hAnsiTheme="majorBidi" w:cstheme="majorBidi"/>
        </w:rPr>
        <w:t xml:space="preserve"> Lihat UU No 1 Tahun 1974 Pasal 2 ayat 2</w:t>
      </w:r>
    </w:p>
  </w:footnote>
  <w:footnote w:id="883">
    <w:p w:rsidR="00343B61" w:rsidRPr="008F5D32"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3A3DE4">
        <w:rPr>
          <w:rStyle w:val="FootnoteReference"/>
          <w:rFonts w:asciiTheme="majorBidi" w:hAnsiTheme="majorBidi" w:cstheme="majorBidi"/>
        </w:rPr>
        <w:footnoteRef/>
      </w:r>
      <w:r w:rsidRPr="003A3DE4">
        <w:rPr>
          <w:rFonts w:asciiTheme="majorBidi" w:hAnsiTheme="majorBidi" w:cstheme="majorBidi"/>
        </w:rPr>
        <w:t xml:space="preserve"> </w:t>
      </w:r>
      <w:r w:rsidRPr="003A3DE4">
        <w:rPr>
          <w:rFonts w:asciiTheme="majorBidi" w:hAnsiTheme="majorBidi" w:cstheme="majorBidi"/>
          <w:sz w:val="20"/>
          <w:szCs w:val="20"/>
        </w:rPr>
        <w:t>KHI pasal 5 ayat (1), “Agar terjamin ketertiban perkawinan bagi masyarakat Islam setiap perkawinan harus dicatat”. Pasal 5 ayat (2), “Pencatatan perkawinan tersebut pada ayat (1), dilakukan oleh Pegawai Pencatat Nikah sebagaimana yang diatur dalam Undang-Undang No.22 Tahun 1946 jo. Undang-Undang No. 32 Tahun 1954”.</w:t>
      </w:r>
    </w:p>
  </w:footnote>
  <w:footnote w:id="884">
    <w:p w:rsidR="00343B61" w:rsidRPr="00767043" w:rsidRDefault="00343B61" w:rsidP="00343B61">
      <w:pPr>
        <w:autoSpaceDE w:val="0"/>
        <w:autoSpaceDN w:val="0"/>
        <w:adjustRightInd w:val="0"/>
        <w:spacing w:after="0" w:line="240" w:lineRule="auto"/>
        <w:ind w:firstLine="720"/>
        <w:jc w:val="both"/>
        <w:rPr>
          <w:rFonts w:ascii="Times New Roman" w:hAnsi="Times New Roman" w:cs="Times New Roman"/>
          <w:i/>
          <w:iCs/>
          <w:sz w:val="20"/>
          <w:szCs w:val="20"/>
        </w:rPr>
      </w:pPr>
      <w:r>
        <w:rPr>
          <w:rStyle w:val="FootnoteReference"/>
        </w:rPr>
        <w:footnoteRef/>
      </w:r>
      <w: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Pr>
          <w:rFonts w:ascii="Times New Roman" w:hAnsi="Times New Roman" w:cs="Times New Roman"/>
          <w:sz w:val="20"/>
          <w:szCs w:val="20"/>
        </w:rPr>
        <w:t xml:space="preserve">Jimly Assiddieqy, </w:t>
      </w:r>
      <w:r>
        <w:rPr>
          <w:rFonts w:ascii="Times New Roman" w:hAnsi="Times New Roman" w:cs="Times New Roman"/>
          <w:i/>
          <w:iCs/>
          <w:sz w:val="20"/>
          <w:szCs w:val="20"/>
        </w:rPr>
        <w:t xml:space="preserve">Hukum Islam di Indonesia: Dilema Legislasi Hukum Agama </w:t>
      </w:r>
      <w:r w:rsidRPr="00C2733B">
        <w:rPr>
          <w:rFonts w:ascii="Times New Roman" w:hAnsi="Times New Roman" w:cs="Times New Roman"/>
          <w:i/>
          <w:iCs/>
          <w:sz w:val="20"/>
          <w:szCs w:val="20"/>
        </w:rPr>
        <w:t>di Negara Pancasila</w:t>
      </w:r>
      <w:r w:rsidRPr="00C2733B">
        <w:rPr>
          <w:rFonts w:ascii="Times New Roman" w:hAnsi="Times New Roman" w:cs="Times New Roman"/>
          <w:sz w:val="20"/>
          <w:szCs w:val="20"/>
        </w:rPr>
        <w:t>, Majalah Pesantren No. 2 Vol: XIV, 1990, h. 69.</w:t>
      </w:r>
    </w:p>
  </w:footnote>
  <w:footnote w:id="885">
    <w:p w:rsidR="00343B61" w:rsidRPr="00FE65E9"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Pr>
          <w:rFonts w:ascii="Times New Roman" w:hAnsi="Times New Roman" w:cs="Times New Roman"/>
          <w:sz w:val="20"/>
          <w:szCs w:val="20"/>
        </w:rPr>
        <w:t xml:space="preserve">Moh. Daud Ali, </w:t>
      </w:r>
      <w:r>
        <w:rPr>
          <w:rFonts w:ascii="Times New Roman" w:hAnsi="Times New Roman" w:cs="Times New Roman"/>
          <w:i/>
          <w:iCs/>
          <w:sz w:val="20"/>
          <w:szCs w:val="20"/>
        </w:rPr>
        <w:t>Hukum Islam dan Beberapa Masalahnya di Indonesia</w:t>
      </w:r>
      <w:r>
        <w:rPr>
          <w:rFonts w:ascii="Times New Roman" w:hAnsi="Times New Roman" w:cs="Times New Roman"/>
          <w:sz w:val="20"/>
          <w:szCs w:val="20"/>
        </w:rPr>
        <w:t xml:space="preserve">, (Makalah), Disampaikan dalam rangka Penataran Staf Pengajar Hukum Islam PTN/PTS Tingkat Nasional, Angkatan I, Tahun 1995, (Jakarta : Fakultas Hukum UI, 1995), h. 5-6. Sebagaimana di kutip oleh Ramlan Yusuf Rangkuti, </w:t>
      </w:r>
      <w:r w:rsidRPr="00FE65E9">
        <w:rPr>
          <w:rFonts w:ascii="Times New Roman" w:hAnsi="Times New Roman" w:cs="Times New Roman"/>
          <w:i/>
          <w:iCs/>
          <w:sz w:val="20"/>
          <w:szCs w:val="20"/>
        </w:rPr>
        <w:t>Pembaruan Hukum Islam di Indonesia ( Studi Tentang Kompilasi Hukum Islam</w:t>
      </w:r>
      <w:r>
        <w:rPr>
          <w:rFonts w:ascii="Times New Roman" w:hAnsi="Times New Roman" w:cs="Times New Roman"/>
          <w:sz w:val="20"/>
          <w:szCs w:val="20"/>
        </w:rPr>
        <w:t>), Disertasi ( Jakarta: UIN Syahid, 2007), h. 189</w:t>
      </w:r>
    </w:p>
  </w:footnote>
  <w:footnote w:id="886">
    <w:p w:rsidR="00343B61" w:rsidRPr="00D65D42" w:rsidRDefault="00343B61" w:rsidP="00343B61">
      <w:pPr>
        <w:pStyle w:val="FootnoteText"/>
        <w:ind w:firstLine="720"/>
        <w:jc w:val="both"/>
        <w:rPr>
          <w:rFonts w:asciiTheme="majorBidi" w:hAnsiTheme="majorBidi" w:cstheme="majorBidi"/>
        </w:rPr>
      </w:pPr>
      <w:r w:rsidRPr="00D65D42">
        <w:rPr>
          <w:rStyle w:val="FootnoteReference"/>
          <w:rFonts w:asciiTheme="majorBidi" w:hAnsiTheme="majorBidi" w:cstheme="majorBidi"/>
        </w:rPr>
        <w:footnoteRef/>
      </w:r>
      <w:r w:rsidRPr="00D65D42">
        <w:rPr>
          <w:rFonts w:asciiTheme="majorBidi" w:hAnsiTheme="majorBidi" w:cstheme="majorBidi"/>
        </w:rPr>
        <w:t xml:space="preserve"> Dalam penjelasan pasal 1 ayat (1), “Maksud pasal ini ialah agar nikah, talak dan rujuk</w:t>
      </w:r>
      <w:r>
        <w:rPr>
          <w:rFonts w:asciiTheme="majorBidi" w:hAnsiTheme="majorBidi" w:cstheme="majorBidi"/>
        </w:rPr>
        <w:t xml:space="preserve"> </w:t>
      </w:r>
      <w:r w:rsidRPr="00D65D42">
        <w:rPr>
          <w:rFonts w:asciiTheme="majorBidi" w:hAnsiTheme="majorBidi" w:cstheme="majorBidi"/>
        </w:rPr>
        <w:t>menurut agama Islam dicatat agar mendapat kepastian hukum. Dalam negara yang teratur segala</w:t>
      </w:r>
      <w:r>
        <w:rPr>
          <w:rFonts w:asciiTheme="majorBidi" w:hAnsiTheme="majorBidi" w:cstheme="majorBidi"/>
        </w:rPr>
        <w:t xml:space="preserve"> </w:t>
      </w:r>
      <w:r w:rsidRPr="00D65D42">
        <w:rPr>
          <w:rFonts w:asciiTheme="majorBidi" w:hAnsiTheme="majorBidi" w:cstheme="majorBidi"/>
        </w:rPr>
        <w:t>hal-hal yang bersangkut paut dengan penduduk harus dicatat, sebagai kelahiran, pernikahan,</w:t>
      </w:r>
      <w:r>
        <w:rPr>
          <w:rFonts w:asciiTheme="majorBidi" w:hAnsiTheme="majorBidi" w:cstheme="majorBidi"/>
        </w:rPr>
        <w:t xml:space="preserve"> </w:t>
      </w:r>
      <w:r w:rsidRPr="00D65D42">
        <w:rPr>
          <w:rFonts w:asciiTheme="majorBidi" w:hAnsiTheme="majorBidi" w:cstheme="majorBidi"/>
        </w:rPr>
        <w:t>kematian dan sebagainya. Lagi pula perkawinan bergandengan rapat dengan waris-mal-waris</w:t>
      </w:r>
      <w:r>
        <w:rPr>
          <w:rFonts w:asciiTheme="majorBidi" w:hAnsiTheme="majorBidi" w:cstheme="majorBidi"/>
        </w:rPr>
        <w:t xml:space="preserve"> </w:t>
      </w:r>
      <w:r w:rsidRPr="00D65D42">
        <w:rPr>
          <w:rFonts w:asciiTheme="majorBidi" w:hAnsiTheme="majorBidi" w:cstheme="majorBidi"/>
        </w:rPr>
        <w:t>sehingga perkawinan pula dicatat menjaga jangan sampai ada kekacauan”. … Ancaman dengan</w:t>
      </w:r>
      <w:r>
        <w:rPr>
          <w:rFonts w:asciiTheme="majorBidi" w:hAnsiTheme="majorBidi" w:cstheme="majorBidi"/>
        </w:rPr>
        <w:t xml:space="preserve"> </w:t>
      </w:r>
      <w:r w:rsidRPr="00D65D42">
        <w:rPr>
          <w:rFonts w:asciiTheme="majorBidi" w:hAnsiTheme="majorBidi" w:cstheme="majorBidi"/>
        </w:rPr>
        <w:t>dengan denda sebagai tersebut pada ayat 1 dan 3 pasal 3 Undang-Undang ini bermaksud supaya</w:t>
      </w:r>
      <w:r>
        <w:rPr>
          <w:rFonts w:asciiTheme="majorBidi" w:hAnsiTheme="majorBidi" w:cstheme="majorBidi"/>
        </w:rPr>
        <w:t xml:space="preserve"> </w:t>
      </w:r>
      <w:r w:rsidRPr="00D65D42">
        <w:rPr>
          <w:rFonts w:asciiTheme="majorBidi" w:hAnsiTheme="majorBidi" w:cstheme="majorBidi"/>
        </w:rPr>
        <w:t>aturan administrasi ini diperhatikan; akibatnya sekali-kali hukum, bahwa nikah, talak dan rujuk itu</w:t>
      </w:r>
      <w:r>
        <w:rPr>
          <w:rFonts w:asciiTheme="majorBidi" w:hAnsiTheme="majorBidi" w:cstheme="majorBidi"/>
        </w:rPr>
        <w:t xml:space="preserve"> </w:t>
      </w:r>
      <w:r w:rsidRPr="00D65D42">
        <w:rPr>
          <w:rFonts w:asciiTheme="majorBidi" w:hAnsiTheme="majorBidi" w:cstheme="majorBidi"/>
        </w:rPr>
        <w:t>menjadi batal karena pelanggaran”.</w:t>
      </w:r>
    </w:p>
  </w:footnote>
  <w:footnote w:id="887">
    <w:p w:rsidR="00343B61" w:rsidRPr="00220530"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Pr>
          <w:rFonts w:ascii="Times New Roman" w:hAnsi="Times New Roman" w:cs="Times New Roman"/>
          <w:sz w:val="20"/>
          <w:szCs w:val="20"/>
        </w:rPr>
        <w:t xml:space="preserve">M. Yahya Harahap, </w:t>
      </w:r>
      <w:r>
        <w:rPr>
          <w:rFonts w:ascii="Times New Roman" w:hAnsi="Times New Roman" w:cs="Times New Roman"/>
          <w:i/>
          <w:iCs/>
          <w:sz w:val="20"/>
          <w:szCs w:val="20"/>
        </w:rPr>
        <w:t>Tinjauan Singkat Hukum Kekeluargaan Berdasarkan KHI</w:t>
      </w:r>
      <w:r>
        <w:rPr>
          <w:rFonts w:ascii="Times New Roman" w:hAnsi="Times New Roman" w:cs="Times New Roman"/>
          <w:sz w:val="20"/>
          <w:szCs w:val="20"/>
        </w:rPr>
        <w:t>., (Jakarta: Panitia Pendidikan Calon Hakim Pengadilan Agama, 1991), h. 13-14.</w:t>
      </w:r>
    </w:p>
  </w:footnote>
  <w:footnote w:id="888">
    <w:p w:rsidR="00343B61" w:rsidRDefault="00343B61" w:rsidP="00343B61">
      <w:pPr>
        <w:pStyle w:val="FootnoteText"/>
        <w:ind w:firstLine="720"/>
      </w:pPr>
      <w:r>
        <w:rPr>
          <w:rStyle w:val="FootnoteReference"/>
        </w:rPr>
        <w:footnoteRef/>
      </w:r>
      <w:r>
        <w:t xml:space="preserve"> </w:t>
      </w:r>
      <w:r w:rsidRPr="005F4B79">
        <w:rPr>
          <w:rFonts w:asciiTheme="majorBidi" w:hAnsiTheme="majorBidi" w:cstheme="majorBidi"/>
        </w:rPr>
        <w:t xml:space="preserve">Lihat. Ichwan Syam, dkk, </w:t>
      </w:r>
      <w:r w:rsidRPr="005F4B79">
        <w:rPr>
          <w:rFonts w:asciiTheme="majorBidi" w:hAnsiTheme="majorBidi" w:cstheme="majorBidi"/>
          <w:i/>
          <w:iCs/>
        </w:rPr>
        <w:t>Himpunan Keputusan Ijtima Ulama Komisa Fatwa MUI se-Indonesia IV Tahun 2012 di Ponpes Cipasung, Tasikmalaya</w:t>
      </w:r>
      <w:r w:rsidRPr="005F4B79">
        <w:rPr>
          <w:rFonts w:asciiTheme="majorBidi" w:hAnsiTheme="majorBidi" w:cstheme="majorBidi"/>
        </w:rPr>
        <w:t>, ( Jakarta: Majelis Ulama Indonesia, 2012), h. 46</w:t>
      </w:r>
    </w:p>
  </w:footnote>
  <w:footnote w:id="889">
    <w:p w:rsidR="00343B61" w:rsidRDefault="00343B61" w:rsidP="00343B61">
      <w:pPr>
        <w:pStyle w:val="FootnoteText"/>
        <w:ind w:firstLine="720"/>
      </w:pPr>
      <w:r>
        <w:rPr>
          <w:rStyle w:val="FootnoteReference"/>
        </w:rPr>
        <w:footnoteRef/>
      </w:r>
      <w:r>
        <w:t xml:space="preserve"> </w:t>
      </w:r>
      <w:r w:rsidRPr="005F4B79">
        <w:rPr>
          <w:rFonts w:asciiTheme="majorBidi" w:hAnsiTheme="majorBidi" w:cstheme="majorBidi"/>
        </w:rPr>
        <w:t xml:space="preserve">Lihat. Ichwan Syam, dkk, </w:t>
      </w:r>
      <w:r w:rsidRPr="005F4B79">
        <w:rPr>
          <w:rFonts w:asciiTheme="majorBidi" w:hAnsiTheme="majorBidi" w:cstheme="majorBidi"/>
          <w:i/>
          <w:iCs/>
        </w:rPr>
        <w:t>Himpunan Keputusan Ijtima Ulama Komisa Fatwa MUI se-Indonesia IV Tahun 2012 di Ponpes Cipasung, Tasikmalaya</w:t>
      </w:r>
      <w:r w:rsidRPr="005F4B79">
        <w:rPr>
          <w:rFonts w:asciiTheme="majorBidi" w:hAnsiTheme="majorBidi" w:cstheme="majorBidi"/>
        </w:rPr>
        <w:t>, ( Jakarta: Majel</w:t>
      </w:r>
      <w:r>
        <w:rPr>
          <w:rFonts w:asciiTheme="majorBidi" w:hAnsiTheme="majorBidi" w:cstheme="majorBidi"/>
        </w:rPr>
        <w:t>is Ulama Indonesia, 2012), h. 45-46</w:t>
      </w:r>
    </w:p>
  </w:footnote>
  <w:footnote w:id="890">
    <w:p w:rsidR="00343B61" w:rsidRDefault="00343B61" w:rsidP="00343B61">
      <w:pPr>
        <w:pStyle w:val="FootnoteText"/>
        <w:ind w:firstLine="720"/>
        <w:jc w:val="both"/>
      </w:pPr>
      <w:r>
        <w:rPr>
          <w:rStyle w:val="FootnoteReference"/>
        </w:rPr>
        <w:footnoteRef/>
      </w:r>
      <w:r>
        <w:t xml:space="preserve"> </w:t>
      </w:r>
      <w:r w:rsidRPr="00001E1D">
        <w:rPr>
          <w:rFonts w:asciiTheme="majorBidi" w:hAnsiTheme="majorBidi" w:cstheme="majorBidi"/>
        </w:rPr>
        <w:t xml:space="preserve">Lihat. Abdul Gani Abdullah, </w:t>
      </w:r>
      <w:r w:rsidRPr="00001E1D">
        <w:rPr>
          <w:rFonts w:asciiTheme="majorBidi" w:hAnsiTheme="majorBidi" w:cstheme="majorBidi"/>
          <w:i/>
          <w:iCs/>
        </w:rPr>
        <w:t>Pengantar Kompilasi Hukum Islam dalam Tata Hukum Indonesia</w:t>
      </w:r>
      <w:r w:rsidRPr="00001E1D">
        <w:rPr>
          <w:rFonts w:asciiTheme="majorBidi" w:hAnsiTheme="majorBidi" w:cstheme="majorBidi"/>
        </w:rPr>
        <w:t>, ( Jakarta: Gema Insani Pres, 1994), h. 111</w:t>
      </w:r>
    </w:p>
  </w:footnote>
  <w:footnote w:id="891">
    <w:p w:rsidR="00343B61" w:rsidRPr="009F4BAB" w:rsidRDefault="00343B61" w:rsidP="00343B61">
      <w:pPr>
        <w:pStyle w:val="FootnoteText"/>
        <w:ind w:firstLine="720"/>
        <w:jc w:val="both"/>
        <w:rPr>
          <w:rFonts w:asciiTheme="majorBidi" w:hAnsiTheme="majorBidi" w:cstheme="majorBidi"/>
        </w:rPr>
      </w:pPr>
      <w:r w:rsidRPr="009F4BAB">
        <w:rPr>
          <w:rStyle w:val="FootnoteReference"/>
          <w:rFonts w:asciiTheme="majorBidi" w:hAnsiTheme="majorBidi" w:cstheme="majorBidi"/>
        </w:rPr>
        <w:footnoteRef/>
      </w:r>
      <w:r w:rsidRPr="009F4BAB">
        <w:rPr>
          <w:rFonts w:asciiTheme="majorBidi" w:hAnsiTheme="majorBidi" w:cstheme="majorBidi"/>
        </w:rPr>
        <w:t xml:space="preserve"> Lihat.  </w:t>
      </w:r>
      <w:r w:rsidRPr="009F4BAB">
        <w:rPr>
          <w:rFonts w:asciiTheme="majorBidi" w:hAnsiTheme="majorBidi" w:cstheme="majorBidi"/>
          <w:i/>
          <w:iCs/>
        </w:rPr>
        <w:t>Undang-undang No 1 Tahun 1974 Tentang Perkawinan</w:t>
      </w:r>
      <w:r w:rsidRPr="009F4BAB">
        <w:rPr>
          <w:rFonts w:asciiTheme="majorBidi" w:hAnsiTheme="majorBidi" w:cstheme="majorBidi"/>
        </w:rPr>
        <w:t xml:space="preserve"> (  Jakarta: Visimedia, 2007), h. 17</w:t>
      </w:r>
    </w:p>
  </w:footnote>
  <w:footnote w:id="892">
    <w:p w:rsidR="00343B61" w:rsidRPr="004B1585" w:rsidRDefault="00343B61" w:rsidP="00343B61">
      <w:pPr>
        <w:autoSpaceDE w:val="0"/>
        <w:autoSpaceDN w:val="0"/>
        <w:adjustRightInd w:val="0"/>
        <w:spacing w:after="0" w:line="240" w:lineRule="auto"/>
        <w:ind w:firstLine="720"/>
        <w:jc w:val="both"/>
        <w:rPr>
          <w:rFonts w:asciiTheme="majorBidi" w:eastAsiaTheme="minorHAnsi" w:hAnsiTheme="majorBidi" w:cstheme="majorBidi"/>
          <w:color w:val="000000"/>
          <w:sz w:val="20"/>
          <w:szCs w:val="20"/>
        </w:rPr>
      </w:pPr>
      <w:r w:rsidRPr="004B1585">
        <w:rPr>
          <w:rStyle w:val="FootnoteReference"/>
          <w:rFonts w:asciiTheme="majorBidi" w:hAnsiTheme="majorBidi" w:cstheme="majorBidi"/>
          <w:sz w:val="20"/>
          <w:szCs w:val="20"/>
        </w:rPr>
        <w:footnoteRef/>
      </w:r>
      <w:r w:rsidRPr="004B1585">
        <w:rPr>
          <w:rFonts w:asciiTheme="majorBidi" w:hAnsiTheme="majorBidi" w:cstheme="majorBidi"/>
          <w:sz w:val="20"/>
          <w:szCs w:val="20"/>
        </w:rPr>
        <w:t xml:space="preserve"> </w:t>
      </w:r>
      <w:r w:rsidRPr="004B1585">
        <w:rPr>
          <w:rFonts w:asciiTheme="majorBidi" w:eastAsiaTheme="minorHAnsi" w:hAnsiTheme="majorBidi" w:cstheme="majorBidi"/>
          <w:color w:val="000000"/>
          <w:sz w:val="20"/>
          <w:szCs w:val="20"/>
        </w:rPr>
        <w:t xml:space="preserve">Lihat. Sulaiman Ibn al-Asy’ats al-Sijistani, </w:t>
      </w:r>
      <w:r w:rsidRPr="004B1585">
        <w:rPr>
          <w:rFonts w:asciiTheme="majorBidi" w:eastAsiaTheme="minorHAnsi" w:hAnsiTheme="majorBidi" w:cstheme="majorBidi"/>
          <w:i/>
          <w:iCs/>
          <w:color w:val="000000"/>
          <w:sz w:val="20"/>
          <w:szCs w:val="20"/>
        </w:rPr>
        <w:t>Sunan Abu Daud</w:t>
      </w:r>
      <w:r w:rsidRPr="004B1585">
        <w:rPr>
          <w:rFonts w:asciiTheme="majorBidi" w:eastAsiaTheme="minorHAnsi" w:hAnsiTheme="majorBidi" w:cstheme="majorBidi"/>
          <w:color w:val="000000"/>
          <w:sz w:val="20"/>
          <w:szCs w:val="20"/>
        </w:rPr>
        <w:t>, ( Bairut: Dak al-Kitab al</w:t>
      </w:r>
      <w:r w:rsidRPr="004B1585">
        <w:rPr>
          <w:rFonts w:asciiTheme="majorBidi" w:hAnsiTheme="majorBidi" w:cstheme="majorBidi"/>
          <w:color w:val="000000"/>
          <w:sz w:val="20"/>
          <w:szCs w:val="20"/>
        </w:rPr>
        <w:t>-Arabi, t.t.h), Jilid II, h. 220</w:t>
      </w:r>
      <w:r w:rsidRPr="004B1585">
        <w:rPr>
          <w:rFonts w:asciiTheme="majorBidi" w:eastAsiaTheme="minorHAnsi" w:hAnsiTheme="majorBidi" w:cstheme="majorBidi"/>
          <w:color w:val="000000"/>
          <w:sz w:val="20"/>
          <w:szCs w:val="20"/>
        </w:rPr>
        <w:t>0</w:t>
      </w:r>
    </w:p>
  </w:footnote>
  <w:footnote w:id="893">
    <w:p w:rsidR="00343B61" w:rsidRPr="003C34B3" w:rsidRDefault="00343B61" w:rsidP="00343B61">
      <w:pPr>
        <w:autoSpaceDE w:val="0"/>
        <w:autoSpaceDN w:val="0"/>
        <w:adjustRightInd w:val="0"/>
        <w:spacing w:after="0" w:line="240" w:lineRule="auto"/>
        <w:ind w:firstLine="720"/>
        <w:jc w:val="both"/>
        <w:rPr>
          <w:rFonts w:asciiTheme="majorBidi" w:hAnsiTheme="majorBidi" w:cstheme="majorBidi"/>
          <w:i/>
          <w:iCs/>
          <w:sz w:val="20"/>
          <w:szCs w:val="20"/>
        </w:rPr>
      </w:pPr>
      <w:r w:rsidRPr="004B1585">
        <w:rPr>
          <w:rStyle w:val="FootnoteReference"/>
          <w:rFonts w:asciiTheme="majorBidi" w:hAnsiTheme="majorBidi" w:cstheme="majorBidi"/>
          <w:sz w:val="20"/>
          <w:szCs w:val="20"/>
        </w:rPr>
        <w:footnoteRef/>
      </w:r>
      <w:r w:rsidRPr="004B1585">
        <w:rPr>
          <w:rFonts w:asciiTheme="majorBidi" w:hAnsiTheme="majorBidi" w:cstheme="majorBidi"/>
          <w:sz w:val="20"/>
          <w:szCs w:val="20"/>
        </w:rPr>
        <w:t xml:space="preserve"> Lihat. Ahmad Safwat, “</w:t>
      </w:r>
      <w:r w:rsidRPr="004B1585">
        <w:rPr>
          <w:rFonts w:asciiTheme="majorBidi" w:hAnsiTheme="majorBidi" w:cstheme="majorBidi"/>
          <w:i/>
          <w:iCs/>
          <w:sz w:val="20"/>
          <w:szCs w:val="20"/>
        </w:rPr>
        <w:t>The Theory of Mohammedan Law</w:t>
      </w:r>
      <w:r w:rsidRPr="004B1585">
        <w:rPr>
          <w:rFonts w:asciiTheme="majorBidi" w:hAnsiTheme="majorBidi" w:cstheme="majorBidi"/>
          <w:sz w:val="20"/>
          <w:szCs w:val="20"/>
        </w:rPr>
        <w:t xml:space="preserve">”, dalam </w:t>
      </w:r>
      <w:r w:rsidRPr="004B1585">
        <w:rPr>
          <w:rFonts w:asciiTheme="majorBidi" w:hAnsiTheme="majorBidi" w:cstheme="majorBidi"/>
          <w:i/>
          <w:iCs/>
          <w:sz w:val="20"/>
          <w:szCs w:val="20"/>
        </w:rPr>
        <w:t xml:space="preserve">Journal of Comparative Legislation and International Law, vol. 2 (1920), </w:t>
      </w:r>
      <w:r w:rsidRPr="004B1585">
        <w:rPr>
          <w:rFonts w:asciiTheme="majorBidi" w:hAnsiTheme="majorBidi" w:cstheme="majorBidi"/>
          <w:sz w:val="20"/>
          <w:szCs w:val="20"/>
        </w:rPr>
        <w:t>h. 315.</w:t>
      </w:r>
    </w:p>
  </w:footnote>
  <w:footnote w:id="894">
    <w:p w:rsidR="00343B61" w:rsidRPr="002B74A3"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2B74A3">
        <w:rPr>
          <w:rStyle w:val="FootnoteReference"/>
          <w:rFonts w:asciiTheme="majorBidi" w:hAnsiTheme="majorBidi" w:cstheme="majorBidi"/>
        </w:rPr>
        <w:footnoteRef/>
      </w:r>
      <w:r w:rsidRPr="002B74A3">
        <w:rPr>
          <w:rFonts w:asciiTheme="majorBidi" w:hAnsiTheme="majorBidi" w:cstheme="majorBidi"/>
        </w:rPr>
        <w:t xml:space="preserve"> </w:t>
      </w:r>
      <w:r w:rsidRPr="003C34B3">
        <w:rPr>
          <w:rFonts w:asciiTheme="majorBidi" w:hAnsiTheme="majorBidi" w:cstheme="majorBidi"/>
          <w:sz w:val="20"/>
          <w:szCs w:val="20"/>
        </w:rPr>
        <w:t>Lihat</w:t>
      </w:r>
      <w:r>
        <w:rPr>
          <w:rFonts w:asciiTheme="majorBidi" w:hAnsiTheme="majorBidi" w:cstheme="majorBidi"/>
        </w:rPr>
        <w:t xml:space="preserve">. </w:t>
      </w:r>
      <w:r w:rsidRPr="002B74A3">
        <w:rPr>
          <w:rFonts w:asciiTheme="majorBidi" w:hAnsiTheme="majorBidi" w:cstheme="majorBidi"/>
          <w:sz w:val="20"/>
          <w:szCs w:val="20"/>
        </w:rPr>
        <w:t xml:space="preserve">Kafrawi Ridwan, dkk., (Ed.), “Talak”, </w:t>
      </w:r>
      <w:r w:rsidRPr="002B74A3">
        <w:rPr>
          <w:rFonts w:asciiTheme="majorBidi" w:hAnsiTheme="majorBidi" w:cstheme="majorBidi"/>
          <w:i/>
          <w:iCs/>
          <w:sz w:val="20"/>
          <w:szCs w:val="20"/>
        </w:rPr>
        <w:t>Ensiklopedi Islam</w:t>
      </w:r>
      <w:r w:rsidRPr="002B74A3">
        <w:rPr>
          <w:rFonts w:asciiTheme="majorBidi" w:hAnsiTheme="majorBidi" w:cstheme="majorBidi"/>
          <w:sz w:val="20"/>
          <w:szCs w:val="20"/>
        </w:rPr>
        <w:t>, (Jakarta : PT. Ichtiar Baru van Houve, 1999), cet. VI, jilid 5, h. 55-56.</w:t>
      </w:r>
    </w:p>
  </w:footnote>
  <w:footnote w:id="895">
    <w:p w:rsidR="00343B61" w:rsidRPr="002B74A3" w:rsidRDefault="00343B61" w:rsidP="00343B61">
      <w:pPr>
        <w:autoSpaceDE w:val="0"/>
        <w:autoSpaceDN w:val="0"/>
        <w:adjustRightInd w:val="0"/>
        <w:spacing w:after="0" w:line="240" w:lineRule="auto"/>
        <w:ind w:firstLine="720"/>
        <w:jc w:val="both"/>
        <w:rPr>
          <w:rFonts w:ascii="Times New Roman" w:hAnsi="Times New Roman" w:cs="Times New Roman"/>
          <w:sz w:val="20"/>
          <w:szCs w:val="20"/>
        </w:rPr>
      </w:pPr>
      <w:r w:rsidRPr="002B74A3">
        <w:rPr>
          <w:rStyle w:val="FootnoteReference"/>
          <w:rFonts w:asciiTheme="majorBidi" w:hAnsiTheme="majorBidi" w:cstheme="majorBidi"/>
        </w:rPr>
        <w:footnoteRef/>
      </w:r>
      <w:r w:rsidRPr="002B74A3">
        <w:rPr>
          <w:rFonts w:asciiTheme="majorBidi" w:hAnsiTheme="majorBidi" w:cstheme="majorBidi"/>
        </w:rPr>
        <w:t xml:space="preserve"> </w:t>
      </w:r>
      <w:r w:rsidRPr="003C34B3">
        <w:rPr>
          <w:rFonts w:asciiTheme="majorBidi" w:hAnsiTheme="majorBidi" w:cstheme="majorBidi"/>
          <w:sz w:val="20"/>
          <w:szCs w:val="20"/>
        </w:rPr>
        <w:t>Lihat</w:t>
      </w:r>
      <w:r>
        <w:rPr>
          <w:rFonts w:asciiTheme="majorBidi" w:hAnsiTheme="majorBidi" w:cstheme="majorBidi"/>
          <w:sz w:val="20"/>
          <w:szCs w:val="20"/>
        </w:rPr>
        <w:t xml:space="preserve">. </w:t>
      </w:r>
      <w:r w:rsidRPr="002B74A3">
        <w:rPr>
          <w:rFonts w:asciiTheme="majorBidi" w:hAnsiTheme="majorBidi" w:cstheme="majorBidi"/>
          <w:sz w:val="20"/>
          <w:szCs w:val="20"/>
        </w:rPr>
        <w:t xml:space="preserve">Qasim Amin, </w:t>
      </w:r>
      <w:r w:rsidRPr="002B74A3">
        <w:rPr>
          <w:rFonts w:asciiTheme="majorBidi" w:hAnsiTheme="majorBidi" w:cstheme="majorBidi"/>
          <w:i/>
          <w:iCs/>
          <w:sz w:val="20"/>
          <w:szCs w:val="20"/>
        </w:rPr>
        <w:t>Ta</w:t>
      </w:r>
      <w:r w:rsidRPr="002B74A3">
        <w:rPr>
          <w:rFonts w:asciiTheme="majorBidi" w:hAnsiTheme="majorBidi" w:cstheme="majorBidi"/>
          <w:i/>
          <w:iCs/>
          <w:sz w:val="21"/>
          <w:szCs w:val="21"/>
        </w:rPr>
        <w:t>h</w:t>
      </w:r>
      <w:r w:rsidRPr="002B74A3">
        <w:rPr>
          <w:rFonts w:asciiTheme="majorBidi" w:hAnsiTheme="majorBidi" w:cstheme="majorBidi"/>
          <w:i/>
          <w:iCs/>
          <w:sz w:val="20"/>
          <w:szCs w:val="20"/>
        </w:rPr>
        <w:t>r</w:t>
      </w:r>
      <w:r w:rsidRPr="002B74A3">
        <w:rPr>
          <w:rFonts w:asciiTheme="majorBidi" w:hAnsiTheme="majorBidi" w:cstheme="majorBidi"/>
          <w:i/>
          <w:iCs/>
          <w:sz w:val="21"/>
          <w:szCs w:val="21"/>
        </w:rPr>
        <w:t>i</w:t>
      </w:r>
      <w:r w:rsidRPr="002B74A3">
        <w:rPr>
          <w:rFonts w:asciiTheme="majorBidi" w:hAnsiTheme="majorBidi" w:cstheme="majorBidi"/>
          <w:i/>
          <w:iCs/>
          <w:sz w:val="20"/>
          <w:szCs w:val="20"/>
        </w:rPr>
        <w:t>r al-Mar</w:t>
      </w:r>
      <w:r w:rsidRPr="002B74A3">
        <w:rPr>
          <w:rFonts w:asciiTheme="majorBidi" w:hAnsiTheme="majorBidi" w:cstheme="majorBidi"/>
          <w:i/>
          <w:iCs/>
          <w:sz w:val="21"/>
          <w:szCs w:val="21"/>
        </w:rPr>
        <w:t>‘</w:t>
      </w:r>
      <w:r w:rsidRPr="002B74A3">
        <w:rPr>
          <w:rFonts w:asciiTheme="majorBidi" w:hAnsiTheme="majorBidi" w:cstheme="majorBidi"/>
          <w:i/>
          <w:iCs/>
          <w:sz w:val="20"/>
          <w:szCs w:val="20"/>
        </w:rPr>
        <w:t>ah</w:t>
      </w:r>
      <w:r>
        <w:rPr>
          <w:rFonts w:asciiTheme="majorBidi" w:hAnsiTheme="majorBidi" w:cstheme="majorBidi"/>
          <w:sz w:val="20"/>
          <w:szCs w:val="20"/>
        </w:rPr>
        <w:t>, (Kairo : Al-Markaz al-‘Arabi</w:t>
      </w:r>
      <w:r w:rsidRPr="002B74A3">
        <w:rPr>
          <w:rFonts w:asciiTheme="majorBidi" w:hAnsiTheme="majorBidi" w:cstheme="majorBidi"/>
          <w:sz w:val="20"/>
          <w:szCs w:val="20"/>
        </w:rPr>
        <w:t xml:space="preserve"> li al-Bah</w:t>
      </w:r>
      <w:r>
        <w:rPr>
          <w:rFonts w:asciiTheme="majorBidi" w:hAnsiTheme="majorBidi" w:cstheme="majorBidi"/>
          <w:sz w:val="20"/>
          <w:szCs w:val="20"/>
        </w:rPr>
        <w:t>st</w:t>
      </w:r>
      <w:r w:rsidRPr="002B74A3">
        <w:rPr>
          <w:rFonts w:asciiTheme="majorBidi" w:hAnsiTheme="majorBidi" w:cstheme="majorBidi"/>
          <w:sz w:val="20"/>
          <w:szCs w:val="20"/>
        </w:rPr>
        <w:t xml:space="preserve"> wa al-Nasyr, 1981), h. 179.</w:t>
      </w:r>
    </w:p>
  </w:footnote>
  <w:footnote w:id="896">
    <w:p w:rsidR="00343B61" w:rsidRDefault="00343B61" w:rsidP="00343B61">
      <w:pPr>
        <w:pStyle w:val="FootnoteText"/>
        <w:ind w:firstLine="720"/>
        <w:jc w:val="both"/>
      </w:pPr>
      <w:r>
        <w:rPr>
          <w:rStyle w:val="FootnoteReference"/>
        </w:rPr>
        <w:footnoteRef/>
      </w:r>
      <w:r>
        <w:t xml:space="preserve"> </w:t>
      </w:r>
      <w:r w:rsidRPr="00FE6295">
        <w:rPr>
          <w:rFonts w:asciiTheme="majorBidi" w:hAnsiTheme="majorBidi" w:cstheme="majorBidi"/>
        </w:rPr>
        <w:t xml:space="preserve">Lihat. M. A. Sahal Mahfudh, </w:t>
      </w:r>
      <w:r w:rsidRPr="00FE6295">
        <w:rPr>
          <w:rFonts w:asciiTheme="majorBidi" w:hAnsiTheme="majorBidi" w:cstheme="majorBidi"/>
          <w:i/>
          <w:iCs/>
        </w:rPr>
        <w:t>Himpunan Keputusan Musyawarah Nasional Majelis Ulama Indonesia Tahun 2005</w:t>
      </w:r>
      <w:r>
        <w:rPr>
          <w:rFonts w:asciiTheme="majorBidi" w:hAnsiTheme="majorBidi" w:cstheme="majorBidi"/>
        </w:rPr>
        <w:t>, ( Jakarta: Sekr</w:t>
      </w:r>
      <w:r w:rsidRPr="00FE6295">
        <w:rPr>
          <w:rFonts w:asciiTheme="majorBidi" w:hAnsiTheme="majorBidi" w:cstheme="majorBidi"/>
        </w:rPr>
        <w:t>e</w:t>
      </w:r>
      <w:r>
        <w:rPr>
          <w:rFonts w:asciiTheme="majorBidi" w:hAnsiTheme="majorBidi" w:cstheme="majorBidi"/>
        </w:rPr>
        <w:t>ta</w:t>
      </w:r>
      <w:r w:rsidRPr="00FE6295">
        <w:rPr>
          <w:rFonts w:asciiTheme="majorBidi" w:hAnsiTheme="majorBidi" w:cstheme="majorBidi"/>
        </w:rPr>
        <w:t>riat Majelis Ulama Indonesia, 2005), h. 148</w:t>
      </w:r>
    </w:p>
  </w:footnote>
  <w:footnote w:id="897">
    <w:p w:rsidR="00343B61" w:rsidRPr="00256C97" w:rsidRDefault="00343B61" w:rsidP="00343B61">
      <w:pPr>
        <w:autoSpaceDE w:val="0"/>
        <w:autoSpaceDN w:val="0"/>
        <w:adjustRightInd w:val="0"/>
        <w:spacing w:after="0" w:line="240" w:lineRule="auto"/>
        <w:ind w:firstLine="720"/>
        <w:jc w:val="both"/>
        <w:rPr>
          <w:rFonts w:asciiTheme="majorBidi" w:hAnsiTheme="majorBidi" w:cstheme="majorBidi"/>
          <w:sz w:val="20"/>
          <w:szCs w:val="20"/>
        </w:rPr>
      </w:pPr>
      <w:r w:rsidRPr="00256C97">
        <w:rPr>
          <w:rStyle w:val="FootnoteReference"/>
          <w:rFonts w:asciiTheme="majorBidi" w:hAnsiTheme="majorBidi" w:cstheme="majorBidi"/>
          <w:sz w:val="20"/>
          <w:szCs w:val="20"/>
        </w:rPr>
        <w:footnoteRef/>
      </w:r>
      <w:r w:rsidRPr="00256C97">
        <w:rPr>
          <w:rFonts w:asciiTheme="majorBidi" w:hAnsiTheme="majorBidi" w:cstheme="majorBidi"/>
          <w:sz w:val="20"/>
          <w:szCs w:val="20"/>
        </w:rPr>
        <w:t xml:space="preserve"> Pada Pasal 171 huruf c berbunyi, Ahli waris adalah orang yang pada saat meninggal dunia mempunyai hubungan darah atau hubungan perkawinan dengan pewaris, beragama Islam dan tidak terhalang karena hukum untuk menjadi ahli waris.. Lihat Kompilasi Hukum Islam, h. 35</w:t>
      </w:r>
    </w:p>
    <w:p w:rsidR="00343B61" w:rsidRDefault="00343B61" w:rsidP="00343B61">
      <w:pPr>
        <w:pStyle w:val="FootnoteText"/>
        <w:ind w:firstLine="720"/>
      </w:pPr>
    </w:p>
  </w:footnote>
  <w:footnote w:id="898">
    <w:p w:rsidR="00343B61" w:rsidRPr="004666EA" w:rsidRDefault="00343B61" w:rsidP="00343B61">
      <w:pPr>
        <w:pStyle w:val="FootnoteText"/>
        <w:ind w:firstLine="720"/>
        <w:jc w:val="both"/>
        <w:rPr>
          <w:rFonts w:asciiTheme="majorBidi" w:hAnsiTheme="majorBidi" w:cstheme="majorBidi"/>
        </w:rPr>
      </w:pPr>
      <w:r w:rsidRPr="004666EA">
        <w:rPr>
          <w:rStyle w:val="FootnoteReference"/>
          <w:rFonts w:asciiTheme="majorBidi" w:hAnsiTheme="majorBidi" w:cstheme="majorBidi"/>
        </w:rPr>
        <w:footnoteRef/>
      </w:r>
      <w:r w:rsidRPr="004666EA">
        <w:rPr>
          <w:rFonts w:asciiTheme="majorBidi" w:hAnsiTheme="majorBidi" w:cstheme="majorBidi"/>
        </w:rPr>
        <w:t xml:space="preserve"> Lihat. Ahmad Sukarja, </w:t>
      </w:r>
      <w:r w:rsidRPr="004666EA">
        <w:rPr>
          <w:rFonts w:asciiTheme="majorBidi" w:hAnsiTheme="majorBidi" w:cstheme="majorBidi"/>
          <w:i/>
          <w:iCs/>
        </w:rPr>
        <w:t>Piagam Madinah dan UUD 1945</w:t>
      </w:r>
      <w:r w:rsidRPr="004666EA">
        <w:rPr>
          <w:rFonts w:asciiTheme="majorBidi" w:hAnsiTheme="majorBidi" w:cstheme="majorBidi"/>
        </w:rPr>
        <w:t xml:space="preserve">, ( Jakarta: Universitas Indonesia Press, 1995) h. 11, </w:t>
      </w:r>
    </w:p>
  </w:footnote>
  <w:footnote w:id="899">
    <w:p w:rsidR="00343B61" w:rsidRPr="006755F1" w:rsidRDefault="00343B61" w:rsidP="00343B61">
      <w:pPr>
        <w:pStyle w:val="FootnoteText"/>
        <w:ind w:firstLine="720"/>
        <w:jc w:val="both"/>
        <w:rPr>
          <w:rFonts w:asciiTheme="majorBidi" w:hAnsiTheme="majorBidi" w:cstheme="majorBidi"/>
        </w:rPr>
      </w:pPr>
      <w:r w:rsidRPr="006755F1">
        <w:rPr>
          <w:rStyle w:val="FootnoteReference"/>
          <w:rFonts w:asciiTheme="majorBidi" w:hAnsiTheme="majorBidi" w:cstheme="majorBidi"/>
        </w:rPr>
        <w:footnoteRef/>
      </w:r>
      <w:r w:rsidRPr="006755F1">
        <w:rPr>
          <w:rFonts w:asciiTheme="majorBidi" w:hAnsiTheme="majorBidi" w:cstheme="majorBidi"/>
        </w:rPr>
        <w:t xml:space="preserve"> Lihat. Ibn Hazm, </w:t>
      </w:r>
      <w:r w:rsidRPr="006755F1">
        <w:rPr>
          <w:rFonts w:asciiTheme="majorBidi" w:hAnsiTheme="majorBidi" w:cstheme="majorBidi"/>
          <w:i/>
          <w:iCs/>
        </w:rPr>
        <w:t xml:space="preserve">al-Muhalla </w:t>
      </w:r>
      <w:r w:rsidRPr="006755F1">
        <w:rPr>
          <w:rFonts w:asciiTheme="majorBidi" w:hAnsiTheme="majorBidi" w:cstheme="majorBidi"/>
        </w:rPr>
        <w:t>(Beirut: Dar al-Fikr, tt), jilid  IX, h. 314.</w:t>
      </w:r>
    </w:p>
  </w:footnote>
  <w:footnote w:id="900">
    <w:p w:rsidR="00343B61" w:rsidRPr="006755F1" w:rsidRDefault="00343B61" w:rsidP="00343B61">
      <w:pPr>
        <w:pStyle w:val="FootnoteText"/>
        <w:ind w:firstLine="720"/>
        <w:jc w:val="both"/>
        <w:rPr>
          <w:rFonts w:asciiTheme="majorBidi" w:hAnsiTheme="majorBidi" w:cstheme="majorBidi"/>
        </w:rPr>
      </w:pPr>
      <w:r w:rsidRPr="006755F1">
        <w:rPr>
          <w:rStyle w:val="FootnoteReference"/>
          <w:rFonts w:asciiTheme="majorBidi" w:hAnsiTheme="majorBidi" w:cstheme="majorBidi"/>
        </w:rPr>
        <w:footnoteRef/>
      </w:r>
      <w:r w:rsidRPr="006755F1">
        <w:rPr>
          <w:rFonts w:asciiTheme="majorBidi" w:hAnsiTheme="majorBidi" w:cstheme="majorBidi"/>
        </w:rPr>
        <w:t xml:space="preserve"> Lihat. At-Tabari, </w:t>
      </w:r>
      <w:r w:rsidRPr="006755F1">
        <w:rPr>
          <w:rFonts w:asciiTheme="majorBidi" w:hAnsiTheme="majorBidi" w:cstheme="majorBidi"/>
          <w:i/>
          <w:iCs/>
        </w:rPr>
        <w:t xml:space="preserve">Tafsir Jamiul Bayan </w:t>
      </w:r>
      <w:r w:rsidRPr="006755F1">
        <w:rPr>
          <w:rFonts w:asciiTheme="majorBidi" w:hAnsiTheme="majorBidi" w:cstheme="majorBidi"/>
        </w:rPr>
        <w:t xml:space="preserve">(T.tp: Iqamu ad-Din, 1988), Jilid II, h. 115. </w:t>
      </w:r>
    </w:p>
  </w:footnote>
  <w:footnote w:id="901">
    <w:p w:rsidR="00343B61" w:rsidRPr="006755F1" w:rsidRDefault="00343B61" w:rsidP="00343B61">
      <w:pPr>
        <w:pStyle w:val="FootnoteText"/>
        <w:ind w:firstLine="720"/>
        <w:jc w:val="both"/>
        <w:rPr>
          <w:rFonts w:asciiTheme="majorBidi" w:hAnsiTheme="majorBidi" w:cstheme="majorBidi"/>
        </w:rPr>
      </w:pPr>
      <w:r w:rsidRPr="006755F1">
        <w:rPr>
          <w:rStyle w:val="FootnoteReference"/>
          <w:rFonts w:asciiTheme="majorBidi" w:hAnsiTheme="majorBidi" w:cstheme="majorBidi"/>
        </w:rPr>
        <w:footnoteRef/>
      </w:r>
      <w:r w:rsidRPr="006755F1">
        <w:rPr>
          <w:rFonts w:asciiTheme="majorBidi" w:hAnsiTheme="majorBidi" w:cstheme="majorBidi"/>
        </w:rPr>
        <w:t xml:space="preserve"> Lihat. Muhammad Rasyid Rida, </w:t>
      </w:r>
      <w:r w:rsidRPr="006755F1">
        <w:rPr>
          <w:rFonts w:asciiTheme="majorBidi" w:hAnsiTheme="majorBidi" w:cstheme="majorBidi"/>
          <w:i/>
          <w:iCs/>
        </w:rPr>
        <w:t xml:space="preserve">Tafsir al-Manar </w:t>
      </w:r>
      <w:r w:rsidRPr="006755F1">
        <w:rPr>
          <w:rFonts w:asciiTheme="majorBidi" w:hAnsiTheme="majorBidi" w:cstheme="majorBidi"/>
        </w:rPr>
        <w:t xml:space="preserve">(Beirut: Dar al-Fikr, tt) Jilid, II. h. 136. </w:t>
      </w:r>
    </w:p>
  </w:footnote>
  <w:footnote w:id="902">
    <w:p w:rsidR="00343B61" w:rsidRPr="006755F1" w:rsidRDefault="00343B61" w:rsidP="00343B61">
      <w:pPr>
        <w:pStyle w:val="FootnoteText"/>
        <w:ind w:firstLine="720"/>
        <w:rPr>
          <w:rFonts w:asciiTheme="majorBidi" w:hAnsiTheme="majorBidi" w:cstheme="majorBidi"/>
        </w:rPr>
      </w:pPr>
      <w:r w:rsidRPr="006755F1">
        <w:rPr>
          <w:rStyle w:val="FootnoteReference"/>
          <w:rFonts w:asciiTheme="majorBidi" w:hAnsiTheme="majorBidi" w:cstheme="majorBidi"/>
        </w:rPr>
        <w:footnoteRef/>
      </w:r>
      <w:r w:rsidRPr="006755F1">
        <w:rPr>
          <w:rFonts w:asciiTheme="majorBidi" w:hAnsiTheme="majorBidi" w:cstheme="majorBidi"/>
        </w:rPr>
        <w:t xml:space="preserve"> Lihat. Muhibuddin, </w:t>
      </w:r>
      <w:r w:rsidRPr="006755F1">
        <w:rPr>
          <w:rFonts w:asciiTheme="majorBidi" w:hAnsiTheme="majorBidi" w:cstheme="majorBidi"/>
          <w:i/>
          <w:iCs/>
        </w:rPr>
        <w:t>Pembaharuan Hukum Waris Islam Di Indonesia</w:t>
      </w:r>
      <w:r w:rsidRPr="006755F1">
        <w:rPr>
          <w:rFonts w:asciiTheme="majorBidi" w:hAnsiTheme="majorBidi" w:cstheme="majorBidi"/>
        </w:rPr>
        <w:t>, Makalah tidak diterbitkan, h. 9</w:t>
      </w:r>
    </w:p>
  </w:footnote>
  <w:footnote w:id="903">
    <w:p w:rsidR="00343B61" w:rsidRPr="008E1E94" w:rsidRDefault="00343B61" w:rsidP="00343B61">
      <w:pPr>
        <w:spacing w:line="240" w:lineRule="auto"/>
        <w:ind w:firstLine="720"/>
        <w:jc w:val="both"/>
        <w:rPr>
          <w:rFonts w:asciiTheme="majorBidi" w:hAnsiTheme="majorBidi" w:cstheme="majorBidi"/>
          <w:sz w:val="20"/>
          <w:szCs w:val="20"/>
        </w:rPr>
      </w:pPr>
      <w:r w:rsidRPr="006755F1">
        <w:rPr>
          <w:rStyle w:val="FootnoteReference"/>
          <w:rFonts w:asciiTheme="majorBidi" w:hAnsiTheme="majorBidi" w:cstheme="majorBidi"/>
          <w:sz w:val="20"/>
          <w:szCs w:val="20"/>
        </w:rPr>
        <w:footnoteRef/>
      </w:r>
      <w:r w:rsidRPr="006755F1">
        <w:rPr>
          <w:rFonts w:asciiTheme="majorBidi" w:hAnsiTheme="majorBidi" w:cstheme="majorBidi"/>
          <w:sz w:val="20"/>
          <w:szCs w:val="20"/>
        </w:rPr>
        <w:t xml:space="preserve"> Lihat. Muhibuddin, </w:t>
      </w:r>
      <w:r w:rsidRPr="006755F1">
        <w:rPr>
          <w:rFonts w:asciiTheme="majorBidi" w:hAnsiTheme="majorBidi" w:cstheme="majorBidi"/>
          <w:i/>
          <w:iCs/>
          <w:sz w:val="20"/>
          <w:szCs w:val="20"/>
        </w:rPr>
        <w:t>Pembaharuan Hukum Waris Islam Di Indonesia</w:t>
      </w:r>
      <w:r w:rsidRPr="006755F1">
        <w:rPr>
          <w:rFonts w:asciiTheme="majorBidi" w:hAnsiTheme="majorBidi" w:cstheme="majorBidi"/>
          <w:sz w:val="20"/>
          <w:szCs w:val="20"/>
        </w:rPr>
        <w:t>, Makalah tidak diterbitkan, h. 9</w:t>
      </w:r>
    </w:p>
  </w:footnote>
  <w:footnote w:id="904">
    <w:p w:rsidR="00343B61" w:rsidRPr="008E76E5" w:rsidRDefault="00343B61" w:rsidP="00343B61">
      <w:pPr>
        <w:pStyle w:val="FootnoteText"/>
        <w:ind w:firstLine="720"/>
        <w:rPr>
          <w:rFonts w:asciiTheme="majorBidi" w:hAnsiTheme="majorBidi" w:cstheme="majorBidi"/>
        </w:rPr>
      </w:pPr>
      <w:r w:rsidRPr="008E76E5">
        <w:rPr>
          <w:rStyle w:val="FootnoteReference"/>
          <w:rFonts w:asciiTheme="majorBidi" w:hAnsiTheme="majorBidi" w:cstheme="majorBidi"/>
        </w:rPr>
        <w:footnoteRef/>
      </w:r>
      <w:r w:rsidRPr="008E76E5">
        <w:rPr>
          <w:rFonts w:asciiTheme="majorBidi" w:hAnsiTheme="majorBidi" w:cstheme="majorBidi"/>
        </w:rPr>
        <w:t xml:space="preserve"> Lihat. Alī Aḥmad al-Jurjāwī, </w:t>
      </w:r>
      <w:r w:rsidRPr="008E76E5">
        <w:rPr>
          <w:rFonts w:asciiTheme="majorBidi" w:hAnsiTheme="majorBidi" w:cstheme="majorBidi"/>
          <w:i/>
          <w:iCs/>
        </w:rPr>
        <w:t>Ḥikmah al-Tashri</w:t>
      </w:r>
      <w:r w:rsidRPr="008E76E5">
        <w:rPr>
          <w:rFonts w:asciiTheme="majorBidi" w:hAnsiTheme="majorBidi" w:cstheme="majorBidi"/>
        </w:rPr>
        <w:t xml:space="preserve">, 269.  </w:t>
      </w:r>
    </w:p>
  </w:footnote>
  <w:footnote w:id="905">
    <w:p w:rsidR="00343B61" w:rsidRDefault="00343B61" w:rsidP="00343B61">
      <w:pPr>
        <w:pStyle w:val="FootnoteText"/>
        <w:ind w:firstLine="720"/>
        <w:jc w:val="both"/>
      </w:pPr>
      <w:r>
        <w:rPr>
          <w:rStyle w:val="FootnoteReference"/>
        </w:rPr>
        <w:footnoteRef/>
      </w:r>
      <w:r>
        <w:t xml:space="preserve"> </w:t>
      </w:r>
      <w:r w:rsidRPr="00F525B7">
        <w:rPr>
          <w:rFonts w:asciiTheme="majorBidi" w:hAnsiTheme="majorBidi" w:cstheme="majorBidi"/>
        </w:rPr>
        <w:t xml:space="preserve">Lihat. MUI, </w:t>
      </w:r>
      <w:r w:rsidRPr="00F525B7">
        <w:rPr>
          <w:rFonts w:asciiTheme="majorBidi" w:hAnsiTheme="majorBidi" w:cstheme="majorBidi"/>
          <w:i/>
          <w:iCs/>
        </w:rPr>
        <w:t xml:space="preserve">Fatwa </w:t>
      </w:r>
      <w:r w:rsidRPr="00F525B7">
        <w:rPr>
          <w:rFonts w:asciiTheme="majorBidi" w:hAnsiTheme="majorBidi" w:cstheme="majorBidi"/>
          <w:i/>
          <w:iCs/>
          <w:color w:val="000000"/>
          <w:lang w:val="sv-SE"/>
        </w:rPr>
        <w:t>Tentang  Kedudukan Anak Hasil Zina Dan Perlakuan Terhadapnya</w:t>
      </w:r>
      <w:r w:rsidRPr="00F525B7">
        <w:rPr>
          <w:rFonts w:asciiTheme="majorBidi" w:hAnsiTheme="majorBidi" w:cstheme="majorBidi"/>
          <w:color w:val="000000"/>
          <w:lang w:val="sv-SE"/>
        </w:rPr>
        <w:t>, ( Jakarta: Komisi Fatwa Majelis Ulama Indonesia, 2012), h. 1</w:t>
      </w:r>
      <w:r>
        <w:rPr>
          <w:rFonts w:asciiTheme="majorBidi" w:hAnsiTheme="majorBidi" w:cstheme="majorBidi"/>
          <w:color w:val="000000"/>
          <w:lang w:val="sv-SE"/>
        </w:rPr>
        <w:t>0</w:t>
      </w:r>
    </w:p>
  </w:footnote>
  <w:footnote w:id="906">
    <w:p w:rsidR="00343B61" w:rsidRPr="001454A9" w:rsidRDefault="00343B61" w:rsidP="00343B61">
      <w:pPr>
        <w:pStyle w:val="FootnoteText"/>
        <w:ind w:firstLine="720"/>
        <w:rPr>
          <w:rFonts w:asciiTheme="majorBidi" w:hAnsiTheme="majorBidi" w:cstheme="majorBidi"/>
        </w:rPr>
      </w:pPr>
      <w:r w:rsidRPr="001454A9">
        <w:rPr>
          <w:rStyle w:val="FootnoteReference"/>
          <w:rFonts w:asciiTheme="majorBidi" w:hAnsiTheme="majorBidi" w:cstheme="majorBidi"/>
        </w:rPr>
        <w:footnoteRef/>
      </w:r>
      <w:r w:rsidRPr="001454A9">
        <w:rPr>
          <w:rFonts w:asciiTheme="majorBidi" w:hAnsiTheme="majorBidi" w:cstheme="majorBidi"/>
        </w:rPr>
        <w:t xml:space="preserve"> Lihat.dalam </w:t>
      </w:r>
      <w:r w:rsidRPr="001454A9">
        <w:rPr>
          <w:rFonts w:asciiTheme="majorBidi" w:hAnsiTheme="majorBidi" w:cstheme="majorBidi"/>
          <w:lang w:val="sv-SE"/>
        </w:rPr>
        <w:t xml:space="preserve">Undang-undang  No 1 Tahun 1974 </w:t>
      </w:r>
      <w:r w:rsidRPr="001454A9">
        <w:rPr>
          <w:rFonts w:asciiTheme="majorBidi" w:hAnsiTheme="majorBidi" w:cstheme="majorBidi"/>
          <w:color w:val="000000"/>
        </w:rPr>
        <w:t>Pasal 43, h. 10</w:t>
      </w:r>
    </w:p>
  </w:footnote>
  <w:footnote w:id="907">
    <w:p w:rsidR="00343B61" w:rsidRDefault="00343B61" w:rsidP="00343B61">
      <w:pPr>
        <w:pStyle w:val="FootnoteText"/>
        <w:ind w:firstLine="720"/>
      </w:pPr>
      <w:r w:rsidRPr="001454A9">
        <w:rPr>
          <w:rStyle w:val="FootnoteReference"/>
          <w:rFonts w:asciiTheme="majorBidi" w:hAnsiTheme="majorBidi" w:cstheme="majorBidi"/>
        </w:rPr>
        <w:footnoteRef/>
      </w:r>
      <w:r w:rsidRPr="001454A9">
        <w:rPr>
          <w:rFonts w:asciiTheme="majorBidi" w:hAnsiTheme="majorBidi" w:cstheme="majorBidi"/>
        </w:rPr>
        <w:t xml:space="preserve"> Lihat Kompilasi Hukum Islam (KHI) Pasal 99 dan Pasal 100</w:t>
      </w:r>
    </w:p>
  </w:footnote>
  <w:footnote w:id="908">
    <w:p w:rsidR="00343B61" w:rsidRPr="001C7DA4" w:rsidRDefault="00343B61" w:rsidP="00343B61">
      <w:pPr>
        <w:pStyle w:val="FootnoteText"/>
        <w:ind w:firstLine="720"/>
        <w:rPr>
          <w:rFonts w:asciiTheme="majorBidi" w:hAnsiTheme="majorBidi" w:cstheme="majorBidi"/>
        </w:rPr>
      </w:pPr>
      <w:r w:rsidRPr="001C7DA4">
        <w:rPr>
          <w:rStyle w:val="FootnoteReference"/>
          <w:rFonts w:asciiTheme="majorBidi" w:hAnsiTheme="majorBidi" w:cstheme="majorBidi"/>
        </w:rPr>
        <w:footnoteRef/>
      </w:r>
      <w:r w:rsidRPr="001C7DA4">
        <w:rPr>
          <w:rFonts w:asciiTheme="majorBidi" w:hAnsiTheme="majorBidi" w:cstheme="majorBidi"/>
        </w:rPr>
        <w:t xml:space="preserve"> Lihat. Fatwa Majelis Ulama Indonesia No 11 Tahun 2012 Tentang  Status Anak Yang Lahir di Luar Pernikahan dan Perlakuan Padanya </w:t>
      </w:r>
    </w:p>
  </w:footnote>
  <w:footnote w:id="909">
    <w:p w:rsidR="00343B61" w:rsidRPr="00AE3586" w:rsidRDefault="00343B61" w:rsidP="00343B61">
      <w:pPr>
        <w:pStyle w:val="FootnoteText"/>
        <w:ind w:firstLine="720"/>
        <w:jc w:val="both"/>
        <w:rPr>
          <w:rFonts w:asciiTheme="majorBidi" w:hAnsiTheme="majorBidi" w:cstheme="majorBidi"/>
        </w:rPr>
      </w:pPr>
      <w:r w:rsidRPr="00AE3586">
        <w:rPr>
          <w:rStyle w:val="FootnoteReference"/>
          <w:rFonts w:asciiTheme="majorBidi" w:hAnsiTheme="majorBidi" w:cstheme="majorBidi"/>
        </w:rPr>
        <w:footnoteRef/>
      </w:r>
      <w:r w:rsidRPr="00AE3586">
        <w:rPr>
          <w:rFonts w:asciiTheme="majorBidi" w:hAnsiTheme="majorBidi" w:cstheme="majorBidi"/>
        </w:rPr>
        <w:t xml:space="preserve"> Lihat. MUI, </w:t>
      </w:r>
      <w:r w:rsidRPr="00AE3586">
        <w:rPr>
          <w:rFonts w:asciiTheme="majorBidi" w:hAnsiTheme="majorBidi" w:cstheme="majorBidi"/>
          <w:i/>
          <w:iCs/>
        </w:rPr>
        <w:t>Himpunan Keputusan Ijtima’ Ulama Komisi Fatwa Se-Indonesia Ke V Tahun 2015 di Ponpes At-Tauhidiyah</w:t>
      </w:r>
      <w:r w:rsidRPr="00AE3586">
        <w:rPr>
          <w:rFonts w:asciiTheme="majorBidi" w:hAnsiTheme="majorBidi" w:cstheme="majorBidi"/>
        </w:rPr>
        <w:t>, ( Jakarta: Majelis Ulama Indonesia, 2015), h. 50-51</w:t>
      </w:r>
    </w:p>
  </w:footnote>
  <w:footnote w:id="910">
    <w:p w:rsidR="00343B61" w:rsidRPr="00AE3586" w:rsidRDefault="00343B61" w:rsidP="00343B61">
      <w:pPr>
        <w:pStyle w:val="FootnoteText"/>
        <w:ind w:firstLine="720"/>
        <w:jc w:val="both"/>
      </w:pPr>
      <w:r w:rsidRPr="00AE3586">
        <w:rPr>
          <w:rStyle w:val="FootnoteReference"/>
          <w:rFonts w:asciiTheme="majorBidi" w:hAnsiTheme="majorBidi" w:cstheme="majorBidi"/>
        </w:rPr>
        <w:footnoteRef/>
      </w:r>
      <w:r w:rsidRPr="00AE3586">
        <w:rPr>
          <w:rFonts w:asciiTheme="majorBidi" w:hAnsiTheme="majorBidi" w:cstheme="majorBidi"/>
        </w:rPr>
        <w:t xml:space="preserve"> Lihat. MUI, </w:t>
      </w:r>
      <w:r w:rsidRPr="00AE3586">
        <w:rPr>
          <w:rFonts w:asciiTheme="majorBidi" w:hAnsiTheme="majorBidi" w:cstheme="majorBidi"/>
          <w:i/>
          <w:iCs/>
        </w:rPr>
        <w:t>Himpunan Keputusan Ijtima’ Ulama Komisi Fatwa Se-Indonesia Ke V Tahun 2015 di Ponpes At-Tauhidiyah</w:t>
      </w:r>
      <w:r w:rsidRPr="00AE3586">
        <w:rPr>
          <w:rFonts w:asciiTheme="majorBidi" w:hAnsiTheme="majorBidi" w:cstheme="majorBidi"/>
        </w:rPr>
        <w:t>, ( Jakarta: Majelis Ulama Indonesia, 2015), h. 53</w:t>
      </w:r>
    </w:p>
  </w:footnote>
  <w:footnote w:id="911">
    <w:p w:rsidR="00343B61" w:rsidRPr="0043390B" w:rsidRDefault="00343B61" w:rsidP="00343B61">
      <w:pPr>
        <w:pStyle w:val="FootnoteText"/>
        <w:ind w:firstLine="720"/>
        <w:jc w:val="both"/>
        <w:rPr>
          <w:rFonts w:asciiTheme="majorBidi" w:hAnsiTheme="majorBidi" w:cstheme="majorBidi"/>
        </w:rPr>
      </w:pPr>
      <w:r w:rsidRPr="0043390B">
        <w:rPr>
          <w:rStyle w:val="FootnoteReference"/>
          <w:rFonts w:asciiTheme="majorBidi" w:hAnsiTheme="majorBidi" w:cstheme="majorBidi"/>
        </w:rPr>
        <w:footnoteRef/>
      </w:r>
      <w:r w:rsidRPr="0043390B">
        <w:rPr>
          <w:rFonts w:asciiTheme="majorBidi" w:hAnsiTheme="majorBidi" w:cstheme="majorBidi"/>
        </w:rPr>
        <w:t xml:space="preserve"> Lihat. </w:t>
      </w:r>
      <w:hyperlink r:id="rId8" w:history="1">
        <w:r w:rsidRPr="0043390B">
          <w:rPr>
            <w:rFonts w:asciiTheme="majorBidi" w:hAnsiTheme="majorBidi" w:cstheme="majorBidi"/>
            <w:i/>
            <w:iCs/>
            <w:lang w:val="sv-SE"/>
          </w:rPr>
          <w:t>Undang-Undang No. 23 Tahun 2002 tentang Perlindungan Anak</w:t>
        </w:r>
      </w:hyperlink>
      <w:r w:rsidRPr="0043390B">
        <w:rPr>
          <w:rFonts w:asciiTheme="majorBidi" w:hAnsiTheme="majorBidi" w:cstheme="majorBidi"/>
        </w:rPr>
        <w:t xml:space="preserve"> </w:t>
      </w:r>
      <w:r w:rsidRPr="0043390B">
        <w:rPr>
          <w:rFonts w:asciiTheme="majorBidi" w:hAnsiTheme="majorBidi" w:cstheme="majorBidi"/>
          <w:lang w:val="sv-SE"/>
        </w:rPr>
        <w:t>Pasal 1 angka 11</w:t>
      </w:r>
    </w:p>
  </w:footnote>
  <w:footnote w:id="912">
    <w:p w:rsidR="00343B61" w:rsidRPr="00A6641B" w:rsidRDefault="00343B61" w:rsidP="00343B61">
      <w:pPr>
        <w:pStyle w:val="FootnoteText"/>
        <w:ind w:firstLine="720"/>
        <w:jc w:val="both"/>
        <w:rPr>
          <w:rFonts w:asciiTheme="majorBidi" w:hAnsiTheme="majorBidi" w:cstheme="majorBidi"/>
        </w:rPr>
      </w:pPr>
      <w:r w:rsidRPr="0043390B">
        <w:rPr>
          <w:rStyle w:val="FootnoteReference"/>
          <w:rFonts w:asciiTheme="majorBidi" w:hAnsiTheme="majorBidi" w:cstheme="majorBidi"/>
        </w:rPr>
        <w:footnoteRef/>
      </w:r>
      <w:r w:rsidRPr="0043390B">
        <w:rPr>
          <w:rFonts w:asciiTheme="majorBidi" w:hAnsiTheme="majorBidi" w:cstheme="majorBidi"/>
        </w:rPr>
        <w:t xml:space="preserve"> Lihat. </w:t>
      </w:r>
      <w:r w:rsidRPr="0043390B">
        <w:rPr>
          <w:rFonts w:asciiTheme="majorBidi" w:hAnsiTheme="majorBidi" w:cstheme="majorBidi"/>
          <w:i/>
          <w:iCs/>
          <w:lang w:val="sv-SE"/>
        </w:rPr>
        <w:t>Kompilasi Hukum Islam</w:t>
      </w:r>
      <w:r w:rsidRPr="0043390B">
        <w:rPr>
          <w:rFonts w:asciiTheme="majorBidi" w:hAnsiTheme="majorBidi" w:cstheme="majorBidi"/>
          <w:lang w:val="sv-SE"/>
        </w:rPr>
        <w:t xml:space="preserve"> (KHI) Pada Pasal 105.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61" w:rsidRDefault="00343B61" w:rsidP="007D559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3B61" w:rsidRDefault="00343B61" w:rsidP="001E660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61" w:rsidRDefault="00343B61" w:rsidP="001E660B">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61" w:rsidRDefault="00343B6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7C3" w:rsidRDefault="00144157" w:rsidP="007D559D">
    <w:pPr>
      <w:pStyle w:val="Header"/>
      <w:framePr w:wrap="around" w:vAnchor="text" w:hAnchor="margin" w:xAlign="right" w:y="1"/>
      <w:rPr>
        <w:rStyle w:val="PageNumber"/>
      </w:rPr>
    </w:pPr>
    <w:r>
      <w:rPr>
        <w:rStyle w:val="PageNumber"/>
      </w:rPr>
      <w:fldChar w:fldCharType="begin"/>
    </w:r>
    <w:r w:rsidR="009677C3">
      <w:rPr>
        <w:rStyle w:val="PageNumber"/>
      </w:rPr>
      <w:instrText xml:space="preserve">PAGE  </w:instrText>
    </w:r>
    <w:r>
      <w:rPr>
        <w:rStyle w:val="PageNumber"/>
      </w:rPr>
      <w:fldChar w:fldCharType="end"/>
    </w:r>
  </w:p>
  <w:p w:rsidR="009677C3" w:rsidRDefault="009677C3" w:rsidP="001E660B">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7C3" w:rsidRDefault="00144157" w:rsidP="002F43A2">
    <w:pPr>
      <w:pStyle w:val="Header"/>
      <w:framePr w:wrap="around" w:vAnchor="text" w:hAnchor="margin" w:xAlign="right" w:y="1"/>
      <w:rPr>
        <w:rStyle w:val="PageNumber"/>
      </w:rPr>
    </w:pPr>
    <w:r>
      <w:rPr>
        <w:rStyle w:val="PageNumber"/>
      </w:rPr>
      <w:fldChar w:fldCharType="begin"/>
    </w:r>
    <w:r w:rsidR="009677C3">
      <w:rPr>
        <w:rStyle w:val="PageNumber"/>
      </w:rPr>
      <w:instrText xml:space="preserve">PAGE  </w:instrText>
    </w:r>
    <w:r>
      <w:rPr>
        <w:rStyle w:val="PageNumber"/>
      </w:rPr>
      <w:fldChar w:fldCharType="separate"/>
    </w:r>
    <w:r w:rsidR="004B303F">
      <w:rPr>
        <w:rStyle w:val="PageNumber"/>
        <w:noProof/>
      </w:rPr>
      <w:t>374</w:t>
    </w:r>
    <w:r>
      <w:rPr>
        <w:rStyle w:val="PageNumber"/>
      </w:rPr>
      <w:fldChar w:fldCharType="end"/>
    </w:r>
  </w:p>
  <w:p w:rsidR="009677C3" w:rsidRDefault="009677C3" w:rsidP="001E660B">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402A"/>
    <w:multiLevelType w:val="hybridMultilevel"/>
    <w:tmpl w:val="1B46C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8479D"/>
    <w:multiLevelType w:val="hybridMultilevel"/>
    <w:tmpl w:val="EEA23F3C"/>
    <w:lvl w:ilvl="0" w:tplc="BF8C04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44E4187"/>
    <w:multiLevelType w:val="hybridMultilevel"/>
    <w:tmpl w:val="38466716"/>
    <w:lvl w:ilvl="0" w:tplc="89C035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499193A"/>
    <w:multiLevelType w:val="hybridMultilevel"/>
    <w:tmpl w:val="9B58F590"/>
    <w:lvl w:ilvl="0" w:tplc="47864DC0">
      <w:start w:val="4"/>
      <w:numFmt w:val="upp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4B9A6AC"/>
    <w:multiLevelType w:val="multilevel"/>
    <w:tmpl w:val="E24E4734"/>
    <w:lvl w:ilvl="0">
      <w:start w:val="1"/>
      <w:numFmt w:val="decimal"/>
      <w:lvlText w:val="%1."/>
      <w:lvlJc w:val="left"/>
      <w:pPr>
        <w:tabs>
          <w:tab w:val="num" w:pos="360"/>
        </w:tabs>
        <w:ind w:left="432" w:hanging="432"/>
      </w:pPr>
      <w:rPr>
        <w:rFonts w:ascii="Times New Roman" w:eastAsia="Calibri" w:hAnsi="Times New Roman" w:cs="Times New Roman"/>
        <w:b w:val="0"/>
        <w:bCs w:val="0"/>
        <w:i w:val="0"/>
        <w:iCs w:val="0"/>
        <w:snapToGrid/>
        <w:color w:val="453A45"/>
        <w:spacing w:val="1"/>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1B526D"/>
    <w:multiLevelType w:val="hybridMultilevel"/>
    <w:tmpl w:val="C23AE612"/>
    <w:lvl w:ilvl="0" w:tplc="F00C875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EE61BA"/>
    <w:multiLevelType w:val="hybridMultilevel"/>
    <w:tmpl w:val="BD026A52"/>
    <w:lvl w:ilvl="0" w:tplc="75B8892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8851938"/>
    <w:multiLevelType w:val="hybridMultilevel"/>
    <w:tmpl w:val="690EB0CA"/>
    <w:lvl w:ilvl="0" w:tplc="7EEA4D3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0A1F05B1"/>
    <w:multiLevelType w:val="hybridMultilevel"/>
    <w:tmpl w:val="3FBA2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275516"/>
    <w:multiLevelType w:val="hybridMultilevel"/>
    <w:tmpl w:val="E0C0D8F2"/>
    <w:lvl w:ilvl="0" w:tplc="A3AC6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C309CC"/>
    <w:multiLevelType w:val="hybridMultilevel"/>
    <w:tmpl w:val="3654B1CA"/>
    <w:lvl w:ilvl="0" w:tplc="6168520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18C616A"/>
    <w:multiLevelType w:val="hybridMultilevel"/>
    <w:tmpl w:val="A8F89B3C"/>
    <w:lvl w:ilvl="0" w:tplc="72FCAAC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6C40F52"/>
    <w:multiLevelType w:val="hybridMultilevel"/>
    <w:tmpl w:val="CD4C9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B53DA9"/>
    <w:multiLevelType w:val="hybridMultilevel"/>
    <w:tmpl w:val="AF5A9496"/>
    <w:lvl w:ilvl="0" w:tplc="9AA074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8453178"/>
    <w:multiLevelType w:val="hybridMultilevel"/>
    <w:tmpl w:val="AF8E8068"/>
    <w:lvl w:ilvl="0" w:tplc="CE3EDCD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982F6E"/>
    <w:multiLevelType w:val="hybridMultilevel"/>
    <w:tmpl w:val="22522E60"/>
    <w:lvl w:ilvl="0" w:tplc="798A0892">
      <w:start w:val="1"/>
      <w:numFmt w:val="lowerRoman"/>
      <w:lvlText w:val="%1."/>
      <w:lvlJc w:val="left"/>
      <w:pPr>
        <w:ind w:left="1080" w:hanging="36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372F78"/>
    <w:multiLevelType w:val="hybridMultilevel"/>
    <w:tmpl w:val="433A9C48"/>
    <w:lvl w:ilvl="0" w:tplc="F9E6B9A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C593F42"/>
    <w:multiLevelType w:val="hybridMultilevel"/>
    <w:tmpl w:val="97DC5FA8"/>
    <w:lvl w:ilvl="0" w:tplc="4B043794">
      <w:start w:val="1"/>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CB16DB3"/>
    <w:multiLevelType w:val="hybridMultilevel"/>
    <w:tmpl w:val="FBF6B0C2"/>
    <w:lvl w:ilvl="0" w:tplc="768C41C2">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9">
    <w:nsid w:val="20132F49"/>
    <w:multiLevelType w:val="hybridMultilevel"/>
    <w:tmpl w:val="09AC615E"/>
    <w:lvl w:ilvl="0" w:tplc="9F8EA06E">
      <w:start w:val="1"/>
      <w:numFmt w:val="decimal"/>
      <w:lvlText w:val="%1."/>
      <w:lvlJc w:val="left"/>
      <w:pPr>
        <w:ind w:left="1080" w:hanging="360"/>
      </w:pPr>
      <w:rPr>
        <w:rFonts w:ascii="Z@RB1D9.tmp" w:hAnsi="Z@RB1D9.tmp" w:cs="Z@RB1D9.tmp"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0C60A4B"/>
    <w:multiLevelType w:val="hybridMultilevel"/>
    <w:tmpl w:val="3BA0DA86"/>
    <w:lvl w:ilvl="0" w:tplc="D39482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45B7CB5"/>
    <w:multiLevelType w:val="hybridMultilevel"/>
    <w:tmpl w:val="995AA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AB61AC"/>
    <w:multiLevelType w:val="hybridMultilevel"/>
    <w:tmpl w:val="EAE6146A"/>
    <w:lvl w:ilvl="0" w:tplc="13EA6E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24DB15A1"/>
    <w:multiLevelType w:val="hybridMultilevel"/>
    <w:tmpl w:val="5548117A"/>
    <w:lvl w:ilvl="0" w:tplc="E04419E8">
      <w:start w:val="1"/>
      <w:numFmt w:val="decimal"/>
      <w:lvlText w:val="%1."/>
      <w:lvlJc w:val="left"/>
      <w:pPr>
        <w:ind w:left="467" w:hanging="360"/>
      </w:pPr>
      <w:rPr>
        <w:rFonts w:asciiTheme="majorBidi" w:hAnsiTheme="majorBidi" w:cstheme="majorBidi"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4">
    <w:nsid w:val="2538045E"/>
    <w:multiLevelType w:val="hybridMultilevel"/>
    <w:tmpl w:val="F11EBEBA"/>
    <w:lvl w:ilvl="0" w:tplc="6CFC7A3A">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53F0D16"/>
    <w:multiLevelType w:val="hybridMultilevel"/>
    <w:tmpl w:val="687A98A6"/>
    <w:lvl w:ilvl="0" w:tplc="EC8C5154">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DE5DF2"/>
    <w:multiLevelType w:val="hybridMultilevel"/>
    <w:tmpl w:val="4B7A1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F57204"/>
    <w:multiLevelType w:val="hybridMultilevel"/>
    <w:tmpl w:val="DEC00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FD2568"/>
    <w:multiLevelType w:val="hybridMultilevel"/>
    <w:tmpl w:val="4D7AA302"/>
    <w:lvl w:ilvl="0" w:tplc="2CE46D3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281F686F"/>
    <w:multiLevelType w:val="hybridMultilevel"/>
    <w:tmpl w:val="E7F67BA4"/>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E014C9"/>
    <w:multiLevelType w:val="hybridMultilevel"/>
    <w:tmpl w:val="04442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BC003B"/>
    <w:multiLevelType w:val="hybridMultilevel"/>
    <w:tmpl w:val="BEA8B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2C3D9B"/>
    <w:multiLevelType w:val="hybridMultilevel"/>
    <w:tmpl w:val="0A2EF868"/>
    <w:lvl w:ilvl="0" w:tplc="A3C8A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10542C9"/>
    <w:multiLevelType w:val="multilevel"/>
    <w:tmpl w:val="A4B0A056"/>
    <w:lvl w:ilvl="0">
      <w:start w:val="1"/>
      <w:numFmt w:val="lowerLetter"/>
      <w:lvlText w:val="%1)"/>
      <w:lvlJc w:val="left"/>
      <w:pPr>
        <w:tabs>
          <w:tab w:val="decimal" w:pos="576"/>
        </w:tabs>
        <w:ind w:left="720"/>
      </w:pPr>
      <w:rPr>
        <w:rFonts w:ascii="Garamond" w:eastAsia="Garamond" w:hAnsi="Garamond"/>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3204FC"/>
    <w:multiLevelType w:val="hybridMultilevel"/>
    <w:tmpl w:val="2EC23424"/>
    <w:lvl w:ilvl="0" w:tplc="1F3A75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4EA4372"/>
    <w:multiLevelType w:val="hybridMultilevel"/>
    <w:tmpl w:val="28304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FE1919"/>
    <w:multiLevelType w:val="multilevel"/>
    <w:tmpl w:val="0F14BFA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72537DD"/>
    <w:multiLevelType w:val="hybridMultilevel"/>
    <w:tmpl w:val="229281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37E57BB6"/>
    <w:multiLevelType w:val="hybridMultilevel"/>
    <w:tmpl w:val="53E26FBA"/>
    <w:lvl w:ilvl="0" w:tplc="EF8EAA1A">
      <w:start w:val="1"/>
      <w:numFmt w:val="decimal"/>
      <w:lvlText w:val="%1."/>
      <w:lvlJc w:val="left"/>
      <w:pPr>
        <w:ind w:left="647" w:hanging="36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39">
    <w:nsid w:val="3B4C0767"/>
    <w:multiLevelType w:val="hybridMultilevel"/>
    <w:tmpl w:val="97D06E9C"/>
    <w:lvl w:ilvl="0" w:tplc="E8163F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3B5E4B4D"/>
    <w:multiLevelType w:val="hybridMultilevel"/>
    <w:tmpl w:val="7C0C47C4"/>
    <w:lvl w:ilvl="0" w:tplc="0FD243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D5478DC"/>
    <w:multiLevelType w:val="hybridMultilevel"/>
    <w:tmpl w:val="E35A74D4"/>
    <w:lvl w:ilvl="0" w:tplc="57DE7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D633BFD"/>
    <w:multiLevelType w:val="hybridMultilevel"/>
    <w:tmpl w:val="41ACE26E"/>
    <w:lvl w:ilvl="0" w:tplc="90E8800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037314F"/>
    <w:multiLevelType w:val="hybridMultilevel"/>
    <w:tmpl w:val="B2D2B77E"/>
    <w:lvl w:ilvl="0" w:tplc="6944F0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5C727A"/>
    <w:multiLevelType w:val="hybridMultilevel"/>
    <w:tmpl w:val="998ADBFA"/>
    <w:lvl w:ilvl="0" w:tplc="D36ED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2F24EE"/>
    <w:multiLevelType w:val="hybridMultilevel"/>
    <w:tmpl w:val="DC3EE652"/>
    <w:lvl w:ilvl="0" w:tplc="1CF65560">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6">
    <w:nsid w:val="444E1F52"/>
    <w:multiLevelType w:val="hybridMultilevel"/>
    <w:tmpl w:val="292CEF74"/>
    <w:lvl w:ilvl="0" w:tplc="F5D480C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5A6C0A"/>
    <w:multiLevelType w:val="hybridMultilevel"/>
    <w:tmpl w:val="DD0A8D52"/>
    <w:lvl w:ilvl="0" w:tplc="6F860B32">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8">
    <w:nsid w:val="490B6E58"/>
    <w:multiLevelType w:val="hybridMultilevel"/>
    <w:tmpl w:val="8DCEB4F2"/>
    <w:lvl w:ilvl="0" w:tplc="37200EC2">
      <w:start w:val="1"/>
      <w:numFmt w:val="decimal"/>
      <w:lvlText w:val="%1."/>
      <w:lvlJc w:val="left"/>
      <w:pPr>
        <w:ind w:left="720" w:hanging="360"/>
      </w:pPr>
      <w:rPr>
        <w:rFonts w:eastAsia="Calibri" w:hint="default"/>
        <w:b w:val="0"/>
        <w:bCs/>
        <w:color w:val="3D3A4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D7688C"/>
    <w:multiLevelType w:val="hybridMultilevel"/>
    <w:tmpl w:val="A09647B2"/>
    <w:lvl w:ilvl="0" w:tplc="47B455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3E95917"/>
    <w:multiLevelType w:val="hybridMultilevel"/>
    <w:tmpl w:val="DAF695C8"/>
    <w:lvl w:ilvl="0" w:tplc="BE3208B0">
      <w:start w:val="1"/>
      <w:numFmt w:val="lowerRoman"/>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0E4138"/>
    <w:multiLevelType w:val="hybridMultilevel"/>
    <w:tmpl w:val="8FE84298"/>
    <w:lvl w:ilvl="0" w:tplc="D2580CA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nsid w:val="5B593F52"/>
    <w:multiLevelType w:val="hybridMultilevel"/>
    <w:tmpl w:val="05C6F1CC"/>
    <w:lvl w:ilvl="0" w:tplc="54E2B9A2">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5CAE3A70"/>
    <w:multiLevelType w:val="hybridMultilevel"/>
    <w:tmpl w:val="244A9CE4"/>
    <w:lvl w:ilvl="0" w:tplc="6324CB0C">
      <w:start w:val="1"/>
      <w:numFmt w:val="lowerLetter"/>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3907A3"/>
    <w:multiLevelType w:val="hybridMultilevel"/>
    <w:tmpl w:val="E80E23B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A34D77"/>
    <w:multiLevelType w:val="hybridMultilevel"/>
    <w:tmpl w:val="F5F43B78"/>
    <w:lvl w:ilvl="0" w:tplc="6A06C0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20F2E2D"/>
    <w:multiLevelType w:val="hybridMultilevel"/>
    <w:tmpl w:val="D5641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5A5BC6"/>
    <w:multiLevelType w:val="hybridMultilevel"/>
    <w:tmpl w:val="CE58896C"/>
    <w:lvl w:ilvl="0" w:tplc="E87C633E">
      <w:start w:val="3"/>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8">
    <w:nsid w:val="63980777"/>
    <w:multiLevelType w:val="hybridMultilevel"/>
    <w:tmpl w:val="4AB438AA"/>
    <w:lvl w:ilvl="0" w:tplc="07129A2E">
      <w:start w:val="1"/>
      <w:numFmt w:val="decimal"/>
      <w:lvlText w:val="%1."/>
      <w:lvlJc w:val="left"/>
      <w:pPr>
        <w:ind w:left="1007" w:hanging="360"/>
      </w:pPr>
      <w:rPr>
        <w:rFonts w:ascii="Times New Roman" w:hAnsi="Times New Roman" w:cs="Times New Roman" w:hint="default"/>
      </w:rPr>
    </w:lvl>
    <w:lvl w:ilvl="1" w:tplc="04090019" w:tentative="1">
      <w:start w:val="1"/>
      <w:numFmt w:val="lowerLetter"/>
      <w:lvlText w:val="%2."/>
      <w:lvlJc w:val="left"/>
      <w:pPr>
        <w:ind w:left="1727" w:hanging="360"/>
      </w:pPr>
    </w:lvl>
    <w:lvl w:ilvl="2" w:tplc="0409001B" w:tentative="1">
      <w:start w:val="1"/>
      <w:numFmt w:val="lowerRoman"/>
      <w:lvlText w:val="%3."/>
      <w:lvlJc w:val="right"/>
      <w:pPr>
        <w:ind w:left="2447" w:hanging="180"/>
      </w:pPr>
    </w:lvl>
    <w:lvl w:ilvl="3" w:tplc="0409000F" w:tentative="1">
      <w:start w:val="1"/>
      <w:numFmt w:val="decimal"/>
      <w:lvlText w:val="%4."/>
      <w:lvlJc w:val="left"/>
      <w:pPr>
        <w:ind w:left="3167" w:hanging="360"/>
      </w:pPr>
    </w:lvl>
    <w:lvl w:ilvl="4" w:tplc="04090019" w:tentative="1">
      <w:start w:val="1"/>
      <w:numFmt w:val="lowerLetter"/>
      <w:lvlText w:val="%5."/>
      <w:lvlJc w:val="left"/>
      <w:pPr>
        <w:ind w:left="3887" w:hanging="360"/>
      </w:pPr>
    </w:lvl>
    <w:lvl w:ilvl="5" w:tplc="0409001B" w:tentative="1">
      <w:start w:val="1"/>
      <w:numFmt w:val="lowerRoman"/>
      <w:lvlText w:val="%6."/>
      <w:lvlJc w:val="right"/>
      <w:pPr>
        <w:ind w:left="4607" w:hanging="180"/>
      </w:pPr>
    </w:lvl>
    <w:lvl w:ilvl="6" w:tplc="0409000F" w:tentative="1">
      <w:start w:val="1"/>
      <w:numFmt w:val="decimal"/>
      <w:lvlText w:val="%7."/>
      <w:lvlJc w:val="left"/>
      <w:pPr>
        <w:ind w:left="5327" w:hanging="360"/>
      </w:pPr>
    </w:lvl>
    <w:lvl w:ilvl="7" w:tplc="04090019" w:tentative="1">
      <w:start w:val="1"/>
      <w:numFmt w:val="lowerLetter"/>
      <w:lvlText w:val="%8."/>
      <w:lvlJc w:val="left"/>
      <w:pPr>
        <w:ind w:left="6047" w:hanging="360"/>
      </w:pPr>
    </w:lvl>
    <w:lvl w:ilvl="8" w:tplc="0409001B" w:tentative="1">
      <w:start w:val="1"/>
      <w:numFmt w:val="lowerRoman"/>
      <w:lvlText w:val="%9."/>
      <w:lvlJc w:val="right"/>
      <w:pPr>
        <w:ind w:left="6767" w:hanging="180"/>
      </w:pPr>
    </w:lvl>
  </w:abstractNum>
  <w:abstractNum w:abstractNumId="59">
    <w:nsid w:val="663C4B6F"/>
    <w:multiLevelType w:val="hybridMultilevel"/>
    <w:tmpl w:val="EF8A1C2C"/>
    <w:lvl w:ilvl="0" w:tplc="1BB678C8">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0">
    <w:nsid w:val="681D6ABD"/>
    <w:multiLevelType w:val="hybridMultilevel"/>
    <w:tmpl w:val="40DEFFD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541E16"/>
    <w:multiLevelType w:val="hybridMultilevel"/>
    <w:tmpl w:val="3774B2CA"/>
    <w:lvl w:ilvl="0" w:tplc="974A814E">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8A684F92">
      <w:start w:val="1"/>
      <w:numFmt w:val="decimal"/>
      <w:lvlText w:val="%3."/>
      <w:lvlJc w:val="right"/>
      <w:pPr>
        <w:ind w:left="2610" w:hanging="180"/>
      </w:pPr>
      <w:rPr>
        <w:rFonts w:asciiTheme="majorBidi" w:eastAsia="Times New Roman" w:hAnsiTheme="majorBidi" w:cstheme="majorBidi"/>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nsid w:val="6ACE3585"/>
    <w:multiLevelType w:val="hybridMultilevel"/>
    <w:tmpl w:val="7EEA5D3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782B38"/>
    <w:multiLevelType w:val="hybridMultilevel"/>
    <w:tmpl w:val="CEE0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2C777F"/>
    <w:multiLevelType w:val="hybridMultilevel"/>
    <w:tmpl w:val="65C83D4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954778"/>
    <w:multiLevelType w:val="hybridMultilevel"/>
    <w:tmpl w:val="87788470"/>
    <w:lvl w:ilvl="0" w:tplc="2C22716A">
      <w:start w:val="3"/>
      <w:numFmt w:val="upperLetter"/>
      <w:lvlText w:val="%1."/>
      <w:lvlJc w:val="left"/>
      <w:pPr>
        <w:ind w:left="2160" w:hanging="360"/>
      </w:pPr>
      <w:rPr>
        <w:rFonts w:hint="default"/>
        <w:i w:val="0"/>
        <w:i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2EC186D"/>
    <w:multiLevelType w:val="hybridMultilevel"/>
    <w:tmpl w:val="7D5822D6"/>
    <w:lvl w:ilvl="0" w:tplc="A258833E">
      <w:start w:val="4"/>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4207B4"/>
    <w:multiLevelType w:val="hybridMultilevel"/>
    <w:tmpl w:val="C3DEA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1A368C"/>
    <w:multiLevelType w:val="multilevel"/>
    <w:tmpl w:val="D1740180"/>
    <w:lvl w:ilvl="0">
      <w:start w:val="1"/>
      <w:numFmt w:val="decimal"/>
      <w:lvlText w:val="(%1)"/>
      <w:lvlJc w:val="left"/>
      <w:pPr>
        <w:tabs>
          <w:tab w:val="decimal" w:pos="432"/>
        </w:tabs>
        <w:ind w:left="720"/>
      </w:pPr>
      <w:rPr>
        <w:rFonts w:ascii="Garamond" w:eastAsia="Garamond" w:hAnsi="Garamond"/>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84671D6"/>
    <w:multiLevelType w:val="hybridMultilevel"/>
    <w:tmpl w:val="CD1EB7D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2715BD"/>
    <w:multiLevelType w:val="multilevel"/>
    <w:tmpl w:val="40B6197A"/>
    <w:lvl w:ilvl="0">
      <w:start w:val="1"/>
      <w:numFmt w:val="lowerLetter"/>
      <w:lvlText w:val="%1."/>
      <w:lvlJc w:val="left"/>
      <w:pPr>
        <w:tabs>
          <w:tab w:val="decimal" w:pos="360"/>
        </w:tabs>
        <w:ind w:left="720"/>
      </w:pPr>
      <w:rPr>
        <w:rFonts w:ascii="Garamond" w:eastAsia="Garamond" w:hAnsi="Garamond"/>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DF1DF0"/>
    <w:multiLevelType w:val="multilevel"/>
    <w:tmpl w:val="4BA43B2A"/>
    <w:lvl w:ilvl="0">
      <w:start w:val="1"/>
      <w:numFmt w:val="bullet"/>
      <w:lvlText w:val="-"/>
      <w:lvlJc w:val="left"/>
      <w:pPr>
        <w:tabs>
          <w:tab w:val="decimal" w:pos="1296"/>
        </w:tabs>
        <w:ind w:left="1800"/>
      </w:pPr>
      <w:rPr>
        <w:rFonts w:ascii="Symbol" w:eastAsia="Symbol" w:hAnsi="Symbol"/>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F303A04"/>
    <w:multiLevelType w:val="hybridMultilevel"/>
    <w:tmpl w:val="97D65AFE"/>
    <w:lvl w:ilvl="0" w:tplc="54BE57C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37"/>
  </w:num>
  <w:num w:numId="2">
    <w:abstractNumId w:val="21"/>
  </w:num>
  <w:num w:numId="3">
    <w:abstractNumId w:val="15"/>
  </w:num>
  <w:num w:numId="4">
    <w:abstractNumId w:val="61"/>
  </w:num>
  <w:num w:numId="5">
    <w:abstractNumId w:val="22"/>
  </w:num>
  <w:num w:numId="6">
    <w:abstractNumId w:val="53"/>
  </w:num>
  <w:num w:numId="7">
    <w:abstractNumId w:val="43"/>
  </w:num>
  <w:num w:numId="8">
    <w:abstractNumId w:val="34"/>
  </w:num>
  <w:num w:numId="9">
    <w:abstractNumId w:val="0"/>
  </w:num>
  <w:num w:numId="10">
    <w:abstractNumId w:val="8"/>
  </w:num>
  <w:num w:numId="11">
    <w:abstractNumId w:val="45"/>
  </w:num>
  <w:num w:numId="12">
    <w:abstractNumId w:val="7"/>
  </w:num>
  <w:num w:numId="13">
    <w:abstractNumId w:val="39"/>
  </w:num>
  <w:num w:numId="14">
    <w:abstractNumId w:val="18"/>
  </w:num>
  <w:num w:numId="15">
    <w:abstractNumId w:val="59"/>
  </w:num>
  <w:num w:numId="16">
    <w:abstractNumId w:val="25"/>
  </w:num>
  <w:num w:numId="17">
    <w:abstractNumId w:val="16"/>
  </w:num>
  <w:num w:numId="18">
    <w:abstractNumId w:val="1"/>
  </w:num>
  <w:num w:numId="19">
    <w:abstractNumId w:val="51"/>
  </w:num>
  <w:num w:numId="20">
    <w:abstractNumId w:val="35"/>
  </w:num>
  <w:num w:numId="21">
    <w:abstractNumId w:val="17"/>
  </w:num>
  <w:num w:numId="22">
    <w:abstractNumId w:val="48"/>
  </w:num>
  <w:num w:numId="23">
    <w:abstractNumId w:val="4"/>
  </w:num>
  <w:num w:numId="24">
    <w:abstractNumId w:val="24"/>
  </w:num>
  <w:num w:numId="25">
    <w:abstractNumId w:val="65"/>
  </w:num>
  <w:num w:numId="26">
    <w:abstractNumId w:val="29"/>
  </w:num>
  <w:num w:numId="27">
    <w:abstractNumId w:val="68"/>
  </w:num>
  <w:num w:numId="28">
    <w:abstractNumId w:val="70"/>
  </w:num>
  <w:num w:numId="29">
    <w:abstractNumId w:val="33"/>
  </w:num>
  <w:num w:numId="30">
    <w:abstractNumId w:val="56"/>
  </w:num>
  <w:num w:numId="31">
    <w:abstractNumId w:val="71"/>
  </w:num>
  <w:num w:numId="32">
    <w:abstractNumId w:val="3"/>
  </w:num>
  <w:num w:numId="33">
    <w:abstractNumId w:val="69"/>
  </w:num>
  <w:num w:numId="34">
    <w:abstractNumId w:val="64"/>
  </w:num>
  <w:num w:numId="35">
    <w:abstractNumId w:val="11"/>
  </w:num>
  <w:num w:numId="36">
    <w:abstractNumId w:val="50"/>
  </w:num>
  <w:num w:numId="37">
    <w:abstractNumId w:val="57"/>
  </w:num>
  <w:num w:numId="38">
    <w:abstractNumId w:val="54"/>
  </w:num>
  <w:num w:numId="39">
    <w:abstractNumId w:val="14"/>
  </w:num>
  <w:num w:numId="40">
    <w:abstractNumId w:val="26"/>
  </w:num>
  <w:num w:numId="41">
    <w:abstractNumId w:val="42"/>
  </w:num>
  <w:num w:numId="42">
    <w:abstractNumId w:val="40"/>
  </w:num>
  <w:num w:numId="43">
    <w:abstractNumId w:val="6"/>
  </w:num>
  <w:num w:numId="44">
    <w:abstractNumId w:val="47"/>
  </w:num>
  <w:num w:numId="45">
    <w:abstractNumId w:val="36"/>
  </w:num>
  <w:num w:numId="46">
    <w:abstractNumId w:val="49"/>
  </w:num>
  <w:num w:numId="47">
    <w:abstractNumId w:val="5"/>
  </w:num>
  <w:num w:numId="48">
    <w:abstractNumId w:val="55"/>
  </w:num>
  <w:num w:numId="49">
    <w:abstractNumId w:val="13"/>
  </w:num>
  <w:num w:numId="50">
    <w:abstractNumId w:val="28"/>
  </w:num>
  <w:num w:numId="51">
    <w:abstractNumId w:val="52"/>
  </w:num>
  <w:num w:numId="52">
    <w:abstractNumId w:val="10"/>
  </w:num>
  <w:num w:numId="53">
    <w:abstractNumId w:val="62"/>
  </w:num>
  <w:num w:numId="54">
    <w:abstractNumId w:val="32"/>
  </w:num>
  <w:num w:numId="55">
    <w:abstractNumId w:val="72"/>
  </w:num>
  <w:num w:numId="56">
    <w:abstractNumId w:val="9"/>
  </w:num>
  <w:num w:numId="57">
    <w:abstractNumId w:val="2"/>
  </w:num>
  <w:num w:numId="58">
    <w:abstractNumId w:val="66"/>
  </w:num>
  <w:num w:numId="59">
    <w:abstractNumId w:val="30"/>
  </w:num>
  <w:num w:numId="60">
    <w:abstractNumId w:val="38"/>
  </w:num>
  <w:num w:numId="61">
    <w:abstractNumId w:val="58"/>
  </w:num>
  <w:num w:numId="62">
    <w:abstractNumId w:val="23"/>
  </w:num>
  <w:num w:numId="63">
    <w:abstractNumId w:val="27"/>
  </w:num>
  <w:num w:numId="64">
    <w:abstractNumId w:val="60"/>
  </w:num>
  <w:num w:numId="65">
    <w:abstractNumId w:val="20"/>
  </w:num>
  <w:num w:numId="66">
    <w:abstractNumId w:val="12"/>
  </w:num>
  <w:num w:numId="67">
    <w:abstractNumId w:val="41"/>
  </w:num>
  <w:num w:numId="68">
    <w:abstractNumId w:val="19"/>
  </w:num>
  <w:num w:numId="69">
    <w:abstractNumId w:val="31"/>
  </w:num>
  <w:num w:numId="70">
    <w:abstractNumId w:val="44"/>
  </w:num>
  <w:num w:numId="71">
    <w:abstractNumId w:val="67"/>
  </w:num>
  <w:num w:numId="72">
    <w:abstractNumId w:val="63"/>
  </w:num>
  <w:num w:numId="73">
    <w:abstractNumId w:val="4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stylePaneFormatFilter w:val="3F01"/>
  <w:defaultTabStop w:val="720"/>
  <w:characterSpacingControl w:val="doNotCompress"/>
  <w:footnotePr>
    <w:footnote w:id="0"/>
    <w:footnote w:id="1"/>
  </w:footnotePr>
  <w:endnotePr>
    <w:endnote w:id="0"/>
    <w:endnote w:id="1"/>
  </w:endnotePr>
  <w:compat/>
  <w:rsids>
    <w:rsidRoot w:val="004663A9"/>
    <w:rsid w:val="0000031F"/>
    <w:rsid w:val="00003046"/>
    <w:rsid w:val="00003BAE"/>
    <w:rsid w:val="00004E92"/>
    <w:rsid w:val="000064E3"/>
    <w:rsid w:val="0000697A"/>
    <w:rsid w:val="00010B6B"/>
    <w:rsid w:val="00012389"/>
    <w:rsid w:val="00012C5B"/>
    <w:rsid w:val="00013354"/>
    <w:rsid w:val="00013B16"/>
    <w:rsid w:val="000161CF"/>
    <w:rsid w:val="000161F0"/>
    <w:rsid w:val="00016621"/>
    <w:rsid w:val="000177AF"/>
    <w:rsid w:val="0002090C"/>
    <w:rsid w:val="000209F8"/>
    <w:rsid w:val="00021F20"/>
    <w:rsid w:val="00025113"/>
    <w:rsid w:val="00025BDD"/>
    <w:rsid w:val="00026814"/>
    <w:rsid w:val="000303B7"/>
    <w:rsid w:val="0003101D"/>
    <w:rsid w:val="00032ED9"/>
    <w:rsid w:val="00033CF7"/>
    <w:rsid w:val="00035592"/>
    <w:rsid w:val="00036554"/>
    <w:rsid w:val="000372FC"/>
    <w:rsid w:val="0004027F"/>
    <w:rsid w:val="00040C44"/>
    <w:rsid w:val="0004190E"/>
    <w:rsid w:val="0004216A"/>
    <w:rsid w:val="00044790"/>
    <w:rsid w:val="00044F1E"/>
    <w:rsid w:val="00047101"/>
    <w:rsid w:val="00047413"/>
    <w:rsid w:val="0004750B"/>
    <w:rsid w:val="00050107"/>
    <w:rsid w:val="00052160"/>
    <w:rsid w:val="00053769"/>
    <w:rsid w:val="00053EE3"/>
    <w:rsid w:val="00055ACC"/>
    <w:rsid w:val="0006290E"/>
    <w:rsid w:val="00062BE1"/>
    <w:rsid w:val="000642FF"/>
    <w:rsid w:val="000665DF"/>
    <w:rsid w:val="00067825"/>
    <w:rsid w:val="0007258C"/>
    <w:rsid w:val="0007311B"/>
    <w:rsid w:val="00073B24"/>
    <w:rsid w:val="0007461C"/>
    <w:rsid w:val="00074AB7"/>
    <w:rsid w:val="00074DF6"/>
    <w:rsid w:val="00075029"/>
    <w:rsid w:val="000753B0"/>
    <w:rsid w:val="00076899"/>
    <w:rsid w:val="00077909"/>
    <w:rsid w:val="00077FCA"/>
    <w:rsid w:val="00081E04"/>
    <w:rsid w:val="00082572"/>
    <w:rsid w:val="000844EE"/>
    <w:rsid w:val="0008465F"/>
    <w:rsid w:val="000860B3"/>
    <w:rsid w:val="00087ABC"/>
    <w:rsid w:val="00092A0F"/>
    <w:rsid w:val="00093BFB"/>
    <w:rsid w:val="000941A8"/>
    <w:rsid w:val="0009436B"/>
    <w:rsid w:val="000947C1"/>
    <w:rsid w:val="000953CA"/>
    <w:rsid w:val="00095880"/>
    <w:rsid w:val="00096933"/>
    <w:rsid w:val="000A0E21"/>
    <w:rsid w:val="000A0E3C"/>
    <w:rsid w:val="000A118F"/>
    <w:rsid w:val="000A17F2"/>
    <w:rsid w:val="000A25C8"/>
    <w:rsid w:val="000A33E3"/>
    <w:rsid w:val="000A3DF7"/>
    <w:rsid w:val="000A58F1"/>
    <w:rsid w:val="000B12D9"/>
    <w:rsid w:val="000B1FC5"/>
    <w:rsid w:val="000B40C6"/>
    <w:rsid w:val="000B496A"/>
    <w:rsid w:val="000B5B22"/>
    <w:rsid w:val="000B6C73"/>
    <w:rsid w:val="000C0254"/>
    <w:rsid w:val="000C089B"/>
    <w:rsid w:val="000C1A11"/>
    <w:rsid w:val="000C1E00"/>
    <w:rsid w:val="000C3616"/>
    <w:rsid w:val="000C3F45"/>
    <w:rsid w:val="000C516D"/>
    <w:rsid w:val="000C5287"/>
    <w:rsid w:val="000C5C09"/>
    <w:rsid w:val="000C5EEC"/>
    <w:rsid w:val="000C64A5"/>
    <w:rsid w:val="000D2238"/>
    <w:rsid w:val="000D3EA0"/>
    <w:rsid w:val="000D48F3"/>
    <w:rsid w:val="000D4F07"/>
    <w:rsid w:val="000D6E4F"/>
    <w:rsid w:val="000E3B04"/>
    <w:rsid w:val="000E4C41"/>
    <w:rsid w:val="000E4D04"/>
    <w:rsid w:val="000E4F97"/>
    <w:rsid w:val="000E5D8C"/>
    <w:rsid w:val="000E6A4F"/>
    <w:rsid w:val="000F38E5"/>
    <w:rsid w:val="000F3A0A"/>
    <w:rsid w:val="000F3BAC"/>
    <w:rsid w:val="000F3F7D"/>
    <w:rsid w:val="000F4400"/>
    <w:rsid w:val="000F4421"/>
    <w:rsid w:val="000F50E6"/>
    <w:rsid w:val="000F54FE"/>
    <w:rsid w:val="000F5DF8"/>
    <w:rsid w:val="000F60D1"/>
    <w:rsid w:val="001001E8"/>
    <w:rsid w:val="00100A7E"/>
    <w:rsid w:val="00101DD7"/>
    <w:rsid w:val="00103D79"/>
    <w:rsid w:val="001044FF"/>
    <w:rsid w:val="00104C0B"/>
    <w:rsid w:val="00105515"/>
    <w:rsid w:val="001058C9"/>
    <w:rsid w:val="00105B27"/>
    <w:rsid w:val="00105D14"/>
    <w:rsid w:val="00107B37"/>
    <w:rsid w:val="00107B70"/>
    <w:rsid w:val="00107F78"/>
    <w:rsid w:val="00110F47"/>
    <w:rsid w:val="0011143D"/>
    <w:rsid w:val="001116A6"/>
    <w:rsid w:val="001127D8"/>
    <w:rsid w:val="00112E1E"/>
    <w:rsid w:val="001139CC"/>
    <w:rsid w:val="0011421E"/>
    <w:rsid w:val="00115446"/>
    <w:rsid w:val="00120A16"/>
    <w:rsid w:val="0012146D"/>
    <w:rsid w:val="001222A2"/>
    <w:rsid w:val="00122CEF"/>
    <w:rsid w:val="00122EE4"/>
    <w:rsid w:val="00123D22"/>
    <w:rsid w:val="00123F4A"/>
    <w:rsid w:val="00126744"/>
    <w:rsid w:val="00126779"/>
    <w:rsid w:val="0012749F"/>
    <w:rsid w:val="001274CC"/>
    <w:rsid w:val="00133B8A"/>
    <w:rsid w:val="00134B5C"/>
    <w:rsid w:val="0013616B"/>
    <w:rsid w:val="001401AA"/>
    <w:rsid w:val="00140360"/>
    <w:rsid w:val="00140546"/>
    <w:rsid w:val="00141569"/>
    <w:rsid w:val="001420C8"/>
    <w:rsid w:val="00142CB9"/>
    <w:rsid w:val="00142E0C"/>
    <w:rsid w:val="00143F9E"/>
    <w:rsid w:val="00144157"/>
    <w:rsid w:val="001443BF"/>
    <w:rsid w:val="001446E1"/>
    <w:rsid w:val="00146DC0"/>
    <w:rsid w:val="00147393"/>
    <w:rsid w:val="00147458"/>
    <w:rsid w:val="00150080"/>
    <w:rsid w:val="00150B29"/>
    <w:rsid w:val="00151B1A"/>
    <w:rsid w:val="00151EE7"/>
    <w:rsid w:val="00153802"/>
    <w:rsid w:val="001540DE"/>
    <w:rsid w:val="001542C3"/>
    <w:rsid w:val="001546B8"/>
    <w:rsid w:val="00156C03"/>
    <w:rsid w:val="00157FBD"/>
    <w:rsid w:val="00160F42"/>
    <w:rsid w:val="001618C0"/>
    <w:rsid w:val="00161F3F"/>
    <w:rsid w:val="00162A11"/>
    <w:rsid w:val="00163A81"/>
    <w:rsid w:val="001658F7"/>
    <w:rsid w:val="00165CC2"/>
    <w:rsid w:val="00165E1E"/>
    <w:rsid w:val="001703E4"/>
    <w:rsid w:val="00170839"/>
    <w:rsid w:val="00171419"/>
    <w:rsid w:val="00172BE0"/>
    <w:rsid w:val="00172E92"/>
    <w:rsid w:val="00174191"/>
    <w:rsid w:val="00175154"/>
    <w:rsid w:val="00180A12"/>
    <w:rsid w:val="00181D48"/>
    <w:rsid w:val="001820DA"/>
    <w:rsid w:val="001834B4"/>
    <w:rsid w:val="0018357D"/>
    <w:rsid w:val="001835C4"/>
    <w:rsid w:val="00183FBF"/>
    <w:rsid w:val="001840D5"/>
    <w:rsid w:val="00184C3A"/>
    <w:rsid w:val="00185B76"/>
    <w:rsid w:val="00186E87"/>
    <w:rsid w:val="00191023"/>
    <w:rsid w:val="001921CF"/>
    <w:rsid w:val="0019330A"/>
    <w:rsid w:val="00193BAA"/>
    <w:rsid w:val="00193FA0"/>
    <w:rsid w:val="001978F8"/>
    <w:rsid w:val="001A002D"/>
    <w:rsid w:val="001A055E"/>
    <w:rsid w:val="001A1A81"/>
    <w:rsid w:val="001A28D6"/>
    <w:rsid w:val="001A2951"/>
    <w:rsid w:val="001A3DC0"/>
    <w:rsid w:val="001A424D"/>
    <w:rsid w:val="001A5A9C"/>
    <w:rsid w:val="001A6061"/>
    <w:rsid w:val="001A6820"/>
    <w:rsid w:val="001B0308"/>
    <w:rsid w:val="001B1934"/>
    <w:rsid w:val="001B1AE7"/>
    <w:rsid w:val="001B1DFD"/>
    <w:rsid w:val="001B5A4E"/>
    <w:rsid w:val="001B602F"/>
    <w:rsid w:val="001B6BA0"/>
    <w:rsid w:val="001C09A6"/>
    <w:rsid w:val="001C124A"/>
    <w:rsid w:val="001C3602"/>
    <w:rsid w:val="001C39B3"/>
    <w:rsid w:val="001C5CB3"/>
    <w:rsid w:val="001C5FAB"/>
    <w:rsid w:val="001D0579"/>
    <w:rsid w:val="001D0A81"/>
    <w:rsid w:val="001D0D9B"/>
    <w:rsid w:val="001D0DB2"/>
    <w:rsid w:val="001D185B"/>
    <w:rsid w:val="001D1FD2"/>
    <w:rsid w:val="001D5ED3"/>
    <w:rsid w:val="001D63DE"/>
    <w:rsid w:val="001D6611"/>
    <w:rsid w:val="001D6870"/>
    <w:rsid w:val="001D7CD4"/>
    <w:rsid w:val="001E0768"/>
    <w:rsid w:val="001E22D7"/>
    <w:rsid w:val="001E38DC"/>
    <w:rsid w:val="001E4C7F"/>
    <w:rsid w:val="001E5057"/>
    <w:rsid w:val="001E64FA"/>
    <w:rsid w:val="001E660B"/>
    <w:rsid w:val="001E6B02"/>
    <w:rsid w:val="001E6C7F"/>
    <w:rsid w:val="001E6F13"/>
    <w:rsid w:val="001E760C"/>
    <w:rsid w:val="001E7EAC"/>
    <w:rsid w:val="001F0294"/>
    <w:rsid w:val="001F1391"/>
    <w:rsid w:val="001F1F3A"/>
    <w:rsid w:val="001F2D8D"/>
    <w:rsid w:val="001F3AE6"/>
    <w:rsid w:val="001F3C5A"/>
    <w:rsid w:val="001F5A87"/>
    <w:rsid w:val="001F72FD"/>
    <w:rsid w:val="001F7990"/>
    <w:rsid w:val="0020257F"/>
    <w:rsid w:val="00202A10"/>
    <w:rsid w:val="00204006"/>
    <w:rsid w:val="00204CDE"/>
    <w:rsid w:val="00204E31"/>
    <w:rsid w:val="00205936"/>
    <w:rsid w:val="002101B2"/>
    <w:rsid w:val="002116D6"/>
    <w:rsid w:val="00212ED3"/>
    <w:rsid w:val="0021472F"/>
    <w:rsid w:val="00214FC8"/>
    <w:rsid w:val="002155DA"/>
    <w:rsid w:val="00215D7C"/>
    <w:rsid w:val="0021680D"/>
    <w:rsid w:val="002168A2"/>
    <w:rsid w:val="00220E0A"/>
    <w:rsid w:val="0022125F"/>
    <w:rsid w:val="0022264C"/>
    <w:rsid w:val="0022272D"/>
    <w:rsid w:val="002237C4"/>
    <w:rsid w:val="00223A36"/>
    <w:rsid w:val="00225313"/>
    <w:rsid w:val="00225B7E"/>
    <w:rsid w:val="00225C59"/>
    <w:rsid w:val="00226FB5"/>
    <w:rsid w:val="00227A41"/>
    <w:rsid w:val="00230DE7"/>
    <w:rsid w:val="00232AF2"/>
    <w:rsid w:val="00234E8D"/>
    <w:rsid w:val="00237D2C"/>
    <w:rsid w:val="00240F9B"/>
    <w:rsid w:val="002419BF"/>
    <w:rsid w:val="00243A01"/>
    <w:rsid w:val="00243C55"/>
    <w:rsid w:val="002454BB"/>
    <w:rsid w:val="00247DF8"/>
    <w:rsid w:val="00250F6C"/>
    <w:rsid w:val="00251AD2"/>
    <w:rsid w:val="002533D3"/>
    <w:rsid w:val="00253849"/>
    <w:rsid w:val="00254AC6"/>
    <w:rsid w:val="0025575E"/>
    <w:rsid w:val="00255D51"/>
    <w:rsid w:val="00256C86"/>
    <w:rsid w:val="0026095F"/>
    <w:rsid w:val="00263317"/>
    <w:rsid w:val="00264324"/>
    <w:rsid w:val="0026538E"/>
    <w:rsid w:val="00267E07"/>
    <w:rsid w:val="002732FF"/>
    <w:rsid w:val="00274694"/>
    <w:rsid w:val="00276440"/>
    <w:rsid w:val="00276FE5"/>
    <w:rsid w:val="00277A27"/>
    <w:rsid w:val="00282142"/>
    <w:rsid w:val="00283040"/>
    <w:rsid w:val="00283AC5"/>
    <w:rsid w:val="00283D53"/>
    <w:rsid w:val="002856A7"/>
    <w:rsid w:val="002861B0"/>
    <w:rsid w:val="0028798D"/>
    <w:rsid w:val="002912EA"/>
    <w:rsid w:val="0029141C"/>
    <w:rsid w:val="00291A1E"/>
    <w:rsid w:val="00291CED"/>
    <w:rsid w:val="00293383"/>
    <w:rsid w:val="00296C52"/>
    <w:rsid w:val="002976EF"/>
    <w:rsid w:val="00297E89"/>
    <w:rsid w:val="002A06FA"/>
    <w:rsid w:val="002A0F37"/>
    <w:rsid w:val="002A1DFD"/>
    <w:rsid w:val="002A38D0"/>
    <w:rsid w:val="002A718D"/>
    <w:rsid w:val="002A77AE"/>
    <w:rsid w:val="002B03E8"/>
    <w:rsid w:val="002B1104"/>
    <w:rsid w:val="002B484C"/>
    <w:rsid w:val="002B4C98"/>
    <w:rsid w:val="002B537B"/>
    <w:rsid w:val="002B6C2C"/>
    <w:rsid w:val="002B6D1E"/>
    <w:rsid w:val="002B6E21"/>
    <w:rsid w:val="002B787E"/>
    <w:rsid w:val="002C051C"/>
    <w:rsid w:val="002C0A33"/>
    <w:rsid w:val="002C18A1"/>
    <w:rsid w:val="002C2E5B"/>
    <w:rsid w:val="002C3E6A"/>
    <w:rsid w:val="002C4EAE"/>
    <w:rsid w:val="002C5199"/>
    <w:rsid w:val="002C6CC5"/>
    <w:rsid w:val="002C6ECE"/>
    <w:rsid w:val="002C6F79"/>
    <w:rsid w:val="002C710E"/>
    <w:rsid w:val="002C77C2"/>
    <w:rsid w:val="002D1227"/>
    <w:rsid w:val="002D1302"/>
    <w:rsid w:val="002D3BA8"/>
    <w:rsid w:val="002D3E76"/>
    <w:rsid w:val="002D54DB"/>
    <w:rsid w:val="002D5AA8"/>
    <w:rsid w:val="002D6F91"/>
    <w:rsid w:val="002D79E5"/>
    <w:rsid w:val="002D7B60"/>
    <w:rsid w:val="002D7FC2"/>
    <w:rsid w:val="002E2524"/>
    <w:rsid w:val="002E519B"/>
    <w:rsid w:val="002E5A3A"/>
    <w:rsid w:val="002E6D94"/>
    <w:rsid w:val="002E7501"/>
    <w:rsid w:val="002F17F4"/>
    <w:rsid w:val="002F3682"/>
    <w:rsid w:val="002F43A2"/>
    <w:rsid w:val="002F46C5"/>
    <w:rsid w:val="002F4914"/>
    <w:rsid w:val="002F5E39"/>
    <w:rsid w:val="002F7370"/>
    <w:rsid w:val="002F772B"/>
    <w:rsid w:val="0030095E"/>
    <w:rsid w:val="00301092"/>
    <w:rsid w:val="00301D4B"/>
    <w:rsid w:val="00301EDA"/>
    <w:rsid w:val="00302D3F"/>
    <w:rsid w:val="003032AB"/>
    <w:rsid w:val="00305CB6"/>
    <w:rsid w:val="00307989"/>
    <w:rsid w:val="003102DF"/>
    <w:rsid w:val="00310528"/>
    <w:rsid w:val="0031056F"/>
    <w:rsid w:val="003108D9"/>
    <w:rsid w:val="00310F2A"/>
    <w:rsid w:val="00311B89"/>
    <w:rsid w:val="003126DF"/>
    <w:rsid w:val="00312828"/>
    <w:rsid w:val="0031443A"/>
    <w:rsid w:val="00314ED9"/>
    <w:rsid w:val="00317109"/>
    <w:rsid w:val="0032237A"/>
    <w:rsid w:val="0032261D"/>
    <w:rsid w:val="0032278B"/>
    <w:rsid w:val="00322B09"/>
    <w:rsid w:val="00323025"/>
    <w:rsid w:val="00323B4B"/>
    <w:rsid w:val="00326764"/>
    <w:rsid w:val="003307D2"/>
    <w:rsid w:val="00330F8A"/>
    <w:rsid w:val="00332345"/>
    <w:rsid w:val="0033395B"/>
    <w:rsid w:val="00335435"/>
    <w:rsid w:val="0034012C"/>
    <w:rsid w:val="00340C6F"/>
    <w:rsid w:val="00341DB4"/>
    <w:rsid w:val="00342235"/>
    <w:rsid w:val="0034232A"/>
    <w:rsid w:val="00342E28"/>
    <w:rsid w:val="00343B61"/>
    <w:rsid w:val="003448FD"/>
    <w:rsid w:val="00344BAE"/>
    <w:rsid w:val="0034590D"/>
    <w:rsid w:val="00345E89"/>
    <w:rsid w:val="00346A43"/>
    <w:rsid w:val="00346DD1"/>
    <w:rsid w:val="00350B80"/>
    <w:rsid w:val="00350E54"/>
    <w:rsid w:val="003511E5"/>
    <w:rsid w:val="0035125A"/>
    <w:rsid w:val="003515E0"/>
    <w:rsid w:val="00352AE0"/>
    <w:rsid w:val="00352BA9"/>
    <w:rsid w:val="00353051"/>
    <w:rsid w:val="003548D2"/>
    <w:rsid w:val="00355BA5"/>
    <w:rsid w:val="00355FAE"/>
    <w:rsid w:val="00357B28"/>
    <w:rsid w:val="003602A1"/>
    <w:rsid w:val="003614CD"/>
    <w:rsid w:val="0036275B"/>
    <w:rsid w:val="003633BA"/>
    <w:rsid w:val="003633DA"/>
    <w:rsid w:val="00365B82"/>
    <w:rsid w:val="00365D54"/>
    <w:rsid w:val="00365EB4"/>
    <w:rsid w:val="00366035"/>
    <w:rsid w:val="00366047"/>
    <w:rsid w:val="00366753"/>
    <w:rsid w:val="00366A76"/>
    <w:rsid w:val="00366C72"/>
    <w:rsid w:val="003672E6"/>
    <w:rsid w:val="003718AF"/>
    <w:rsid w:val="00372038"/>
    <w:rsid w:val="00372711"/>
    <w:rsid w:val="00372ED1"/>
    <w:rsid w:val="003731CC"/>
    <w:rsid w:val="00373C00"/>
    <w:rsid w:val="00374207"/>
    <w:rsid w:val="0037429E"/>
    <w:rsid w:val="00374956"/>
    <w:rsid w:val="00374BD5"/>
    <w:rsid w:val="00377178"/>
    <w:rsid w:val="00377B86"/>
    <w:rsid w:val="00382EA1"/>
    <w:rsid w:val="003834CA"/>
    <w:rsid w:val="0038441A"/>
    <w:rsid w:val="003854C3"/>
    <w:rsid w:val="0038607A"/>
    <w:rsid w:val="00386FCB"/>
    <w:rsid w:val="003876CA"/>
    <w:rsid w:val="003919F3"/>
    <w:rsid w:val="00391AC9"/>
    <w:rsid w:val="003932B4"/>
    <w:rsid w:val="0039537D"/>
    <w:rsid w:val="003953D9"/>
    <w:rsid w:val="0039702B"/>
    <w:rsid w:val="003A0FC1"/>
    <w:rsid w:val="003A1F20"/>
    <w:rsid w:val="003A36E1"/>
    <w:rsid w:val="003A3A7A"/>
    <w:rsid w:val="003A3BF8"/>
    <w:rsid w:val="003A5DA7"/>
    <w:rsid w:val="003A5FED"/>
    <w:rsid w:val="003A67E3"/>
    <w:rsid w:val="003A721D"/>
    <w:rsid w:val="003B1591"/>
    <w:rsid w:val="003B1916"/>
    <w:rsid w:val="003B3A27"/>
    <w:rsid w:val="003B3AA9"/>
    <w:rsid w:val="003B426A"/>
    <w:rsid w:val="003B4504"/>
    <w:rsid w:val="003B6031"/>
    <w:rsid w:val="003B7456"/>
    <w:rsid w:val="003B7602"/>
    <w:rsid w:val="003B78A2"/>
    <w:rsid w:val="003B7A2E"/>
    <w:rsid w:val="003B7C4B"/>
    <w:rsid w:val="003C2074"/>
    <w:rsid w:val="003C21DA"/>
    <w:rsid w:val="003C2B78"/>
    <w:rsid w:val="003C2B7F"/>
    <w:rsid w:val="003C4E95"/>
    <w:rsid w:val="003C51FE"/>
    <w:rsid w:val="003C6754"/>
    <w:rsid w:val="003C7A7C"/>
    <w:rsid w:val="003D16F1"/>
    <w:rsid w:val="003D3043"/>
    <w:rsid w:val="003D37B2"/>
    <w:rsid w:val="003D3D4D"/>
    <w:rsid w:val="003D5F1D"/>
    <w:rsid w:val="003D6C98"/>
    <w:rsid w:val="003D7E79"/>
    <w:rsid w:val="003D7F73"/>
    <w:rsid w:val="003E003A"/>
    <w:rsid w:val="003E0D5D"/>
    <w:rsid w:val="003E20AE"/>
    <w:rsid w:val="003E5612"/>
    <w:rsid w:val="003E5EFA"/>
    <w:rsid w:val="003E5FFE"/>
    <w:rsid w:val="003E77DB"/>
    <w:rsid w:val="003E7F1E"/>
    <w:rsid w:val="003F0E8B"/>
    <w:rsid w:val="003F0F80"/>
    <w:rsid w:val="003F1DF6"/>
    <w:rsid w:val="003F295A"/>
    <w:rsid w:val="003F5C6F"/>
    <w:rsid w:val="003F68E4"/>
    <w:rsid w:val="003F69FF"/>
    <w:rsid w:val="003F7C22"/>
    <w:rsid w:val="003F7FDA"/>
    <w:rsid w:val="00401B07"/>
    <w:rsid w:val="004020A7"/>
    <w:rsid w:val="0040277B"/>
    <w:rsid w:val="00402E31"/>
    <w:rsid w:val="00404BE6"/>
    <w:rsid w:val="00404D10"/>
    <w:rsid w:val="0040553D"/>
    <w:rsid w:val="00405FC0"/>
    <w:rsid w:val="004060E8"/>
    <w:rsid w:val="00406F26"/>
    <w:rsid w:val="00406F48"/>
    <w:rsid w:val="00407286"/>
    <w:rsid w:val="00407EE1"/>
    <w:rsid w:val="00413194"/>
    <w:rsid w:val="00413A73"/>
    <w:rsid w:val="00415F51"/>
    <w:rsid w:val="00416E28"/>
    <w:rsid w:val="00416F7E"/>
    <w:rsid w:val="00417854"/>
    <w:rsid w:val="0042050D"/>
    <w:rsid w:val="00421460"/>
    <w:rsid w:val="00422444"/>
    <w:rsid w:val="00422617"/>
    <w:rsid w:val="004227B8"/>
    <w:rsid w:val="0042284B"/>
    <w:rsid w:val="004250C7"/>
    <w:rsid w:val="00425BA5"/>
    <w:rsid w:val="004260E8"/>
    <w:rsid w:val="00427CBD"/>
    <w:rsid w:val="00431E41"/>
    <w:rsid w:val="00431ECE"/>
    <w:rsid w:val="0043346B"/>
    <w:rsid w:val="00433CE3"/>
    <w:rsid w:val="00435800"/>
    <w:rsid w:val="00437949"/>
    <w:rsid w:val="00437DA4"/>
    <w:rsid w:val="00442C0A"/>
    <w:rsid w:val="004436A4"/>
    <w:rsid w:val="004449CA"/>
    <w:rsid w:val="004453D6"/>
    <w:rsid w:val="00445A5F"/>
    <w:rsid w:val="00445CA6"/>
    <w:rsid w:val="00446B84"/>
    <w:rsid w:val="004479F4"/>
    <w:rsid w:val="00447AC3"/>
    <w:rsid w:val="00447E6C"/>
    <w:rsid w:val="00451952"/>
    <w:rsid w:val="00451BC3"/>
    <w:rsid w:val="00452A14"/>
    <w:rsid w:val="00454E18"/>
    <w:rsid w:val="00455F37"/>
    <w:rsid w:val="00456A3F"/>
    <w:rsid w:val="004579ED"/>
    <w:rsid w:val="00457E79"/>
    <w:rsid w:val="00461795"/>
    <w:rsid w:val="004617D6"/>
    <w:rsid w:val="00463547"/>
    <w:rsid w:val="00463572"/>
    <w:rsid w:val="00463B33"/>
    <w:rsid w:val="00464615"/>
    <w:rsid w:val="00464760"/>
    <w:rsid w:val="0046511A"/>
    <w:rsid w:val="004654BB"/>
    <w:rsid w:val="00465550"/>
    <w:rsid w:val="00465650"/>
    <w:rsid w:val="004663A9"/>
    <w:rsid w:val="00466543"/>
    <w:rsid w:val="0047152F"/>
    <w:rsid w:val="00471F1B"/>
    <w:rsid w:val="00472052"/>
    <w:rsid w:val="00472910"/>
    <w:rsid w:val="00472F57"/>
    <w:rsid w:val="00474561"/>
    <w:rsid w:val="00475C93"/>
    <w:rsid w:val="00475D6B"/>
    <w:rsid w:val="00477931"/>
    <w:rsid w:val="004805F5"/>
    <w:rsid w:val="0048173E"/>
    <w:rsid w:val="00482634"/>
    <w:rsid w:val="00483513"/>
    <w:rsid w:val="004853E6"/>
    <w:rsid w:val="00485434"/>
    <w:rsid w:val="004860BE"/>
    <w:rsid w:val="00486312"/>
    <w:rsid w:val="00486781"/>
    <w:rsid w:val="00490005"/>
    <w:rsid w:val="0049112A"/>
    <w:rsid w:val="00491648"/>
    <w:rsid w:val="0049234C"/>
    <w:rsid w:val="00492D22"/>
    <w:rsid w:val="00493993"/>
    <w:rsid w:val="00494111"/>
    <w:rsid w:val="0049615C"/>
    <w:rsid w:val="00496CDF"/>
    <w:rsid w:val="00497840"/>
    <w:rsid w:val="00497D68"/>
    <w:rsid w:val="004A0469"/>
    <w:rsid w:val="004A06D8"/>
    <w:rsid w:val="004A1BAB"/>
    <w:rsid w:val="004A30A1"/>
    <w:rsid w:val="004A544F"/>
    <w:rsid w:val="004A558D"/>
    <w:rsid w:val="004A715F"/>
    <w:rsid w:val="004A75BB"/>
    <w:rsid w:val="004A7883"/>
    <w:rsid w:val="004B15E0"/>
    <w:rsid w:val="004B24BA"/>
    <w:rsid w:val="004B303F"/>
    <w:rsid w:val="004B3DD5"/>
    <w:rsid w:val="004B4917"/>
    <w:rsid w:val="004B6211"/>
    <w:rsid w:val="004B6436"/>
    <w:rsid w:val="004B6F8B"/>
    <w:rsid w:val="004B7754"/>
    <w:rsid w:val="004C10C1"/>
    <w:rsid w:val="004C1A06"/>
    <w:rsid w:val="004C2787"/>
    <w:rsid w:val="004C2C2F"/>
    <w:rsid w:val="004C6E88"/>
    <w:rsid w:val="004C708E"/>
    <w:rsid w:val="004D0AD3"/>
    <w:rsid w:val="004D2684"/>
    <w:rsid w:val="004D2C27"/>
    <w:rsid w:val="004D3362"/>
    <w:rsid w:val="004D34C9"/>
    <w:rsid w:val="004D3F77"/>
    <w:rsid w:val="004D4BB2"/>
    <w:rsid w:val="004D5184"/>
    <w:rsid w:val="004D7A19"/>
    <w:rsid w:val="004D7CAB"/>
    <w:rsid w:val="004E10CF"/>
    <w:rsid w:val="004E2748"/>
    <w:rsid w:val="004E3149"/>
    <w:rsid w:val="004E31CE"/>
    <w:rsid w:val="004E3975"/>
    <w:rsid w:val="004E5AFF"/>
    <w:rsid w:val="004E5B53"/>
    <w:rsid w:val="004E6D90"/>
    <w:rsid w:val="004E6E0F"/>
    <w:rsid w:val="004E7256"/>
    <w:rsid w:val="004E75CC"/>
    <w:rsid w:val="004F038B"/>
    <w:rsid w:val="004F084C"/>
    <w:rsid w:val="004F2128"/>
    <w:rsid w:val="004F5634"/>
    <w:rsid w:val="004F5898"/>
    <w:rsid w:val="004F5A0C"/>
    <w:rsid w:val="004F5FB3"/>
    <w:rsid w:val="004F60A7"/>
    <w:rsid w:val="00500AE4"/>
    <w:rsid w:val="00500D1F"/>
    <w:rsid w:val="0050310B"/>
    <w:rsid w:val="0050436C"/>
    <w:rsid w:val="005048E0"/>
    <w:rsid w:val="00505BAF"/>
    <w:rsid w:val="005068C0"/>
    <w:rsid w:val="005114B5"/>
    <w:rsid w:val="0051216F"/>
    <w:rsid w:val="005125CE"/>
    <w:rsid w:val="005151B1"/>
    <w:rsid w:val="00515FEE"/>
    <w:rsid w:val="005167E5"/>
    <w:rsid w:val="005175FD"/>
    <w:rsid w:val="005204CF"/>
    <w:rsid w:val="00521E85"/>
    <w:rsid w:val="00522CE4"/>
    <w:rsid w:val="00522D05"/>
    <w:rsid w:val="005238F0"/>
    <w:rsid w:val="00523EA9"/>
    <w:rsid w:val="00527D07"/>
    <w:rsid w:val="005302FB"/>
    <w:rsid w:val="00531223"/>
    <w:rsid w:val="00531D87"/>
    <w:rsid w:val="00532D26"/>
    <w:rsid w:val="0053360D"/>
    <w:rsid w:val="00535717"/>
    <w:rsid w:val="005365CF"/>
    <w:rsid w:val="00536A02"/>
    <w:rsid w:val="00536BAA"/>
    <w:rsid w:val="005370D6"/>
    <w:rsid w:val="005412F0"/>
    <w:rsid w:val="00541383"/>
    <w:rsid w:val="00542B03"/>
    <w:rsid w:val="005440C7"/>
    <w:rsid w:val="0054526B"/>
    <w:rsid w:val="00546AB0"/>
    <w:rsid w:val="005476D6"/>
    <w:rsid w:val="005477C3"/>
    <w:rsid w:val="0055006B"/>
    <w:rsid w:val="0055025A"/>
    <w:rsid w:val="0055118A"/>
    <w:rsid w:val="00551363"/>
    <w:rsid w:val="0055285F"/>
    <w:rsid w:val="00553178"/>
    <w:rsid w:val="00554812"/>
    <w:rsid w:val="00555D16"/>
    <w:rsid w:val="00555D3D"/>
    <w:rsid w:val="00555E01"/>
    <w:rsid w:val="005606D1"/>
    <w:rsid w:val="00560886"/>
    <w:rsid w:val="00560BCA"/>
    <w:rsid w:val="005631F2"/>
    <w:rsid w:val="005657F0"/>
    <w:rsid w:val="00570BCB"/>
    <w:rsid w:val="00570C23"/>
    <w:rsid w:val="00572178"/>
    <w:rsid w:val="00572A7D"/>
    <w:rsid w:val="00573F20"/>
    <w:rsid w:val="00574C44"/>
    <w:rsid w:val="00575059"/>
    <w:rsid w:val="0057513D"/>
    <w:rsid w:val="0057545A"/>
    <w:rsid w:val="005758B3"/>
    <w:rsid w:val="005763AA"/>
    <w:rsid w:val="00576E07"/>
    <w:rsid w:val="00577296"/>
    <w:rsid w:val="0057776E"/>
    <w:rsid w:val="00577DEC"/>
    <w:rsid w:val="005800B7"/>
    <w:rsid w:val="00580FAF"/>
    <w:rsid w:val="005812E6"/>
    <w:rsid w:val="005819D8"/>
    <w:rsid w:val="00581EFD"/>
    <w:rsid w:val="00582158"/>
    <w:rsid w:val="00582D39"/>
    <w:rsid w:val="00582D44"/>
    <w:rsid w:val="00583A6B"/>
    <w:rsid w:val="00584639"/>
    <w:rsid w:val="00593138"/>
    <w:rsid w:val="005949F4"/>
    <w:rsid w:val="005968D0"/>
    <w:rsid w:val="00597915"/>
    <w:rsid w:val="00597B64"/>
    <w:rsid w:val="005A061B"/>
    <w:rsid w:val="005A1F85"/>
    <w:rsid w:val="005A201F"/>
    <w:rsid w:val="005A2356"/>
    <w:rsid w:val="005A359F"/>
    <w:rsid w:val="005A3935"/>
    <w:rsid w:val="005A3960"/>
    <w:rsid w:val="005A441D"/>
    <w:rsid w:val="005A4810"/>
    <w:rsid w:val="005A63B7"/>
    <w:rsid w:val="005A66D5"/>
    <w:rsid w:val="005B0B8B"/>
    <w:rsid w:val="005B11FE"/>
    <w:rsid w:val="005B201D"/>
    <w:rsid w:val="005B24C4"/>
    <w:rsid w:val="005B29A0"/>
    <w:rsid w:val="005B2D14"/>
    <w:rsid w:val="005B2F3E"/>
    <w:rsid w:val="005B3DBC"/>
    <w:rsid w:val="005B4560"/>
    <w:rsid w:val="005B56E7"/>
    <w:rsid w:val="005B5766"/>
    <w:rsid w:val="005B585E"/>
    <w:rsid w:val="005B5E88"/>
    <w:rsid w:val="005B610F"/>
    <w:rsid w:val="005B7E90"/>
    <w:rsid w:val="005C005D"/>
    <w:rsid w:val="005C126B"/>
    <w:rsid w:val="005C28ED"/>
    <w:rsid w:val="005C3DDF"/>
    <w:rsid w:val="005C3FAE"/>
    <w:rsid w:val="005C6676"/>
    <w:rsid w:val="005C6759"/>
    <w:rsid w:val="005C6CA5"/>
    <w:rsid w:val="005C7827"/>
    <w:rsid w:val="005D1608"/>
    <w:rsid w:val="005D167E"/>
    <w:rsid w:val="005D198B"/>
    <w:rsid w:val="005D279F"/>
    <w:rsid w:val="005D2804"/>
    <w:rsid w:val="005D2C19"/>
    <w:rsid w:val="005D3207"/>
    <w:rsid w:val="005D3879"/>
    <w:rsid w:val="005D3EDF"/>
    <w:rsid w:val="005D6016"/>
    <w:rsid w:val="005D60B4"/>
    <w:rsid w:val="005D6AD1"/>
    <w:rsid w:val="005D6C88"/>
    <w:rsid w:val="005D6CDF"/>
    <w:rsid w:val="005D7BEA"/>
    <w:rsid w:val="005E0711"/>
    <w:rsid w:val="005E2A95"/>
    <w:rsid w:val="005E4940"/>
    <w:rsid w:val="005E4E45"/>
    <w:rsid w:val="005F08A7"/>
    <w:rsid w:val="005F103E"/>
    <w:rsid w:val="005F412D"/>
    <w:rsid w:val="005F5E79"/>
    <w:rsid w:val="005F6C73"/>
    <w:rsid w:val="005F71FC"/>
    <w:rsid w:val="005F7AE4"/>
    <w:rsid w:val="00601FF9"/>
    <w:rsid w:val="00602001"/>
    <w:rsid w:val="00602095"/>
    <w:rsid w:val="00603965"/>
    <w:rsid w:val="00603B7B"/>
    <w:rsid w:val="0060488B"/>
    <w:rsid w:val="00605049"/>
    <w:rsid w:val="00605230"/>
    <w:rsid w:val="006070F6"/>
    <w:rsid w:val="00610642"/>
    <w:rsid w:val="0061335A"/>
    <w:rsid w:val="00615429"/>
    <w:rsid w:val="00616ACF"/>
    <w:rsid w:val="00622650"/>
    <w:rsid w:val="00623E22"/>
    <w:rsid w:val="00624CEE"/>
    <w:rsid w:val="00624F1B"/>
    <w:rsid w:val="00625BF1"/>
    <w:rsid w:val="00626AD1"/>
    <w:rsid w:val="00626B3E"/>
    <w:rsid w:val="00626EC8"/>
    <w:rsid w:val="006336BA"/>
    <w:rsid w:val="006341C7"/>
    <w:rsid w:val="00634942"/>
    <w:rsid w:val="006357CD"/>
    <w:rsid w:val="00636404"/>
    <w:rsid w:val="0064212E"/>
    <w:rsid w:val="00643741"/>
    <w:rsid w:val="006444DE"/>
    <w:rsid w:val="0064461B"/>
    <w:rsid w:val="00644C65"/>
    <w:rsid w:val="00646ECD"/>
    <w:rsid w:val="00646FD8"/>
    <w:rsid w:val="006505F4"/>
    <w:rsid w:val="00651027"/>
    <w:rsid w:val="0065186A"/>
    <w:rsid w:val="00651E73"/>
    <w:rsid w:val="00652EF9"/>
    <w:rsid w:val="0065309B"/>
    <w:rsid w:val="00654CCC"/>
    <w:rsid w:val="0065514A"/>
    <w:rsid w:val="0065606A"/>
    <w:rsid w:val="006564D6"/>
    <w:rsid w:val="00656A06"/>
    <w:rsid w:val="00656C8D"/>
    <w:rsid w:val="00657265"/>
    <w:rsid w:val="00657C07"/>
    <w:rsid w:val="00662379"/>
    <w:rsid w:val="00663F46"/>
    <w:rsid w:val="006643FC"/>
    <w:rsid w:val="00664965"/>
    <w:rsid w:val="00664BCA"/>
    <w:rsid w:val="00666BC7"/>
    <w:rsid w:val="006676FA"/>
    <w:rsid w:val="00670FB1"/>
    <w:rsid w:val="006714CF"/>
    <w:rsid w:val="006724CF"/>
    <w:rsid w:val="00672747"/>
    <w:rsid w:val="006749B4"/>
    <w:rsid w:val="00675A48"/>
    <w:rsid w:val="00681368"/>
    <w:rsid w:val="00684B8E"/>
    <w:rsid w:val="00684C28"/>
    <w:rsid w:val="00686886"/>
    <w:rsid w:val="0068700E"/>
    <w:rsid w:val="006872C0"/>
    <w:rsid w:val="00690087"/>
    <w:rsid w:val="00690B8E"/>
    <w:rsid w:val="00691000"/>
    <w:rsid w:val="006930EA"/>
    <w:rsid w:val="006932D0"/>
    <w:rsid w:val="00693C09"/>
    <w:rsid w:val="00693EB7"/>
    <w:rsid w:val="00697B98"/>
    <w:rsid w:val="006A166A"/>
    <w:rsid w:val="006A1A96"/>
    <w:rsid w:val="006A29C4"/>
    <w:rsid w:val="006A3539"/>
    <w:rsid w:val="006A47C8"/>
    <w:rsid w:val="006A6770"/>
    <w:rsid w:val="006A6817"/>
    <w:rsid w:val="006A7C04"/>
    <w:rsid w:val="006B075C"/>
    <w:rsid w:val="006B1F53"/>
    <w:rsid w:val="006B28C9"/>
    <w:rsid w:val="006B2EE0"/>
    <w:rsid w:val="006B324A"/>
    <w:rsid w:val="006B4770"/>
    <w:rsid w:val="006B4B47"/>
    <w:rsid w:val="006B5016"/>
    <w:rsid w:val="006B59AC"/>
    <w:rsid w:val="006B5B73"/>
    <w:rsid w:val="006B7C6D"/>
    <w:rsid w:val="006C1059"/>
    <w:rsid w:val="006C16CA"/>
    <w:rsid w:val="006C22A9"/>
    <w:rsid w:val="006C26CB"/>
    <w:rsid w:val="006C2781"/>
    <w:rsid w:val="006C354B"/>
    <w:rsid w:val="006C3683"/>
    <w:rsid w:val="006C3A63"/>
    <w:rsid w:val="006C3D7E"/>
    <w:rsid w:val="006C415B"/>
    <w:rsid w:val="006C434C"/>
    <w:rsid w:val="006C47B4"/>
    <w:rsid w:val="006C72F4"/>
    <w:rsid w:val="006D0694"/>
    <w:rsid w:val="006D27B6"/>
    <w:rsid w:val="006D4A87"/>
    <w:rsid w:val="006D6102"/>
    <w:rsid w:val="006D6434"/>
    <w:rsid w:val="006D6801"/>
    <w:rsid w:val="006D7A7F"/>
    <w:rsid w:val="006E0CF8"/>
    <w:rsid w:val="006E0FEA"/>
    <w:rsid w:val="006E14FE"/>
    <w:rsid w:val="006E29AA"/>
    <w:rsid w:val="006E6011"/>
    <w:rsid w:val="006E6EFA"/>
    <w:rsid w:val="006E73BE"/>
    <w:rsid w:val="006E753E"/>
    <w:rsid w:val="006E7983"/>
    <w:rsid w:val="006F0A91"/>
    <w:rsid w:val="006F1882"/>
    <w:rsid w:val="006F1A75"/>
    <w:rsid w:val="006F1E35"/>
    <w:rsid w:val="006F2A7B"/>
    <w:rsid w:val="006F5216"/>
    <w:rsid w:val="006F6133"/>
    <w:rsid w:val="006F6CC3"/>
    <w:rsid w:val="006F7F29"/>
    <w:rsid w:val="00701669"/>
    <w:rsid w:val="00702696"/>
    <w:rsid w:val="00704838"/>
    <w:rsid w:val="00707289"/>
    <w:rsid w:val="007074DB"/>
    <w:rsid w:val="007117F1"/>
    <w:rsid w:val="00711C5B"/>
    <w:rsid w:val="00711FFD"/>
    <w:rsid w:val="00712546"/>
    <w:rsid w:val="0071260D"/>
    <w:rsid w:val="007134FE"/>
    <w:rsid w:val="0071385E"/>
    <w:rsid w:val="00715463"/>
    <w:rsid w:val="00716C64"/>
    <w:rsid w:val="00716CD4"/>
    <w:rsid w:val="00720493"/>
    <w:rsid w:val="00721B32"/>
    <w:rsid w:val="00722199"/>
    <w:rsid w:val="00722908"/>
    <w:rsid w:val="007232B8"/>
    <w:rsid w:val="007233C7"/>
    <w:rsid w:val="00723655"/>
    <w:rsid w:val="0072372A"/>
    <w:rsid w:val="007243B1"/>
    <w:rsid w:val="00725214"/>
    <w:rsid w:val="00725D45"/>
    <w:rsid w:val="007261F2"/>
    <w:rsid w:val="00726299"/>
    <w:rsid w:val="007263F7"/>
    <w:rsid w:val="0073021C"/>
    <w:rsid w:val="007311F7"/>
    <w:rsid w:val="00731231"/>
    <w:rsid w:val="0073197D"/>
    <w:rsid w:val="007320DD"/>
    <w:rsid w:val="0073252E"/>
    <w:rsid w:val="00732D72"/>
    <w:rsid w:val="00733E10"/>
    <w:rsid w:val="00733ED7"/>
    <w:rsid w:val="0073544E"/>
    <w:rsid w:val="00736B05"/>
    <w:rsid w:val="0073702F"/>
    <w:rsid w:val="0074163E"/>
    <w:rsid w:val="007416AA"/>
    <w:rsid w:val="00741EF3"/>
    <w:rsid w:val="0074305E"/>
    <w:rsid w:val="00744D17"/>
    <w:rsid w:val="00745EAB"/>
    <w:rsid w:val="007464F8"/>
    <w:rsid w:val="00750BD8"/>
    <w:rsid w:val="00751529"/>
    <w:rsid w:val="0075188A"/>
    <w:rsid w:val="007532A1"/>
    <w:rsid w:val="00753867"/>
    <w:rsid w:val="00753982"/>
    <w:rsid w:val="00753BCB"/>
    <w:rsid w:val="00753C3F"/>
    <w:rsid w:val="00754F8D"/>
    <w:rsid w:val="00755D46"/>
    <w:rsid w:val="007567FB"/>
    <w:rsid w:val="00760881"/>
    <w:rsid w:val="00761A15"/>
    <w:rsid w:val="00761EA1"/>
    <w:rsid w:val="00762CEE"/>
    <w:rsid w:val="00765FD7"/>
    <w:rsid w:val="00766200"/>
    <w:rsid w:val="0076695B"/>
    <w:rsid w:val="00767B77"/>
    <w:rsid w:val="00767C7B"/>
    <w:rsid w:val="00773393"/>
    <w:rsid w:val="00773BCF"/>
    <w:rsid w:val="00773CF7"/>
    <w:rsid w:val="00773F3C"/>
    <w:rsid w:val="007742B5"/>
    <w:rsid w:val="00774CA3"/>
    <w:rsid w:val="007760F3"/>
    <w:rsid w:val="00776C53"/>
    <w:rsid w:val="00781D0B"/>
    <w:rsid w:val="00784868"/>
    <w:rsid w:val="0078637D"/>
    <w:rsid w:val="00787FD4"/>
    <w:rsid w:val="00790A38"/>
    <w:rsid w:val="007911B4"/>
    <w:rsid w:val="007918CA"/>
    <w:rsid w:val="00793A18"/>
    <w:rsid w:val="00793CD8"/>
    <w:rsid w:val="007947D7"/>
    <w:rsid w:val="0079502E"/>
    <w:rsid w:val="007951F4"/>
    <w:rsid w:val="007A00A0"/>
    <w:rsid w:val="007A1795"/>
    <w:rsid w:val="007A336F"/>
    <w:rsid w:val="007A347D"/>
    <w:rsid w:val="007B199E"/>
    <w:rsid w:val="007B2215"/>
    <w:rsid w:val="007B23CA"/>
    <w:rsid w:val="007B2504"/>
    <w:rsid w:val="007B27A7"/>
    <w:rsid w:val="007B39C1"/>
    <w:rsid w:val="007B3A84"/>
    <w:rsid w:val="007B4356"/>
    <w:rsid w:val="007B5F12"/>
    <w:rsid w:val="007B63E1"/>
    <w:rsid w:val="007B6CFC"/>
    <w:rsid w:val="007B7388"/>
    <w:rsid w:val="007B751F"/>
    <w:rsid w:val="007C00AF"/>
    <w:rsid w:val="007C2597"/>
    <w:rsid w:val="007C3F59"/>
    <w:rsid w:val="007C455B"/>
    <w:rsid w:val="007C4FC9"/>
    <w:rsid w:val="007C51ED"/>
    <w:rsid w:val="007C5345"/>
    <w:rsid w:val="007C5721"/>
    <w:rsid w:val="007C6C3C"/>
    <w:rsid w:val="007C7E61"/>
    <w:rsid w:val="007D0EEA"/>
    <w:rsid w:val="007D12EC"/>
    <w:rsid w:val="007D3F75"/>
    <w:rsid w:val="007D4306"/>
    <w:rsid w:val="007D4317"/>
    <w:rsid w:val="007D4E42"/>
    <w:rsid w:val="007D559D"/>
    <w:rsid w:val="007D61D5"/>
    <w:rsid w:val="007D72F5"/>
    <w:rsid w:val="007E12D2"/>
    <w:rsid w:val="007E2B9F"/>
    <w:rsid w:val="007E6AC9"/>
    <w:rsid w:val="007E6D13"/>
    <w:rsid w:val="007E6E94"/>
    <w:rsid w:val="007E6E96"/>
    <w:rsid w:val="007F027F"/>
    <w:rsid w:val="007F0684"/>
    <w:rsid w:val="007F1ACC"/>
    <w:rsid w:val="007F2C1B"/>
    <w:rsid w:val="007F2C72"/>
    <w:rsid w:val="007F303F"/>
    <w:rsid w:val="007F30AB"/>
    <w:rsid w:val="007F5D2F"/>
    <w:rsid w:val="007F62E6"/>
    <w:rsid w:val="007F6602"/>
    <w:rsid w:val="007F79F1"/>
    <w:rsid w:val="00801405"/>
    <w:rsid w:val="00802788"/>
    <w:rsid w:val="00803FE2"/>
    <w:rsid w:val="00804F7F"/>
    <w:rsid w:val="00807764"/>
    <w:rsid w:val="0080777E"/>
    <w:rsid w:val="00807A8B"/>
    <w:rsid w:val="00810B9F"/>
    <w:rsid w:val="00811613"/>
    <w:rsid w:val="008119B7"/>
    <w:rsid w:val="00812F0B"/>
    <w:rsid w:val="00812FDE"/>
    <w:rsid w:val="008149DD"/>
    <w:rsid w:val="0081541C"/>
    <w:rsid w:val="00815B37"/>
    <w:rsid w:val="008167DC"/>
    <w:rsid w:val="008172F1"/>
    <w:rsid w:val="008200B6"/>
    <w:rsid w:val="00820896"/>
    <w:rsid w:val="0082125F"/>
    <w:rsid w:val="00821938"/>
    <w:rsid w:val="00821C09"/>
    <w:rsid w:val="00822114"/>
    <w:rsid w:val="008225AD"/>
    <w:rsid w:val="00823BBB"/>
    <w:rsid w:val="008247C5"/>
    <w:rsid w:val="0082583B"/>
    <w:rsid w:val="00825ABA"/>
    <w:rsid w:val="00830972"/>
    <w:rsid w:val="00831A75"/>
    <w:rsid w:val="00831E63"/>
    <w:rsid w:val="00832AB0"/>
    <w:rsid w:val="00833301"/>
    <w:rsid w:val="008338CC"/>
    <w:rsid w:val="008363A9"/>
    <w:rsid w:val="00837718"/>
    <w:rsid w:val="0084159E"/>
    <w:rsid w:val="00844502"/>
    <w:rsid w:val="0084450F"/>
    <w:rsid w:val="008448F3"/>
    <w:rsid w:val="00845724"/>
    <w:rsid w:val="008506C6"/>
    <w:rsid w:val="00851144"/>
    <w:rsid w:val="0085335F"/>
    <w:rsid w:val="00853EF4"/>
    <w:rsid w:val="00854A40"/>
    <w:rsid w:val="008560B5"/>
    <w:rsid w:val="00856651"/>
    <w:rsid w:val="008572FE"/>
    <w:rsid w:val="0086065F"/>
    <w:rsid w:val="00860D90"/>
    <w:rsid w:val="00861F86"/>
    <w:rsid w:val="008629D3"/>
    <w:rsid w:val="0086366B"/>
    <w:rsid w:val="00863C67"/>
    <w:rsid w:val="008648D7"/>
    <w:rsid w:val="008653F4"/>
    <w:rsid w:val="00865D5D"/>
    <w:rsid w:val="00866F09"/>
    <w:rsid w:val="00867E88"/>
    <w:rsid w:val="00870DD0"/>
    <w:rsid w:val="008712F6"/>
    <w:rsid w:val="00872ADC"/>
    <w:rsid w:val="00872C8A"/>
    <w:rsid w:val="008742FD"/>
    <w:rsid w:val="00874B55"/>
    <w:rsid w:val="00874D07"/>
    <w:rsid w:val="00875191"/>
    <w:rsid w:val="008755AD"/>
    <w:rsid w:val="00877252"/>
    <w:rsid w:val="00877769"/>
    <w:rsid w:val="00877FB2"/>
    <w:rsid w:val="008806D9"/>
    <w:rsid w:val="008808BF"/>
    <w:rsid w:val="00881BDC"/>
    <w:rsid w:val="00886069"/>
    <w:rsid w:val="008871B2"/>
    <w:rsid w:val="00887970"/>
    <w:rsid w:val="0089009C"/>
    <w:rsid w:val="0089049F"/>
    <w:rsid w:val="00890AEA"/>
    <w:rsid w:val="0089116D"/>
    <w:rsid w:val="008914DF"/>
    <w:rsid w:val="00892203"/>
    <w:rsid w:val="00892986"/>
    <w:rsid w:val="0089319D"/>
    <w:rsid w:val="0089322A"/>
    <w:rsid w:val="008934FD"/>
    <w:rsid w:val="008939E3"/>
    <w:rsid w:val="008953F3"/>
    <w:rsid w:val="00896264"/>
    <w:rsid w:val="0089629E"/>
    <w:rsid w:val="008970E2"/>
    <w:rsid w:val="008975D7"/>
    <w:rsid w:val="008A2C3B"/>
    <w:rsid w:val="008A4C4D"/>
    <w:rsid w:val="008A4C74"/>
    <w:rsid w:val="008A4D5F"/>
    <w:rsid w:val="008A56BE"/>
    <w:rsid w:val="008A596E"/>
    <w:rsid w:val="008A67D5"/>
    <w:rsid w:val="008A6C15"/>
    <w:rsid w:val="008B02A1"/>
    <w:rsid w:val="008B0407"/>
    <w:rsid w:val="008B0925"/>
    <w:rsid w:val="008B1E45"/>
    <w:rsid w:val="008B235A"/>
    <w:rsid w:val="008B23BA"/>
    <w:rsid w:val="008B2DD0"/>
    <w:rsid w:val="008B3EE2"/>
    <w:rsid w:val="008B5E7B"/>
    <w:rsid w:val="008B5F1D"/>
    <w:rsid w:val="008B63CC"/>
    <w:rsid w:val="008B7409"/>
    <w:rsid w:val="008C0593"/>
    <w:rsid w:val="008C08A5"/>
    <w:rsid w:val="008C0B81"/>
    <w:rsid w:val="008C15AF"/>
    <w:rsid w:val="008C217F"/>
    <w:rsid w:val="008C3526"/>
    <w:rsid w:val="008C3B28"/>
    <w:rsid w:val="008C3D04"/>
    <w:rsid w:val="008C5C1A"/>
    <w:rsid w:val="008C6CDA"/>
    <w:rsid w:val="008D2108"/>
    <w:rsid w:val="008D304A"/>
    <w:rsid w:val="008D33AE"/>
    <w:rsid w:val="008D409E"/>
    <w:rsid w:val="008D4532"/>
    <w:rsid w:val="008D479F"/>
    <w:rsid w:val="008D69D1"/>
    <w:rsid w:val="008D749F"/>
    <w:rsid w:val="008E0625"/>
    <w:rsid w:val="008E27A6"/>
    <w:rsid w:val="008E5BDE"/>
    <w:rsid w:val="008E6303"/>
    <w:rsid w:val="008F0617"/>
    <w:rsid w:val="008F0991"/>
    <w:rsid w:val="008F189C"/>
    <w:rsid w:val="008F395C"/>
    <w:rsid w:val="008F4536"/>
    <w:rsid w:val="008F6934"/>
    <w:rsid w:val="00902EE9"/>
    <w:rsid w:val="009037B9"/>
    <w:rsid w:val="009047FB"/>
    <w:rsid w:val="00904C3F"/>
    <w:rsid w:val="00905D93"/>
    <w:rsid w:val="00905DA3"/>
    <w:rsid w:val="00905FFA"/>
    <w:rsid w:val="00906C8E"/>
    <w:rsid w:val="00907A80"/>
    <w:rsid w:val="00911D0C"/>
    <w:rsid w:val="00912A5E"/>
    <w:rsid w:val="00912BB8"/>
    <w:rsid w:val="00915225"/>
    <w:rsid w:val="00915629"/>
    <w:rsid w:val="00917AF6"/>
    <w:rsid w:val="00920EA3"/>
    <w:rsid w:val="00921562"/>
    <w:rsid w:val="00921E3F"/>
    <w:rsid w:val="00922495"/>
    <w:rsid w:val="00924E34"/>
    <w:rsid w:val="00925575"/>
    <w:rsid w:val="009258EF"/>
    <w:rsid w:val="00925AFA"/>
    <w:rsid w:val="00926CCE"/>
    <w:rsid w:val="009274C4"/>
    <w:rsid w:val="00931041"/>
    <w:rsid w:val="00931598"/>
    <w:rsid w:val="009319D9"/>
    <w:rsid w:val="00931ABD"/>
    <w:rsid w:val="00931C36"/>
    <w:rsid w:val="00932A58"/>
    <w:rsid w:val="00933512"/>
    <w:rsid w:val="00933B98"/>
    <w:rsid w:val="009352A5"/>
    <w:rsid w:val="00935775"/>
    <w:rsid w:val="00936708"/>
    <w:rsid w:val="00936CD5"/>
    <w:rsid w:val="009373C0"/>
    <w:rsid w:val="0093776B"/>
    <w:rsid w:val="00937DB2"/>
    <w:rsid w:val="00940848"/>
    <w:rsid w:val="00940B01"/>
    <w:rsid w:val="00942A68"/>
    <w:rsid w:val="00943208"/>
    <w:rsid w:val="0094350E"/>
    <w:rsid w:val="00943EDA"/>
    <w:rsid w:val="0094655B"/>
    <w:rsid w:val="0094784C"/>
    <w:rsid w:val="009503C6"/>
    <w:rsid w:val="00950E90"/>
    <w:rsid w:val="00951E77"/>
    <w:rsid w:val="00952D71"/>
    <w:rsid w:val="0095341E"/>
    <w:rsid w:val="00953832"/>
    <w:rsid w:val="009541AF"/>
    <w:rsid w:val="00955373"/>
    <w:rsid w:val="009561EB"/>
    <w:rsid w:val="0096275B"/>
    <w:rsid w:val="00964D00"/>
    <w:rsid w:val="00966144"/>
    <w:rsid w:val="00966A46"/>
    <w:rsid w:val="009677C3"/>
    <w:rsid w:val="009679F8"/>
    <w:rsid w:val="00967BDD"/>
    <w:rsid w:val="009707DA"/>
    <w:rsid w:val="00971ABD"/>
    <w:rsid w:val="0097288B"/>
    <w:rsid w:val="00972E98"/>
    <w:rsid w:val="0097450A"/>
    <w:rsid w:val="00975574"/>
    <w:rsid w:val="00976781"/>
    <w:rsid w:val="00977A65"/>
    <w:rsid w:val="00980F80"/>
    <w:rsid w:val="00981315"/>
    <w:rsid w:val="0098278A"/>
    <w:rsid w:val="00984A43"/>
    <w:rsid w:val="00985A0C"/>
    <w:rsid w:val="00987331"/>
    <w:rsid w:val="00990422"/>
    <w:rsid w:val="00990AB8"/>
    <w:rsid w:val="009913DB"/>
    <w:rsid w:val="00991CC7"/>
    <w:rsid w:val="00992544"/>
    <w:rsid w:val="00993325"/>
    <w:rsid w:val="00993345"/>
    <w:rsid w:val="0099513C"/>
    <w:rsid w:val="00996D27"/>
    <w:rsid w:val="00997A4F"/>
    <w:rsid w:val="00997CCA"/>
    <w:rsid w:val="00997E10"/>
    <w:rsid w:val="009A00A7"/>
    <w:rsid w:val="009A148D"/>
    <w:rsid w:val="009A1A23"/>
    <w:rsid w:val="009A1B44"/>
    <w:rsid w:val="009A1C60"/>
    <w:rsid w:val="009A1EAD"/>
    <w:rsid w:val="009A2D60"/>
    <w:rsid w:val="009A3730"/>
    <w:rsid w:val="009A53B8"/>
    <w:rsid w:val="009A560E"/>
    <w:rsid w:val="009A6D29"/>
    <w:rsid w:val="009A7ACE"/>
    <w:rsid w:val="009B24B3"/>
    <w:rsid w:val="009B27F9"/>
    <w:rsid w:val="009B30F0"/>
    <w:rsid w:val="009B35E5"/>
    <w:rsid w:val="009B3FB1"/>
    <w:rsid w:val="009B40D9"/>
    <w:rsid w:val="009B47C0"/>
    <w:rsid w:val="009B6FE6"/>
    <w:rsid w:val="009B74A7"/>
    <w:rsid w:val="009B7906"/>
    <w:rsid w:val="009B7C4B"/>
    <w:rsid w:val="009C0EF1"/>
    <w:rsid w:val="009C0FF8"/>
    <w:rsid w:val="009C17F8"/>
    <w:rsid w:val="009C2DDE"/>
    <w:rsid w:val="009C3927"/>
    <w:rsid w:val="009C429A"/>
    <w:rsid w:val="009C4637"/>
    <w:rsid w:val="009C4764"/>
    <w:rsid w:val="009C4DB0"/>
    <w:rsid w:val="009C6B26"/>
    <w:rsid w:val="009C7A9E"/>
    <w:rsid w:val="009D0113"/>
    <w:rsid w:val="009D028C"/>
    <w:rsid w:val="009D04AA"/>
    <w:rsid w:val="009D04E6"/>
    <w:rsid w:val="009D05CE"/>
    <w:rsid w:val="009D0916"/>
    <w:rsid w:val="009D11DF"/>
    <w:rsid w:val="009D31CE"/>
    <w:rsid w:val="009D3702"/>
    <w:rsid w:val="009D3794"/>
    <w:rsid w:val="009D3C6A"/>
    <w:rsid w:val="009D5166"/>
    <w:rsid w:val="009D53EE"/>
    <w:rsid w:val="009E1732"/>
    <w:rsid w:val="009E195F"/>
    <w:rsid w:val="009E1F76"/>
    <w:rsid w:val="009E34A1"/>
    <w:rsid w:val="009E3615"/>
    <w:rsid w:val="009E38F4"/>
    <w:rsid w:val="009E3A3D"/>
    <w:rsid w:val="009E444F"/>
    <w:rsid w:val="009E4B2E"/>
    <w:rsid w:val="009E56E4"/>
    <w:rsid w:val="009E57AE"/>
    <w:rsid w:val="009E5946"/>
    <w:rsid w:val="009E72E1"/>
    <w:rsid w:val="009F0411"/>
    <w:rsid w:val="009F12EA"/>
    <w:rsid w:val="009F174E"/>
    <w:rsid w:val="009F2028"/>
    <w:rsid w:val="009F2285"/>
    <w:rsid w:val="009F38C1"/>
    <w:rsid w:val="009F58D5"/>
    <w:rsid w:val="009F67A2"/>
    <w:rsid w:val="009F76A9"/>
    <w:rsid w:val="00A0061D"/>
    <w:rsid w:val="00A01C5E"/>
    <w:rsid w:val="00A01C99"/>
    <w:rsid w:val="00A02D74"/>
    <w:rsid w:val="00A03328"/>
    <w:rsid w:val="00A0419B"/>
    <w:rsid w:val="00A06E66"/>
    <w:rsid w:val="00A072CE"/>
    <w:rsid w:val="00A10183"/>
    <w:rsid w:val="00A111A5"/>
    <w:rsid w:val="00A11774"/>
    <w:rsid w:val="00A1221E"/>
    <w:rsid w:val="00A13213"/>
    <w:rsid w:val="00A14395"/>
    <w:rsid w:val="00A14685"/>
    <w:rsid w:val="00A1792D"/>
    <w:rsid w:val="00A1795E"/>
    <w:rsid w:val="00A17D20"/>
    <w:rsid w:val="00A20BE8"/>
    <w:rsid w:val="00A2136D"/>
    <w:rsid w:val="00A22378"/>
    <w:rsid w:val="00A2277E"/>
    <w:rsid w:val="00A22927"/>
    <w:rsid w:val="00A2319D"/>
    <w:rsid w:val="00A23CDB"/>
    <w:rsid w:val="00A23D2C"/>
    <w:rsid w:val="00A241B2"/>
    <w:rsid w:val="00A261FC"/>
    <w:rsid w:val="00A2768A"/>
    <w:rsid w:val="00A27E05"/>
    <w:rsid w:val="00A331BF"/>
    <w:rsid w:val="00A33E46"/>
    <w:rsid w:val="00A3433F"/>
    <w:rsid w:val="00A35825"/>
    <w:rsid w:val="00A37FBE"/>
    <w:rsid w:val="00A40930"/>
    <w:rsid w:val="00A42553"/>
    <w:rsid w:val="00A42C5D"/>
    <w:rsid w:val="00A45675"/>
    <w:rsid w:val="00A465CE"/>
    <w:rsid w:val="00A467FF"/>
    <w:rsid w:val="00A46F6F"/>
    <w:rsid w:val="00A477A8"/>
    <w:rsid w:val="00A47856"/>
    <w:rsid w:val="00A51D0B"/>
    <w:rsid w:val="00A51F33"/>
    <w:rsid w:val="00A52C98"/>
    <w:rsid w:val="00A53C03"/>
    <w:rsid w:val="00A56106"/>
    <w:rsid w:val="00A5659A"/>
    <w:rsid w:val="00A607B4"/>
    <w:rsid w:val="00A64DC3"/>
    <w:rsid w:val="00A654A3"/>
    <w:rsid w:val="00A67571"/>
    <w:rsid w:val="00A700BD"/>
    <w:rsid w:val="00A74AAD"/>
    <w:rsid w:val="00A74DEF"/>
    <w:rsid w:val="00A7569C"/>
    <w:rsid w:val="00A75810"/>
    <w:rsid w:val="00A7689A"/>
    <w:rsid w:val="00A76E3C"/>
    <w:rsid w:val="00A803CF"/>
    <w:rsid w:val="00A80B80"/>
    <w:rsid w:val="00A8100C"/>
    <w:rsid w:val="00A81A2B"/>
    <w:rsid w:val="00A81A44"/>
    <w:rsid w:val="00A81C3A"/>
    <w:rsid w:val="00A82673"/>
    <w:rsid w:val="00A8551B"/>
    <w:rsid w:val="00A85D91"/>
    <w:rsid w:val="00A85E72"/>
    <w:rsid w:val="00A86446"/>
    <w:rsid w:val="00A86D21"/>
    <w:rsid w:val="00A87346"/>
    <w:rsid w:val="00A875DF"/>
    <w:rsid w:val="00A87A6B"/>
    <w:rsid w:val="00A925E3"/>
    <w:rsid w:val="00A93063"/>
    <w:rsid w:val="00A9466B"/>
    <w:rsid w:val="00A951B4"/>
    <w:rsid w:val="00A9549B"/>
    <w:rsid w:val="00A957A0"/>
    <w:rsid w:val="00A95CF7"/>
    <w:rsid w:val="00A96153"/>
    <w:rsid w:val="00A97267"/>
    <w:rsid w:val="00A97B84"/>
    <w:rsid w:val="00AA08E9"/>
    <w:rsid w:val="00AA0B0B"/>
    <w:rsid w:val="00AA107A"/>
    <w:rsid w:val="00AA4D6E"/>
    <w:rsid w:val="00AA56C4"/>
    <w:rsid w:val="00AA62C4"/>
    <w:rsid w:val="00AA7556"/>
    <w:rsid w:val="00AA75B1"/>
    <w:rsid w:val="00AB0AE8"/>
    <w:rsid w:val="00AB0E86"/>
    <w:rsid w:val="00AB206E"/>
    <w:rsid w:val="00AB28D0"/>
    <w:rsid w:val="00AB336E"/>
    <w:rsid w:val="00AB3BE6"/>
    <w:rsid w:val="00AB3C9A"/>
    <w:rsid w:val="00AB6615"/>
    <w:rsid w:val="00AB76AA"/>
    <w:rsid w:val="00AC09E6"/>
    <w:rsid w:val="00AC1939"/>
    <w:rsid w:val="00AC1BB8"/>
    <w:rsid w:val="00AC238B"/>
    <w:rsid w:val="00AC2DBD"/>
    <w:rsid w:val="00AC3063"/>
    <w:rsid w:val="00AC38D4"/>
    <w:rsid w:val="00AC3DA4"/>
    <w:rsid w:val="00AC43B8"/>
    <w:rsid w:val="00AC76B0"/>
    <w:rsid w:val="00AC7C39"/>
    <w:rsid w:val="00AD0030"/>
    <w:rsid w:val="00AD14F2"/>
    <w:rsid w:val="00AD290A"/>
    <w:rsid w:val="00AD2DE4"/>
    <w:rsid w:val="00AD3F90"/>
    <w:rsid w:val="00AD49C9"/>
    <w:rsid w:val="00AD548F"/>
    <w:rsid w:val="00AD5DCC"/>
    <w:rsid w:val="00AD6520"/>
    <w:rsid w:val="00AD766B"/>
    <w:rsid w:val="00AE0306"/>
    <w:rsid w:val="00AE07C7"/>
    <w:rsid w:val="00AE17C5"/>
    <w:rsid w:val="00AE1B22"/>
    <w:rsid w:val="00AE1B73"/>
    <w:rsid w:val="00AE1D87"/>
    <w:rsid w:val="00AE3D4D"/>
    <w:rsid w:val="00AE5106"/>
    <w:rsid w:val="00AE5B5F"/>
    <w:rsid w:val="00AE6EFF"/>
    <w:rsid w:val="00AE7D43"/>
    <w:rsid w:val="00AF023D"/>
    <w:rsid w:val="00AF1405"/>
    <w:rsid w:val="00B00010"/>
    <w:rsid w:val="00B02074"/>
    <w:rsid w:val="00B0366F"/>
    <w:rsid w:val="00B04679"/>
    <w:rsid w:val="00B04C7D"/>
    <w:rsid w:val="00B06B2C"/>
    <w:rsid w:val="00B07455"/>
    <w:rsid w:val="00B07692"/>
    <w:rsid w:val="00B10422"/>
    <w:rsid w:val="00B11471"/>
    <w:rsid w:val="00B14387"/>
    <w:rsid w:val="00B1450A"/>
    <w:rsid w:val="00B15A48"/>
    <w:rsid w:val="00B231F1"/>
    <w:rsid w:val="00B24F5F"/>
    <w:rsid w:val="00B25CFF"/>
    <w:rsid w:val="00B263BD"/>
    <w:rsid w:val="00B270FF"/>
    <w:rsid w:val="00B27376"/>
    <w:rsid w:val="00B306E9"/>
    <w:rsid w:val="00B30CA2"/>
    <w:rsid w:val="00B31501"/>
    <w:rsid w:val="00B322AA"/>
    <w:rsid w:val="00B32B10"/>
    <w:rsid w:val="00B352D7"/>
    <w:rsid w:val="00B35312"/>
    <w:rsid w:val="00B35862"/>
    <w:rsid w:val="00B36ECA"/>
    <w:rsid w:val="00B4001E"/>
    <w:rsid w:val="00B402D4"/>
    <w:rsid w:val="00B40D09"/>
    <w:rsid w:val="00B40D49"/>
    <w:rsid w:val="00B41FF1"/>
    <w:rsid w:val="00B43A04"/>
    <w:rsid w:val="00B43C0E"/>
    <w:rsid w:val="00B44FD9"/>
    <w:rsid w:val="00B46182"/>
    <w:rsid w:val="00B46972"/>
    <w:rsid w:val="00B47C0A"/>
    <w:rsid w:val="00B51004"/>
    <w:rsid w:val="00B5311F"/>
    <w:rsid w:val="00B53166"/>
    <w:rsid w:val="00B53738"/>
    <w:rsid w:val="00B55486"/>
    <w:rsid w:val="00B579F2"/>
    <w:rsid w:val="00B60195"/>
    <w:rsid w:val="00B606BF"/>
    <w:rsid w:val="00B61854"/>
    <w:rsid w:val="00B62821"/>
    <w:rsid w:val="00B644D1"/>
    <w:rsid w:val="00B647FA"/>
    <w:rsid w:val="00B6685B"/>
    <w:rsid w:val="00B70590"/>
    <w:rsid w:val="00B7150C"/>
    <w:rsid w:val="00B72B97"/>
    <w:rsid w:val="00B72CDC"/>
    <w:rsid w:val="00B72EA9"/>
    <w:rsid w:val="00B731F0"/>
    <w:rsid w:val="00B743A5"/>
    <w:rsid w:val="00B74505"/>
    <w:rsid w:val="00B75026"/>
    <w:rsid w:val="00B750C4"/>
    <w:rsid w:val="00B769DF"/>
    <w:rsid w:val="00B77ACD"/>
    <w:rsid w:val="00B80632"/>
    <w:rsid w:val="00B80836"/>
    <w:rsid w:val="00B84BDE"/>
    <w:rsid w:val="00B85682"/>
    <w:rsid w:val="00B86849"/>
    <w:rsid w:val="00B86C1A"/>
    <w:rsid w:val="00B87CC6"/>
    <w:rsid w:val="00B913E8"/>
    <w:rsid w:val="00B92704"/>
    <w:rsid w:val="00B92C8F"/>
    <w:rsid w:val="00B93098"/>
    <w:rsid w:val="00B93976"/>
    <w:rsid w:val="00B94661"/>
    <w:rsid w:val="00B94744"/>
    <w:rsid w:val="00BA1C4C"/>
    <w:rsid w:val="00BA1FE7"/>
    <w:rsid w:val="00BA3941"/>
    <w:rsid w:val="00BA52F1"/>
    <w:rsid w:val="00BA65F5"/>
    <w:rsid w:val="00BA6F51"/>
    <w:rsid w:val="00BA76B5"/>
    <w:rsid w:val="00BA7747"/>
    <w:rsid w:val="00BB026F"/>
    <w:rsid w:val="00BB17E6"/>
    <w:rsid w:val="00BB51A9"/>
    <w:rsid w:val="00BB5654"/>
    <w:rsid w:val="00BB62AF"/>
    <w:rsid w:val="00BB6348"/>
    <w:rsid w:val="00BB7624"/>
    <w:rsid w:val="00BC0DF5"/>
    <w:rsid w:val="00BC12A7"/>
    <w:rsid w:val="00BC2D33"/>
    <w:rsid w:val="00BC41DD"/>
    <w:rsid w:val="00BC48CE"/>
    <w:rsid w:val="00BC48D0"/>
    <w:rsid w:val="00BC4F06"/>
    <w:rsid w:val="00BC506E"/>
    <w:rsid w:val="00BC54EA"/>
    <w:rsid w:val="00BC64D2"/>
    <w:rsid w:val="00BC6966"/>
    <w:rsid w:val="00BC722B"/>
    <w:rsid w:val="00BD1C67"/>
    <w:rsid w:val="00BD1F8E"/>
    <w:rsid w:val="00BD2C8B"/>
    <w:rsid w:val="00BD4EEB"/>
    <w:rsid w:val="00BD5757"/>
    <w:rsid w:val="00BD68B4"/>
    <w:rsid w:val="00BD6F7B"/>
    <w:rsid w:val="00BD7180"/>
    <w:rsid w:val="00BD74D6"/>
    <w:rsid w:val="00BD797B"/>
    <w:rsid w:val="00BE01FB"/>
    <w:rsid w:val="00BE20ED"/>
    <w:rsid w:val="00BE6A3F"/>
    <w:rsid w:val="00BE6A52"/>
    <w:rsid w:val="00BE727F"/>
    <w:rsid w:val="00BE7E09"/>
    <w:rsid w:val="00BF08BE"/>
    <w:rsid w:val="00BF0DCF"/>
    <w:rsid w:val="00BF245C"/>
    <w:rsid w:val="00BF2FEC"/>
    <w:rsid w:val="00BF399B"/>
    <w:rsid w:val="00BF444E"/>
    <w:rsid w:val="00BF49BC"/>
    <w:rsid w:val="00BF6FBB"/>
    <w:rsid w:val="00C00440"/>
    <w:rsid w:val="00C008BA"/>
    <w:rsid w:val="00C00F5C"/>
    <w:rsid w:val="00C012EC"/>
    <w:rsid w:val="00C01D71"/>
    <w:rsid w:val="00C0246C"/>
    <w:rsid w:val="00C02D18"/>
    <w:rsid w:val="00C03609"/>
    <w:rsid w:val="00C0360A"/>
    <w:rsid w:val="00C03BFA"/>
    <w:rsid w:val="00C04102"/>
    <w:rsid w:val="00C042AF"/>
    <w:rsid w:val="00C043F9"/>
    <w:rsid w:val="00C06DE6"/>
    <w:rsid w:val="00C108BF"/>
    <w:rsid w:val="00C11D50"/>
    <w:rsid w:val="00C12ED0"/>
    <w:rsid w:val="00C1540F"/>
    <w:rsid w:val="00C1644C"/>
    <w:rsid w:val="00C16A93"/>
    <w:rsid w:val="00C1733C"/>
    <w:rsid w:val="00C1795A"/>
    <w:rsid w:val="00C20544"/>
    <w:rsid w:val="00C21FD3"/>
    <w:rsid w:val="00C22554"/>
    <w:rsid w:val="00C23809"/>
    <w:rsid w:val="00C23CE3"/>
    <w:rsid w:val="00C241CC"/>
    <w:rsid w:val="00C244C4"/>
    <w:rsid w:val="00C25436"/>
    <w:rsid w:val="00C257C9"/>
    <w:rsid w:val="00C259B9"/>
    <w:rsid w:val="00C25A81"/>
    <w:rsid w:val="00C264A5"/>
    <w:rsid w:val="00C26E0B"/>
    <w:rsid w:val="00C26E0E"/>
    <w:rsid w:val="00C302E1"/>
    <w:rsid w:val="00C3051A"/>
    <w:rsid w:val="00C30A1A"/>
    <w:rsid w:val="00C3200E"/>
    <w:rsid w:val="00C33C06"/>
    <w:rsid w:val="00C34462"/>
    <w:rsid w:val="00C35800"/>
    <w:rsid w:val="00C35E99"/>
    <w:rsid w:val="00C36CAB"/>
    <w:rsid w:val="00C3705A"/>
    <w:rsid w:val="00C374C1"/>
    <w:rsid w:val="00C3792C"/>
    <w:rsid w:val="00C41881"/>
    <w:rsid w:val="00C42F2A"/>
    <w:rsid w:val="00C43040"/>
    <w:rsid w:val="00C43340"/>
    <w:rsid w:val="00C43F87"/>
    <w:rsid w:val="00C4410F"/>
    <w:rsid w:val="00C446C6"/>
    <w:rsid w:val="00C44A94"/>
    <w:rsid w:val="00C44B16"/>
    <w:rsid w:val="00C52A05"/>
    <w:rsid w:val="00C53190"/>
    <w:rsid w:val="00C5753B"/>
    <w:rsid w:val="00C61012"/>
    <w:rsid w:val="00C62187"/>
    <w:rsid w:val="00C62608"/>
    <w:rsid w:val="00C62F4F"/>
    <w:rsid w:val="00C6485C"/>
    <w:rsid w:val="00C667D0"/>
    <w:rsid w:val="00C66A03"/>
    <w:rsid w:val="00C7105A"/>
    <w:rsid w:val="00C7146E"/>
    <w:rsid w:val="00C717FF"/>
    <w:rsid w:val="00C73BD3"/>
    <w:rsid w:val="00C73FA1"/>
    <w:rsid w:val="00C746CB"/>
    <w:rsid w:val="00C762A0"/>
    <w:rsid w:val="00C7631F"/>
    <w:rsid w:val="00C772AF"/>
    <w:rsid w:val="00C777B7"/>
    <w:rsid w:val="00C778E7"/>
    <w:rsid w:val="00C80617"/>
    <w:rsid w:val="00C8107C"/>
    <w:rsid w:val="00C817B9"/>
    <w:rsid w:val="00C81948"/>
    <w:rsid w:val="00C82DA4"/>
    <w:rsid w:val="00C8359F"/>
    <w:rsid w:val="00C83954"/>
    <w:rsid w:val="00C83E8E"/>
    <w:rsid w:val="00C84543"/>
    <w:rsid w:val="00C8477A"/>
    <w:rsid w:val="00C85834"/>
    <w:rsid w:val="00C87F58"/>
    <w:rsid w:val="00C90153"/>
    <w:rsid w:val="00C91FBE"/>
    <w:rsid w:val="00C93A91"/>
    <w:rsid w:val="00C9440C"/>
    <w:rsid w:val="00C96B1C"/>
    <w:rsid w:val="00C973FE"/>
    <w:rsid w:val="00CA0475"/>
    <w:rsid w:val="00CA1C61"/>
    <w:rsid w:val="00CA215D"/>
    <w:rsid w:val="00CA33B0"/>
    <w:rsid w:val="00CA3DD0"/>
    <w:rsid w:val="00CA49C5"/>
    <w:rsid w:val="00CA7C1D"/>
    <w:rsid w:val="00CB01DE"/>
    <w:rsid w:val="00CB0ADD"/>
    <w:rsid w:val="00CB198A"/>
    <w:rsid w:val="00CB298A"/>
    <w:rsid w:val="00CB356A"/>
    <w:rsid w:val="00CB4078"/>
    <w:rsid w:val="00CB52E9"/>
    <w:rsid w:val="00CB5562"/>
    <w:rsid w:val="00CB5DE7"/>
    <w:rsid w:val="00CC1112"/>
    <w:rsid w:val="00CC1D08"/>
    <w:rsid w:val="00CC472A"/>
    <w:rsid w:val="00CC4FB5"/>
    <w:rsid w:val="00CC577B"/>
    <w:rsid w:val="00CC5F65"/>
    <w:rsid w:val="00CC7850"/>
    <w:rsid w:val="00CC7953"/>
    <w:rsid w:val="00CC7CA7"/>
    <w:rsid w:val="00CC7F4D"/>
    <w:rsid w:val="00CC7FB4"/>
    <w:rsid w:val="00CD1FBC"/>
    <w:rsid w:val="00CD2251"/>
    <w:rsid w:val="00CD2D4C"/>
    <w:rsid w:val="00CD476D"/>
    <w:rsid w:val="00CD5DDE"/>
    <w:rsid w:val="00CE0A17"/>
    <w:rsid w:val="00CE0AD3"/>
    <w:rsid w:val="00CE3FDB"/>
    <w:rsid w:val="00CE4E91"/>
    <w:rsid w:val="00CE54B7"/>
    <w:rsid w:val="00CE5B6E"/>
    <w:rsid w:val="00CE5FDE"/>
    <w:rsid w:val="00CE620D"/>
    <w:rsid w:val="00CF003A"/>
    <w:rsid w:val="00CF0D47"/>
    <w:rsid w:val="00CF108C"/>
    <w:rsid w:val="00CF134B"/>
    <w:rsid w:val="00CF28A7"/>
    <w:rsid w:val="00CF3C0F"/>
    <w:rsid w:val="00D00092"/>
    <w:rsid w:val="00D00281"/>
    <w:rsid w:val="00D00692"/>
    <w:rsid w:val="00D026E3"/>
    <w:rsid w:val="00D02FCC"/>
    <w:rsid w:val="00D03497"/>
    <w:rsid w:val="00D03EBD"/>
    <w:rsid w:val="00D041BE"/>
    <w:rsid w:val="00D05E69"/>
    <w:rsid w:val="00D07573"/>
    <w:rsid w:val="00D07A2E"/>
    <w:rsid w:val="00D106A9"/>
    <w:rsid w:val="00D112BC"/>
    <w:rsid w:val="00D11CED"/>
    <w:rsid w:val="00D12945"/>
    <w:rsid w:val="00D129AE"/>
    <w:rsid w:val="00D13BE8"/>
    <w:rsid w:val="00D13F38"/>
    <w:rsid w:val="00D147A1"/>
    <w:rsid w:val="00D15DB0"/>
    <w:rsid w:val="00D16409"/>
    <w:rsid w:val="00D1727C"/>
    <w:rsid w:val="00D17CA7"/>
    <w:rsid w:val="00D17E68"/>
    <w:rsid w:val="00D20167"/>
    <w:rsid w:val="00D202C8"/>
    <w:rsid w:val="00D20BBF"/>
    <w:rsid w:val="00D2190F"/>
    <w:rsid w:val="00D24CBF"/>
    <w:rsid w:val="00D25081"/>
    <w:rsid w:val="00D26C5E"/>
    <w:rsid w:val="00D304E1"/>
    <w:rsid w:val="00D30B88"/>
    <w:rsid w:val="00D32243"/>
    <w:rsid w:val="00D33831"/>
    <w:rsid w:val="00D3388C"/>
    <w:rsid w:val="00D3410F"/>
    <w:rsid w:val="00D35EE1"/>
    <w:rsid w:val="00D35F7C"/>
    <w:rsid w:val="00D371E6"/>
    <w:rsid w:val="00D4191F"/>
    <w:rsid w:val="00D439F3"/>
    <w:rsid w:val="00D43A9A"/>
    <w:rsid w:val="00D45AEE"/>
    <w:rsid w:val="00D46C98"/>
    <w:rsid w:val="00D503D7"/>
    <w:rsid w:val="00D504CA"/>
    <w:rsid w:val="00D508ED"/>
    <w:rsid w:val="00D5092E"/>
    <w:rsid w:val="00D52F48"/>
    <w:rsid w:val="00D539E4"/>
    <w:rsid w:val="00D544D6"/>
    <w:rsid w:val="00D54765"/>
    <w:rsid w:val="00D549CF"/>
    <w:rsid w:val="00D55FE6"/>
    <w:rsid w:val="00D60393"/>
    <w:rsid w:val="00D6047C"/>
    <w:rsid w:val="00D618BF"/>
    <w:rsid w:val="00D62931"/>
    <w:rsid w:val="00D639FA"/>
    <w:rsid w:val="00D63EA4"/>
    <w:rsid w:val="00D645ED"/>
    <w:rsid w:val="00D65553"/>
    <w:rsid w:val="00D667BF"/>
    <w:rsid w:val="00D7012F"/>
    <w:rsid w:val="00D70E09"/>
    <w:rsid w:val="00D70E87"/>
    <w:rsid w:val="00D71C94"/>
    <w:rsid w:val="00D71F56"/>
    <w:rsid w:val="00D72359"/>
    <w:rsid w:val="00D72C86"/>
    <w:rsid w:val="00D74523"/>
    <w:rsid w:val="00D8076E"/>
    <w:rsid w:val="00D80866"/>
    <w:rsid w:val="00D81DCD"/>
    <w:rsid w:val="00D83713"/>
    <w:rsid w:val="00D84CB9"/>
    <w:rsid w:val="00D90667"/>
    <w:rsid w:val="00D93529"/>
    <w:rsid w:val="00D93641"/>
    <w:rsid w:val="00D93D94"/>
    <w:rsid w:val="00D948D6"/>
    <w:rsid w:val="00D94DBD"/>
    <w:rsid w:val="00D94FDD"/>
    <w:rsid w:val="00D96097"/>
    <w:rsid w:val="00D96CA6"/>
    <w:rsid w:val="00D97BE4"/>
    <w:rsid w:val="00DA0125"/>
    <w:rsid w:val="00DA13C4"/>
    <w:rsid w:val="00DA2457"/>
    <w:rsid w:val="00DA43E3"/>
    <w:rsid w:val="00DA4533"/>
    <w:rsid w:val="00DA4670"/>
    <w:rsid w:val="00DA590E"/>
    <w:rsid w:val="00DA6125"/>
    <w:rsid w:val="00DA67A6"/>
    <w:rsid w:val="00DA6839"/>
    <w:rsid w:val="00DB0C87"/>
    <w:rsid w:val="00DB1EC9"/>
    <w:rsid w:val="00DB28B3"/>
    <w:rsid w:val="00DB2CE3"/>
    <w:rsid w:val="00DB4533"/>
    <w:rsid w:val="00DB5E26"/>
    <w:rsid w:val="00DB7B43"/>
    <w:rsid w:val="00DC0370"/>
    <w:rsid w:val="00DC162C"/>
    <w:rsid w:val="00DC1DA2"/>
    <w:rsid w:val="00DC2244"/>
    <w:rsid w:val="00DC2482"/>
    <w:rsid w:val="00DC2752"/>
    <w:rsid w:val="00DC3BD5"/>
    <w:rsid w:val="00DC547C"/>
    <w:rsid w:val="00DC6BDA"/>
    <w:rsid w:val="00DC7DD5"/>
    <w:rsid w:val="00DD11BD"/>
    <w:rsid w:val="00DD27A9"/>
    <w:rsid w:val="00DD5665"/>
    <w:rsid w:val="00DD6D2D"/>
    <w:rsid w:val="00DD71CD"/>
    <w:rsid w:val="00DD7C63"/>
    <w:rsid w:val="00DE20C2"/>
    <w:rsid w:val="00DE2BEE"/>
    <w:rsid w:val="00DE2D2F"/>
    <w:rsid w:val="00DE42F2"/>
    <w:rsid w:val="00DE4771"/>
    <w:rsid w:val="00DE519F"/>
    <w:rsid w:val="00DE5758"/>
    <w:rsid w:val="00DE66A1"/>
    <w:rsid w:val="00DE7611"/>
    <w:rsid w:val="00DF1E57"/>
    <w:rsid w:val="00DF2E00"/>
    <w:rsid w:val="00DF301B"/>
    <w:rsid w:val="00DF3AAB"/>
    <w:rsid w:val="00DF46A3"/>
    <w:rsid w:val="00DF50DE"/>
    <w:rsid w:val="00DF54A3"/>
    <w:rsid w:val="00DF58A5"/>
    <w:rsid w:val="00DF7A01"/>
    <w:rsid w:val="00E0161A"/>
    <w:rsid w:val="00E0249C"/>
    <w:rsid w:val="00E02DA9"/>
    <w:rsid w:val="00E03C01"/>
    <w:rsid w:val="00E0405C"/>
    <w:rsid w:val="00E04DF8"/>
    <w:rsid w:val="00E0551F"/>
    <w:rsid w:val="00E05AD9"/>
    <w:rsid w:val="00E06B13"/>
    <w:rsid w:val="00E07100"/>
    <w:rsid w:val="00E07DAB"/>
    <w:rsid w:val="00E10765"/>
    <w:rsid w:val="00E108FE"/>
    <w:rsid w:val="00E10D45"/>
    <w:rsid w:val="00E1157A"/>
    <w:rsid w:val="00E11FC4"/>
    <w:rsid w:val="00E14923"/>
    <w:rsid w:val="00E1671B"/>
    <w:rsid w:val="00E16B8D"/>
    <w:rsid w:val="00E16F6D"/>
    <w:rsid w:val="00E171C9"/>
    <w:rsid w:val="00E20889"/>
    <w:rsid w:val="00E20B98"/>
    <w:rsid w:val="00E20BF8"/>
    <w:rsid w:val="00E211F8"/>
    <w:rsid w:val="00E310D5"/>
    <w:rsid w:val="00E316DF"/>
    <w:rsid w:val="00E31C2D"/>
    <w:rsid w:val="00E32345"/>
    <w:rsid w:val="00E3287E"/>
    <w:rsid w:val="00E32A50"/>
    <w:rsid w:val="00E345C7"/>
    <w:rsid w:val="00E34D4C"/>
    <w:rsid w:val="00E35720"/>
    <w:rsid w:val="00E35A10"/>
    <w:rsid w:val="00E36091"/>
    <w:rsid w:val="00E405AC"/>
    <w:rsid w:val="00E422D8"/>
    <w:rsid w:val="00E44358"/>
    <w:rsid w:val="00E44B57"/>
    <w:rsid w:val="00E46245"/>
    <w:rsid w:val="00E46936"/>
    <w:rsid w:val="00E469CF"/>
    <w:rsid w:val="00E501F4"/>
    <w:rsid w:val="00E5035A"/>
    <w:rsid w:val="00E503E7"/>
    <w:rsid w:val="00E51795"/>
    <w:rsid w:val="00E525F7"/>
    <w:rsid w:val="00E52D8A"/>
    <w:rsid w:val="00E52F5A"/>
    <w:rsid w:val="00E53255"/>
    <w:rsid w:val="00E56D9E"/>
    <w:rsid w:val="00E619F9"/>
    <w:rsid w:val="00E61C9F"/>
    <w:rsid w:val="00E61D66"/>
    <w:rsid w:val="00E6266C"/>
    <w:rsid w:val="00E62E1A"/>
    <w:rsid w:val="00E64C9E"/>
    <w:rsid w:val="00E662A3"/>
    <w:rsid w:val="00E67106"/>
    <w:rsid w:val="00E70F01"/>
    <w:rsid w:val="00E745F4"/>
    <w:rsid w:val="00E74BAE"/>
    <w:rsid w:val="00E75175"/>
    <w:rsid w:val="00E76072"/>
    <w:rsid w:val="00E763F9"/>
    <w:rsid w:val="00E77B20"/>
    <w:rsid w:val="00E81493"/>
    <w:rsid w:val="00E81996"/>
    <w:rsid w:val="00E81DAA"/>
    <w:rsid w:val="00E81EA3"/>
    <w:rsid w:val="00E8457B"/>
    <w:rsid w:val="00E85087"/>
    <w:rsid w:val="00E8589A"/>
    <w:rsid w:val="00E86867"/>
    <w:rsid w:val="00E9202A"/>
    <w:rsid w:val="00E92B51"/>
    <w:rsid w:val="00E9328E"/>
    <w:rsid w:val="00E951B4"/>
    <w:rsid w:val="00E9644E"/>
    <w:rsid w:val="00E9703A"/>
    <w:rsid w:val="00E97281"/>
    <w:rsid w:val="00EA19C5"/>
    <w:rsid w:val="00EA1EEC"/>
    <w:rsid w:val="00EA4089"/>
    <w:rsid w:val="00EA4411"/>
    <w:rsid w:val="00EA4F4F"/>
    <w:rsid w:val="00EA7856"/>
    <w:rsid w:val="00EB12B8"/>
    <w:rsid w:val="00EB20A7"/>
    <w:rsid w:val="00EB29C7"/>
    <w:rsid w:val="00EB49E6"/>
    <w:rsid w:val="00EB591F"/>
    <w:rsid w:val="00EB5FA5"/>
    <w:rsid w:val="00EC0401"/>
    <w:rsid w:val="00EC0AB3"/>
    <w:rsid w:val="00EC0EE9"/>
    <w:rsid w:val="00EC20EB"/>
    <w:rsid w:val="00EC2F6E"/>
    <w:rsid w:val="00EC4F36"/>
    <w:rsid w:val="00EC7E10"/>
    <w:rsid w:val="00ED04E5"/>
    <w:rsid w:val="00ED1842"/>
    <w:rsid w:val="00ED195A"/>
    <w:rsid w:val="00ED41E3"/>
    <w:rsid w:val="00ED4D70"/>
    <w:rsid w:val="00ED5975"/>
    <w:rsid w:val="00ED5C54"/>
    <w:rsid w:val="00ED6874"/>
    <w:rsid w:val="00ED7A50"/>
    <w:rsid w:val="00EE21F1"/>
    <w:rsid w:val="00EE36A7"/>
    <w:rsid w:val="00EE4362"/>
    <w:rsid w:val="00EE5333"/>
    <w:rsid w:val="00EE54F6"/>
    <w:rsid w:val="00EE69A6"/>
    <w:rsid w:val="00EE7D83"/>
    <w:rsid w:val="00EF114C"/>
    <w:rsid w:val="00EF1421"/>
    <w:rsid w:val="00EF1484"/>
    <w:rsid w:val="00EF252B"/>
    <w:rsid w:val="00EF2C57"/>
    <w:rsid w:val="00EF364B"/>
    <w:rsid w:val="00EF38C9"/>
    <w:rsid w:val="00EF41DE"/>
    <w:rsid w:val="00EF60D8"/>
    <w:rsid w:val="00EF64AC"/>
    <w:rsid w:val="00EF6554"/>
    <w:rsid w:val="00EF7FAE"/>
    <w:rsid w:val="00F0064C"/>
    <w:rsid w:val="00F01223"/>
    <w:rsid w:val="00F01344"/>
    <w:rsid w:val="00F016C8"/>
    <w:rsid w:val="00F02465"/>
    <w:rsid w:val="00F03035"/>
    <w:rsid w:val="00F031E8"/>
    <w:rsid w:val="00F04399"/>
    <w:rsid w:val="00F05BD5"/>
    <w:rsid w:val="00F06A4F"/>
    <w:rsid w:val="00F07156"/>
    <w:rsid w:val="00F07F29"/>
    <w:rsid w:val="00F10756"/>
    <w:rsid w:val="00F10A9D"/>
    <w:rsid w:val="00F11864"/>
    <w:rsid w:val="00F11AA9"/>
    <w:rsid w:val="00F14948"/>
    <w:rsid w:val="00F14A42"/>
    <w:rsid w:val="00F1512B"/>
    <w:rsid w:val="00F15564"/>
    <w:rsid w:val="00F16B7B"/>
    <w:rsid w:val="00F20564"/>
    <w:rsid w:val="00F20AF1"/>
    <w:rsid w:val="00F20BE6"/>
    <w:rsid w:val="00F22353"/>
    <w:rsid w:val="00F22A22"/>
    <w:rsid w:val="00F22EB8"/>
    <w:rsid w:val="00F2584F"/>
    <w:rsid w:val="00F25A89"/>
    <w:rsid w:val="00F25E23"/>
    <w:rsid w:val="00F25FB2"/>
    <w:rsid w:val="00F269A9"/>
    <w:rsid w:val="00F27384"/>
    <w:rsid w:val="00F310C7"/>
    <w:rsid w:val="00F328F0"/>
    <w:rsid w:val="00F33B77"/>
    <w:rsid w:val="00F33D0D"/>
    <w:rsid w:val="00F33F17"/>
    <w:rsid w:val="00F347E1"/>
    <w:rsid w:val="00F358EC"/>
    <w:rsid w:val="00F35AFF"/>
    <w:rsid w:val="00F35C81"/>
    <w:rsid w:val="00F37A67"/>
    <w:rsid w:val="00F37DD0"/>
    <w:rsid w:val="00F40535"/>
    <w:rsid w:val="00F40CED"/>
    <w:rsid w:val="00F41750"/>
    <w:rsid w:val="00F42B1D"/>
    <w:rsid w:val="00F46A32"/>
    <w:rsid w:val="00F46A86"/>
    <w:rsid w:val="00F4707D"/>
    <w:rsid w:val="00F47CFB"/>
    <w:rsid w:val="00F51E7E"/>
    <w:rsid w:val="00F525EE"/>
    <w:rsid w:val="00F538AC"/>
    <w:rsid w:val="00F54FE5"/>
    <w:rsid w:val="00F55DDA"/>
    <w:rsid w:val="00F560CF"/>
    <w:rsid w:val="00F57713"/>
    <w:rsid w:val="00F57D15"/>
    <w:rsid w:val="00F61190"/>
    <w:rsid w:val="00F6266A"/>
    <w:rsid w:val="00F628EA"/>
    <w:rsid w:val="00F62C4A"/>
    <w:rsid w:val="00F63307"/>
    <w:rsid w:val="00F66D53"/>
    <w:rsid w:val="00F67495"/>
    <w:rsid w:val="00F678F0"/>
    <w:rsid w:val="00F709DD"/>
    <w:rsid w:val="00F740D5"/>
    <w:rsid w:val="00F76861"/>
    <w:rsid w:val="00F76A20"/>
    <w:rsid w:val="00F811EA"/>
    <w:rsid w:val="00F833DE"/>
    <w:rsid w:val="00F845B9"/>
    <w:rsid w:val="00F853DA"/>
    <w:rsid w:val="00F90AC1"/>
    <w:rsid w:val="00F9235C"/>
    <w:rsid w:val="00F9274B"/>
    <w:rsid w:val="00F9379E"/>
    <w:rsid w:val="00F94536"/>
    <w:rsid w:val="00F96376"/>
    <w:rsid w:val="00F96C43"/>
    <w:rsid w:val="00F97103"/>
    <w:rsid w:val="00F974E3"/>
    <w:rsid w:val="00F9759F"/>
    <w:rsid w:val="00F97D10"/>
    <w:rsid w:val="00FA0258"/>
    <w:rsid w:val="00FA13E6"/>
    <w:rsid w:val="00FA2980"/>
    <w:rsid w:val="00FA2D3E"/>
    <w:rsid w:val="00FA6555"/>
    <w:rsid w:val="00FA68E8"/>
    <w:rsid w:val="00FB344E"/>
    <w:rsid w:val="00FB4F05"/>
    <w:rsid w:val="00FB4FD5"/>
    <w:rsid w:val="00FB59FB"/>
    <w:rsid w:val="00FC0022"/>
    <w:rsid w:val="00FC08BF"/>
    <w:rsid w:val="00FC0FD6"/>
    <w:rsid w:val="00FC139F"/>
    <w:rsid w:val="00FC1AF0"/>
    <w:rsid w:val="00FC1C27"/>
    <w:rsid w:val="00FC1C92"/>
    <w:rsid w:val="00FC20CC"/>
    <w:rsid w:val="00FC5282"/>
    <w:rsid w:val="00FC59B6"/>
    <w:rsid w:val="00FC6D03"/>
    <w:rsid w:val="00FC6E59"/>
    <w:rsid w:val="00FC7187"/>
    <w:rsid w:val="00FD0B7F"/>
    <w:rsid w:val="00FD1564"/>
    <w:rsid w:val="00FD4587"/>
    <w:rsid w:val="00FD4BFD"/>
    <w:rsid w:val="00FD7596"/>
    <w:rsid w:val="00FE03A6"/>
    <w:rsid w:val="00FE327C"/>
    <w:rsid w:val="00FE49D3"/>
    <w:rsid w:val="00FE4E19"/>
    <w:rsid w:val="00FE5806"/>
    <w:rsid w:val="00FE5A9B"/>
    <w:rsid w:val="00FE6378"/>
    <w:rsid w:val="00FE6C04"/>
    <w:rsid w:val="00FE70A5"/>
    <w:rsid w:val="00FF255B"/>
    <w:rsid w:val="00FF255E"/>
    <w:rsid w:val="00FF31CC"/>
    <w:rsid w:val="00FF3A67"/>
    <w:rsid w:val="00FF4038"/>
    <w:rsid w:val="00FF4452"/>
    <w:rsid w:val="00FF4A6E"/>
    <w:rsid w:val="00FF6DA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936"/>
    <w:pPr>
      <w:spacing w:after="200" w:line="276" w:lineRule="auto"/>
    </w:pPr>
    <w:rPr>
      <w:rFonts w:ascii="Calibri" w:hAnsi="Calibri" w:cs="Arial"/>
      <w:sz w:val="22"/>
      <w:szCs w:val="22"/>
    </w:rPr>
  </w:style>
  <w:style w:type="paragraph" w:styleId="Heading8">
    <w:name w:val="heading 8"/>
    <w:basedOn w:val="Normal"/>
    <w:next w:val="Normal"/>
    <w:link w:val="Heading8Char"/>
    <w:qFormat/>
    <w:rsid w:val="004B303F"/>
    <w:pPr>
      <w:keepNext/>
      <w:spacing w:after="0" w:line="240" w:lineRule="auto"/>
      <w:jc w:val="center"/>
      <w:outlineLvl w:val="7"/>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4663A9"/>
    <w:rPr>
      <w:vertAlign w:val="superscript"/>
    </w:rPr>
  </w:style>
  <w:style w:type="paragraph" w:styleId="NormalWeb">
    <w:name w:val="Normal (Web)"/>
    <w:basedOn w:val="Normal"/>
    <w:uiPriority w:val="99"/>
    <w:rsid w:val="004663A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FootnoteTextChar">
    <w:name w:val="Footnote Text Char"/>
    <w:basedOn w:val="DefaultParagraphFont"/>
    <w:link w:val="FootnoteText"/>
    <w:uiPriority w:val="99"/>
    <w:locked/>
    <w:rsid w:val="004663A9"/>
    <w:rPr>
      <w:rFonts w:ascii="Calibri" w:hAnsi="Calibri" w:cs="Arial"/>
      <w:lang w:val="en-US" w:eastAsia="en-US" w:bidi="ar-SA"/>
    </w:rPr>
  </w:style>
  <w:style w:type="paragraph" w:styleId="FootnoteText">
    <w:name w:val="footnote text"/>
    <w:basedOn w:val="Normal"/>
    <w:link w:val="FootnoteTextChar"/>
    <w:uiPriority w:val="99"/>
    <w:rsid w:val="004663A9"/>
    <w:pPr>
      <w:spacing w:after="0" w:line="240" w:lineRule="auto"/>
    </w:pPr>
    <w:rPr>
      <w:sz w:val="20"/>
      <w:szCs w:val="20"/>
    </w:rPr>
  </w:style>
  <w:style w:type="character" w:customStyle="1" w:styleId="gen">
    <w:name w:val="gen"/>
    <w:basedOn w:val="DefaultParagraphFont"/>
    <w:rsid w:val="004663A9"/>
  </w:style>
  <w:style w:type="paragraph" w:styleId="ListParagraph">
    <w:name w:val="List Paragraph"/>
    <w:basedOn w:val="Normal"/>
    <w:uiPriority w:val="34"/>
    <w:qFormat/>
    <w:rsid w:val="004663A9"/>
    <w:pPr>
      <w:ind w:left="720"/>
      <w:contextualSpacing/>
    </w:pPr>
  </w:style>
  <w:style w:type="paragraph" w:customStyle="1" w:styleId="msonormalcxsplast">
    <w:name w:val="msonormalcxsplast"/>
    <w:basedOn w:val="Normal"/>
    <w:rsid w:val="001E4C7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msonormalcxspmiddle">
    <w:name w:val="msonormalcxspmiddle"/>
    <w:basedOn w:val="Normal"/>
    <w:rsid w:val="001E4C7F"/>
    <w:pPr>
      <w:spacing w:before="100" w:beforeAutospacing="1" w:after="100" w:afterAutospacing="1" w:line="240" w:lineRule="auto"/>
    </w:pPr>
    <w:rPr>
      <w:rFonts w:ascii="Times New Roman" w:hAnsi="Times New Roman" w:cs="Times New Roman"/>
      <w:sz w:val="24"/>
      <w:szCs w:val="24"/>
      <w:lang w:val="en-GB" w:eastAsia="en-GB"/>
    </w:rPr>
  </w:style>
  <w:style w:type="character" w:styleId="Emphasis">
    <w:name w:val="Emphasis"/>
    <w:basedOn w:val="DefaultParagraphFont"/>
    <w:qFormat/>
    <w:rsid w:val="001E4C7F"/>
    <w:rPr>
      <w:i/>
      <w:iCs/>
    </w:rPr>
  </w:style>
  <w:style w:type="paragraph" w:styleId="Header">
    <w:name w:val="header"/>
    <w:basedOn w:val="Normal"/>
    <w:link w:val="HeaderChar"/>
    <w:uiPriority w:val="99"/>
    <w:rsid w:val="001E660B"/>
    <w:pPr>
      <w:tabs>
        <w:tab w:val="center" w:pos="4153"/>
        <w:tab w:val="right" w:pos="8306"/>
      </w:tabs>
    </w:pPr>
  </w:style>
  <w:style w:type="character" w:styleId="PageNumber">
    <w:name w:val="page number"/>
    <w:basedOn w:val="DefaultParagraphFont"/>
    <w:rsid w:val="001E660B"/>
  </w:style>
  <w:style w:type="character" w:styleId="Hyperlink">
    <w:name w:val="Hyperlink"/>
    <w:basedOn w:val="DefaultParagraphFont"/>
    <w:rsid w:val="0095341E"/>
    <w:rPr>
      <w:color w:val="0000FF"/>
      <w:u w:val="single"/>
    </w:rPr>
  </w:style>
  <w:style w:type="paragraph" w:customStyle="1" w:styleId="msonormalcxspmiddlecxspmiddle">
    <w:name w:val="msonormalcxspmiddlecxspmiddle"/>
    <w:basedOn w:val="Normal"/>
    <w:rsid w:val="00D62931"/>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msonormalcxspmiddlecxsplast">
    <w:name w:val="msonormalcxspmiddlecxsplast"/>
    <w:basedOn w:val="Normal"/>
    <w:rsid w:val="00D62931"/>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ensmall">
    <w:name w:val="gensmall"/>
    <w:basedOn w:val="DefaultParagraphFont"/>
    <w:rsid w:val="00626EC8"/>
  </w:style>
  <w:style w:type="paragraph" w:styleId="Footer">
    <w:name w:val="footer"/>
    <w:basedOn w:val="Normal"/>
    <w:link w:val="FooterChar"/>
    <w:uiPriority w:val="99"/>
    <w:rsid w:val="007D559D"/>
    <w:pPr>
      <w:tabs>
        <w:tab w:val="center" w:pos="4153"/>
        <w:tab w:val="right" w:pos="8306"/>
      </w:tabs>
    </w:pPr>
  </w:style>
  <w:style w:type="character" w:customStyle="1" w:styleId="FootnoteTextChar1">
    <w:name w:val="Footnote Text Char1"/>
    <w:basedOn w:val="DefaultParagraphFont"/>
    <w:uiPriority w:val="99"/>
    <w:semiHidden/>
    <w:rsid w:val="00BC41DD"/>
    <w:rPr>
      <w:rFonts w:ascii="Calibri" w:hAnsi="Calibri" w:cs="Arial"/>
    </w:rPr>
  </w:style>
  <w:style w:type="character" w:customStyle="1" w:styleId="HeaderChar">
    <w:name w:val="Header Char"/>
    <w:basedOn w:val="DefaultParagraphFont"/>
    <w:link w:val="Header"/>
    <w:uiPriority w:val="99"/>
    <w:rsid w:val="00BC41DD"/>
    <w:rPr>
      <w:rFonts w:ascii="Calibri" w:hAnsi="Calibri" w:cs="Arial"/>
      <w:sz w:val="22"/>
      <w:szCs w:val="22"/>
    </w:rPr>
  </w:style>
  <w:style w:type="character" w:customStyle="1" w:styleId="FooterChar">
    <w:name w:val="Footer Char"/>
    <w:basedOn w:val="DefaultParagraphFont"/>
    <w:link w:val="Footer"/>
    <w:uiPriority w:val="99"/>
    <w:rsid w:val="00BC41DD"/>
    <w:rPr>
      <w:rFonts w:ascii="Calibri" w:hAnsi="Calibri" w:cs="Arial"/>
      <w:sz w:val="22"/>
      <w:szCs w:val="22"/>
    </w:rPr>
  </w:style>
  <w:style w:type="paragraph" w:customStyle="1" w:styleId="Default">
    <w:name w:val="Default"/>
    <w:rsid w:val="00BC41DD"/>
    <w:pPr>
      <w:autoSpaceDE w:val="0"/>
      <w:autoSpaceDN w:val="0"/>
      <w:adjustRightInd w:val="0"/>
    </w:pPr>
    <w:rPr>
      <w:rFonts w:ascii="Bookman Old Style" w:eastAsiaTheme="minorHAnsi" w:hAnsi="Bookman Old Style" w:cs="Bookman Old Style"/>
      <w:color w:val="000000"/>
      <w:sz w:val="24"/>
      <w:szCs w:val="24"/>
    </w:rPr>
  </w:style>
  <w:style w:type="character" w:styleId="FollowedHyperlink">
    <w:name w:val="FollowedHyperlink"/>
    <w:basedOn w:val="DefaultParagraphFont"/>
    <w:uiPriority w:val="99"/>
    <w:unhideWhenUsed/>
    <w:rsid w:val="00BC41DD"/>
    <w:rPr>
      <w:color w:val="800080" w:themeColor="followedHyperlink"/>
      <w:u w:val="single"/>
    </w:rPr>
  </w:style>
  <w:style w:type="paragraph" w:customStyle="1" w:styleId="Pa17">
    <w:name w:val="Pa17"/>
    <w:basedOn w:val="Default"/>
    <w:next w:val="Default"/>
    <w:uiPriority w:val="99"/>
    <w:rsid w:val="00EF252B"/>
    <w:pPr>
      <w:spacing w:line="201" w:lineRule="atLeast"/>
    </w:pPr>
    <w:rPr>
      <w:rFonts w:ascii="Times New Arabic" w:hAnsi="Times New Arabic" w:cstheme="minorBidi"/>
      <w:color w:val="auto"/>
    </w:rPr>
  </w:style>
  <w:style w:type="character" w:customStyle="1" w:styleId="A3">
    <w:name w:val="A3"/>
    <w:uiPriority w:val="99"/>
    <w:rsid w:val="00EF252B"/>
    <w:rPr>
      <w:rFonts w:cs="Times New Arabic"/>
      <w:color w:val="000000"/>
    </w:rPr>
  </w:style>
  <w:style w:type="character" w:customStyle="1" w:styleId="A4">
    <w:name w:val="A4"/>
    <w:uiPriority w:val="99"/>
    <w:rsid w:val="00EF252B"/>
    <w:rPr>
      <w:rFonts w:cs="Times New Arabic"/>
      <w:color w:val="000000"/>
      <w:sz w:val="20"/>
      <w:szCs w:val="20"/>
    </w:rPr>
  </w:style>
  <w:style w:type="table" w:styleId="TableGrid">
    <w:name w:val="Table Grid"/>
    <w:basedOn w:val="TableNormal"/>
    <w:uiPriority w:val="59"/>
    <w:rsid w:val="00107B7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1"/>
    <w:uiPriority w:val="99"/>
    <w:rsid w:val="00343B61"/>
    <w:rPr>
      <w:shd w:val="clear" w:color="auto" w:fill="FFFFFF"/>
    </w:rPr>
  </w:style>
  <w:style w:type="character" w:customStyle="1" w:styleId="Bodytext211pt1">
    <w:name w:val="Body text (2) + 11 pt1"/>
    <w:aliases w:val="Italic,Body text (2) + 11 pt,Body text (13) + 11 pt"/>
    <w:basedOn w:val="Bodytext2"/>
    <w:uiPriority w:val="99"/>
    <w:rsid w:val="00343B61"/>
    <w:rPr>
      <w:i/>
      <w:iCs/>
      <w:sz w:val="22"/>
      <w:szCs w:val="22"/>
    </w:rPr>
  </w:style>
  <w:style w:type="paragraph" w:customStyle="1" w:styleId="Bodytext21">
    <w:name w:val="Body text (2)1"/>
    <w:basedOn w:val="Normal"/>
    <w:link w:val="Bodytext2"/>
    <w:uiPriority w:val="99"/>
    <w:rsid w:val="00343B61"/>
    <w:pPr>
      <w:widowControl w:val="0"/>
      <w:shd w:val="clear" w:color="auto" w:fill="FFFFFF"/>
      <w:spacing w:before="360" w:after="0" w:line="298" w:lineRule="exact"/>
      <w:jc w:val="both"/>
    </w:pPr>
    <w:rPr>
      <w:rFonts w:ascii="Times New Roman" w:hAnsi="Times New Roman" w:cs="Times New Roman"/>
      <w:sz w:val="20"/>
      <w:szCs w:val="20"/>
    </w:rPr>
  </w:style>
  <w:style w:type="character" w:customStyle="1" w:styleId="Bodytext4">
    <w:name w:val="Body text (4)_"/>
    <w:basedOn w:val="DefaultParagraphFont"/>
    <w:link w:val="Bodytext40"/>
    <w:uiPriority w:val="99"/>
    <w:rsid w:val="00343B61"/>
    <w:rPr>
      <w:rFonts w:ascii="Calibri" w:hAnsi="Calibri" w:cs="Calibri"/>
      <w:sz w:val="15"/>
      <w:szCs w:val="15"/>
      <w:shd w:val="clear" w:color="auto" w:fill="FFFFFF"/>
    </w:rPr>
  </w:style>
  <w:style w:type="character" w:customStyle="1" w:styleId="Bodytext4Italic">
    <w:name w:val="Body text (4) + Italic"/>
    <w:basedOn w:val="Bodytext4"/>
    <w:uiPriority w:val="99"/>
    <w:rsid w:val="00343B61"/>
    <w:rPr>
      <w:i/>
      <w:iCs/>
    </w:rPr>
  </w:style>
  <w:style w:type="paragraph" w:customStyle="1" w:styleId="Bodytext40">
    <w:name w:val="Body text (4)"/>
    <w:basedOn w:val="Normal"/>
    <w:link w:val="Bodytext4"/>
    <w:uiPriority w:val="99"/>
    <w:rsid w:val="00343B61"/>
    <w:pPr>
      <w:widowControl w:val="0"/>
      <w:shd w:val="clear" w:color="auto" w:fill="FFFFFF"/>
      <w:spacing w:before="240" w:after="0" w:line="240" w:lineRule="atLeast"/>
    </w:pPr>
    <w:rPr>
      <w:rFonts w:cs="Calibri"/>
      <w:sz w:val="15"/>
      <w:szCs w:val="15"/>
    </w:rPr>
  </w:style>
  <w:style w:type="character" w:customStyle="1" w:styleId="Bodytext2Calibri">
    <w:name w:val="Body text (2) + Calibri"/>
    <w:aliases w:val="7.5 pt,Body text (9) + Times New Roman,Bold Exact1"/>
    <w:basedOn w:val="Bodytext2"/>
    <w:uiPriority w:val="99"/>
    <w:rsid w:val="00343B61"/>
    <w:rPr>
      <w:rFonts w:ascii="Calibri" w:hAnsi="Calibri" w:cs="Calibri"/>
      <w:sz w:val="15"/>
      <w:szCs w:val="15"/>
    </w:rPr>
  </w:style>
  <w:style w:type="character" w:customStyle="1" w:styleId="Bodytext20">
    <w:name w:val="Body text (2)"/>
    <w:basedOn w:val="Bodytext2"/>
    <w:uiPriority w:val="99"/>
    <w:rsid w:val="00343B61"/>
    <w:rPr>
      <w:sz w:val="22"/>
      <w:szCs w:val="22"/>
    </w:rPr>
  </w:style>
  <w:style w:type="character" w:customStyle="1" w:styleId="Bodytext2Italic">
    <w:name w:val="Body text (2) + Italic"/>
    <w:basedOn w:val="Bodytext2"/>
    <w:uiPriority w:val="99"/>
    <w:rsid w:val="00343B61"/>
    <w:rPr>
      <w:i/>
      <w:iCs/>
      <w:sz w:val="22"/>
      <w:szCs w:val="22"/>
    </w:rPr>
  </w:style>
  <w:style w:type="character" w:customStyle="1" w:styleId="Bodytext7Exact">
    <w:name w:val="Body text (7) Exact"/>
    <w:basedOn w:val="DefaultParagraphFont"/>
    <w:link w:val="Bodytext7"/>
    <w:uiPriority w:val="99"/>
    <w:rsid w:val="00343B61"/>
    <w:rPr>
      <w:shd w:val="clear" w:color="auto" w:fill="FFFFFF"/>
    </w:rPr>
  </w:style>
  <w:style w:type="character" w:customStyle="1" w:styleId="Bodytext7105pt">
    <w:name w:val="Body text (7) + 10.5 pt"/>
    <w:aliases w:val="Bold Exact"/>
    <w:basedOn w:val="Bodytext7Exact"/>
    <w:uiPriority w:val="99"/>
    <w:rsid w:val="00343B61"/>
    <w:rPr>
      <w:b/>
      <w:bCs/>
      <w:sz w:val="21"/>
      <w:szCs w:val="21"/>
    </w:rPr>
  </w:style>
  <w:style w:type="character" w:customStyle="1" w:styleId="Bodytext7Bold">
    <w:name w:val="Body text (7) + Bold"/>
    <w:aliases w:val="Spacing 0 pt Exact"/>
    <w:basedOn w:val="Bodytext7Exact"/>
    <w:uiPriority w:val="99"/>
    <w:rsid w:val="00343B61"/>
    <w:rPr>
      <w:b/>
      <w:bCs/>
      <w:spacing w:val="-10"/>
    </w:rPr>
  </w:style>
  <w:style w:type="character" w:customStyle="1" w:styleId="Bodytext7ItalicExact">
    <w:name w:val="Body text (7) + Italic Exact"/>
    <w:basedOn w:val="Bodytext7Exact"/>
    <w:uiPriority w:val="99"/>
    <w:rsid w:val="00343B61"/>
    <w:rPr>
      <w:i/>
      <w:iCs/>
    </w:rPr>
  </w:style>
  <w:style w:type="character" w:customStyle="1" w:styleId="Bodytext7Bold1">
    <w:name w:val="Body text (7) + Bold1"/>
    <w:aliases w:val="Spacing 0 pt Exact1"/>
    <w:basedOn w:val="Bodytext7Exact"/>
    <w:uiPriority w:val="99"/>
    <w:rsid w:val="00343B61"/>
    <w:rPr>
      <w:b/>
      <w:bCs/>
      <w:spacing w:val="-10"/>
    </w:rPr>
  </w:style>
  <w:style w:type="character" w:customStyle="1" w:styleId="Bodytext7Exact1">
    <w:name w:val="Body text (7) Exact1"/>
    <w:basedOn w:val="Bodytext7Exact"/>
    <w:uiPriority w:val="99"/>
    <w:rsid w:val="00343B61"/>
    <w:rPr>
      <w:lang w:bidi="ar-SA"/>
    </w:rPr>
  </w:style>
  <w:style w:type="character" w:customStyle="1" w:styleId="Bodytext9Exact">
    <w:name w:val="Body text (9) Exact"/>
    <w:basedOn w:val="DefaultParagraphFont"/>
    <w:link w:val="Bodytext9"/>
    <w:uiPriority w:val="99"/>
    <w:rsid w:val="00343B61"/>
    <w:rPr>
      <w:rFonts w:ascii="Microsoft Sans Serif" w:hAnsi="Microsoft Sans Serif" w:cs="Microsoft Sans Serif"/>
      <w:sz w:val="14"/>
      <w:szCs w:val="14"/>
      <w:shd w:val="clear" w:color="auto" w:fill="FFFFFF"/>
    </w:rPr>
  </w:style>
  <w:style w:type="character" w:customStyle="1" w:styleId="Bodytext9ArialUnicodeMSExact">
    <w:name w:val="Body text (9) + Arial Unicode MS Exact"/>
    <w:basedOn w:val="Bodytext9Exact"/>
    <w:uiPriority w:val="99"/>
    <w:rsid w:val="00343B61"/>
    <w:rPr>
      <w:rFonts w:ascii="Arial Unicode MS" w:eastAsia="Arial Unicode MS" w:cs="Arial Unicode MS"/>
      <w:lang w:bidi="ar-SA"/>
    </w:rPr>
  </w:style>
  <w:style w:type="character" w:customStyle="1" w:styleId="Bodytext9TimesNewRoman1">
    <w:name w:val="Body text (9) + Times New Roman1"/>
    <w:aliases w:val="6 pt Exact"/>
    <w:basedOn w:val="Bodytext9Exact"/>
    <w:uiPriority w:val="99"/>
    <w:rsid w:val="00343B61"/>
    <w:rPr>
      <w:rFonts w:ascii="Times New Roman" w:hAnsi="Times New Roman" w:cs="Times New Roman"/>
      <w:sz w:val="12"/>
      <w:szCs w:val="12"/>
      <w:lang w:bidi="ar-SA"/>
    </w:rPr>
  </w:style>
  <w:style w:type="character" w:customStyle="1" w:styleId="Bodytext9CenturySchoolbook">
    <w:name w:val="Body text (9) + Century Schoolbook"/>
    <w:aliases w:val="8.5 pt,Bold,Italic Exact"/>
    <w:basedOn w:val="Bodytext9Exact"/>
    <w:uiPriority w:val="99"/>
    <w:rsid w:val="00343B61"/>
    <w:rPr>
      <w:rFonts w:ascii="Century Schoolbook" w:hAnsi="Century Schoolbook" w:cs="Century Schoolbook"/>
      <w:b/>
      <w:bCs/>
      <w:i/>
      <w:iCs/>
      <w:sz w:val="17"/>
      <w:szCs w:val="17"/>
    </w:rPr>
  </w:style>
  <w:style w:type="character" w:customStyle="1" w:styleId="Bodytext216pt">
    <w:name w:val="Body text (2) + 16 pt"/>
    <w:aliases w:val="Bold1"/>
    <w:basedOn w:val="Bodytext2"/>
    <w:uiPriority w:val="99"/>
    <w:rsid w:val="00343B61"/>
    <w:rPr>
      <w:b/>
      <w:bCs/>
      <w:sz w:val="32"/>
      <w:szCs w:val="32"/>
    </w:rPr>
  </w:style>
  <w:style w:type="paragraph" w:customStyle="1" w:styleId="Bodytext7">
    <w:name w:val="Body text (7)"/>
    <w:basedOn w:val="Normal"/>
    <w:link w:val="Bodytext7Exact"/>
    <w:uiPriority w:val="99"/>
    <w:rsid w:val="00343B61"/>
    <w:pPr>
      <w:widowControl w:val="0"/>
      <w:shd w:val="clear" w:color="auto" w:fill="FFFFFF"/>
      <w:bidi/>
      <w:spacing w:after="0" w:line="619" w:lineRule="exact"/>
    </w:pPr>
    <w:rPr>
      <w:rFonts w:ascii="Times New Roman" w:hAnsi="Times New Roman" w:cs="Times New Roman"/>
      <w:sz w:val="20"/>
      <w:szCs w:val="20"/>
    </w:rPr>
  </w:style>
  <w:style w:type="paragraph" w:customStyle="1" w:styleId="Bodytext9">
    <w:name w:val="Body text (9)"/>
    <w:basedOn w:val="Normal"/>
    <w:link w:val="Bodytext9Exact"/>
    <w:uiPriority w:val="99"/>
    <w:rsid w:val="00343B61"/>
    <w:pPr>
      <w:widowControl w:val="0"/>
      <w:shd w:val="clear" w:color="auto" w:fill="FFFFFF"/>
      <w:bidi/>
      <w:spacing w:after="0" w:line="202" w:lineRule="exact"/>
      <w:jc w:val="both"/>
    </w:pPr>
    <w:rPr>
      <w:rFonts w:ascii="Microsoft Sans Serif" w:hAnsi="Microsoft Sans Serif" w:cs="Microsoft Sans Serif"/>
      <w:sz w:val="14"/>
      <w:szCs w:val="14"/>
    </w:rPr>
  </w:style>
  <w:style w:type="character" w:customStyle="1" w:styleId="Bodytext13">
    <w:name w:val="Body text (13)_"/>
    <w:basedOn w:val="DefaultParagraphFont"/>
    <w:link w:val="Bodytext130"/>
    <w:uiPriority w:val="99"/>
    <w:rsid w:val="00343B61"/>
    <w:rPr>
      <w:b/>
      <w:bCs/>
      <w:sz w:val="21"/>
      <w:szCs w:val="21"/>
      <w:shd w:val="clear" w:color="auto" w:fill="FFFFFF"/>
    </w:rPr>
  </w:style>
  <w:style w:type="paragraph" w:customStyle="1" w:styleId="Bodytext130">
    <w:name w:val="Body text (13)"/>
    <w:basedOn w:val="Normal"/>
    <w:link w:val="Bodytext13"/>
    <w:uiPriority w:val="99"/>
    <w:rsid w:val="00343B61"/>
    <w:pPr>
      <w:widowControl w:val="0"/>
      <w:shd w:val="clear" w:color="auto" w:fill="FFFFFF"/>
      <w:spacing w:before="1200" w:after="360" w:line="288" w:lineRule="exact"/>
      <w:ind w:firstLine="740"/>
      <w:jc w:val="both"/>
    </w:pPr>
    <w:rPr>
      <w:rFonts w:ascii="Times New Roman" w:hAnsi="Times New Roman" w:cs="Times New Roman"/>
      <w:b/>
      <w:bCs/>
      <w:sz w:val="21"/>
      <w:szCs w:val="21"/>
    </w:rPr>
  </w:style>
  <w:style w:type="character" w:customStyle="1" w:styleId="Bodytext14">
    <w:name w:val="Body text (14)_"/>
    <w:basedOn w:val="DefaultParagraphFont"/>
    <w:link w:val="Bodytext140"/>
    <w:uiPriority w:val="99"/>
    <w:rsid w:val="00343B61"/>
    <w:rPr>
      <w:b/>
      <w:bCs/>
      <w:sz w:val="21"/>
      <w:szCs w:val="21"/>
      <w:shd w:val="clear" w:color="auto" w:fill="FFFFFF"/>
    </w:rPr>
  </w:style>
  <w:style w:type="character" w:customStyle="1" w:styleId="Bodytext148pt">
    <w:name w:val="Body text (14) + 8 pt"/>
    <w:aliases w:val="Italic1"/>
    <w:basedOn w:val="Bodytext14"/>
    <w:uiPriority w:val="99"/>
    <w:rsid w:val="00343B61"/>
    <w:rPr>
      <w:i/>
      <w:iCs/>
      <w:sz w:val="16"/>
      <w:szCs w:val="16"/>
    </w:rPr>
  </w:style>
  <w:style w:type="paragraph" w:customStyle="1" w:styleId="Bodytext140">
    <w:name w:val="Body text (14)"/>
    <w:basedOn w:val="Normal"/>
    <w:link w:val="Bodytext14"/>
    <w:uiPriority w:val="99"/>
    <w:rsid w:val="00343B61"/>
    <w:pPr>
      <w:widowControl w:val="0"/>
      <w:shd w:val="clear" w:color="auto" w:fill="FFFFFF"/>
      <w:spacing w:before="360" w:after="0" w:line="216" w:lineRule="exact"/>
      <w:jc w:val="both"/>
    </w:pPr>
    <w:rPr>
      <w:rFonts w:ascii="Times New Roman" w:hAnsi="Times New Roman" w:cs="Times New Roman"/>
      <w:b/>
      <w:bCs/>
      <w:sz w:val="21"/>
      <w:szCs w:val="21"/>
    </w:rPr>
  </w:style>
  <w:style w:type="paragraph" w:styleId="Index1">
    <w:name w:val="index 1"/>
    <w:basedOn w:val="Normal"/>
    <w:next w:val="Normal"/>
    <w:autoRedefine/>
    <w:uiPriority w:val="99"/>
    <w:rsid w:val="00343B61"/>
    <w:pPr>
      <w:spacing w:after="0"/>
      <w:ind w:left="220" w:hanging="220"/>
    </w:pPr>
    <w:rPr>
      <w:rFonts w:asciiTheme="minorHAnsi" w:hAnsiTheme="minorHAnsi" w:cs="Times New Roman"/>
      <w:sz w:val="18"/>
      <w:szCs w:val="21"/>
    </w:rPr>
  </w:style>
  <w:style w:type="paragraph" w:styleId="IndexHeading">
    <w:name w:val="index heading"/>
    <w:basedOn w:val="Normal"/>
    <w:next w:val="Index1"/>
    <w:uiPriority w:val="99"/>
    <w:rsid w:val="00343B61"/>
    <w:pPr>
      <w:spacing w:before="240" w:after="120"/>
      <w:jc w:val="center"/>
    </w:pPr>
    <w:rPr>
      <w:rFonts w:asciiTheme="minorHAnsi" w:hAnsiTheme="minorHAnsi" w:cs="Times New Roman"/>
      <w:b/>
      <w:bCs/>
      <w:sz w:val="26"/>
      <w:szCs w:val="31"/>
    </w:rPr>
  </w:style>
  <w:style w:type="character" w:customStyle="1" w:styleId="Heading8Char">
    <w:name w:val="Heading 8 Char"/>
    <w:basedOn w:val="DefaultParagraphFont"/>
    <w:link w:val="Heading8"/>
    <w:rsid w:val="004B303F"/>
    <w:rPr>
      <w:b/>
      <w:bCs/>
      <w:sz w:val="28"/>
      <w:szCs w:val="28"/>
    </w:rPr>
  </w:style>
  <w:style w:type="paragraph" w:styleId="BalloonText">
    <w:name w:val="Balloon Text"/>
    <w:basedOn w:val="Normal"/>
    <w:link w:val="BalloonTextChar"/>
    <w:rsid w:val="004B3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30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128442">
      <w:bodyDiv w:val="1"/>
      <w:marLeft w:val="0"/>
      <w:marRight w:val="0"/>
      <w:marTop w:val="0"/>
      <w:marBottom w:val="0"/>
      <w:divBdr>
        <w:top w:val="none" w:sz="0" w:space="0" w:color="auto"/>
        <w:left w:val="none" w:sz="0" w:space="0" w:color="auto"/>
        <w:bottom w:val="none" w:sz="0" w:space="0" w:color="auto"/>
        <w:right w:val="none" w:sz="0" w:space="0" w:color="auto"/>
      </w:divBdr>
    </w:div>
    <w:div w:id="53047756">
      <w:bodyDiv w:val="1"/>
      <w:marLeft w:val="0"/>
      <w:marRight w:val="0"/>
      <w:marTop w:val="0"/>
      <w:marBottom w:val="0"/>
      <w:divBdr>
        <w:top w:val="none" w:sz="0" w:space="0" w:color="auto"/>
        <w:left w:val="none" w:sz="0" w:space="0" w:color="auto"/>
        <w:bottom w:val="none" w:sz="0" w:space="0" w:color="auto"/>
        <w:right w:val="none" w:sz="0" w:space="0" w:color="auto"/>
      </w:divBdr>
    </w:div>
    <w:div w:id="62340386">
      <w:bodyDiv w:val="1"/>
      <w:marLeft w:val="0"/>
      <w:marRight w:val="0"/>
      <w:marTop w:val="0"/>
      <w:marBottom w:val="0"/>
      <w:divBdr>
        <w:top w:val="none" w:sz="0" w:space="0" w:color="auto"/>
        <w:left w:val="none" w:sz="0" w:space="0" w:color="auto"/>
        <w:bottom w:val="none" w:sz="0" w:space="0" w:color="auto"/>
        <w:right w:val="none" w:sz="0" w:space="0" w:color="auto"/>
      </w:divBdr>
    </w:div>
    <w:div w:id="100808525">
      <w:bodyDiv w:val="1"/>
      <w:marLeft w:val="0"/>
      <w:marRight w:val="0"/>
      <w:marTop w:val="0"/>
      <w:marBottom w:val="0"/>
      <w:divBdr>
        <w:top w:val="none" w:sz="0" w:space="0" w:color="auto"/>
        <w:left w:val="none" w:sz="0" w:space="0" w:color="auto"/>
        <w:bottom w:val="none" w:sz="0" w:space="0" w:color="auto"/>
        <w:right w:val="none" w:sz="0" w:space="0" w:color="auto"/>
      </w:divBdr>
    </w:div>
    <w:div w:id="115297871">
      <w:bodyDiv w:val="1"/>
      <w:marLeft w:val="0"/>
      <w:marRight w:val="0"/>
      <w:marTop w:val="0"/>
      <w:marBottom w:val="0"/>
      <w:divBdr>
        <w:top w:val="none" w:sz="0" w:space="0" w:color="auto"/>
        <w:left w:val="none" w:sz="0" w:space="0" w:color="auto"/>
        <w:bottom w:val="none" w:sz="0" w:space="0" w:color="auto"/>
        <w:right w:val="none" w:sz="0" w:space="0" w:color="auto"/>
      </w:divBdr>
    </w:div>
    <w:div w:id="190607611">
      <w:bodyDiv w:val="1"/>
      <w:marLeft w:val="0"/>
      <w:marRight w:val="0"/>
      <w:marTop w:val="0"/>
      <w:marBottom w:val="0"/>
      <w:divBdr>
        <w:top w:val="none" w:sz="0" w:space="0" w:color="auto"/>
        <w:left w:val="none" w:sz="0" w:space="0" w:color="auto"/>
        <w:bottom w:val="none" w:sz="0" w:space="0" w:color="auto"/>
        <w:right w:val="none" w:sz="0" w:space="0" w:color="auto"/>
      </w:divBdr>
    </w:div>
    <w:div w:id="271281387">
      <w:bodyDiv w:val="1"/>
      <w:marLeft w:val="0"/>
      <w:marRight w:val="0"/>
      <w:marTop w:val="0"/>
      <w:marBottom w:val="0"/>
      <w:divBdr>
        <w:top w:val="none" w:sz="0" w:space="0" w:color="auto"/>
        <w:left w:val="none" w:sz="0" w:space="0" w:color="auto"/>
        <w:bottom w:val="none" w:sz="0" w:space="0" w:color="auto"/>
        <w:right w:val="none" w:sz="0" w:space="0" w:color="auto"/>
      </w:divBdr>
    </w:div>
    <w:div w:id="349453836">
      <w:bodyDiv w:val="1"/>
      <w:marLeft w:val="0"/>
      <w:marRight w:val="0"/>
      <w:marTop w:val="0"/>
      <w:marBottom w:val="0"/>
      <w:divBdr>
        <w:top w:val="none" w:sz="0" w:space="0" w:color="auto"/>
        <w:left w:val="none" w:sz="0" w:space="0" w:color="auto"/>
        <w:bottom w:val="none" w:sz="0" w:space="0" w:color="auto"/>
        <w:right w:val="none" w:sz="0" w:space="0" w:color="auto"/>
      </w:divBdr>
    </w:div>
    <w:div w:id="495725937">
      <w:bodyDiv w:val="1"/>
      <w:marLeft w:val="0"/>
      <w:marRight w:val="0"/>
      <w:marTop w:val="0"/>
      <w:marBottom w:val="0"/>
      <w:divBdr>
        <w:top w:val="none" w:sz="0" w:space="0" w:color="auto"/>
        <w:left w:val="none" w:sz="0" w:space="0" w:color="auto"/>
        <w:bottom w:val="none" w:sz="0" w:space="0" w:color="auto"/>
        <w:right w:val="none" w:sz="0" w:space="0" w:color="auto"/>
      </w:divBdr>
    </w:div>
    <w:div w:id="537936694">
      <w:bodyDiv w:val="1"/>
      <w:marLeft w:val="0"/>
      <w:marRight w:val="0"/>
      <w:marTop w:val="0"/>
      <w:marBottom w:val="0"/>
      <w:divBdr>
        <w:top w:val="none" w:sz="0" w:space="0" w:color="auto"/>
        <w:left w:val="none" w:sz="0" w:space="0" w:color="auto"/>
        <w:bottom w:val="none" w:sz="0" w:space="0" w:color="auto"/>
        <w:right w:val="none" w:sz="0" w:space="0" w:color="auto"/>
      </w:divBdr>
    </w:div>
    <w:div w:id="580522931">
      <w:bodyDiv w:val="1"/>
      <w:marLeft w:val="0"/>
      <w:marRight w:val="0"/>
      <w:marTop w:val="0"/>
      <w:marBottom w:val="0"/>
      <w:divBdr>
        <w:top w:val="none" w:sz="0" w:space="0" w:color="auto"/>
        <w:left w:val="none" w:sz="0" w:space="0" w:color="auto"/>
        <w:bottom w:val="none" w:sz="0" w:space="0" w:color="auto"/>
        <w:right w:val="none" w:sz="0" w:space="0" w:color="auto"/>
      </w:divBdr>
    </w:div>
    <w:div w:id="592202555">
      <w:bodyDiv w:val="1"/>
      <w:marLeft w:val="0"/>
      <w:marRight w:val="0"/>
      <w:marTop w:val="0"/>
      <w:marBottom w:val="0"/>
      <w:divBdr>
        <w:top w:val="none" w:sz="0" w:space="0" w:color="auto"/>
        <w:left w:val="none" w:sz="0" w:space="0" w:color="auto"/>
        <w:bottom w:val="none" w:sz="0" w:space="0" w:color="auto"/>
        <w:right w:val="none" w:sz="0" w:space="0" w:color="auto"/>
      </w:divBdr>
    </w:div>
    <w:div w:id="598678456">
      <w:bodyDiv w:val="1"/>
      <w:marLeft w:val="0"/>
      <w:marRight w:val="0"/>
      <w:marTop w:val="0"/>
      <w:marBottom w:val="0"/>
      <w:divBdr>
        <w:top w:val="none" w:sz="0" w:space="0" w:color="auto"/>
        <w:left w:val="none" w:sz="0" w:space="0" w:color="auto"/>
        <w:bottom w:val="none" w:sz="0" w:space="0" w:color="auto"/>
        <w:right w:val="none" w:sz="0" w:space="0" w:color="auto"/>
      </w:divBdr>
    </w:div>
    <w:div w:id="727194388">
      <w:bodyDiv w:val="1"/>
      <w:marLeft w:val="0"/>
      <w:marRight w:val="0"/>
      <w:marTop w:val="0"/>
      <w:marBottom w:val="0"/>
      <w:divBdr>
        <w:top w:val="none" w:sz="0" w:space="0" w:color="auto"/>
        <w:left w:val="none" w:sz="0" w:space="0" w:color="auto"/>
        <w:bottom w:val="none" w:sz="0" w:space="0" w:color="auto"/>
        <w:right w:val="none" w:sz="0" w:space="0" w:color="auto"/>
      </w:divBdr>
      <w:divsChild>
        <w:div w:id="102579188">
          <w:marLeft w:val="547"/>
          <w:marRight w:val="0"/>
          <w:marTop w:val="154"/>
          <w:marBottom w:val="0"/>
          <w:divBdr>
            <w:top w:val="none" w:sz="0" w:space="0" w:color="auto"/>
            <w:left w:val="none" w:sz="0" w:space="0" w:color="auto"/>
            <w:bottom w:val="none" w:sz="0" w:space="0" w:color="auto"/>
            <w:right w:val="none" w:sz="0" w:space="0" w:color="auto"/>
          </w:divBdr>
        </w:div>
        <w:div w:id="739060453">
          <w:marLeft w:val="547"/>
          <w:marRight w:val="0"/>
          <w:marTop w:val="230"/>
          <w:marBottom w:val="0"/>
          <w:divBdr>
            <w:top w:val="none" w:sz="0" w:space="0" w:color="auto"/>
            <w:left w:val="none" w:sz="0" w:space="0" w:color="auto"/>
            <w:bottom w:val="none" w:sz="0" w:space="0" w:color="auto"/>
            <w:right w:val="none" w:sz="0" w:space="0" w:color="auto"/>
          </w:divBdr>
        </w:div>
      </w:divsChild>
    </w:div>
    <w:div w:id="768895255">
      <w:bodyDiv w:val="1"/>
      <w:marLeft w:val="0"/>
      <w:marRight w:val="0"/>
      <w:marTop w:val="0"/>
      <w:marBottom w:val="0"/>
      <w:divBdr>
        <w:top w:val="none" w:sz="0" w:space="0" w:color="auto"/>
        <w:left w:val="none" w:sz="0" w:space="0" w:color="auto"/>
        <w:bottom w:val="none" w:sz="0" w:space="0" w:color="auto"/>
        <w:right w:val="none" w:sz="0" w:space="0" w:color="auto"/>
      </w:divBdr>
    </w:div>
    <w:div w:id="840706645">
      <w:bodyDiv w:val="1"/>
      <w:marLeft w:val="0"/>
      <w:marRight w:val="0"/>
      <w:marTop w:val="0"/>
      <w:marBottom w:val="0"/>
      <w:divBdr>
        <w:top w:val="none" w:sz="0" w:space="0" w:color="auto"/>
        <w:left w:val="none" w:sz="0" w:space="0" w:color="auto"/>
        <w:bottom w:val="none" w:sz="0" w:space="0" w:color="auto"/>
        <w:right w:val="none" w:sz="0" w:space="0" w:color="auto"/>
      </w:divBdr>
    </w:div>
    <w:div w:id="984629532">
      <w:bodyDiv w:val="1"/>
      <w:marLeft w:val="0"/>
      <w:marRight w:val="0"/>
      <w:marTop w:val="0"/>
      <w:marBottom w:val="0"/>
      <w:divBdr>
        <w:top w:val="none" w:sz="0" w:space="0" w:color="auto"/>
        <w:left w:val="none" w:sz="0" w:space="0" w:color="auto"/>
        <w:bottom w:val="none" w:sz="0" w:space="0" w:color="auto"/>
        <w:right w:val="none" w:sz="0" w:space="0" w:color="auto"/>
      </w:divBdr>
    </w:div>
    <w:div w:id="1077095775">
      <w:bodyDiv w:val="1"/>
      <w:marLeft w:val="0"/>
      <w:marRight w:val="0"/>
      <w:marTop w:val="0"/>
      <w:marBottom w:val="0"/>
      <w:divBdr>
        <w:top w:val="none" w:sz="0" w:space="0" w:color="auto"/>
        <w:left w:val="none" w:sz="0" w:space="0" w:color="auto"/>
        <w:bottom w:val="none" w:sz="0" w:space="0" w:color="auto"/>
        <w:right w:val="none" w:sz="0" w:space="0" w:color="auto"/>
      </w:divBdr>
    </w:div>
    <w:div w:id="1302882086">
      <w:bodyDiv w:val="1"/>
      <w:marLeft w:val="0"/>
      <w:marRight w:val="0"/>
      <w:marTop w:val="0"/>
      <w:marBottom w:val="0"/>
      <w:divBdr>
        <w:top w:val="none" w:sz="0" w:space="0" w:color="auto"/>
        <w:left w:val="none" w:sz="0" w:space="0" w:color="auto"/>
        <w:bottom w:val="none" w:sz="0" w:space="0" w:color="auto"/>
        <w:right w:val="none" w:sz="0" w:space="0" w:color="auto"/>
      </w:divBdr>
    </w:div>
    <w:div w:id="1357123362">
      <w:bodyDiv w:val="1"/>
      <w:marLeft w:val="0"/>
      <w:marRight w:val="0"/>
      <w:marTop w:val="0"/>
      <w:marBottom w:val="0"/>
      <w:divBdr>
        <w:top w:val="none" w:sz="0" w:space="0" w:color="auto"/>
        <w:left w:val="none" w:sz="0" w:space="0" w:color="auto"/>
        <w:bottom w:val="none" w:sz="0" w:space="0" w:color="auto"/>
        <w:right w:val="none" w:sz="0" w:space="0" w:color="auto"/>
      </w:divBdr>
    </w:div>
    <w:div w:id="1572813691">
      <w:bodyDiv w:val="1"/>
      <w:marLeft w:val="0"/>
      <w:marRight w:val="0"/>
      <w:marTop w:val="0"/>
      <w:marBottom w:val="0"/>
      <w:divBdr>
        <w:top w:val="none" w:sz="0" w:space="0" w:color="auto"/>
        <w:left w:val="none" w:sz="0" w:space="0" w:color="auto"/>
        <w:bottom w:val="none" w:sz="0" w:space="0" w:color="auto"/>
        <w:right w:val="none" w:sz="0" w:space="0" w:color="auto"/>
      </w:divBdr>
    </w:div>
    <w:div w:id="1592544612">
      <w:bodyDiv w:val="1"/>
      <w:marLeft w:val="0"/>
      <w:marRight w:val="0"/>
      <w:marTop w:val="0"/>
      <w:marBottom w:val="0"/>
      <w:divBdr>
        <w:top w:val="none" w:sz="0" w:space="0" w:color="auto"/>
        <w:left w:val="none" w:sz="0" w:space="0" w:color="auto"/>
        <w:bottom w:val="none" w:sz="0" w:space="0" w:color="auto"/>
        <w:right w:val="none" w:sz="0" w:space="0" w:color="auto"/>
      </w:divBdr>
    </w:div>
    <w:div w:id="1739009319">
      <w:bodyDiv w:val="1"/>
      <w:marLeft w:val="0"/>
      <w:marRight w:val="0"/>
      <w:marTop w:val="0"/>
      <w:marBottom w:val="0"/>
      <w:divBdr>
        <w:top w:val="none" w:sz="0" w:space="0" w:color="auto"/>
        <w:left w:val="none" w:sz="0" w:space="0" w:color="auto"/>
        <w:bottom w:val="none" w:sz="0" w:space="0" w:color="auto"/>
        <w:right w:val="none" w:sz="0" w:space="0" w:color="auto"/>
      </w:divBdr>
    </w:div>
    <w:div w:id="1881820944">
      <w:bodyDiv w:val="1"/>
      <w:marLeft w:val="0"/>
      <w:marRight w:val="0"/>
      <w:marTop w:val="0"/>
      <w:marBottom w:val="0"/>
      <w:divBdr>
        <w:top w:val="none" w:sz="0" w:space="0" w:color="auto"/>
        <w:left w:val="none" w:sz="0" w:space="0" w:color="auto"/>
        <w:bottom w:val="none" w:sz="0" w:space="0" w:color="auto"/>
        <w:right w:val="none" w:sz="0" w:space="0" w:color="auto"/>
      </w:divBdr>
    </w:div>
    <w:div w:id="1890215693">
      <w:bodyDiv w:val="1"/>
      <w:marLeft w:val="0"/>
      <w:marRight w:val="0"/>
      <w:marTop w:val="0"/>
      <w:marBottom w:val="0"/>
      <w:divBdr>
        <w:top w:val="none" w:sz="0" w:space="0" w:color="auto"/>
        <w:left w:val="none" w:sz="0" w:space="0" w:color="auto"/>
        <w:bottom w:val="none" w:sz="0" w:space="0" w:color="auto"/>
        <w:right w:val="none" w:sz="0" w:space="0" w:color="auto"/>
      </w:divBdr>
    </w:div>
    <w:div w:id="1898012902">
      <w:bodyDiv w:val="1"/>
      <w:marLeft w:val="0"/>
      <w:marRight w:val="0"/>
      <w:marTop w:val="0"/>
      <w:marBottom w:val="0"/>
      <w:divBdr>
        <w:top w:val="none" w:sz="0" w:space="0" w:color="auto"/>
        <w:left w:val="none" w:sz="0" w:space="0" w:color="auto"/>
        <w:bottom w:val="none" w:sz="0" w:space="0" w:color="auto"/>
        <w:right w:val="none" w:sz="0" w:space="0" w:color="auto"/>
      </w:divBdr>
    </w:div>
    <w:div w:id="1941063890">
      <w:bodyDiv w:val="1"/>
      <w:marLeft w:val="0"/>
      <w:marRight w:val="0"/>
      <w:marTop w:val="0"/>
      <w:marBottom w:val="0"/>
      <w:divBdr>
        <w:top w:val="none" w:sz="0" w:space="0" w:color="auto"/>
        <w:left w:val="none" w:sz="0" w:space="0" w:color="auto"/>
        <w:bottom w:val="none" w:sz="0" w:space="0" w:color="auto"/>
        <w:right w:val="none" w:sz="0" w:space="0" w:color="auto"/>
      </w:divBdr>
    </w:div>
    <w:div w:id="1998335601">
      <w:bodyDiv w:val="1"/>
      <w:marLeft w:val="0"/>
      <w:marRight w:val="0"/>
      <w:marTop w:val="0"/>
      <w:marBottom w:val="0"/>
      <w:divBdr>
        <w:top w:val="none" w:sz="0" w:space="0" w:color="auto"/>
        <w:left w:val="none" w:sz="0" w:space="0" w:color="auto"/>
        <w:bottom w:val="none" w:sz="0" w:space="0" w:color="auto"/>
        <w:right w:val="none" w:sz="0" w:space="0" w:color="auto"/>
      </w:divBdr>
    </w:div>
    <w:div w:id="2003502711">
      <w:bodyDiv w:val="1"/>
      <w:marLeft w:val="0"/>
      <w:marRight w:val="0"/>
      <w:marTop w:val="0"/>
      <w:marBottom w:val="0"/>
      <w:divBdr>
        <w:top w:val="none" w:sz="0" w:space="0" w:color="auto"/>
        <w:left w:val="none" w:sz="0" w:space="0" w:color="auto"/>
        <w:bottom w:val="none" w:sz="0" w:space="0" w:color="auto"/>
        <w:right w:val="none" w:sz="0" w:space="0" w:color="auto"/>
      </w:divBdr>
    </w:div>
    <w:div w:id="2024630894">
      <w:bodyDiv w:val="1"/>
      <w:marLeft w:val="0"/>
      <w:marRight w:val="0"/>
      <w:marTop w:val="0"/>
      <w:marBottom w:val="0"/>
      <w:divBdr>
        <w:top w:val="none" w:sz="0" w:space="0" w:color="auto"/>
        <w:left w:val="none" w:sz="0" w:space="0" w:color="auto"/>
        <w:bottom w:val="none" w:sz="0" w:space="0" w:color="auto"/>
        <w:right w:val="none" w:sz="0" w:space="0" w:color="auto"/>
      </w:divBdr>
    </w:div>
    <w:div w:id="20450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rnubi.wordpress.com"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hukumonline.com/pusatdata/detail/17453/nprt/539/uu-no-23-tahun-2002-perlindungan-anak"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kumonline.com/pusatdata/detail/17453/nprt/539/uu-no-23-tahun-2002-perlindungan-anak"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mui.or.id" TargetMode="External"/><Relationship Id="rId23" Type="http://schemas.openxmlformats.org/officeDocument/2006/relationships/header" Target="header4.xml"/><Relationship Id="rId10" Type="http://schemas.openxmlformats.org/officeDocument/2006/relationships/hyperlink" Target="http://www.hukumonline.com/pusatdata/detail/17453/nprt/539/uu-no-23-tahun-2002-perlindungan-ana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ui.or.id/mui/homepage/berita/berita-singkat/kh-maruf-amin-pimpin-mui-masa-khidmat-2015-2020.html" TargetMode="External"/><Relationship Id="rId14" Type="http://schemas.openxmlformats.org/officeDocument/2006/relationships/hyperlink" Target="http://mui.or.id/mui/homepage/berita/berita-singkat/sosok-kyai-makruf-amin.html" TargetMode="External"/><Relationship Id="rId22" Type="http://schemas.openxmlformats.org/officeDocument/2006/relationships/image" Target="media/image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ukumonline.com/pusatdata/detail/17453/nprt/539/uu-no-23-tahun-2002-perlindungan-anak" TargetMode="External"/><Relationship Id="rId3" Type="http://schemas.openxmlformats.org/officeDocument/2006/relationships/hyperlink" Target="http://www.kompasiana.com/sutomo-paguci/nu-muhammadiyah-menolak-syariatisasi-negara" TargetMode="External"/><Relationship Id="rId7" Type="http://schemas.openxmlformats.org/officeDocument/2006/relationships/hyperlink" Target="http://makalah-harian.blogspot.com/2012/05/diakses" TargetMode="External"/><Relationship Id="rId2" Type="http://schemas.openxmlformats.org/officeDocument/2006/relationships/hyperlink" Target="https://perpusmuslimind.blogspot.co.id" TargetMode="External"/><Relationship Id="rId1" Type="http://schemas.openxmlformats.org/officeDocument/2006/relationships/hyperlink" Target="http://www.gatra.com/artikel.php?id=94174" TargetMode="External"/><Relationship Id="rId6" Type="http://schemas.openxmlformats.org/officeDocument/2006/relationships/hyperlink" Target="http://syarnubi.wordpress.com" TargetMode="External"/><Relationship Id="rId5" Type="http://schemas.openxmlformats.org/officeDocument/2006/relationships/hyperlink" Target="http://www.mui.or.id" TargetMode="External"/><Relationship Id="rId4" Type="http://schemas.openxmlformats.org/officeDocument/2006/relationships/hyperlink" Target="http://mui.or.id/mui/homepage/berita/berita-singkat/sosok-kyai-makruf-am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66BA2-A1B8-4E49-923E-43A32232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374</Pages>
  <Words>90810</Words>
  <Characters>517620</Characters>
  <Application>Microsoft Office Word</Application>
  <DocSecurity>0</DocSecurity>
  <Lines>4313</Lines>
  <Paragraphs>1214</Paragraphs>
  <ScaleCrop>false</ScaleCrop>
  <HeadingPairs>
    <vt:vector size="2" baseType="variant">
      <vt:variant>
        <vt:lpstr>Title</vt:lpstr>
      </vt:variant>
      <vt:variant>
        <vt:i4>1</vt:i4>
      </vt:variant>
    </vt:vector>
  </HeadingPairs>
  <TitlesOfParts>
    <vt:vector size="1" baseType="lpstr">
      <vt:lpstr>TINJAUAN HUKUM ISLAM TERHADAP ABORSI YANG DILAKUKAN OLEH WANITA HAMIL AKIBAT PERKOSAAN</vt:lpstr>
    </vt:vector>
  </TitlesOfParts>
  <Company/>
  <LinksUpToDate>false</LinksUpToDate>
  <CharactersWithSpaces>607216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TINJAUAN HUKUM ISLAM TERHADAP ABORSI YANG DILAKUKAN OLEH WANITA HAMIL AKIBAT PERKOSAAN</dc:title>
  <dc:creator>Owner</dc:creator>
  <cp:lastModifiedBy>Toshiba 7</cp:lastModifiedBy>
  <cp:revision>4</cp:revision>
  <cp:lastPrinted>2018-09-28T02:28:00Z</cp:lastPrinted>
  <dcterms:created xsi:type="dcterms:W3CDTF">2018-12-06T14:36:00Z</dcterms:created>
  <dcterms:modified xsi:type="dcterms:W3CDTF">2018-12-06T14:46:00Z</dcterms:modified>
</cp:coreProperties>
</file>